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78016" w14:textId="400C85F6" w:rsidR="007D1775" w:rsidRPr="00D05550" w:rsidRDefault="00B43EE1">
      <w:pPr>
        <w:spacing w:before="200" w:after="200"/>
        <w:jc w:val="center"/>
        <w:rPr>
          <w:lang w:val="es-419"/>
        </w:rPr>
      </w:pPr>
      <w:r w:rsidRPr="00D05550">
        <w:rPr>
          <w:rFonts w:ascii="Arial" w:hAnsi="Arial" w:cs="Arial"/>
          <w:b/>
          <w:lang w:val="es-419"/>
        </w:rPr>
        <w:t>ABSTRACT</w:t>
      </w:r>
      <w:r w:rsidR="00937072" w:rsidRPr="00D05550">
        <w:rPr>
          <w:rFonts w:ascii="Arial" w:hAnsi="Arial" w:cs="Arial"/>
          <w:b/>
          <w:lang w:val="es-419"/>
        </w:rPr>
        <w:t>O DE CT</w:t>
      </w:r>
    </w:p>
    <w:p w14:paraId="76D99F89" w14:textId="624EF373" w:rsidR="007D1775" w:rsidRPr="00C44A64" w:rsidRDefault="00B43EE1">
      <w:pPr>
        <w:spacing w:before="120" w:after="120"/>
        <w:ind w:left="579" w:hanging="579"/>
        <w:rPr>
          <w:lang w:val="es-419"/>
        </w:rPr>
      </w:pPr>
      <w:r w:rsidRPr="00C44A64">
        <w:rPr>
          <w:rFonts w:ascii="Arial" w:hAnsi="Arial" w:cs="Arial"/>
          <w:b/>
          <w:lang w:val="es-419"/>
        </w:rPr>
        <w:t>I.</w:t>
      </w:r>
      <w:r w:rsidRPr="00C44A64">
        <w:rPr>
          <w:rFonts w:ascii="Arial" w:hAnsi="Arial" w:cs="Arial"/>
          <w:b/>
          <w:lang w:val="es-419"/>
        </w:rPr>
        <w:tab/>
      </w:r>
      <w:r w:rsidR="00C44A64" w:rsidRPr="00C44A64">
        <w:rPr>
          <w:rFonts w:ascii="Arial" w:hAnsi="Arial" w:cs="Arial"/>
          <w:b/>
          <w:lang w:val="es-419"/>
        </w:rPr>
        <w:t>Información</w:t>
      </w:r>
      <w:r w:rsidRPr="00C44A64">
        <w:rPr>
          <w:rFonts w:ascii="Arial" w:hAnsi="Arial" w:cs="Arial"/>
          <w:b/>
          <w:lang w:val="es-419"/>
        </w:rPr>
        <w:t xml:space="preserve"> </w:t>
      </w:r>
      <w:r w:rsidR="00C44A64" w:rsidRPr="00C44A64">
        <w:rPr>
          <w:rFonts w:ascii="Arial" w:hAnsi="Arial" w:cs="Arial"/>
          <w:b/>
          <w:lang w:val="es-419"/>
        </w:rPr>
        <w:t xml:space="preserve">Básica del </w:t>
      </w:r>
      <w:r w:rsidRPr="00C44A64">
        <w:rPr>
          <w:rFonts w:ascii="Arial" w:hAnsi="Arial" w:cs="Arial"/>
          <w:b/>
          <w:lang w:val="es-419"/>
        </w:rPr>
        <w:t>Pro</w:t>
      </w:r>
      <w:r w:rsidR="00C44A64" w:rsidRPr="00C44A64">
        <w:rPr>
          <w:rFonts w:ascii="Arial" w:hAnsi="Arial" w:cs="Arial"/>
          <w:b/>
          <w:lang w:val="es-419"/>
        </w:rPr>
        <w:t>y</w:t>
      </w:r>
      <w:r w:rsidRPr="00C44A64">
        <w:rPr>
          <w:rFonts w:ascii="Arial" w:hAnsi="Arial" w:cs="Arial"/>
          <w:b/>
          <w:lang w:val="es-419"/>
        </w:rPr>
        <w:t>ect</w:t>
      </w:r>
      <w:r w:rsidR="00C44A64" w:rsidRPr="00C44A64">
        <w:rPr>
          <w:rFonts w:ascii="Arial" w:hAnsi="Arial" w:cs="Arial"/>
          <w:b/>
          <w:lang w:val="es-419"/>
        </w:rPr>
        <w: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4"/>
        <w:gridCol w:w="5128"/>
      </w:tblGrid>
      <w:tr w:rsidR="007D1775" w14:paraId="47864F78" w14:textId="77777777" w:rsidTr="00976312">
        <w:trPr>
          <w:trHeight w:val="139"/>
          <w:jc w:val="center"/>
        </w:trPr>
        <w:tc>
          <w:tcPr>
            <w:tcW w:w="4114" w:type="dxa"/>
          </w:tcPr>
          <w:p w14:paraId="15CA38EB" w14:textId="49C8E36C" w:rsidR="007D1775" w:rsidRDefault="00B43EE1">
            <w:pPr>
              <w:spacing w:before="40" w:after="40"/>
              <w:ind w:left="115" w:hanging="115"/>
            </w:pPr>
            <w:r>
              <w:rPr>
                <w:rFonts w:ascii="Arial" w:hAnsi="Arial" w:cs="Arial"/>
                <w:sz w:val="18"/>
                <w:szCs w:val="18"/>
              </w:rPr>
              <w:t xml:space="preserve">▪ </w:t>
            </w:r>
            <w:r w:rsidR="00976312">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976312">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28" w:type="dxa"/>
          </w:tcPr>
          <w:p w14:paraId="09F64373" w14:textId="5289C54C" w:rsidR="007D1775" w:rsidRDefault="00B43EE1">
            <w:pPr>
              <w:spacing w:before="40" w:after="40"/>
            </w:pPr>
            <w:r>
              <w:rPr>
                <w:rFonts w:ascii="Arial" w:hAnsi="Arial" w:cs="Arial"/>
                <w:sz w:val="18"/>
                <w:szCs w:val="18"/>
              </w:rPr>
              <w:t>REGIONAL/CAN</w:t>
            </w:r>
          </w:p>
        </w:tc>
      </w:tr>
      <w:tr w:rsidR="007D1775" w:rsidRPr="008C3601" w14:paraId="2BECEBD0" w14:textId="77777777" w:rsidTr="00976312">
        <w:trPr>
          <w:jc w:val="center"/>
        </w:trPr>
        <w:tc>
          <w:tcPr>
            <w:tcW w:w="4114" w:type="dxa"/>
          </w:tcPr>
          <w:p w14:paraId="06A38D62" w14:textId="5DD04DAB"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E762CB">
              <w:rPr>
                <w:rFonts w:ascii="Arial" w:hAnsi="Arial" w:cs="Arial"/>
                <w:sz w:val="18"/>
                <w:szCs w:val="18"/>
              </w:rPr>
              <w:t>o</w:t>
            </w:r>
            <w:r>
              <w:rPr>
                <w:rFonts w:ascii="Arial" w:hAnsi="Arial" w:cs="Arial"/>
                <w:sz w:val="18"/>
                <w:szCs w:val="18"/>
              </w:rPr>
              <w:t>m</w:t>
            </w:r>
            <w:r w:rsidR="00E762CB">
              <w:rPr>
                <w:rFonts w:ascii="Arial" w:hAnsi="Arial" w:cs="Arial"/>
                <w:sz w:val="18"/>
                <w:szCs w:val="18"/>
              </w:rPr>
              <w:t>br</w:t>
            </w:r>
            <w:r>
              <w:rPr>
                <w:rFonts w:ascii="Arial" w:hAnsi="Arial" w:cs="Arial"/>
                <w:sz w:val="18"/>
                <w:szCs w:val="18"/>
              </w:rPr>
              <w:t>e</w:t>
            </w:r>
            <w:proofErr w:type="spellEnd"/>
            <w:r w:rsidR="00E762CB">
              <w:rPr>
                <w:rFonts w:ascii="Arial" w:hAnsi="Arial" w:cs="Arial"/>
                <w:sz w:val="18"/>
                <w:szCs w:val="18"/>
              </w:rPr>
              <w:t xml:space="preserve"> de la CT</w:t>
            </w:r>
            <w:r>
              <w:rPr>
                <w:rFonts w:ascii="Arial" w:hAnsi="Arial" w:cs="Arial"/>
                <w:sz w:val="18"/>
                <w:szCs w:val="18"/>
              </w:rPr>
              <w:t>:</w:t>
            </w:r>
          </w:p>
        </w:tc>
        <w:tc>
          <w:tcPr>
            <w:tcW w:w="5128" w:type="dxa"/>
          </w:tcPr>
          <w:p w14:paraId="4B739376" w14:textId="24FD2C2B" w:rsidR="007D1775" w:rsidRPr="00130DBE" w:rsidRDefault="00130DBE">
            <w:pPr>
              <w:spacing w:before="40" w:after="40"/>
              <w:rPr>
                <w:lang w:val="es-419"/>
              </w:rPr>
            </w:pPr>
            <w:r w:rsidRPr="00130DBE">
              <w:rPr>
                <w:rFonts w:ascii="Arial" w:hAnsi="Arial" w:cs="Arial"/>
                <w:sz w:val="18"/>
                <w:szCs w:val="18"/>
                <w:lang w:val="es-419"/>
              </w:rPr>
              <w:t>Apoyo al Sistema de Interconexión Eléctrica Andina - SINEA</w:t>
            </w:r>
          </w:p>
        </w:tc>
      </w:tr>
      <w:tr w:rsidR="007D1775" w14:paraId="2FC20798" w14:textId="77777777" w:rsidTr="00976312">
        <w:trPr>
          <w:jc w:val="center"/>
        </w:trPr>
        <w:tc>
          <w:tcPr>
            <w:tcW w:w="4114" w:type="dxa"/>
          </w:tcPr>
          <w:p w14:paraId="3B1F4B27" w14:textId="396EC3A9"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E762CB">
              <w:rPr>
                <w:rFonts w:ascii="Arial" w:hAnsi="Arial" w:cs="Arial"/>
                <w:sz w:val="18"/>
                <w:szCs w:val="18"/>
              </w:rPr>
              <w:t>ú</w:t>
            </w:r>
            <w:r>
              <w:rPr>
                <w:rFonts w:ascii="Arial" w:hAnsi="Arial" w:cs="Arial"/>
                <w:sz w:val="18"/>
                <w:szCs w:val="18"/>
              </w:rPr>
              <w:t>mer</w:t>
            </w:r>
            <w:r w:rsidR="00130DBE">
              <w:rPr>
                <w:rFonts w:ascii="Arial" w:hAnsi="Arial" w:cs="Arial"/>
                <w:sz w:val="18"/>
                <w:szCs w:val="18"/>
              </w:rPr>
              <w:t>o</w:t>
            </w:r>
            <w:proofErr w:type="spellEnd"/>
            <w:r w:rsidR="00130DBE">
              <w:rPr>
                <w:rFonts w:ascii="Arial" w:hAnsi="Arial" w:cs="Arial"/>
                <w:sz w:val="18"/>
                <w:szCs w:val="18"/>
              </w:rPr>
              <w:t xml:space="preserve"> de la CT</w:t>
            </w:r>
            <w:r>
              <w:rPr>
                <w:rFonts w:ascii="Arial" w:hAnsi="Arial" w:cs="Arial"/>
                <w:sz w:val="18"/>
                <w:szCs w:val="18"/>
              </w:rPr>
              <w:t>:</w:t>
            </w:r>
          </w:p>
        </w:tc>
        <w:tc>
          <w:tcPr>
            <w:tcW w:w="5128" w:type="dxa"/>
          </w:tcPr>
          <w:p w14:paraId="3A92E0AC" w14:textId="77777777" w:rsidR="007D1775" w:rsidRDefault="00B43EE1">
            <w:pPr>
              <w:spacing w:before="40" w:after="40"/>
            </w:pPr>
            <w:r>
              <w:rPr>
                <w:rFonts w:ascii="Arial" w:hAnsi="Arial" w:cs="Arial"/>
                <w:sz w:val="18"/>
                <w:szCs w:val="18"/>
              </w:rPr>
              <w:t>RG-T3739</w:t>
            </w:r>
          </w:p>
        </w:tc>
      </w:tr>
      <w:tr w:rsidR="007D1775" w:rsidRPr="008C3601" w14:paraId="3D8B78E4" w14:textId="77777777" w:rsidTr="00976312">
        <w:trPr>
          <w:jc w:val="center"/>
        </w:trPr>
        <w:tc>
          <w:tcPr>
            <w:tcW w:w="4114" w:type="dxa"/>
          </w:tcPr>
          <w:p w14:paraId="41AA1548" w14:textId="7D1256E0"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L</w:t>
            </w:r>
            <w:r w:rsidR="006C69E4">
              <w:rPr>
                <w:rFonts w:ascii="Arial" w:hAnsi="Arial" w:cs="Arial"/>
                <w:sz w:val="18"/>
                <w:szCs w:val="18"/>
              </w:rPr>
              <w:t>íder</w:t>
            </w:r>
            <w:proofErr w:type="spellEnd"/>
            <w:r w:rsidR="006C69E4">
              <w:rPr>
                <w:rFonts w:ascii="Arial" w:hAnsi="Arial" w:cs="Arial"/>
                <w:sz w:val="18"/>
                <w:szCs w:val="18"/>
              </w:rPr>
              <w:t xml:space="preserve"> de Equipo</w:t>
            </w:r>
            <w:r>
              <w:rPr>
                <w:rFonts w:ascii="Arial" w:hAnsi="Arial" w:cs="Arial"/>
                <w:sz w:val="18"/>
                <w:szCs w:val="18"/>
              </w:rPr>
              <w:t>/</w:t>
            </w:r>
            <w:proofErr w:type="spellStart"/>
            <w:r>
              <w:rPr>
                <w:rFonts w:ascii="Arial" w:hAnsi="Arial" w:cs="Arial"/>
                <w:sz w:val="18"/>
                <w:szCs w:val="18"/>
              </w:rPr>
              <w:t>M</w:t>
            </w:r>
            <w:r w:rsidR="006C69E4">
              <w:rPr>
                <w:rFonts w:ascii="Arial" w:hAnsi="Arial" w:cs="Arial"/>
                <w:sz w:val="18"/>
                <w:szCs w:val="18"/>
              </w:rPr>
              <w:t>i</w:t>
            </w:r>
            <w:r>
              <w:rPr>
                <w:rFonts w:ascii="Arial" w:hAnsi="Arial" w:cs="Arial"/>
                <w:sz w:val="18"/>
                <w:szCs w:val="18"/>
              </w:rPr>
              <w:t>e</w:t>
            </w:r>
            <w:r w:rsidR="006C69E4">
              <w:rPr>
                <w:rFonts w:ascii="Arial" w:hAnsi="Arial" w:cs="Arial"/>
                <w:sz w:val="18"/>
                <w:szCs w:val="18"/>
              </w:rPr>
              <w:t>mbro</w:t>
            </w:r>
            <w:r>
              <w:rPr>
                <w:rFonts w:ascii="Arial" w:hAnsi="Arial" w:cs="Arial"/>
                <w:sz w:val="18"/>
                <w:szCs w:val="18"/>
              </w:rPr>
              <w:t>s</w:t>
            </w:r>
            <w:proofErr w:type="spellEnd"/>
            <w:r>
              <w:rPr>
                <w:rFonts w:ascii="Arial" w:hAnsi="Arial" w:cs="Arial"/>
                <w:sz w:val="18"/>
                <w:szCs w:val="18"/>
              </w:rPr>
              <w:t>:</w:t>
            </w:r>
          </w:p>
        </w:tc>
        <w:tc>
          <w:tcPr>
            <w:tcW w:w="5128" w:type="dxa"/>
          </w:tcPr>
          <w:p w14:paraId="34FF3470" w14:textId="714DAF6A" w:rsidR="007D1775" w:rsidRPr="00FA7A66" w:rsidRDefault="00B43EE1" w:rsidP="003C2397">
            <w:pPr>
              <w:jc w:val="both"/>
              <w:rPr>
                <w:lang w:val="es-419"/>
              </w:rPr>
            </w:pPr>
            <w:r w:rsidRPr="00FA7A66">
              <w:rPr>
                <w:rFonts w:ascii="Arial" w:hAnsi="Arial" w:cs="Arial"/>
                <w:sz w:val="18"/>
                <w:szCs w:val="18"/>
                <w:lang w:val="es-419"/>
              </w:rPr>
              <w:t>P</w:t>
            </w:r>
            <w:r w:rsidR="00D05550" w:rsidRPr="00FA7A66">
              <w:rPr>
                <w:rFonts w:ascii="Arial" w:hAnsi="Arial" w:cs="Arial"/>
                <w:sz w:val="18"/>
                <w:szCs w:val="18"/>
                <w:lang w:val="es-419"/>
              </w:rPr>
              <w:t>lanas</w:t>
            </w:r>
            <w:r w:rsidRPr="00FA7A66">
              <w:rPr>
                <w:rFonts w:ascii="Arial" w:hAnsi="Arial" w:cs="Arial"/>
                <w:sz w:val="18"/>
                <w:szCs w:val="18"/>
                <w:lang w:val="es-419"/>
              </w:rPr>
              <w:t>,</w:t>
            </w:r>
            <w:r w:rsidR="00D05550" w:rsidRPr="00FA7A66">
              <w:rPr>
                <w:rFonts w:ascii="Arial" w:hAnsi="Arial" w:cs="Arial"/>
                <w:sz w:val="18"/>
                <w:szCs w:val="18"/>
                <w:lang w:val="es-419"/>
              </w:rPr>
              <w:t xml:space="preserve"> </w:t>
            </w:r>
            <w:r w:rsidRPr="00FA7A66">
              <w:rPr>
                <w:rFonts w:ascii="Arial" w:hAnsi="Arial" w:cs="Arial"/>
                <w:sz w:val="18"/>
                <w:szCs w:val="18"/>
                <w:lang w:val="es-419"/>
              </w:rPr>
              <w:t>A</w:t>
            </w:r>
            <w:r w:rsidR="00D05550" w:rsidRPr="00FA7A66">
              <w:rPr>
                <w:rFonts w:ascii="Arial" w:hAnsi="Arial" w:cs="Arial"/>
                <w:sz w:val="18"/>
                <w:szCs w:val="18"/>
                <w:lang w:val="es-419"/>
              </w:rPr>
              <w:t>lexandra</w:t>
            </w:r>
            <w:r w:rsidRPr="00FA7A66">
              <w:rPr>
                <w:rFonts w:ascii="Arial" w:hAnsi="Arial" w:cs="Arial"/>
                <w:sz w:val="18"/>
                <w:szCs w:val="18"/>
                <w:lang w:val="es-419"/>
              </w:rPr>
              <w:t xml:space="preserve"> (INE/ENE) </w:t>
            </w:r>
            <w:r w:rsidR="00D05550" w:rsidRPr="00FA7A66">
              <w:rPr>
                <w:rFonts w:ascii="Arial" w:hAnsi="Arial" w:cs="Arial"/>
                <w:sz w:val="18"/>
                <w:szCs w:val="18"/>
                <w:lang w:val="es-419"/>
              </w:rPr>
              <w:t>Líder de Equipo</w:t>
            </w:r>
            <w:r w:rsidRPr="00FA7A66">
              <w:rPr>
                <w:rFonts w:ascii="Arial" w:hAnsi="Arial" w:cs="Arial"/>
                <w:sz w:val="18"/>
                <w:szCs w:val="18"/>
                <w:lang w:val="es-419"/>
              </w:rPr>
              <w:t>; E</w:t>
            </w:r>
            <w:r w:rsidR="00D05550" w:rsidRPr="00FA7A66">
              <w:rPr>
                <w:rFonts w:ascii="Arial" w:hAnsi="Arial" w:cs="Arial"/>
                <w:sz w:val="18"/>
                <w:szCs w:val="18"/>
                <w:lang w:val="es-419"/>
              </w:rPr>
              <w:t>cheverría</w:t>
            </w:r>
            <w:r w:rsidRPr="00FA7A66">
              <w:rPr>
                <w:rFonts w:ascii="Arial" w:hAnsi="Arial" w:cs="Arial"/>
                <w:sz w:val="18"/>
                <w:szCs w:val="18"/>
                <w:lang w:val="es-419"/>
              </w:rPr>
              <w:t>, C</w:t>
            </w:r>
            <w:r w:rsidR="00D05550" w:rsidRPr="00FA7A66">
              <w:rPr>
                <w:rFonts w:ascii="Arial" w:hAnsi="Arial" w:cs="Arial"/>
                <w:sz w:val="18"/>
                <w:szCs w:val="18"/>
                <w:lang w:val="es-419"/>
              </w:rPr>
              <w:t>arlos</w:t>
            </w:r>
            <w:r w:rsidRPr="00FA7A66">
              <w:rPr>
                <w:rFonts w:ascii="Arial" w:hAnsi="Arial" w:cs="Arial"/>
                <w:sz w:val="18"/>
                <w:szCs w:val="18"/>
                <w:lang w:val="es-419"/>
              </w:rPr>
              <w:t xml:space="preserve"> (INE/ENE) </w:t>
            </w:r>
            <w:r w:rsidR="00FA7A66" w:rsidRPr="00FA7A66">
              <w:rPr>
                <w:rFonts w:ascii="Arial" w:hAnsi="Arial" w:cs="Arial"/>
                <w:sz w:val="18"/>
                <w:szCs w:val="18"/>
                <w:lang w:val="es-419"/>
              </w:rPr>
              <w:t>Líder de Equipo Alterno</w:t>
            </w:r>
            <w:r w:rsidRPr="00FA7A66">
              <w:rPr>
                <w:rFonts w:ascii="Arial" w:hAnsi="Arial" w:cs="Arial"/>
                <w:sz w:val="18"/>
                <w:szCs w:val="18"/>
                <w:lang w:val="es-419"/>
              </w:rPr>
              <w:t>; B</w:t>
            </w:r>
            <w:r w:rsidR="00FA7A66" w:rsidRPr="00FA7A66">
              <w:rPr>
                <w:rFonts w:ascii="Arial" w:hAnsi="Arial" w:cs="Arial"/>
                <w:sz w:val="18"/>
                <w:szCs w:val="18"/>
                <w:lang w:val="es-419"/>
              </w:rPr>
              <w:t>allón</w:t>
            </w:r>
            <w:r w:rsidRPr="00FA7A66">
              <w:rPr>
                <w:rFonts w:ascii="Arial" w:hAnsi="Arial" w:cs="Arial"/>
                <w:sz w:val="18"/>
                <w:szCs w:val="18"/>
                <w:lang w:val="es-419"/>
              </w:rPr>
              <w:t>, S</w:t>
            </w:r>
            <w:r w:rsidR="00FA7A66" w:rsidRPr="00FA7A66">
              <w:rPr>
                <w:rFonts w:ascii="Arial" w:hAnsi="Arial" w:cs="Arial"/>
                <w:sz w:val="18"/>
                <w:szCs w:val="18"/>
                <w:lang w:val="es-419"/>
              </w:rPr>
              <w:t>ergio</w:t>
            </w:r>
            <w:r w:rsidRPr="00FA7A66">
              <w:rPr>
                <w:rFonts w:ascii="Arial" w:hAnsi="Arial" w:cs="Arial"/>
                <w:sz w:val="18"/>
                <w:szCs w:val="18"/>
                <w:lang w:val="es-419"/>
              </w:rPr>
              <w:t xml:space="preserve"> (INE/ENE); S</w:t>
            </w:r>
            <w:r w:rsidR="00FA7A66" w:rsidRPr="00FA7A66">
              <w:rPr>
                <w:rFonts w:ascii="Arial" w:hAnsi="Arial" w:cs="Arial"/>
                <w:sz w:val="18"/>
                <w:szCs w:val="18"/>
                <w:lang w:val="es-419"/>
              </w:rPr>
              <w:t>olarte</w:t>
            </w:r>
            <w:r w:rsidRPr="00FA7A66">
              <w:rPr>
                <w:rFonts w:ascii="Arial" w:hAnsi="Arial" w:cs="Arial"/>
                <w:sz w:val="18"/>
                <w:szCs w:val="18"/>
                <w:lang w:val="es-419"/>
              </w:rPr>
              <w:t>, S</w:t>
            </w:r>
            <w:r w:rsidR="00FA7A66" w:rsidRPr="00FA7A66">
              <w:rPr>
                <w:rFonts w:ascii="Arial" w:hAnsi="Arial" w:cs="Arial"/>
                <w:sz w:val="18"/>
                <w:szCs w:val="18"/>
                <w:lang w:val="es-419"/>
              </w:rPr>
              <w:t>ebastián</w:t>
            </w:r>
            <w:r w:rsidRPr="00FA7A66">
              <w:rPr>
                <w:rFonts w:ascii="Arial" w:hAnsi="Arial" w:cs="Arial"/>
                <w:sz w:val="18"/>
                <w:szCs w:val="18"/>
                <w:lang w:val="es-419"/>
              </w:rPr>
              <w:t xml:space="preserve"> (INE/ENE); M</w:t>
            </w:r>
            <w:r w:rsidR="00FA7A66" w:rsidRPr="00FA7A66">
              <w:rPr>
                <w:rFonts w:ascii="Arial" w:hAnsi="Arial" w:cs="Arial"/>
                <w:sz w:val="18"/>
                <w:szCs w:val="18"/>
                <w:lang w:val="es-419"/>
              </w:rPr>
              <w:t>acías</w:t>
            </w:r>
            <w:r w:rsidRPr="00FA7A66">
              <w:rPr>
                <w:rFonts w:ascii="Arial" w:hAnsi="Arial" w:cs="Arial"/>
                <w:sz w:val="18"/>
                <w:szCs w:val="18"/>
                <w:lang w:val="es-419"/>
              </w:rPr>
              <w:t>, A</w:t>
            </w:r>
            <w:r w:rsidR="00FA7A66" w:rsidRPr="00FA7A66">
              <w:rPr>
                <w:rFonts w:ascii="Arial" w:hAnsi="Arial" w:cs="Arial"/>
                <w:sz w:val="18"/>
                <w:szCs w:val="18"/>
                <w:lang w:val="es-419"/>
              </w:rPr>
              <w:t>na</w:t>
            </w:r>
            <w:r w:rsidRPr="00FA7A66">
              <w:rPr>
                <w:rFonts w:ascii="Arial" w:hAnsi="Arial" w:cs="Arial"/>
                <w:sz w:val="18"/>
                <w:szCs w:val="18"/>
                <w:lang w:val="es-419"/>
              </w:rPr>
              <w:t xml:space="preserve"> M</w:t>
            </w:r>
            <w:r w:rsidR="00FA7A66">
              <w:rPr>
                <w:rFonts w:ascii="Arial" w:hAnsi="Arial" w:cs="Arial"/>
                <w:sz w:val="18"/>
                <w:szCs w:val="18"/>
                <w:lang w:val="es-419"/>
              </w:rPr>
              <w:t>aría</w:t>
            </w:r>
            <w:r w:rsidRPr="00FA7A66">
              <w:rPr>
                <w:rFonts w:ascii="Arial" w:hAnsi="Arial" w:cs="Arial"/>
                <w:sz w:val="18"/>
                <w:szCs w:val="18"/>
                <w:lang w:val="es-419"/>
              </w:rPr>
              <w:t xml:space="preserve"> (INE/ENE); C</w:t>
            </w:r>
            <w:r w:rsidR="00FA7A66">
              <w:rPr>
                <w:rFonts w:ascii="Arial" w:hAnsi="Arial" w:cs="Arial"/>
                <w:sz w:val="18"/>
                <w:szCs w:val="18"/>
                <w:lang w:val="es-419"/>
              </w:rPr>
              <w:t>ardenas</w:t>
            </w:r>
            <w:r w:rsidRPr="00FA7A66">
              <w:rPr>
                <w:rFonts w:ascii="Arial" w:hAnsi="Arial" w:cs="Arial"/>
                <w:sz w:val="18"/>
                <w:szCs w:val="18"/>
                <w:lang w:val="es-419"/>
              </w:rPr>
              <w:t>, J</w:t>
            </w:r>
            <w:r w:rsidR="00FA7A66">
              <w:rPr>
                <w:rFonts w:ascii="Arial" w:hAnsi="Arial" w:cs="Arial"/>
                <w:sz w:val="18"/>
                <w:szCs w:val="18"/>
                <w:lang w:val="es-419"/>
              </w:rPr>
              <w:t>uan</w:t>
            </w:r>
            <w:r w:rsidRPr="00FA7A66">
              <w:rPr>
                <w:rFonts w:ascii="Arial" w:hAnsi="Arial" w:cs="Arial"/>
                <w:sz w:val="18"/>
                <w:szCs w:val="18"/>
                <w:lang w:val="es-419"/>
              </w:rPr>
              <w:t xml:space="preserve"> C</w:t>
            </w:r>
            <w:r w:rsidR="00FA7A66">
              <w:rPr>
                <w:rFonts w:ascii="Arial" w:hAnsi="Arial" w:cs="Arial"/>
                <w:sz w:val="18"/>
                <w:szCs w:val="18"/>
                <w:lang w:val="es-419"/>
              </w:rPr>
              <w:t>arlos</w:t>
            </w:r>
            <w:r w:rsidRPr="00FA7A66">
              <w:rPr>
                <w:rFonts w:ascii="Arial" w:hAnsi="Arial" w:cs="Arial"/>
                <w:sz w:val="18"/>
                <w:szCs w:val="18"/>
                <w:lang w:val="es-419"/>
              </w:rPr>
              <w:t xml:space="preserve"> (INE/ENE); M</w:t>
            </w:r>
            <w:r w:rsidR="00FA7A66">
              <w:rPr>
                <w:rFonts w:ascii="Arial" w:hAnsi="Arial" w:cs="Arial"/>
                <w:sz w:val="18"/>
                <w:szCs w:val="18"/>
                <w:lang w:val="es-419"/>
              </w:rPr>
              <w:t>árquez</w:t>
            </w:r>
            <w:r w:rsidRPr="00FA7A66">
              <w:rPr>
                <w:rFonts w:ascii="Arial" w:hAnsi="Arial" w:cs="Arial"/>
                <w:sz w:val="18"/>
                <w:szCs w:val="18"/>
                <w:lang w:val="es-419"/>
              </w:rPr>
              <w:t>, F</w:t>
            </w:r>
            <w:r w:rsidR="00FA7A66">
              <w:rPr>
                <w:rFonts w:ascii="Arial" w:hAnsi="Arial" w:cs="Arial"/>
                <w:sz w:val="18"/>
                <w:szCs w:val="18"/>
                <w:lang w:val="es-419"/>
              </w:rPr>
              <w:t>idel</w:t>
            </w:r>
            <w:r w:rsidRPr="00FA7A66">
              <w:rPr>
                <w:rFonts w:ascii="Arial" w:hAnsi="Arial" w:cs="Arial"/>
                <w:sz w:val="18"/>
                <w:szCs w:val="18"/>
                <w:lang w:val="es-419"/>
              </w:rPr>
              <w:t xml:space="preserve"> (INE/ENE); T</w:t>
            </w:r>
            <w:r w:rsidR="00FA7A66">
              <w:rPr>
                <w:rFonts w:ascii="Arial" w:hAnsi="Arial" w:cs="Arial"/>
                <w:sz w:val="18"/>
                <w:szCs w:val="18"/>
                <w:lang w:val="es-419"/>
              </w:rPr>
              <w:t>ejeda</w:t>
            </w:r>
            <w:r w:rsidRPr="00FA7A66">
              <w:rPr>
                <w:rFonts w:ascii="Arial" w:hAnsi="Arial" w:cs="Arial"/>
                <w:sz w:val="18"/>
                <w:szCs w:val="18"/>
                <w:lang w:val="es-419"/>
              </w:rPr>
              <w:t>, J</w:t>
            </w:r>
            <w:r w:rsidR="00FA7A66">
              <w:rPr>
                <w:rFonts w:ascii="Arial" w:hAnsi="Arial" w:cs="Arial"/>
                <w:sz w:val="18"/>
                <w:szCs w:val="18"/>
                <w:lang w:val="es-419"/>
              </w:rPr>
              <w:t>esús</w:t>
            </w:r>
            <w:r w:rsidRPr="00FA7A66">
              <w:rPr>
                <w:rFonts w:ascii="Arial" w:hAnsi="Arial" w:cs="Arial"/>
                <w:sz w:val="18"/>
                <w:szCs w:val="18"/>
                <w:lang w:val="es-419"/>
              </w:rPr>
              <w:t xml:space="preserve"> (INE/ENE); S</w:t>
            </w:r>
            <w:r w:rsidR="00FA7A66">
              <w:rPr>
                <w:rFonts w:ascii="Arial" w:hAnsi="Arial" w:cs="Arial"/>
                <w:sz w:val="18"/>
                <w:szCs w:val="18"/>
                <w:lang w:val="es-419"/>
              </w:rPr>
              <w:t>uber</w:t>
            </w:r>
            <w:r w:rsidRPr="00FA7A66">
              <w:rPr>
                <w:rFonts w:ascii="Arial" w:hAnsi="Arial" w:cs="Arial"/>
                <w:sz w:val="18"/>
                <w:szCs w:val="18"/>
                <w:lang w:val="es-419"/>
              </w:rPr>
              <w:t>, S</w:t>
            </w:r>
            <w:r w:rsidR="00FA7A66">
              <w:rPr>
                <w:rFonts w:ascii="Arial" w:hAnsi="Arial" w:cs="Arial"/>
                <w:sz w:val="18"/>
                <w:szCs w:val="18"/>
                <w:lang w:val="es-419"/>
              </w:rPr>
              <w:t xml:space="preserve">tephanie </w:t>
            </w:r>
            <w:r w:rsidRPr="00FA7A66">
              <w:rPr>
                <w:rFonts w:ascii="Arial" w:hAnsi="Arial" w:cs="Arial"/>
                <w:sz w:val="18"/>
                <w:szCs w:val="18"/>
                <w:lang w:val="es-419"/>
              </w:rPr>
              <w:t>(INE/ENE); B</w:t>
            </w:r>
            <w:r w:rsidR="00FA7A66">
              <w:rPr>
                <w:rFonts w:ascii="Arial" w:hAnsi="Arial" w:cs="Arial"/>
                <w:sz w:val="18"/>
                <w:szCs w:val="18"/>
                <w:lang w:val="es-419"/>
              </w:rPr>
              <w:t>altodano</w:t>
            </w:r>
            <w:r w:rsidRPr="00FA7A66">
              <w:rPr>
                <w:rFonts w:ascii="Arial" w:hAnsi="Arial" w:cs="Arial"/>
                <w:sz w:val="18"/>
                <w:szCs w:val="18"/>
                <w:lang w:val="es-419"/>
              </w:rPr>
              <w:t>, F</w:t>
            </w:r>
            <w:r w:rsidR="00FA7A66">
              <w:rPr>
                <w:rFonts w:ascii="Arial" w:hAnsi="Arial" w:cs="Arial"/>
                <w:sz w:val="18"/>
                <w:szCs w:val="18"/>
                <w:lang w:val="es-419"/>
              </w:rPr>
              <w:t>abiola</w:t>
            </w:r>
            <w:r w:rsidRPr="00FA7A66">
              <w:rPr>
                <w:rFonts w:ascii="Arial" w:hAnsi="Arial" w:cs="Arial"/>
                <w:sz w:val="18"/>
                <w:szCs w:val="18"/>
                <w:lang w:val="es-419"/>
              </w:rPr>
              <w:t xml:space="preserve"> (INE/ENE)</w:t>
            </w:r>
            <w:r w:rsidR="00976312">
              <w:rPr>
                <w:rFonts w:ascii="Arial" w:hAnsi="Arial" w:cs="Arial"/>
                <w:sz w:val="18"/>
                <w:szCs w:val="18"/>
                <w:lang w:val="es-419"/>
              </w:rPr>
              <w:t xml:space="preserve">; </w:t>
            </w:r>
            <w:r w:rsidR="00976312" w:rsidRPr="00FA7A66">
              <w:rPr>
                <w:rFonts w:ascii="Arial" w:hAnsi="Arial" w:cs="Arial"/>
                <w:sz w:val="18"/>
                <w:szCs w:val="18"/>
                <w:lang w:val="es-419"/>
              </w:rPr>
              <w:t>G</w:t>
            </w:r>
            <w:r w:rsidR="00976312">
              <w:rPr>
                <w:rFonts w:ascii="Arial" w:hAnsi="Arial" w:cs="Arial"/>
                <w:sz w:val="18"/>
                <w:szCs w:val="18"/>
                <w:lang w:val="es-419"/>
              </w:rPr>
              <w:t>iraldo</w:t>
            </w:r>
            <w:r w:rsidR="00976312" w:rsidRPr="00FA7A66">
              <w:rPr>
                <w:rFonts w:ascii="Arial" w:hAnsi="Arial" w:cs="Arial"/>
                <w:sz w:val="18"/>
                <w:szCs w:val="18"/>
                <w:lang w:val="es-419"/>
              </w:rPr>
              <w:t>, A</w:t>
            </w:r>
            <w:r w:rsidR="00976312">
              <w:rPr>
                <w:rFonts w:ascii="Arial" w:hAnsi="Arial" w:cs="Arial"/>
                <w:sz w:val="18"/>
                <w:szCs w:val="18"/>
                <w:lang w:val="es-419"/>
              </w:rPr>
              <w:t>ndrea</w:t>
            </w:r>
            <w:r w:rsidR="00976312" w:rsidRPr="00FA7A66">
              <w:rPr>
                <w:rFonts w:ascii="Arial" w:hAnsi="Arial" w:cs="Arial"/>
                <w:sz w:val="18"/>
                <w:szCs w:val="18"/>
                <w:lang w:val="es-419"/>
              </w:rPr>
              <w:t xml:space="preserve"> (CAN/CCO)</w:t>
            </w:r>
            <w:r w:rsidR="00976312">
              <w:rPr>
                <w:rFonts w:ascii="Arial" w:hAnsi="Arial" w:cs="Arial"/>
                <w:sz w:val="18"/>
                <w:szCs w:val="18"/>
                <w:lang w:val="es-419"/>
              </w:rPr>
              <w:t>.</w:t>
            </w:r>
          </w:p>
        </w:tc>
      </w:tr>
      <w:tr w:rsidR="007D1775" w14:paraId="68044F55" w14:textId="77777777" w:rsidTr="00976312">
        <w:trPr>
          <w:jc w:val="center"/>
        </w:trPr>
        <w:tc>
          <w:tcPr>
            <w:tcW w:w="4114" w:type="dxa"/>
          </w:tcPr>
          <w:p w14:paraId="2AA99241" w14:textId="6BFEC4AF"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w:t>
            </w:r>
            <w:r w:rsidR="006C69E4">
              <w:rPr>
                <w:rFonts w:ascii="Arial" w:hAnsi="Arial" w:cs="Arial"/>
                <w:sz w:val="18"/>
                <w:szCs w:val="18"/>
              </w:rPr>
              <w:t>mía</w:t>
            </w:r>
            <w:proofErr w:type="spellEnd"/>
            <w:r>
              <w:rPr>
                <w:rFonts w:ascii="Arial" w:hAnsi="Arial" w:cs="Arial"/>
                <w:sz w:val="18"/>
                <w:szCs w:val="18"/>
              </w:rPr>
              <w:t>:</w:t>
            </w:r>
          </w:p>
        </w:tc>
        <w:tc>
          <w:tcPr>
            <w:tcW w:w="5128" w:type="dxa"/>
          </w:tcPr>
          <w:p w14:paraId="465C8FC5" w14:textId="126A7DE8" w:rsidR="007D1775" w:rsidRDefault="006C69E4">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7D1775" w14:paraId="03233F52" w14:textId="77777777" w:rsidTr="00976312">
        <w:trPr>
          <w:jc w:val="center"/>
        </w:trPr>
        <w:tc>
          <w:tcPr>
            <w:tcW w:w="4114" w:type="dxa"/>
          </w:tcPr>
          <w:p w14:paraId="086456C2" w14:textId="53F83420" w:rsidR="007D1775" w:rsidRPr="006C69E4" w:rsidRDefault="00B43EE1">
            <w:pPr>
              <w:spacing w:before="40" w:after="40"/>
              <w:ind w:left="115" w:hanging="115"/>
              <w:rPr>
                <w:lang w:val="es-419"/>
              </w:rPr>
            </w:pPr>
            <w:r w:rsidRPr="006C69E4">
              <w:rPr>
                <w:rFonts w:ascii="Arial" w:hAnsi="Arial" w:cs="Arial"/>
                <w:sz w:val="18"/>
                <w:szCs w:val="18"/>
                <w:lang w:val="es-419"/>
              </w:rPr>
              <w:t>▪ N</w:t>
            </w:r>
            <w:r w:rsidR="006C69E4" w:rsidRPr="006C69E4">
              <w:rPr>
                <w:rFonts w:ascii="Arial" w:hAnsi="Arial" w:cs="Arial"/>
                <w:sz w:val="18"/>
                <w:szCs w:val="18"/>
                <w:lang w:val="es-419"/>
              </w:rPr>
              <w:t>ú</w:t>
            </w:r>
            <w:r w:rsidRPr="006C69E4">
              <w:rPr>
                <w:rFonts w:ascii="Arial" w:hAnsi="Arial" w:cs="Arial"/>
                <w:sz w:val="18"/>
                <w:szCs w:val="18"/>
                <w:lang w:val="es-419"/>
              </w:rPr>
              <w:t>mer</w:t>
            </w:r>
            <w:r w:rsidR="006C69E4" w:rsidRPr="006C69E4">
              <w:rPr>
                <w:rFonts w:ascii="Arial" w:hAnsi="Arial" w:cs="Arial"/>
                <w:sz w:val="18"/>
                <w:szCs w:val="18"/>
                <w:lang w:val="es-419"/>
              </w:rPr>
              <w:t>o</w:t>
            </w:r>
            <w:r w:rsidRPr="006C69E4">
              <w:rPr>
                <w:rFonts w:ascii="Arial" w:hAnsi="Arial" w:cs="Arial"/>
                <w:sz w:val="18"/>
                <w:szCs w:val="18"/>
                <w:lang w:val="es-419"/>
              </w:rPr>
              <w:t xml:space="preserve"> </w:t>
            </w:r>
            <w:r w:rsidR="006C69E4" w:rsidRPr="006C69E4">
              <w:rPr>
                <w:rFonts w:ascii="Arial" w:hAnsi="Arial" w:cs="Arial"/>
                <w:sz w:val="18"/>
                <w:szCs w:val="18"/>
                <w:lang w:val="es-419"/>
              </w:rPr>
              <w:t>y</w:t>
            </w:r>
            <w:r w:rsidRPr="006C69E4">
              <w:rPr>
                <w:rFonts w:ascii="Arial" w:hAnsi="Arial" w:cs="Arial"/>
                <w:sz w:val="18"/>
                <w:szCs w:val="18"/>
                <w:lang w:val="es-419"/>
              </w:rPr>
              <w:t xml:space="preserve"> n</w:t>
            </w:r>
            <w:r w:rsidR="006C69E4" w:rsidRPr="006C69E4">
              <w:rPr>
                <w:rFonts w:ascii="Arial" w:hAnsi="Arial" w:cs="Arial"/>
                <w:sz w:val="18"/>
                <w:szCs w:val="18"/>
                <w:lang w:val="es-419"/>
              </w:rPr>
              <w:t>ombre</w:t>
            </w:r>
            <w:r w:rsidRPr="006C69E4">
              <w:rPr>
                <w:rFonts w:ascii="Arial" w:hAnsi="Arial" w:cs="Arial"/>
                <w:sz w:val="18"/>
                <w:szCs w:val="18"/>
                <w:lang w:val="es-419"/>
              </w:rPr>
              <w:t xml:space="preserve"> </w:t>
            </w:r>
            <w:r w:rsidR="006C69E4" w:rsidRPr="006C69E4">
              <w:rPr>
                <w:rFonts w:ascii="Arial" w:hAnsi="Arial" w:cs="Arial"/>
                <w:sz w:val="18"/>
                <w:szCs w:val="18"/>
                <w:lang w:val="es-419"/>
              </w:rPr>
              <w:t xml:space="preserve">de la operación </w:t>
            </w:r>
            <w:r w:rsidR="006C69E4">
              <w:rPr>
                <w:rFonts w:ascii="Arial" w:hAnsi="Arial" w:cs="Arial"/>
                <w:sz w:val="18"/>
                <w:szCs w:val="18"/>
                <w:lang w:val="es-419"/>
              </w:rPr>
              <w:t>a la que apoya esta</w:t>
            </w:r>
            <w:r w:rsidRPr="006C69E4">
              <w:rPr>
                <w:rFonts w:ascii="Arial" w:hAnsi="Arial" w:cs="Arial"/>
                <w:sz w:val="18"/>
                <w:szCs w:val="18"/>
                <w:lang w:val="es-419"/>
              </w:rPr>
              <w:t xml:space="preserve"> C</w:t>
            </w:r>
            <w:r w:rsidR="006C69E4">
              <w:rPr>
                <w:rFonts w:ascii="Arial" w:hAnsi="Arial" w:cs="Arial"/>
                <w:sz w:val="18"/>
                <w:szCs w:val="18"/>
                <w:lang w:val="es-419"/>
              </w:rPr>
              <w:t>T</w:t>
            </w:r>
            <w:r w:rsidRPr="006C69E4">
              <w:rPr>
                <w:rFonts w:ascii="Arial" w:hAnsi="Arial" w:cs="Arial"/>
                <w:sz w:val="18"/>
                <w:szCs w:val="18"/>
                <w:lang w:val="es-419"/>
              </w:rPr>
              <w:t>:</w:t>
            </w:r>
          </w:p>
        </w:tc>
        <w:tc>
          <w:tcPr>
            <w:tcW w:w="5128" w:type="dxa"/>
          </w:tcPr>
          <w:p w14:paraId="0C611304" w14:textId="77777777" w:rsidR="007D1775" w:rsidRDefault="00B43EE1">
            <w:pPr>
              <w:spacing w:before="40" w:after="40"/>
            </w:pPr>
            <w:r>
              <w:rPr>
                <w:rFonts w:ascii="Arial" w:hAnsi="Arial" w:cs="Arial"/>
                <w:sz w:val="18"/>
                <w:szCs w:val="18"/>
              </w:rPr>
              <w:t>N/A</w:t>
            </w:r>
          </w:p>
        </w:tc>
      </w:tr>
      <w:tr w:rsidR="007D1775" w14:paraId="50E8E512" w14:textId="77777777" w:rsidTr="00976312">
        <w:trPr>
          <w:jc w:val="center"/>
        </w:trPr>
        <w:tc>
          <w:tcPr>
            <w:tcW w:w="4114" w:type="dxa"/>
          </w:tcPr>
          <w:p w14:paraId="7A40EF79" w14:textId="12D4E05E" w:rsidR="007D1775" w:rsidRPr="006C69E4" w:rsidRDefault="00B43EE1">
            <w:pPr>
              <w:spacing w:before="40" w:after="40"/>
              <w:ind w:left="115" w:hanging="115"/>
              <w:rPr>
                <w:lang w:val="es-419"/>
              </w:rPr>
            </w:pPr>
            <w:r w:rsidRPr="006C69E4">
              <w:rPr>
                <w:rFonts w:ascii="Arial" w:hAnsi="Arial" w:cs="Arial"/>
                <w:sz w:val="18"/>
                <w:szCs w:val="18"/>
                <w:lang w:val="es-419"/>
              </w:rPr>
              <w:t xml:space="preserve">▪ </w:t>
            </w:r>
            <w:r w:rsidR="006C69E4" w:rsidRPr="006C69E4">
              <w:rPr>
                <w:rFonts w:ascii="Arial" w:hAnsi="Arial" w:cs="Arial"/>
                <w:sz w:val="18"/>
                <w:szCs w:val="18"/>
                <w:lang w:val="es-419"/>
              </w:rPr>
              <w:t>F</w:t>
            </w:r>
            <w:r w:rsidRPr="006C69E4">
              <w:rPr>
                <w:rFonts w:ascii="Arial" w:hAnsi="Arial" w:cs="Arial"/>
                <w:sz w:val="18"/>
                <w:szCs w:val="18"/>
                <w:lang w:val="es-419"/>
              </w:rPr>
              <w:t>e</w:t>
            </w:r>
            <w:r w:rsidR="006C69E4" w:rsidRPr="006C69E4">
              <w:rPr>
                <w:rFonts w:ascii="Arial" w:hAnsi="Arial" w:cs="Arial"/>
                <w:sz w:val="18"/>
                <w:szCs w:val="18"/>
                <w:lang w:val="es-419"/>
              </w:rPr>
              <w:t>cha del</w:t>
            </w:r>
            <w:r w:rsidRPr="006C69E4">
              <w:rPr>
                <w:rFonts w:ascii="Arial" w:hAnsi="Arial" w:cs="Arial"/>
                <w:sz w:val="18"/>
                <w:szCs w:val="18"/>
                <w:lang w:val="es-419"/>
              </w:rPr>
              <w:t xml:space="preserve"> Abstract</w:t>
            </w:r>
            <w:r w:rsidR="006C69E4" w:rsidRPr="006C69E4">
              <w:rPr>
                <w:rFonts w:ascii="Arial" w:hAnsi="Arial" w:cs="Arial"/>
                <w:sz w:val="18"/>
                <w:szCs w:val="18"/>
                <w:lang w:val="es-419"/>
              </w:rPr>
              <w:t>o de CT</w:t>
            </w:r>
            <w:r w:rsidRPr="006C69E4">
              <w:rPr>
                <w:rFonts w:ascii="Arial" w:hAnsi="Arial" w:cs="Arial"/>
                <w:sz w:val="18"/>
                <w:szCs w:val="18"/>
                <w:lang w:val="es-419"/>
              </w:rPr>
              <w:t>:</w:t>
            </w:r>
          </w:p>
        </w:tc>
        <w:tc>
          <w:tcPr>
            <w:tcW w:w="5128" w:type="dxa"/>
          </w:tcPr>
          <w:p w14:paraId="282FE820" w14:textId="589AFE93" w:rsidR="007D1775" w:rsidRDefault="00B43EE1">
            <w:pPr>
              <w:spacing w:before="40" w:after="40"/>
            </w:pPr>
            <w:r>
              <w:rPr>
                <w:rFonts w:ascii="Arial" w:hAnsi="Arial" w:cs="Arial"/>
                <w:sz w:val="18"/>
                <w:szCs w:val="18"/>
              </w:rPr>
              <w:t xml:space="preserve">08 </w:t>
            </w:r>
            <w:r w:rsidR="00976312">
              <w:rPr>
                <w:rFonts w:ascii="Arial" w:hAnsi="Arial" w:cs="Arial"/>
                <w:sz w:val="18"/>
                <w:szCs w:val="18"/>
              </w:rPr>
              <w:t xml:space="preserve">de </w:t>
            </w:r>
            <w:r>
              <w:rPr>
                <w:rFonts w:ascii="Arial" w:hAnsi="Arial" w:cs="Arial"/>
                <w:sz w:val="18"/>
                <w:szCs w:val="18"/>
              </w:rPr>
              <w:t>Jul</w:t>
            </w:r>
            <w:r w:rsidR="00976312">
              <w:rPr>
                <w:rFonts w:ascii="Arial" w:hAnsi="Arial" w:cs="Arial"/>
                <w:sz w:val="18"/>
                <w:szCs w:val="18"/>
              </w:rPr>
              <w:t>io</w:t>
            </w:r>
            <w:r>
              <w:rPr>
                <w:rFonts w:ascii="Arial" w:hAnsi="Arial" w:cs="Arial"/>
                <w:sz w:val="18"/>
                <w:szCs w:val="18"/>
              </w:rPr>
              <w:t xml:space="preserve"> 2020</w:t>
            </w:r>
          </w:p>
        </w:tc>
      </w:tr>
      <w:tr w:rsidR="007D1775" w:rsidRPr="008C3601" w14:paraId="3FF0C037" w14:textId="77777777" w:rsidTr="00976312">
        <w:trPr>
          <w:jc w:val="center"/>
        </w:trPr>
        <w:tc>
          <w:tcPr>
            <w:tcW w:w="4114" w:type="dxa"/>
          </w:tcPr>
          <w:p w14:paraId="11A8CE64" w14:textId="4D9097F2"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w:t>
            </w:r>
            <w:r w:rsidR="006C69E4">
              <w:rPr>
                <w:rFonts w:ascii="Arial" w:hAnsi="Arial" w:cs="Arial"/>
                <w:sz w:val="18"/>
                <w:szCs w:val="18"/>
              </w:rPr>
              <w:t>io</w:t>
            </w:r>
            <w:proofErr w:type="spellEnd"/>
            <w:r>
              <w:rPr>
                <w:rFonts w:ascii="Arial" w:hAnsi="Arial" w:cs="Arial"/>
                <w:sz w:val="18"/>
                <w:szCs w:val="18"/>
              </w:rPr>
              <w:t>:</w:t>
            </w:r>
          </w:p>
        </w:tc>
        <w:tc>
          <w:tcPr>
            <w:tcW w:w="5128" w:type="dxa"/>
          </w:tcPr>
          <w:p w14:paraId="1402868E" w14:textId="77777777" w:rsidR="007D1775" w:rsidRPr="003C2397" w:rsidRDefault="00B43EE1">
            <w:pPr>
              <w:spacing w:before="40" w:after="40"/>
              <w:rPr>
                <w:lang w:val="es-419"/>
              </w:rPr>
            </w:pPr>
            <w:r w:rsidRPr="003C2397">
              <w:rPr>
                <w:rFonts w:ascii="Arial" w:hAnsi="Arial" w:cs="Arial"/>
                <w:sz w:val="18"/>
                <w:szCs w:val="18"/>
                <w:lang w:val="es-419"/>
              </w:rPr>
              <w:t>Ministerios de Energía de Bolivia, Chile, Colombia, Ecuador y Perú</w:t>
            </w:r>
          </w:p>
        </w:tc>
      </w:tr>
      <w:tr w:rsidR="007D1775" w:rsidRPr="008C3601" w14:paraId="2D41D792" w14:textId="77777777" w:rsidTr="00976312">
        <w:trPr>
          <w:jc w:val="center"/>
        </w:trPr>
        <w:tc>
          <w:tcPr>
            <w:tcW w:w="4114" w:type="dxa"/>
          </w:tcPr>
          <w:p w14:paraId="120AD487" w14:textId="746C8CEB"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Agenc</w:t>
            </w:r>
            <w:r w:rsidR="006C69E4">
              <w:rPr>
                <w:rFonts w:ascii="Arial" w:hAnsi="Arial" w:cs="Arial"/>
                <w:sz w:val="18"/>
                <w:szCs w:val="18"/>
              </w:rPr>
              <w:t>ia</w:t>
            </w:r>
            <w:proofErr w:type="spellEnd"/>
            <w:r w:rsidR="006C69E4">
              <w:rPr>
                <w:rFonts w:ascii="Arial" w:hAnsi="Arial" w:cs="Arial"/>
                <w:sz w:val="18"/>
                <w:szCs w:val="18"/>
              </w:rPr>
              <w:t xml:space="preserve"> </w:t>
            </w:r>
            <w:proofErr w:type="spellStart"/>
            <w:r w:rsidR="006C69E4">
              <w:rPr>
                <w:rFonts w:ascii="Arial" w:hAnsi="Arial" w:cs="Arial"/>
                <w:sz w:val="18"/>
                <w:szCs w:val="18"/>
              </w:rPr>
              <w:t>Ejecutora</w:t>
            </w:r>
            <w:proofErr w:type="spellEnd"/>
            <w:r>
              <w:rPr>
                <w:rFonts w:ascii="Arial" w:hAnsi="Arial" w:cs="Arial"/>
                <w:sz w:val="18"/>
                <w:szCs w:val="18"/>
              </w:rPr>
              <w:t>:</w:t>
            </w:r>
          </w:p>
        </w:tc>
        <w:tc>
          <w:tcPr>
            <w:tcW w:w="5128" w:type="dxa"/>
          </w:tcPr>
          <w:p w14:paraId="4487EAA7" w14:textId="20957A89" w:rsidR="007D1775" w:rsidRPr="006C69E4" w:rsidRDefault="00D05550">
            <w:pPr>
              <w:spacing w:before="40" w:after="40"/>
              <w:rPr>
                <w:lang w:val="es-419"/>
              </w:rPr>
            </w:pPr>
            <w:r w:rsidRPr="006C69E4">
              <w:rPr>
                <w:rFonts w:ascii="Arial" w:hAnsi="Arial" w:cs="Arial"/>
                <w:sz w:val="18"/>
                <w:szCs w:val="18"/>
                <w:lang w:val="es-419"/>
              </w:rPr>
              <w:t>Ban</w:t>
            </w:r>
            <w:r w:rsidR="00976312" w:rsidRPr="006C69E4">
              <w:rPr>
                <w:rFonts w:ascii="Arial" w:hAnsi="Arial" w:cs="Arial"/>
                <w:sz w:val="18"/>
                <w:szCs w:val="18"/>
                <w:lang w:val="es-419"/>
              </w:rPr>
              <w:t>co Interamericano de Desarrollo</w:t>
            </w:r>
            <w:r w:rsidR="006C69E4" w:rsidRPr="006C69E4">
              <w:rPr>
                <w:rFonts w:ascii="Arial" w:hAnsi="Arial" w:cs="Arial"/>
                <w:sz w:val="18"/>
                <w:szCs w:val="18"/>
                <w:lang w:val="es-419"/>
              </w:rPr>
              <w:t xml:space="preserve"> (BID)</w:t>
            </w:r>
          </w:p>
        </w:tc>
      </w:tr>
      <w:tr w:rsidR="007D1775" w14:paraId="190C7A8A" w14:textId="77777777" w:rsidTr="00976312">
        <w:trPr>
          <w:jc w:val="center"/>
        </w:trPr>
        <w:tc>
          <w:tcPr>
            <w:tcW w:w="4114" w:type="dxa"/>
          </w:tcPr>
          <w:p w14:paraId="51F7B9C7" w14:textId="2387965D" w:rsidR="007D1775" w:rsidRDefault="00B43EE1">
            <w:pPr>
              <w:spacing w:before="40" w:after="40"/>
              <w:ind w:left="115" w:hanging="115"/>
            </w:pPr>
            <w:r>
              <w:rPr>
                <w:rFonts w:ascii="Arial" w:hAnsi="Arial" w:cs="Arial"/>
                <w:sz w:val="18"/>
                <w:szCs w:val="18"/>
              </w:rPr>
              <w:t xml:space="preserve">▪ </w:t>
            </w:r>
            <w:proofErr w:type="spellStart"/>
            <w:r w:rsidR="006C69E4">
              <w:rPr>
                <w:rFonts w:ascii="Arial" w:hAnsi="Arial" w:cs="Arial"/>
                <w:sz w:val="18"/>
                <w:szCs w:val="18"/>
              </w:rPr>
              <w:t>Fondos</w:t>
            </w:r>
            <w:proofErr w:type="spellEnd"/>
            <w:r w:rsidR="006C69E4">
              <w:rPr>
                <w:rFonts w:ascii="Arial" w:hAnsi="Arial" w:cs="Arial"/>
                <w:sz w:val="18"/>
                <w:szCs w:val="18"/>
              </w:rPr>
              <w:t xml:space="preserve"> </w:t>
            </w:r>
            <w:proofErr w:type="spellStart"/>
            <w:r w:rsidR="006C69E4">
              <w:rPr>
                <w:rFonts w:ascii="Arial" w:hAnsi="Arial" w:cs="Arial"/>
                <w:sz w:val="18"/>
                <w:szCs w:val="18"/>
              </w:rPr>
              <w:t>solicitados</w:t>
            </w:r>
            <w:proofErr w:type="spellEnd"/>
            <w:r w:rsidR="006C69E4">
              <w:rPr>
                <w:rFonts w:ascii="Arial" w:hAnsi="Arial" w:cs="Arial"/>
                <w:sz w:val="18"/>
                <w:szCs w:val="18"/>
              </w:rPr>
              <w:t xml:space="preserve"> del BID</w:t>
            </w:r>
            <w:r>
              <w:rPr>
                <w:rFonts w:ascii="Arial" w:hAnsi="Arial" w:cs="Arial"/>
                <w:sz w:val="18"/>
                <w:szCs w:val="18"/>
              </w:rPr>
              <w:t>:</w:t>
            </w:r>
          </w:p>
        </w:tc>
        <w:tc>
          <w:tcPr>
            <w:tcW w:w="5128" w:type="dxa"/>
          </w:tcPr>
          <w:p w14:paraId="279EFAE9" w14:textId="77777777" w:rsidR="007D1775" w:rsidRDefault="00B43EE1" w:rsidP="00D05550">
            <w:pPr>
              <w:bidi/>
              <w:spacing w:before="40" w:after="40"/>
              <w:jc w:val="right"/>
            </w:pPr>
            <w:r>
              <w:rPr>
                <w:rFonts w:ascii="Arial" w:hAnsi="Arial" w:cs="Arial"/>
                <w:sz w:val="18"/>
                <w:szCs w:val="18"/>
              </w:rPr>
              <w:t>US$300,000.00</w:t>
            </w:r>
          </w:p>
        </w:tc>
      </w:tr>
      <w:tr w:rsidR="007D1775" w14:paraId="33003064" w14:textId="77777777" w:rsidTr="00976312">
        <w:trPr>
          <w:jc w:val="center"/>
        </w:trPr>
        <w:tc>
          <w:tcPr>
            <w:tcW w:w="4114" w:type="dxa"/>
          </w:tcPr>
          <w:p w14:paraId="0EC5B4F6" w14:textId="35801D16" w:rsidR="007D1775" w:rsidRDefault="00B43EE1">
            <w:pPr>
              <w:spacing w:before="40" w:after="40"/>
              <w:ind w:left="115" w:hanging="115"/>
            </w:pPr>
            <w:r>
              <w:rPr>
                <w:rFonts w:ascii="Arial" w:hAnsi="Arial" w:cs="Arial"/>
                <w:sz w:val="18"/>
                <w:szCs w:val="18"/>
              </w:rPr>
              <w:t xml:space="preserve">▪ </w:t>
            </w:r>
            <w:proofErr w:type="spellStart"/>
            <w:r w:rsidR="005C6BE7">
              <w:rPr>
                <w:rFonts w:ascii="Arial" w:hAnsi="Arial" w:cs="Arial"/>
                <w:sz w:val="18"/>
                <w:szCs w:val="18"/>
              </w:rPr>
              <w:t>Contrapartida</w:t>
            </w:r>
            <w:proofErr w:type="spellEnd"/>
            <w:r w:rsidR="005C6BE7">
              <w:rPr>
                <w:rFonts w:ascii="Arial" w:hAnsi="Arial" w:cs="Arial"/>
                <w:sz w:val="18"/>
                <w:szCs w:val="18"/>
              </w:rPr>
              <w:t xml:space="preserve"> local, </w:t>
            </w:r>
            <w:proofErr w:type="spellStart"/>
            <w:r w:rsidR="005C6BE7">
              <w:rPr>
                <w:rFonts w:ascii="Arial" w:hAnsi="Arial" w:cs="Arial"/>
                <w:sz w:val="18"/>
                <w:szCs w:val="18"/>
              </w:rPr>
              <w:t>si</w:t>
            </w:r>
            <w:proofErr w:type="spellEnd"/>
            <w:r w:rsidR="005C6BE7">
              <w:rPr>
                <w:rFonts w:ascii="Arial" w:hAnsi="Arial" w:cs="Arial"/>
                <w:sz w:val="18"/>
                <w:szCs w:val="18"/>
              </w:rPr>
              <w:t xml:space="preserve"> hay</w:t>
            </w:r>
            <w:r>
              <w:rPr>
                <w:rFonts w:ascii="Arial" w:hAnsi="Arial" w:cs="Arial"/>
                <w:sz w:val="18"/>
                <w:szCs w:val="18"/>
              </w:rPr>
              <w:t>:</w:t>
            </w:r>
          </w:p>
        </w:tc>
        <w:tc>
          <w:tcPr>
            <w:tcW w:w="5128" w:type="dxa"/>
          </w:tcPr>
          <w:p w14:paraId="51BBF704" w14:textId="77777777" w:rsidR="007D1775" w:rsidRDefault="00B43EE1" w:rsidP="00D05550">
            <w:pPr>
              <w:bidi/>
              <w:spacing w:before="40" w:after="40"/>
              <w:jc w:val="right"/>
            </w:pPr>
            <w:r>
              <w:rPr>
                <w:rFonts w:ascii="Arial" w:hAnsi="Arial" w:cs="Arial"/>
                <w:sz w:val="18"/>
                <w:szCs w:val="18"/>
              </w:rPr>
              <w:t>US$0.00</w:t>
            </w:r>
          </w:p>
        </w:tc>
      </w:tr>
      <w:tr w:rsidR="007D1775" w14:paraId="018280BF" w14:textId="77777777" w:rsidTr="0016352E">
        <w:trPr>
          <w:trHeight w:val="391"/>
          <w:jc w:val="center"/>
        </w:trPr>
        <w:tc>
          <w:tcPr>
            <w:tcW w:w="4114" w:type="dxa"/>
          </w:tcPr>
          <w:p w14:paraId="294D414C" w14:textId="07F839D9" w:rsidR="007D1775" w:rsidRPr="005C6BE7" w:rsidRDefault="00B43EE1">
            <w:pPr>
              <w:spacing w:before="40" w:after="40"/>
              <w:ind w:left="115" w:hanging="115"/>
              <w:rPr>
                <w:lang w:val="es-419"/>
              </w:rPr>
            </w:pPr>
            <w:r w:rsidRPr="005C6BE7">
              <w:rPr>
                <w:rFonts w:ascii="Arial" w:hAnsi="Arial" w:cs="Arial"/>
                <w:sz w:val="18"/>
                <w:szCs w:val="18"/>
                <w:lang w:val="es-419"/>
              </w:rPr>
              <w:t xml:space="preserve">▪ </w:t>
            </w:r>
            <w:r w:rsidR="005C6BE7" w:rsidRPr="005C6BE7">
              <w:rPr>
                <w:rFonts w:ascii="Arial" w:hAnsi="Arial" w:cs="Arial"/>
                <w:sz w:val="18"/>
                <w:szCs w:val="18"/>
                <w:lang w:val="es-419"/>
              </w:rPr>
              <w:t>Periodo de desembolso, incluye período de ejecución</w:t>
            </w:r>
            <w:r w:rsidRPr="005C6BE7">
              <w:rPr>
                <w:rFonts w:ascii="Arial" w:hAnsi="Arial" w:cs="Arial"/>
                <w:sz w:val="18"/>
                <w:szCs w:val="18"/>
                <w:lang w:val="es-419"/>
              </w:rPr>
              <w:t>:</w:t>
            </w:r>
          </w:p>
        </w:tc>
        <w:tc>
          <w:tcPr>
            <w:tcW w:w="5128" w:type="dxa"/>
          </w:tcPr>
          <w:p w14:paraId="13CED9B4" w14:textId="742B85B4" w:rsidR="007D1775" w:rsidRDefault="00B43EE1" w:rsidP="00D05550">
            <w:pPr>
              <w:bidi/>
              <w:spacing w:before="40" w:after="40"/>
              <w:jc w:val="right"/>
            </w:pPr>
            <w:r>
              <w:rPr>
                <w:rFonts w:ascii="Arial" w:hAnsi="Arial" w:cs="Arial"/>
                <w:sz w:val="18"/>
                <w:szCs w:val="18"/>
              </w:rPr>
              <w:t>36 m</w:t>
            </w:r>
            <w:r w:rsidR="005C6BE7">
              <w:rPr>
                <w:rFonts w:ascii="Arial" w:hAnsi="Arial" w:cs="Arial"/>
                <w:sz w:val="18"/>
                <w:szCs w:val="18"/>
              </w:rPr>
              <w:t>ese</w:t>
            </w:r>
            <w:r>
              <w:rPr>
                <w:rFonts w:ascii="Arial" w:hAnsi="Arial" w:cs="Arial"/>
                <w:sz w:val="18"/>
                <w:szCs w:val="18"/>
              </w:rPr>
              <w:t>s</w:t>
            </w:r>
          </w:p>
        </w:tc>
      </w:tr>
      <w:tr w:rsidR="007D1775" w:rsidRPr="008C3601" w14:paraId="13B08D65" w14:textId="77777777" w:rsidTr="00976312">
        <w:trPr>
          <w:jc w:val="center"/>
        </w:trPr>
        <w:tc>
          <w:tcPr>
            <w:tcW w:w="4114" w:type="dxa"/>
          </w:tcPr>
          <w:p w14:paraId="0691D544" w14:textId="4126A1B9" w:rsidR="007D1775" w:rsidRDefault="00B43EE1">
            <w:pPr>
              <w:spacing w:before="40" w:after="40"/>
              <w:ind w:left="115" w:hanging="115"/>
            </w:pPr>
            <w:r>
              <w:rPr>
                <w:rFonts w:ascii="Arial" w:hAnsi="Arial" w:cs="Arial"/>
                <w:sz w:val="18"/>
                <w:szCs w:val="18"/>
              </w:rPr>
              <w:t xml:space="preserve">▪ </w:t>
            </w:r>
            <w:proofErr w:type="spellStart"/>
            <w:r>
              <w:rPr>
                <w:rFonts w:ascii="Arial" w:hAnsi="Arial" w:cs="Arial"/>
                <w:sz w:val="18"/>
                <w:szCs w:val="18"/>
              </w:rPr>
              <w:t>T</w:t>
            </w:r>
            <w:r w:rsidR="005C6BE7">
              <w:rPr>
                <w:rFonts w:ascii="Arial" w:hAnsi="Arial" w:cs="Arial"/>
                <w:sz w:val="18"/>
                <w:szCs w:val="18"/>
              </w:rPr>
              <w:t>ipo</w:t>
            </w:r>
            <w:r>
              <w:rPr>
                <w:rFonts w:ascii="Arial" w:hAnsi="Arial" w:cs="Arial"/>
                <w:sz w:val="18"/>
                <w:szCs w:val="18"/>
              </w:rPr>
              <w:t>s</w:t>
            </w:r>
            <w:proofErr w:type="spellEnd"/>
            <w:r>
              <w:rPr>
                <w:rFonts w:ascii="Arial" w:hAnsi="Arial" w:cs="Arial"/>
                <w:sz w:val="18"/>
                <w:szCs w:val="18"/>
              </w:rPr>
              <w:t xml:space="preserve"> </w:t>
            </w:r>
            <w:r w:rsidR="005C6BE7">
              <w:rPr>
                <w:rFonts w:ascii="Arial" w:hAnsi="Arial" w:cs="Arial"/>
                <w:sz w:val="18"/>
                <w:szCs w:val="18"/>
              </w:rPr>
              <w:t>de</w:t>
            </w:r>
            <w:r>
              <w:rPr>
                <w:rFonts w:ascii="Arial" w:hAnsi="Arial" w:cs="Arial"/>
                <w:sz w:val="18"/>
                <w:szCs w:val="18"/>
              </w:rPr>
              <w:t xml:space="preserve"> </w:t>
            </w:r>
            <w:proofErr w:type="spellStart"/>
            <w:r>
              <w:rPr>
                <w:rFonts w:ascii="Arial" w:hAnsi="Arial" w:cs="Arial"/>
                <w:sz w:val="18"/>
                <w:szCs w:val="18"/>
              </w:rPr>
              <w:t>consult</w:t>
            </w:r>
            <w:r w:rsidR="005C6BE7">
              <w:rPr>
                <w:rFonts w:ascii="Arial" w:hAnsi="Arial" w:cs="Arial"/>
                <w:sz w:val="18"/>
                <w:szCs w:val="18"/>
              </w:rPr>
              <w:t>ores</w:t>
            </w:r>
            <w:proofErr w:type="spellEnd"/>
            <w:r>
              <w:rPr>
                <w:rFonts w:ascii="Arial" w:hAnsi="Arial" w:cs="Arial"/>
                <w:sz w:val="18"/>
                <w:szCs w:val="18"/>
              </w:rPr>
              <w:t>:</w:t>
            </w:r>
          </w:p>
        </w:tc>
        <w:tc>
          <w:tcPr>
            <w:tcW w:w="5128" w:type="dxa"/>
          </w:tcPr>
          <w:p w14:paraId="23AF35D2" w14:textId="4DD94F05" w:rsidR="007D1775" w:rsidRPr="005C6BE7" w:rsidRDefault="005C6BE7">
            <w:pPr>
              <w:spacing w:before="40" w:after="40"/>
              <w:rPr>
                <w:lang w:val="es-419"/>
              </w:rPr>
            </w:pPr>
            <w:r w:rsidRPr="005C6BE7">
              <w:rPr>
                <w:rFonts w:ascii="Arial" w:hAnsi="Arial" w:cs="Arial"/>
                <w:sz w:val="18"/>
                <w:szCs w:val="18"/>
                <w:lang w:val="es-419"/>
              </w:rPr>
              <w:t xml:space="preserve">Consultores </w:t>
            </w:r>
            <w:r w:rsidR="00B43EE1" w:rsidRPr="005C6BE7">
              <w:rPr>
                <w:rFonts w:ascii="Arial" w:hAnsi="Arial" w:cs="Arial"/>
                <w:sz w:val="18"/>
                <w:szCs w:val="18"/>
                <w:lang w:val="es-419"/>
              </w:rPr>
              <w:t>Individual</w:t>
            </w:r>
            <w:r w:rsidRPr="005C6BE7">
              <w:rPr>
                <w:rFonts w:ascii="Arial" w:hAnsi="Arial" w:cs="Arial"/>
                <w:sz w:val="18"/>
                <w:szCs w:val="18"/>
                <w:lang w:val="es-419"/>
              </w:rPr>
              <w:t>e</w:t>
            </w:r>
            <w:r w:rsidR="00B43EE1" w:rsidRPr="005C6BE7">
              <w:rPr>
                <w:rFonts w:ascii="Arial" w:hAnsi="Arial" w:cs="Arial"/>
                <w:sz w:val="18"/>
                <w:szCs w:val="18"/>
                <w:lang w:val="es-419"/>
              </w:rPr>
              <w:t xml:space="preserve">s; </w:t>
            </w:r>
            <w:r w:rsidRPr="005C6BE7">
              <w:rPr>
                <w:rFonts w:ascii="Arial" w:hAnsi="Arial" w:cs="Arial"/>
                <w:sz w:val="18"/>
                <w:szCs w:val="18"/>
                <w:lang w:val="es-419"/>
              </w:rPr>
              <w:t xml:space="preserve">y </w:t>
            </w:r>
            <w:r w:rsidR="00B43EE1" w:rsidRPr="005C6BE7">
              <w:rPr>
                <w:rFonts w:ascii="Arial" w:hAnsi="Arial" w:cs="Arial"/>
                <w:sz w:val="18"/>
                <w:szCs w:val="18"/>
                <w:lang w:val="es-419"/>
              </w:rPr>
              <w:t>Firm</w:t>
            </w:r>
            <w:r w:rsidRPr="005C6BE7">
              <w:rPr>
                <w:rFonts w:ascii="Arial" w:hAnsi="Arial" w:cs="Arial"/>
                <w:sz w:val="18"/>
                <w:szCs w:val="18"/>
                <w:lang w:val="es-419"/>
              </w:rPr>
              <w:t>a</w:t>
            </w:r>
            <w:r w:rsidR="00B43EE1" w:rsidRPr="005C6BE7">
              <w:rPr>
                <w:rFonts w:ascii="Arial" w:hAnsi="Arial" w:cs="Arial"/>
                <w:sz w:val="18"/>
                <w:szCs w:val="18"/>
                <w:lang w:val="es-419"/>
              </w:rPr>
              <w:t>s</w:t>
            </w:r>
            <w:r w:rsidRPr="005C6BE7">
              <w:rPr>
                <w:rFonts w:ascii="Arial" w:hAnsi="Arial" w:cs="Arial"/>
                <w:sz w:val="18"/>
                <w:szCs w:val="18"/>
                <w:lang w:val="es-419"/>
              </w:rPr>
              <w:t xml:space="preserve"> Co</w:t>
            </w:r>
            <w:r>
              <w:rPr>
                <w:rFonts w:ascii="Arial" w:hAnsi="Arial" w:cs="Arial"/>
                <w:sz w:val="18"/>
                <w:szCs w:val="18"/>
                <w:lang w:val="es-419"/>
              </w:rPr>
              <w:t>nsultoras</w:t>
            </w:r>
          </w:p>
        </w:tc>
      </w:tr>
      <w:tr w:rsidR="007D1775" w:rsidRPr="008C3601" w14:paraId="4294F2FA" w14:textId="77777777" w:rsidTr="00976312">
        <w:trPr>
          <w:jc w:val="center"/>
        </w:trPr>
        <w:tc>
          <w:tcPr>
            <w:tcW w:w="4114" w:type="dxa"/>
          </w:tcPr>
          <w:p w14:paraId="772D168B" w14:textId="6E58FEFD" w:rsidR="007D1775" w:rsidRDefault="00B43EE1">
            <w:pPr>
              <w:spacing w:before="40" w:after="40"/>
              <w:ind w:left="115" w:hanging="115"/>
            </w:pPr>
            <w:r>
              <w:rPr>
                <w:rFonts w:ascii="Arial" w:hAnsi="Arial" w:cs="Arial"/>
                <w:sz w:val="18"/>
                <w:szCs w:val="18"/>
              </w:rPr>
              <w:t xml:space="preserve">▪ </w:t>
            </w:r>
            <w:r w:rsidR="002F23E0">
              <w:rPr>
                <w:rFonts w:ascii="Arial" w:hAnsi="Arial" w:cs="Arial"/>
                <w:sz w:val="18"/>
                <w:szCs w:val="18"/>
              </w:rPr>
              <w:t xml:space="preserve">Unidad de </w:t>
            </w:r>
            <w:proofErr w:type="spellStart"/>
            <w:r>
              <w:rPr>
                <w:rFonts w:ascii="Arial" w:hAnsi="Arial" w:cs="Arial"/>
                <w:sz w:val="18"/>
                <w:szCs w:val="18"/>
              </w:rPr>
              <w:t>Prepa</w:t>
            </w:r>
            <w:r w:rsidR="005C6BE7">
              <w:rPr>
                <w:rFonts w:ascii="Arial" w:hAnsi="Arial" w:cs="Arial"/>
                <w:sz w:val="18"/>
                <w:szCs w:val="18"/>
              </w:rPr>
              <w:t>ra</w:t>
            </w:r>
            <w:r w:rsidR="002F23E0">
              <w:rPr>
                <w:rFonts w:ascii="Arial" w:hAnsi="Arial" w:cs="Arial"/>
                <w:sz w:val="18"/>
                <w:szCs w:val="18"/>
              </w:rPr>
              <w:t>ción</w:t>
            </w:r>
            <w:proofErr w:type="spellEnd"/>
            <w:r>
              <w:rPr>
                <w:rFonts w:ascii="Arial" w:hAnsi="Arial" w:cs="Arial"/>
                <w:sz w:val="18"/>
                <w:szCs w:val="18"/>
              </w:rPr>
              <w:t>:</w:t>
            </w:r>
          </w:p>
        </w:tc>
        <w:tc>
          <w:tcPr>
            <w:tcW w:w="5128" w:type="dxa"/>
          </w:tcPr>
          <w:p w14:paraId="17C6D98F" w14:textId="1C61B78C" w:rsidR="007D1775" w:rsidRPr="002F23E0" w:rsidRDefault="00B43EE1">
            <w:pPr>
              <w:spacing w:before="40" w:after="40"/>
              <w:rPr>
                <w:lang w:val="es-419"/>
              </w:rPr>
            </w:pPr>
            <w:r w:rsidRPr="002F23E0">
              <w:rPr>
                <w:rFonts w:ascii="Arial" w:hAnsi="Arial" w:cs="Arial"/>
                <w:sz w:val="18"/>
                <w:szCs w:val="18"/>
                <w:lang w:val="es-419"/>
              </w:rPr>
              <w:t xml:space="preserve">INE/ENE </w:t>
            </w:r>
            <w:r w:rsidR="002F23E0" w:rsidRPr="002F23E0">
              <w:rPr>
                <w:rFonts w:ascii="Arial" w:hAnsi="Arial" w:cs="Arial"/>
                <w:sz w:val="18"/>
                <w:szCs w:val="18"/>
                <w:lang w:val="es-419"/>
              </w:rPr>
              <w:t>–</w:t>
            </w:r>
            <w:r w:rsidRPr="002F23E0">
              <w:rPr>
                <w:rFonts w:ascii="Arial" w:hAnsi="Arial" w:cs="Arial"/>
                <w:sz w:val="18"/>
                <w:szCs w:val="18"/>
                <w:lang w:val="es-419"/>
              </w:rPr>
              <w:t xml:space="preserve"> </w:t>
            </w:r>
            <w:r w:rsidR="002F23E0" w:rsidRPr="002F23E0">
              <w:rPr>
                <w:rFonts w:ascii="Arial" w:hAnsi="Arial" w:cs="Arial"/>
                <w:sz w:val="18"/>
                <w:szCs w:val="18"/>
                <w:lang w:val="es-419"/>
              </w:rPr>
              <w:t>División de E</w:t>
            </w:r>
            <w:r w:rsidR="002F23E0">
              <w:rPr>
                <w:rFonts w:ascii="Arial" w:hAnsi="Arial" w:cs="Arial"/>
                <w:sz w:val="18"/>
                <w:szCs w:val="18"/>
                <w:lang w:val="es-419"/>
              </w:rPr>
              <w:t>nergía</w:t>
            </w:r>
          </w:p>
        </w:tc>
      </w:tr>
      <w:tr w:rsidR="007D1775" w14:paraId="23BBCA67" w14:textId="77777777" w:rsidTr="00976312">
        <w:trPr>
          <w:jc w:val="center"/>
        </w:trPr>
        <w:tc>
          <w:tcPr>
            <w:tcW w:w="4114" w:type="dxa"/>
          </w:tcPr>
          <w:p w14:paraId="673A4B37" w14:textId="114D60CF" w:rsidR="007D1775" w:rsidRDefault="00B43EE1">
            <w:pPr>
              <w:spacing w:before="40" w:after="40"/>
              <w:ind w:left="115" w:hanging="115"/>
            </w:pPr>
            <w:r>
              <w:rPr>
                <w:rFonts w:ascii="Arial" w:hAnsi="Arial" w:cs="Arial"/>
                <w:sz w:val="18"/>
                <w:szCs w:val="18"/>
              </w:rPr>
              <w:t>▪ Uni</w:t>
            </w:r>
            <w:r w:rsidR="002F23E0">
              <w:rPr>
                <w:rFonts w:ascii="Arial" w:hAnsi="Arial" w:cs="Arial"/>
                <w:sz w:val="18"/>
                <w:szCs w:val="18"/>
              </w:rPr>
              <w:t xml:space="preserve">dad </w:t>
            </w:r>
            <w:proofErr w:type="spellStart"/>
            <w:r w:rsidR="002F23E0">
              <w:rPr>
                <w:rFonts w:ascii="Arial" w:hAnsi="Arial" w:cs="Arial"/>
                <w:sz w:val="18"/>
                <w:szCs w:val="18"/>
              </w:rPr>
              <w:t>Responsable</w:t>
            </w:r>
            <w:proofErr w:type="spellEnd"/>
            <w:r w:rsidR="002F23E0">
              <w:rPr>
                <w:rFonts w:ascii="Arial" w:hAnsi="Arial" w:cs="Arial"/>
                <w:sz w:val="18"/>
                <w:szCs w:val="18"/>
              </w:rPr>
              <w:t xml:space="preserve"> del </w:t>
            </w:r>
            <w:proofErr w:type="spellStart"/>
            <w:r w:rsidR="002F23E0">
              <w:rPr>
                <w:rFonts w:ascii="Arial" w:hAnsi="Arial" w:cs="Arial"/>
                <w:sz w:val="18"/>
                <w:szCs w:val="18"/>
              </w:rPr>
              <w:t>Desembolso</w:t>
            </w:r>
            <w:proofErr w:type="spellEnd"/>
            <w:r>
              <w:rPr>
                <w:rFonts w:ascii="Arial" w:hAnsi="Arial" w:cs="Arial"/>
                <w:sz w:val="18"/>
                <w:szCs w:val="18"/>
              </w:rPr>
              <w:t>:</w:t>
            </w:r>
          </w:p>
        </w:tc>
        <w:tc>
          <w:tcPr>
            <w:tcW w:w="5128" w:type="dxa"/>
          </w:tcPr>
          <w:p w14:paraId="42647A7C" w14:textId="3E108AA7" w:rsidR="007D1775" w:rsidRDefault="00B43EE1">
            <w:pPr>
              <w:spacing w:before="40" w:after="40"/>
            </w:pPr>
            <w:r>
              <w:rPr>
                <w:rFonts w:ascii="Arial" w:hAnsi="Arial" w:cs="Arial"/>
                <w:sz w:val="18"/>
                <w:szCs w:val="18"/>
              </w:rPr>
              <w:t xml:space="preserve">INE </w:t>
            </w:r>
            <w:r w:rsidR="002F23E0" w:rsidRPr="002F23E0">
              <w:rPr>
                <w:rFonts w:ascii="Arial" w:hAnsi="Arial" w:cs="Arial"/>
                <w:sz w:val="18"/>
                <w:szCs w:val="18"/>
                <w:lang w:val="es-419"/>
              </w:rPr>
              <w:t>–</w:t>
            </w:r>
            <w:r>
              <w:rPr>
                <w:rFonts w:ascii="Arial" w:hAnsi="Arial" w:cs="Arial"/>
                <w:sz w:val="18"/>
                <w:szCs w:val="18"/>
              </w:rPr>
              <w:t xml:space="preserve"> </w:t>
            </w:r>
            <w:r w:rsidR="002F23E0">
              <w:rPr>
                <w:rFonts w:ascii="Arial" w:hAnsi="Arial" w:cs="Arial"/>
                <w:sz w:val="18"/>
                <w:szCs w:val="18"/>
              </w:rPr>
              <w:t xml:space="preserve">Sector de </w:t>
            </w:r>
            <w:proofErr w:type="spellStart"/>
            <w:r w:rsidR="002F23E0">
              <w:rPr>
                <w:rFonts w:ascii="Arial" w:hAnsi="Arial" w:cs="Arial"/>
                <w:sz w:val="18"/>
                <w:szCs w:val="18"/>
              </w:rPr>
              <w:t>Infraestructura</w:t>
            </w:r>
            <w:proofErr w:type="spellEnd"/>
            <w:r w:rsidR="002F23E0">
              <w:rPr>
                <w:rFonts w:ascii="Arial" w:hAnsi="Arial" w:cs="Arial"/>
                <w:sz w:val="18"/>
                <w:szCs w:val="18"/>
              </w:rPr>
              <w:t xml:space="preserve"> e </w:t>
            </w:r>
            <w:proofErr w:type="spellStart"/>
            <w:r w:rsidR="002F23E0">
              <w:rPr>
                <w:rFonts w:ascii="Arial" w:hAnsi="Arial" w:cs="Arial"/>
                <w:sz w:val="18"/>
                <w:szCs w:val="18"/>
              </w:rPr>
              <w:t>Energía</w:t>
            </w:r>
            <w:proofErr w:type="spellEnd"/>
          </w:p>
        </w:tc>
      </w:tr>
      <w:tr w:rsidR="007D1775" w14:paraId="797E21C8" w14:textId="77777777" w:rsidTr="00976312">
        <w:trPr>
          <w:jc w:val="center"/>
        </w:trPr>
        <w:tc>
          <w:tcPr>
            <w:tcW w:w="4114" w:type="dxa"/>
          </w:tcPr>
          <w:p w14:paraId="7650A5B6" w14:textId="4613D214" w:rsidR="007D1775" w:rsidRPr="002F23E0" w:rsidRDefault="00B43EE1">
            <w:pPr>
              <w:spacing w:before="40" w:after="40"/>
              <w:rPr>
                <w:lang w:val="es-419"/>
              </w:rPr>
            </w:pPr>
            <w:r w:rsidRPr="002F23E0">
              <w:rPr>
                <w:rFonts w:ascii="Arial" w:hAnsi="Arial" w:cs="Arial"/>
                <w:sz w:val="18"/>
                <w:szCs w:val="18"/>
                <w:lang w:val="es-419"/>
              </w:rPr>
              <w:t>▪ C</w:t>
            </w:r>
            <w:r w:rsidR="0016352E">
              <w:rPr>
                <w:rFonts w:ascii="Arial" w:hAnsi="Arial" w:cs="Arial"/>
                <w:sz w:val="18"/>
                <w:szCs w:val="18"/>
                <w:lang w:val="es-419"/>
              </w:rPr>
              <w:t>T</w:t>
            </w:r>
            <w:r w:rsidRPr="002F23E0">
              <w:rPr>
                <w:rFonts w:ascii="Arial" w:hAnsi="Arial" w:cs="Arial"/>
                <w:sz w:val="18"/>
                <w:szCs w:val="18"/>
                <w:lang w:val="es-419"/>
              </w:rPr>
              <w:t xml:space="preserve"> </w:t>
            </w:r>
            <w:r w:rsidR="0016352E" w:rsidRPr="002F23E0">
              <w:rPr>
                <w:rFonts w:ascii="Arial" w:hAnsi="Arial" w:cs="Arial"/>
                <w:sz w:val="18"/>
                <w:szCs w:val="18"/>
                <w:lang w:val="es-419"/>
              </w:rPr>
              <w:t>inclu</w:t>
            </w:r>
            <w:r w:rsidR="0016352E">
              <w:rPr>
                <w:rFonts w:ascii="Arial" w:hAnsi="Arial" w:cs="Arial"/>
                <w:sz w:val="18"/>
                <w:szCs w:val="18"/>
                <w:lang w:val="es-419"/>
              </w:rPr>
              <w:t>i</w:t>
            </w:r>
            <w:r w:rsidR="0016352E" w:rsidRPr="002F23E0">
              <w:rPr>
                <w:rFonts w:ascii="Arial" w:hAnsi="Arial" w:cs="Arial"/>
                <w:sz w:val="18"/>
                <w:szCs w:val="18"/>
                <w:lang w:val="es-419"/>
              </w:rPr>
              <w:t>d</w:t>
            </w:r>
            <w:r w:rsidR="0016352E">
              <w:rPr>
                <w:rFonts w:ascii="Arial" w:hAnsi="Arial" w:cs="Arial"/>
                <w:sz w:val="18"/>
                <w:szCs w:val="18"/>
                <w:lang w:val="es-419"/>
              </w:rPr>
              <w:t>a</w:t>
            </w:r>
            <w:r w:rsidRPr="002F23E0">
              <w:rPr>
                <w:rFonts w:ascii="Arial" w:hAnsi="Arial" w:cs="Arial"/>
                <w:sz w:val="18"/>
                <w:szCs w:val="18"/>
                <w:lang w:val="es-419"/>
              </w:rPr>
              <w:t xml:space="preserve"> </w:t>
            </w:r>
            <w:r w:rsidR="002F23E0" w:rsidRPr="002F23E0">
              <w:rPr>
                <w:rFonts w:ascii="Arial" w:hAnsi="Arial" w:cs="Arial"/>
                <w:sz w:val="18"/>
                <w:szCs w:val="18"/>
                <w:lang w:val="es-419"/>
              </w:rPr>
              <w:t>en la Estrategia País</w:t>
            </w:r>
            <w:r w:rsidRPr="002F23E0">
              <w:rPr>
                <w:rFonts w:ascii="Arial" w:hAnsi="Arial" w:cs="Arial"/>
                <w:sz w:val="18"/>
                <w:szCs w:val="18"/>
                <w:lang w:val="es-419"/>
              </w:rPr>
              <w:t xml:space="preserve"> (</w:t>
            </w:r>
            <w:r w:rsidR="002F23E0" w:rsidRPr="002F23E0">
              <w:rPr>
                <w:rFonts w:ascii="Arial" w:hAnsi="Arial" w:cs="Arial"/>
                <w:sz w:val="18"/>
                <w:szCs w:val="18"/>
                <w:lang w:val="es-419"/>
              </w:rPr>
              <w:t>s</w:t>
            </w:r>
            <w:r w:rsidRPr="002F23E0">
              <w:rPr>
                <w:rFonts w:ascii="Arial" w:hAnsi="Arial" w:cs="Arial"/>
                <w:sz w:val="18"/>
                <w:szCs w:val="18"/>
                <w:lang w:val="es-419"/>
              </w:rPr>
              <w:t>/n):</w:t>
            </w:r>
            <w:r w:rsidRPr="002F23E0">
              <w:rPr>
                <w:rFonts w:ascii="Arial" w:hAnsi="Arial" w:cs="Arial"/>
                <w:sz w:val="18"/>
                <w:szCs w:val="18"/>
                <w:lang w:val="es-419"/>
              </w:rPr>
              <w:br/>
              <w:t>▪ C</w:t>
            </w:r>
            <w:r w:rsidR="0016352E">
              <w:rPr>
                <w:rFonts w:ascii="Arial" w:hAnsi="Arial" w:cs="Arial"/>
                <w:sz w:val="18"/>
                <w:szCs w:val="18"/>
                <w:lang w:val="es-419"/>
              </w:rPr>
              <w:t>T</w:t>
            </w:r>
            <w:r w:rsidRPr="002F23E0">
              <w:rPr>
                <w:rFonts w:ascii="Arial" w:hAnsi="Arial" w:cs="Arial"/>
                <w:sz w:val="18"/>
                <w:szCs w:val="18"/>
                <w:lang w:val="es-419"/>
              </w:rPr>
              <w:t xml:space="preserve"> inclu</w:t>
            </w:r>
            <w:r w:rsidR="0016352E">
              <w:rPr>
                <w:rFonts w:ascii="Arial" w:hAnsi="Arial" w:cs="Arial"/>
                <w:sz w:val="18"/>
                <w:szCs w:val="18"/>
                <w:lang w:val="es-419"/>
              </w:rPr>
              <w:t>i</w:t>
            </w:r>
            <w:r w:rsidRPr="002F23E0">
              <w:rPr>
                <w:rFonts w:ascii="Arial" w:hAnsi="Arial" w:cs="Arial"/>
                <w:sz w:val="18"/>
                <w:szCs w:val="18"/>
                <w:lang w:val="es-419"/>
              </w:rPr>
              <w:t>d</w:t>
            </w:r>
            <w:r w:rsidR="0016352E">
              <w:rPr>
                <w:rFonts w:ascii="Arial" w:hAnsi="Arial" w:cs="Arial"/>
                <w:sz w:val="18"/>
                <w:szCs w:val="18"/>
                <w:lang w:val="es-419"/>
              </w:rPr>
              <w:t>a</w:t>
            </w:r>
            <w:r w:rsidRPr="002F23E0">
              <w:rPr>
                <w:rFonts w:ascii="Arial" w:hAnsi="Arial" w:cs="Arial"/>
                <w:sz w:val="18"/>
                <w:szCs w:val="18"/>
                <w:lang w:val="es-419"/>
              </w:rPr>
              <w:t xml:space="preserve"> </w:t>
            </w:r>
            <w:r w:rsidR="0016352E">
              <w:rPr>
                <w:rFonts w:ascii="Arial" w:hAnsi="Arial" w:cs="Arial"/>
                <w:sz w:val="18"/>
                <w:szCs w:val="18"/>
                <w:lang w:val="es-419"/>
              </w:rPr>
              <w:t>e</w:t>
            </w:r>
            <w:r w:rsidRPr="002F23E0">
              <w:rPr>
                <w:rFonts w:ascii="Arial" w:hAnsi="Arial" w:cs="Arial"/>
                <w:sz w:val="18"/>
                <w:szCs w:val="18"/>
                <w:lang w:val="es-419"/>
              </w:rPr>
              <w:t>n CPD (</w:t>
            </w:r>
            <w:r w:rsidR="0016352E">
              <w:rPr>
                <w:rFonts w:ascii="Arial" w:hAnsi="Arial" w:cs="Arial"/>
                <w:sz w:val="18"/>
                <w:szCs w:val="18"/>
                <w:lang w:val="es-419"/>
              </w:rPr>
              <w:t>s</w:t>
            </w:r>
            <w:r w:rsidRPr="002F23E0">
              <w:rPr>
                <w:rFonts w:ascii="Arial" w:hAnsi="Arial" w:cs="Arial"/>
                <w:sz w:val="18"/>
                <w:szCs w:val="18"/>
                <w:lang w:val="es-419"/>
              </w:rPr>
              <w:t>/n):</w:t>
            </w:r>
          </w:p>
        </w:tc>
        <w:tc>
          <w:tcPr>
            <w:tcW w:w="5128" w:type="dxa"/>
          </w:tcPr>
          <w:p w14:paraId="0EF21E39" w14:textId="2916BC64" w:rsidR="007D1775" w:rsidRDefault="00B43EE1">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7D1775" w14:paraId="5F2161D8" w14:textId="77777777" w:rsidTr="00976312">
        <w:trPr>
          <w:jc w:val="center"/>
        </w:trPr>
        <w:tc>
          <w:tcPr>
            <w:tcW w:w="4114" w:type="dxa"/>
          </w:tcPr>
          <w:p w14:paraId="76E2F4E2" w14:textId="42EB0F84" w:rsidR="007D1775" w:rsidRPr="00422022" w:rsidRDefault="00B43EE1">
            <w:pPr>
              <w:spacing w:before="40" w:after="40"/>
              <w:ind w:left="115" w:hanging="115"/>
              <w:rPr>
                <w:lang w:val="es-419"/>
              </w:rPr>
            </w:pPr>
            <w:r w:rsidRPr="00422022">
              <w:rPr>
                <w:rFonts w:ascii="Arial" w:hAnsi="Arial" w:cs="Arial"/>
                <w:sz w:val="18"/>
                <w:szCs w:val="18"/>
                <w:lang w:val="es-419"/>
              </w:rPr>
              <w:t>▪ Alin</w:t>
            </w:r>
            <w:r w:rsidR="00422022" w:rsidRPr="00422022">
              <w:rPr>
                <w:rFonts w:ascii="Arial" w:hAnsi="Arial" w:cs="Arial"/>
                <w:sz w:val="18"/>
                <w:szCs w:val="18"/>
                <w:lang w:val="es-419"/>
              </w:rPr>
              <w:t>eación a la Actualización de la Estrategia Institucio</w:t>
            </w:r>
            <w:r w:rsidR="00422022">
              <w:rPr>
                <w:rFonts w:ascii="Arial" w:hAnsi="Arial" w:cs="Arial"/>
                <w:sz w:val="18"/>
                <w:szCs w:val="18"/>
                <w:lang w:val="es-419"/>
              </w:rPr>
              <w:t>nal</w:t>
            </w:r>
            <w:r w:rsidRPr="00422022">
              <w:rPr>
                <w:rFonts w:ascii="Arial" w:hAnsi="Arial" w:cs="Arial"/>
                <w:sz w:val="18"/>
                <w:szCs w:val="18"/>
                <w:lang w:val="es-419"/>
              </w:rPr>
              <w:t>:</w:t>
            </w:r>
          </w:p>
        </w:tc>
        <w:tc>
          <w:tcPr>
            <w:tcW w:w="5128" w:type="dxa"/>
          </w:tcPr>
          <w:p w14:paraId="7BD96C6C" w14:textId="4E69EA39" w:rsidR="007D1775" w:rsidRDefault="000C19F2" w:rsidP="000C19F2">
            <w:pPr>
              <w:spacing w:before="40" w:after="40"/>
              <w:ind w:left="115" w:hanging="115"/>
            </w:pPr>
            <w:r w:rsidRPr="000C19F2">
              <w:rPr>
                <w:rFonts w:ascii="Arial" w:hAnsi="Arial" w:cs="Arial"/>
                <w:sz w:val="18"/>
                <w:szCs w:val="18"/>
                <w:lang w:val="es-419"/>
              </w:rPr>
              <w:t>Integración Económica</w:t>
            </w:r>
          </w:p>
        </w:tc>
      </w:tr>
    </w:tbl>
    <w:p w14:paraId="15B7B61C" w14:textId="3BDD50D8" w:rsidR="007D1775" w:rsidRDefault="00B43EE1" w:rsidP="00976312">
      <w:pPr>
        <w:spacing w:before="240" w:after="120"/>
        <w:ind w:left="576" w:hanging="576"/>
      </w:pPr>
      <w:r>
        <w:rPr>
          <w:rFonts w:ascii="Arial" w:hAnsi="Arial" w:cs="Arial"/>
          <w:b/>
        </w:rPr>
        <w:t>II.</w:t>
      </w:r>
      <w:r>
        <w:rPr>
          <w:rFonts w:ascii="Arial" w:hAnsi="Arial" w:cs="Arial"/>
          <w:b/>
        </w:rPr>
        <w:tab/>
      </w:r>
      <w:proofErr w:type="spellStart"/>
      <w:r>
        <w:rPr>
          <w:rFonts w:ascii="Arial" w:hAnsi="Arial" w:cs="Arial"/>
          <w:b/>
        </w:rPr>
        <w:t>Objectiv</w:t>
      </w:r>
      <w:r w:rsidR="00DF5F86">
        <w:rPr>
          <w:rFonts w:ascii="Arial" w:hAnsi="Arial" w:cs="Arial"/>
          <w:b/>
        </w:rPr>
        <w:t>os</w:t>
      </w:r>
      <w:proofErr w:type="spellEnd"/>
      <w:r>
        <w:rPr>
          <w:rFonts w:ascii="Arial" w:hAnsi="Arial" w:cs="Arial"/>
          <w:b/>
        </w:rPr>
        <w:t xml:space="preserve"> </w:t>
      </w:r>
      <w:r w:rsidR="00DF5F86">
        <w:rPr>
          <w:rFonts w:ascii="Arial" w:hAnsi="Arial" w:cs="Arial"/>
          <w:b/>
        </w:rPr>
        <w:t>y</w:t>
      </w:r>
      <w:r>
        <w:rPr>
          <w:rFonts w:ascii="Arial" w:hAnsi="Arial" w:cs="Arial"/>
          <w:b/>
        </w:rPr>
        <w:t xml:space="preserve"> </w:t>
      </w:r>
      <w:proofErr w:type="spellStart"/>
      <w:r>
        <w:rPr>
          <w:rFonts w:ascii="Arial" w:hAnsi="Arial" w:cs="Arial"/>
          <w:b/>
        </w:rPr>
        <w:t>Justifica</w:t>
      </w:r>
      <w:r w:rsidR="00DF5F86">
        <w:rPr>
          <w:rFonts w:ascii="Arial" w:hAnsi="Arial" w:cs="Arial"/>
          <w:b/>
        </w:rPr>
        <w:t>ción</w:t>
      </w:r>
      <w:proofErr w:type="spellEnd"/>
    </w:p>
    <w:p w14:paraId="43D20F09" w14:textId="27C84314" w:rsidR="007D1775" w:rsidRPr="00C336B7" w:rsidRDefault="00B43EE1">
      <w:pPr>
        <w:spacing w:before="120" w:after="120"/>
        <w:ind w:left="579" w:hanging="579"/>
        <w:jc w:val="both"/>
        <w:rPr>
          <w:lang w:val="es-419"/>
        </w:rPr>
      </w:pPr>
      <w:r w:rsidRPr="00C336B7">
        <w:rPr>
          <w:rFonts w:ascii="Arial" w:hAnsi="Arial" w:cs="Arial"/>
          <w:lang w:val="es-419"/>
        </w:rPr>
        <w:t>2.1</w:t>
      </w:r>
      <w:r w:rsidRPr="00C336B7">
        <w:rPr>
          <w:rFonts w:ascii="Arial" w:hAnsi="Arial" w:cs="Arial"/>
          <w:lang w:val="es-419"/>
        </w:rPr>
        <w:tab/>
      </w:r>
      <w:r w:rsidR="00F403C8" w:rsidRPr="00C336B7">
        <w:rPr>
          <w:rFonts w:ascii="Arial" w:hAnsi="Arial" w:cs="Arial"/>
          <w:lang w:val="es-419"/>
        </w:rPr>
        <w:t>El objetivo de esta</w:t>
      </w:r>
      <w:r w:rsidR="005A4BDC" w:rsidRPr="00C336B7">
        <w:rPr>
          <w:rFonts w:ascii="Arial" w:hAnsi="Arial" w:cs="Arial"/>
          <w:lang w:val="es-419"/>
        </w:rPr>
        <w:t xml:space="preserve"> Cooperación Técnica</w:t>
      </w:r>
      <w:r w:rsidR="00851AB8" w:rsidRPr="00C336B7">
        <w:rPr>
          <w:rFonts w:ascii="Arial" w:hAnsi="Arial" w:cs="Arial"/>
          <w:lang w:val="es-419"/>
        </w:rPr>
        <w:t xml:space="preserve"> (CT)</w:t>
      </w:r>
      <w:r w:rsidR="00F403C8" w:rsidRPr="00C336B7">
        <w:rPr>
          <w:rFonts w:ascii="Arial" w:hAnsi="Arial" w:cs="Arial"/>
          <w:lang w:val="es-419"/>
        </w:rPr>
        <w:t xml:space="preserve"> es continuar</w:t>
      </w:r>
      <w:r w:rsidR="0086770C" w:rsidRPr="00C336B7">
        <w:rPr>
          <w:rFonts w:ascii="Arial" w:hAnsi="Arial" w:cs="Arial"/>
          <w:lang w:val="es-419"/>
        </w:rPr>
        <w:t xml:space="preserve"> el</w:t>
      </w:r>
      <w:r w:rsidR="005A4BDC" w:rsidRPr="00C336B7">
        <w:rPr>
          <w:rFonts w:ascii="Arial" w:hAnsi="Arial" w:cs="Arial"/>
          <w:lang w:val="es-419"/>
        </w:rPr>
        <w:t xml:space="preserve"> </w:t>
      </w:r>
      <w:r w:rsidR="003A05CF" w:rsidRPr="00C336B7">
        <w:rPr>
          <w:rFonts w:ascii="Arial" w:hAnsi="Arial" w:cs="Arial"/>
          <w:lang w:val="es-419"/>
        </w:rPr>
        <w:t>apoyo</w:t>
      </w:r>
      <w:r w:rsidR="00A55842" w:rsidRPr="00C336B7">
        <w:rPr>
          <w:rFonts w:ascii="Arial" w:hAnsi="Arial" w:cs="Arial"/>
          <w:lang w:val="es-419"/>
        </w:rPr>
        <w:t xml:space="preserve"> al proceso de integración energética regional de los países andinos</w:t>
      </w:r>
      <w:r w:rsidR="00526D07" w:rsidRPr="00C336B7">
        <w:rPr>
          <w:rFonts w:ascii="Arial" w:hAnsi="Arial" w:cs="Arial"/>
          <w:lang w:val="es-419"/>
        </w:rPr>
        <w:t xml:space="preserve"> (Bolivia, Chile, Colombia, Ecuador y Perú)</w:t>
      </w:r>
      <w:r w:rsidR="00A24816" w:rsidRPr="00C336B7">
        <w:rPr>
          <w:rFonts w:ascii="Arial" w:hAnsi="Arial" w:cs="Arial"/>
          <w:lang w:val="es-419"/>
        </w:rPr>
        <w:t xml:space="preserve"> para promover</w:t>
      </w:r>
      <w:r w:rsidR="0097645B" w:rsidRPr="00C336B7">
        <w:rPr>
          <w:rFonts w:ascii="Arial" w:hAnsi="Arial" w:cs="Arial"/>
          <w:lang w:val="es-419"/>
        </w:rPr>
        <w:t xml:space="preserve"> los </w:t>
      </w:r>
      <w:r w:rsidR="002F17EA" w:rsidRPr="00C336B7">
        <w:rPr>
          <w:rFonts w:ascii="Arial" w:hAnsi="Arial" w:cs="Arial"/>
          <w:lang w:val="es-419"/>
        </w:rPr>
        <w:t>intercambios comerciales de energía entre los mismos, por medio</w:t>
      </w:r>
      <w:r w:rsidR="00B36DDA" w:rsidRPr="00C336B7">
        <w:rPr>
          <w:rFonts w:ascii="Arial" w:hAnsi="Arial" w:cs="Arial"/>
          <w:lang w:val="es-419"/>
        </w:rPr>
        <w:t xml:space="preserve"> de la optimización en el uso</w:t>
      </w:r>
      <w:r w:rsidR="00C336B7" w:rsidRPr="00C336B7">
        <w:rPr>
          <w:rFonts w:ascii="Arial" w:hAnsi="Arial" w:cs="Arial"/>
          <w:lang w:val="es-419"/>
        </w:rPr>
        <w:t xml:space="preserve"> de las </w:t>
      </w:r>
      <w:r w:rsidR="00E8224A">
        <w:rPr>
          <w:rFonts w:ascii="Arial" w:hAnsi="Arial" w:cs="Arial"/>
          <w:lang w:val="es-419"/>
        </w:rPr>
        <w:t>f</w:t>
      </w:r>
      <w:r w:rsidR="00C336B7" w:rsidRPr="00C336B7">
        <w:rPr>
          <w:rFonts w:ascii="Arial" w:hAnsi="Arial" w:cs="Arial"/>
          <w:lang w:val="es-419"/>
        </w:rPr>
        <w:t xml:space="preserve">uentes </w:t>
      </w:r>
      <w:r w:rsidR="00C336B7">
        <w:rPr>
          <w:rFonts w:ascii="Arial" w:hAnsi="Arial" w:cs="Arial"/>
          <w:lang w:val="es-419"/>
        </w:rPr>
        <w:t xml:space="preserve">y </w:t>
      </w:r>
      <w:r w:rsidR="00C336B7" w:rsidRPr="00C336B7">
        <w:rPr>
          <w:rFonts w:ascii="Arial" w:hAnsi="Arial" w:cs="Arial"/>
          <w:lang w:val="es-419"/>
        </w:rPr>
        <w:t>activos energéticos en la Región Andina, promoviendo un mayor bienestar para la población de estos países a través de la reducción tanto en los costos de la energía, así como de emisiones de Gases de Efecto Invernadero (GEI).</w:t>
      </w:r>
    </w:p>
    <w:p w14:paraId="6C97B551" w14:textId="77777777" w:rsidR="007D1775" w:rsidRPr="003C2397" w:rsidRDefault="00B43EE1">
      <w:pPr>
        <w:spacing w:before="120" w:after="120"/>
        <w:ind w:left="579" w:hanging="579"/>
        <w:jc w:val="both"/>
        <w:rPr>
          <w:lang w:val="es-419"/>
        </w:rPr>
      </w:pPr>
      <w:r w:rsidRPr="003C2397">
        <w:rPr>
          <w:rFonts w:ascii="Arial" w:hAnsi="Arial" w:cs="Arial"/>
          <w:lang w:val="es-419"/>
        </w:rPr>
        <w:t>2.2</w:t>
      </w:r>
      <w:r w:rsidRPr="003C2397">
        <w:rPr>
          <w:rFonts w:ascii="Arial" w:hAnsi="Arial" w:cs="Arial"/>
          <w:lang w:val="es-419"/>
        </w:rPr>
        <w:tab/>
        <w:t>El Banco Interamericano de Desarrollo (BID) ha venido apoyando este proceso desde el año 2012 mediante una primera Cooperación Técnica (CT) (RG-T2056) que financió la primera fase de estudios de armonización regulatoria y planificación de la infraestructura para la región. Como resultado de dichos estudios, se concluyó que la creación de un mercado eléctrico regional traería beneficios netos superiores a los US$1.500 millones en sus primeros diez años. Así mismo, con apoyo de dicha CT se logró, en abril de 2014, el diseño de la primera Hoja de Ruta del Sistema de Interconexión Eléctrica Andina (SINEA).</w:t>
      </w:r>
    </w:p>
    <w:p w14:paraId="1313D798" w14:textId="3D98AC39" w:rsidR="007D1775" w:rsidRPr="003C2397" w:rsidRDefault="00B43EE1">
      <w:pPr>
        <w:spacing w:before="120" w:after="120"/>
        <w:ind w:left="579" w:hanging="579"/>
        <w:jc w:val="both"/>
        <w:rPr>
          <w:lang w:val="es-419"/>
        </w:rPr>
      </w:pPr>
      <w:r w:rsidRPr="003C2397">
        <w:rPr>
          <w:rFonts w:ascii="Arial" w:hAnsi="Arial" w:cs="Arial"/>
          <w:lang w:val="es-419"/>
        </w:rPr>
        <w:t>2.3</w:t>
      </w:r>
      <w:r w:rsidRPr="003C2397">
        <w:rPr>
          <w:rFonts w:ascii="Arial" w:hAnsi="Arial" w:cs="Arial"/>
          <w:lang w:val="es-419"/>
        </w:rPr>
        <w:tab/>
        <w:t>En 2016, el BID aprobó una segunda CT (RG-T2729) con el objetivo de: (i) financiar estudios y actividades complementarias para establecer y fortalecer las actuales y futuras interconexiones entre países; (</w:t>
      </w:r>
      <w:proofErr w:type="spellStart"/>
      <w:r w:rsidRPr="003C2397">
        <w:rPr>
          <w:rFonts w:ascii="Arial" w:hAnsi="Arial" w:cs="Arial"/>
          <w:lang w:val="es-419"/>
        </w:rPr>
        <w:t>ii</w:t>
      </w:r>
      <w:proofErr w:type="spellEnd"/>
      <w:r w:rsidRPr="003C2397">
        <w:rPr>
          <w:rFonts w:ascii="Arial" w:hAnsi="Arial" w:cs="Arial"/>
          <w:lang w:val="es-419"/>
        </w:rPr>
        <w:t xml:space="preserve">) implementar un sistema de información de los sectores eléctricos de los países para facilitar la planificación conjunta; y </w:t>
      </w:r>
      <w:r w:rsidRPr="003C2397">
        <w:rPr>
          <w:rFonts w:ascii="Arial" w:hAnsi="Arial" w:cs="Arial"/>
          <w:lang w:val="es-419"/>
        </w:rPr>
        <w:lastRenderedPageBreak/>
        <w:t>(</w:t>
      </w:r>
      <w:proofErr w:type="spellStart"/>
      <w:r w:rsidRPr="003C2397">
        <w:rPr>
          <w:rFonts w:ascii="Arial" w:hAnsi="Arial" w:cs="Arial"/>
          <w:lang w:val="es-419"/>
        </w:rPr>
        <w:t>iii</w:t>
      </w:r>
      <w:proofErr w:type="spellEnd"/>
      <w:r w:rsidRPr="003C2397">
        <w:rPr>
          <w:rFonts w:ascii="Arial" w:hAnsi="Arial" w:cs="Arial"/>
          <w:lang w:val="es-419"/>
        </w:rPr>
        <w:t>)</w:t>
      </w:r>
      <w:r w:rsidR="000C19F2">
        <w:rPr>
          <w:rFonts w:ascii="Arial" w:hAnsi="Arial" w:cs="Arial"/>
          <w:lang w:val="es-419"/>
        </w:rPr>
        <w:t> </w:t>
      </w:r>
      <w:r w:rsidRPr="003C2397">
        <w:rPr>
          <w:rFonts w:ascii="Arial" w:hAnsi="Arial" w:cs="Arial"/>
          <w:lang w:val="es-419"/>
        </w:rPr>
        <w:t>apoyar el fortalecimiento de la Comunidad Andina (CAN) y el Comité Andino de Organismos Normativos y Organismos Reguladores de Servicios de Electricidad (CANREL).</w:t>
      </w:r>
    </w:p>
    <w:p w14:paraId="7B429CBC" w14:textId="41A10BDD" w:rsidR="007D1775" w:rsidRPr="003C2397" w:rsidRDefault="00B43EE1">
      <w:pPr>
        <w:spacing w:before="120" w:after="120"/>
        <w:ind w:left="579" w:hanging="579"/>
        <w:jc w:val="both"/>
        <w:rPr>
          <w:lang w:val="es-419"/>
        </w:rPr>
      </w:pPr>
      <w:r w:rsidRPr="003C2397">
        <w:rPr>
          <w:rFonts w:ascii="Arial" w:hAnsi="Arial" w:cs="Arial"/>
          <w:lang w:val="es-419"/>
        </w:rPr>
        <w:t>2.4</w:t>
      </w:r>
      <w:r w:rsidRPr="003C2397">
        <w:rPr>
          <w:rFonts w:ascii="Arial" w:hAnsi="Arial" w:cs="Arial"/>
          <w:lang w:val="es-419"/>
        </w:rPr>
        <w:tab/>
        <w:t>Como resultado de la CT, el SINEA  avanzó institucionalmente en: (i) la aprobación de la Decisión CAN 816, que contiene el “Marco Regulatorio para la Interconexión Subregional de Sistemas Eléctricos e Intercambio Intracomunitario de Electricidad”, (</w:t>
      </w:r>
      <w:proofErr w:type="spellStart"/>
      <w:r w:rsidRPr="003C2397">
        <w:rPr>
          <w:rFonts w:ascii="Arial" w:hAnsi="Arial" w:cs="Arial"/>
          <w:lang w:val="es-419"/>
        </w:rPr>
        <w:t>ii</w:t>
      </w:r>
      <w:proofErr w:type="spellEnd"/>
      <w:r w:rsidRPr="003C2397">
        <w:rPr>
          <w:rFonts w:ascii="Arial" w:hAnsi="Arial" w:cs="Arial"/>
          <w:lang w:val="es-419"/>
        </w:rPr>
        <w:t>)</w:t>
      </w:r>
      <w:r w:rsidR="000C19F2">
        <w:rPr>
          <w:rFonts w:ascii="Arial" w:hAnsi="Arial" w:cs="Arial"/>
          <w:lang w:val="es-419"/>
        </w:rPr>
        <w:t> </w:t>
      </w:r>
      <w:r w:rsidRPr="003C2397">
        <w:rPr>
          <w:rFonts w:ascii="Arial" w:hAnsi="Arial" w:cs="Arial"/>
          <w:lang w:val="es-419"/>
        </w:rPr>
        <w:t>la elaboración de los reglamentos de la Decisión CAN 816 (reglamento operativo, reglamento comercial y reglamento del coordinador regional)</w:t>
      </w:r>
      <w:r w:rsidR="000C19F2">
        <w:rPr>
          <w:rFonts w:ascii="Arial" w:hAnsi="Arial" w:cs="Arial"/>
          <w:lang w:val="es-419"/>
        </w:rPr>
        <w:t>; y</w:t>
      </w:r>
      <w:r w:rsidRPr="003C2397">
        <w:rPr>
          <w:rFonts w:ascii="Arial" w:hAnsi="Arial" w:cs="Arial"/>
          <w:lang w:val="es-419"/>
        </w:rPr>
        <w:t xml:space="preserve"> (</w:t>
      </w:r>
      <w:proofErr w:type="spellStart"/>
      <w:r w:rsidRPr="003C2397">
        <w:rPr>
          <w:rFonts w:ascii="Arial" w:hAnsi="Arial" w:cs="Arial"/>
          <w:lang w:val="es-419"/>
        </w:rPr>
        <w:t>iii</w:t>
      </w:r>
      <w:proofErr w:type="spellEnd"/>
      <w:r w:rsidRPr="003C2397">
        <w:rPr>
          <w:rFonts w:ascii="Arial" w:hAnsi="Arial" w:cs="Arial"/>
          <w:lang w:val="es-419"/>
        </w:rPr>
        <w:t>) se generó una propuesta conceptual del diseño del Mercado Andino Eléctrico Regional (MAER) y se apoyó los estudios técnicos entre algunos de los países pertenecientes al SINEA (concretamente, entre Chile - Perú, y Bolivia - Perú).</w:t>
      </w:r>
    </w:p>
    <w:p w14:paraId="6D49615A" w14:textId="38C0E2C8" w:rsidR="007D1775" w:rsidRPr="00EC3DD3" w:rsidRDefault="00B43EE1" w:rsidP="00EC3DD3">
      <w:pPr>
        <w:spacing w:before="120" w:after="120"/>
        <w:ind w:left="579" w:hanging="579"/>
        <w:jc w:val="both"/>
        <w:rPr>
          <w:rFonts w:ascii="Arial" w:hAnsi="Arial" w:cs="Arial"/>
          <w:lang w:val="es-419"/>
        </w:rPr>
      </w:pPr>
      <w:r w:rsidRPr="003C2397">
        <w:rPr>
          <w:rFonts w:ascii="Arial" w:hAnsi="Arial" w:cs="Arial"/>
          <w:lang w:val="es-419"/>
        </w:rPr>
        <w:t>2.5</w:t>
      </w:r>
      <w:r w:rsidRPr="003C2397">
        <w:rPr>
          <w:rFonts w:ascii="Arial" w:hAnsi="Arial" w:cs="Arial"/>
          <w:lang w:val="es-419"/>
        </w:rPr>
        <w:tab/>
        <w:t>En abril de 2019, los países miembros del SINEA coincidieron en la necesidad de actualizar la hoja de ruta para revisar la vigencia de los hitos e identificar estudios y actividades que permitan implementar la iniciativa, a partir de los avances a la fecha. La nueva hoja de ruta para el período 2020-2030 procurará la consecución de los siguientes resultados:</w:t>
      </w:r>
      <w:r w:rsidR="00EC3DD3">
        <w:rPr>
          <w:lang w:val="es-419"/>
        </w:rPr>
        <w:t xml:space="preserve"> (</w:t>
      </w:r>
      <w:r w:rsidRPr="003C2397">
        <w:rPr>
          <w:rFonts w:ascii="Arial" w:hAnsi="Arial" w:cs="Arial"/>
          <w:lang w:val="es-419"/>
        </w:rPr>
        <w:t>i</w:t>
      </w:r>
      <w:r w:rsidR="00EC3DD3">
        <w:rPr>
          <w:rFonts w:ascii="Arial" w:hAnsi="Arial" w:cs="Arial"/>
          <w:lang w:val="es-419"/>
        </w:rPr>
        <w:t>) e</w:t>
      </w:r>
      <w:r w:rsidRPr="003C2397">
        <w:rPr>
          <w:rFonts w:ascii="Arial" w:hAnsi="Arial" w:cs="Arial"/>
          <w:lang w:val="es-419"/>
        </w:rPr>
        <w:t>laborar la normatividad regional y nacional para habilitar los intercambios</w:t>
      </w:r>
      <w:r w:rsidR="00EC3DD3">
        <w:rPr>
          <w:rFonts w:ascii="Arial" w:hAnsi="Arial" w:cs="Arial"/>
          <w:lang w:val="es-419"/>
        </w:rPr>
        <w:t xml:space="preserve"> </w:t>
      </w:r>
      <w:r w:rsidRPr="003C2397">
        <w:rPr>
          <w:rFonts w:ascii="Arial" w:hAnsi="Arial" w:cs="Arial"/>
          <w:lang w:val="es-419"/>
        </w:rPr>
        <w:t>eléctricos</w:t>
      </w:r>
      <w:r w:rsidR="00EC3DD3">
        <w:rPr>
          <w:rFonts w:ascii="Arial" w:hAnsi="Arial" w:cs="Arial"/>
          <w:lang w:val="es-419"/>
        </w:rPr>
        <w:t>; (</w:t>
      </w:r>
      <w:proofErr w:type="spellStart"/>
      <w:r w:rsidRPr="003C2397">
        <w:rPr>
          <w:rFonts w:ascii="Arial" w:hAnsi="Arial" w:cs="Arial"/>
          <w:lang w:val="es-419"/>
        </w:rPr>
        <w:t>ii</w:t>
      </w:r>
      <w:proofErr w:type="spellEnd"/>
      <w:r w:rsidR="00EC3DD3">
        <w:rPr>
          <w:rFonts w:ascii="Arial" w:hAnsi="Arial" w:cs="Arial"/>
          <w:lang w:val="es-419"/>
        </w:rPr>
        <w:t xml:space="preserve">) </w:t>
      </w:r>
      <w:r w:rsidR="006B235E">
        <w:rPr>
          <w:rFonts w:ascii="Arial" w:hAnsi="Arial" w:cs="Arial"/>
          <w:lang w:val="es-419"/>
        </w:rPr>
        <w:t>s</w:t>
      </w:r>
      <w:r w:rsidRPr="003C2397">
        <w:rPr>
          <w:rFonts w:ascii="Arial" w:hAnsi="Arial" w:cs="Arial"/>
          <w:lang w:val="es-419"/>
        </w:rPr>
        <w:t>uscribir acuerdos bilaterales entre los operadores de los sistemas y administradores del mercado para el funcionamiento del mercado regional</w:t>
      </w:r>
      <w:r w:rsidR="00EF6DFF">
        <w:rPr>
          <w:rFonts w:ascii="Arial" w:hAnsi="Arial" w:cs="Arial"/>
          <w:lang w:val="es-419"/>
        </w:rPr>
        <w:t xml:space="preserve">; </w:t>
      </w:r>
      <w:r w:rsidR="006B235E">
        <w:rPr>
          <w:rFonts w:ascii="Arial" w:hAnsi="Arial" w:cs="Arial"/>
          <w:lang w:val="es-419"/>
        </w:rPr>
        <w:t>(</w:t>
      </w:r>
      <w:proofErr w:type="spellStart"/>
      <w:r w:rsidRPr="003C2397">
        <w:rPr>
          <w:rFonts w:ascii="Arial" w:hAnsi="Arial" w:cs="Arial"/>
          <w:lang w:val="es-419"/>
        </w:rPr>
        <w:t>iii</w:t>
      </w:r>
      <w:proofErr w:type="spellEnd"/>
      <w:r w:rsidR="006B235E">
        <w:rPr>
          <w:rFonts w:ascii="Arial" w:hAnsi="Arial" w:cs="Arial"/>
          <w:lang w:val="es-419"/>
        </w:rPr>
        <w:t xml:space="preserve">) </w:t>
      </w:r>
      <w:r w:rsidR="00990C6E">
        <w:rPr>
          <w:rFonts w:ascii="Arial" w:hAnsi="Arial" w:cs="Arial"/>
          <w:lang w:val="es-419"/>
        </w:rPr>
        <w:t>e</w:t>
      </w:r>
      <w:r w:rsidRPr="003C2397">
        <w:rPr>
          <w:rFonts w:ascii="Arial" w:hAnsi="Arial" w:cs="Arial"/>
          <w:lang w:val="es-419"/>
        </w:rPr>
        <w:t>stablecer acuerdos bilaterales para definir la infraestructura de transmisión a nivel bilateral</w:t>
      </w:r>
      <w:r w:rsidR="00EF6DFF">
        <w:rPr>
          <w:rFonts w:ascii="Arial" w:hAnsi="Arial" w:cs="Arial"/>
          <w:lang w:val="es-419"/>
        </w:rPr>
        <w:t>;</w:t>
      </w:r>
      <w:r w:rsidR="00990C6E">
        <w:rPr>
          <w:rFonts w:ascii="Arial" w:hAnsi="Arial" w:cs="Arial"/>
          <w:lang w:val="es-419"/>
        </w:rPr>
        <w:t xml:space="preserve"> (</w:t>
      </w:r>
      <w:proofErr w:type="spellStart"/>
      <w:r w:rsidRPr="003C2397">
        <w:rPr>
          <w:rFonts w:ascii="Arial" w:hAnsi="Arial" w:cs="Arial"/>
          <w:lang w:val="es-419"/>
        </w:rPr>
        <w:t>iv</w:t>
      </w:r>
      <w:proofErr w:type="spellEnd"/>
      <w:r w:rsidR="00990C6E">
        <w:rPr>
          <w:rFonts w:ascii="Arial" w:hAnsi="Arial" w:cs="Arial"/>
          <w:lang w:val="es-419"/>
        </w:rPr>
        <w:t xml:space="preserve">) </w:t>
      </w:r>
      <w:r w:rsidR="00EF6DFF">
        <w:rPr>
          <w:rFonts w:ascii="Arial" w:hAnsi="Arial" w:cs="Arial"/>
          <w:lang w:val="es-419"/>
        </w:rPr>
        <w:t>d</w:t>
      </w:r>
      <w:r w:rsidRPr="003C2397">
        <w:rPr>
          <w:rFonts w:ascii="Arial" w:hAnsi="Arial" w:cs="Arial"/>
          <w:lang w:val="es-419"/>
        </w:rPr>
        <w:t>esarrollar estudios para avanzar en la implementación del MAER.</w:t>
      </w:r>
      <w:r w:rsidR="00990C6E">
        <w:rPr>
          <w:rFonts w:ascii="Arial" w:hAnsi="Arial" w:cs="Arial"/>
          <w:lang w:val="es-419"/>
        </w:rPr>
        <w:t xml:space="preserve"> (</w:t>
      </w:r>
      <w:r w:rsidRPr="003C2397">
        <w:rPr>
          <w:rFonts w:ascii="Arial" w:hAnsi="Arial" w:cs="Arial"/>
          <w:lang w:val="es-419"/>
        </w:rPr>
        <w:t>v</w:t>
      </w:r>
      <w:r w:rsidR="00990C6E">
        <w:rPr>
          <w:rFonts w:ascii="Arial" w:hAnsi="Arial" w:cs="Arial"/>
          <w:lang w:val="es-419"/>
        </w:rPr>
        <w:t>) i</w:t>
      </w:r>
      <w:r w:rsidRPr="003C2397">
        <w:rPr>
          <w:rFonts w:ascii="Arial" w:hAnsi="Arial" w:cs="Arial"/>
          <w:lang w:val="es-419"/>
        </w:rPr>
        <w:t>niciar el proceso de intercambio de energía eléctrica en el marco del MAER</w:t>
      </w:r>
      <w:r w:rsidR="00EF6DFF">
        <w:rPr>
          <w:rFonts w:ascii="Arial" w:hAnsi="Arial" w:cs="Arial"/>
          <w:lang w:val="es-419"/>
        </w:rPr>
        <w:t>;</w:t>
      </w:r>
      <w:r w:rsidR="006F6313">
        <w:rPr>
          <w:rFonts w:ascii="Arial" w:hAnsi="Arial" w:cs="Arial"/>
          <w:lang w:val="es-419"/>
        </w:rPr>
        <w:t xml:space="preserve"> y </w:t>
      </w:r>
      <w:r w:rsidR="00EF6DFF">
        <w:rPr>
          <w:rFonts w:ascii="Arial" w:hAnsi="Arial" w:cs="Arial"/>
          <w:lang w:val="es-419"/>
        </w:rPr>
        <w:t>(</w:t>
      </w:r>
      <w:r w:rsidRPr="003C2397">
        <w:rPr>
          <w:rFonts w:ascii="Arial" w:hAnsi="Arial" w:cs="Arial"/>
          <w:lang w:val="es-419"/>
        </w:rPr>
        <w:t>vi</w:t>
      </w:r>
      <w:r w:rsidR="00EF6DFF">
        <w:rPr>
          <w:rFonts w:ascii="Arial" w:hAnsi="Arial" w:cs="Arial"/>
          <w:lang w:val="es-419"/>
        </w:rPr>
        <w:t>)</w:t>
      </w:r>
      <w:r w:rsidR="00556292">
        <w:rPr>
          <w:rFonts w:ascii="Arial" w:hAnsi="Arial" w:cs="Arial"/>
          <w:lang w:val="es-419"/>
        </w:rPr>
        <w:t> </w:t>
      </w:r>
      <w:r w:rsidR="00EF6DFF">
        <w:rPr>
          <w:rFonts w:ascii="Arial" w:hAnsi="Arial" w:cs="Arial"/>
          <w:lang w:val="es-419"/>
        </w:rPr>
        <w:t>g</w:t>
      </w:r>
      <w:r w:rsidRPr="003C2397">
        <w:rPr>
          <w:rFonts w:ascii="Arial" w:hAnsi="Arial" w:cs="Arial"/>
          <w:lang w:val="es-419"/>
        </w:rPr>
        <w:t>estionar las acciones y elaborar estudios para que el MAER pueda interactuar con otros mercados del Cono Sur o</w:t>
      </w:r>
      <w:r w:rsidR="006F6313">
        <w:rPr>
          <w:rFonts w:ascii="Arial" w:hAnsi="Arial" w:cs="Arial"/>
          <w:lang w:val="es-419"/>
        </w:rPr>
        <w:t xml:space="preserve"> de</w:t>
      </w:r>
      <w:r w:rsidRPr="003C2397">
        <w:rPr>
          <w:rFonts w:ascii="Arial" w:hAnsi="Arial" w:cs="Arial"/>
          <w:lang w:val="es-419"/>
        </w:rPr>
        <w:t xml:space="preserve"> </w:t>
      </w:r>
      <w:r w:rsidR="006F6313">
        <w:rPr>
          <w:rFonts w:ascii="Arial" w:hAnsi="Arial" w:cs="Arial"/>
          <w:lang w:val="es-419"/>
        </w:rPr>
        <w:t>América Central</w:t>
      </w:r>
      <w:r w:rsidRPr="003C2397">
        <w:rPr>
          <w:rFonts w:ascii="Arial" w:hAnsi="Arial" w:cs="Arial"/>
          <w:lang w:val="es-419"/>
        </w:rPr>
        <w:t>.</w:t>
      </w:r>
    </w:p>
    <w:p w14:paraId="3328AB23" w14:textId="71A46D18" w:rsidR="007D1775" w:rsidRPr="003C2397" w:rsidRDefault="00B43EE1">
      <w:pPr>
        <w:spacing w:before="120" w:after="120"/>
        <w:ind w:left="579" w:hanging="579"/>
        <w:jc w:val="both"/>
        <w:rPr>
          <w:lang w:val="es-419"/>
        </w:rPr>
      </w:pPr>
      <w:r w:rsidRPr="003C2397">
        <w:rPr>
          <w:rFonts w:ascii="Arial" w:hAnsi="Arial" w:cs="Arial"/>
          <w:lang w:val="es-419"/>
        </w:rPr>
        <w:t>2.7</w:t>
      </w:r>
      <w:r w:rsidRPr="003C2397">
        <w:rPr>
          <w:rFonts w:ascii="Arial" w:hAnsi="Arial" w:cs="Arial"/>
          <w:lang w:val="es-419"/>
        </w:rPr>
        <w:tab/>
        <w:t xml:space="preserve">Con base en las actividades identificadas y acordadas por los países miembros en la nueva hoja de ruta (a ser aprobada en la próxima reunión de ministros programada tentativamente para el tercer trimestre del 2020), y con el fin de continuar apoyando esta importante iniciativa así como profundizar los logros alcanzados con las anteriores </w:t>
      </w:r>
      <w:proofErr w:type="spellStart"/>
      <w:r w:rsidRPr="003C2397">
        <w:rPr>
          <w:rFonts w:ascii="Arial" w:hAnsi="Arial" w:cs="Arial"/>
          <w:lang w:val="es-419"/>
        </w:rPr>
        <w:t>CTs</w:t>
      </w:r>
      <w:proofErr w:type="spellEnd"/>
      <w:r w:rsidRPr="003C2397">
        <w:rPr>
          <w:rFonts w:ascii="Arial" w:hAnsi="Arial" w:cs="Arial"/>
          <w:lang w:val="es-419"/>
        </w:rPr>
        <w:t>, esta nueva cooperación estará enfocada en los siguientes temas: (i)</w:t>
      </w:r>
      <w:r w:rsidR="000C19F2">
        <w:rPr>
          <w:rFonts w:ascii="Arial" w:hAnsi="Arial" w:cs="Arial"/>
          <w:lang w:val="es-419"/>
        </w:rPr>
        <w:t> </w:t>
      </w:r>
      <w:r w:rsidRPr="003C2397">
        <w:rPr>
          <w:rFonts w:ascii="Arial" w:hAnsi="Arial" w:cs="Arial"/>
          <w:lang w:val="es-419"/>
        </w:rPr>
        <w:t>financiación de estudios normativos complementarios, (</w:t>
      </w:r>
      <w:proofErr w:type="spellStart"/>
      <w:r w:rsidRPr="003C2397">
        <w:rPr>
          <w:rFonts w:ascii="Arial" w:hAnsi="Arial" w:cs="Arial"/>
          <w:lang w:val="es-419"/>
        </w:rPr>
        <w:t>ii</w:t>
      </w:r>
      <w:proofErr w:type="spellEnd"/>
      <w:r w:rsidRPr="003C2397">
        <w:rPr>
          <w:rFonts w:ascii="Arial" w:hAnsi="Arial" w:cs="Arial"/>
          <w:lang w:val="es-419"/>
        </w:rPr>
        <w:t>) financiación de estudios de planeación, diseño de infraestructura y operación del MAER</w:t>
      </w:r>
      <w:r w:rsidR="000C19F2">
        <w:rPr>
          <w:rFonts w:ascii="Arial" w:hAnsi="Arial" w:cs="Arial"/>
          <w:lang w:val="es-419"/>
        </w:rPr>
        <w:t>;</w:t>
      </w:r>
      <w:r w:rsidRPr="003C2397">
        <w:rPr>
          <w:rFonts w:ascii="Arial" w:hAnsi="Arial" w:cs="Arial"/>
          <w:lang w:val="es-419"/>
        </w:rPr>
        <w:t xml:space="preserve"> y (</w:t>
      </w:r>
      <w:proofErr w:type="spellStart"/>
      <w:r w:rsidRPr="003C2397">
        <w:rPr>
          <w:rFonts w:ascii="Arial" w:hAnsi="Arial" w:cs="Arial"/>
          <w:lang w:val="es-419"/>
        </w:rPr>
        <w:t>iii</w:t>
      </w:r>
      <w:proofErr w:type="spellEnd"/>
      <w:r w:rsidRPr="003C2397">
        <w:rPr>
          <w:rFonts w:ascii="Arial" w:hAnsi="Arial" w:cs="Arial"/>
          <w:lang w:val="es-419"/>
        </w:rPr>
        <w:t>) administración y apoyo institucional al SINEA. Cabe señalar que en 2019 los países del SINEA aprobaron la idea de que el BID funcionara como Secretaría Técnica de esta iniciativa de interconexión.</w:t>
      </w:r>
    </w:p>
    <w:p w14:paraId="3A3A37DB" w14:textId="7AB151B5" w:rsidR="007D1775" w:rsidRPr="000C19F2" w:rsidRDefault="00B43EE1">
      <w:pPr>
        <w:spacing w:before="120" w:after="120"/>
        <w:ind w:left="579" w:hanging="579"/>
        <w:rPr>
          <w:lang w:val="es-419"/>
        </w:rPr>
      </w:pPr>
      <w:r w:rsidRPr="000C19F2">
        <w:rPr>
          <w:rFonts w:ascii="Arial" w:hAnsi="Arial" w:cs="Arial"/>
          <w:b/>
          <w:lang w:val="es-419"/>
        </w:rPr>
        <w:t>III.</w:t>
      </w:r>
      <w:r w:rsidRPr="000C19F2">
        <w:rPr>
          <w:rFonts w:ascii="Arial" w:hAnsi="Arial" w:cs="Arial"/>
          <w:b/>
          <w:lang w:val="es-419"/>
        </w:rPr>
        <w:tab/>
        <w:t>Descrip</w:t>
      </w:r>
      <w:r w:rsidR="000C19F2" w:rsidRPr="000C19F2">
        <w:rPr>
          <w:rFonts w:ascii="Arial" w:hAnsi="Arial" w:cs="Arial"/>
          <w:b/>
          <w:lang w:val="es-419"/>
        </w:rPr>
        <w:t xml:space="preserve">ción de </w:t>
      </w:r>
      <w:r w:rsidRPr="000C19F2">
        <w:rPr>
          <w:rFonts w:ascii="Arial" w:hAnsi="Arial" w:cs="Arial"/>
          <w:b/>
          <w:lang w:val="es-419"/>
        </w:rPr>
        <w:t>Activi</w:t>
      </w:r>
      <w:r w:rsidR="000C19F2" w:rsidRPr="000C19F2">
        <w:rPr>
          <w:rFonts w:ascii="Arial" w:hAnsi="Arial" w:cs="Arial"/>
          <w:b/>
          <w:lang w:val="es-419"/>
        </w:rPr>
        <w:t>dades</w:t>
      </w:r>
      <w:r w:rsidRPr="000C19F2">
        <w:rPr>
          <w:rFonts w:ascii="Arial" w:hAnsi="Arial" w:cs="Arial"/>
          <w:b/>
          <w:lang w:val="es-419"/>
        </w:rPr>
        <w:t xml:space="preserve"> </w:t>
      </w:r>
      <w:r w:rsidR="000C19F2" w:rsidRPr="000C19F2">
        <w:rPr>
          <w:rFonts w:ascii="Arial" w:hAnsi="Arial" w:cs="Arial"/>
          <w:b/>
          <w:lang w:val="es-419"/>
        </w:rPr>
        <w:t>y Resultados</w:t>
      </w:r>
    </w:p>
    <w:p w14:paraId="667D93BD" w14:textId="50BCFB6C" w:rsidR="007D1775" w:rsidRPr="003C2397" w:rsidRDefault="00B43EE1">
      <w:pPr>
        <w:spacing w:before="120" w:after="120"/>
        <w:ind w:left="579" w:hanging="579"/>
        <w:jc w:val="both"/>
        <w:rPr>
          <w:lang w:val="es-419"/>
        </w:rPr>
      </w:pPr>
      <w:r w:rsidRPr="003C2397">
        <w:rPr>
          <w:rFonts w:ascii="Arial" w:hAnsi="Arial" w:cs="Arial"/>
          <w:lang w:val="es-419"/>
        </w:rPr>
        <w:t>3.1</w:t>
      </w:r>
      <w:r w:rsidRPr="003C2397">
        <w:rPr>
          <w:rFonts w:ascii="Arial" w:hAnsi="Arial" w:cs="Arial"/>
          <w:lang w:val="es-419"/>
        </w:rPr>
        <w:tab/>
      </w:r>
      <w:r w:rsidRPr="003C2397">
        <w:rPr>
          <w:rFonts w:ascii="Arial" w:hAnsi="Arial" w:cs="Arial"/>
          <w:b/>
          <w:lang w:val="es-419"/>
        </w:rPr>
        <w:t>Component</w:t>
      </w:r>
      <w:r w:rsidR="000C19F2">
        <w:rPr>
          <w:rFonts w:ascii="Arial" w:hAnsi="Arial" w:cs="Arial"/>
          <w:b/>
          <w:lang w:val="es-419"/>
        </w:rPr>
        <w:t>e</w:t>
      </w:r>
      <w:r w:rsidRPr="003C2397">
        <w:rPr>
          <w:rFonts w:ascii="Arial" w:hAnsi="Arial" w:cs="Arial"/>
          <w:b/>
          <w:lang w:val="es-419"/>
        </w:rPr>
        <w:t xml:space="preserve"> I: Estudios normativos complementarios. </w:t>
      </w:r>
      <w:r w:rsidRPr="003C2397">
        <w:rPr>
          <w:rFonts w:ascii="Arial" w:hAnsi="Arial" w:cs="Arial"/>
          <w:lang w:val="es-419"/>
        </w:rPr>
        <w:t>Financiará estudios que permitan: (i) culminar la elaboración de la normatividad andina para implementar la Decisión CAN 816, (</w:t>
      </w:r>
      <w:proofErr w:type="spellStart"/>
      <w:r w:rsidRPr="003C2397">
        <w:rPr>
          <w:rFonts w:ascii="Arial" w:hAnsi="Arial" w:cs="Arial"/>
          <w:lang w:val="es-419"/>
        </w:rPr>
        <w:t>ii</w:t>
      </w:r>
      <w:proofErr w:type="spellEnd"/>
      <w:r w:rsidRPr="003C2397">
        <w:rPr>
          <w:rFonts w:ascii="Arial" w:hAnsi="Arial" w:cs="Arial"/>
          <w:lang w:val="es-419"/>
        </w:rPr>
        <w:t>) analizar la modalidad de país en tránsito, la remuneración por uso de redes y servicios complementarios</w:t>
      </w:r>
      <w:r w:rsidR="00C067E3">
        <w:rPr>
          <w:rFonts w:ascii="Arial" w:hAnsi="Arial" w:cs="Arial"/>
          <w:lang w:val="es-419"/>
        </w:rPr>
        <w:t>;</w:t>
      </w:r>
      <w:r w:rsidRPr="003C2397">
        <w:rPr>
          <w:rFonts w:ascii="Arial" w:hAnsi="Arial" w:cs="Arial"/>
          <w:lang w:val="es-419"/>
        </w:rPr>
        <w:t xml:space="preserve"> y (</w:t>
      </w:r>
      <w:proofErr w:type="spellStart"/>
      <w:r w:rsidRPr="003C2397">
        <w:rPr>
          <w:rFonts w:ascii="Arial" w:hAnsi="Arial" w:cs="Arial"/>
          <w:lang w:val="es-419"/>
        </w:rPr>
        <w:t>iii</w:t>
      </w:r>
      <w:proofErr w:type="spellEnd"/>
      <w:r w:rsidRPr="003C2397">
        <w:rPr>
          <w:rFonts w:ascii="Arial" w:hAnsi="Arial" w:cs="Arial"/>
          <w:lang w:val="es-419"/>
        </w:rPr>
        <w:t>) estudiar un nuevo esquema comercial de intercambio de electricidad mediante contratos a plazo de compraventa de electricidad.</w:t>
      </w:r>
    </w:p>
    <w:p w14:paraId="7A99A8ED" w14:textId="722F07BF" w:rsidR="007D1775" w:rsidRPr="003C2397" w:rsidRDefault="00B43EE1">
      <w:pPr>
        <w:spacing w:before="120" w:after="120"/>
        <w:ind w:left="579" w:hanging="579"/>
        <w:jc w:val="both"/>
        <w:rPr>
          <w:lang w:val="es-419"/>
        </w:rPr>
      </w:pPr>
      <w:r w:rsidRPr="003C2397">
        <w:rPr>
          <w:rFonts w:ascii="Arial" w:hAnsi="Arial" w:cs="Arial"/>
          <w:lang w:val="es-419"/>
        </w:rPr>
        <w:t>3.2</w:t>
      </w:r>
      <w:r w:rsidRPr="003C2397">
        <w:rPr>
          <w:rFonts w:ascii="Arial" w:hAnsi="Arial" w:cs="Arial"/>
          <w:lang w:val="es-419"/>
        </w:rPr>
        <w:tab/>
      </w:r>
      <w:r w:rsidRPr="003C2397">
        <w:rPr>
          <w:rFonts w:ascii="Arial" w:hAnsi="Arial" w:cs="Arial"/>
          <w:b/>
          <w:lang w:val="es-419"/>
        </w:rPr>
        <w:t>Component</w:t>
      </w:r>
      <w:r w:rsidR="000C19F2">
        <w:rPr>
          <w:rFonts w:ascii="Arial" w:hAnsi="Arial" w:cs="Arial"/>
          <w:b/>
          <w:lang w:val="es-419"/>
        </w:rPr>
        <w:t>e</w:t>
      </w:r>
      <w:r w:rsidRPr="003C2397">
        <w:rPr>
          <w:rFonts w:ascii="Arial" w:hAnsi="Arial" w:cs="Arial"/>
          <w:b/>
          <w:lang w:val="es-419"/>
        </w:rPr>
        <w:t xml:space="preserve"> II: Estudios de planeación, diseño de infraestructura y operación del Mercado Andino Eléctrico Regional (MAER). </w:t>
      </w:r>
      <w:r w:rsidRPr="003C2397">
        <w:rPr>
          <w:rFonts w:ascii="Arial" w:hAnsi="Arial" w:cs="Arial"/>
          <w:lang w:val="es-419"/>
        </w:rPr>
        <w:t>Financiará estudios que permitan (i) armonizar la planificación regional a través de planes indicativos de generación y transmisión del MAER, (</w:t>
      </w:r>
      <w:proofErr w:type="spellStart"/>
      <w:r w:rsidRPr="003C2397">
        <w:rPr>
          <w:rFonts w:ascii="Arial" w:hAnsi="Arial" w:cs="Arial"/>
          <w:lang w:val="es-419"/>
        </w:rPr>
        <w:t>ii</w:t>
      </w:r>
      <w:proofErr w:type="spellEnd"/>
      <w:r w:rsidRPr="003C2397">
        <w:rPr>
          <w:rFonts w:ascii="Arial" w:hAnsi="Arial" w:cs="Arial"/>
          <w:lang w:val="es-419"/>
        </w:rPr>
        <w:t>) desarrollar instrumentos técnicos y legales que ayuden a la operación del MAER</w:t>
      </w:r>
      <w:r w:rsidR="00C067E3">
        <w:rPr>
          <w:rFonts w:ascii="Arial" w:hAnsi="Arial" w:cs="Arial"/>
          <w:lang w:val="es-419"/>
        </w:rPr>
        <w:t>;</w:t>
      </w:r>
      <w:r w:rsidRPr="003C2397">
        <w:rPr>
          <w:rFonts w:ascii="Arial" w:hAnsi="Arial" w:cs="Arial"/>
          <w:lang w:val="es-419"/>
        </w:rPr>
        <w:t xml:space="preserve"> y (</w:t>
      </w:r>
      <w:proofErr w:type="spellStart"/>
      <w:r w:rsidRPr="003C2397">
        <w:rPr>
          <w:rFonts w:ascii="Arial" w:hAnsi="Arial" w:cs="Arial"/>
          <w:lang w:val="es-419"/>
        </w:rPr>
        <w:t>iii</w:t>
      </w:r>
      <w:proofErr w:type="spellEnd"/>
      <w:r w:rsidRPr="003C2397">
        <w:rPr>
          <w:rFonts w:ascii="Arial" w:hAnsi="Arial" w:cs="Arial"/>
          <w:lang w:val="es-419"/>
        </w:rPr>
        <w:t>) evaluar nuevas interconexiones.</w:t>
      </w:r>
    </w:p>
    <w:p w14:paraId="73F2822F" w14:textId="1061F581" w:rsidR="007D1775" w:rsidRPr="003C2397" w:rsidRDefault="00B43EE1">
      <w:pPr>
        <w:spacing w:before="120" w:after="120"/>
        <w:ind w:left="579" w:hanging="579"/>
        <w:jc w:val="both"/>
        <w:rPr>
          <w:lang w:val="es-419"/>
        </w:rPr>
      </w:pPr>
      <w:r w:rsidRPr="003C2397">
        <w:rPr>
          <w:rFonts w:ascii="Arial" w:hAnsi="Arial" w:cs="Arial"/>
          <w:lang w:val="es-419"/>
        </w:rPr>
        <w:t>3.3</w:t>
      </w:r>
      <w:r w:rsidRPr="003C2397">
        <w:rPr>
          <w:rFonts w:ascii="Arial" w:hAnsi="Arial" w:cs="Arial"/>
          <w:lang w:val="es-419"/>
        </w:rPr>
        <w:tab/>
      </w:r>
      <w:r w:rsidRPr="003C2397">
        <w:rPr>
          <w:rFonts w:ascii="Arial" w:hAnsi="Arial" w:cs="Arial"/>
          <w:b/>
          <w:lang w:val="es-419"/>
        </w:rPr>
        <w:t>Component</w:t>
      </w:r>
      <w:r w:rsidR="000C19F2">
        <w:rPr>
          <w:rFonts w:ascii="Arial" w:hAnsi="Arial" w:cs="Arial"/>
          <w:b/>
          <w:lang w:val="es-419"/>
        </w:rPr>
        <w:t>e</w:t>
      </w:r>
      <w:r w:rsidRPr="003C2397">
        <w:rPr>
          <w:rFonts w:ascii="Arial" w:hAnsi="Arial" w:cs="Arial"/>
          <w:b/>
          <w:lang w:val="es-419"/>
        </w:rPr>
        <w:t xml:space="preserve"> III: Administración y apoyo institucional al SINEA. </w:t>
      </w:r>
      <w:r w:rsidRPr="003C2397">
        <w:rPr>
          <w:rFonts w:ascii="Arial" w:hAnsi="Arial" w:cs="Arial"/>
          <w:lang w:val="es-419"/>
        </w:rPr>
        <w:t>Este componente financiará la realización de reuniones ministeriales anuales y reuniones de los grupos técnicos del SINEA.</w:t>
      </w:r>
    </w:p>
    <w:p w14:paraId="3979291B" w14:textId="5C22044E" w:rsidR="007D1775" w:rsidRDefault="00B43EE1" w:rsidP="00C067E3">
      <w:pPr>
        <w:spacing w:before="720" w:after="120"/>
        <w:ind w:left="576" w:hanging="576"/>
      </w:pPr>
      <w:r>
        <w:rPr>
          <w:rFonts w:ascii="Arial" w:hAnsi="Arial" w:cs="Arial"/>
          <w:b/>
        </w:rPr>
        <w:lastRenderedPageBreak/>
        <w:t>IV.</w:t>
      </w:r>
      <w:r>
        <w:rPr>
          <w:rFonts w:ascii="Arial" w:hAnsi="Arial" w:cs="Arial"/>
          <w:b/>
        </w:rPr>
        <w:tab/>
      </w:r>
      <w:proofErr w:type="spellStart"/>
      <w:r w:rsidR="003A553E">
        <w:rPr>
          <w:rFonts w:ascii="Arial" w:hAnsi="Arial" w:cs="Arial"/>
          <w:b/>
        </w:rPr>
        <w:t>Presupuesto</w:t>
      </w:r>
      <w:proofErr w:type="spellEnd"/>
    </w:p>
    <w:p w14:paraId="782AB72A" w14:textId="3104C6A1" w:rsidR="007D1775" w:rsidRDefault="003A553E">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sidR="00B43EE1">
        <w:rPr>
          <w:rFonts w:ascii="Arial" w:hAnsi="Arial" w:cs="Arial"/>
          <w:b/>
          <w:sz w:val="18"/>
          <w:szCs w:val="18"/>
        </w:rPr>
        <w:t>Indicativ</w:t>
      </w:r>
      <w:r>
        <w:rPr>
          <w:rFonts w:ascii="Arial" w:hAnsi="Arial" w:cs="Arial"/>
          <w:b/>
          <w:sz w:val="18"/>
          <w:szCs w:val="18"/>
        </w:rPr>
        <w:t>o</w:t>
      </w:r>
      <w:proofErr w:type="spellEnd"/>
    </w:p>
    <w:tbl>
      <w:tblPr>
        <w:tblStyle w:val="TableGrid"/>
        <w:tblW w:w="0" w:type="auto"/>
        <w:tblLook w:val="04A0" w:firstRow="1" w:lastRow="0" w:firstColumn="1" w:lastColumn="0" w:noHBand="0" w:noVBand="1"/>
      </w:tblPr>
      <w:tblGrid>
        <w:gridCol w:w="3078"/>
        <w:gridCol w:w="1542"/>
        <w:gridCol w:w="2310"/>
        <w:gridCol w:w="2310"/>
      </w:tblGrid>
      <w:tr w:rsidR="007D1775" w14:paraId="6B5C256A" w14:textId="77777777" w:rsidTr="00186433">
        <w:trPr>
          <w:trHeight w:val="431"/>
        </w:trPr>
        <w:tc>
          <w:tcPr>
            <w:tcW w:w="3078" w:type="dxa"/>
            <w:vAlign w:val="center"/>
          </w:tcPr>
          <w:p w14:paraId="19C1B59B" w14:textId="0183A3D5" w:rsidR="007D1775" w:rsidRPr="003A5EDE" w:rsidRDefault="00B43EE1">
            <w:pPr>
              <w:spacing w:before="40" w:after="40"/>
              <w:jc w:val="center"/>
              <w:rPr>
                <w:sz w:val="17"/>
                <w:szCs w:val="17"/>
              </w:rPr>
            </w:pPr>
            <w:proofErr w:type="spellStart"/>
            <w:r w:rsidRPr="003A5EDE">
              <w:rPr>
                <w:rFonts w:ascii="Arial" w:hAnsi="Arial" w:cs="Arial"/>
                <w:b/>
                <w:sz w:val="17"/>
                <w:szCs w:val="17"/>
              </w:rPr>
              <w:t>Activi</w:t>
            </w:r>
            <w:r w:rsidR="003A553E" w:rsidRPr="003A5EDE">
              <w:rPr>
                <w:rFonts w:ascii="Arial" w:hAnsi="Arial" w:cs="Arial"/>
                <w:b/>
                <w:sz w:val="17"/>
                <w:szCs w:val="17"/>
              </w:rPr>
              <w:t>dad</w:t>
            </w:r>
            <w:proofErr w:type="spellEnd"/>
            <w:r w:rsidRPr="003A5EDE">
              <w:rPr>
                <w:rFonts w:ascii="Arial" w:hAnsi="Arial" w:cs="Arial"/>
                <w:b/>
                <w:sz w:val="17"/>
                <w:szCs w:val="17"/>
              </w:rPr>
              <w:t>/</w:t>
            </w:r>
            <w:proofErr w:type="spellStart"/>
            <w:r w:rsidRPr="003A5EDE">
              <w:rPr>
                <w:rFonts w:ascii="Arial" w:hAnsi="Arial" w:cs="Arial"/>
                <w:b/>
                <w:sz w:val="17"/>
                <w:szCs w:val="17"/>
              </w:rPr>
              <w:t>Component</w:t>
            </w:r>
            <w:r w:rsidR="003A553E" w:rsidRPr="003A5EDE">
              <w:rPr>
                <w:rFonts w:ascii="Arial" w:hAnsi="Arial" w:cs="Arial"/>
                <w:b/>
                <w:sz w:val="17"/>
                <w:szCs w:val="17"/>
              </w:rPr>
              <w:t>e</w:t>
            </w:r>
            <w:proofErr w:type="spellEnd"/>
          </w:p>
        </w:tc>
        <w:tc>
          <w:tcPr>
            <w:tcW w:w="1542" w:type="dxa"/>
          </w:tcPr>
          <w:p w14:paraId="3760ABCA" w14:textId="0DE7C69E" w:rsidR="007D1775" w:rsidRPr="003A5EDE" w:rsidRDefault="003A553E">
            <w:pPr>
              <w:spacing w:before="40" w:after="40"/>
              <w:jc w:val="center"/>
              <w:rPr>
                <w:sz w:val="17"/>
                <w:szCs w:val="17"/>
              </w:rPr>
            </w:pPr>
            <w:r w:rsidRPr="003A5EDE">
              <w:rPr>
                <w:rFonts w:ascii="Arial" w:hAnsi="Arial" w:cs="Arial"/>
                <w:b/>
                <w:sz w:val="17"/>
                <w:szCs w:val="17"/>
              </w:rPr>
              <w:t>BID</w:t>
            </w:r>
            <w:r w:rsidR="00B43EE1" w:rsidRPr="003A5EDE">
              <w:rPr>
                <w:rFonts w:ascii="Arial" w:hAnsi="Arial" w:cs="Arial"/>
                <w:b/>
                <w:sz w:val="17"/>
                <w:szCs w:val="17"/>
              </w:rPr>
              <w:t>/</w:t>
            </w:r>
            <w:proofErr w:type="spellStart"/>
            <w:r w:rsidR="00B43EE1" w:rsidRPr="003A5EDE">
              <w:rPr>
                <w:rFonts w:ascii="Arial" w:hAnsi="Arial" w:cs="Arial"/>
                <w:b/>
                <w:sz w:val="17"/>
                <w:szCs w:val="17"/>
              </w:rPr>
              <w:t>F</w:t>
            </w:r>
            <w:r w:rsidRPr="003A5EDE">
              <w:rPr>
                <w:rFonts w:ascii="Arial" w:hAnsi="Arial" w:cs="Arial"/>
                <w:b/>
                <w:sz w:val="17"/>
                <w:szCs w:val="17"/>
              </w:rPr>
              <w:t>ondos</w:t>
            </w:r>
            <w:proofErr w:type="spellEnd"/>
            <w:r w:rsidRPr="003A5EDE">
              <w:rPr>
                <w:rFonts w:ascii="Arial" w:hAnsi="Arial" w:cs="Arial"/>
                <w:b/>
                <w:sz w:val="17"/>
                <w:szCs w:val="17"/>
              </w:rPr>
              <w:t xml:space="preserve"> </w:t>
            </w:r>
            <w:proofErr w:type="spellStart"/>
            <w:r w:rsidRPr="003A5EDE">
              <w:rPr>
                <w:rFonts w:ascii="Arial" w:hAnsi="Arial" w:cs="Arial"/>
                <w:b/>
                <w:sz w:val="17"/>
                <w:szCs w:val="17"/>
              </w:rPr>
              <w:t>suministrados</w:t>
            </w:r>
            <w:proofErr w:type="spellEnd"/>
          </w:p>
        </w:tc>
        <w:tc>
          <w:tcPr>
            <w:tcW w:w="2310" w:type="dxa"/>
          </w:tcPr>
          <w:p w14:paraId="12AB2BDE" w14:textId="7A614F49" w:rsidR="007D1775" w:rsidRPr="003A5EDE" w:rsidRDefault="003A553E">
            <w:pPr>
              <w:spacing w:before="40" w:after="40"/>
              <w:jc w:val="center"/>
              <w:rPr>
                <w:sz w:val="17"/>
                <w:szCs w:val="17"/>
              </w:rPr>
            </w:pPr>
            <w:proofErr w:type="spellStart"/>
            <w:r w:rsidRPr="003A5EDE">
              <w:rPr>
                <w:rFonts w:ascii="Arial" w:hAnsi="Arial" w:cs="Arial"/>
                <w:b/>
                <w:sz w:val="17"/>
                <w:szCs w:val="17"/>
              </w:rPr>
              <w:t>Fondo</w:t>
            </w:r>
            <w:proofErr w:type="spellEnd"/>
            <w:r w:rsidRPr="003A5EDE">
              <w:rPr>
                <w:rFonts w:ascii="Arial" w:hAnsi="Arial" w:cs="Arial"/>
                <w:b/>
                <w:sz w:val="17"/>
                <w:szCs w:val="17"/>
              </w:rPr>
              <w:t xml:space="preserve"> de </w:t>
            </w:r>
            <w:proofErr w:type="spellStart"/>
            <w:r w:rsidRPr="003A5EDE">
              <w:rPr>
                <w:rFonts w:ascii="Arial" w:hAnsi="Arial" w:cs="Arial"/>
                <w:b/>
                <w:sz w:val="17"/>
                <w:szCs w:val="17"/>
              </w:rPr>
              <w:t>Contrapartida</w:t>
            </w:r>
            <w:proofErr w:type="spellEnd"/>
          </w:p>
        </w:tc>
        <w:tc>
          <w:tcPr>
            <w:tcW w:w="2310" w:type="dxa"/>
          </w:tcPr>
          <w:p w14:paraId="4BBEA210" w14:textId="7CA23AAE" w:rsidR="007D1775" w:rsidRPr="003A5EDE" w:rsidRDefault="00B43EE1">
            <w:pPr>
              <w:spacing w:before="40" w:after="40"/>
              <w:jc w:val="center"/>
              <w:rPr>
                <w:sz w:val="17"/>
                <w:szCs w:val="17"/>
              </w:rPr>
            </w:pPr>
            <w:r w:rsidRPr="003A5EDE">
              <w:rPr>
                <w:rFonts w:ascii="Arial" w:hAnsi="Arial" w:cs="Arial"/>
                <w:b/>
                <w:sz w:val="17"/>
                <w:szCs w:val="17"/>
              </w:rPr>
              <w:t>Tota</w:t>
            </w:r>
            <w:r w:rsidR="003A553E" w:rsidRPr="003A5EDE">
              <w:rPr>
                <w:rFonts w:ascii="Arial" w:hAnsi="Arial" w:cs="Arial"/>
                <w:b/>
                <w:sz w:val="17"/>
                <w:szCs w:val="17"/>
              </w:rPr>
              <w:t>l</w:t>
            </w:r>
          </w:p>
        </w:tc>
      </w:tr>
      <w:tr w:rsidR="007D1775" w14:paraId="24FBB120" w14:textId="77777777" w:rsidTr="00186433">
        <w:tc>
          <w:tcPr>
            <w:tcW w:w="3078" w:type="dxa"/>
            <w:vAlign w:val="center"/>
          </w:tcPr>
          <w:p w14:paraId="49143909" w14:textId="77777777" w:rsidR="007D1775" w:rsidRPr="003A5EDE" w:rsidRDefault="00B43EE1" w:rsidP="00186433">
            <w:pPr>
              <w:spacing w:before="40" w:after="40"/>
              <w:rPr>
                <w:sz w:val="17"/>
                <w:szCs w:val="17"/>
              </w:rPr>
            </w:pPr>
            <w:proofErr w:type="spellStart"/>
            <w:r w:rsidRPr="003A5EDE">
              <w:rPr>
                <w:rFonts w:ascii="Arial" w:hAnsi="Arial" w:cs="Arial"/>
                <w:sz w:val="17"/>
                <w:szCs w:val="17"/>
              </w:rPr>
              <w:t>Estudios</w:t>
            </w:r>
            <w:proofErr w:type="spellEnd"/>
            <w:r w:rsidRPr="003A5EDE">
              <w:rPr>
                <w:rFonts w:ascii="Arial" w:hAnsi="Arial" w:cs="Arial"/>
                <w:sz w:val="17"/>
                <w:szCs w:val="17"/>
              </w:rPr>
              <w:t xml:space="preserve"> </w:t>
            </w:r>
            <w:proofErr w:type="spellStart"/>
            <w:r w:rsidRPr="003A5EDE">
              <w:rPr>
                <w:rFonts w:ascii="Arial" w:hAnsi="Arial" w:cs="Arial"/>
                <w:sz w:val="17"/>
                <w:szCs w:val="17"/>
              </w:rPr>
              <w:t>normativos</w:t>
            </w:r>
            <w:proofErr w:type="spellEnd"/>
            <w:r w:rsidRPr="003A5EDE">
              <w:rPr>
                <w:rFonts w:ascii="Arial" w:hAnsi="Arial" w:cs="Arial"/>
                <w:sz w:val="17"/>
                <w:szCs w:val="17"/>
              </w:rPr>
              <w:t xml:space="preserve"> </w:t>
            </w:r>
            <w:proofErr w:type="spellStart"/>
            <w:r w:rsidRPr="003A5EDE">
              <w:rPr>
                <w:rFonts w:ascii="Arial" w:hAnsi="Arial" w:cs="Arial"/>
                <w:sz w:val="17"/>
                <w:szCs w:val="17"/>
              </w:rPr>
              <w:t>complementarios</w:t>
            </w:r>
            <w:proofErr w:type="spellEnd"/>
          </w:p>
        </w:tc>
        <w:tc>
          <w:tcPr>
            <w:tcW w:w="1542" w:type="dxa"/>
            <w:vAlign w:val="center"/>
          </w:tcPr>
          <w:p w14:paraId="27DCECE8" w14:textId="1BF8EA8D" w:rsidR="007D1775" w:rsidRPr="003A5EDE" w:rsidRDefault="00B43EE1">
            <w:pPr>
              <w:spacing w:before="40" w:after="40"/>
              <w:jc w:val="right"/>
              <w:rPr>
                <w:sz w:val="17"/>
                <w:szCs w:val="17"/>
              </w:rPr>
            </w:pPr>
            <w:r w:rsidRPr="003A5EDE">
              <w:rPr>
                <w:rFonts w:ascii="Arial" w:hAnsi="Arial" w:cs="Arial"/>
                <w:sz w:val="17"/>
                <w:szCs w:val="17"/>
              </w:rPr>
              <w:t>US$150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61794391" w14:textId="3DCBF9A1" w:rsidR="007D1775" w:rsidRPr="003A5EDE" w:rsidRDefault="00B43EE1">
            <w:pPr>
              <w:spacing w:before="40" w:after="40"/>
              <w:jc w:val="right"/>
              <w:rPr>
                <w:sz w:val="17"/>
                <w:szCs w:val="17"/>
              </w:rPr>
            </w:pPr>
            <w:r w:rsidRPr="003A5EDE">
              <w:rPr>
                <w:rFonts w:ascii="Arial" w:hAnsi="Arial" w:cs="Arial"/>
                <w:sz w:val="17"/>
                <w:szCs w:val="17"/>
              </w:rPr>
              <w:t>US$0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0421EFDD" w14:textId="06F09F73" w:rsidR="007D1775" w:rsidRPr="003A5EDE" w:rsidRDefault="00B43EE1">
            <w:pPr>
              <w:spacing w:before="40" w:after="40"/>
              <w:jc w:val="right"/>
              <w:rPr>
                <w:sz w:val="17"/>
                <w:szCs w:val="17"/>
              </w:rPr>
            </w:pPr>
            <w:r w:rsidRPr="003A5EDE">
              <w:rPr>
                <w:rFonts w:ascii="Arial" w:hAnsi="Arial" w:cs="Arial"/>
                <w:sz w:val="17"/>
                <w:szCs w:val="17"/>
              </w:rPr>
              <w:t>US$150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r>
      <w:tr w:rsidR="007D1775" w14:paraId="10C8B0F8" w14:textId="77777777" w:rsidTr="00186433">
        <w:tc>
          <w:tcPr>
            <w:tcW w:w="3078" w:type="dxa"/>
            <w:vAlign w:val="center"/>
          </w:tcPr>
          <w:p w14:paraId="66C6E92C" w14:textId="2CEF3B12" w:rsidR="007D1775" w:rsidRPr="003A5EDE" w:rsidRDefault="00B43EE1" w:rsidP="00186433">
            <w:pPr>
              <w:spacing w:before="40" w:after="40"/>
              <w:rPr>
                <w:sz w:val="17"/>
                <w:szCs w:val="17"/>
                <w:lang w:val="es-419"/>
              </w:rPr>
            </w:pPr>
            <w:r w:rsidRPr="003A5EDE">
              <w:rPr>
                <w:rFonts w:ascii="Arial" w:hAnsi="Arial" w:cs="Arial"/>
                <w:sz w:val="17"/>
                <w:szCs w:val="17"/>
                <w:lang w:val="es-419"/>
              </w:rPr>
              <w:t>Estudios de planeación, diseño de infraestructura y operación del MAER</w:t>
            </w:r>
          </w:p>
        </w:tc>
        <w:tc>
          <w:tcPr>
            <w:tcW w:w="1542" w:type="dxa"/>
            <w:vAlign w:val="center"/>
          </w:tcPr>
          <w:p w14:paraId="77EC20F0" w14:textId="281E63E2" w:rsidR="007D1775" w:rsidRPr="003A5EDE" w:rsidRDefault="00B43EE1">
            <w:pPr>
              <w:spacing w:before="40" w:after="40"/>
              <w:jc w:val="right"/>
              <w:rPr>
                <w:sz w:val="17"/>
                <w:szCs w:val="17"/>
              </w:rPr>
            </w:pPr>
            <w:r w:rsidRPr="003A5EDE">
              <w:rPr>
                <w:rFonts w:ascii="Arial" w:hAnsi="Arial" w:cs="Arial"/>
                <w:sz w:val="17"/>
                <w:szCs w:val="17"/>
              </w:rPr>
              <w:t>US$100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38B87CDE" w14:textId="593DA890" w:rsidR="007D1775" w:rsidRPr="003A5EDE" w:rsidRDefault="00B43EE1">
            <w:pPr>
              <w:spacing w:before="40" w:after="40"/>
              <w:jc w:val="right"/>
              <w:rPr>
                <w:sz w:val="17"/>
                <w:szCs w:val="17"/>
              </w:rPr>
            </w:pPr>
            <w:r w:rsidRPr="003A5EDE">
              <w:rPr>
                <w:rFonts w:ascii="Arial" w:hAnsi="Arial" w:cs="Arial"/>
                <w:sz w:val="17"/>
                <w:szCs w:val="17"/>
              </w:rPr>
              <w:t>US$0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189B16DC" w14:textId="3BD17462" w:rsidR="007D1775" w:rsidRPr="003A5EDE" w:rsidRDefault="00B43EE1">
            <w:pPr>
              <w:spacing w:before="40" w:after="40"/>
              <w:jc w:val="right"/>
              <w:rPr>
                <w:sz w:val="17"/>
                <w:szCs w:val="17"/>
              </w:rPr>
            </w:pPr>
            <w:r w:rsidRPr="003A5EDE">
              <w:rPr>
                <w:rFonts w:ascii="Arial" w:hAnsi="Arial" w:cs="Arial"/>
                <w:sz w:val="17"/>
                <w:szCs w:val="17"/>
              </w:rPr>
              <w:t>US$100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r>
      <w:tr w:rsidR="007D1775" w14:paraId="39C0E9C4" w14:textId="77777777" w:rsidTr="00186433">
        <w:trPr>
          <w:trHeight w:val="341"/>
        </w:trPr>
        <w:tc>
          <w:tcPr>
            <w:tcW w:w="3078" w:type="dxa"/>
            <w:vAlign w:val="center"/>
          </w:tcPr>
          <w:p w14:paraId="7E39D2A9" w14:textId="77777777" w:rsidR="007D1775" w:rsidRPr="003A5EDE" w:rsidRDefault="00B43EE1" w:rsidP="00186433">
            <w:pPr>
              <w:spacing w:before="40" w:after="40"/>
              <w:rPr>
                <w:sz w:val="17"/>
                <w:szCs w:val="17"/>
                <w:lang w:val="es-419"/>
              </w:rPr>
            </w:pPr>
            <w:r w:rsidRPr="003A5EDE">
              <w:rPr>
                <w:rFonts w:ascii="Arial" w:hAnsi="Arial" w:cs="Arial"/>
                <w:sz w:val="17"/>
                <w:szCs w:val="17"/>
                <w:lang w:val="es-419"/>
              </w:rPr>
              <w:t>Administración y apoyo institucional al SINEA</w:t>
            </w:r>
          </w:p>
        </w:tc>
        <w:tc>
          <w:tcPr>
            <w:tcW w:w="1542" w:type="dxa"/>
            <w:vAlign w:val="center"/>
          </w:tcPr>
          <w:p w14:paraId="0B53A2EC" w14:textId="3D76F98D" w:rsidR="007D1775" w:rsidRPr="003A5EDE" w:rsidRDefault="00B43EE1">
            <w:pPr>
              <w:spacing w:before="40" w:after="40"/>
              <w:jc w:val="right"/>
              <w:rPr>
                <w:sz w:val="17"/>
                <w:szCs w:val="17"/>
              </w:rPr>
            </w:pPr>
            <w:r w:rsidRPr="003A5EDE">
              <w:rPr>
                <w:rFonts w:ascii="Arial" w:hAnsi="Arial" w:cs="Arial"/>
                <w:sz w:val="17"/>
                <w:szCs w:val="17"/>
              </w:rPr>
              <w:t>US$50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229DDF39" w14:textId="04562571" w:rsidR="007D1775" w:rsidRPr="003A5EDE" w:rsidRDefault="00B43EE1">
            <w:pPr>
              <w:spacing w:before="40" w:after="40"/>
              <w:jc w:val="right"/>
              <w:rPr>
                <w:sz w:val="17"/>
                <w:szCs w:val="17"/>
              </w:rPr>
            </w:pPr>
            <w:r w:rsidRPr="003A5EDE">
              <w:rPr>
                <w:rFonts w:ascii="Arial" w:hAnsi="Arial" w:cs="Arial"/>
                <w:sz w:val="17"/>
                <w:szCs w:val="17"/>
              </w:rPr>
              <w:t>US$0</w:t>
            </w:r>
            <w:r w:rsidR="003A5EDE" w:rsidRPr="003A5EDE">
              <w:rPr>
                <w:rFonts w:ascii="Arial" w:hAnsi="Arial" w:cs="Arial"/>
                <w:sz w:val="17"/>
                <w:szCs w:val="17"/>
              </w:rPr>
              <w:t>,</w:t>
            </w:r>
            <w:r w:rsidRPr="003A5EDE">
              <w:rPr>
                <w:rFonts w:ascii="Arial" w:hAnsi="Arial" w:cs="Arial"/>
                <w:sz w:val="17"/>
                <w:szCs w:val="17"/>
              </w:rPr>
              <w:t>00</w:t>
            </w:r>
          </w:p>
        </w:tc>
        <w:tc>
          <w:tcPr>
            <w:tcW w:w="2310" w:type="dxa"/>
            <w:vAlign w:val="center"/>
          </w:tcPr>
          <w:p w14:paraId="1D895CFC" w14:textId="428CB262" w:rsidR="007D1775" w:rsidRPr="003A5EDE" w:rsidRDefault="00B43EE1">
            <w:pPr>
              <w:spacing w:before="40" w:after="40"/>
              <w:jc w:val="right"/>
              <w:rPr>
                <w:sz w:val="17"/>
                <w:szCs w:val="17"/>
              </w:rPr>
            </w:pPr>
            <w:r w:rsidRPr="003A5EDE">
              <w:rPr>
                <w:rFonts w:ascii="Arial" w:hAnsi="Arial" w:cs="Arial"/>
                <w:sz w:val="17"/>
                <w:szCs w:val="17"/>
              </w:rPr>
              <w:t>US$50</w:t>
            </w:r>
            <w:r w:rsidR="003A5EDE" w:rsidRPr="003A5EDE">
              <w:rPr>
                <w:rFonts w:ascii="Arial" w:hAnsi="Arial" w:cs="Arial"/>
                <w:sz w:val="17"/>
                <w:szCs w:val="17"/>
              </w:rPr>
              <w:t>.</w:t>
            </w:r>
            <w:r w:rsidRPr="003A5EDE">
              <w:rPr>
                <w:rFonts w:ascii="Arial" w:hAnsi="Arial" w:cs="Arial"/>
                <w:sz w:val="17"/>
                <w:szCs w:val="17"/>
              </w:rPr>
              <w:t>000</w:t>
            </w:r>
            <w:r w:rsidR="003A5EDE" w:rsidRPr="003A5EDE">
              <w:rPr>
                <w:rFonts w:ascii="Arial" w:hAnsi="Arial" w:cs="Arial"/>
                <w:sz w:val="17"/>
                <w:szCs w:val="17"/>
              </w:rPr>
              <w:t>,</w:t>
            </w:r>
            <w:r w:rsidRPr="003A5EDE">
              <w:rPr>
                <w:rFonts w:ascii="Arial" w:hAnsi="Arial" w:cs="Arial"/>
                <w:sz w:val="17"/>
                <w:szCs w:val="17"/>
              </w:rPr>
              <w:t>00</w:t>
            </w:r>
          </w:p>
        </w:tc>
      </w:tr>
      <w:tr w:rsidR="007D1775" w14:paraId="43AE0F24" w14:textId="77777777" w:rsidTr="00186433">
        <w:tc>
          <w:tcPr>
            <w:tcW w:w="3078" w:type="dxa"/>
            <w:vAlign w:val="center"/>
          </w:tcPr>
          <w:p w14:paraId="38D4E337" w14:textId="77777777" w:rsidR="007D1775" w:rsidRPr="003A5EDE" w:rsidRDefault="00B43EE1">
            <w:pPr>
              <w:spacing w:before="40" w:after="40"/>
              <w:rPr>
                <w:sz w:val="17"/>
                <w:szCs w:val="17"/>
              </w:rPr>
            </w:pPr>
            <w:r w:rsidRPr="003A5EDE">
              <w:rPr>
                <w:rFonts w:ascii="Arial" w:hAnsi="Arial" w:cs="Arial"/>
                <w:b/>
                <w:sz w:val="17"/>
                <w:szCs w:val="17"/>
              </w:rPr>
              <w:t>Total</w:t>
            </w:r>
          </w:p>
        </w:tc>
        <w:tc>
          <w:tcPr>
            <w:tcW w:w="1542" w:type="dxa"/>
            <w:vAlign w:val="center"/>
          </w:tcPr>
          <w:p w14:paraId="5A1D74BE" w14:textId="4B148C51" w:rsidR="007D1775" w:rsidRPr="003A5EDE" w:rsidRDefault="00B43EE1">
            <w:pPr>
              <w:spacing w:before="40" w:after="40"/>
              <w:jc w:val="right"/>
              <w:rPr>
                <w:sz w:val="17"/>
                <w:szCs w:val="17"/>
              </w:rPr>
            </w:pPr>
            <w:r w:rsidRPr="003A5EDE">
              <w:rPr>
                <w:rFonts w:ascii="Arial" w:hAnsi="Arial" w:cs="Arial"/>
                <w:b/>
                <w:sz w:val="17"/>
                <w:szCs w:val="17"/>
              </w:rPr>
              <w:t>US$300</w:t>
            </w:r>
            <w:r w:rsidR="003A5EDE" w:rsidRPr="003A5EDE">
              <w:rPr>
                <w:rFonts w:ascii="Arial" w:hAnsi="Arial" w:cs="Arial"/>
                <w:b/>
                <w:sz w:val="17"/>
                <w:szCs w:val="17"/>
              </w:rPr>
              <w:t>.</w:t>
            </w:r>
            <w:r w:rsidRPr="003A5EDE">
              <w:rPr>
                <w:rFonts w:ascii="Arial" w:hAnsi="Arial" w:cs="Arial"/>
                <w:b/>
                <w:sz w:val="17"/>
                <w:szCs w:val="17"/>
              </w:rPr>
              <w:t>000</w:t>
            </w:r>
            <w:r w:rsidR="003A5EDE" w:rsidRPr="003A5EDE">
              <w:rPr>
                <w:rFonts w:ascii="Arial" w:hAnsi="Arial" w:cs="Arial"/>
                <w:b/>
                <w:sz w:val="17"/>
                <w:szCs w:val="17"/>
              </w:rPr>
              <w:t>,</w:t>
            </w:r>
            <w:r w:rsidRPr="003A5EDE">
              <w:rPr>
                <w:rFonts w:ascii="Arial" w:hAnsi="Arial" w:cs="Arial"/>
                <w:b/>
                <w:sz w:val="17"/>
                <w:szCs w:val="17"/>
              </w:rPr>
              <w:t>00</w:t>
            </w:r>
          </w:p>
        </w:tc>
        <w:tc>
          <w:tcPr>
            <w:tcW w:w="2310" w:type="dxa"/>
            <w:vAlign w:val="center"/>
          </w:tcPr>
          <w:p w14:paraId="37148CF8" w14:textId="7946584B" w:rsidR="007D1775" w:rsidRPr="003A5EDE" w:rsidRDefault="00B43EE1">
            <w:pPr>
              <w:spacing w:before="40" w:after="40"/>
              <w:jc w:val="right"/>
              <w:rPr>
                <w:sz w:val="17"/>
                <w:szCs w:val="17"/>
              </w:rPr>
            </w:pPr>
            <w:r w:rsidRPr="003A5EDE">
              <w:rPr>
                <w:rFonts w:ascii="Arial" w:hAnsi="Arial" w:cs="Arial"/>
                <w:b/>
                <w:sz w:val="17"/>
                <w:szCs w:val="17"/>
              </w:rPr>
              <w:t>US$0</w:t>
            </w:r>
            <w:r w:rsidR="003A5EDE" w:rsidRPr="003A5EDE">
              <w:rPr>
                <w:rFonts w:ascii="Arial" w:hAnsi="Arial" w:cs="Arial"/>
                <w:b/>
                <w:sz w:val="17"/>
                <w:szCs w:val="17"/>
              </w:rPr>
              <w:t>,</w:t>
            </w:r>
            <w:r w:rsidRPr="003A5EDE">
              <w:rPr>
                <w:rFonts w:ascii="Arial" w:hAnsi="Arial" w:cs="Arial"/>
                <w:b/>
                <w:sz w:val="17"/>
                <w:szCs w:val="17"/>
              </w:rPr>
              <w:t>00</w:t>
            </w:r>
          </w:p>
        </w:tc>
        <w:tc>
          <w:tcPr>
            <w:tcW w:w="2310" w:type="dxa"/>
            <w:vAlign w:val="center"/>
          </w:tcPr>
          <w:p w14:paraId="2A70C7CF" w14:textId="1B979CEF" w:rsidR="007D1775" w:rsidRPr="003A5EDE" w:rsidRDefault="00B43EE1">
            <w:pPr>
              <w:spacing w:before="40" w:after="40"/>
              <w:jc w:val="right"/>
              <w:rPr>
                <w:sz w:val="17"/>
                <w:szCs w:val="17"/>
              </w:rPr>
            </w:pPr>
            <w:r w:rsidRPr="003A5EDE">
              <w:rPr>
                <w:rFonts w:ascii="Arial" w:hAnsi="Arial" w:cs="Arial"/>
                <w:b/>
                <w:sz w:val="17"/>
                <w:szCs w:val="17"/>
              </w:rPr>
              <w:t>US$300</w:t>
            </w:r>
            <w:r w:rsidR="003A5EDE" w:rsidRPr="003A5EDE">
              <w:rPr>
                <w:rFonts w:ascii="Arial" w:hAnsi="Arial" w:cs="Arial"/>
                <w:b/>
                <w:sz w:val="17"/>
                <w:szCs w:val="17"/>
              </w:rPr>
              <w:t>.</w:t>
            </w:r>
            <w:r w:rsidRPr="003A5EDE">
              <w:rPr>
                <w:rFonts w:ascii="Arial" w:hAnsi="Arial" w:cs="Arial"/>
                <w:b/>
                <w:sz w:val="17"/>
                <w:szCs w:val="17"/>
              </w:rPr>
              <w:t>000</w:t>
            </w:r>
            <w:r w:rsidR="003A5EDE" w:rsidRPr="003A5EDE">
              <w:rPr>
                <w:rFonts w:ascii="Arial" w:hAnsi="Arial" w:cs="Arial"/>
                <w:b/>
                <w:sz w:val="17"/>
                <w:szCs w:val="17"/>
              </w:rPr>
              <w:t>,</w:t>
            </w:r>
            <w:r w:rsidRPr="003A5EDE">
              <w:rPr>
                <w:rFonts w:ascii="Arial" w:hAnsi="Arial" w:cs="Arial"/>
                <w:b/>
                <w:sz w:val="17"/>
                <w:szCs w:val="17"/>
              </w:rPr>
              <w:t>00</w:t>
            </w:r>
          </w:p>
        </w:tc>
      </w:tr>
    </w:tbl>
    <w:p w14:paraId="0787A1BD" w14:textId="5CCAC10B" w:rsidR="007D1775" w:rsidRPr="003A5EDE" w:rsidRDefault="00B43EE1" w:rsidP="00C067E3">
      <w:pPr>
        <w:spacing w:before="240" w:after="120"/>
        <w:ind w:left="576" w:hanging="576"/>
        <w:rPr>
          <w:lang w:val="es-419"/>
        </w:rPr>
      </w:pPr>
      <w:r w:rsidRPr="003A5EDE">
        <w:rPr>
          <w:rFonts w:ascii="Arial" w:hAnsi="Arial" w:cs="Arial"/>
          <w:b/>
          <w:lang w:val="es-419"/>
        </w:rPr>
        <w:t>V.</w:t>
      </w:r>
      <w:r w:rsidRPr="003A5EDE">
        <w:rPr>
          <w:rFonts w:ascii="Arial" w:hAnsi="Arial" w:cs="Arial"/>
          <w:b/>
          <w:lang w:val="es-419"/>
        </w:rPr>
        <w:tab/>
        <w:t>Agenc</w:t>
      </w:r>
      <w:r w:rsidR="003A5EDE" w:rsidRPr="003A5EDE">
        <w:rPr>
          <w:rFonts w:ascii="Arial" w:hAnsi="Arial" w:cs="Arial"/>
          <w:b/>
          <w:lang w:val="es-419"/>
        </w:rPr>
        <w:t>ia Ejecutora</w:t>
      </w:r>
      <w:r w:rsidRPr="003A5EDE">
        <w:rPr>
          <w:rFonts w:ascii="Arial" w:hAnsi="Arial" w:cs="Arial"/>
          <w:b/>
          <w:lang w:val="es-419"/>
        </w:rPr>
        <w:t xml:space="preserve"> </w:t>
      </w:r>
      <w:r w:rsidR="003A5EDE" w:rsidRPr="003A5EDE">
        <w:rPr>
          <w:rFonts w:ascii="Arial" w:hAnsi="Arial" w:cs="Arial"/>
          <w:b/>
          <w:lang w:val="es-419"/>
        </w:rPr>
        <w:t>y</w:t>
      </w:r>
      <w:r w:rsidRPr="003A5EDE">
        <w:rPr>
          <w:rFonts w:ascii="Arial" w:hAnsi="Arial" w:cs="Arial"/>
          <w:b/>
          <w:lang w:val="es-419"/>
        </w:rPr>
        <w:t xml:space="preserve"> E</w:t>
      </w:r>
      <w:r w:rsidR="003A5EDE" w:rsidRPr="003A5EDE">
        <w:rPr>
          <w:rFonts w:ascii="Arial" w:hAnsi="Arial" w:cs="Arial"/>
          <w:b/>
          <w:lang w:val="es-419"/>
        </w:rPr>
        <w:t>structura</w:t>
      </w:r>
      <w:r w:rsidRPr="003A5EDE">
        <w:rPr>
          <w:rFonts w:ascii="Arial" w:hAnsi="Arial" w:cs="Arial"/>
          <w:b/>
          <w:lang w:val="es-419"/>
        </w:rPr>
        <w:t xml:space="preserve"> </w:t>
      </w:r>
      <w:r w:rsidR="003A5EDE" w:rsidRPr="003A5EDE">
        <w:rPr>
          <w:rFonts w:ascii="Arial" w:hAnsi="Arial" w:cs="Arial"/>
          <w:b/>
          <w:lang w:val="es-419"/>
        </w:rPr>
        <w:t>d</w:t>
      </w:r>
      <w:r w:rsidRPr="003A5EDE">
        <w:rPr>
          <w:rFonts w:ascii="Arial" w:hAnsi="Arial" w:cs="Arial"/>
          <w:b/>
          <w:lang w:val="es-419"/>
        </w:rPr>
        <w:t>e</w:t>
      </w:r>
      <w:r w:rsidR="003A5EDE" w:rsidRPr="003A5EDE">
        <w:rPr>
          <w:rFonts w:ascii="Arial" w:hAnsi="Arial" w:cs="Arial"/>
          <w:b/>
          <w:lang w:val="es-419"/>
        </w:rPr>
        <w:t xml:space="preserve"> Ejecución</w:t>
      </w:r>
    </w:p>
    <w:p w14:paraId="795471F9" w14:textId="77777777" w:rsidR="007D1775" w:rsidRPr="003C2397" w:rsidRDefault="00B43EE1">
      <w:pPr>
        <w:spacing w:before="200" w:after="200"/>
        <w:ind w:left="579" w:hanging="579"/>
        <w:jc w:val="both"/>
        <w:rPr>
          <w:lang w:val="es-419"/>
        </w:rPr>
      </w:pPr>
      <w:r w:rsidRPr="003C2397">
        <w:rPr>
          <w:rFonts w:ascii="Arial" w:hAnsi="Arial" w:cs="Arial"/>
          <w:lang w:val="es-419"/>
        </w:rPr>
        <w:t>5.1</w:t>
      </w:r>
      <w:r w:rsidRPr="003C2397">
        <w:rPr>
          <w:rFonts w:ascii="Arial" w:hAnsi="Arial" w:cs="Arial"/>
          <w:lang w:val="es-419"/>
        </w:rPr>
        <w:tab/>
        <w:t>Por solicitud de los países beneficiarios, la ejecución será realizada por el BID desde INE/ENE con el acompañamiento cercano del Ministerio de Hidrocarburos y Energía de Bolivia, Ministerio de Energía de Chile, Ministerio de Minas y Energía de Colombia, Ministerio de Energía y Recursos Naturales No Renovables de Ecuador, y Ministerio de Energía y Minas de Perú. El BID contratará los servicios de consultores individuales y firmas, así como servicios diferentes de consultoría, de conformidad con las políticas y procedimientos de adquisiciones vigentes en el Banco. Además, se aplicará la Guía de Gestión Financiera OP-273-6 (GN-2811).</w:t>
      </w:r>
    </w:p>
    <w:p w14:paraId="37A56501" w14:textId="77777777" w:rsidR="007D1775" w:rsidRPr="003C2397" w:rsidRDefault="00B43EE1">
      <w:pPr>
        <w:spacing w:before="200" w:after="200"/>
        <w:ind w:left="579" w:hanging="579"/>
        <w:jc w:val="both"/>
        <w:rPr>
          <w:lang w:val="es-419"/>
        </w:rPr>
      </w:pPr>
      <w:r w:rsidRPr="003C2397">
        <w:rPr>
          <w:rFonts w:ascii="Arial" w:hAnsi="Arial" w:cs="Arial"/>
          <w:lang w:val="es-419"/>
        </w:rPr>
        <w:t>5.2</w:t>
      </w:r>
      <w:r w:rsidRPr="003C2397">
        <w:rPr>
          <w:rFonts w:ascii="Arial" w:hAnsi="Arial" w:cs="Arial"/>
          <w:lang w:val="es-419"/>
        </w:rPr>
        <w:tab/>
        <w:t>La ejecución de la CT por parte del BID desde INE/ENE facilitará el desarrollo de la CT al contar con el apoyo y la experiencia del Banco en el diseño y desarrollo de este tipo de iniciativas, así como también en los procesos de licitación y coordinación con los diversos actores involucrados. La ejecución por parte del BID asegurará que haya sinergia y un mejor aprovechamiento de las diferentes actividades, estudios y consultorías que el Banco ha venido realizando con los países beneficiarios, minimizando los riesgos de duplicación de esfuerzos.</w:t>
      </w:r>
    </w:p>
    <w:p w14:paraId="5F20A177" w14:textId="4B716ABF" w:rsidR="007D1775" w:rsidRPr="003C2397" w:rsidRDefault="00B43EE1">
      <w:pPr>
        <w:spacing w:before="120" w:after="120"/>
        <w:ind w:left="579" w:hanging="579"/>
        <w:rPr>
          <w:lang w:val="es-419"/>
        </w:rPr>
      </w:pPr>
      <w:r w:rsidRPr="003C2397">
        <w:rPr>
          <w:rFonts w:ascii="Arial" w:hAnsi="Arial" w:cs="Arial"/>
          <w:b/>
          <w:lang w:val="es-419"/>
        </w:rPr>
        <w:t>VI.</w:t>
      </w:r>
      <w:r w:rsidRPr="003C2397">
        <w:rPr>
          <w:rFonts w:ascii="Arial" w:hAnsi="Arial" w:cs="Arial"/>
          <w:b/>
          <w:lang w:val="es-419"/>
        </w:rPr>
        <w:tab/>
        <w:t>Ri</w:t>
      </w:r>
      <w:r w:rsidR="003A5EDE">
        <w:rPr>
          <w:rFonts w:ascii="Arial" w:hAnsi="Arial" w:cs="Arial"/>
          <w:b/>
          <w:lang w:val="es-419"/>
        </w:rPr>
        <w:t>esgos</w:t>
      </w:r>
      <w:r w:rsidRPr="003C2397">
        <w:rPr>
          <w:rFonts w:ascii="Arial" w:hAnsi="Arial" w:cs="Arial"/>
          <w:b/>
          <w:lang w:val="es-419"/>
        </w:rPr>
        <w:t xml:space="preserve"> </w:t>
      </w:r>
      <w:r w:rsidR="003A5EDE">
        <w:rPr>
          <w:rFonts w:ascii="Arial" w:hAnsi="Arial" w:cs="Arial"/>
          <w:b/>
          <w:lang w:val="es-419"/>
        </w:rPr>
        <w:t>y temas adicionales</w:t>
      </w:r>
    </w:p>
    <w:p w14:paraId="0F016FBE" w14:textId="6B17A5F8" w:rsidR="00767C04" w:rsidRDefault="00B43EE1">
      <w:pPr>
        <w:spacing w:before="200" w:after="200"/>
        <w:ind w:left="579" w:hanging="579"/>
        <w:jc w:val="both"/>
        <w:rPr>
          <w:rFonts w:ascii="Arial" w:hAnsi="Arial" w:cs="Arial"/>
          <w:lang w:val="es-419"/>
        </w:rPr>
      </w:pPr>
      <w:r w:rsidRPr="003C2397">
        <w:rPr>
          <w:rFonts w:ascii="Arial" w:hAnsi="Arial" w:cs="Arial"/>
          <w:lang w:val="es-419"/>
        </w:rPr>
        <w:t>6.1</w:t>
      </w:r>
      <w:r w:rsidRPr="003C2397">
        <w:rPr>
          <w:rFonts w:ascii="Arial" w:hAnsi="Arial" w:cs="Arial"/>
          <w:lang w:val="es-419"/>
        </w:rPr>
        <w:tab/>
        <w:t>No se anticipan mayores riesgos para el desarrollo de la CT, dado el acuerdo existente entre los cinco países con relación al desarrollo de las intervenciones planeadas. Sin embargo, al tratarse de una CT regional, las necesidades de coordinación y cooperación se acentúan. Para facilitar esta tarea se contará con el apoyo de puntos focales en cada país, utilizando la estructura organizacional existente del SINEA, sus Grupos de Trabajo, y la Presidencia Pro-Tempore. De esta manera se podrán canalizar todos los comentarios, aportes y retroalimentaciones de las diferentes entidades y actores involucrados.</w:t>
      </w:r>
    </w:p>
    <w:p w14:paraId="01DF44BA" w14:textId="1DB919BA" w:rsidR="007D1775" w:rsidRPr="003C2397" w:rsidRDefault="00186433">
      <w:pPr>
        <w:spacing w:before="200" w:after="200"/>
        <w:ind w:left="579" w:hanging="579"/>
        <w:jc w:val="both"/>
        <w:rPr>
          <w:lang w:val="es-419"/>
        </w:rPr>
      </w:pPr>
      <w:r>
        <w:rPr>
          <w:rFonts w:ascii="Arial" w:hAnsi="Arial" w:cs="Arial"/>
          <w:lang w:val="es-419"/>
        </w:rPr>
        <w:t>6.2</w:t>
      </w:r>
      <w:r>
        <w:rPr>
          <w:rFonts w:ascii="Arial" w:hAnsi="Arial" w:cs="Arial"/>
          <w:lang w:val="es-419"/>
        </w:rPr>
        <w:tab/>
      </w:r>
      <w:r w:rsidR="00B43EE1" w:rsidRPr="003C2397">
        <w:rPr>
          <w:rFonts w:ascii="Arial" w:hAnsi="Arial" w:cs="Arial"/>
          <w:lang w:val="es-419"/>
        </w:rPr>
        <w:t>El Banco hará la coordinación entre los países, conforme a su rol de organismo ejecutor (y secretario técnico del SINEA), ayudando de esta manera en la participación de las diferentes partes. Se podrían presentar eventuales retrasos en el desarrollo de los estudios ante la incertidumbre sobre la reanudación de actividades ordinarias en el corto plazo. No obstante, la C</w:t>
      </w:r>
      <w:r w:rsidR="00F47157">
        <w:rPr>
          <w:rFonts w:ascii="Arial" w:hAnsi="Arial" w:cs="Arial"/>
          <w:lang w:val="es-419"/>
        </w:rPr>
        <w:t>T</w:t>
      </w:r>
      <w:r w:rsidR="00B43EE1" w:rsidRPr="003C2397">
        <w:rPr>
          <w:rFonts w:ascii="Arial" w:hAnsi="Arial" w:cs="Arial"/>
          <w:lang w:val="es-419"/>
        </w:rPr>
        <w:t xml:space="preserve"> hará parte de </w:t>
      </w:r>
      <w:r w:rsidR="003A5EDE" w:rsidRPr="003C2397">
        <w:rPr>
          <w:rFonts w:ascii="Arial" w:hAnsi="Arial" w:cs="Arial"/>
          <w:lang w:val="es-419"/>
        </w:rPr>
        <w:t>las actividades posteriores</w:t>
      </w:r>
      <w:r w:rsidR="00B43EE1" w:rsidRPr="003C2397">
        <w:rPr>
          <w:rFonts w:ascii="Arial" w:hAnsi="Arial" w:cs="Arial"/>
          <w:lang w:val="es-419"/>
        </w:rPr>
        <w:t xml:space="preserve"> a la atención a la pandemia y los T</w:t>
      </w:r>
      <w:r w:rsidR="003A5EDE">
        <w:rPr>
          <w:rFonts w:ascii="Arial" w:hAnsi="Arial" w:cs="Arial"/>
          <w:lang w:val="es-419"/>
        </w:rPr>
        <w:t>D</w:t>
      </w:r>
      <w:r w:rsidR="00B43EE1" w:rsidRPr="003C2397">
        <w:rPr>
          <w:rFonts w:ascii="Arial" w:hAnsi="Arial" w:cs="Arial"/>
          <w:lang w:val="es-419"/>
        </w:rPr>
        <w:t>R a ser desarrollados de común acuerdo con los beneficiarios tendrán en cuenta las posibles restricciones de movilidad entre los países, para lo cual se hará uso de las opciones virtuales de reunión.</w:t>
      </w:r>
    </w:p>
    <w:p w14:paraId="6D5C35A9" w14:textId="2EAC88B1" w:rsidR="007D1775" w:rsidRPr="003A5EDE" w:rsidRDefault="00B43EE1" w:rsidP="00FE2D19">
      <w:pPr>
        <w:spacing w:before="840" w:after="120"/>
        <w:ind w:left="576" w:hanging="576"/>
        <w:rPr>
          <w:lang w:val="es-419"/>
        </w:rPr>
      </w:pPr>
      <w:r w:rsidRPr="003A5EDE">
        <w:rPr>
          <w:rFonts w:ascii="Arial" w:hAnsi="Arial" w:cs="Arial"/>
          <w:b/>
          <w:lang w:val="es-419"/>
        </w:rPr>
        <w:lastRenderedPageBreak/>
        <w:t>VII.</w:t>
      </w:r>
      <w:r w:rsidRPr="003A5EDE">
        <w:rPr>
          <w:rFonts w:ascii="Arial" w:hAnsi="Arial" w:cs="Arial"/>
          <w:b/>
          <w:lang w:val="es-419"/>
        </w:rPr>
        <w:tab/>
      </w:r>
      <w:r w:rsidR="003A5EDE" w:rsidRPr="003A5EDE">
        <w:rPr>
          <w:rFonts w:ascii="Arial" w:hAnsi="Arial" w:cs="Arial"/>
          <w:b/>
          <w:lang w:val="es-419"/>
        </w:rPr>
        <w:t>Clasificación Social y A</w:t>
      </w:r>
      <w:r w:rsidR="003A5EDE">
        <w:rPr>
          <w:rFonts w:ascii="Arial" w:hAnsi="Arial" w:cs="Arial"/>
          <w:b/>
          <w:lang w:val="es-419"/>
        </w:rPr>
        <w:t>mbiental</w:t>
      </w:r>
    </w:p>
    <w:p w14:paraId="0583870B" w14:textId="0D124428" w:rsidR="007D1775" w:rsidRPr="00DF5F86" w:rsidRDefault="00B43EE1">
      <w:pPr>
        <w:spacing w:before="240" w:after="120"/>
        <w:ind w:left="579" w:hanging="579"/>
        <w:jc w:val="both"/>
        <w:rPr>
          <w:lang w:val="es-419"/>
        </w:rPr>
      </w:pPr>
      <w:r w:rsidRPr="00DF5F86">
        <w:rPr>
          <w:rFonts w:ascii="Arial" w:hAnsi="Arial" w:cs="Arial"/>
          <w:lang w:val="es-419"/>
        </w:rPr>
        <w:t>7.1</w:t>
      </w:r>
      <w:r w:rsidRPr="00DF5F86">
        <w:rPr>
          <w:rFonts w:ascii="Arial" w:hAnsi="Arial" w:cs="Arial"/>
          <w:lang w:val="es-419"/>
        </w:rPr>
        <w:tab/>
      </w:r>
      <w:r w:rsidR="008C3601" w:rsidRPr="008C3601">
        <w:rPr>
          <w:rFonts w:ascii="Arial" w:hAnsi="Arial" w:cs="Arial"/>
          <w:lang w:val="es-419"/>
        </w:rPr>
        <w:t xml:space="preserve">La presente CT no tiene implicaciones ambientales ni sociales por tratarse de la elaboración de estudios. La CT ha sido clasificada por ESG como </w:t>
      </w:r>
      <w:r w:rsidR="008C3601">
        <w:rPr>
          <w:rFonts w:ascii="Arial" w:hAnsi="Arial" w:cs="Arial"/>
          <w:lang w:val="es-419"/>
        </w:rPr>
        <w:t>C</w:t>
      </w:r>
      <w:r w:rsidR="008C3601" w:rsidRPr="008C3601">
        <w:rPr>
          <w:rFonts w:ascii="Arial" w:hAnsi="Arial" w:cs="Arial"/>
          <w:lang w:val="es-419"/>
        </w:rPr>
        <w:t xml:space="preserve">ategoría </w:t>
      </w:r>
      <w:r w:rsidR="008C3601">
        <w:rPr>
          <w:rFonts w:ascii="Arial" w:hAnsi="Arial" w:cs="Arial"/>
          <w:lang w:val="es-419"/>
        </w:rPr>
        <w:t>“</w:t>
      </w:r>
      <w:r w:rsidR="008C3601" w:rsidRPr="008C3601">
        <w:rPr>
          <w:rFonts w:ascii="Arial" w:hAnsi="Arial" w:cs="Arial"/>
          <w:lang w:val="es-419"/>
        </w:rPr>
        <w:t>C</w:t>
      </w:r>
      <w:r w:rsidR="008C3601">
        <w:rPr>
          <w:rFonts w:ascii="Arial" w:hAnsi="Arial" w:cs="Arial"/>
          <w:lang w:val="es-419"/>
        </w:rPr>
        <w:t>”</w:t>
      </w:r>
      <w:r w:rsidR="008C3601" w:rsidRPr="008C3601">
        <w:rPr>
          <w:rFonts w:ascii="Arial" w:hAnsi="Arial" w:cs="Arial"/>
          <w:lang w:val="es-419"/>
        </w:rPr>
        <w:t xml:space="preserve"> lo que significa un impacto ambiental, social y/o cultural negativo mínimo o inexistente.</w:t>
      </w:r>
    </w:p>
    <w:sectPr w:rsidR="007D1775" w:rsidRPr="00DF5F86"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45A29" w14:textId="77777777" w:rsidR="003360CB" w:rsidRDefault="003360CB">
      <w:r>
        <w:separator/>
      </w:r>
    </w:p>
  </w:endnote>
  <w:endnote w:type="continuationSeparator" w:id="0">
    <w:p w14:paraId="1EAA08DF" w14:textId="77777777" w:rsidR="003360CB" w:rsidRDefault="0033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8A310" w14:textId="77777777" w:rsidR="007D1775" w:rsidRDefault="00B43EE1">
    <w:pPr>
      <w:pStyle w:val="FooterStyle"/>
      <w:jc w:val="center"/>
    </w:pPr>
    <w:r>
      <w:t xml:space="preserve"> - </w:t>
    </w:r>
    <w:r>
      <w:fldChar w:fldCharType="begin"/>
    </w:r>
    <w:r>
      <w:instrText xml:space="preserve"> PAGE </w:instrText>
    </w:r>
    <w:r>
      <w:fldChar w:fldCharType="separate"/>
    </w:r>
    <w:r w:rsidR="003C2397">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8E171" w14:textId="77777777" w:rsidR="003360CB" w:rsidRDefault="003360CB">
      <w:r>
        <w:separator/>
      </w:r>
    </w:p>
  </w:footnote>
  <w:footnote w:type="continuationSeparator" w:id="0">
    <w:p w14:paraId="1E050A07" w14:textId="77777777" w:rsidR="003360CB" w:rsidRDefault="003360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96EDD"/>
    <w:rsid w:val="000C19F2"/>
    <w:rsid w:val="00130DBE"/>
    <w:rsid w:val="0016352E"/>
    <w:rsid w:val="00173CE6"/>
    <w:rsid w:val="00186433"/>
    <w:rsid w:val="001915A3"/>
    <w:rsid w:val="00217F62"/>
    <w:rsid w:val="002F17EA"/>
    <w:rsid w:val="002F23E0"/>
    <w:rsid w:val="003360CB"/>
    <w:rsid w:val="003534D6"/>
    <w:rsid w:val="00364B68"/>
    <w:rsid w:val="003A05CF"/>
    <w:rsid w:val="003A553E"/>
    <w:rsid w:val="003A5EDE"/>
    <w:rsid w:val="003C2397"/>
    <w:rsid w:val="00422022"/>
    <w:rsid w:val="00526D07"/>
    <w:rsid w:val="00526EEF"/>
    <w:rsid w:val="00556292"/>
    <w:rsid w:val="005A4BDC"/>
    <w:rsid w:val="005C6BE7"/>
    <w:rsid w:val="006B235E"/>
    <w:rsid w:val="006C69E4"/>
    <w:rsid w:val="006F6313"/>
    <w:rsid w:val="007510CC"/>
    <w:rsid w:val="00767C04"/>
    <w:rsid w:val="007D1775"/>
    <w:rsid w:val="00851AB8"/>
    <w:rsid w:val="0086770C"/>
    <w:rsid w:val="00877ED2"/>
    <w:rsid w:val="008C3601"/>
    <w:rsid w:val="00937072"/>
    <w:rsid w:val="00976312"/>
    <w:rsid w:val="0097645B"/>
    <w:rsid w:val="00990C6E"/>
    <w:rsid w:val="00A24816"/>
    <w:rsid w:val="00A55842"/>
    <w:rsid w:val="00A906D8"/>
    <w:rsid w:val="00AB5A74"/>
    <w:rsid w:val="00B36DDA"/>
    <w:rsid w:val="00B43EE1"/>
    <w:rsid w:val="00C067E3"/>
    <w:rsid w:val="00C336B7"/>
    <w:rsid w:val="00C44A64"/>
    <w:rsid w:val="00D05550"/>
    <w:rsid w:val="00DF5F86"/>
    <w:rsid w:val="00E34A3C"/>
    <w:rsid w:val="00E542D9"/>
    <w:rsid w:val="00E762CB"/>
    <w:rsid w:val="00E8224A"/>
    <w:rsid w:val="00EC3DD3"/>
    <w:rsid w:val="00EF6DFF"/>
    <w:rsid w:val="00F071AE"/>
    <w:rsid w:val="00F403C8"/>
    <w:rsid w:val="00F456B8"/>
    <w:rsid w:val="00F47157"/>
    <w:rsid w:val="00FA7A66"/>
    <w:rsid w:val="00FE2D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1116"/>
  <w15:docId w15:val="{3E7C1E10-C6E0-4E2C-80BC-A83EC1EA2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937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57A8896E548C4E8EB2AEF37D56665B" ma:contentTypeVersion="2843" ma:contentTypeDescription="The base project type from which other project content types inherit their information." ma:contentTypeScope="" ma:versionID="f700f288076301001c79496dd13fc4f7">
  <xsd:schema xmlns:xsd="http://www.w3.org/2001/XMLSchema" xmlns:xs="http://www.w3.org/2001/XMLSchema" xmlns:p="http://schemas.microsoft.com/office/2006/metadata/properties" xmlns:ns2="cdc7663a-08f0-4737-9e8c-148ce897a09c" targetNamespace="http://schemas.microsoft.com/office/2006/metadata/properties" ma:root="true" ma:fieldsID="6418a8d8dd61371b2cb193e2e50f517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73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234FD9A653E040A6DEE142FC545B17" ma:contentTypeVersion="2843" ma:contentTypeDescription="A content type to manage public (operations) IDB documents" ma:contentTypeScope="" ma:versionID="00f82a5a3817e6344c96ba662ae59ddf">
  <xsd:schema xmlns:xsd="http://www.w3.org/2001/XMLSchema" xmlns:xs="http://www.w3.org/2001/XMLSchema" xmlns:p="http://schemas.microsoft.com/office/2006/metadata/properties" xmlns:ns2="cdc7663a-08f0-4737-9e8c-148ce897a09c" targetNamespace="http://schemas.microsoft.com/office/2006/metadata/properties" ma:root="true" ma:fieldsID="76b3e88ab2f3fa5938606379d2665d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7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Planas Marti Maria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EN-INT</TermName>
          <TermId xmlns="http://schemas.microsoft.com/office/infopath/2007/PartnerControls">1d29eac4-5499-4447-a729-351edadf21f0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axCatchAll xmlns="cdc7663a-08f0-4737-9e8c-148ce897a09c">
      <Value>90</Value>
      <Value>45</Value>
      <Value>44</Value>
      <Value>1</Value>
      <Value>49</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RG-T3739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EZSHARE-1146686238-1</_dlc_DocId>
    <_dlc_DocIdUrl xmlns="cdc7663a-08f0-4737-9e8c-148ce897a09c">
      <Url>https://idbg.sharepoint.com/teams/EZ-RG-TCP/RG-T3739/_layouts/15/DocIdRedir.aspx?ID=EZSHARE-1146686238-1</Url>
      <Description>EZSHARE-1146686238-1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807752D-22EB-453D-8465-5B00EC66F6E6}"/>
</file>

<file path=customXml/itemProps2.xml><?xml version="1.0" encoding="utf-8"?>
<ds:datastoreItem xmlns:ds="http://schemas.openxmlformats.org/officeDocument/2006/customXml" ds:itemID="{92EAFC8F-4BE7-4810-876A-0E22A68E4730}"/>
</file>

<file path=customXml/itemProps3.xml><?xml version="1.0" encoding="utf-8"?>
<ds:datastoreItem xmlns:ds="http://schemas.openxmlformats.org/officeDocument/2006/customXml" ds:itemID="{620924AF-D2CF-4461-A02B-E96E524CF729}"/>
</file>

<file path=customXml/itemProps4.xml><?xml version="1.0" encoding="utf-8"?>
<ds:datastoreItem xmlns:ds="http://schemas.openxmlformats.org/officeDocument/2006/customXml" ds:itemID="{F2FD08AA-EFC6-4890-8055-5FD749867D69}"/>
</file>

<file path=customXml/itemProps5.xml><?xml version="1.0" encoding="utf-8"?>
<ds:datastoreItem xmlns:ds="http://schemas.openxmlformats.org/officeDocument/2006/customXml" ds:itemID="{760D582B-4373-4902-8EA4-53B6C38151DA}"/>
</file>

<file path=customXml/itemProps6.xml><?xml version="1.0" encoding="utf-8"?>
<ds:datastoreItem xmlns:ds="http://schemas.openxmlformats.org/officeDocument/2006/customXml" ds:itemID="{4ECA4D9F-6AD8-46B3-8A2C-202D7F378827}"/>
</file>

<file path=customXml/itemProps7.xml><?xml version="1.0" encoding="utf-8"?>
<ds:datastoreItem xmlns:ds="http://schemas.openxmlformats.org/officeDocument/2006/customXml" ds:itemID="{A7F8911F-DF2E-490F-8B9E-684ADA4D943D}"/>
</file>

<file path=docProps/app.xml><?xml version="1.0" encoding="utf-8"?>
<Properties xmlns="http://schemas.openxmlformats.org/officeDocument/2006/extended-properties" xmlns:vt="http://schemas.openxmlformats.org/officeDocument/2006/docPropsVTypes">
  <Template>Normal</Template>
  <TotalTime>614</TotalTime>
  <Pages>4</Pages>
  <Words>1299</Words>
  <Characters>8486</Characters>
  <Application>Microsoft Office Word</Application>
  <DocSecurity>0</DocSecurity>
  <Lines>217</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44</cp:revision>
  <dcterms:created xsi:type="dcterms:W3CDTF">2020-08-19T16:53:00Z</dcterms:created>
  <dcterms:modified xsi:type="dcterms:W3CDTF">2020-10-07T22:26:00Z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44;#RG|2537a5b7-6d8e-482c-94dc-32c3cc44ff65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90;#EN-INT|1d29eac4-5499-4447-a729-351edadf21f0</vt:lpwstr>
  </property>
  <property fmtid="{D5CDD505-2E9C-101B-9397-08002B2CF9AE}" pid="13" name="Fund IDB">
    <vt:lpwstr>49;#RIN|1f24c1c3-8b43-4567-b6c6-b7c857230d8b</vt:lpwstr>
  </property>
  <property fmtid="{D5CDD505-2E9C-101B-9397-08002B2CF9AE}" pid="14" name="Sector IDB">
    <vt:lpwstr>45;#EN|4fed196a-cd0b-4970-87de-42da17f9b203</vt:lpwstr>
  </property>
  <property fmtid="{D5CDD505-2E9C-101B-9397-08002B2CF9AE}" pid="15" name="_dlc_DocIdItemGuid">
    <vt:lpwstr>09d1f985-a4e3-4edb-a061-09431e19706e</vt:lpwstr>
  </property>
  <property fmtid="{D5CDD505-2E9C-101B-9397-08002B2CF9AE}" pid="16" name="Disclosure Activity">
    <vt:lpwstr>TC Abstract</vt:lpwstr>
  </property>
  <property fmtid="{D5CDD505-2E9C-101B-9397-08002B2CF9AE}" pid="22" name="Webtopic">
    <vt:lpwstr>Climate Change and Renewable Energy;Electricity;Energy;Energy;Energy Distribution and Transmission;Energy Management and Regulation;Energy Markets and Studies;;</vt:lpwstr>
  </property>
  <property fmtid="{D5CDD505-2E9C-101B-9397-08002B2CF9AE}" pid="24" name="Disclosed">
    <vt:bool>false</vt:bool>
  </property>
  <property fmtid="{D5CDD505-2E9C-101B-9397-08002B2CF9AE}" pid="26" name="ContentTypeId">
    <vt:lpwstr>0x0101001A458A224826124E8B45B1D613300CFC00ED234FD9A653E040A6DEE142FC545B17</vt:lpwstr>
  </property>
  <property fmtid="{D5CDD505-2E9C-101B-9397-08002B2CF9AE}" pid="27" name="Series Operations IDB">
    <vt:lpwstr/>
  </property>
</Properties>
</file>