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D321E" w14:textId="77777777" w:rsidR="006901E7" w:rsidRDefault="00987E3C" w:rsidP="00FE51D3">
      <w:pPr>
        <w:pStyle w:val="Default"/>
        <w:jc w:val="both"/>
        <w:rPr>
          <w:rFonts w:asciiTheme="minorHAnsi" w:hAnsiTheme="minorHAnsi" w:cstheme="minorHAnsi"/>
        </w:rPr>
      </w:pPr>
      <w:r w:rsidRPr="00987E3C">
        <w:rPr>
          <w:rFonts w:asciiTheme="minorHAnsi" w:hAnsiTheme="minorHAnsi" w:cstheme="minorHAnsi"/>
          <w:noProof/>
        </w:rPr>
        <w:drawing>
          <wp:anchor distT="0" distB="0" distL="114300" distR="114300" simplePos="0" relativeHeight="251658240" behindDoc="0" locked="0" layoutInCell="1" allowOverlap="1" wp14:anchorId="50E795FF" wp14:editId="463B0BE1">
            <wp:simplePos x="914400" y="914400"/>
            <wp:positionH relativeFrom="column">
              <wp:align>left</wp:align>
            </wp:positionH>
            <wp:positionV relativeFrom="paragraph">
              <wp:align>top</wp:align>
            </wp:positionV>
            <wp:extent cx="1971675" cy="4857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71675" cy="485775"/>
                    </a:xfrm>
                    <a:prstGeom prst="rect">
                      <a:avLst/>
                    </a:prstGeom>
                    <a:noFill/>
                    <a:ln>
                      <a:noFill/>
                    </a:ln>
                  </pic:spPr>
                </pic:pic>
              </a:graphicData>
            </a:graphic>
          </wp:anchor>
        </w:drawing>
      </w:r>
    </w:p>
    <w:p w14:paraId="183C69BA" w14:textId="5769F447" w:rsidR="000D1189" w:rsidRPr="00FE51D3" w:rsidRDefault="006901E7" w:rsidP="006901E7">
      <w:pPr>
        <w:pStyle w:val="Default"/>
        <w:jc w:val="center"/>
        <w:rPr>
          <w:rFonts w:asciiTheme="minorHAnsi" w:hAnsiTheme="minorHAnsi" w:cstheme="minorHAnsi"/>
        </w:rPr>
      </w:pPr>
      <w:r>
        <w:rPr>
          <w:rFonts w:asciiTheme="minorHAnsi" w:hAnsiTheme="minorHAnsi" w:cstheme="minorHAnsi"/>
        </w:rPr>
        <w:br w:type="textWrapping" w:clear="all"/>
      </w:r>
    </w:p>
    <w:p w14:paraId="76E4D247" w14:textId="00D1AFF9" w:rsidR="000D1189" w:rsidRPr="00E11273" w:rsidRDefault="000D1189" w:rsidP="00987E3C">
      <w:pPr>
        <w:pStyle w:val="Default"/>
        <w:jc w:val="center"/>
        <w:rPr>
          <w:rFonts w:asciiTheme="minorHAnsi" w:hAnsiTheme="minorHAnsi" w:cstheme="minorHAnsi"/>
          <w:sz w:val="28"/>
          <w:szCs w:val="28"/>
          <w:u w:val="single"/>
        </w:rPr>
      </w:pPr>
      <w:r w:rsidRPr="00E11273">
        <w:rPr>
          <w:rFonts w:asciiTheme="minorHAnsi" w:hAnsiTheme="minorHAnsi" w:cstheme="minorHAnsi"/>
          <w:b/>
          <w:bCs/>
          <w:sz w:val="28"/>
          <w:szCs w:val="28"/>
          <w:u w:val="single"/>
        </w:rPr>
        <w:t>SOLICITUD DE EXPRESIONES DE INTERÉS</w:t>
      </w:r>
      <w:r w:rsidR="009A4966" w:rsidRPr="00E11273">
        <w:rPr>
          <w:rFonts w:asciiTheme="minorHAnsi" w:hAnsiTheme="minorHAnsi" w:cstheme="minorHAnsi"/>
          <w:b/>
          <w:bCs/>
          <w:sz w:val="28"/>
          <w:szCs w:val="28"/>
          <w:u w:val="single"/>
        </w:rPr>
        <w:t xml:space="preserve"> - </w:t>
      </w:r>
      <w:r w:rsidRPr="00E11273">
        <w:rPr>
          <w:rFonts w:asciiTheme="minorHAnsi" w:hAnsiTheme="minorHAnsi" w:cstheme="minorHAnsi"/>
          <w:b/>
          <w:bCs/>
          <w:sz w:val="28"/>
          <w:szCs w:val="28"/>
          <w:u w:val="single"/>
        </w:rPr>
        <w:t>SERVICIOS DE CONSULTORÍA</w:t>
      </w:r>
    </w:p>
    <w:p w14:paraId="0293F477" w14:textId="77777777" w:rsidR="00987E3C" w:rsidRPr="009A4966" w:rsidRDefault="00987E3C" w:rsidP="00FE51D3">
      <w:pPr>
        <w:pStyle w:val="Default"/>
        <w:jc w:val="both"/>
        <w:rPr>
          <w:rFonts w:asciiTheme="minorHAnsi" w:hAnsiTheme="minorHAnsi" w:cstheme="minorHAnsi"/>
          <w:sz w:val="22"/>
          <w:szCs w:val="22"/>
        </w:rPr>
      </w:pPr>
    </w:p>
    <w:p w14:paraId="1E31F69C" w14:textId="77777777" w:rsidR="00A47AA4" w:rsidRPr="00A47AA4" w:rsidRDefault="000D1189" w:rsidP="00FE51D3">
      <w:pPr>
        <w:pStyle w:val="Default"/>
        <w:jc w:val="both"/>
        <w:rPr>
          <w:rFonts w:asciiTheme="minorHAnsi" w:hAnsiTheme="minorHAnsi" w:cstheme="minorHAnsi"/>
          <w:color w:val="2E74B5" w:themeColor="accent5" w:themeShade="BF"/>
          <w:sz w:val="22"/>
          <w:szCs w:val="22"/>
        </w:rPr>
      </w:pPr>
      <w:r w:rsidRPr="002C3879">
        <w:rPr>
          <w:rFonts w:asciiTheme="minorHAnsi" w:hAnsiTheme="minorHAnsi" w:cstheme="minorHAnsi"/>
          <w:color w:val="2E74B5" w:themeColor="accent5" w:themeShade="BF"/>
          <w:sz w:val="22"/>
          <w:szCs w:val="22"/>
        </w:rPr>
        <w:t>Selección #:</w:t>
      </w:r>
      <w:r w:rsidR="00CA1265" w:rsidRPr="002C3879">
        <w:rPr>
          <w:rFonts w:asciiTheme="minorHAnsi" w:hAnsiTheme="minorHAnsi" w:cstheme="minorHAnsi"/>
          <w:color w:val="2E74B5" w:themeColor="accent5" w:themeShade="BF"/>
          <w:sz w:val="22"/>
          <w:szCs w:val="22"/>
        </w:rPr>
        <w:tab/>
      </w:r>
      <w:r w:rsidR="00CA1265" w:rsidRPr="002C3879">
        <w:rPr>
          <w:rFonts w:asciiTheme="minorHAnsi" w:hAnsiTheme="minorHAnsi" w:cstheme="minorHAnsi"/>
          <w:color w:val="2E74B5" w:themeColor="accent5" w:themeShade="BF"/>
          <w:sz w:val="22"/>
          <w:szCs w:val="22"/>
        </w:rPr>
        <w:tab/>
      </w:r>
      <w:r w:rsidRPr="002C3879">
        <w:rPr>
          <w:rFonts w:asciiTheme="minorHAnsi" w:hAnsiTheme="minorHAnsi" w:cstheme="minorHAnsi"/>
          <w:color w:val="2E74B5" w:themeColor="accent5" w:themeShade="BF"/>
          <w:sz w:val="22"/>
          <w:szCs w:val="22"/>
        </w:rPr>
        <w:t xml:space="preserve"> </w:t>
      </w:r>
      <w:r w:rsidR="00CA1265" w:rsidRPr="002C3879">
        <w:rPr>
          <w:rFonts w:asciiTheme="minorHAnsi" w:hAnsiTheme="minorHAnsi" w:cstheme="minorHAnsi"/>
          <w:color w:val="2E74B5" w:themeColor="accent5" w:themeShade="BF"/>
          <w:sz w:val="22"/>
          <w:szCs w:val="22"/>
        </w:rPr>
        <w:tab/>
      </w:r>
      <w:r w:rsidR="00A47AA4" w:rsidRPr="00A47AA4">
        <w:rPr>
          <w:rFonts w:asciiTheme="minorHAnsi" w:hAnsiTheme="minorHAnsi" w:cstheme="minorHAnsi"/>
          <w:color w:val="2E74B5" w:themeColor="accent5" w:themeShade="BF"/>
          <w:sz w:val="22"/>
          <w:szCs w:val="22"/>
        </w:rPr>
        <w:t>HO-T1396-P001</w:t>
      </w:r>
    </w:p>
    <w:p w14:paraId="6AF349DD" w14:textId="15B18539" w:rsidR="000D1189" w:rsidRPr="009A4966" w:rsidRDefault="000D1189" w:rsidP="776946E1">
      <w:pPr>
        <w:pStyle w:val="Default"/>
        <w:jc w:val="both"/>
        <w:rPr>
          <w:rFonts w:asciiTheme="minorHAnsi" w:hAnsiTheme="minorHAnsi" w:cstheme="minorBidi"/>
          <w:color w:val="2E74B5" w:themeColor="accent5" w:themeShade="BF"/>
          <w:sz w:val="22"/>
          <w:szCs w:val="22"/>
        </w:rPr>
      </w:pPr>
      <w:r w:rsidRPr="776946E1">
        <w:rPr>
          <w:rFonts w:asciiTheme="minorHAnsi" w:hAnsiTheme="minorHAnsi" w:cstheme="minorBidi"/>
          <w:color w:val="2E74B5" w:themeColor="accent5" w:themeShade="BF"/>
          <w:sz w:val="22"/>
          <w:szCs w:val="22"/>
        </w:rPr>
        <w:t xml:space="preserve">Método de selección: </w:t>
      </w:r>
      <w:r>
        <w:tab/>
      </w:r>
      <w:r>
        <w:tab/>
      </w:r>
      <w:r w:rsidRPr="776946E1">
        <w:rPr>
          <w:rFonts w:asciiTheme="minorHAnsi" w:hAnsiTheme="minorHAnsi" w:cstheme="minorBidi"/>
          <w:color w:val="2E74B5" w:themeColor="accent5" w:themeShade="BF"/>
          <w:sz w:val="22"/>
          <w:szCs w:val="22"/>
        </w:rPr>
        <w:t xml:space="preserve">Selección </w:t>
      </w:r>
      <w:r w:rsidR="00A47AA4" w:rsidRPr="776946E1">
        <w:rPr>
          <w:rFonts w:asciiTheme="minorHAnsi" w:hAnsiTheme="minorHAnsi" w:cstheme="minorBidi"/>
          <w:color w:val="2E74B5" w:themeColor="accent5" w:themeShade="BF"/>
          <w:sz w:val="22"/>
          <w:szCs w:val="22"/>
        </w:rPr>
        <w:t xml:space="preserve">Competitiva Integral </w:t>
      </w:r>
    </w:p>
    <w:p w14:paraId="126589F1" w14:textId="2A139523" w:rsidR="000D1189" w:rsidRPr="009A4966" w:rsidRDefault="000D1189" w:rsidP="00FE51D3">
      <w:pPr>
        <w:pStyle w:val="Default"/>
        <w:jc w:val="both"/>
        <w:rPr>
          <w:rFonts w:asciiTheme="minorHAnsi" w:hAnsiTheme="minorHAnsi" w:cstheme="minorHAnsi"/>
          <w:color w:val="2E74B5" w:themeColor="accent5" w:themeShade="BF"/>
          <w:sz w:val="22"/>
          <w:szCs w:val="22"/>
        </w:rPr>
      </w:pPr>
      <w:r w:rsidRPr="009A4966">
        <w:rPr>
          <w:rFonts w:asciiTheme="minorHAnsi" w:hAnsiTheme="minorHAnsi" w:cstheme="minorHAnsi"/>
          <w:color w:val="2E74B5" w:themeColor="accent5" w:themeShade="BF"/>
          <w:sz w:val="22"/>
          <w:szCs w:val="22"/>
        </w:rPr>
        <w:t>País:</w:t>
      </w:r>
      <w:r w:rsidR="00CA1265">
        <w:rPr>
          <w:rFonts w:asciiTheme="minorHAnsi" w:hAnsiTheme="minorHAnsi" w:cstheme="minorHAnsi"/>
          <w:color w:val="2E74B5" w:themeColor="accent5" w:themeShade="BF"/>
          <w:sz w:val="22"/>
          <w:szCs w:val="22"/>
        </w:rPr>
        <w:tab/>
      </w:r>
      <w:r w:rsidR="00CA1265">
        <w:rPr>
          <w:rFonts w:asciiTheme="minorHAnsi" w:hAnsiTheme="minorHAnsi" w:cstheme="minorHAnsi"/>
          <w:color w:val="2E74B5" w:themeColor="accent5" w:themeShade="BF"/>
          <w:sz w:val="22"/>
          <w:szCs w:val="22"/>
        </w:rPr>
        <w:tab/>
      </w:r>
      <w:r w:rsidR="00CA1265">
        <w:rPr>
          <w:rFonts w:asciiTheme="minorHAnsi" w:hAnsiTheme="minorHAnsi" w:cstheme="minorHAnsi"/>
          <w:color w:val="2E74B5" w:themeColor="accent5" w:themeShade="BF"/>
          <w:sz w:val="22"/>
          <w:szCs w:val="22"/>
        </w:rPr>
        <w:tab/>
      </w:r>
      <w:r w:rsidRPr="009A4966">
        <w:rPr>
          <w:rFonts w:asciiTheme="minorHAnsi" w:hAnsiTheme="minorHAnsi" w:cstheme="minorHAnsi"/>
          <w:color w:val="2E74B5" w:themeColor="accent5" w:themeShade="BF"/>
          <w:sz w:val="22"/>
          <w:szCs w:val="22"/>
        </w:rPr>
        <w:t xml:space="preserve"> </w:t>
      </w:r>
      <w:r w:rsidR="00CA1265">
        <w:rPr>
          <w:rFonts w:asciiTheme="minorHAnsi" w:hAnsiTheme="minorHAnsi" w:cstheme="minorHAnsi"/>
          <w:color w:val="2E74B5" w:themeColor="accent5" w:themeShade="BF"/>
          <w:sz w:val="22"/>
          <w:szCs w:val="22"/>
        </w:rPr>
        <w:tab/>
        <w:t>Honduras</w:t>
      </w:r>
      <w:r w:rsidRPr="009A4966">
        <w:rPr>
          <w:rFonts w:asciiTheme="minorHAnsi" w:hAnsiTheme="minorHAnsi" w:cstheme="minorHAnsi"/>
          <w:color w:val="2E74B5" w:themeColor="accent5" w:themeShade="BF"/>
          <w:sz w:val="22"/>
          <w:szCs w:val="22"/>
        </w:rPr>
        <w:t xml:space="preserve"> </w:t>
      </w:r>
    </w:p>
    <w:p w14:paraId="5C699055" w14:textId="3C3DCDF9" w:rsidR="000D1189" w:rsidRPr="009A4966" w:rsidRDefault="000D1189" w:rsidP="00FE51D3">
      <w:pPr>
        <w:pStyle w:val="Default"/>
        <w:jc w:val="both"/>
        <w:rPr>
          <w:rFonts w:asciiTheme="minorHAnsi" w:hAnsiTheme="minorHAnsi" w:cstheme="minorHAnsi"/>
          <w:color w:val="2E74B5" w:themeColor="accent5" w:themeShade="BF"/>
          <w:sz w:val="22"/>
          <w:szCs w:val="22"/>
        </w:rPr>
      </w:pPr>
      <w:r w:rsidRPr="009A4966">
        <w:rPr>
          <w:rFonts w:asciiTheme="minorHAnsi" w:hAnsiTheme="minorHAnsi" w:cstheme="minorHAnsi"/>
          <w:color w:val="2E74B5" w:themeColor="accent5" w:themeShade="BF"/>
          <w:sz w:val="22"/>
          <w:szCs w:val="22"/>
        </w:rPr>
        <w:t xml:space="preserve">Sector: </w:t>
      </w:r>
      <w:r w:rsidR="00CA1265">
        <w:rPr>
          <w:rFonts w:asciiTheme="minorHAnsi" w:hAnsiTheme="minorHAnsi" w:cstheme="minorHAnsi"/>
          <w:color w:val="2E74B5" w:themeColor="accent5" w:themeShade="BF"/>
          <w:sz w:val="22"/>
          <w:szCs w:val="22"/>
        </w:rPr>
        <w:tab/>
      </w:r>
      <w:r w:rsidR="00CA1265">
        <w:rPr>
          <w:rFonts w:asciiTheme="minorHAnsi" w:hAnsiTheme="minorHAnsi" w:cstheme="minorHAnsi"/>
          <w:color w:val="2E74B5" w:themeColor="accent5" w:themeShade="BF"/>
          <w:sz w:val="22"/>
          <w:szCs w:val="22"/>
        </w:rPr>
        <w:tab/>
      </w:r>
      <w:r w:rsidR="00CA1265">
        <w:rPr>
          <w:rFonts w:asciiTheme="minorHAnsi" w:hAnsiTheme="minorHAnsi" w:cstheme="minorHAnsi"/>
          <w:color w:val="2E74B5" w:themeColor="accent5" w:themeShade="BF"/>
          <w:sz w:val="22"/>
          <w:szCs w:val="22"/>
        </w:rPr>
        <w:tab/>
      </w:r>
      <w:r w:rsidR="00CA1265">
        <w:rPr>
          <w:rFonts w:asciiTheme="minorHAnsi" w:hAnsiTheme="minorHAnsi" w:cstheme="minorHAnsi"/>
          <w:color w:val="2E74B5" w:themeColor="accent5" w:themeShade="BF"/>
          <w:sz w:val="22"/>
          <w:szCs w:val="22"/>
        </w:rPr>
        <w:tab/>
      </w:r>
      <w:r w:rsidRPr="009A4966">
        <w:rPr>
          <w:rFonts w:asciiTheme="minorHAnsi" w:hAnsiTheme="minorHAnsi" w:cstheme="minorHAnsi"/>
          <w:color w:val="2E74B5" w:themeColor="accent5" w:themeShade="BF"/>
          <w:sz w:val="22"/>
          <w:szCs w:val="22"/>
        </w:rPr>
        <w:t xml:space="preserve">WSA </w:t>
      </w:r>
    </w:p>
    <w:p w14:paraId="58D2E60B" w14:textId="39187E6D" w:rsidR="000D1189" w:rsidRPr="009A4966" w:rsidRDefault="000D1189" w:rsidP="00FE51D3">
      <w:pPr>
        <w:pStyle w:val="Default"/>
        <w:jc w:val="both"/>
        <w:rPr>
          <w:rFonts w:asciiTheme="minorHAnsi" w:hAnsiTheme="minorHAnsi" w:cstheme="minorHAnsi"/>
          <w:color w:val="2E74B5" w:themeColor="accent5" w:themeShade="BF"/>
          <w:sz w:val="22"/>
          <w:szCs w:val="22"/>
        </w:rPr>
      </w:pPr>
      <w:r w:rsidRPr="002C3879">
        <w:rPr>
          <w:rFonts w:asciiTheme="minorHAnsi" w:hAnsiTheme="minorHAnsi" w:cstheme="minorHAnsi"/>
          <w:color w:val="2E74B5" w:themeColor="accent5" w:themeShade="BF"/>
          <w:sz w:val="22"/>
          <w:szCs w:val="22"/>
        </w:rPr>
        <w:t>Financiación #:</w:t>
      </w:r>
      <w:r w:rsidR="00CA1265" w:rsidRPr="002C3879">
        <w:rPr>
          <w:rFonts w:asciiTheme="minorHAnsi" w:hAnsiTheme="minorHAnsi" w:cstheme="minorHAnsi"/>
          <w:color w:val="2E74B5" w:themeColor="accent5" w:themeShade="BF"/>
          <w:sz w:val="22"/>
          <w:szCs w:val="22"/>
        </w:rPr>
        <w:tab/>
      </w:r>
      <w:r w:rsidR="00CA1265" w:rsidRPr="002C3879">
        <w:rPr>
          <w:rFonts w:asciiTheme="minorHAnsi" w:hAnsiTheme="minorHAnsi" w:cstheme="minorHAnsi"/>
          <w:color w:val="2E74B5" w:themeColor="accent5" w:themeShade="BF"/>
          <w:sz w:val="22"/>
          <w:szCs w:val="22"/>
        </w:rPr>
        <w:tab/>
      </w:r>
      <w:r w:rsidR="00CA1265" w:rsidRPr="002C3879">
        <w:rPr>
          <w:rFonts w:asciiTheme="minorHAnsi" w:hAnsiTheme="minorHAnsi" w:cstheme="minorHAnsi"/>
          <w:color w:val="2E74B5" w:themeColor="accent5" w:themeShade="BF"/>
          <w:sz w:val="22"/>
          <w:szCs w:val="22"/>
        </w:rPr>
        <w:tab/>
      </w:r>
      <w:r w:rsidR="006F20B9" w:rsidRPr="002C3879">
        <w:rPr>
          <w:rFonts w:asciiTheme="minorHAnsi" w:hAnsiTheme="minorHAnsi" w:cstheme="minorHAnsi"/>
          <w:color w:val="2E74B5" w:themeColor="accent5" w:themeShade="BF"/>
          <w:sz w:val="22"/>
          <w:szCs w:val="22"/>
        </w:rPr>
        <w:t>HO-T1396</w:t>
      </w:r>
      <w:r w:rsidRPr="009A4966">
        <w:rPr>
          <w:rFonts w:asciiTheme="minorHAnsi" w:hAnsiTheme="minorHAnsi" w:cstheme="minorHAnsi"/>
          <w:color w:val="2E74B5" w:themeColor="accent5" w:themeShade="BF"/>
          <w:sz w:val="22"/>
          <w:szCs w:val="22"/>
        </w:rPr>
        <w:t xml:space="preserve"> </w:t>
      </w:r>
    </w:p>
    <w:p w14:paraId="2DD013AE" w14:textId="27DB3ECF" w:rsidR="000D1189" w:rsidRPr="009A4966" w:rsidRDefault="000D1189" w:rsidP="00CA1265">
      <w:pPr>
        <w:pStyle w:val="Default"/>
        <w:ind w:left="2880" w:hanging="2880"/>
        <w:jc w:val="both"/>
        <w:rPr>
          <w:rFonts w:asciiTheme="minorHAnsi" w:hAnsiTheme="minorHAnsi" w:cstheme="minorHAnsi"/>
          <w:color w:val="2E74B5" w:themeColor="accent5" w:themeShade="BF"/>
          <w:sz w:val="22"/>
          <w:szCs w:val="22"/>
        </w:rPr>
      </w:pPr>
      <w:r w:rsidRPr="009A4966">
        <w:rPr>
          <w:rFonts w:asciiTheme="minorHAnsi" w:hAnsiTheme="minorHAnsi" w:cstheme="minorHAnsi"/>
          <w:color w:val="2E74B5" w:themeColor="accent5" w:themeShade="BF"/>
          <w:sz w:val="22"/>
          <w:szCs w:val="22"/>
        </w:rPr>
        <w:t xml:space="preserve">Descripción de los Servicios: </w:t>
      </w:r>
      <w:r w:rsidR="00CA1265">
        <w:rPr>
          <w:rFonts w:asciiTheme="minorHAnsi" w:hAnsiTheme="minorHAnsi" w:cstheme="minorHAnsi"/>
          <w:color w:val="2E74B5" w:themeColor="accent5" w:themeShade="BF"/>
          <w:sz w:val="22"/>
          <w:szCs w:val="22"/>
        </w:rPr>
        <w:tab/>
      </w:r>
      <w:r w:rsidR="000E46F4">
        <w:rPr>
          <w:rFonts w:asciiTheme="minorHAnsi" w:hAnsiTheme="minorHAnsi" w:cstheme="minorHAnsi"/>
          <w:color w:val="2E74B5" w:themeColor="accent5" w:themeShade="BF"/>
          <w:sz w:val="22"/>
          <w:szCs w:val="22"/>
        </w:rPr>
        <w:t xml:space="preserve">Actualización de los Planes Maestros de Agua Potable, Saneamiento y Drenaje Pluvial del Distrito Central, </w:t>
      </w:r>
      <w:r w:rsidR="00A4787A">
        <w:rPr>
          <w:rFonts w:asciiTheme="minorHAnsi" w:hAnsiTheme="minorHAnsi" w:cstheme="minorHAnsi"/>
          <w:color w:val="2E74B5" w:themeColor="accent5" w:themeShade="BF"/>
          <w:sz w:val="22"/>
          <w:szCs w:val="22"/>
        </w:rPr>
        <w:t>Tegucigalpa</w:t>
      </w:r>
      <w:r w:rsidR="000D26A3">
        <w:rPr>
          <w:rFonts w:asciiTheme="minorHAnsi" w:hAnsiTheme="minorHAnsi" w:cstheme="minorHAnsi"/>
          <w:color w:val="2E74B5" w:themeColor="accent5" w:themeShade="BF"/>
          <w:sz w:val="22"/>
          <w:szCs w:val="22"/>
        </w:rPr>
        <w:t xml:space="preserve">, </w:t>
      </w:r>
      <w:r w:rsidR="000E46F4">
        <w:rPr>
          <w:rFonts w:asciiTheme="minorHAnsi" w:hAnsiTheme="minorHAnsi" w:cstheme="minorHAnsi"/>
          <w:color w:val="2E74B5" w:themeColor="accent5" w:themeShade="BF"/>
          <w:sz w:val="22"/>
          <w:szCs w:val="22"/>
        </w:rPr>
        <w:t>Honduras</w:t>
      </w:r>
    </w:p>
    <w:p w14:paraId="7B6529A1" w14:textId="77777777" w:rsidR="00987E3C" w:rsidRPr="009A4966" w:rsidRDefault="00987E3C" w:rsidP="00FE51D3">
      <w:pPr>
        <w:pStyle w:val="Default"/>
        <w:jc w:val="both"/>
        <w:rPr>
          <w:rFonts w:asciiTheme="minorHAnsi" w:hAnsiTheme="minorHAnsi" w:cstheme="minorHAnsi"/>
          <w:color w:val="2E74B5" w:themeColor="accent5" w:themeShade="BF"/>
          <w:sz w:val="22"/>
          <w:szCs w:val="22"/>
        </w:rPr>
      </w:pPr>
    </w:p>
    <w:p w14:paraId="228FD254" w14:textId="1DDF162C" w:rsidR="000D1189" w:rsidRPr="009A4966" w:rsidRDefault="000D1189" w:rsidP="00FE51D3">
      <w:pPr>
        <w:pStyle w:val="Default"/>
        <w:jc w:val="both"/>
        <w:rPr>
          <w:rFonts w:asciiTheme="minorHAnsi" w:hAnsiTheme="minorHAnsi" w:cstheme="minorHAnsi"/>
          <w:sz w:val="22"/>
          <w:szCs w:val="22"/>
        </w:rPr>
      </w:pPr>
      <w:r w:rsidRPr="009A4966">
        <w:rPr>
          <w:rFonts w:asciiTheme="minorHAnsi" w:hAnsiTheme="minorHAnsi" w:cstheme="minorHAnsi"/>
          <w:sz w:val="22"/>
          <w:szCs w:val="22"/>
        </w:rPr>
        <w:t xml:space="preserve">El Banco Interamericano de Desarrollo (BID) tiene la intención de contratar los servicios de consultoría descritos en </w:t>
      </w:r>
      <w:r w:rsidR="00ED7D4C" w:rsidRPr="009A4966">
        <w:rPr>
          <w:rFonts w:asciiTheme="minorHAnsi" w:hAnsiTheme="minorHAnsi" w:cstheme="minorHAnsi"/>
          <w:sz w:val="22"/>
          <w:szCs w:val="22"/>
        </w:rPr>
        <w:t xml:space="preserve">la presente </w:t>
      </w:r>
      <w:r w:rsidRPr="009A4966">
        <w:rPr>
          <w:rFonts w:asciiTheme="minorHAnsi" w:hAnsiTheme="minorHAnsi" w:cstheme="minorHAnsi"/>
          <w:sz w:val="22"/>
          <w:szCs w:val="22"/>
        </w:rPr>
        <w:t>Solicitud de Expresiones de Interés</w:t>
      </w:r>
      <w:r w:rsidR="00710272" w:rsidRPr="009A4966">
        <w:rPr>
          <w:rFonts w:asciiTheme="minorHAnsi" w:hAnsiTheme="minorHAnsi" w:cstheme="minorHAnsi"/>
          <w:sz w:val="22"/>
          <w:szCs w:val="22"/>
        </w:rPr>
        <w:t xml:space="preserve">, las cuales </w:t>
      </w:r>
      <w:r w:rsidRPr="009A4966">
        <w:rPr>
          <w:rFonts w:asciiTheme="minorHAnsi" w:hAnsiTheme="minorHAnsi" w:cstheme="minorHAnsi"/>
          <w:sz w:val="22"/>
          <w:szCs w:val="22"/>
        </w:rPr>
        <w:t>deberán ser r</w:t>
      </w:r>
      <w:r w:rsidR="005E0069" w:rsidRPr="009A4966">
        <w:rPr>
          <w:rFonts w:asciiTheme="minorHAnsi" w:hAnsiTheme="minorHAnsi" w:cstheme="minorHAnsi"/>
          <w:sz w:val="22"/>
          <w:szCs w:val="22"/>
        </w:rPr>
        <w:t>emitidas</w:t>
      </w:r>
      <w:r w:rsidRPr="009A4966">
        <w:rPr>
          <w:rFonts w:asciiTheme="minorHAnsi" w:hAnsiTheme="minorHAnsi" w:cstheme="minorHAnsi"/>
          <w:sz w:val="22"/>
          <w:szCs w:val="22"/>
        </w:rPr>
        <w:t xml:space="preserve"> usando el Portal del BID para las Operaciones Ejecutadas por el Banco </w:t>
      </w:r>
      <w:hyperlink r:id="rId14" w:history="1">
        <w:r w:rsidR="00CD4F7F" w:rsidRPr="009A4966">
          <w:rPr>
            <w:rStyle w:val="Hyperlink"/>
            <w:rFonts w:asciiTheme="minorHAnsi" w:hAnsiTheme="minorHAnsi" w:cstheme="minorHAnsi"/>
            <w:sz w:val="22"/>
            <w:szCs w:val="22"/>
          </w:rPr>
          <w:t>https://beo-procurement.iadb.org/es/home</w:t>
        </w:r>
      </w:hyperlink>
      <w:r w:rsidR="004D7130" w:rsidRPr="009A4966">
        <w:rPr>
          <w:rFonts w:asciiTheme="minorHAnsi" w:hAnsiTheme="minorHAnsi" w:cstheme="minorHAnsi"/>
          <w:sz w:val="22"/>
          <w:szCs w:val="22"/>
        </w:rPr>
        <w:t>,</w:t>
      </w:r>
      <w:r w:rsidR="00CD4F7F" w:rsidRPr="009A4966">
        <w:rPr>
          <w:rFonts w:asciiTheme="minorHAnsi" w:hAnsiTheme="minorHAnsi" w:cstheme="minorHAnsi"/>
          <w:sz w:val="22"/>
          <w:szCs w:val="22"/>
        </w:rPr>
        <w:t xml:space="preserve"> </w:t>
      </w:r>
      <w:r w:rsidRPr="00AF4911">
        <w:rPr>
          <w:rFonts w:asciiTheme="minorHAnsi" w:hAnsiTheme="minorHAnsi" w:cstheme="minorHAnsi"/>
          <w:sz w:val="22"/>
          <w:szCs w:val="22"/>
        </w:rPr>
        <w:t xml:space="preserve">antes de </w:t>
      </w:r>
      <w:r w:rsidR="008A56AC">
        <w:rPr>
          <w:rFonts w:asciiTheme="minorHAnsi" w:hAnsiTheme="minorHAnsi" w:cstheme="minorHAnsi"/>
          <w:sz w:val="22"/>
          <w:szCs w:val="22"/>
        </w:rPr>
        <w:t>1</w:t>
      </w:r>
      <w:r w:rsidR="0016375D">
        <w:rPr>
          <w:rFonts w:asciiTheme="minorHAnsi" w:hAnsiTheme="minorHAnsi" w:cstheme="minorHAnsi"/>
          <w:i/>
          <w:iCs/>
          <w:sz w:val="22"/>
          <w:szCs w:val="22"/>
        </w:rPr>
        <w:t>5 de agosto</w:t>
      </w:r>
      <w:r w:rsidRPr="00AF4911">
        <w:rPr>
          <w:rFonts w:asciiTheme="minorHAnsi" w:hAnsiTheme="minorHAnsi" w:cstheme="minorHAnsi"/>
          <w:i/>
          <w:iCs/>
          <w:sz w:val="22"/>
          <w:szCs w:val="22"/>
        </w:rPr>
        <w:t xml:space="preserve"> de 2022</w:t>
      </w:r>
      <w:r w:rsidR="00E45D9B" w:rsidRPr="00AF4911">
        <w:rPr>
          <w:rFonts w:asciiTheme="minorHAnsi" w:hAnsiTheme="minorHAnsi" w:cstheme="minorHAnsi"/>
          <w:i/>
          <w:iCs/>
          <w:sz w:val="22"/>
          <w:szCs w:val="22"/>
        </w:rPr>
        <w:t>,</w:t>
      </w:r>
      <w:r w:rsidRPr="00AF4911">
        <w:rPr>
          <w:rFonts w:asciiTheme="minorHAnsi" w:hAnsiTheme="minorHAnsi" w:cstheme="minorHAnsi"/>
          <w:i/>
          <w:iCs/>
          <w:sz w:val="22"/>
          <w:szCs w:val="22"/>
        </w:rPr>
        <w:t xml:space="preserve"> </w:t>
      </w:r>
      <w:r w:rsidRPr="00AF4911">
        <w:rPr>
          <w:rFonts w:asciiTheme="minorHAnsi" w:hAnsiTheme="minorHAnsi" w:cstheme="minorHAnsi"/>
          <w:sz w:val="22"/>
          <w:szCs w:val="22"/>
        </w:rPr>
        <w:t>5:00 P.M. (Hora de Washington DC).</w:t>
      </w:r>
      <w:r w:rsidRPr="009A4966">
        <w:rPr>
          <w:rFonts w:asciiTheme="minorHAnsi" w:hAnsiTheme="minorHAnsi" w:cstheme="minorHAnsi"/>
          <w:sz w:val="22"/>
          <w:szCs w:val="22"/>
        </w:rPr>
        <w:t xml:space="preserve"> </w:t>
      </w:r>
    </w:p>
    <w:p w14:paraId="2573B1C7" w14:textId="77777777" w:rsidR="00683979" w:rsidRPr="009A4966" w:rsidRDefault="00683979" w:rsidP="00FE51D3">
      <w:pPr>
        <w:pStyle w:val="Default"/>
        <w:jc w:val="both"/>
        <w:rPr>
          <w:rFonts w:asciiTheme="minorHAnsi" w:hAnsiTheme="minorHAnsi" w:cstheme="minorHAnsi"/>
          <w:sz w:val="22"/>
          <w:szCs w:val="22"/>
        </w:rPr>
      </w:pPr>
    </w:p>
    <w:p w14:paraId="0284AB60" w14:textId="425D22DA" w:rsidR="00AB0F6C" w:rsidRPr="00E205A5" w:rsidRDefault="000D1189" w:rsidP="00AB0F6C">
      <w:pPr>
        <w:pStyle w:val="Default"/>
        <w:jc w:val="both"/>
        <w:rPr>
          <w:bCs/>
          <w:lang w:val="es-HN"/>
        </w:rPr>
      </w:pPr>
      <w:r w:rsidRPr="00AF4911">
        <w:rPr>
          <w:rFonts w:asciiTheme="minorHAnsi" w:hAnsiTheme="minorHAnsi" w:cstheme="minorHAnsi"/>
          <w:sz w:val="22"/>
          <w:szCs w:val="22"/>
        </w:rPr>
        <w:t xml:space="preserve">Los servicios de consultoría ("los Servicios") </w:t>
      </w:r>
      <w:r w:rsidR="005F04CA" w:rsidRPr="00AF4911">
        <w:rPr>
          <w:rFonts w:asciiTheme="minorHAnsi" w:hAnsiTheme="minorHAnsi" w:cstheme="minorHAnsi"/>
          <w:sz w:val="22"/>
          <w:szCs w:val="22"/>
        </w:rPr>
        <w:t>incluyen la actualización de</w:t>
      </w:r>
      <w:r w:rsidR="00670EA5" w:rsidRPr="00AF4911">
        <w:rPr>
          <w:rFonts w:asciiTheme="minorHAnsi" w:hAnsiTheme="minorHAnsi" w:cstheme="minorHAnsi"/>
          <w:bCs/>
          <w:sz w:val="22"/>
          <w:szCs w:val="22"/>
          <w:lang w:val="es-HN"/>
        </w:rPr>
        <w:t xml:space="preserve"> los </w:t>
      </w:r>
      <w:r w:rsidR="00380CC2" w:rsidRPr="00AF4911">
        <w:rPr>
          <w:rFonts w:asciiTheme="minorHAnsi" w:hAnsiTheme="minorHAnsi" w:cstheme="minorHAnsi"/>
          <w:bCs/>
          <w:sz w:val="22"/>
          <w:szCs w:val="22"/>
          <w:lang w:val="es-HN"/>
        </w:rPr>
        <w:t>P</w:t>
      </w:r>
      <w:r w:rsidR="00670EA5" w:rsidRPr="00AF4911">
        <w:rPr>
          <w:rFonts w:asciiTheme="minorHAnsi" w:hAnsiTheme="minorHAnsi" w:cstheme="minorHAnsi"/>
          <w:bCs/>
          <w:sz w:val="22"/>
          <w:szCs w:val="22"/>
          <w:lang w:val="es-HN"/>
        </w:rPr>
        <w:t xml:space="preserve">lanes </w:t>
      </w:r>
      <w:proofErr w:type="gramStart"/>
      <w:r w:rsidR="00380CC2" w:rsidRPr="00AF4911">
        <w:rPr>
          <w:rFonts w:asciiTheme="minorHAnsi" w:hAnsiTheme="minorHAnsi" w:cstheme="minorHAnsi"/>
          <w:bCs/>
          <w:sz w:val="22"/>
          <w:szCs w:val="22"/>
          <w:lang w:val="es-HN"/>
        </w:rPr>
        <w:t>D</w:t>
      </w:r>
      <w:r w:rsidR="00670EA5" w:rsidRPr="00AF4911">
        <w:rPr>
          <w:rFonts w:asciiTheme="minorHAnsi" w:hAnsiTheme="minorHAnsi" w:cstheme="minorHAnsi"/>
          <w:bCs/>
          <w:sz w:val="22"/>
          <w:szCs w:val="22"/>
          <w:lang w:val="es-HN"/>
        </w:rPr>
        <w:t>irectores</w:t>
      </w:r>
      <w:proofErr w:type="gramEnd"/>
      <w:r w:rsidR="00670EA5" w:rsidRPr="00AF4911">
        <w:rPr>
          <w:rFonts w:asciiTheme="minorHAnsi" w:hAnsiTheme="minorHAnsi" w:cstheme="minorHAnsi"/>
          <w:bCs/>
          <w:sz w:val="22"/>
          <w:szCs w:val="22"/>
          <w:lang w:val="es-HN"/>
        </w:rPr>
        <w:t xml:space="preserve"> </w:t>
      </w:r>
      <w:r w:rsidR="00380CC2" w:rsidRPr="00AF4911">
        <w:rPr>
          <w:rFonts w:asciiTheme="minorHAnsi" w:hAnsiTheme="minorHAnsi" w:cstheme="minorHAnsi"/>
          <w:bCs/>
          <w:sz w:val="22"/>
          <w:szCs w:val="22"/>
          <w:lang w:val="es-HN"/>
        </w:rPr>
        <w:t xml:space="preserve">de </w:t>
      </w:r>
      <w:r w:rsidR="00670EA5" w:rsidRPr="00AF4911">
        <w:rPr>
          <w:rFonts w:asciiTheme="minorHAnsi" w:hAnsiTheme="minorHAnsi" w:cstheme="minorHAnsi"/>
          <w:bCs/>
          <w:sz w:val="22"/>
          <w:szCs w:val="22"/>
          <w:lang w:val="es-HN"/>
        </w:rPr>
        <w:t>agua potable, saneamiento y drenaje pluvial</w:t>
      </w:r>
      <w:r w:rsidR="005F04CA" w:rsidRPr="00AF4911">
        <w:rPr>
          <w:rFonts w:asciiTheme="minorHAnsi" w:hAnsiTheme="minorHAnsi" w:cstheme="minorHAnsi"/>
          <w:bCs/>
          <w:sz w:val="22"/>
          <w:szCs w:val="22"/>
          <w:lang w:val="es-HN"/>
        </w:rPr>
        <w:t xml:space="preserve"> </w:t>
      </w:r>
      <w:r w:rsidR="009E316D" w:rsidRPr="00AF4911">
        <w:rPr>
          <w:rFonts w:asciiTheme="minorHAnsi" w:hAnsiTheme="minorHAnsi" w:cstheme="minorHAnsi"/>
          <w:bCs/>
          <w:sz w:val="22"/>
          <w:szCs w:val="22"/>
          <w:lang w:val="es-HN"/>
        </w:rPr>
        <w:t>para</w:t>
      </w:r>
      <w:r w:rsidR="005F04CA" w:rsidRPr="00AF4911">
        <w:rPr>
          <w:rFonts w:asciiTheme="minorHAnsi" w:hAnsiTheme="minorHAnsi" w:cstheme="minorHAnsi"/>
          <w:bCs/>
          <w:sz w:val="22"/>
          <w:szCs w:val="22"/>
          <w:lang w:val="es-HN"/>
        </w:rPr>
        <w:t xml:space="preserve"> el </w:t>
      </w:r>
      <w:r w:rsidR="00AB0F6C" w:rsidRPr="00AF4911">
        <w:rPr>
          <w:rFonts w:asciiTheme="minorHAnsi" w:hAnsiTheme="minorHAnsi" w:cstheme="minorHAnsi"/>
          <w:bCs/>
          <w:sz w:val="22"/>
          <w:szCs w:val="22"/>
          <w:lang w:val="es-HN"/>
        </w:rPr>
        <w:t xml:space="preserve">Municipio </w:t>
      </w:r>
      <w:r w:rsidR="005F04CA" w:rsidRPr="00AF4911">
        <w:rPr>
          <w:rFonts w:asciiTheme="minorHAnsi" w:hAnsiTheme="minorHAnsi" w:cstheme="minorHAnsi"/>
          <w:bCs/>
          <w:sz w:val="22"/>
          <w:szCs w:val="22"/>
          <w:lang w:val="es-HN"/>
        </w:rPr>
        <w:t xml:space="preserve">Distrito Central </w:t>
      </w:r>
      <w:r w:rsidR="00AB0F6C" w:rsidRPr="00AF4911">
        <w:rPr>
          <w:rFonts w:asciiTheme="minorHAnsi" w:hAnsiTheme="minorHAnsi" w:cstheme="minorHAnsi"/>
          <w:bCs/>
          <w:sz w:val="22"/>
          <w:szCs w:val="22"/>
          <w:lang w:val="es-HN"/>
        </w:rPr>
        <w:t xml:space="preserve">– MDC - </w:t>
      </w:r>
      <w:r w:rsidR="005F04CA" w:rsidRPr="00AF4911">
        <w:rPr>
          <w:rFonts w:asciiTheme="minorHAnsi" w:hAnsiTheme="minorHAnsi" w:cstheme="minorHAnsi"/>
          <w:bCs/>
          <w:sz w:val="22"/>
          <w:szCs w:val="22"/>
          <w:lang w:val="es-HN"/>
        </w:rPr>
        <w:t>(Tegucigalpa, Honduras)</w:t>
      </w:r>
      <w:r w:rsidR="007E133D" w:rsidRPr="00AF4911">
        <w:rPr>
          <w:rFonts w:asciiTheme="minorHAnsi" w:hAnsiTheme="minorHAnsi" w:cstheme="minorHAnsi"/>
          <w:bCs/>
          <w:sz w:val="22"/>
          <w:szCs w:val="22"/>
          <w:lang w:val="es-HN"/>
        </w:rPr>
        <w:t xml:space="preserve">, </w:t>
      </w:r>
    </w:p>
    <w:p w14:paraId="2E003659" w14:textId="4061A336" w:rsidR="0027237E" w:rsidRDefault="0027237E" w:rsidP="00AF720D">
      <w:pPr>
        <w:spacing w:after="0" w:line="240" w:lineRule="auto"/>
        <w:jc w:val="both"/>
        <w:rPr>
          <w:rFonts w:ascii="Calibri" w:hAnsi="Calibri" w:cs="Calibri"/>
          <w:lang w:val="es-ES_tradnl"/>
        </w:rPr>
      </w:pPr>
      <w:r w:rsidRPr="00E205A5">
        <w:rPr>
          <w:rFonts w:ascii="Calibri" w:hAnsi="Calibri" w:cs="Calibri"/>
          <w:bCs/>
          <w:lang w:val="es-HN"/>
        </w:rPr>
        <w:t xml:space="preserve">a cargo de la </w:t>
      </w:r>
      <w:r w:rsidR="00AB0F6C">
        <w:rPr>
          <w:rFonts w:ascii="Calibri" w:hAnsi="Calibri" w:cs="Calibri"/>
          <w:bCs/>
          <w:lang w:val="es-HN"/>
        </w:rPr>
        <w:t xml:space="preserve">Unidad Municipal </w:t>
      </w:r>
      <w:r w:rsidR="00AF720D">
        <w:rPr>
          <w:rFonts w:ascii="Calibri" w:hAnsi="Calibri" w:cs="Calibri"/>
          <w:bCs/>
          <w:lang w:val="es-HN"/>
        </w:rPr>
        <w:t>de Agua Potable y Saneamiento -</w:t>
      </w:r>
      <w:r w:rsidRPr="00E205A5">
        <w:rPr>
          <w:rFonts w:ascii="Calibri" w:hAnsi="Calibri" w:cs="Calibri"/>
          <w:bCs/>
          <w:lang w:val="es-HN"/>
        </w:rPr>
        <w:t>UM</w:t>
      </w:r>
      <w:r w:rsidR="00AF720D">
        <w:rPr>
          <w:rFonts w:ascii="Calibri" w:hAnsi="Calibri" w:cs="Calibri"/>
          <w:bCs/>
          <w:lang w:val="es-HN"/>
        </w:rPr>
        <w:t>A</w:t>
      </w:r>
      <w:r w:rsidRPr="00E205A5">
        <w:rPr>
          <w:rFonts w:ascii="Calibri" w:hAnsi="Calibri" w:cs="Calibri"/>
          <w:bCs/>
          <w:lang w:val="es-HN"/>
        </w:rPr>
        <w:t xml:space="preserve">PS, tomando en consideración las propuestas derivadas de estudios </w:t>
      </w:r>
      <w:proofErr w:type="gramStart"/>
      <w:r w:rsidRPr="00E205A5">
        <w:rPr>
          <w:rFonts w:ascii="Calibri" w:hAnsi="Calibri" w:cs="Calibri"/>
          <w:bCs/>
          <w:lang w:val="es-HN"/>
        </w:rPr>
        <w:t>técnico previos</w:t>
      </w:r>
      <w:proofErr w:type="gramEnd"/>
      <w:r w:rsidRPr="00E205A5">
        <w:rPr>
          <w:rFonts w:ascii="Calibri" w:hAnsi="Calibri" w:cs="Calibri"/>
          <w:bCs/>
          <w:lang w:val="es-HN"/>
        </w:rPr>
        <w:t>, así como las diferentes obras en ejecución y que se proyecta ejecutar en el corto plazo. Con este propósito la firma consultora deberá desarrollar los siguientes aspectos: i) Análisis y diagnóstico de la situación actual y proyectada en cuanto a la prestación de los servicios en el área geográfica bajo responsabilidad de la UM</w:t>
      </w:r>
      <w:r>
        <w:rPr>
          <w:rFonts w:ascii="Calibri" w:hAnsi="Calibri" w:cs="Calibri"/>
          <w:bCs/>
          <w:lang w:val="es-HN"/>
        </w:rPr>
        <w:t>A</w:t>
      </w:r>
      <w:r w:rsidRPr="00E205A5">
        <w:rPr>
          <w:rFonts w:ascii="Calibri" w:hAnsi="Calibri" w:cs="Calibri"/>
          <w:bCs/>
          <w:lang w:val="es-HN"/>
        </w:rPr>
        <w:t xml:space="preserve">PS; ii) Definición propositiva de políticas y estrategia para la ejecución de los Planes Directores; </w:t>
      </w:r>
      <w:proofErr w:type="spellStart"/>
      <w:r w:rsidRPr="00E205A5">
        <w:rPr>
          <w:rFonts w:ascii="Calibri" w:hAnsi="Calibri" w:cs="Calibri"/>
          <w:bCs/>
          <w:lang w:val="es-HN"/>
        </w:rPr>
        <w:t>iii</w:t>
      </w:r>
      <w:proofErr w:type="spellEnd"/>
      <w:r w:rsidRPr="00E205A5">
        <w:rPr>
          <w:rFonts w:ascii="Calibri" w:hAnsi="Calibri" w:cs="Calibri"/>
          <w:bCs/>
          <w:lang w:val="es-HN"/>
        </w:rPr>
        <w:t>) Identificación del programa de inversiones de las obras a ejecutar y en ejecución,</w:t>
      </w:r>
      <w:r w:rsidRPr="00E205A5">
        <w:rPr>
          <w:rFonts w:ascii="Calibri" w:hAnsi="Calibri" w:cs="Calibri"/>
          <w:bCs/>
          <w:shd w:val="clear" w:color="auto" w:fill="FFFFFF" w:themeFill="background1"/>
          <w:lang w:val="es-HN"/>
        </w:rPr>
        <w:t xml:space="preserve"> con enfoque de resiliencia ante el cambio climático</w:t>
      </w:r>
      <w:r w:rsidRPr="00E205A5">
        <w:rPr>
          <w:rFonts w:ascii="Calibri" w:hAnsi="Calibri" w:cs="Calibri"/>
          <w:bCs/>
          <w:lang w:val="es-HN"/>
        </w:rPr>
        <w:t xml:space="preserve">; </w:t>
      </w:r>
      <w:proofErr w:type="spellStart"/>
      <w:r w:rsidRPr="00E205A5">
        <w:rPr>
          <w:rFonts w:ascii="Calibri" w:hAnsi="Calibri" w:cs="Calibri"/>
          <w:bCs/>
          <w:lang w:val="es-HN"/>
        </w:rPr>
        <w:t>iv</w:t>
      </w:r>
      <w:proofErr w:type="spellEnd"/>
      <w:r w:rsidRPr="00E205A5">
        <w:rPr>
          <w:rFonts w:ascii="Calibri" w:hAnsi="Calibri" w:cs="Calibri"/>
          <w:bCs/>
          <w:lang w:val="es-HN"/>
        </w:rPr>
        <w:t xml:space="preserve">) Análisis para determinar la viabilidad financiera, </w:t>
      </w:r>
      <w:r w:rsidRPr="00E205A5">
        <w:rPr>
          <w:rFonts w:ascii="Calibri" w:hAnsi="Calibri" w:cs="Calibri"/>
          <w:bCs/>
          <w:shd w:val="clear" w:color="auto" w:fill="FFFFFF" w:themeFill="background1"/>
          <w:lang w:val="es-HN"/>
        </w:rPr>
        <w:t>ambiental y social</w:t>
      </w:r>
      <w:r w:rsidRPr="00E205A5">
        <w:rPr>
          <w:rFonts w:ascii="Calibri" w:hAnsi="Calibri" w:cs="Calibri"/>
          <w:bCs/>
          <w:lang w:val="es-HN"/>
        </w:rPr>
        <w:t xml:space="preserve"> de los Planes Directores.</w:t>
      </w:r>
      <w:r w:rsidRPr="00E205A5">
        <w:rPr>
          <w:rFonts w:ascii="Calibri" w:hAnsi="Calibri" w:cs="Calibri"/>
          <w:lang w:val="es-ES_tradnl"/>
        </w:rPr>
        <w:t xml:space="preserve"> </w:t>
      </w:r>
    </w:p>
    <w:p w14:paraId="1EBF5A84" w14:textId="77777777" w:rsidR="0027237E" w:rsidRPr="00670EA5" w:rsidRDefault="0027237E" w:rsidP="00FE51D3">
      <w:pPr>
        <w:pStyle w:val="Default"/>
        <w:jc w:val="both"/>
        <w:rPr>
          <w:rFonts w:asciiTheme="minorHAnsi" w:hAnsiTheme="minorHAnsi" w:cstheme="minorHAnsi"/>
          <w:sz w:val="22"/>
          <w:szCs w:val="22"/>
        </w:rPr>
      </w:pPr>
    </w:p>
    <w:p w14:paraId="36AF2099" w14:textId="2564BA62" w:rsidR="000D1189" w:rsidRPr="009A4966" w:rsidRDefault="000D1189" w:rsidP="00FE51D3">
      <w:pPr>
        <w:pStyle w:val="Default"/>
        <w:jc w:val="both"/>
        <w:rPr>
          <w:rFonts w:asciiTheme="minorHAnsi" w:hAnsiTheme="minorHAnsi" w:cstheme="minorHAnsi"/>
          <w:sz w:val="22"/>
          <w:szCs w:val="22"/>
        </w:rPr>
      </w:pPr>
      <w:r w:rsidRPr="009A4966">
        <w:rPr>
          <w:rFonts w:asciiTheme="minorHAnsi" w:hAnsiTheme="minorHAnsi" w:cstheme="minorHAnsi"/>
          <w:sz w:val="22"/>
          <w:szCs w:val="22"/>
        </w:rPr>
        <w:t xml:space="preserve">Las firmas consultoras elegibles serán seleccionados de acuerdo con los procedimientos establecidos </w:t>
      </w:r>
      <w:r w:rsidR="001B3DFB">
        <w:rPr>
          <w:rFonts w:asciiTheme="minorHAnsi" w:hAnsiTheme="minorHAnsi" w:cstheme="minorHAnsi"/>
          <w:sz w:val="22"/>
          <w:szCs w:val="22"/>
        </w:rPr>
        <w:t xml:space="preserve">en la </w:t>
      </w:r>
      <w:r w:rsidRPr="00F70997">
        <w:rPr>
          <w:rFonts w:asciiTheme="minorHAnsi" w:hAnsiTheme="minorHAnsi" w:cstheme="minorHAnsi"/>
          <w:b/>
          <w:bCs/>
          <w:i/>
          <w:iCs/>
          <w:color w:val="2E74B5" w:themeColor="accent5" w:themeShade="BF"/>
          <w:sz w:val="22"/>
          <w:szCs w:val="22"/>
        </w:rPr>
        <w:t>Política para la Selección y Contratación de Firmas Consultoras para el Trabajo Operativo ejecutado por el Banco - GN-2765-4</w:t>
      </w:r>
      <w:r w:rsidRPr="009A4966">
        <w:rPr>
          <w:rFonts w:asciiTheme="minorHAnsi" w:hAnsiTheme="minorHAnsi" w:cstheme="minorHAnsi"/>
          <w:sz w:val="22"/>
          <w:szCs w:val="22"/>
        </w:rPr>
        <w:t xml:space="preserve">. Todas las firmas consultoras elegibles, según se define en la </w:t>
      </w:r>
      <w:r w:rsidR="00253F10" w:rsidRPr="009A4966">
        <w:rPr>
          <w:rFonts w:asciiTheme="minorHAnsi" w:hAnsiTheme="minorHAnsi" w:cstheme="minorHAnsi"/>
          <w:sz w:val="22"/>
          <w:szCs w:val="22"/>
        </w:rPr>
        <w:t xml:space="preserve">mencionada </w:t>
      </w:r>
      <w:r w:rsidRPr="009A4966">
        <w:rPr>
          <w:rFonts w:asciiTheme="minorHAnsi" w:hAnsiTheme="minorHAnsi" w:cstheme="minorHAnsi"/>
          <w:sz w:val="22"/>
          <w:szCs w:val="22"/>
        </w:rPr>
        <w:t xml:space="preserve">política, pueden manifestar su interés. Si la Firma consultora se presentara en Consorcio, designará a una de ellas como representante, y ésta será responsable de las comunicaciones, del registro en el portal y del envío de los documentos correspondientes. </w:t>
      </w:r>
    </w:p>
    <w:p w14:paraId="1544DB51" w14:textId="77777777" w:rsidR="002579CB" w:rsidRPr="003F7EDE" w:rsidRDefault="002579CB" w:rsidP="00FE51D3">
      <w:pPr>
        <w:pStyle w:val="Default"/>
        <w:jc w:val="both"/>
        <w:rPr>
          <w:rFonts w:asciiTheme="minorHAnsi" w:hAnsiTheme="minorHAnsi" w:cstheme="minorHAnsi"/>
          <w:sz w:val="22"/>
          <w:szCs w:val="22"/>
        </w:rPr>
      </w:pPr>
    </w:p>
    <w:p w14:paraId="7FEA9CD4" w14:textId="77777777" w:rsidR="00C012CB" w:rsidRDefault="000D1189" w:rsidP="00FE51D3">
      <w:pPr>
        <w:pStyle w:val="Default"/>
        <w:jc w:val="both"/>
        <w:rPr>
          <w:rFonts w:asciiTheme="minorHAnsi" w:hAnsiTheme="minorHAnsi" w:cstheme="minorHAnsi"/>
          <w:sz w:val="22"/>
          <w:szCs w:val="22"/>
        </w:rPr>
      </w:pPr>
      <w:r w:rsidRPr="000A0E80">
        <w:rPr>
          <w:rFonts w:asciiTheme="minorHAnsi" w:hAnsiTheme="minorHAnsi" w:cstheme="minorHAnsi"/>
          <w:sz w:val="22"/>
          <w:szCs w:val="22"/>
        </w:rPr>
        <w:t>El BID invita a las firmas consultoras elegibles</w:t>
      </w:r>
      <w:r w:rsidR="00B4197B" w:rsidRPr="000A0E80">
        <w:rPr>
          <w:rFonts w:asciiTheme="minorHAnsi" w:hAnsiTheme="minorHAnsi" w:cstheme="minorHAnsi"/>
          <w:sz w:val="22"/>
          <w:szCs w:val="22"/>
        </w:rPr>
        <w:t xml:space="preserve"> -</w:t>
      </w:r>
      <w:r w:rsidR="003F7EDE" w:rsidRPr="000A0E80">
        <w:rPr>
          <w:rFonts w:asciiTheme="minorHAnsi" w:hAnsiTheme="minorHAnsi" w:cstheme="minorHAnsi"/>
          <w:sz w:val="22"/>
          <w:szCs w:val="22"/>
        </w:rPr>
        <w:t xml:space="preserve"> </w:t>
      </w:r>
      <w:r w:rsidR="003F7EDE" w:rsidRPr="000A0E80">
        <w:rPr>
          <w:rFonts w:asciiTheme="minorHAnsi" w:hAnsiTheme="minorHAnsi" w:cstheme="minorHAnsi"/>
          <w:bCs/>
          <w:sz w:val="22"/>
          <w:szCs w:val="22"/>
          <w:lang w:val="es-HN"/>
        </w:rPr>
        <w:t xml:space="preserve">con experiencia en la elaboración de planes directores, planificación de proyectos, evaluación, políticas y mecanismos de financiamiento en el ámbito municipal y en el sector agua </w:t>
      </w:r>
      <w:r w:rsidR="003F7EDE" w:rsidRPr="000A0E80">
        <w:rPr>
          <w:rFonts w:asciiTheme="minorHAnsi" w:hAnsiTheme="minorHAnsi" w:cstheme="minorHAnsi"/>
          <w:sz w:val="22"/>
          <w:szCs w:val="22"/>
          <w:lang w:val="es-HN"/>
        </w:rPr>
        <w:t>potable</w:t>
      </w:r>
      <w:r w:rsidR="003F7EDE" w:rsidRPr="000A0E80">
        <w:rPr>
          <w:rFonts w:asciiTheme="minorHAnsi" w:hAnsiTheme="minorHAnsi" w:cstheme="minorHAnsi"/>
          <w:bCs/>
          <w:sz w:val="22"/>
          <w:szCs w:val="22"/>
          <w:lang w:val="es-HN"/>
        </w:rPr>
        <w:t xml:space="preserve"> y saneamiento</w:t>
      </w:r>
      <w:r w:rsidR="00B4197B" w:rsidRPr="000A0E80">
        <w:rPr>
          <w:rFonts w:asciiTheme="minorHAnsi" w:hAnsiTheme="minorHAnsi" w:cstheme="minorHAnsi"/>
          <w:bCs/>
          <w:sz w:val="22"/>
          <w:szCs w:val="22"/>
          <w:lang w:val="es-HN"/>
        </w:rPr>
        <w:t xml:space="preserve"> - </w:t>
      </w:r>
      <w:r w:rsidRPr="000A0E80">
        <w:rPr>
          <w:rFonts w:asciiTheme="minorHAnsi" w:hAnsiTheme="minorHAnsi" w:cstheme="minorHAnsi"/>
          <w:sz w:val="22"/>
          <w:szCs w:val="22"/>
        </w:rPr>
        <w:t>a expresar su interés en prestar los servicios descritos arriba</w:t>
      </w:r>
      <w:r w:rsidR="00A3720A" w:rsidRPr="000A0E80">
        <w:rPr>
          <w:rFonts w:asciiTheme="minorHAnsi" w:hAnsiTheme="minorHAnsi" w:cstheme="minorHAnsi"/>
          <w:sz w:val="22"/>
          <w:szCs w:val="22"/>
        </w:rPr>
        <w:t>,</w:t>
      </w:r>
      <w:r w:rsidR="00A3720A">
        <w:rPr>
          <w:rFonts w:asciiTheme="minorHAnsi" w:hAnsiTheme="minorHAnsi" w:cstheme="minorHAnsi"/>
          <w:sz w:val="22"/>
          <w:szCs w:val="22"/>
        </w:rPr>
        <w:t xml:space="preserve"> </w:t>
      </w:r>
      <w:r w:rsidR="00A3720A" w:rsidRPr="009A4966">
        <w:rPr>
          <w:rFonts w:asciiTheme="minorHAnsi" w:hAnsiTheme="minorHAnsi" w:cstheme="minorHAnsi"/>
          <w:sz w:val="22"/>
          <w:szCs w:val="22"/>
        </w:rPr>
        <w:t xml:space="preserve">cuyo alcance se precisa en el resumen </w:t>
      </w:r>
      <w:r w:rsidR="00A3720A">
        <w:rPr>
          <w:rFonts w:asciiTheme="minorHAnsi" w:hAnsiTheme="minorHAnsi" w:cstheme="minorHAnsi"/>
          <w:sz w:val="22"/>
          <w:szCs w:val="22"/>
        </w:rPr>
        <w:t xml:space="preserve">del </w:t>
      </w:r>
      <w:r w:rsidR="00A3720A" w:rsidRPr="009A4966">
        <w:rPr>
          <w:rFonts w:asciiTheme="minorHAnsi" w:hAnsiTheme="minorHAnsi" w:cstheme="minorHAnsi"/>
          <w:sz w:val="22"/>
          <w:szCs w:val="22"/>
        </w:rPr>
        <w:t>borrador de Términos de Referencia que acompaña a esta invitación</w:t>
      </w:r>
      <w:r w:rsidRPr="003F7EDE">
        <w:rPr>
          <w:rFonts w:asciiTheme="minorHAnsi" w:hAnsiTheme="minorHAnsi" w:cstheme="minorHAnsi"/>
          <w:sz w:val="22"/>
          <w:szCs w:val="22"/>
        </w:rPr>
        <w:t xml:space="preserve"> </w:t>
      </w:r>
    </w:p>
    <w:p w14:paraId="2A168A93" w14:textId="77777777" w:rsidR="00C012CB" w:rsidRDefault="00C012CB" w:rsidP="00FE51D3">
      <w:pPr>
        <w:pStyle w:val="Default"/>
        <w:jc w:val="both"/>
        <w:rPr>
          <w:rFonts w:asciiTheme="minorHAnsi" w:hAnsiTheme="minorHAnsi" w:cstheme="minorHAnsi"/>
          <w:sz w:val="22"/>
          <w:szCs w:val="22"/>
        </w:rPr>
      </w:pPr>
    </w:p>
    <w:p w14:paraId="77825331" w14:textId="668F7F61" w:rsidR="000D1189" w:rsidRDefault="000D1189" w:rsidP="00FE51D3">
      <w:pPr>
        <w:pStyle w:val="Default"/>
        <w:jc w:val="both"/>
        <w:rPr>
          <w:rFonts w:asciiTheme="minorHAnsi" w:hAnsiTheme="minorHAnsi" w:cstheme="minorHAnsi"/>
          <w:sz w:val="22"/>
          <w:szCs w:val="22"/>
        </w:rPr>
      </w:pPr>
      <w:r w:rsidRPr="003F7EDE">
        <w:rPr>
          <w:rFonts w:asciiTheme="minorHAnsi" w:hAnsiTheme="minorHAnsi" w:cstheme="minorHAnsi"/>
          <w:sz w:val="22"/>
          <w:szCs w:val="22"/>
        </w:rPr>
        <w:t>Las firmas consultoras interesadas</w:t>
      </w:r>
      <w:r w:rsidRPr="009A4966">
        <w:rPr>
          <w:rFonts w:asciiTheme="minorHAnsi" w:hAnsiTheme="minorHAnsi" w:cstheme="minorHAnsi"/>
          <w:sz w:val="22"/>
          <w:szCs w:val="22"/>
        </w:rPr>
        <w:t xml:space="preserve"> deberán proporcionar información que indique que están calificadas para suministrar los servicios </w:t>
      </w:r>
      <w:r w:rsidR="00AA7C4F">
        <w:rPr>
          <w:rFonts w:asciiTheme="minorHAnsi" w:hAnsiTheme="minorHAnsi" w:cstheme="minorHAnsi"/>
          <w:sz w:val="22"/>
          <w:szCs w:val="22"/>
        </w:rPr>
        <w:t xml:space="preserve">requeridos </w:t>
      </w:r>
      <w:r w:rsidRPr="009A4966">
        <w:rPr>
          <w:rFonts w:asciiTheme="minorHAnsi" w:hAnsiTheme="minorHAnsi" w:cstheme="minorHAnsi"/>
          <w:sz w:val="22"/>
          <w:szCs w:val="22"/>
        </w:rPr>
        <w:t xml:space="preserve">(folletos, descripción de trabajos similares, experiencia en condiciones similares, disponibilidad de personal que tenga los conocimientos pertinentes, etc.). Las firmas consultoras elegibles se pueden asociar como un emprendimiento conjunto o en un acuerdo de </w:t>
      </w:r>
      <w:proofErr w:type="spellStart"/>
      <w:r w:rsidRPr="009A4966">
        <w:rPr>
          <w:rFonts w:asciiTheme="minorHAnsi" w:hAnsiTheme="minorHAnsi" w:cstheme="minorHAnsi"/>
          <w:sz w:val="22"/>
          <w:szCs w:val="22"/>
        </w:rPr>
        <w:lastRenderedPageBreak/>
        <w:t>sub-consultoría</w:t>
      </w:r>
      <w:proofErr w:type="spellEnd"/>
      <w:r w:rsidRPr="009A4966">
        <w:rPr>
          <w:rFonts w:asciiTheme="minorHAnsi" w:hAnsiTheme="minorHAnsi" w:cstheme="minorHAnsi"/>
          <w:sz w:val="22"/>
          <w:szCs w:val="22"/>
        </w:rPr>
        <w:t xml:space="preserve"> para mejorar sus calificaciones. Dicha asociación o emprendimiento conjunto nombrará a una de las firmas como representante. </w:t>
      </w:r>
    </w:p>
    <w:p w14:paraId="79D62429" w14:textId="77777777" w:rsidR="009A4966" w:rsidRPr="009A4966" w:rsidRDefault="009A4966" w:rsidP="00FE51D3">
      <w:pPr>
        <w:pStyle w:val="Default"/>
        <w:jc w:val="both"/>
        <w:rPr>
          <w:rFonts w:asciiTheme="minorHAnsi" w:hAnsiTheme="minorHAnsi" w:cstheme="minorHAnsi"/>
          <w:sz w:val="22"/>
          <w:szCs w:val="22"/>
        </w:rPr>
      </w:pPr>
    </w:p>
    <w:p w14:paraId="0A5D8CF9" w14:textId="1258E990" w:rsidR="001F5CBD" w:rsidRPr="009A4966" w:rsidRDefault="000D1189" w:rsidP="00FE51D3">
      <w:pPr>
        <w:jc w:val="both"/>
        <w:rPr>
          <w:rFonts w:cstheme="minorHAnsi"/>
          <w:i/>
          <w:iCs/>
        </w:rPr>
      </w:pPr>
      <w:r w:rsidRPr="009A4966">
        <w:rPr>
          <w:rFonts w:cstheme="minorHAnsi"/>
        </w:rPr>
        <w:t xml:space="preserve">Las firmas consultoras elegibles que estén interesadas podrán obtener información adicional en horario de oficina, 09:00 a.m. - 5:00 PM (Hora de </w:t>
      </w:r>
      <w:proofErr w:type="spellStart"/>
      <w:proofErr w:type="gramStart"/>
      <w:r w:rsidR="00D6089E">
        <w:rPr>
          <w:rFonts w:cstheme="minorHAnsi"/>
        </w:rPr>
        <w:t>Washington,DC</w:t>
      </w:r>
      <w:proofErr w:type="spellEnd"/>
      <w:proofErr w:type="gramEnd"/>
      <w:r w:rsidRPr="009A4966">
        <w:rPr>
          <w:rFonts w:cstheme="minorHAnsi"/>
        </w:rPr>
        <w:t xml:space="preserve">), mediante el envío de un correo electrónico a: </w:t>
      </w:r>
      <w:r w:rsidR="00943597" w:rsidRPr="00FA700B">
        <w:rPr>
          <w:rFonts w:cstheme="minorHAnsi"/>
          <w:b/>
          <w:bCs/>
          <w:i/>
          <w:iCs/>
          <w:color w:val="2E74B5" w:themeColor="accent5" w:themeShade="BF"/>
        </w:rPr>
        <w:t>José Francisco Manjarrés Iglesias</w:t>
      </w:r>
      <w:r w:rsidRPr="00FA700B">
        <w:rPr>
          <w:rFonts w:cstheme="minorHAnsi"/>
          <w:b/>
          <w:bCs/>
          <w:i/>
          <w:iCs/>
          <w:color w:val="2E74B5" w:themeColor="accent5" w:themeShade="BF"/>
        </w:rPr>
        <w:t xml:space="preserve">, </w:t>
      </w:r>
      <w:hyperlink r:id="rId15" w:history="1">
        <w:r w:rsidR="004979E1" w:rsidRPr="00FA700B">
          <w:rPr>
            <w:rStyle w:val="Hyperlink"/>
            <w:rFonts w:cstheme="minorHAnsi"/>
            <w:b/>
            <w:bCs/>
            <w:i/>
            <w:iCs/>
            <w:color w:val="2E74B5" w:themeColor="accent5" w:themeShade="BF"/>
          </w:rPr>
          <w:t>jmanjarres@iadb.org</w:t>
        </w:r>
      </w:hyperlink>
      <w:r w:rsidR="00B54786">
        <w:rPr>
          <w:rFonts w:cstheme="minorHAnsi"/>
          <w:b/>
          <w:bCs/>
          <w:i/>
          <w:iCs/>
          <w:color w:val="2E74B5" w:themeColor="accent5" w:themeShade="BF"/>
        </w:rPr>
        <w:t>.</w:t>
      </w:r>
    </w:p>
    <w:p w14:paraId="156A4BA4" w14:textId="77777777" w:rsidR="0007683F" w:rsidRDefault="0007683F" w:rsidP="00FE51D3">
      <w:pPr>
        <w:pStyle w:val="Default"/>
        <w:jc w:val="both"/>
        <w:rPr>
          <w:rFonts w:asciiTheme="minorHAnsi" w:hAnsiTheme="minorHAnsi" w:cstheme="minorHAnsi"/>
          <w:sz w:val="22"/>
          <w:szCs w:val="22"/>
        </w:rPr>
      </w:pPr>
    </w:p>
    <w:p w14:paraId="638C271B" w14:textId="30DC7B13" w:rsidR="000D1189" w:rsidRPr="009A4966" w:rsidRDefault="000D1189" w:rsidP="00FE51D3">
      <w:pPr>
        <w:pStyle w:val="Default"/>
        <w:jc w:val="both"/>
        <w:rPr>
          <w:rFonts w:asciiTheme="minorHAnsi" w:hAnsiTheme="minorHAnsi" w:cstheme="minorHAnsi"/>
          <w:sz w:val="22"/>
          <w:szCs w:val="22"/>
        </w:rPr>
      </w:pPr>
      <w:r w:rsidRPr="009A4966">
        <w:rPr>
          <w:rFonts w:asciiTheme="minorHAnsi" w:hAnsiTheme="minorHAnsi" w:cstheme="minorHAnsi"/>
          <w:sz w:val="22"/>
          <w:szCs w:val="22"/>
        </w:rPr>
        <w:t xml:space="preserve">Banco Interamericano de Desarrollo </w:t>
      </w:r>
    </w:p>
    <w:p w14:paraId="12C52B8D" w14:textId="0103A663" w:rsidR="000D1189" w:rsidRPr="009A4966" w:rsidRDefault="000D1189" w:rsidP="00FE51D3">
      <w:pPr>
        <w:pStyle w:val="Default"/>
        <w:jc w:val="both"/>
        <w:rPr>
          <w:rFonts w:asciiTheme="minorHAnsi" w:hAnsiTheme="minorHAnsi" w:cstheme="minorHAnsi"/>
          <w:sz w:val="22"/>
          <w:szCs w:val="22"/>
        </w:rPr>
      </w:pPr>
      <w:r w:rsidRPr="009A4966">
        <w:rPr>
          <w:rFonts w:asciiTheme="minorHAnsi" w:hAnsiTheme="minorHAnsi" w:cstheme="minorHAnsi"/>
          <w:sz w:val="22"/>
          <w:szCs w:val="22"/>
        </w:rPr>
        <w:t xml:space="preserve">División: </w:t>
      </w:r>
      <w:r w:rsidRPr="00267A48">
        <w:rPr>
          <w:rFonts w:asciiTheme="minorHAnsi" w:hAnsiTheme="minorHAnsi" w:cstheme="minorHAnsi"/>
          <w:i/>
          <w:iCs/>
          <w:color w:val="2E74B5" w:themeColor="accent5" w:themeShade="BF"/>
          <w:sz w:val="22"/>
          <w:szCs w:val="22"/>
        </w:rPr>
        <w:t>WSA/CP</w:t>
      </w:r>
      <w:r w:rsidR="00267A48">
        <w:rPr>
          <w:rFonts w:asciiTheme="minorHAnsi" w:hAnsiTheme="minorHAnsi" w:cstheme="minorHAnsi"/>
          <w:i/>
          <w:iCs/>
          <w:color w:val="2E74B5" w:themeColor="accent5" w:themeShade="BF"/>
          <w:sz w:val="22"/>
          <w:szCs w:val="22"/>
        </w:rPr>
        <w:t>HO</w:t>
      </w:r>
    </w:p>
    <w:p w14:paraId="3124738D" w14:textId="0339649E" w:rsidR="000D1189" w:rsidRPr="009A4966" w:rsidRDefault="000D1189" w:rsidP="00FE51D3">
      <w:pPr>
        <w:pStyle w:val="Default"/>
        <w:jc w:val="both"/>
        <w:rPr>
          <w:rFonts w:asciiTheme="minorHAnsi" w:hAnsiTheme="minorHAnsi" w:cstheme="minorHAnsi"/>
          <w:sz w:val="22"/>
          <w:szCs w:val="22"/>
        </w:rPr>
      </w:pPr>
      <w:r w:rsidRPr="009A4966">
        <w:rPr>
          <w:rFonts w:asciiTheme="minorHAnsi" w:hAnsiTheme="minorHAnsi" w:cstheme="minorHAnsi"/>
          <w:sz w:val="22"/>
          <w:szCs w:val="22"/>
        </w:rPr>
        <w:t xml:space="preserve">Atención: </w:t>
      </w:r>
      <w:r w:rsidR="00267A48">
        <w:rPr>
          <w:rFonts w:asciiTheme="minorHAnsi" w:hAnsiTheme="minorHAnsi" w:cstheme="minorHAnsi"/>
          <w:i/>
          <w:iCs/>
          <w:sz w:val="22"/>
          <w:szCs w:val="22"/>
        </w:rPr>
        <w:t>José Francisco Manjarrés Iglesias</w:t>
      </w:r>
      <w:r w:rsidRPr="009A4966">
        <w:rPr>
          <w:rFonts w:asciiTheme="minorHAnsi" w:hAnsiTheme="minorHAnsi" w:cstheme="minorHAnsi"/>
          <w:i/>
          <w:iCs/>
          <w:sz w:val="22"/>
          <w:szCs w:val="22"/>
        </w:rPr>
        <w:t xml:space="preserve">, </w:t>
      </w:r>
      <w:proofErr w:type="gramStart"/>
      <w:r w:rsidRPr="009A4966">
        <w:rPr>
          <w:rFonts w:asciiTheme="minorHAnsi" w:hAnsiTheme="minorHAnsi" w:cstheme="minorHAnsi"/>
          <w:i/>
          <w:iCs/>
          <w:sz w:val="22"/>
          <w:szCs w:val="22"/>
        </w:rPr>
        <w:t>Jefe</w:t>
      </w:r>
      <w:proofErr w:type="gramEnd"/>
      <w:r w:rsidRPr="009A4966">
        <w:rPr>
          <w:rFonts w:asciiTheme="minorHAnsi" w:hAnsiTheme="minorHAnsi" w:cstheme="minorHAnsi"/>
          <w:i/>
          <w:iCs/>
          <w:sz w:val="22"/>
          <w:szCs w:val="22"/>
        </w:rPr>
        <w:t xml:space="preserve"> de</w:t>
      </w:r>
      <w:r w:rsidR="00684D8E">
        <w:rPr>
          <w:rFonts w:asciiTheme="minorHAnsi" w:hAnsiTheme="minorHAnsi" w:cstheme="minorHAnsi"/>
          <w:i/>
          <w:iCs/>
          <w:sz w:val="22"/>
          <w:szCs w:val="22"/>
        </w:rPr>
        <w:t>l</w:t>
      </w:r>
      <w:r w:rsidRPr="009A4966">
        <w:rPr>
          <w:rFonts w:asciiTheme="minorHAnsi" w:hAnsiTheme="minorHAnsi" w:cstheme="minorHAnsi"/>
          <w:i/>
          <w:iCs/>
          <w:sz w:val="22"/>
          <w:szCs w:val="22"/>
        </w:rPr>
        <w:t xml:space="preserve"> Equipo del Proyecto </w:t>
      </w:r>
    </w:p>
    <w:p w14:paraId="6EFB2F4E" w14:textId="77777777" w:rsidR="0070782A" w:rsidRDefault="0070782A" w:rsidP="00FE51D3">
      <w:pPr>
        <w:pStyle w:val="Default"/>
        <w:jc w:val="both"/>
        <w:rPr>
          <w:rFonts w:asciiTheme="minorHAnsi" w:hAnsiTheme="minorHAnsi" w:cstheme="minorHAnsi"/>
          <w:sz w:val="22"/>
          <w:szCs w:val="22"/>
        </w:rPr>
      </w:pPr>
      <w:r>
        <w:rPr>
          <w:rFonts w:asciiTheme="minorHAnsi" w:hAnsiTheme="minorHAnsi" w:cstheme="minorHAnsi"/>
          <w:sz w:val="22"/>
          <w:szCs w:val="22"/>
        </w:rPr>
        <w:t>Lomas del Guijarro Sur, Calle Principal</w:t>
      </w:r>
    </w:p>
    <w:p w14:paraId="49DEB7A3" w14:textId="21DFE35D" w:rsidR="000D1189" w:rsidRPr="006F20B9" w:rsidRDefault="000D1189" w:rsidP="00FE51D3">
      <w:pPr>
        <w:pStyle w:val="Default"/>
        <w:jc w:val="both"/>
        <w:rPr>
          <w:rFonts w:asciiTheme="minorHAnsi" w:hAnsiTheme="minorHAnsi" w:cstheme="minorHAnsi"/>
          <w:sz w:val="22"/>
          <w:szCs w:val="22"/>
          <w:lang w:val="en-US"/>
        </w:rPr>
      </w:pPr>
      <w:r w:rsidRPr="006F20B9">
        <w:rPr>
          <w:rFonts w:asciiTheme="minorHAnsi" w:hAnsiTheme="minorHAnsi" w:cstheme="minorHAnsi"/>
          <w:sz w:val="22"/>
          <w:szCs w:val="22"/>
          <w:lang w:val="en-US"/>
        </w:rPr>
        <w:t xml:space="preserve">Tel: </w:t>
      </w:r>
      <w:r w:rsidRPr="006F20B9">
        <w:rPr>
          <w:rFonts w:asciiTheme="minorHAnsi" w:hAnsiTheme="minorHAnsi" w:cstheme="minorHAnsi"/>
          <w:i/>
          <w:iCs/>
          <w:sz w:val="22"/>
          <w:szCs w:val="22"/>
          <w:lang w:val="en-US"/>
        </w:rPr>
        <w:t>+</w:t>
      </w:r>
      <w:r w:rsidR="008B29C5" w:rsidRPr="006F20B9">
        <w:rPr>
          <w:rFonts w:asciiTheme="minorHAnsi" w:hAnsiTheme="minorHAnsi" w:cstheme="minorHAnsi"/>
          <w:i/>
          <w:iCs/>
          <w:sz w:val="22"/>
          <w:szCs w:val="22"/>
          <w:lang w:val="en-US"/>
        </w:rPr>
        <w:t xml:space="preserve">(504) </w:t>
      </w:r>
      <w:r w:rsidR="00CB143D" w:rsidRPr="006F20B9">
        <w:rPr>
          <w:rFonts w:asciiTheme="minorHAnsi" w:hAnsiTheme="minorHAnsi" w:cstheme="minorHAnsi"/>
          <w:i/>
          <w:iCs/>
          <w:sz w:val="22"/>
          <w:szCs w:val="22"/>
          <w:lang w:val="en-US"/>
        </w:rPr>
        <w:t>2290 3500</w:t>
      </w:r>
    </w:p>
    <w:p w14:paraId="0037B5B2" w14:textId="4C15BA46" w:rsidR="000D1189" w:rsidRPr="006F20B9" w:rsidRDefault="000D1189" w:rsidP="00FE51D3">
      <w:pPr>
        <w:pStyle w:val="Default"/>
        <w:jc w:val="both"/>
        <w:rPr>
          <w:rFonts w:asciiTheme="minorHAnsi" w:hAnsiTheme="minorHAnsi" w:cstheme="minorHAnsi"/>
          <w:sz w:val="22"/>
          <w:szCs w:val="22"/>
          <w:lang w:val="en-US"/>
        </w:rPr>
      </w:pPr>
      <w:r w:rsidRPr="006F20B9">
        <w:rPr>
          <w:rFonts w:asciiTheme="minorHAnsi" w:hAnsiTheme="minorHAnsi" w:cstheme="minorHAnsi"/>
          <w:sz w:val="22"/>
          <w:szCs w:val="22"/>
          <w:lang w:val="en-US"/>
        </w:rPr>
        <w:t xml:space="preserve">Email: </w:t>
      </w:r>
      <w:r w:rsidR="00CB143D" w:rsidRPr="006F20B9">
        <w:rPr>
          <w:rFonts w:asciiTheme="minorHAnsi" w:hAnsiTheme="minorHAnsi" w:cstheme="minorHAnsi"/>
          <w:i/>
          <w:iCs/>
          <w:sz w:val="22"/>
          <w:szCs w:val="22"/>
          <w:lang w:val="en-US"/>
        </w:rPr>
        <w:t>jmanjarres</w:t>
      </w:r>
      <w:r w:rsidRPr="006F20B9">
        <w:rPr>
          <w:rFonts w:asciiTheme="minorHAnsi" w:hAnsiTheme="minorHAnsi" w:cstheme="minorHAnsi"/>
          <w:i/>
          <w:iCs/>
          <w:sz w:val="22"/>
          <w:szCs w:val="22"/>
          <w:lang w:val="en-US"/>
        </w:rPr>
        <w:t xml:space="preserve">@iadb.org </w:t>
      </w:r>
    </w:p>
    <w:p w14:paraId="74421A18" w14:textId="77777777" w:rsidR="000D1189" w:rsidRPr="006F20B9" w:rsidRDefault="000D1189" w:rsidP="00FE51D3">
      <w:pPr>
        <w:pStyle w:val="Default"/>
        <w:jc w:val="both"/>
        <w:rPr>
          <w:rFonts w:asciiTheme="minorHAnsi" w:hAnsiTheme="minorHAnsi" w:cstheme="minorHAnsi"/>
          <w:sz w:val="22"/>
          <w:szCs w:val="22"/>
          <w:lang w:val="en-US"/>
        </w:rPr>
      </w:pPr>
      <w:r w:rsidRPr="006F20B9">
        <w:rPr>
          <w:rFonts w:asciiTheme="minorHAnsi" w:hAnsiTheme="minorHAnsi" w:cstheme="minorHAnsi"/>
          <w:sz w:val="22"/>
          <w:szCs w:val="22"/>
          <w:lang w:val="en-US"/>
        </w:rPr>
        <w:t xml:space="preserve">Sitio Web: www.iadb.org </w:t>
      </w:r>
    </w:p>
    <w:p w14:paraId="79103463" w14:textId="73D11BD3" w:rsidR="003516C9" w:rsidRDefault="003516C9">
      <w:pPr>
        <w:rPr>
          <w:rFonts w:cstheme="minorHAnsi"/>
          <w:b/>
          <w:bCs/>
          <w:lang w:val="en-US"/>
        </w:rPr>
      </w:pPr>
      <w:r>
        <w:rPr>
          <w:rFonts w:cstheme="minorHAnsi"/>
          <w:b/>
          <w:bCs/>
          <w:lang w:val="en-US"/>
        </w:rPr>
        <w:br w:type="page"/>
      </w:r>
    </w:p>
    <w:p w14:paraId="793EC5BA" w14:textId="77777777" w:rsidR="00A4787A" w:rsidRPr="00C76D94" w:rsidRDefault="00A4787A" w:rsidP="00A4787A">
      <w:pPr>
        <w:pStyle w:val="Default"/>
        <w:spacing w:after="160"/>
        <w:jc w:val="center"/>
        <w:rPr>
          <w:rFonts w:asciiTheme="minorHAnsi" w:hAnsiTheme="minorHAnsi" w:cstheme="minorHAnsi"/>
          <w:b/>
          <w:bCs/>
          <w:sz w:val="28"/>
          <w:szCs w:val="28"/>
          <w:u w:val="single"/>
        </w:rPr>
      </w:pPr>
      <w:r w:rsidRPr="00C76D94">
        <w:rPr>
          <w:rFonts w:asciiTheme="minorHAnsi" w:hAnsiTheme="minorHAnsi" w:cstheme="minorHAnsi"/>
          <w:b/>
          <w:bCs/>
          <w:sz w:val="28"/>
          <w:szCs w:val="28"/>
          <w:u w:val="single"/>
        </w:rPr>
        <w:lastRenderedPageBreak/>
        <w:t>TÉRMINOS DE REFERENCIA</w:t>
      </w:r>
      <w:r>
        <w:rPr>
          <w:rFonts w:asciiTheme="minorHAnsi" w:hAnsiTheme="minorHAnsi" w:cstheme="minorHAnsi"/>
          <w:b/>
          <w:bCs/>
          <w:sz w:val="28"/>
          <w:szCs w:val="28"/>
          <w:u w:val="single"/>
        </w:rPr>
        <w:t xml:space="preserve"> (Borrador / Resumen)</w:t>
      </w:r>
    </w:p>
    <w:p w14:paraId="78345A4B" w14:textId="77777777" w:rsidR="00A4787A" w:rsidRPr="00C76D94" w:rsidRDefault="00A4787A" w:rsidP="00A4787A">
      <w:pPr>
        <w:pStyle w:val="Default"/>
        <w:spacing w:after="160"/>
        <w:jc w:val="center"/>
        <w:rPr>
          <w:rFonts w:asciiTheme="minorHAnsi" w:hAnsiTheme="minorHAnsi" w:cstheme="minorHAnsi"/>
          <w:b/>
          <w:bCs/>
          <w:sz w:val="28"/>
          <w:szCs w:val="28"/>
        </w:rPr>
      </w:pPr>
    </w:p>
    <w:p w14:paraId="357C0F15" w14:textId="3FAB12EF" w:rsidR="00A4787A" w:rsidRDefault="001F116A" w:rsidP="00A4787A">
      <w:pPr>
        <w:pStyle w:val="Default"/>
        <w:spacing w:after="160"/>
        <w:jc w:val="center"/>
        <w:rPr>
          <w:rFonts w:asciiTheme="minorHAnsi" w:hAnsiTheme="minorHAnsi" w:cstheme="minorHAnsi"/>
          <w:b/>
          <w:bCs/>
          <w:color w:val="2E74B5" w:themeColor="accent5" w:themeShade="BF"/>
          <w:sz w:val="28"/>
          <w:szCs w:val="28"/>
        </w:rPr>
      </w:pPr>
      <w:r w:rsidRPr="001F116A">
        <w:rPr>
          <w:rFonts w:asciiTheme="minorHAnsi" w:hAnsiTheme="minorHAnsi" w:cstheme="minorHAnsi"/>
          <w:b/>
          <w:bCs/>
          <w:color w:val="2E74B5" w:themeColor="accent5" w:themeShade="BF"/>
          <w:sz w:val="28"/>
          <w:szCs w:val="28"/>
        </w:rPr>
        <w:t>Actualización de los Planes Maestros de Agua Potable, Saneamiento y Drenaje Pluvial del Distrito Central, Tegucigalpa, Honduras</w:t>
      </w:r>
    </w:p>
    <w:p w14:paraId="21022934" w14:textId="77777777" w:rsidR="001F116A" w:rsidRPr="001F116A" w:rsidRDefault="001F116A" w:rsidP="00A4787A">
      <w:pPr>
        <w:pStyle w:val="Default"/>
        <w:spacing w:after="160"/>
        <w:jc w:val="center"/>
        <w:rPr>
          <w:rFonts w:asciiTheme="minorHAnsi" w:hAnsiTheme="minorHAnsi" w:cstheme="minorHAnsi"/>
          <w:b/>
          <w:bCs/>
          <w:sz w:val="28"/>
          <w:szCs w:val="28"/>
        </w:rPr>
      </w:pPr>
    </w:p>
    <w:p w14:paraId="735B6C65" w14:textId="77777777" w:rsidR="00A4787A" w:rsidRPr="009A4966" w:rsidRDefault="00A4787A" w:rsidP="00A4787A">
      <w:pPr>
        <w:pStyle w:val="Default"/>
        <w:numPr>
          <w:ilvl w:val="0"/>
          <w:numId w:val="1"/>
        </w:numPr>
        <w:spacing w:after="160"/>
        <w:jc w:val="both"/>
        <w:rPr>
          <w:rFonts w:asciiTheme="minorHAnsi" w:hAnsiTheme="minorHAnsi" w:cstheme="minorHAnsi"/>
          <w:sz w:val="22"/>
          <w:szCs w:val="22"/>
        </w:rPr>
      </w:pPr>
      <w:r w:rsidRPr="009A4966">
        <w:rPr>
          <w:rFonts w:asciiTheme="minorHAnsi" w:hAnsiTheme="minorHAnsi" w:cstheme="minorHAnsi"/>
          <w:b/>
          <w:bCs/>
          <w:sz w:val="22"/>
          <w:szCs w:val="22"/>
        </w:rPr>
        <w:t xml:space="preserve">Antecedentes y justificación </w:t>
      </w:r>
    </w:p>
    <w:p w14:paraId="64C830C8" w14:textId="6354D232" w:rsidR="00CB36E1" w:rsidRPr="00CB36E1" w:rsidRDefault="00CB36E1" w:rsidP="00E04B51">
      <w:pPr>
        <w:spacing w:after="0" w:line="240" w:lineRule="auto"/>
        <w:jc w:val="both"/>
        <w:rPr>
          <w:rFonts w:ascii="Calibri" w:hAnsi="Calibri" w:cs="Calibri"/>
          <w:lang w:val="es-HN"/>
        </w:rPr>
      </w:pPr>
      <w:r w:rsidRPr="00CB36E1">
        <w:rPr>
          <w:rFonts w:ascii="Calibri" w:hAnsi="Calibri" w:cs="Calibri"/>
          <w:lang w:val="es-HN"/>
        </w:rPr>
        <w:t xml:space="preserve">El BID continúa </w:t>
      </w:r>
      <w:r w:rsidR="009323EF">
        <w:rPr>
          <w:rFonts w:ascii="Calibri" w:hAnsi="Calibri" w:cs="Calibri"/>
          <w:lang w:val="es-HN"/>
        </w:rPr>
        <w:t xml:space="preserve">apoyando al </w:t>
      </w:r>
      <w:r w:rsidRPr="00CB36E1">
        <w:rPr>
          <w:rFonts w:ascii="Calibri" w:hAnsi="Calibri" w:cs="Calibri"/>
          <w:lang w:val="es-HN"/>
        </w:rPr>
        <w:t xml:space="preserve">Gobierno de Honduras en </w:t>
      </w:r>
      <w:r w:rsidR="009323EF">
        <w:rPr>
          <w:rFonts w:ascii="Calibri" w:hAnsi="Calibri" w:cs="Calibri"/>
          <w:lang w:val="es-HN"/>
        </w:rPr>
        <w:t xml:space="preserve">su propósito de fortalecer institucionalmente </w:t>
      </w:r>
      <w:r w:rsidR="00413F3A">
        <w:rPr>
          <w:rFonts w:ascii="Calibri" w:hAnsi="Calibri" w:cs="Calibri"/>
          <w:lang w:val="es-HN"/>
        </w:rPr>
        <w:t xml:space="preserve">al sector de agua potable y saneamiento, específicamente en </w:t>
      </w:r>
      <w:r w:rsidRPr="00CB36E1">
        <w:rPr>
          <w:rFonts w:ascii="Calibri" w:hAnsi="Calibri" w:cs="Calibri"/>
          <w:lang w:val="es-HN"/>
        </w:rPr>
        <w:t xml:space="preserve">el proceso progresivo de adopción de reformas estructurales que permitan consolidar los avances sectoriales, en particular lo referente a la transferencia de los servicios a cargo del Servicio Autónomo Nacional de Acueductos y Alcantarillados (SANAA) a los gobiernos municipales, a fin de lograr mayor eficiencia en la ejecución de inversiones y en la asignación equitativa de los recursos públicos, de tal forma que los servicios de agua potable y alcantarillado se presten de manera eficiente y sostenible. </w:t>
      </w:r>
    </w:p>
    <w:p w14:paraId="5A1BDE77" w14:textId="77777777" w:rsidR="00CB36E1" w:rsidRPr="00CB36E1" w:rsidRDefault="00CB36E1" w:rsidP="00E04B51">
      <w:pPr>
        <w:spacing w:after="0" w:line="240" w:lineRule="auto"/>
        <w:rPr>
          <w:rFonts w:ascii="Calibri" w:hAnsi="Calibri" w:cs="Calibri"/>
          <w:lang w:val="es-HN"/>
        </w:rPr>
      </w:pPr>
    </w:p>
    <w:p w14:paraId="57541CA9" w14:textId="77777777" w:rsidR="00CF5387" w:rsidRDefault="00CB36E1" w:rsidP="00CF5387">
      <w:pPr>
        <w:spacing w:after="0" w:line="240" w:lineRule="auto"/>
        <w:jc w:val="both"/>
        <w:rPr>
          <w:rFonts w:ascii="Calibri" w:hAnsi="Calibri" w:cs="Calibri"/>
          <w:bCs/>
          <w:lang w:val="es-HN"/>
        </w:rPr>
      </w:pPr>
      <w:r w:rsidRPr="00CB36E1">
        <w:rPr>
          <w:rFonts w:ascii="Calibri" w:hAnsi="Calibri" w:cs="Calibri"/>
          <w:bCs/>
          <w:lang w:val="es-HN"/>
        </w:rPr>
        <w:t>La Alcaldía Municipal del Distrito Central (AMDC) ha iniciado el proceso de estructuración y consolidación de la Unidad Municipal de Agua Potable y Saneamiento (UMAPS)</w:t>
      </w:r>
      <w:r w:rsidR="00CF5387">
        <w:rPr>
          <w:rFonts w:ascii="Calibri" w:hAnsi="Calibri" w:cs="Calibri"/>
          <w:bCs/>
          <w:lang w:val="es-HN"/>
        </w:rPr>
        <w:t xml:space="preserve">, quien en su calidad de </w:t>
      </w:r>
      <w:r w:rsidRPr="00F24DA3">
        <w:rPr>
          <w:rFonts w:ascii="Calibri" w:hAnsi="Calibri" w:cs="Calibri"/>
          <w:bCs/>
          <w:lang w:val="es-HN"/>
        </w:rPr>
        <w:t xml:space="preserve">punto focal y ente responsable del manejo de los sistemas de agua potable y saneamiento de la ciudad de Tegucigalpa, requiere elaborar e implementar Planes Directores para los servicios de agua potable, saneamiento y drenaje pluvial, tomando en cuenta las consultorías desarrolladas en el año 2019, en el marco del préstamo basado en políticas PBL HO-L1207. </w:t>
      </w:r>
    </w:p>
    <w:p w14:paraId="305264BB" w14:textId="77777777" w:rsidR="00CF5387" w:rsidRDefault="00CF5387" w:rsidP="00CF5387">
      <w:pPr>
        <w:spacing w:after="0" w:line="240" w:lineRule="auto"/>
        <w:jc w:val="both"/>
        <w:rPr>
          <w:rFonts w:ascii="Calibri" w:hAnsi="Calibri" w:cs="Calibri"/>
          <w:bCs/>
          <w:lang w:val="es-HN"/>
        </w:rPr>
      </w:pPr>
    </w:p>
    <w:p w14:paraId="244B7031" w14:textId="50DC5915" w:rsidR="00CB36E1" w:rsidRDefault="00CB36E1" w:rsidP="00CF5387">
      <w:pPr>
        <w:spacing w:after="0" w:line="240" w:lineRule="auto"/>
        <w:jc w:val="both"/>
        <w:rPr>
          <w:rFonts w:ascii="Calibri" w:hAnsi="Calibri" w:cs="Calibri"/>
          <w:bCs/>
          <w:lang w:val="es-HN"/>
        </w:rPr>
      </w:pPr>
      <w:r>
        <w:rPr>
          <w:rFonts w:ascii="Calibri" w:hAnsi="Calibri" w:cs="Calibri"/>
          <w:bCs/>
          <w:lang w:val="es-HN"/>
        </w:rPr>
        <w:t>Para ello</w:t>
      </w:r>
      <w:r w:rsidRPr="00F24DA3">
        <w:rPr>
          <w:rFonts w:ascii="Calibri" w:hAnsi="Calibri" w:cs="Calibri"/>
          <w:bCs/>
          <w:lang w:val="es-HN"/>
        </w:rPr>
        <w:t xml:space="preserve"> se contempla desarrollar: i) Análisis y diagnóstico de la situación actual en cuanto a la prestación de los servicios de agua potable, saneamiento y drenaje pluvial; ii) Definición de políticas y estrategia para desarrollar los Planes Directores; </w:t>
      </w:r>
      <w:proofErr w:type="spellStart"/>
      <w:r w:rsidRPr="00F24DA3">
        <w:rPr>
          <w:rFonts w:ascii="Calibri" w:hAnsi="Calibri" w:cs="Calibri"/>
          <w:bCs/>
          <w:lang w:val="es-HN"/>
        </w:rPr>
        <w:t>iii</w:t>
      </w:r>
      <w:proofErr w:type="spellEnd"/>
      <w:r w:rsidRPr="00F24DA3">
        <w:rPr>
          <w:rFonts w:ascii="Calibri" w:hAnsi="Calibri" w:cs="Calibri"/>
          <w:bCs/>
          <w:lang w:val="es-HN"/>
        </w:rPr>
        <w:t xml:space="preserve">) Programa de inversiones de las obras a ejecutar y en ejecución; </w:t>
      </w:r>
      <w:proofErr w:type="spellStart"/>
      <w:r w:rsidRPr="00F24DA3">
        <w:rPr>
          <w:rFonts w:ascii="Calibri" w:hAnsi="Calibri" w:cs="Calibri"/>
          <w:bCs/>
          <w:lang w:val="es-HN"/>
        </w:rPr>
        <w:t>iv</w:t>
      </w:r>
      <w:proofErr w:type="spellEnd"/>
      <w:r w:rsidRPr="00F24DA3">
        <w:rPr>
          <w:rFonts w:ascii="Calibri" w:hAnsi="Calibri" w:cs="Calibri"/>
          <w:bCs/>
          <w:lang w:val="es-HN"/>
        </w:rPr>
        <w:t>) Aspectos y análisis financiero para determinar la viabilidad de las obras</w:t>
      </w:r>
      <w:r w:rsidRPr="00F24DA3">
        <w:rPr>
          <w:rFonts w:ascii="Calibri" w:hAnsi="Calibri" w:cs="Calibri"/>
          <w:bCs/>
          <w:shd w:val="clear" w:color="auto" w:fill="FFFFFF" w:themeFill="background1"/>
          <w:lang w:val="es-HN"/>
        </w:rPr>
        <w:t>, con enfoque de resiliencia ante el cambio climático, viabilidad ambiental y social</w:t>
      </w:r>
      <w:r w:rsidRPr="00F24DA3">
        <w:rPr>
          <w:rFonts w:ascii="Calibri" w:hAnsi="Calibri" w:cs="Calibri"/>
          <w:bCs/>
          <w:lang w:val="es-HN"/>
        </w:rPr>
        <w:t>; y v) consideraciones finales y recomendaciones.</w:t>
      </w:r>
    </w:p>
    <w:p w14:paraId="0CD9168C" w14:textId="77777777" w:rsidR="005E4319" w:rsidRDefault="005E4319" w:rsidP="00E95607">
      <w:pPr>
        <w:pStyle w:val="ListParagraph"/>
        <w:shd w:val="clear" w:color="auto" w:fill="FFFFFF" w:themeFill="background1"/>
        <w:spacing w:after="0" w:line="240" w:lineRule="auto"/>
        <w:ind w:left="0"/>
        <w:rPr>
          <w:rFonts w:ascii="Calibri" w:hAnsi="Calibri" w:cs="Calibri"/>
          <w:bCs/>
          <w:lang w:val="es-HN"/>
        </w:rPr>
      </w:pPr>
    </w:p>
    <w:p w14:paraId="69D6C1A0" w14:textId="0BC9E6AE" w:rsidR="00AD10AD" w:rsidRPr="00F24DA3" w:rsidRDefault="00AD10AD" w:rsidP="00AD10AD">
      <w:pPr>
        <w:pStyle w:val="ListParagraph"/>
        <w:shd w:val="clear" w:color="auto" w:fill="FFFFFF" w:themeFill="background1"/>
        <w:spacing w:after="0" w:line="240" w:lineRule="auto"/>
        <w:ind w:left="0"/>
        <w:rPr>
          <w:rFonts w:ascii="Calibri" w:hAnsi="Calibri" w:cs="Calibri"/>
          <w:bCs/>
          <w:lang w:val="es-HN"/>
        </w:rPr>
      </w:pPr>
      <w:r w:rsidRPr="00F24DA3">
        <w:rPr>
          <w:rFonts w:ascii="Calibri" w:hAnsi="Calibri" w:cs="Calibri"/>
          <w:bCs/>
          <w:lang w:val="es-HN"/>
        </w:rPr>
        <w:t xml:space="preserve">En línea con el contexto de necesidades de la UMAPS y con el objetivo de contribuir a su proceso de </w:t>
      </w:r>
      <w:r w:rsidR="003F5BAC">
        <w:rPr>
          <w:rFonts w:ascii="Calibri" w:hAnsi="Calibri" w:cs="Calibri"/>
          <w:bCs/>
          <w:lang w:val="es-HN"/>
        </w:rPr>
        <w:t>consolidación</w:t>
      </w:r>
      <w:r w:rsidRPr="00F24DA3">
        <w:rPr>
          <w:rFonts w:ascii="Calibri" w:hAnsi="Calibri" w:cs="Calibri"/>
          <w:bCs/>
          <w:lang w:val="es-HN"/>
        </w:rPr>
        <w:t xml:space="preserve">, el BID </w:t>
      </w:r>
      <w:r>
        <w:rPr>
          <w:rFonts w:ascii="Calibri" w:hAnsi="Calibri" w:cs="Calibri"/>
          <w:bCs/>
          <w:lang w:val="es-HN"/>
        </w:rPr>
        <w:t>re</w:t>
      </w:r>
      <w:r w:rsidRPr="00F24DA3">
        <w:rPr>
          <w:rFonts w:ascii="Calibri" w:hAnsi="Calibri" w:cs="Calibri"/>
          <w:bCs/>
          <w:lang w:val="es-HN"/>
        </w:rPr>
        <w:t xml:space="preserve">quiere contratar a </w:t>
      </w:r>
      <w:r w:rsidRPr="00F24DA3">
        <w:rPr>
          <w:rFonts w:ascii="Calibri" w:hAnsi="Calibri" w:cs="Calibri"/>
          <w:bCs/>
          <w:shd w:val="clear" w:color="auto" w:fill="FFFFFF" w:themeFill="background1"/>
          <w:lang w:val="es-HN"/>
        </w:rPr>
        <w:t xml:space="preserve">una firma consultora con amplia experiencia en </w:t>
      </w:r>
      <w:r w:rsidRPr="00F24DA3">
        <w:rPr>
          <w:rFonts w:ascii="Calibri" w:hAnsi="Calibri" w:cs="Calibri"/>
          <w:bCs/>
          <w:lang w:val="es-HN"/>
        </w:rPr>
        <w:t xml:space="preserve">la elaboración de planes directores, planificación de proyectos, evaluación, políticas y mecanismos de financiamiento en el ámbito municipal y en el sector agua </w:t>
      </w:r>
      <w:r w:rsidRPr="00F24DA3">
        <w:rPr>
          <w:rFonts w:ascii="Calibri" w:hAnsi="Calibri" w:cs="Calibri"/>
          <w:lang w:val="es-HN"/>
        </w:rPr>
        <w:t>potable</w:t>
      </w:r>
      <w:r w:rsidRPr="00F24DA3">
        <w:rPr>
          <w:rFonts w:ascii="Calibri" w:hAnsi="Calibri" w:cs="Calibri"/>
          <w:bCs/>
          <w:lang w:val="es-HN"/>
        </w:rPr>
        <w:t xml:space="preserve"> y saneamiento</w:t>
      </w:r>
      <w:r w:rsidRPr="00F24DA3">
        <w:rPr>
          <w:rFonts w:ascii="Calibri" w:hAnsi="Calibri" w:cs="Calibri"/>
          <w:bCs/>
          <w:shd w:val="clear" w:color="auto" w:fill="FFFFFF" w:themeFill="background1"/>
          <w:lang w:val="es-HN"/>
        </w:rPr>
        <w:t>.</w:t>
      </w:r>
      <w:r w:rsidRPr="00F24DA3">
        <w:rPr>
          <w:rFonts w:ascii="Calibri" w:hAnsi="Calibri" w:cs="Calibri"/>
          <w:bCs/>
          <w:lang w:val="es-HN"/>
        </w:rPr>
        <w:t xml:space="preserve"> </w:t>
      </w:r>
    </w:p>
    <w:p w14:paraId="389CB38D" w14:textId="77777777" w:rsidR="00E95607" w:rsidRPr="00F24DA3" w:rsidRDefault="00E95607" w:rsidP="00AD10AD">
      <w:pPr>
        <w:pStyle w:val="ListParagraph"/>
        <w:shd w:val="clear" w:color="auto" w:fill="FFFFFF" w:themeFill="background1"/>
        <w:spacing w:after="0" w:line="240" w:lineRule="auto"/>
        <w:ind w:left="0"/>
        <w:rPr>
          <w:rFonts w:ascii="Calibri" w:hAnsi="Calibri" w:cs="Calibri"/>
          <w:bCs/>
          <w:lang w:val="es-HN"/>
        </w:rPr>
      </w:pPr>
    </w:p>
    <w:p w14:paraId="5BFA6AF6" w14:textId="77777777" w:rsidR="00A4787A" w:rsidRPr="00814BBE" w:rsidRDefault="00A4787A" w:rsidP="00A4787A">
      <w:pPr>
        <w:pStyle w:val="Default"/>
        <w:numPr>
          <w:ilvl w:val="0"/>
          <w:numId w:val="1"/>
        </w:numPr>
        <w:spacing w:after="160"/>
        <w:jc w:val="both"/>
        <w:rPr>
          <w:rFonts w:asciiTheme="minorHAnsi" w:hAnsiTheme="minorHAnsi" w:cstheme="minorHAnsi"/>
          <w:b/>
          <w:bCs/>
          <w:sz w:val="22"/>
          <w:szCs w:val="22"/>
        </w:rPr>
      </w:pPr>
      <w:r w:rsidRPr="00814BBE">
        <w:rPr>
          <w:rFonts w:asciiTheme="minorHAnsi" w:hAnsiTheme="minorHAnsi" w:cstheme="minorHAnsi"/>
          <w:b/>
          <w:bCs/>
          <w:sz w:val="22"/>
          <w:szCs w:val="22"/>
        </w:rPr>
        <w:t>O</w:t>
      </w:r>
      <w:r>
        <w:rPr>
          <w:rFonts w:asciiTheme="minorHAnsi" w:hAnsiTheme="minorHAnsi" w:cstheme="minorHAnsi"/>
          <w:b/>
          <w:bCs/>
          <w:sz w:val="22"/>
          <w:szCs w:val="22"/>
        </w:rPr>
        <w:t xml:space="preserve">bjetivo de la </w:t>
      </w:r>
      <w:r w:rsidRPr="00814BBE">
        <w:rPr>
          <w:rFonts w:asciiTheme="minorHAnsi" w:hAnsiTheme="minorHAnsi" w:cstheme="minorHAnsi"/>
          <w:b/>
          <w:bCs/>
          <w:sz w:val="22"/>
          <w:szCs w:val="22"/>
        </w:rPr>
        <w:t>C</w:t>
      </w:r>
      <w:r>
        <w:rPr>
          <w:rFonts w:asciiTheme="minorHAnsi" w:hAnsiTheme="minorHAnsi" w:cstheme="minorHAnsi"/>
          <w:b/>
          <w:bCs/>
          <w:sz w:val="22"/>
          <w:szCs w:val="22"/>
        </w:rPr>
        <w:t>onsultoría</w:t>
      </w:r>
    </w:p>
    <w:p w14:paraId="49095BD1" w14:textId="77777777" w:rsidR="00C13B98" w:rsidRDefault="00ED2254" w:rsidP="00ED2254">
      <w:pPr>
        <w:spacing w:after="0" w:line="240" w:lineRule="auto"/>
        <w:jc w:val="both"/>
        <w:rPr>
          <w:rFonts w:ascii="Calibri" w:hAnsi="Calibri" w:cs="Calibri"/>
          <w:bCs/>
          <w:lang w:val="es-HN"/>
        </w:rPr>
      </w:pPr>
      <w:r w:rsidRPr="00ED2254">
        <w:rPr>
          <w:rFonts w:ascii="Calibri" w:hAnsi="Calibri" w:cs="Calibri"/>
          <w:lang w:val="es-ES_tradnl"/>
        </w:rPr>
        <w:t xml:space="preserve">El objetivo de la consultoría es la formulación de </w:t>
      </w:r>
      <w:r w:rsidRPr="00ED2254">
        <w:rPr>
          <w:rFonts w:ascii="Calibri" w:hAnsi="Calibri" w:cs="Calibri"/>
          <w:bCs/>
          <w:lang w:val="es-HN"/>
        </w:rPr>
        <w:t xml:space="preserve">Planes </w:t>
      </w:r>
      <w:proofErr w:type="gramStart"/>
      <w:r w:rsidRPr="00ED2254">
        <w:rPr>
          <w:rFonts w:ascii="Calibri" w:hAnsi="Calibri" w:cs="Calibri"/>
          <w:bCs/>
          <w:lang w:val="es-HN"/>
        </w:rPr>
        <w:t>Directores</w:t>
      </w:r>
      <w:proofErr w:type="gramEnd"/>
      <w:r w:rsidRPr="00ED2254">
        <w:rPr>
          <w:rFonts w:ascii="Calibri" w:hAnsi="Calibri" w:cs="Calibri"/>
          <w:bCs/>
          <w:lang w:val="es-HN"/>
        </w:rPr>
        <w:t xml:space="preserve"> para los servicios de agua potable, saneamiento y drenaje pluvial para el MD</w:t>
      </w:r>
      <w:r w:rsidR="005422A2">
        <w:rPr>
          <w:rFonts w:ascii="Calibri" w:hAnsi="Calibri" w:cs="Calibri"/>
          <w:bCs/>
          <w:lang w:val="es-HN"/>
        </w:rPr>
        <w:t>C</w:t>
      </w:r>
      <w:r w:rsidRPr="00ED2254">
        <w:rPr>
          <w:rFonts w:ascii="Calibri" w:hAnsi="Calibri" w:cs="Calibri"/>
          <w:bCs/>
          <w:lang w:val="es-HN"/>
        </w:rPr>
        <w:t>, a cargo de la UM</w:t>
      </w:r>
      <w:r w:rsidR="002D763C">
        <w:rPr>
          <w:rFonts w:ascii="Calibri" w:hAnsi="Calibri" w:cs="Calibri"/>
          <w:bCs/>
          <w:lang w:val="es-HN"/>
        </w:rPr>
        <w:t>A</w:t>
      </w:r>
      <w:r w:rsidRPr="00ED2254">
        <w:rPr>
          <w:rFonts w:ascii="Calibri" w:hAnsi="Calibri" w:cs="Calibri"/>
          <w:bCs/>
          <w:lang w:val="es-HN"/>
        </w:rPr>
        <w:t xml:space="preserve">PS, tomando en consideración las propuestas derivadas de estudios técnico previos, así como las diferentes obras en ejecución y que se proyecta ejecutar en el corto plazo. </w:t>
      </w:r>
    </w:p>
    <w:p w14:paraId="2CFFCFCF" w14:textId="77777777" w:rsidR="00C13B98" w:rsidRDefault="00C13B98" w:rsidP="00ED2254">
      <w:pPr>
        <w:spacing w:after="0" w:line="240" w:lineRule="auto"/>
        <w:jc w:val="both"/>
        <w:rPr>
          <w:rFonts w:ascii="Calibri" w:hAnsi="Calibri" w:cs="Calibri"/>
          <w:bCs/>
          <w:lang w:val="es-HN"/>
        </w:rPr>
      </w:pPr>
    </w:p>
    <w:p w14:paraId="45E49E66" w14:textId="07143347" w:rsidR="00ED2254" w:rsidRPr="00ED2254" w:rsidRDefault="00ED2254" w:rsidP="00ED2254">
      <w:pPr>
        <w:spacing w:after="0" w:line="240" w:lineRule="auto"/>
        <w:jc w:val="both"/>
        <w:rPr>
          <w:rFonts w:ascii="Calibri" w:hAnsi="Calibri" w:cs="Calibri"/>
          <w:lang w:val="es-ES_tradnl"/>
        </w:rPr>
      </w:pPr>
      <w:r w:rsidRPr="00ED2254">
        <w:rPr>
          <w:rFonts w:ascii="Calibri" w:hAnsi="Calibri" w:cs="Calibri"/>
          <w:bCs/>
          <w:lang w:val="es-HN"/>
        </w:rPr>
        <w:t xml:space="preserve">Con este propósito la firma consultora deberá desarrollar los siguientes aspectos: i) Análisis y diagnóstico de la situación actual y proyectada en cuanto a la prestación de los servicios en el área geográfica bajo responsabilidad de la UMAPS; ii) Definición propositiva de políticas y estrategia para la ejecución de los Planes Directores; </w:t>
      </w:r>
      <w:proofErr w:type="spellStart"/>
      <w:r w:rsidRPr="00ED2254">
        <w:rPr>
          <w:rFonts w:ascii="Calibri" w:hAnsi="Calibri" w:cs="Calibri"/>
          <w:bCs/>
          <w:lang w:val="es-HN"/>
        </w:rPr>
        <w:t>iii</w:t>
      </w:r>
      <w:proofErr w:type="spellEnd"/>
      <w:r w:rsidRPr="00ED2254">
        <w:rPr>
          <w:rFonts w:ascii="Calibri" w:hAnsi="Calibri" w:cs="Calibri"/>
          <w:bCs/>
          <w:lang w:val="es-HN"/>
        </w:rPr>
        <w:t>) Identificación del programa de inversiones de las obras a ejecutar y en ejecución,</w:t>
      </w:r>
      <w:r w:rsidRPr="00ED2254">
        <w:rPr>
          <w:rFonts w:ascii="Calibri" w:hAnsi="Calibri" w:cs="Calibri"/>
          <w:bCs/>
          <w:shd w:val="clear" w:color="auto" w:fill="FFFFFF" w:themeFill="background1"/>
          <w:lang w:val="es-HN"/>
        </w:rPr>
        <w:t xml:space="preserve"> </w:t>
      </w:r>
      <w:r w:rsidRPr="00ED2254">
        <w:rPr>
          <w:rFonts w:ascii="Calibri" w:hAnsi="Calibri" w:cs="Calibri"/>
          <w:bCs/>
          <w:shd w:val="clear" w:color="auto" w:fill="FFFFFF" w:themeFill="background1"/>
          <w:lang w:val="es-HN"/>
        </w:rPr>
        <w:lastRenderedPageBreak/>
        <w:t>con enfoque de resiliencia ante el cambio climático</w:t>
      </w:r>
      <w:r w:rsidRPr="00ED2254">
        <w:rPr>
          <w:rFonts w:ascii="Calibri" w:hAnsi="Calibri" w:cs="Calibri"/>
          <w:bCs/>
          <w:lang w:val="es-HN"/>
        </w:rPr>
        <w:t xml:space="preserve">; </w:t>
      </w:r>
      <w:proofErr w:type="spellStart"/>
      <w:r w:rsidRPr="00ED2254">
        <w:rPr>
          <w:rFonts w:ascii="Calibri" w:hAnsi="Calibri" w:cs="Calibri"/>
          <w:bCs/>
          <w:lang w:val="es-HN"/>
        </w:rPr>
        <w:t>iv</w:t>
      </w:r>
      <w:proofErr w:type="spellEnd"/>
      <w:r w:rsidRPr="00ED2254">
        <w:rPr>
          <w:rFonts w:ascii="Calibri" w:hAnsi="Calibri" w:cs="Calibri"/>
          <w:bCs/>
          <w:lang w:val="es-HN"/>
        </w:rPr>
        <w:t xml:space="preserve">) Análisis para determinar la viabilidad financiera, </w:t>
      </w:r>
      <w:r w:rsidRPr="00ED2254">
        <w:rPr>
          <w:rFonts w:ascii="Calibri" w:hAnsi="Calibri" w:cs="Calibri"/>
          <w:bCs/>
          <w:shd w:val="clear" w:color="auto" w:fill="FFFFFF" w:themeFill="background1"/>
          <w:lang w:val="es-HN"/>
        </w:rPr>
        <w:t>ambiental y social</w:t>
      </w:r>
      <w:r w:rsidRPr="00ED2254">
        <w:rPr>
          <w:rFonts w:ascii="Calibri" w:hAnsi="Calibri" w:cs="Calibri"/>
          <w:bCs/>
          <w:lang w:val="es-HN"/>
        </w:rPr>
        <w:t xml:space="preserve"> de los Planes Directores.</w:t>
      </w:r>
      <w:r w:rsidRPr="00ED2254">
        <w:rPr>
          <w:rFonts w:ascii="Calibri" w:hAnsi="Calibri" w:cs="Calibri"/>
          <w:lang w:val="es-ES_tradnl"/>
        </w:rPr>
        <w:t xml:space="preserve"> </w:t>
      </w:r>
    </w:p>
    <w:p w14:paraId="0C050E3B" w14:textId="2E42708D" w:rsidR="00A4787A" w:rsidRPr="00814BBE" w:rsidRDefault="00A4787A" w:rsidP="00283383">
      <w:pPr>
        <w:spacing w:after="0"/>
        <w:jc w:val="both"/>
        <w:rPr>
          <w:rFonts w:cstheme="minorHAnsi"/>
          <w:lang w:val="es-ES_tradnl"/>
        </w:rPr>
      </w:pPr>
    </w:p>
    <w:p w14:paraId="38FF9E4A" w14:textId="77777777" w:rsidR="00A4787A" w:rsidRPr="00814BBE" w:rsidRDefault="00A4787A" w:rsidP="00811E90">
      <w:pPr>
        <w:pStyle w:val="Default"/>
        <w:numPr>
          <w:ilvl w:val="0"/>
          <w:numId w:val="1"/>
        </w:numPr>
        <w:jc w:val="both"/>
        <w:rPr>
          <w:rFonts w:asciiTheme="minorHAnsi" w:hAnsiTheme="minorHAnsi" w:cstheme="minorHAnsi"/>
          <w:b/>
          <w:bCs/>
          <w:sz w:val="22"/>
          <w:szCs w:val="22"/>
        </w:rPr>
      </w:pPr>
      <w:r w:rsidRPr="00814BBE">
        <w:rPr>
          <w:rFonts w:asciiTheme="minorHAnsi" w:hAnsiTheme="minorHAnsi" w:cstheme="minorHAnsi"/>
          <w:b/>
          <w:bCs/>
          <w:sz w:val="22"/>
          <w:szCs w:val="22"/>
        </w:rPr>
        <w:t>A</w:t>
      </w:r>
      <w:r>
        <w:rPr>
          <w:rFonts w:asciiTheme="minorHAnsi" w:hAnsiTheme="minorHAnsi" w:cstheme="minorHAnsi"/>
          <w:b/>
          <w:bCs/>
          <w:sz w:val="22"/>
          <w:szCs w:val="22"/>
        </w:rPr>
        <w:t>lcance de las Actividades</w:t>
      </w:r>
    </w:p>
    <w:p w14:paraId="46657B8D" w14:textId="77777777" w:rsidR="006618FA" w:rsidRDefault="006618FA" w:rsidP="00811E90">
      <w:pPr>
        <w:tabs>
          <w:tab w:val="left" w:pos="567"/>
        </w:tabs>
        <w:autoSpaceDE w:val="0"/>
        <w:autoSpaceDN w:val="0"/>
        <w:adjustRightInd w:val="0"/>
        <w:spacing w:after="0" w:line="240" w:lineRule="auto"/>
        <w:jc w:val="both"/>
        <w:rPr>
          <w:rFonts w:cstheme="minorHAnsi"/>
          <w:lang w:val="es-ES_tradnl"/>
        </w:rPr>
      </w:pPr>
    </w:p>
    <w:p w14:paraId="305CCAF6" w14:textId="77777777" w:rsidR="006618FA" w:rsidRPr="00692039" w:rsidRDefault="006618FA" w:rsidP="006618FA">
      <w:pPr>
        <w:autoSpaceDE w:val="0"/>
        <w:autoSpaceDN w:val="0"/>
        <w:adjustRightInd w:val="0"/>
        <w:spacing w:after="0" w:line="240" w:lineRule="auto"/>
        <w:jc w:val="both"/>
        <w:rPr>
          <w:rFonts w:ascii="Calibri" w:eastAsiaTheme="minorEastAsia" w:hAnsi="Calibri" w:cs="Calibri"/>
        </w:rPr>
      </w:pPr>
      <w:r w:rsidRPr="00692039">
        <w:rPr>
          <w:rFonts w:ascii="Calibri" w:eastAsiaTheme="minorEastAsia" w:hAnsi="Calibri" w:cs="Calibri"/>
        </w:rPr>
        <w:t>El alcance de los trabajos a realizar por el consultor comprende las siguientes actividades de primer nivel:</w:t>
      </w:r>
    </w:p>
    <w:p w14:paraId="72E30054" w14:textId="77777777" w:rsidR="006618FA" w:rsidRPr="00692039" w:rsidRDefault="006618FA" w:rsidP="006618FA">
      <w:pPr>
        <w:autoSpaceDE w:val="0"/>
        <w:autoSpaceDN w:val="0"/>
        <w:adjustRightInd w:val="0"/>
        <w:spacing w:after="0" w:line="240" w:lineRule="auto"/>
        <w:jc w:val="both"/>
        <w:rPr>
          <w:rFonts w:ascii="Calibri" w:eastAsiaTheme="minorEastAsia" w:hAnsi="Calibri" w:cs="Calibri"/>
        </w:rPr>
      </w:pPr>
    </w:p>
    <w:p w14:paraId="099082DE" w14:textId="77777777" w:rsidR="006618FA" w:rsidRPr="00692039" w:rsidRDefault="006618FA" w:rsidP="006618FA">
      <w:pPr>
        <w:pStyle w:val="ListParagraph"/>
        <w:numPr>
          <w:ilvl w:val="0"/>
          <w:numId w:val="9"/>
        </w:numPr>
        <w:autoSpaceDE w:val="0"/>
        <w:autoSpaceDN w:val="0"/>
        <w:adjustRightInd w:val="0"/>
        <w:spacing w:after="0" w:line="240" w:lineRule="auto"/>
        <w:jc w:val="left"/>
        <w:rPr>
          <w:rFonts w:ascii="Calibri" w:eastAsiaTheme="minorEastAsia" w:hAnsi="Calibri" w:cs="Calibri"/>
          <w:lang w:val="es-419"/>
        </w:rPr>
      </w:pPr>
      <w:r w:rsidRPr="00692039">
        <w:rPr>
          <w:rFonts w:ascii="Calibri" w:eastAsiaTheme="minorEastAsia" w:hAnsi="Calibri" w:cs="Calibri"/>
          <w:lang w:val="es-419"/>
        </w:rPr>
        <w:t>Desarrollo Propuesta Instrumentos Normativos</w:t>
      </w:r>
    </w:p>
    <w:p w14:paraId="07F924F1" w14:textId="77777777" w:rsidR="006618FA" w:rsidRPr="00692039" w:rsidRDefault="006618FA" w:rsidP="006618FA">
      <w:pPr>
        <w:pStyle w:val="ListParagraph"/>
        <w:numPr>
          <w:ilvl w:val="0"/>
          <w:numId w:val="9"/>
        </w:numPr>
        <w:autoSpaceDE w:val="0"/>
        <w:autoSpaceDN w:val="0"/>
        <w:adjustRightInd w:val="0"/>
        <w:spacing w:after="0" w:line="240" w:lineRule="auto"/>
        <w:jc w:val="left"/>
        <w:rPr>
          <w:rFonts w:ascii="Calibri" w:eastAsiaTheme="minorEastAsia" w:hAnsi="Calibri" w:cs="Calibri"/>
          <w:lang w:val="es-419"/>
        </w:rPr>
      </w:pPr>
      <w:r w:rsidRPr="00692039">
        <w:rPr>
          <w:rFonts w:ascii="Calibri" w:eastAsiaTheme="minorEastAsia" w:hAnsi="Calibri" w:cs="Calibri"/>
          <w:lang w:val="es-419"/>
        </w:rPr>
        <w:t xml:space="preserve">Desarrollo Plan </w:t>
      </w:r>
      <w:proofErr w:type="gramStart"/>
      <w:r w:rsidRPr="00692039">
        <w:rPr>
          <w:rFonts w:ascii="Calibri" w:eastAsiaTheme="minorEastAsia" w:hAnsi="Calibri" w:cs="Calibri"/>
          <w:lang w:val="es-419"/>
        </w:rPr>
        <w:t>Director</w:t>
      </w:r>
      <w:proofErr w:type="gramEnd"/>
      <w:r w:rsidRPr="00692039">
        <w:rPr>
          <w:rFonts w:ascii="Calibri" w:eastAsiaTheme="minorEastAsia" w:hAnsi="Calibri" w:cs="Calibri"/>
          <w:lang w:val="es-419"/>
        </w:rPr>
        <w:t xml:space="preserve"> de Agua Potable</w:t>
      </w:r>
    </w:p>
    <w:p w14:paraId="7C0ADE0E" w14:textId="77777777" w:rsidR="006618FA" w:rsidRPr="00692039" w:rsidRDefault="006618FA" w:rsidP="006618FA">
      <w:pPr>
        <w:pStyle w:val="ListParagraph"/>
        <w:numPr>
          <w:ilvl w:val="0"/>
          <w:numId w:val="9"/>
        </w:numPr>
        <w:autoSpaceDE w:val="0"/>
        <w:autoSpaceDN w:val="0"/>
        <w:adjustRightInd w:val="0"/>
        <w:spacing w:after="0" w:line="240" w:lineRule="auto"/>
        <w:jc w:val="left"/>
        <w:rPr>
          <w:rFonts w:ascii="Calibri" w:eastAsiaTheme="minorEastAsia" w:hAnsi="Calibri" w:cs="Calibri"/>
          <w:lang w:val="es-419"/>
        </w:rPr>
      </w:pPr>
      <w:r w:rsidRPr="00692039">
        <w:rPr>
          <w:rFonts w:ascii="Calibri" w:eastAsiaTheme="minorEastAsia" w:hAnsi="Calibri" w:cs="Calibri"/>
          <w:lang w:val="es-419"/>
        </w:rPr>
        <w:t xml:space="preserve">Desarrollo Plan </w:t>
      </w:r>
      <w:proofErr w:type="gramStart"/>
      <w:r w:rsidRPr="00692039">
        <w:rPr>
          <w:rFonts w:ascii="Calibri" w:eastAsiaTheme="minorEastAsia" w:hAnsi="Calibri" w:cs="Calibri"/>
          <w:lang w:val="es-419"/>
        </w:rPr>
        <w:t>Director</w:t>
      </w:r>
      <w:proofErr w:type="gramEnd"/>
      <w:r w:rsidRPr="00692039">
        <w:rPr>
          <w:rFonts w:ascii="Calibri" w:eastAsiaTheme="minorEastAsia" w:hAnsi="Calibri" w:cs="Calibri"/>
          <w:lang w:val="es-419"/>
        </w:rPr>
        <w:t xml:space="preserve"> de Saneamiento</w:t>
      </w:r>
    </w:p>
    <w:p w14:paraId="47F5BB3E" w14:textId="77777777" w:rsidR="006618FA" w:rsidRPr="00692039" w:rsidRDefault="006618FA" w:rsidP="006618FA">
      <w:pPr>
        <w:pStyle w:val="ListParagraph"/>
        <w:numPr>
          <w:ilvl w:val="0"/>
          <w:numId w:val="9"/>
        </w:numPr>
        <w:autoSpaceDE w:val="0"/>
        <w:autoSpaceDN w:val="0"/>
        <w:adjustRightInd w:val="0"/>
        <w:spacing w:after="0" w:line="240" w:lineRule="auto"/>
        <w:jc w:val="left"/>
        <w:rPr>
          <w:rFonts w:ascii="Calibri" w:eastAsiaTheme="minorEastAsia" w:hAnsi="Calibri" w:cs="Calibri"/>
          <w:lang w:val="es-419"/>
        </w:rPr>
      </w:pPr>
      <w:r w:rsidRPr="00692039">
        <w:rPr>
          <w:rFonts w:ascii="Calibri" w:eastAsiaTheme="minorEastAsia" w:hAnsi="Calibri" w:cs="Calibri"/>
          <w:lang w:val="es-419"/>
        </w:rPr>
        <w:t xml:space="preserve">Desarrollo del Plan </w:t>
      </w:r>
      <w:proofErr w:type="gramStart"/>
      <w:r w:rsidRPr="00692039">
        <w:rPr>
          <w:rFonts w:ascii="Calibri" w:eastAsiaTheme="minorEastAsia" w:hAnsi="Calibri" w:cs="Calibri"/>
          <w:lang w:val="es-419"/>
        </w:rPr>
        <w:t>Director</w:t>
      </w:r>
      <w:proofErr w:type="gramEnd"/>
      <w:r w:rsidRPr="00692039">
        <w:rPr>
          <w:rFonts w:ascii="Calibri" w:eastAsiaTheme="minorEastAsia" w:hAnsi="Calibri" w:cs="Calibri"/>
          <w:lang w:val="es-419"/>
        </w:rPr>
        <w:t xml:space="preserve"> de Drenaje Pluvial</w:t>
      </w:r>
    </w:p>
    <w:p w14:paraId="391D129D" w14:textId="77777777" w:rsidR="006618FA" w:rsidRPr="00692039" w:rsidRDefault="006618FA" w:rsidP="006618FA">
      <w:pPr>
        <w:pStyle w:val="ListParagraph"/>
        <w:numPr>
          <w:ilvl w:val="0"/>
          <w:numId w:val="9"/>
        </w:numPr>
        <w:autoSpaceDE w:val="0"/>
        <w:autoSpaceDN w:val="0"/>
        <w:adjustRightInd w:val="0"/>
        <w:spacing w:after="0" w:line="240" w:lineRule="auto"/>
        <w:jc w:val="left"/>
        <w:rPr>
          <w:rFonts w:ascii="Calibri" w:eastAsiaTheme="minorEastAsia" w:hAnsi="Calibri" w:cs="Calibri"/>
          <w:lang w:val="es-419"/>
        </w:rPr>
      </w:pPr>
      <w:r w:rsidRPr="00692039">
        <w:rPr>
          <w:rFonts w:ascii="Calibri" w:eastAsiaTheme="minorEastAsia" w:hAnsi="Calibri" w:cs="Calibri"/>
          <w:lang w:val="es-419"/>
        </w:rPr>
        <w:t xml:space="preserve">Análisis de Viabilidad Financiera, social y ambiental de cada Plan </w:t>
      </w:r>
      <w:proofErr w:type="gramStart"/>
      <w:r w:rsidRPr="00692039">
        <w:rPr>
          <w:rFonts w:ascii="Calibri" w:eastAsiaTheme="minorEastAsia" w:hAnsi="Calibri" w:cs="Calibri"/>
          <w:lang w:val="es-419"/>
        </w:rPr>
        <w:t>Director</w:t>
      </w:r>
      <w:proofErr w:type="gramEnd"/>
    </w:p>
    <w:p w14:paraId="2B5FE9C0" w14:textId="77777777" w:rsidR="006618FA" w:rsidRPr="00692039" w:rsidRDefault="006618FA" w:rsidP="006618FA">
      <w:pPr>
        <w:pStyle w:val="ListParagraph"/>
        <w:numPr>
          <w:ilvl w:val="0"/>
          <w:numId w:val="9"/>
        </w:numPr>
        <w:autoSpaceDE w:val="0"/>
        <w:autoSpaceDN w:val="0"/>
        <w:adjustRightInd w:val="0"/>
        <w:spacing w:after="0" w:line="240" w:lineRule="auto"/>
        <w:jc w:val="left"/>
        <w:rPr>
          <w:rFonts w:ascii="Calibri" w:eastAsiaTheme="minorEastAsia" w:hAnsi="Calibri" w:cs="Calibri"/>
          <w:lang w:val="es-419"/>
        </w:rPr>
      </w:pPr>
      <w:r w:rsidRPr="00692039">
        <w:rPr>
          <w:rFonts w:ascii="Calibri" w:eastAsiaTheme="minorEastAsia" w:hAnsi="Calibri" w:cs="Calibri"/>
          <w:lang w:val="es-419"/>
        </w:rPr>
        <w:t xml:space="preserve">Propuesta de estudios Básicos de </w:t>
      </w:r>
      <w:proofErr w:type="spellStart"/>
      <w:r w:rsidRPr="00692039">
        <w:rPr>
          <w:rFonts w:ascii="Calibri" w:eastAsiaTheme="minorEastAsia" w:hAnsi="Calibri" w:cs="Calibri"/>
          <w:lang w:val="es-419"/>
        </w:rPr>
        <w:t>Pre-inversión</w:t>
      </w:r>
      <w:proofErr w:type="spellEnd"/>
    </w:p>
    <w:p w14:paraId="7A0BC3A0" w14:textId="77777777" w:rsidR="006618FA" w:rsidRPr="006618FA" w:rsidRDefault="006618FA" w:rsidP="006618FA">
      <w:pPr>
        <w:tabs>
          <w:tab w:val="left" w:pos="567"/>
        </w:tabs>
        <w:autoSpaceDE w:val="0"/>
        <w:autoSpaceDN w:val="0"/>
        <w:adjustRightInd w:val="0"/>
        <w:spacing w:after="0" w:line="240" w:lineRule="auto"/>
        <w:jc w:val="both"/>
        <w:rPr>
          <w:rFonts w:cstheme="minorHAnsi"/>
        </w:rPr>
      </w:pPr>
    </w:p>
    <w:p w14:paraId="416840D8" w14:textId="5AC0A7EB" w:rsidR="00A4787A" w:rsidRDefault="00A4787A" w:rsidP="00EA1A1C">
      <w:pPr>
        <w:tabs>
          <w:tab w:val="left" w:pos="567"/>
        </w:tabs>
        <w:autoSpaceDE w:val="0"/>
        <w:autoSpaceDN w:val="0"/>
        <w:adjustRightInd w:val="0"/>
        <w:spacing w:after="0" w:line="240" w:lineRule="auto"/>
        <w:jc w:val="both"/>
        <w:rPr>
          <w:rFonts w:cstheme="minorHAnsi"/>
          <w:lang w:val="es-ES_tradnl"/>
        </w:rPr>
      </w:pPr>
      <w:r w:rsidRPr="00814BBE">
        <w:rPr>
          <w:rFonts w:cstheme="minorHAnsi"/>
          <w:lang w:val="es-ES_tradnl"/>
        </w:rPr>
        <w:t xml:space="preserve">Para el desarrollo del trabajo de consultoría, la firma consultora deberá presentar, en forma explícita y detallada para cada uno de los aspectos requeridos, la metodología – enfoque técnico y conceptual - a seguir y el plan de trabajo que se llevará a cabo, además de un cronograma que posibilite el cumplimiento de los objetivos y alcances de la consultoría. </w:t>
      </w:r>
    </w:p>
    <w:p w14:paraId="2BF6C44E" w14:textId="34F449AC" w:rsidR="00EA1A1C" w:rsidRDefault="00EA1A1C" w:rsidP="00EA1A1C">
      <w:pPr>
        <w:tabs>
          <w:tab w:val="left" w:pos="567"/>
        </w:tabs>
        <w:autoSpaceDE w:val="0"/>
        <w:autoSpaceDN w:val="0"/>
        <w:adjustRightInd w:val="0"/>
        <w:spacing w:after="0" w:line="240" w:lineRule="auto"/>
        <w:jc w:val="both"/>
        <w:rPr>
          <w:rFonts w:cstheme="minorHAnsi"/>
          <w:lang w:val="es-ES_tradnl"/>
        </w:rPr>
      </w:pPr>
    </w:p>
    <w:p w14:paraId="18BBF104" w14:textId="00DBEC9B" w:rsidR="000F1B10" w:rsidRPr="000F1B10" w:rsidRDefault="000F1B10" w:rsidP="000F1B10">
      <w:pPr>
        <w:pStyle w:val="Default"/>
        <w:numPr>
          <w:ilvl w:val="0"/>
          <w:numId w:val="1"/>
        </w:numPr>
        <w:jc w:val="both"/>
        <w:rPr>
          <w:rFonts w:asciiTheme="minorHAnsi" w:hAnsiTheme="minorHAnsi" w:cstheme="minorHAnsi"/>
          <w:b/>
          <w:bCs/>
          <w:sz w:val="22"/>
          <w:szCs w:val="22"/>
        </w:rPr>
      </w:pPr>
      <w:r w:rsidRPr="000F1B10">
        <w:rPr>
          <w:rFonts w:asciiTheme="minorHAnsi" w:hAnsiTheme="minorHAnsi" w:cstheme="minorHAnsi"/>
          <w:b/>
          <w:bCs/>
          <w:sz w:val="22"/>
          <w:szCs w:val="22"/>
        </w:rPr>
        <w:t>PERFIL DE LA FIRMA CONSULTORA / EQUIPO CONSULTOR</w:t>
      </w:r>
    </w:p>
    <w:p w14:paraId="7D19EC82" w14:textId="77777777" w:rsidR="000F1B10" w:rsidRDefault="000F1B10" w:rsidP="000F1B10">
      <w:pPr>
        <w:spacing w:after="0" w:line="240" w:lineRule="auto"/>
        <w:rPr>
          <w:rFonts w:ascii="Calibri" w:hAnsi="Calibri" w:cs="Calibri"/>
        </w:rPr>
      </w:pPr>
    </w:p>
    <w:p w14:paraId="6693310F" w14:textId="77777777" w:rsidR="000F1B10" w:rsidRPr="000F1B10" w:rsidRDefault="000F1B10" w:rsidP="000F1B10">
      <w:pPr>
        <w:spacing w:after="0" w:line="240" w:lineRule="auto"/>
        <w:jc w:val="both"/>
        <w:rPr>
          <w:rFonts w:eastAsia="Calibri" w:cstheme="minorHAnsi"/>
          <w:lang w:val="es-ES"/>
        </w:rPr>
      </w:pPr>
      <w:r w:rsidRPr="000F1B10">
        <w:rPr>
          <w:rFonts w:cstheme="minorHAnsi"/>
        </w:rPr>
        <w:t xml:space="preserve">La firma deberá demostrar experiencia en </w:t>
      </w:r>
      <w:r w:rsidRPr="000F1B10">
        <w:rPr>
          <w:rFonts w:cstheme="minorHAnsi"/>
          <w:lang w:eastAsia="es-BO"/>
        </w:rPr>
        <w:t xml:space="preserve">experiencia específica </w:t>
      </w:r>
      <w:r w:rsidRPr="000F1B10">
        <w:rPr>
          <w:rFonts w:cstheme="minorHAnsi"/>
          <w:lang w:val="es-ES_tradnl" w:eastAsia="es-BO"/>
        </w:rPr>
        <w:t xml:space="preserve">en la elaboración de </w:t>
      </w:r>
      <w:r w:rsidRPr="000F1B10">
        <w:rPr>
          <w:rFonts w:eastAsia="Calibri" w:cstheme="minorHAnsi"/>
          <w:lang w:val="es-ES"/>
        </w:rPr>
        <w:t xml:space="preserve">al menos dos (2) planes maestros de agua potable y/o saneamiento y/o drenaje pluvial, con un alcance similar al objeto de esta consultoría, preferiblemente en ciudades de Latinoamérica, con características similares al MDC como ser la geomorfología, clima, tamaño de la población, entre otros. </w:t>
      </w:r>
    </w:p>
    <w:p w14:paraId="37CDF3C7" w14:textId="77777777" w:rsidR="000F1B10" w:rsidRPr="000F1B10" w:rsidRDefault="000F1B10" w:rsidP="000F1B10">
      <w:pPr>
        <w:spacing w:after="0" w:line="240" w:lineRule="auto"/>
        <w:jc w:val="both"/>
        <w:rPr>
          <w:rFonts w:eastAsia="Calibri" w:cstheme="minorHAnsi"/>
          <w:lang w:val="es-ES"/>
        </w:rPr>
      </w:pPr>
    </w:p>
    <w:p w14:paraId="730DDF46" w14:textId="77777777" w:rsidR="000F1B10" w:rsidRPr="000F1B10" w:rsidRDefault="000F1B10" w:rsidP="000F1B10">
      <w:pPr>
        <w:spacing w:after="0" w:line="240" w:lineRule="auto"/>
        <w:jc w:val="both"/>
        <w:rPr>
          <w:rFonts w:eastAsia="Calibri" w:cstheme="minorHAnsi"/>
          <w:lang w:val="es-ES"/>
        </w:rPr>
      </w:pPr>
      <w:r w:rsidRPr="000F1B10">
        <w:rPr>
          <w:rFonts w:eastAsia="Calibri" w:cstheme="minorHAnsi"/>
          <w:lang w:val="es-ES"/>
        </w:rPr>
        <w:t xml:space="preserve">Se valorará la experiencia de la firma en las siguientes áreas temáticas: i) </w:t>
      </w:r>
      <w:r w:rsidRPr="000F1B10">
        <w:rPr>
          <w:rFonts w:cstheme="minorHAnsi"/>
          <w:lang w:val="es-HN"/>
        </w:rPr>
        <w:t xml:space="preserve">planificación, evaluación, planes maestros, políticas y mecanismos de financiamiento en el ámbito municipal en el sector agua potable y saneamiento; ii) </w:t>
      </w:r>
      <w:r w:rsidRPr="000F1B10">
        <w:rPr>
          <w:rFonts w:eastAsia="Calibri" w:cstheme="minorHAnsi"/>
          <w:lang w:val="es-ES"/>
        </w:rPr>
        <w:t xml:space="preserve">planificación, gestión del manejo integral de los recursos hídricos; </w:t>
      </w:r>
      <w:proofErr w:type="spellStart"/>
      <w:r w:rsidRPr="000F1B10">
        <w:rPr>
          <w:rFonts w:eastAsia="Calibri" w:cstheme="minorHAnsi"/>
          <w:lang w:val="es-ES"/>
        </w:rPr>
        <w:t>iii</w:t>
      </w:r>
      <w:proofErr w:type="spellEnd"/>
      <w:r w:rsidRPr="000F1B10">
        <w:rPr>
          <w:rFonts w:eastAsia="Calibri" w:cstheme="minorHAnsi"/>
          <w:lang w:val="es-ES"/>
        </w:rPr>
        <w:t xml:space="preserve">) estudios para proyectos de ingeniería hidráulica considerando el manejo integral del agua con resiliencia al cambio climático, y para satisfacer la demanda de agua para uso doméstico en asentamientos periurbanos; </w:t>
      </w:r>
      <w:proofErr w:type="spellStart"/>
      <w:r w:rsidRPr="000F1B10">
        <w:rPr>
          <w:rFonts w:eastAsia="Calibri" w:cstheme="minorHAnsi"/>
          <w:lang w:val="es-ES"/>
        </w:rPr>
        <w:t>iv</w:t>
      </w:r>
      <w:proofErr w:type="spellEnd"/>
      <w:r w:rsidRPr="000F1B10">
        <w:rPr>
          <w:rFonts w:eastAsia="Calibri" w:cstheme="minorHAnsi"/>
          <w:lang w:val="es-ES"/>
        </w:rPr>
        <w:t>) análisis de los aspectos económicos, legales, sociales y ambientales, de planes maestros de agua potable, saneamiento y drenaje pluvial; v) Implementación, calibración y aplicación de modelos hidrológicos, hidráulicos e hidrodinámicos, para la definición de planes maestros de agua, saneamiento y drenaje pluvial; vi) planificación urbana y ordenamiento territorial y en procesos de concertación con actores locales.</w:t>
      </w:r>
    </w:p>
    <w:p w14:paraId="763B734B" w14:textId="77777777" w:rsidR="000F1B10" w:rsidRPr="000F1B10" w:rsidRDefault="000F1B10" w:rsidP="000F1B10">
      <w:pPr>
        <w:spacing w:after="0" w:line="240" w:lineRule="auto"/>
        <w:jc w:val="both"/>
        <w:rPr>
          <w:rFonts w:eastAsia="Calibri" w:cstheme="minorHAnsi"/>
          <w:lang w:val="es-ES"/>
        </w:rPr>
      </w:pPr>
    </w:p>
    <w:p w14:paraId="1ABB2660" w14:textId="61C2EF9E" w:rsidR="000F1B10" w:rsidRPr="000F1B10" w:rsidRDefault="000F1B10" w:rsidP="000F1B10">
      <w:pPr>
        <w:tabs>
          <w:tab w:val="left" w:pos="567"/>
        </w:tabs>
        <w:autoSpaceDE w:val="0"/>
        <w:autoSpaceDN w:val="0"/>
        <w:adjustRightInd w:val="0"/>
        <w:spacing w:after="0" w:line="240" w:lineRule="auto"/>
        <w:jc w:val="both"/>
        <w:rPr>
          <w:rFonts w:cstheme="minorHAnsi"/>
          <w:lang w:val="es-ES_tradnl"/>
        </w:rPr>
      </w:pPr>
      <w:r w:rsidRPr="000F1B10">
        <w:rPr>
          <w:rFonts w:cstheme="minorHAnsi"/>
        </w:rPr>
        <w:t>El equipo de la firma deberá incluir especialistas calificados, competentes y con experiencia demostrada en trabajos similares al objeto de la presente consultoría.</w:t>
      </w:r>
    </w:p>
    <w:sectPr w:rsidR="000F1B10" w:rsidRPr="000F1B10" w:rsidSect="003C753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4C790" w14:textId="77777777" w:rsidR="00B006E2" w:rsidRDefault="00B006E2" w:rsidP="007C39D8">
      <w:pPr>
        <w:spacing w:after="0" w:line="240" w:lineRule="auto"/>
      </w:pPr>
      <w:r>
        <w:separator/>
      </w:r>
    </w:p>
  </w:endnote>
  <w:endnote w:type="continuationSeparator" w:id="0">
    <w:p w14:paraId="66E6DFD1" w14:textId="77777777" w:rsidR="00B006E2" w:rsidRDefault="00B006E2" w:rsidP="007C3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D1E04" w14:textId="77777777" w:rsidR="00B006E2" w:rsidRDefault="00B006E2" w:rsidP="007C39D8">
      <w:pPr>
        <w:spacing w:after="0" w:line="240" w:lineRule="auto"/>
      </w:pPr>
      <w:r>
        <w:separator/>
      </w:r>
    </w:p>
  </w:footnote>
  <w:footnote w:type="continuationSeparator" w:id="0">
    <w:p w14:paraId="02B01637" w14:textId="77777777" w:rsidR="00B006E2" w:rsidRDefault="00B006E2" w:rsidP="007C39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FBFBC5A"/>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A5601C"/>
    <w:multiLevelType w:val="hybridMultilevel"/>
    <w:tmpl w:val="A08CB8C4"/>
    <w:lvl w:ilvl="0" w:tplc="04090001">
      <w:start w:val="1"/>
      <w:numFmt w:val="bullet"/>
      <w:lvlText w:val=""/>
      <w:lvlJc w:val="left"/>
      <w:pPr>
        <w:ind w:left="820" w:hanging="360"/>
      </w:pPr>
      <w:rPr>
        <w:rFonts w:ascii="Symbol" w:hAnsi="Symbol" w:hint="default"/>
      </w:rPr>
    </w:lvl>
    <w:lvl w:ilvl="1" w:tplc="04090003">
      <w:start w:val="1"/>
      <w:numFmt w:val="bullet"/>
      <w:lvlText w:val="o"/>
      <w:lvlJc w:val="left"/>
      <w:pPr>
        <w:ind w:left="1540" w:hanging="360"/>
      </w:pPr>
      <w:rPr>
        <w:rFonts w:ascii="Courier New" w:hAnsi="Courier New" w:cs="Courier New" w:hint="default"/>
      </w:rPr>
    </w:lvl>
    <w:lvl w:ilvl="2" w:tplc="04090005">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 w15:restartNumberingAfterBreak="0">
    <w:nsid w:val="17D632D4"/>
    <w:multiLevelType w:val="multilevel"/>
    <w:tmpl w:val="6F4AD0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E4640FC"/>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5A6B0E95"/>
    <w:multiLevelType w:val="hybridMultilevel"/>
    <w:tmpl w:val="4E466B3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15:restartNumberingAfterBreak="0">
    <w:nsid w:val="5C184A9E"/>
    <w:multiLevelType w:val="hybridMultilevel"/>
    <w:tmpl w:val="0652F416"/>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6" w15:restartNumberingAfterBreak="0">
    <w:nsid w:val="60AC7D36"/>
    <w:multiLevelType w:val="hybridMultilevel"/>
    <w:tmpl w:val="BFB6403A"/>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7" w15:restartNumberingAfterBreak="0">
    <w:nsid w:val="6DC06DB5"/>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709E2766"/>
    <w:multiLevelType w:val="hybridMultilevel"/>
    <w:tmpl w:val="3FD4F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7511997">
    <w:abstractNumId w:val="0"/>
  </w:num>
  <w:num w:numId="2" w16cid:durableId="1720779840">
    <w:abstractNumId w:val="3"/>
  </w:num>
  <w:num w:numId="3" w16cid:durableId="1074813609">
    <w:abstractNumId w:val="7"/>
  </w:num>
  <w:num w:numId="4" w16cid:durableId="353847473">
    <w:abstractNumId w:val="2"/>
  </w:num>
  <w:num w:numId="5" w16cid:durableId="1206676875">
    <w:abstractNumId w:val="4"/>
  </w:num>
  <w:num w:numId="6" w16cid:durableId="1822233508">
    <w:abstractNumId w:val="1"/>
  </w:num>
  <w:num w:numId="7" w16cid:durableId="975912397">
    <w:abstractNumId w:val="8"/>
  </w:num>
  <w:num w:numId="8" w16cid:durableId="794493085">
    <w:abstractNumId w:val="5"/>
  </w:num>
  <w:num w:numId="9" w16cid:durableId="1627410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189"/>
    <w:rsid w:val="00035E40"/>
    <w:rsid w:val="0007683F"/>
    <w:rsid w:val="00090FB9"/>
    <w:rsid w:val="000A0E80"/>
    <w:rsid w:val="000A10AC"/>
    <w:rsid w:val="000D1189"/>
    <w:rsid w:val="000D26A3"/>
    <w:rsid w:val="000D6A48"/>
    <w:rsid w:val="000E46F4"/>
    <w:rsid w:val="000F1B10"/>
    <w:rsid w:val="00104356"/>
    <w:rsid w:val="00147E1F"/>
    <w:rsid w:val="0016375D"/>
    <w:rsid w:val="00172B3D"/>
    <w:rsid w:val="0017386D"/>
    <w:rsid w:val="0019318C"/>
    <w:rsid w:val="001B3DFB"/>
    <w:rsid w:val="001E7C00"/>
    <w:rsid w:val="001F116A"/>
    <w:rsid w:val="00201669"/>
    <w:rsid w:val="002370C8"/>
    <w:rsid w:val="00253F10"/>
    <w:rsid w:val="002579CB"/>
    <w:rsid w:val="00267A48"/>
    <w:rsid w:val="00270D0F"/>
    <w:rsid w:val="0027237E"/>
    <w:rsid w:val="00274ECA"/>
    <w:rsid w:val="00282CDB"/>
    <w:rsid w:val="00283383"/>
    <w:rsid w:val="00286CEA"/>
    <w:rsid w:val="0029168E"/>
    <w:rsid w:val="002B0AAE"/>
    <w:rsid w:val="002C3879"/>
    <w:rsid w:val="002D763C"/>
    <w:rsid w:val="002D7EF0"/>
    <w:rsid w:val="002F2C5B"/>
    <w:rsid w:val="002F554C"/>
    <w:rsid w:val="003516C9"/>
    <w:rsid w:val="003563CE"/>
    <w:rsid w:val="00371A55"/>
    <w:rsid w:val="00380CC2"/>
    <w:rsid w:val="003C3A81"/>
    <w:rsid w:val="003C421E"/>
    <w:rsid w:val="003C5345"/>
    <w:rsid w:val="003C753D"/>
    <w:rsid w:val="003F5BAC"/>
    <w:rsid w:val="003F7EDE"/>
    <w:rsid w:val="00413F3A"/>
    <w:rsid w:val="00423E84"/>
    <w:rsid w:val="0045508D"/>
    <w:rsid w:val="004979E1"/>
    <w:rsid w:val="004C6EAE"/>
    <w:rsid w:val="004C79B2"/>
    <w:rsid w:val="004D7130"/>
    <w:rsid w:val="004F5F66"/>
    <w:rsid w:val="00537230"/>
    <w:rsid w:val="005422A2"/>
    <w:rsid w:val="00552F48"/>
    <w:rsid w:val="0059010F"/>
    <w:rsid w:val="005958FC"/>
    <w:rsid w:val="005A0E3C"/>
    <w:rsid w:val="005E0069"/>
    <w:rsid w:val="005E232F"/>
    <w:rsid w:val="005E4319"/>
    <w:rsid w:val="005F04CA"/>
    <w:rsid w:val="00624FB5"/>
    <w:rsid w:val="00632A1B"/>
    <w:rsid w:val="0064451E"/>
    <w:rsid w:val="0065379C"/>
    <w:rsid w:val="006618FA"/>
    <w:rsid w:val="00670EA5"/>
    <w:rsid w:val="00683979"/>
    <w:rsid w:val="00684D8E"/>
    <w:rsid w:val="006901E7"/>
    <w:rsid w:val="006A4703"/>
    <w:rsid w:val="006B4B5A"/>
    <w:rsid w:val="006C4248"/>
    <w:rsid w:val="006F20B9"/>
    <w:rsid w:val="006F6219"/>
    <w:rsid w:val="00703EE5"/>
    <w:rsid w:val="0070782A"/>
    <w:rsid w:val="00710272"/>
    <w:rsid w:val="0071796E"/>
    <w:rsid w:val="00744ECD"/>
    <w:rsid w:val="0075482E"/>
    <w:rsid w:val="007C39D8"/>
    <w:rsid w:val="007E133D"/>
    <w:rsid w:val="007F7700"/>
    <w:rsid w:val="00811E90"/>
    <w:rsid w:val="008121A9"/>
    <w:rsid w:val="00814BBE"/>
    <w:rsid w:val="00845A05"/>
    <w:rsid w:val="00867DE7"/>
    <w:rsid w:val="0087546C"/>
    <w:rsid w:val="00885474"/>
    <w:rsid w:val="008A56AC"/>
    <w:rsid w:val="008B29C5"/>
    <w:rsid w:val="009321C8"/>
    <w:rsid w:val="009323EF"/>
    <w:rsid w:val="00943597"/>
    <w:rsid w:val="009508E8"/>
    <w:rsid w:val="00963572"/>
    <w:rsid w:val="009639EE"/>
    <w:rsid w:val="00977C4A"/>
    <w:rsid w:val="00983C33"/>
    <w:rsid w:val="00987E3C"/>
    <w:rsid w:val="009A4966"/>
    <w:rsid w:val="009E316D"/>
    <w:rsid w:val="00A12A58"/>
    <w:rsid w:val="00A17A55"/>
    <w:rsid w:val="00A24E5C"/>
    <w:rsid w:val="00A3720A"/>
    <w:rsid w:val="00A40365"/>
    <w:rsid w:val="00A40CAC"/>
    <w:rsid w:val="00A4787A"/>
    <w:rsid w:val="00A47AA4"/>
    <w:rsid w:val="00A72114"/>
    <w:rsid w:val="00A86235"/>
    <w:rsid w:val="00AA148A"/>
    <w:rsid w:val="00AA443A"/>
    <w:rsid w:val="00AA7C4F"/>
    <w:rsid w:val="00AB0F6C"/>
    <w:rsid w:val="00AC5AD3"/>
    <w:rsid w:val="00AD10AD"/>
    <w:rsid w:val="00AD4400"/>
    <w:rsid w:val="00AE43A4"/>
    <w:rsid w:val="00AE713F"/>
    <w:rsid w:val="00AF4911"/>
    <w:rsid w:val="00AF720D"/>
    <w:rsid w:val="00B006E2"/>
    <w:rsid w:val="00B07E67"/>
    <w:rsid w:val="00B21901"/>
    <w:rsid w:val="00B4197B"/>
    <w:rsid w:val="00B5013F"/>
    <w:rsid w:val="00B54786"/>
    <w:rsid w:val="00B65CDB"/>
    <w:rsid w:val="00B83D6F"/>
    <w:rsid w:val="00C012CB"/>
    <w:rsid w:val="00C0619B"/>
    <w:rsid w:val="00C13B98"/>
    <w:rsid w:val="00C62823"/>
    <w:rsid w:val="00C754E0"/>
    <w:rsid w:val="00C76D94"/>
    <w:rsid w:val="00CA1265"/>
    <w:rsid w:val="00CB143D"/>
    <w:rsid w:val="00CB36E1"/>
    <w:rsid w:val="00CC1355"/>
    <w:rsid w:val="00CD4F7F"/>
    <w:rsid w:val="00CE3F68"/>
    <w:rsid w:val="00CF5387"/>
    <w:rsid w:val="00D0668F"/>
    <w:rsid w:val="00D13BA3"/>
    <w:rsid w:val="00D6089E"/>
    <w:rsid w:val="00D85D79"/>
    <w:rsid w:val="00DC0709"/>
    <w:rsid w:val="00DD681D"/>
    <w:rsid w:val="00DD6C48"/>
    <w:rsid w:val="00E04B51"/>
    <w:rsid w:val="00E072A2"/>
    <w:rsid w:val="00E11273"/>
    <w:rsid w:val="00E45D9B"/>
    <w:rsid w:val="00E67038"/>
    <w:rsid w:val="00E74B52"/>
    <w:rsid w:val="00E95607"/>
    <w:rsid w:val="00EA1A1C"/>
    <w:rsid w:val="00EA274A"/>
    <w:rsid w:val="00ED2254"/>
    <w:rsid w:val="00ED7D4C"/>
    <w:rsid w:val="00EE591E"/>
    <w:rsid w:val="00F01998"/>
    <w:rsid w:val="00F103D2"/>
    <w:rsid w:val="00F6321C"/>
    <w:rsid w:val="00F63DA9"/>
    <w:rsid w:val="00F70997"/>
    <w:rsid w:val="00F7151A"/>
    <w:rsid w:val="00F77343"/>
    <w:rsid w:val="00FA700B"/>
    <w:rsid w:val="00FC4BCE"/>
    <w:rsid w:val="00FE51D3"/>
    <w:rsid w:val="00FF0799"/>
    <w:rsid w:val="776946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C94F2"/>
  <w15:chartTrackingRefBased/>
  <w15:docId w15:val="{ED6D057B-0B60-40B5-ACDD-3029F227B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D1189"/>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0D1189"/>
    <w:rPr>
      <w:color w:val="0563C1" w:themeColor="hyperlink"/>
      <w:u w:val="single"/>
    </w:rPr>
  </w:style>
  <w:style w:type="character" w:styleId="UnresolvedMention">
    <w:name w:val="Unresolved Mention"/>
    <w:basedOn w:val="DefaultParagraphFont"/>
    <w:uiPriority w:val="99"/>
    <w:semiHidden/>
    <w:unhideWhenUsed/>
    <w:rsid w:val="000D1189"/>
    <w:rPr>
      <w:color w:val="605E5C"/>
      <w:shd w:val="clear" w:color="auto" w:fill="E1DFDD"/>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ootno"/>
    <w:basedOn w:val="Normal"/>
    <w:link w:val="FootnoteTextChar"/>
    <w:autoRedefine/>
    <w:uiPriority w:val="99"/>
    <w:unhideWhenUsed/>
    <w:qFormat/>
    <w:rsid w:val="007C39D8"/>
    <w:pPr>
      <w:tabs>
        <w:tab w:val="left" w:pos="360"/>
      </w:tabs>
      <w:spacing w:after="0" w:line="240" w:lineRule="auto"/>
      <w:ind w:left="360" w:hanging="360"/>
      <w:jc w:val="both"/>
    </w:pPr>
    <w:rPr>
      <w:rFonts w:ascii="Times New Roman" w:hAnsi="Times New Roman"/>
      <w:sz w:val="20"/>
      <w:szCs w:val="24"/>
      <w:lang w:val="en-US"/>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7C39D8"/>
    <w:rPr>
      <w:rFonts w:ascii="Times New Roman" w:hAnsi="Times New Roman"/>
      <w:sz w:val="20"/>
      <w:szCs w:val="24"/>
      <w:lang w:val="en-US"/>
    </w:rPr>
  </w:style>
  <w:style w:type="paragraph" w:styleId="ListParagraph">
    <w:name w:val="List Paragraph"/>
    <w:aliases w:val="titulo 5,Párrafo de lista 2,Bullet list first level,titulo 3,Párrafo de lista1,Bullets,Lista vistosa - Énfasis 11,fuente,TIT 2 IND,Capítulo,Viñeta,TITULO A,Cuadro 2-1,paul2,List Paragraph-Thesis,Párrafo,References,Title Style 1,lp1"/>
    <w:basedOn w:val="Normal"/>
    <w:link w:val="ListParagraphChar"/>
    <w:uiPriority w:val="34"/>
    <w:qFormat/>
    <w:rsid w:val="007C39D8"/>
    <w:pPr>
      <w:spacing w:after="120" w:line="276" w:lineRule="auto"/>
      <w:ind w:left="720"/>
      <w:contextualSpacing/>
      <w:jc w:val="both"/>
    </w:pPr>
    <w:rPr>
      <w:rFonts w:ascii="Times New Roman" w:hAnsi="Times New Roman"/>
      <w:lang w:val="en-US" w:eastAsia="ja-JP"/>
    </w:rPr>
  </w:style>
  <w:style w:type="character" w:styleId="CommentReference">
    <w:name w:val="annotation reference"/>
    <w:basedOn w:val="DefaultParagraphFont"/>
    <w:uiPriority w:val="99"/>
    <w:semiHidden/>
    <w:unhideWhenUsed/>
    <w:rsid w:val="007C39D8"/>
    <w:rPr>
      <w:sz w:val="16"/>
      <w:szCs w:val="16"/>
    </w:rPr>
  </w:style>
  <w:style w:type="paragraph" w:styleId="CommentText">
    <w:name w:val="annotation text"/>
    <w:basedOn w:val="Normal"/>
    <w:link w:val="CommentTextChar"/>
    <w:uiPriority w:val="99"/>
    <w:unhideWhenUsed/>
    <w:rsid w:val="007C39D8"/>
    <w:pPr>
      <w:spacing w:after="120" w:line="240" w:lineRule="auto"/>
      <w:jc w:val="both"/>
    </w:pPr>
    <w:rPr>
      <w:rFonts w:ascii="Times New Roman" w:hAnsi="Times New Roman"/>
      <w:sz w:val="20"/>
      <w:szCs w:val="20"/>
      <w:lang w:val="en-US" w:eastAsia="ja-JP"/>
    </w:rPr>
  </w:style>
  <w:style w:type="character" w:customStyle="1" w:styleId="CommentTextChar">
    <w:name w:val="Comment Text Char"/>
    <w:basedOn w:val="DefaultParagraphFont"/>
    <w:link w:val="CommentText"/>
    <w:uiPriority w:val="99"/>
    <w:rsid w:val="007C39D8"/>
    <w:rPr>
      <w:rFonts w:ascii="Times New Roman" w:hAnsi="Times New Roman"/>
      <w:sz w:val="20"/>
      <w:szCs w:val="20"/>
      <w:lang w:val="en-US" w:eastAsia="ja-JP"/>
    </w:rPr>
  </w:style>
  <w:style w:type="character" w:styleId="FootnoteReference">
    <w:name w:val="footnote reference"/>
    <w:aliases w:val="titulo 2,Style 24,pie pddes,referencia nota al pie,Fußnotenzeichen DISS,16 Point,Superscript 6 Point,ftref,FC,Footnote Reference.SES,Ref. de nota al pie.,Ref,de nota al pie,BVI fnr,Знак сноски 1,Footnote Referencefra,fr,SUPERS"/>
    <w:link w:val="BVIfnrCharCharCharCharCharCharChar"/>
    <w:uiPriority w:val="99"/>
    <w:qFormat/>
    <w:rsid w:val="007C39D8"/>
    <w:rPr>
      <w:vertAlign w:val="superscript"/>
    </w:rPr>
  </w:style>
  <w:style w:type="character" w:customStyle="1" w:styleId="ListParagraphChar">
    <w:name w:val="List Paragraph Char"/>
    <w:aliases w:val="titulo 5 Char,Párrafo de lista 2 Char,Bullet list first level Char,titulo 3 Char,Párrafo de lista1 Char,Bullets Char,Lista vistosa - Énfasis 11 Char,fuente Char,TIT 2 IND Char,Capítulo Char,Viñeta Char,TITULO A Char,Cuadro 2-1 Char"/>
    <w:basedOn w:val="DefaultParagraphFont"/>
    <w:link w:val="ListParagraph"/>
    <w:uiPriority w:val="34"/>
    <w:locked/>
    <w:rsid w:val="007C39D8"/>
    <w:rPr>
      <w:rFonts w:ascii="Times New Roman" w:hAnsi="Times New Roman"/>
      <w:lang w:val="en-US" w:eastAsia="ja-JP"/>
    </w:rPr>
  </w:style>
  <w:style w:type="paragraph" w:customStyle="1" w:styleId="BVIfnrCharCharCharCharCharCharChar">
    <w:name w:val="BVI fnr Char Char Char Char Char Char Char"/>
    <w:aliases w:val="BVI fnr Car Car Char Char Char Char Char Char Char,BVI fnr Car Char Char Char Char Char Char Char"/>
    <w:basedOn w:val="Normal"/>
    <w:link w:val="FootnoteReference"/>
    <w:uiPriority w:val="99"/>
    <w:rsid w:val="007C39D8"/>
    <w:pPr>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jmanjarres@iadb.org"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beo-procurement.iadb.org/es/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CID/CHO</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ATN/OC-19017-HO</Approval_x0020_Number>
    <Phase xmlns="cdc7663a-08f0-4737-9e8c-148ce897a09c">PHASE_IMPLEMENTATION</Phase>
    <Document_x0020_Author xmlns="cdc7663a-08f0-4737-9e8c-148ce897a09c">Guzman Amalia del Carmen</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BEO Procurement</Business_x0020_Area>
    <ATI_x0020_Undisclose_x0020_Document_x0020_Workflow xmlns="56e62e54-29d2-4d41-b7f3-e854773ec617">
      <Url xsi:nil="true"/>
      <Description xsi:nil="true"/>
    </ATI_x0020_Undisclose_x0020_Document_x0020_Workflow>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CTY</TermName>
          <TermId xmlns="http://schemas.microsoft.com/office/infopath/2007/PartnerControls">480c4b50-1d26-4981-a192-620d20903d26</TermId>
        </TermInfo>
      </Terms>
    </g511464f9e53401d84b16fa9b379a574>
    <Related_x0020_SisCor_x0020_Number xmlns="cdc7663a-08f0-4737-9e8c-148ce897a09c" xsi:nil="true"/>
    <Transaction_x0020_Type xmlns="cdc7663a-08f0-4737-9e8c-148ce897a09c" xsi:nil="true"/>
    <TaxCatchAll xmlns="cdc7663a-08f0-4737-9e8c-148ce897a09c">
      <Value>97</Value>
      <Value>134</Value>
      <Value>28</Value>
      <Value>8</Value>
      <Value>258</Value>
    </TaxCatchAll>
    <Operation_x0020_Type xmlns="cdc7663a-08f0-4737-9e8c-148ce897a09c">Technical Cooperation</Operation_x0020_Type>
    <Package_x0020_Code xmlns="cdc7663a-08f0-4737-9e8c-148ce897a09c" xsi:nil="true"/>
    <To_x003a_ xmlns="cdc7663a-08f0-4737-9e8c-148ce897a09c" xsi:nil="true"/>
    <Identifier xmlns="cdc7663a-08f0-4737-9e8c-148ce897a09c" xsi:nil="true"/>
    <Project_x0020_Number xmlns="cdc7663a-08f0-4737-9e8c-148ce897a09c">HO-T1396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Transaction_x0020_Number xmlns="cdc7663a-08f0-4737-9e8c-148ce897a09c" xsi:nil="true"/>
    <ATI_x0020_Disclose_x0020_Document_x0020_Workflow_x0020_v6 xmlns="56e62e54-29d2-4d41-b7f3-e854773ec617">
      <Url xsi:nil="true"/>
      <Description xsi:nil="true"/>
    </ATI_x0020_Disclose_x0020_Document_x0020_Workflow_x0020_v6>
    <Extracted_x0020_Keywords xmlns="cdc7663a-08f0-4737-9e8c-148ce897a09c" xsi:nil="true"/>
    <Approval_x0020_date xmlns="cdc7663a-08f0-4737-9e8c-148ce897a09c" xsi:nil="true"/>
    <_dlc_DocId xmlns="cdc7663a-08f0-4737-9e8c-148ce897a09c">EZSHARE-1155360912-5</_dlc_DocId>
    <_dlc_DocIdUrl xmlns="cdc7663a-08f0-4737-9e8c-148ce897a09c">
      <Url>https://idbg.sharepoint.com/teams/EZ-HO-TCP/HO-T1396/_layouts/15/DocIdRedir.aspx?ID=EZSHARE-1155360912-5</Url>
      <Description>EZSHARE-1155360912-5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3141EF080F0F4B4BB7668FBE5D85550C" ma:contentTypeVersion="7694" ma:contentTypeDescription="The base project type from which other project content types inherit their information." ma:contentTypeScope="" ma:versionID="82c92b27609f2f51400bd6fbf16cb7a1">
  <xsd:schema xmlns:xsd="http://www.w3.org/2001/XMLSchema" xmlns:xs="http://www.w3.org/2001/XMLSchema" xmlns:p="http://schemas.microsoft.com/office/2006/metadata/properties" xmlns:ns2="cdc7663a-08f0-4737-9e8c-148ce897a09c" xmlns:ns3="56e62e54-29d2-4d41-b7f3-e854773ec617" targetNamespace="http://schemas.microsoft.com/office/2006/metadata/properties" ma:root="true" ma:fieldsID="b0a3de5d51886224a19bceae75fc3af4" ns2:_="" ns3:_="">
    <xsd:import namespace="cdc7663a-08f0-4737-9e8c-148ce897a09c"/>
    <xsd:import namespace="56e62e54-29d2-4d41-b7f3-e854773ec617"/>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element ref="ns3:ATI_x0020_Disclose_x0020_Document_x0020_Workflow_x0020_v6" minOccurs="0"/>
                <xsd:element ref="ns3:ATI_x0020_Undisclose_x0020_Document_x0020_Workflow"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e62e54-29d2-4d41-b7f3-e854773ec617" elementFormDefault="qualified">
    <xsd:import namespace="http://schemas.microsoft.com/office/2006/documentManagement/types"/>
    <xsd:import namespace="http://schemas.microsoft.com/office/infopath/2007/PartnerControls"/>
    <xsd:element name="ATI_x0020_Disclose_x0020_Document_x0020_Workflow_x0020_v6" ma:index="51" nillable="true" ma:displayName="ATI Disclose Document Workflow v6" ma:internalName="ATI_x0020_Disclose_x0020_Document_x0020_Workflow_x0020_v6">
      <xsd:complexType>
        <xsd:complexContent>
          <xsd:extension base="dms:URL">
            <xsd:sequence>
              <xsd:element name="Url" type="dms:ValidUrl" minOccurs="0" nillable="true"/>
              <xsd:element name="Description" type="xsd:string" nillable="true"/>
            </xsd:sequence>
          </xsd:extension>
        </xsd:complexContent>
      </xsd:complexType>
    </xsd:element>
    <xsd:element name="ATI_x0020_Undisclose_x0020_Document_x0020_Workflow" ma:index="52" nillable="true" ma:displayName="ATI Undisclose Document Workflow" ma:internalName="ATI_x0020_Undisclose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53" nillable="true" ma:displayName="MediaServiceMetadata" ma:hidden="true" ma:internalName="MediaServiceMetadata" ma:readOnly="true">
      <xsd:simpleType>
        <xsd:restriction base="dms:Note"/>
      </xsd:simpleType>
    </xsd:element>
    <xsd:element name="MediaServiceFastMetadata" ma:index="54"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F0FE26-4CED-44C0-AAA4-3719E848BFB1}">
  <ds:schemaRefs>
    <ds:schemaRef ds:uri="http://schemas.microsoft.com/sharepoint/v3/contenttype/forms/url"/>
  </ds:schemaRefs>
</ds:datastoreItem>
</file>

<file path=customXml/itemProps2.xml><?xml version="1.0" encoding="utf-8"?>
<ds:datastoreItem xmlns:ds="http://schemas.openxmlformats.org/officeDocument/2006/customXml" ds:itemID="{9F89D760-B794-47F6-A79C-8F224CD323D1}">
  <ds:schemaRefs>
    <ds:schemaRef ds:uri="http://schemas.microsoft.com/office/2006/metadata/properties"/>
    <ds:schemaRef ds:uri="http://schemas.microsoft.com/office/infopath/2007/PartnerControls"/>
    <ds:schemaRef ds:uri="cdc7663a-08f0-4737-9e8c-148ce897a09c"/>
    <ds:schemaRef ds:uri="56e62e54-29d2-4d41-b7f3-e854773ec617"/>
  </ds:schemaRefs>
</ds:datastoreItem>
</file>

<file path=customXml/itemProps3.xml><?xml version="1.0" encoding="utf-8"?>
<ds:datastoreItem xmlns:ds="http://schemas.openxmlformats.org/officeDocument/2006/customXml" ds:itemID="{03152BBE-A98D-4DBE-BE9F-1A834000C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56e62e54-29d2-4d41-b7f3-e854773ec6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87B2C6-4444-461E-8FBE-B8144D57CAAC}">
  <ds:schemaRefs>
    <ds:schemaRef ds:uri="Microsoft.SharePoint.Taxonomy.ContentTypeSync"/>
  </ds:schemaRefs>
</ds:datastoreItem>
</file>

<file path=customXml/itemProps5.xml><?xml version="1.0" encoding="utf-8"?>
<ds:datastoreItem xmlns:ds="http://schemas.openxmlformats.org/officeDocument/2006/customXml" ds:itemID="{11711997-D770-463B-846B-5CF7CBF59A68}">
  <ds:schemaRefs>
    <ds:schemaRef ds:uri="http://schemas.microsoft.com/sharepoint/events"/>
  </ds:schemaRefs>
</ds:datastoreItem>
</file>

<file path=customXml/itemProps6.xml><?xml version="1.0" encoding="utf-8"?>
<ds:datastoreItem xmlns:ds="http://schemas.openxmlformats.org/officeDocument/2006/customXml" ds:itemID="{8B802FD5-E8D9-4C2E-93E4-3DAF8145E6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1428</Words>
  <Characters>8141</Characters>
  <Application>Microsoft Office Word</Application>
  <DocSecurity>4</DocSecurity>
  <Lines>67</Lines>
  <Paragraphs>19</Paragraphs>
  <ScaleCrop>false</ScaleCrop>
  <Company/>
  <LinksUpToDate>false</LinksUpToDate>
  <CharactersWithSpaces>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Manjarres, Jose Francisco</dc:creator>
  <cp:keywords/>
  <dc:description/>
  <cp:lastModifiedBy>IADB</cp:lastModifiedBy>
  <cp:revision>2</cp:revision>
  <dcterms:created xsi:type="dcterms:W3CDTF">2022-08-05T14:19:00Z</dcterms:created>
  <dcterms:modified xsi:type="dcterms:W3CDTF">2022-08-05T14:19:00Z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0x010100ACF722E9F6B0B149B0CD8BE2560A6672003141EF080F0F4B4BB7668FBE5D85550C</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28;#Honduras|0dd9f989-602d-4742-8212-5c1b8b0b74d5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8;#Goods and Services|5bfebf1b-9f1f-4411-b1dd-4c19b807b799</vt:lpwstr>
  </property>
  <property fmtid="{D5CDD505-2E9C-101B-9397-08002B2CF9AE}" pid="10" name="Sector_x0020_IDB">
    <vt:lpwstr/>
  </property>
  <property fmtid="{D5CDD505-2E9C-101B-9397-08002B2CF9AE}" pid="11" name="Sub-Sector">
    <vt:lpwstr>258;#WATER SUPPLY URBAN|28df1b5d-8f50-49f8-b50a-8bcbae67d2a4</vt:lpwstr>
  </property>
  <property fmtid="{D5CDD505-2E9C-101B-9397-08002B2CF9AE}" pid="12" name="Series Operations IDB">
    <vt:lpwstr/>
  </property>
  <property fmtid="{D5CDD505-2E9C-101B-9397-08002B2CF9AE}" pid="13" name="Fund IDB">
    <vt:lpwstr>97;#CTY|480c4b50-1d26-4981-a192-620d20903d26</vt:lpwstr>
  </property>
  <property fmtid="{D5CDD505-2E9C-101B-9397-08002B2CF9AE}" pid="14" name="Sector IDB">
    <vt:lpwstr>134;#WATER AND SANITATION|ba6b63cd-e402-47cb-9357-08149f7ce046</vt:lpwstr>
  </property>
  <property fmtid="{D5CDD505-2E9C-101B-9397-08002B2CF9AE}" pid="15" name="_dlc_DocIdItemGuid">
    <vt:lpwstr>9e04bf42-9768-4ec5-abde-391e7dc21000</vt:lpwstr>
  </property>
  <property fmtid="{D5CDD505-2E9C-101B-9397-08002B2CF9AE}" pid="16" name="Disclosure Activity">
    <vt:lpwstr>BEO Procurement</vt:lpwstr>
  </property>
  <property fmtid="{D5CDD505-2E9C-101B-9397-08002B2CF9AE}" pid="17" name="Webtopic">
    <vt:lpwstr/>
  </property>
</Properties>
</file>