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485321" w14:textId="420AC181" w:rsidR="00BE076A" w:rsidRDefault="00294D5F" w:rsidP="00BE076A">
      <w:pPr>
        <w:autoSpaceDE w:val="0"/>
        <w:autoSpaceDN w:val="0"/>
        <w:adjustRightInd w:val="0"/>
        <w:spacing w:after="0" w:line="240" w:lineRule="auto"/>
        <w:jc w:val="center"/>
        <w:rPr>
          <w:rFonts w:ascii="TimesNewRomanPSMT" w:hAnsi="TimesNewRomanPSMT" w:cs="TimesNewRomanPSMT"/>
          <w:lang w:val="es-ES_tradnl"/>
        </w:rPr>
      </w:pPr>
      <w:r>
        <w:rPr>
          <w:rFonts w:ascii="TimesNewRomanPSMT" w:hAnsi="TimesNewRomanPSMT" w:cs="TimesNewRomanPSMT"/>
          <w:lang w:val="es-ES_tradnl"/>
        </w:rPr>
        <w:t>Impacto Social: Igualdad de Género en el P</w:t>
      </w:r>
      <w:r w:rsidR="00BE076A" w:rsidRPr="00BE076A">
        <w:rPr>
          <w:rFonts w:ascii="TimesNewRomanPSMT" w:hAnsi="TimesNewRomanPSMT" w:cs="TimesNewRomanPSMT"/>
          <w:lang w:val="es-ES_tradnl"/>
        </w:rPr>
        <w:t xml:space="preserve">royecto de </w:t>
      </w:r>
      <w:r w:rsidR="00BE076A">
        <w:rPr>
          <w:rFonts w:ascii="TimesNewRomanPSMT" w:hAnsi="TimesNewRomanPSMT" w:cs="TimesNewRomanPSMT"/>
          <w:lang w:val="es-ES_tradnl"/>
        </w:rPr>
        <w:t>Mejora de los Servicios de Prevención y Atención al Delito en Barrios Vulnerables al Crimen y la Violencia en el Perú (PE-L1224)</w:t>
      </w:r>
    </w:p>
    <w:p w14:paraId="61A9F8D2" w14:textId="77777777" w:rsidR="00BE076A" w:rsidRDefault="00BE076A" w:rsidP="00BE076A">
      <w:pPr>
        <w:autoSpaceDE w:val="0"/>
        <w:autoSpaceDN w:val="0"/>
        <w:adjustRightInd w:val="0"/>
        <w:spacing w:after="0" w:line="240" w:lineRule="auto"/>
        <w:jc w:val="center"/>
        <w:rPr>
          <w:rFonts w:ascii="TimesNewRomanPSMT" w:hAnsi="TimesNewRomanPSMT" w:cs="TimesNewRomanPSMT"/>
          <w:lang w:val="es-ES_tradnl"/>
        </w:rPr>
      </w:pPr>
    </w:p>
    <w:p w14:paraId="50BB7657" w14:textId="77777777" w:rsidR="00BE076A" w:rsidRPr="00BE076A" w:rsidRDefault="00BE076A" w:rsidP="00BE076A">
      <w:pPr>
        <w:autoSpaceDE w:val="0"/>
        <w:autoSpaceDN w:val="0"/>
        <w:adjustRightInd w:val="0"/>
        <w:spacing w:after="0" w:line="240" w:lineRule="auto"/>
        <w:jc w:val="center"/>
        <w:rPr>
          <w:rFonts w:ascii="TimesNewRomanPSMT" w:hAnsi="TimesNewRomanPSMT" w:cs="TimesNewRomanPSMT"/>
          <w:lang w:val="es-ES_tradnl"/>
        </w:rPr>
      </w:pPr>
      <w:r w:rsidRPr="006A2E66">
        <w:rPr>
          <w:rFonts w:ascii="Times New Roman" w:hAnsi="Times New Roman" w:cs="Times New Roman"/>
          <w:b/>
          <w:sz w:val="4"/>
          <w:szCs w:val="4"/>
          <w:lang w:val="es-ES_tradn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2B7D095" w14:textId="77777777" w:rsidR="00BE076A" w:rsidRPr="00BE076A" w:rsidRDefault="00BE076A" w:rsidP="00BE076A">
      <w:pPr>
        <w:autoSpaceDE w:val="0"/>
        <w:autoSpaceDN w:val="0"/>
        <w:adjustRightInd w:val="0"/>
        <w:spacing w:after="0" w:line="240" w:lineRule="auto"/>
        <w:rPr>
          <w:rFonts w:ascii="TimesNewRomanPSMT" w:hAnsi="TimesNewRomanPSMT" w:cs="TimesNewRomanPSMT"/>
          <w:lang w:val="es-ES_tradnl"/>
        </w:rPr>
      </w:pPr>
    </w:p>
    <w:p w14:paraId="20C9A9F7" w14:textId="77777777" w:rsidR="00BE076A" w:rsidRPr="00797F20" w:rsidRDefault="00BE076A" w:rsidP="00BE076A">
      <w:pPr>
        <w:autoSpaceDE w:val="0"/>
        <w:autoSpaceDN w:val="0"/>
        <w:adjustRightInd w:val="0"/>
        <w:spacing w:after="0" w:line="240" w:lineRule="auto"/>
        <w:rPr>
          <w:rFonts w:ascii="TimesNewRomanPSMT" w:hAnsi="TimesNewRomanPSMT" w:cs="TimesNewRomanPSMT"/>
          <w:b/>
          <w:lang w:val="es-ES_tradnl"/>
        </w:rPr>
      </w:pPr>
      <w:r w:rsidRPr="00797F20">
        <w:rPr>
          <w:rFonts w:ascii="TimesNewRomanPSMT" w:hAnsi="TimesNewRomanPSMT" w:cs="TimesNewRomanPSMT"/>
          <w:b/>
          <w:lang w:val="es-ES_tradnl"/>
        </w:rPr>
        <w:t>1. Introducción</w:t>
      </w:r>
    </w:p>
    <w:p w14:paraId="738A274B" w14:textId="77777777" w:rsidR="00BE076A" w:rsidRPr="00BE076A" w:rsidRDefault="00BE076A" w:rsidP="00BE076A">
      <w:pPr>
        <w:autoSpaceDE w:val="0"/>
        <w:autoSpaceDN w:val="0"/>
        <w:adjustRightInd w:val="0"/>
        <w:spacing w:after="0" w:line="240" w:lineRule="auto"/>
        <w:rPr>
          <w:rFonts w:ascii="TimesNewRomanPSMT" w:hAnsi="TimesNewRomanPSMT" w:cs="TimesNewRomanPSMT"/>
          <w:lang w:val="es-ES_tradnl"/>
        </w:rPr>
      </w:pPr>
    </w:p>
    <w:p w14:paraId="3756655C" w14:textId="73DA787D" w:rsidR="00FA660A" w:rsidRDefault="00BE076A" w:rsidP="00BE076A">
      <w:pPr>
        <w:autoSpaceDE w:val="0"/>
        <w:autoSpaceDN w:val="0"/>
        <w:adjustRightInd w:val="0"/>
        <w:spacing w:after="0" w:line="240" w:lineRule="auto"/>
        <w:jc w:val="both"/>
        <w:rPr>
          <w:rFonts w:ascii="TimesNewRomanPSMT" w:hAnsi="TimesNewRomanPSMT" w:cs="TimesNewRomanPSMT"/>
          <w:lang w:val="es-ES_tradnl"/>
        </w:rPr>
      </w:pPr>
      <w:r w:rsidRPr="00BE076A">
        <w:rPr>
          <w:rFonts w:ascii="TimesNewRomanPSMT" w:hAnsi="TimesNewRomanPSMT" w:cs="TimesNewRomanPSMT"/>
          <w:lang w:val="es-ES_tradnl"/>
        </w:rPr>
        <w:t>En 2010, el Banco Interamericano de Desarrollo (BID) aprobó la Política Operativa sobre Igualdad de Género en el Desarrollo (GN-2531-6) para fortalecer la respuesta del Banco a los objetivos y compromisos de sus países miembros en A</w:t>
      </w:r>
      <w:r>
        <w:rPr>
          <w:rFonts w:ascii="TimesNewRomanPSMT" w:hAnsi="TimesNewRomanPSMT" w:cs="TimesNewRomanPSMT"/>
          <w:lang w:val="es-ES_tradnl"/>
        </w:rPr>
        <w:t>mérica Latina y el Caribe (LAC</w:t>
      </w:r>
      <w:r w:rsidRPr="00BE076A">
        <w:rPr>
          <w:rFonts w:ascii="TimesNewRomanPSMT" w:hAnsi="TimesNewRomanPSMT" w:cs="TimesNewRomanPSMT"/>
          <w:lang w:val="es-ES_tradnl"/>
        </w:rPr>
        <w:t xml:space="preserve">) </w:t>
      </w:r>
      <w:r w:rsidR="006A2E66">
        <w:rPr>
          <w:rFonts w:ascii="TimesNewRomanPSMT" w:hAnsi="TimesNewRomanPSMT" w:cs="TimesNewRomanPSMT"/>
          <w:lang w:val="es-ES_tradnl"/>
        </w:rPr>
        <w:t xml:space="preserve">y </w:t>
      </w:r>
      <w:r w:rsidRPr="00BE076A">
        <w:rPr>
          <w:rFonts w:ascii="TimesNewRomanPSMT" w:hAnsi="TimesNewRomanPSMT" w:cs="TimesNewRomanPSMT"/>
          <w:lang w:val="es-ES_tradnl"/>
        </w:rPr>
        <w:t>para promover la igualdad de género y el empoderamiento de la mujer</w:t>
      </w:r>
      <w:r w:rsidR="00DF5B3C">
        <w:rPr>
          <w:rStyle w:val="FootnoteReference"/>
          <w:rFonts w:ascii="TimesNewRomanPSMT" w:hAnsi="TimesNewRomanPSMT" w:cs="TimesNewRomanPSMT"/>
          <w:lang w:val="es-ES_tradnl"/>
        </w:rPr>
        <w:footnoteReference w:id="1"/>
      </w:r>
      <w:r w:rsidRPr="00BE076A">
        <w:rPr>
          <w:rFonts w:ascii="TimesNewRomanPSMT" w:hAnsi="TimesNewRomanPSMT" w:cs="TimesNewRomanPSMT"/>
          <w:lang w:val="es-ES_tradnl"/>
        </w:rPr>
        <w:t>. Además, en marzo de 2015, el Banco aprobó la Actualización de la Estrategia Instituciona</w:t>
      </w:r>
      <w:r w:rsidR="009C1711" w:rsidRPr="009C1711">
        <w:rPr>
          <w:rFonts w:ascii="TimesNewRomanPSMT" w:hAnsi="TimesNewRomanPSMT" w:cs="TimesNewRomanPSMT"/>
          <w:lang w:val="es-ES_tradnl"/>
        </w:rPr>
        <w:t>l (</w:t>
      </w:r>
      <w:r w:rsidR="009C1711">
        <w:rPr>
          <w:rFonts w:ascii="TimesNewRomanPSMT" w:hAnsi="TimesNewRomanPSMT" w:cs="TimesNewRomanPSMT"/>
          <w:lang w:val="es-ES_tradnl"/>
        </w:rPr>
        <w:t>AEI</w:t>
      </w:r>
      <w:r w:rsidRPr="00BE076A">
        <w:rPr>
          <w:rFonts w:ascii="TimesNewRomanPSMT" w:hAnsi="TimesNewRomanPSMT" w:cs="TimesNewRomanPSMT"/>
          <w:lang w:val="es-ES_tradnl"/>
        </w:rPr>
        <w:t>), que aborda los desafíos emergentes como la "Exclusión Social y la Desigualdad" y también identifica cuestiones transversales como "Igualdad de Género y Diversidad". La evidencia empírica ha demostrado que la igualdad de género</w:t>
      </w:r>
      <w:r w:rsidR="00DF5B3C">
        <w:rPr>
          <w:rStyle w:val="FootnoteReference"/>
          <w:rFonts w:ascii="TimesNewRomanPSMT" w:hAnsi="TimesNewRomanPSMT" w:cs="TimesNewRomanPSMT"/>
          <w:lang w:val="es-ES_tradnl"/>
        </w:rPr>
        <w:footnoteReference w:id="2"/>
      </w:r>
      <w:r w:rsidRPr="00BE076A">
        <w:rPr>
          <w:rFonts w:ascii="TimesNewRomanPSMT" w:hAnsi="TimesNewRomanPSMT" w:cs="TimesNewRomanPSMT"/>
          <w:lang w:val="es-ES_tradnl"/>
        </w:rPr>
        <w:t xml:space="preserve"> contribuye a la reducción de la pobreza y genera mayores niveles de capital humano para las generaciones futuras</w:t>
      </w:r>
      <w:r w:rsidR="00C7333C">
        <w:rPr>
          <w:rStyle w:val="FootnoteReference"/>
          <w:rFonts w:ascii="TimesNewRomanPSMT" w:hAnsi="TimesNewRomanPSMT" w:cs="TimesNewRomanPSMT"/>
          <w:lang w:val="es-ES_tradnl"/>
        </w:rPr>
        <w:footnoteReference w:id="3"/>
      </w:r>
      <w:r w:rsidRPr="00BE076A">
        <w:rPr>
          <w:rFonts w:ascii="TimesNewRomanPSMT" w:hAnsi="TimesNewRomanPSMT" w:cs="TimesNewRomanPSMT"/>
          <w:lang w:val="es-ES_tradnl"/>
        </w:rPr>
        <w:t>. La Política de Género compromete al BID a promover la igualdad de género en todos sus proyectos y trabajo analítico.</w:t>
      </w:r>
    </w:p>
    <w:p w14:paraId="59580B74" w14:textId="77777777" w:rsidR="00BE076A" w:rsidRDefault="00BE076A" w:rsidP="00BE076A">
      <w:pPr>
        <w:autoSpaceDE w:val="0"/>
        <w:autoSpaceDN w:val="0"/>
        <w:adjustRightInd w:val="0"/>
        <w:spacing w:after="0" w:line="240" w:lineRule="auto"/>
        <w:rPr>
          <w:rFonts w:ascii="TimesNewRomanPSMT" w:hAnsi="TimesNewRomanPSMT" w:cs="TimesNewRomanPSMT"/>
          <w:lang w:val="es-ES_tradnl"/>
        </w:rPr>
      </w:pPr>
    </w:p>
    <w:p w14:paraId="7C992198" w14:textId="720E0DD8" w:rsidR="00A019BB" w:rsidRDefault="00C7333C" w:rsidP="00797F20">
      <w:pPr>
        <w:autoSpaceDE w:val="0"/>
        <w:autoSpaceDN w:val="0"/>
        <w:adjustRightInd w:val="0"/>
        <w:spacing w:after="0" w:line="240" w:lineRule="auto"/>
        <w:jc w:val="both"/>
        <w:rPr>
          <w:rFonts w:ascii="TimesNewRomanPSMT" w:hAnsi="TimesNewRomanPSMT" w:cs="TimesNewRomanPSMT"/>
          <w:lang w:val="es-ES_tradnl"/>
        </w:rPr>
      </w:pPr>
      <w:r w:rsidRPr="00C7333C">
        <w:rPr>
          <w:rFonts w:ascii="TimesNewRomanPSMT" w:hAnsi="TimesNewRomanPSMT" w:cs="TimesNewRomanPSMT"/>
          <w:lang w:val="es-ES_tradnl"/>
        </w:rPr>
        <w:t>De manera</w:t>
      </w:r>
      <w:r>
        <w:rPr>
          <w:rFonts w:ascii="TimesNewRomanPSMT" w:hAnsi="TimesNewRomanPSMT" w:cs="TimesNewRomanPSMT"/>
          <w:lang w:val="es-ES_tradnl"/>
        </w:rPr>
        <w:t xml:space="preserve"> similar, el Gobierno de Perú (GdP</w:t>
      </w:r>
      <w:r w:rsidRPr="00C7333C">
        <w:rPr>
          <w:rFonts w:ascii="TimesNewRomanPSMT" w:hAnsi="TimesNewRomanPSMT" w:cs="TimesNewRomanPSMT"/>
          <w:lang w:val="es-ES_tradnl"/>
        </w:rPr>
        <w:t>) reconoce la importancia de buscar la igualdad entre hombres y mujeres para alcanzar sus objetivos nacionales de desarrollo</w:t>
      </w:r>
      <w:r w:rsidR="00900A48">
        <w:rPr>
          <w:rFonts w:ascii="TimesNewRomanPSMT" w:hAnsi="TimesNewRomanPSMT" w:cs="TimesNewRomanPSMT"/>
          <w:lang w:val="es-ES_tradnl"/>
        </w:rPr>
        <w:t>, por la</w:t>
      </w:r>
      <w:r w:rsidR="009C1711">
        <w:rPr>
          <w:rFonts w:ascii="TimesNewRomanPSMT" w:hAnsi="TimesNewRomanPSMT" w:cs="TimesNewRomanPSMT"/>
          <w:lang w:val="es-ES_tradnl"/>
        </w:rPr>
        <w:t xml:space="preserve"> cual elaboró</w:t>
      </w:r>
      <w:r>
        <w:rPr>
          <w:rFonts w:ascii="TimesNewRomanPSMT" w:hAnsi="TimesNewRomanPSMT" w:cs="TimesNewRomanPSMT"/>
          <w:lang w:val="es-ES_tradnl"/>
        </w:rPr>
        <w:t xml:space="preserve"> el “Plan Na</w:t>
      </w:r>
      <w:r w:rsidR="009C1711">
        <w:rPr>
          <w:rFonts w:ascii="TimesNewRomanPSMT" w:hAnsi="TimesNewRomanPSMT" w:cs="TimesNewRomanPSMT"/>
          <w:lang w:val="es-ES_tradnl"/>
        </w:rPr>
        <w:t>cional contra la Violencia de Gé</w:t>
      </w:r>
      <w:r>
        <w:rPr>
          <w:rFonts w:ascii="TimesNewRomanPSMT" w:hAnsi="TimesNewRomanPSMT" w:cs="TimesNewRomanPSMT"/>
          <w:lang w:val="es-ES_tradnl"/>
        </w:rPr>
        <w:t>nero 2016-2021</w:t>
      </w:r>
      <w:r w:rsidR="00B04888">
        <w:rPr>
          <w:rFonts w:ascii="TimesNewRomanPSMT" w:hAnsi="TimesNewRomanPSMT" w:cs="TimesNewRomanPSMT"/>
          <w:lang w:val="es-ES_tradnl"/>
        </w:rPr>
        <w:t>’’. Uno de los objetivos estratégicos de este plan es g</w:t>
      </w:r>
      <w:r w:rsidR="00B04888" w:rsidRPr="00B04888">
        <w:rPr>
          <w:rFonts w:ascii="TimesNewRomanPSMT" w:hAnsi="TimesNewRomanPSMT" w:cs="TimesNewRomanPSMT"/>
          <w:lang w:val="es-ES_tradnl"/>
        </w:rPr>
        <w:t>arantizar a las personas afectadas por violencia de género, que perjudica principalmente a las mujeres en su diversidad, el acceso a servicios integrales, articulados, oportuno</w:t>
      </w:r>
      <w:r w:rsidR="00B53F0D">
        <w:rPr>
          <w:rFonts w:ascii="TimesNewRomanPSMT" w:hAnsi="TimesNewRomanPSMT" w:cs="TimesNewRomanPSMT"/>
          <w:lang w:val="es-ES_tradnl"/>
        </w:rPr>
        <w:t>s y de calidad, destinados a la</w:t>
      </w:r>
      <w:r w:rsidR="00B04888" w:rsidRPr="00B04888">
        <w:rPr>
          <w:rFonts w:ascii="TimesNewRomanPSMT" w:hAnsi="TimesNewRomanPSMT" w:cs="TimesNewRomanPSMT"/>
          <w:lang w:val="es-ES_tradnl"/>
        </w:rPr>
        <w:t xml:space="preserve"> atención y recuperación de las personas afectadas por la violencia de género; y la sanción y reeducación de las personas agresoras.</w:t>
      </w:r>
      <w:r w:rsidR="00B04888">
        <w:rPr>
          <w:rFonts w:ascii="TimesNewRomanPSMT" w:hAnsi="TimesNewRomanPSMT" w:cs="TimesNewRomanPSMT"/>
          <w:lang w:val="es-ES_tradnl"/>
        </w:rPr>
        <w:t xml:space="preserve">  Su principal indicador en la matriz de planificación estratégica es el incrementar el porcentaje de mujeres afectadas por violencia física que acuden a una entidad pública a solicitar </w:t>
      </w:r>
      <w:r w:rsidR="00B04888" w:rsidRPr="00B04888">
        <w:rPr>
          <w:rFonts w:ascii="TimesNewRomanPSMT" w:hAnsi="TimesNewRomanPSMT" w:cs="TimesNewRomanPSMT"/>
          <w:lang w:val="es-ES_tradnl"/>
        </w:rPr>
        <w:t>atención/ayuda.</w:t>
      </w:r>
      <w:r w:rsidR="00B04888">
        <w:rPr>
          <w:rStyle w:val="FootnoteReference"/>
          <w:rFonts w:ascii="TimesNewRomanPSMT" w:hAnsi="TimesNewRomanPSMT" w:cs="TimesNewRomanPSMT"/>
          <w:lang w:val="es-ES_tradnl"/>
        </w:rPr>
        <w:footnoteReference w:id="4"/>
      </w:r>
      <w:r w:rsidR="00B04888">
        <w:rPr>
          <w:rFonts w:ascii="TimesNewRomanPSMT" w:hAnsi="TimesNewRomanPSMT" w:cs="TimesNewRomanPSMT"/>
          <w:lang w:val="es-ES_tradnl"/>
        </w:rPr>
        <w:t xml:space="preserve"> Este indicador se alinea con el indicador</w:t>
      </w:r>
      <w:r w:rsidR="005E6163">
        <w:rPr>
          <w:rFonts w:ascii="TimesNewRomanPSMT" w:hAnsi="TimesNewRomanPSMT" w:cs="TimesNewRomanPSMT"/>
          <w:lang w:val="es-ES_tradnl"/>
        </w:rPr>
        <w:t xml:space="preserve"> (R.3.2)</w:t>
      </w:r>
      <w:r w:rsidR="00B04888">
        <w:rPr>
          <w:rFonts w:ascii="TimesNewRomanPSMT" w:hAnsi="TimesNewRomanPSMT" w:cs="TimesNewRomanPSMT"/>
          <w:lang w:val="es-ES_tradnl"/>
        </w:rPr>
        <w:t xml:space="preserve"> </w:t>
      </w:r>
      <w:r w:rsidR="005E6163">
        <w:rPr>
          <w:rFonts w:ascii="TimesNewRomanPSMT" w:hAnsi="TimesNewRomanPSMT" w:cs="TimesNewRomanPSMT"/>
          <w:lang w:val="es-ES_tradnl"/>
        </w:rPr>
        <w:t xml:space="preserve">en la matriz de resultado del presente préstamo. </w:t>
      </w:r>
      <w:r w:rsidR="004146F5">
        <w:rPr>
          <w:rStyle w:val="FootnoteReference"/>
          <w:rFonts w:ascii="TimesNewRomanPSMT" w:hAnsi="TimesNewRomanPSMT" w:cs="TimesNewRomanPSMT"/>
          <w:lang w:val="es-ES_tradnl"/>
        </w:rPr>
        <w:footnoteReference w:id="5"/>
      </w:r>
      <w:r w:rsidR="00B04888">
        <w:rPr>
          <w:rFonts w:ascii="TimesNewRomanPSMT" w:hAnsi="TimesNewRomanPSMT" w:cs="TimesNewRomanPSMT"/>
          <w:lang w:val="es-ES_tradnl"/>
        </w:rPr>
        <w:t xml:space="preserve"> </w:t>
      </w:r>
    </w:p>
    <w:p w14:paraId="76DDA2DD" w14:textId="77777777" w:rsidR="00CE7317" w:rsidRDefault="00CE7317" w:rsidP="00797F20">
      <w:pPr>
        <w:autoSpaceDE w:val="0"/>
        <w:autoSpaceDN w:val="0"/>
        <w:adjustRightInd w:val="0"/>
        <w:spacing w:after="0" w:line="240" w:lineRule="auto"/>
        <w:jc w:val="both"/>
        <w:rPr>
          <w:rFonts w:ascii="TimesNewRomanPSMT" w:hAnsi="TimesNewRomanPSMT" w:cs="TimesNewRomanPSMT"/>
          <w:lang w:val="es-ES_tradnl"/>
        </w:rPr>
      </w:pPr>
    </w:p>
    <w:p w14:paraId="2C3BD9B6" w14:textId="77777777" w:rsidR="00FA660A" w:rsidRDefault="00FA1018" w:rsidP="00797F20">
      <w:pPr>
        <w:autoSpaceDE w:val="0"/>
        <w:autoSpaceDN w:val="0"/>
        <w:adjustRightInd w:val="0"/>
        <w:spacing w:after="0" w:line="240" w:lineRule="auto"/>
        <w:jc w:val="both"/>
        <w:rPr>
          <w:rFonts w:ascii="TimesNewRomanPSMT" w:hAnsi="TimesNewRomanPSMT" w:cs="TimesNewRomanPSMT"/>
          <w:lang w:val="es-ES_tradnl"/>
        </w:rPr>
      </w:pPr>
      <w:r w:rsidRPr="00FA1018">
        <w:rPr>
          <w:rFonts w:ascii="TimesNewRomanPSMT" w:hAnsi="TimesNewRomanPSMT" w:cs="TimesNewRomanPSMT"/>
          <w:lang w:val="es-ES_tradnl"/>
        </w:rPr>
        <w:t xml:space="preserve">En 2015, se aprobó la </w:t>
      </w:r>
      <w:r w:rsidRPr="000C111B">
        <w:rPr>
          <w:rFonts w:ascii="TimesNewRomanPSMT" w:hAnsi="TimesNewRomanPSMT" w:cs="TimesNewRomanPSMT"/>
          <w:i/>
          <w:lang w:val="es-ES_tradnl"/>
        </w:rPr>
        <w:t>Ley para Prevenir, Sancionar y Erradicar la Violencia contra las Mujeres y los Integrantes del Grupo Familiar (</w:t>
      </w:r>
      <w:r w:rsidRPr="00FA1018">
        <w:rPr>
          <w:rFonts w:ascii="TimesNewRomanPSMT" w:hAnsi="TimesNewRomanPSMT" w:cs="TimesNewRomanPSMT"/>
          <w:lang w:val="es-ES_tradnl"/>
        </w:rPr>
        <w:t>Ley No. 30364). En el artículo 10</w:t>
      </w:r>
      <w:r>
        <w:rPr>
          <w:rFonts w:ascii="TimesNewRomanPSMT" w:hAnsi="TimesNewRomanPSMT" w:cs="TimesNewRomanPSMT"/>
          <w:lang w:val="es-ES_tradnl"/>
        </w:rPr>
        <w:t xml:space="preserve">, </w:t>
      </w:r>
      <w:r w:rsidRPr="00FA660A">
        <w:rPr>
          <w:rFonts w:ascii="TimesNewRomanPSMT" w:hAnsi="TimesNewRomanPSMT" w:cs="TimesNewRomanPSMT"/>
          <w:i/>
          <w:lang w:val="es-ES_tradnl"/>
        </w:rPr>
        <w:t xml:space="preserve">Derecho a la Asistencia y la </w:t>
      </w:r>
      <w:r w:rsidR="000C111B" w:rsidRPr="00FA660A">
        <w:rPr>
          <w:rFonts w:ascii="TimesNewRomanPSMT" w:hAnsi="TimesNewRomanPSMT" w:cs="TimesNewRomanPSMT"/>
          <w:i/>
          <w:lang w:val="es-ES_tradnl"/>
        </w:rPr>
        <w:t>P</w:t>
      </w:r>
      <w:r w:rsidRPr="00FA660A">
        <w:rPr>
          <w:rFonts w:ascii="TimesNewRomanPSMT" w:hAnsi="TimesNewRomanPSMT" w:cs="TimesNewRomanPSMT"/>
          <w:i/>
          <w:lang w:val="es-ES_tradnl"/>
        </w:rPr>
        <w:t xml:space="preserve">rotección </w:t>
      </w:r>
      <w:r w:rsidR="000C111B" w:rsidRPr="00FA660A">
        <w:rPr>
          <w:rFonts w:ascii="TimesNewRomanPSMT" w:hAnsi="TimesNewRomanPSMT" w:cs="TimesNewRomanPSMT"/>
          <w:i/>
          <w:lang w:val="es-ES_tradnl"/>
        </w:rPr>
        <w:t>I</w:t>
      </w:r>
      <w:r w:rsidR="009C1711" w:rsidRPr="00FA660A">
        <w:rPr>
          <w:rFonts w:ascii="TimesNewRomanPSMT" w:hAnsi="TimesNewRomanPSMT" w:cs="TimesNewRomanPSMT"/>
          <w:i/>
          <w:lang w:val="es-ES_tradnl"/>
        </w:rPr>
        <w:t>ntegrales</w:t>
      </w:r>
      <w:r w:rsidR="009C1711">
        <w:rPr>
          <w:rFonts w:ascii="TimesNewRomanPSMT" w:hAnsi="TimesNewRomanPSMT" w:cs="TimesNewRomanPSMT"/>
          <w:lang w:val="es-ES_tradnl"/>
        </w:rPr>
        <w:t>, la Policía N</w:t>
      </w:r>
      <w:r>
        <w:rPr>
          <w:rFonts w:ascii="TimesNewRomanPSMT" w:hAnsi="TimesNewRomanPSMT" w:cs="TimesNewRomanPSMT"/>
          <w:lang w:val="es-ES_tradnl"/>
        </w:rPr>
        <w:t xml:space="preserve">acional del Perú (PNP) </w:t>
      </w:r>
      <w:r w:rsidR="000C111B">
        <w:rPr>
          <w:rFonts w:ascii="TimesNewRomanPSMT" w:hAnsi="TimesNewRomanPSMT" w:cs="TimesNewRomanPSMT"/>
          <w:lang w:val="es-ES_tradnl"/>
        </w:rPr>
        <w:t xml:space="preserve">debe </w:t>
      </w:r>
      <w:r w:rsidRPr="00FA1018">
        <w:rPr>
          <w:rFonts w:ascii="TimesNewRomanPSMT" w:hAnsi="TimesNewRomanPSMT" w:cs="TimesNewRomanPSMT"/>
          <w:lang w:val="es-ES_tradnl"/>
        </w:rPr>
        <w:t>informar, bajo responsabilidad, con profesionalismo, imparcialidad y en estricto respeto del derecho de privacidad y confidencialidad de la víctima, acerca de sus derechos y de los mecanismos de denuncia. En todas las instituciones del sistema de justicia y</w:t>
      </w:r>
      <w:r w:rsidR="009C1711">
        <w:rPr>
          <w:rFonts w:ascii="TimesNewRomanPSMT" w:hAnsi="TimesNewRomanPSMT" w:cs="TimesNewRomanPSMT"/>
          <w:lang w:val="es-ES_tradnl"/>
        </w:rPr>
        <w:t xml:space="preserve"> en la PNP</w:t>
      </w:r>
      <w:r w:rsidRPr="00FA1018">
        <w:rPr>
          <w:rFonts w:ascii="TimesNewRomanPSMT" w:hAnsi="TimesNewRomanPSMT" w:cs="TimesNewRomanPSMT"/>
          <w:lang w:val="es-ES_tradnl"/>
        </w:rPr>
        <w:t>, debe exhibirse en lugar visible, en castellano o en lengua propia del lugar, la información sobre los derechos que asisten a las víctimas de violencia y de los</w:t>
      </w:r>
      <w:r w:rsidR="000C111B">
        <w:rPr>
          <w:rFonts w:ascii="TimesNewRomanPSMT" w:hAnsi="TimesNewRomanPSMT" w:cs="TimesNewRomanPSMT"/>
          <w:lang w:val="es-ES_tradnl"/>
        </w:rPr>
        <w:t xml:space="preserve"> </w:t>
      </w:r>
      <w:r w:rsidR="000C111B" w:rsidRPr="000C111B">
        <w:rPr>
          <w:rFonts w:ascii="TimesNewRomanPSMT" w:hAnsi="TimesNewRomanPSMT" w:cs="TimesNewRomanPSMT"/>
          <w:lang w:val="es-ES_tradnl"/>
        </w:rPr>
        <w:t xml:space="preserve">servicios de atención que brinda el Estado de manera gratuita para las mismas. Para este efecto, es obligatoria la entrega de una cartilla de información a la víctima en su propia lengua. El Ministerio del Interior verifica el cumplimiento de esta obligación. </w:t>
      </w:r>
    </w:p>
    <w:p w14:paraId="1CAC2EAA" w14:textId="405D950F" w:rsidR="00CE7317" w:rsidRPr="000C111B" w:rsidRDefault="000C111B" w:rsidP="00797F20">
      <w:pPr>
        <w:autoSpaceDE w:val="0"/>
        <w:autoSpaceDN w:val="0"/>
        <w:adjustRightInd w:val="0"/>
        <w:spacing w:after="0" w:line="240" w:lineRule="auto"/>
        <w:jc w:val="both"/>
        <w:rPr>
          <w:rFonts w:ascii="TimesNewRomanPSMT" w:hAnsi="TimesNewRomanPSMT" w:cs="TimesNewRomanPSMT"/>
          <w:lang w:val="es-ES_tradnl"/>
        </w:rPr>
      </w:pPr>
      <w:r w:rsidRPr="000C111B">
        <w:rPr>
          <w:rFonts w:ascii="TimesNewRomanPSMT" w:hAnsi="TimesNewRomanPSMT" w:cs="TimesNewRomanPSMT"/>
          <w:lang w:val="es-ES_tradnl"/>
        </w:rPr>
        <w:t>De la misma manera, bajo el articulo 15</w:t>
      </w:r>
      <w:r>
        <w:rPr>
          <w:rFonts w:ascii="TimesNewRomanPSMT" w:hAnsi="TimesNewRomanPSMT" w:cs="TimesNewRomanPSMT"/>
          <w:lang w:val="es-ES_tradnl"/>
        </w:rPr>
        <w:t>,</w:t>
      </w:r>
      <w:r w:rsidRPr="000C111B">
        <w:rPr>
          <w:rFonts w:ascii="TimesNewRomanPSMT" w:hAnsi="TimesNewRomanPSMT" w:cs="TimesNewRomanPSMT"/>
          <w:lang w:val="es-ES_tradnl"/>
        </w:rPr>
        <w:t xml:space="preserve"> </w:t>
      </w:r>
      <w:r w:rsidRPr="00FA660A">
        <w:rPr>
          <w:rFonts w:ascii="TimesNewRomanPSMT" w:hAnsi="TimesNewRomanPSMT" w:cs="TimesNewRomanPSMT"/>
          <w:i/>
          <w:lang w:val="es-ES_tradnl"/>
        </w:rPr>
        <w:t>Denuncia</w:t>
      </w:r>
      <w:r w:rsidRPr="000C111B">
        <w:rPr>
          <w:rFonts w:ascii="TimesNewRomanPSMT" w:hAnsi="TimesNewRomanPSMT" w:cs="TimesNewRomanPSMT"/>
          <w:lang w:val="es-ES_tradnl"/>
        </w:rPr>
        <w:t xml:space="preserve">, cuando la </w:t>
      </w:r>
      <w:r w:rsidR="00FA660A">
        <w:rPr>
          <w:rFonts w:ascii="TimesNewRomanPSMT" w:hAnsi="TimesNewRomanPSMT" w:cs="TimesNewRomanPSMT"/>
          <w:lang w:val="es-ES_tradnl"/>
        </w:rPr>
        <w:t>PNP</w:t>
      </w:r>
      <w:r w:rsidRPr="000C111B">
        <w:rPr>
          <w:lang w:val="es-ES_tradnl"/>
        </w:rPr>
        <w:t xml:space="preserve"> </w:t>
      </w:r>
      <w:r w:rsidRPr="000C111B">
        <w:rPr>
          <w:rFonts w:ascii="TimesNewRomanPSMT" w:hAnsi="TimesNewRomanPSMT" w:cs="TimesNewRomanPSMT"/>
          <w:lang w:val="es-ES_tradnl"/>
        </w:rPr>
        <w:t xml:space="preserve">conozca de casos de violencia contra la mujer o los integrantes del grupo familiar, en cualquiera de sus comisarías del ámbito nacional, debe poner </w:t>
      </w:r>
      <w:r w:rsidRPr="000C111B">
        <w:rPr>
          <w:rFonts w:ascii="TimesNewRomanPSMT" w:hAnsi="TimesNewRomanPSMT" w:cs="TimesNewRomanPSMT"/>
          <w:lang w:val="es-ES_tradnl"/>
        </w:rPr>
        <w:lastRenderedPageBreak/>
        <w:t>los hechos en conocimiento de los juzgados de familia o los que cumplan sus funciones dentro de las veinticuatro horas de conocido el hecho, remitiendo el atestado que resuma lo actuado.</w:t>
      </w:r>
    </w:p>
    <w:p w14:paraId="6AE42BD5" w14:textId="5F528B9E" w:rsidR="000C111B" w:rsidRPr="000C111B" w:rsidRDefault="000C111B" w:rsidP="00797F20">
      <w:pPr>
        <w:autoSpaceDE w:val="0"/>
        <w:autoSpaceDN w:val="0"/>
        <w:adjustRightInd w:val="0"/>
        <w:spacing w:after="0" w:line="240" w:lineRule="auto"/>
        <w:jc w:val="both"/>
        <w:rPr>
          <w:rFonts w:ascii="TimesNewRomanPSMT" w:hAnsi="TimesNewRomanPSMT" w:cs="TimesNewRomanPSMT"/>
          <w:lang w:val="es-ES_tradnl"/>
        </w:rPr>
      </w:pPr>
    </w:p>
    <w:p w14:paraId="7CC3258E" w14:textId="6A584882" w:rsidR="000C111B" w:rsidRPr="000C111B" w:rsidRDefault="000C111B" w:rsidP="00797F20">
      <w:pPr>
        <w:autoSpaceDE w:val="0"/>
        <w:autoSpaceDN w:val="0"/>
        <w:adjustRightInd w:val="0"/>
        <w:spacing w:after="0" w:line="240" w:lineRule="auto"/>
        <w:jc w:val="both"/>
        <w:rPr>
          <w:rFonts w:ascii="TimesNewRomanPSMT" w:hAnsi="TimesNewRomanPSMT" w:cs="TimesNewRomanPSMT"/>
          <w:lang w:val="es-ES_tradnl"/>
        </w:rPr>
      </w:pPr>
      <w:r w:rsidRPr="000C111B">
        <w:rPr>
          <w:rFonts w:ascii="TimesNewRomanPSMT" w:hAnsi="TimesNewRomanPSMT" w:cs="TimesNewRomanPSMT"/>
          <w:lang w:val="es-ES_tradnl"/>
        </w:rPr>
        <w:t xml:space="preserve">Por último, el artículo 42, </w:t>
      </w:r>
      <w:r w:rsidRPr="00FA660A">
        <w:rPr>
          <w:rFonts w:ascii="TimesNewRomanPSMT" w:hAnsi="TimesNewRomanPSMT" w:cs="TimesNewRomanPSMT"/>
          <w:i/>
          <w:lang w:val="es-ES_tradnl"/>
        </w:rPr>
        <w:t>Registro Único de Víctimas y Agresores</w:t>
      </w:r>
      <w:r w:rsidRPr="000C111B">
        <w:rPr>
          <w:rFonts w:ascii="TimesNewRomanPSMT" w:hAnsi="TimesNewRomanPSMT" w:cs="TimesNewRomanPSMT"/>
          <w:lang w:val="es-ES_tradnl"/>
        </w:rPr>
        <w:t xml:space="preserve">, el Ministerio Público, en coordinación </w:t>
      </w:r>
      <w:r w:rsidR="00FA660A">
        <w:rPr>
          <w:rFonts w:ascii="TimesNewRomanPSMT" w:hAnsi="TimesNewRomanPSMT" w:cs="TimesNewRomanPSMT"/>
          <w:lang w:val="es-ES_tradnl"/>
        </w:rPr>
        <w:t>con la PNP</w:t>
      </w:r>
      <w:r w:rsidRPr="000C111B">
        <w:rPr>
          <w:rFonts w:ascii="TimesNewRomanPSMT" w:hAnsi="TimesNewRomanPSMT" w:cs="TimesNewRomanPSMT"/>
          <w:lang w:val="es-ES_tradnl"/>
        </w:rPr>
        <w:t>, el Poder Judicial y el Ministerio de la Mujer y Poblaciones Vulnerables</w:t>
      </w:r>
      <w:r w:rsidR="00FA660A">
        <w:rPr>
          <w:rFonts w:ascii="TimesNewRomanPSMT" w:hAnsi="TimesNewRomanPSMT" w:cs="TimesNewRomanPSMT"/>
          <w:lang w:val="es-ES_tradnl"/>
        </w:rPr>
        <w:t xml:space="preserve"> (MIMP)</w:t>
      </w:r>
      <w:r w:rsidRPr="000C111B">
        <w:rPr>
          <w:rFonts w:ascii="TimesNewRomanPSMT" w:hAnsi="TimesNewRomanPSMT" w:cs="TimesNewRomanPSMT"/>
          <w:lang w:val="es-ES_tradnl"/>
        </w:rPr>
        <w:t>, es el responsable del registro de casos de violencia contra las mujeres, e</w:t>
      </w:r>
      <w:r>
        <w:rPr>
          <w:rFonts w:ascii="TimesNewRomanPSMT" w:hAnsi="TimesNewRomanPSMT" w:cs="TimesNewRomanPSMT"/>
          <w:lang w:val="es-ES_tradnl"/>
        </w:rPr>
        <w:t xml:space="preserve">n el que se consignan todos los </w:t>
      </w:r>
      <w:r w:rsidRPr="000C111B">
        <w:rPr>
          <w:rFonts w:ascii="TimesNewRomanPSMT" w:hAnsi="TimesNewRomanPSMT" w:cs="TimesNewRomanPSMT"/>
          <w:lang w:val="es-ES_tradnl"/>
        </w:rPr>
        <w:t>datos de la víctima y del agresor, la tipificación, las causas y consecuencias de la violencia, la existencia de denuncias anteriores y otros datos necesarios.</w:t>
      </w:r>
    </w:p>
    <w:p w14:paraId="19F33345" w14:textId="294DD5B6" w:rsidR="00CE7317" w:rsidRDefault="00CE7317" w:rsidP="00797F20">
      <w:pPr>
        <w:autoSpaceDE w:val="0"/>
        <w:autoSpaceDN w:val="0"/>
        <w:adjustRightInd w:val="0"/>
        <w:spacing w:after="0" w:line="240" w:lineRule="auto"/>
        <w:jc w:val="both"/>
        <w:rPr>
          <w:rFonts w:ascii="TimesNewRomanPSMT" w:hAnsi="TimesNewRomanPSMT" w:cs="TimesNewRomanPSMT"/>
          <w:lang w:val="es-ES_tradnl"/>
        </w:rPr>
      </w:pPr>
    </w:p>
    <w:p w14:paraId="349192F9" w14:textId="77777777" w:rsidR="00693B42" w:rsidRDefault="000C111B" w:rsidP="006A2E66">
      <w:pPr>
        <w:autoSpaceDE w:val="0"/>
        <w:autoSpaceDN w:val="0"/>
        <w:adjustRightInd w:val="0"/>
        <w:spacing w:after="0" w:line="240" w:lineRule="auto"/>
        <w:jc w:val="both"/>
        <w:rPr>
          <w:rFonts w:ascii="TimesNewRomanPSMT" w:hAnsi="TimesNewRomanPSMT" w:cs="TimesNewRomanPSMT"/>
          <w:lang w:val="es-ES_tradnl"/>
        </w:rPr>
      </w:pPr>
      <w:r>
        <w:rPr>
          <w:rFonts w:ascii="TimesNewRomanPSMT" w:hAnsi="TimesNewRomanPSMT" w:cs="TimesNewRomanPSMT"/>
          <w:lang w:val="es-ES_tradnl"/>
        </w:rPr>
        <w:t xml:space="preserve">Sin embargo, es importante mencionar que en el Perú se aprobó recientemente, </w:t>
      </w:r>
      <w:r w:rsidR="006A2E66">
        <w:rPr>
          <w:rFonts w:ascii="TimesNewRomanPSMT" w:hAnsi="TimesNewRomanPSMT" w:cs="TimesNewRomanPSMT"/>
          <w:lang w:val="es-ES_tradnl"/>
        </w:rPr>
        <w:t>l</w:t>
      </w:r>
      <w:r w:rsidR="008D4DFE">
        <w:rPr>
          <w:rFonts w:ascii="TimesNewRomanPSMT" w:hAnsi="TimesNewRomanPSMT" w:cs="TimesNewRomanPSMT"/>
          <w:lang w:val="es-ES_tradnl"/>
        </w:rPr>
        <w:t xml:space="preserve">a </w:t>
      </w:r>
      <w:r w:rsidR="008D4DFE" w:rsidRPr="006A2E66">
        <w:rPr>
          <w:rFonts w:ascii="TimesNewRomanPSMT" w:hAnsi="TimesNewRomanPSMT" w:cs="TimesNewRomanPSMT"/>
          <w:i/>
          <w:lang w:val="es-ES_tradnl"/>
        </w:rPr>
        <w:t xml:space="preserve">Ley de </w:t>
      </w:r>
      <w:r w:rsidR="007A05C7" w:rsidRPr="006A2E66">
        <w:rPr>
          <w:rFonts w:ascii="TimesNewRomanPSMT" w:hAnsi="TimesNewRomanPSMT" w:cs="TimesNewRomanPSMT"/>
          <w:i/>
          <w:lang w:val="es-ES_tradnl"/>
        </w:rPr>
        <w:t>Protección</w:t>
      </w:r>
      <w:r w:rsidR="008D4DFE" w:rsidRPr="006A2E66">
        <w:rPr>
          <w:rFonts w:ascii="TimesNewRomanPSMT" w:hAnsi="TimesNewRomanPSMT" w:cs="TimesNewRomanPSMT"/>
          <w:i/>
          <w:lang w:val="es-ES_tradnl"/>
        </w:rPr>
        <w:t xml:space="preserve"> de </w:t>
      </w:r>
      <w:r w:rsidR="006A2E66" w:rsidRPr="006A2E66">
        <w:rPr>
          <w:rFonts w:ascii="TimesNewRomanPSMT" w:hAnsi="TimesNewRomanPSMT" w:cs="TimesNewRomanPSMT"/>
          <w:i/>
          <w:lang w:val="es-ES_tradnl"/>
        </w:rPr>
        <w:t>D</w:t>
      </w:r>
      <w:r w:rsidR="008D4DFE" w:rsidRPr="006A2E66">
        <w:rPr>
          <w:rFonts w:ascii="TimesNewRomanPSMT" w:hAnsi="TimesNewRomanPSMT" w:cs="TimesNewRomanPSMT"/>
          <w:i/>
          <w:lang w:val="es-ES_tradnl"/>
        </w:rPr>
        <w:t xml:space="preserve">atos </w:t>
      </w:r>
      <w:r w:rsidR="006A2E66" w:rsidRPr="006A2E66">
        <w:rPr>
          <w:rFonts w:ascii="TimesNewRomanPSMT" w:hAnsi="TimesNewRomanPSMT" w:cs="TimesNewRomanPSMT"/>
          <w:i/>
          <w:lang w:val="es-ES_tradnl"/>
        </w:rPr>
        <w:t>P</w:t>
      </w:r>
      <w:r w:rsidR="008D4DFE" w:rsidRPr="006A2E66">
        <w:rPr>
          <w:rFonts w:ascii="TimesNewRomanPSMT" w:hAnsi="TimesNewRomanPSMT" w:cs="TimesNewRomanPSMT"/>
          <w:i/>
          <w:lang w:val="es-ES_tradnl"/>
        </w:rPr>
        <w:t>ersonales</w:t>
      </w:r>
      <w:r w:rsidR="008D4DFE">
        <w:rPr>
          <w:rFonts w:ascii="TimesNewRomanPSMT" w:hAnsi="TimesNewRomanPSMT" w:cs="TimesNewRomanPSMT"/>
          <w:lang w:val="es-ES_tradnl"/>
        </w:rPr>
        <w:t xml:space="preserve"> </w:t>
      </w:r>
      <w:r w:rsidR="006A2E66">
        <w:rPr>
          <w:rFonts w:ascii="TimesNewRomanPSMT" w:hAnsi="TimesNewRomanPSMT" w:cs="TimesNewRomanPSMT"/>
          <w:lang w:val="es-ES_tradnl"/>
        </w:rPr>
        <w:t>(</w:t>
      </w:r>
      <w:r w:rsidR="008D4DFE">
        <w:rPr>
          <w:rFonts w:ascii="TimesNewRomanPSMT" w:hAnsi="TimesNewRomanPSMT" w:cs="TimesNewRomanPSMT"/>
          <w:lang w:val="es-ES_tradnl"/>
        </w:rPr>
        <w:t xml:space="preserve">Ley </w:t>
      </w:r>
      <w:r w:rsidR="006A2E66">
        <w:rPr>
          <w:rFonts w:ascii="TimesNewRomanPSMT" w:hAnsi="TimesNewRomanPSMT" w:cs="TimesNewRomanPSMT"/>
          <w:lang w:val="es-ES_tradnl"/>
        </w:rPr>
        <w:t xml:space="preserve">LPDP </w:t>
      </w:r>
      <w:r w:rsidR="008D4DFE">
        <w:rPr>
          <w:rFonts w:ascii="TimesNewRomanPSMT" w:hAnsi="TimesNewRomanPSMT" w:cs="TimesNewRomanPSMT"/>
          <w:lang w:val="es-ES_tradnl"/>
        </w:rPr>
        <w:t>N</w:t>
      </w:r>
      <w:r w:rsidR="007A05C7">
        <w:rPr>
          <w:rFonts w:ascii="TimesNewRomanPSMT" w:hAnsi="TimesNewRomanPSMT" w:cs="TimesNewRomanPSMT"/>
          <w:lang w:val="es-ES_tradnl"/>
        </w:rPr>
        <w:t>o. 29733</w:t>
      </w:r>
      <w:r w:rsidR="006A2E66">
        <w:rPr>
          <w:rFonts w:ascii="TimesNewRomanPSMT" w:hAnsi="TimesNewRomanPSMT" w:cs="TimesNewRomanPSMT"/>
          <w:lang w:val="es-ES_tradnl"/>
        </w:rPr>
        <w:t>)</w:t>
      </w:r>
      <w:r w:rsidR="007A05C7">
        <w:rPr>
          <w:rFonts w:ascii="TimesNewRomanPSMT" w:hAnsi="TimesNewRomanPSMT" w:cs="TimesNewRomanPSMT"/>
          <w:lang w:val="es-ES_tradnl"/>
        </w:rPr>
        <w:t xml:space="preserve">, </w:t>
      </w:r>
      <w:r>
        <w:rPr>
          <w:rFonts w:ascii="TimesNewRomanPSMT" w:hAnsi="TimesNewRomanPSMT" w:cs="TimesNewRomanPSMT"/>
          <w:lang w:val="es-ES_tradnl"/>
        </w:rPr>
        <w:t xml:space="preserve">la cual </w:t>
      </w:r>
      <w:r w:rsidR="007A05C7">
        <w:rPr>
          <w:rFonts w:ascii="TimesNewRomanPSMT" w:hAnsi="TimesNewRomanPSMT" w:cs="TimesNewRomanPSMT"/>
          <w:lang w:val="es-ES_tradnl"/>
        </w:rPr>
        <w:t xml:space="preserve">tiene como objetivo </w:t>
      </w:r>
      <w:r w:rsidR="006A2E66" w:rsidRPr="006A2E66">
        <w:rPr>
          <w:rFonts w:ascii="TimesNewRomanPSMT" w:hAnsi="TimesNewRomanPSMT" w:cs="TimesNewRomanPSMT"/>
          <w:lang w:val="es-ES_tradnl"/>
        </w:rPr>
        <w:t>garantizar el derecho fundamental a los datos personales realizando un adecuado tratamiento a los mismos. Ello implica el respeto a los derechos funda</w:t>
      </w:r>
      <w:r w:rsidR="006A2E66">
        <w:rPr>
          <w:rFonts w:ascii="TimesNewRomanPSMT" w:hAnsi="TimesNewRomanPSMT" w:cs="TimesNewRomanPSMT"/>
          <w:lang w:val="es-ES_tradnl"/>
        </w:rPr>
        <w:t>mentales reconocidos por la Constitución del Perú</w:t>
      </w:r>
      <w:r w:rsidR="006A2E66" w:rsidRPr="006A2E66">
        <w:rPr>
          <w:rFonts w:ascii="TimesNewRomanPSMT" w:hAnsi="TimesNewRomanPSMT" w:cs="TimesNewRomanPSMT"/>
          <w:lang w:val="es-ES_tradnl"/>
        </w:rPr>
        <w:t>, así como aquellas normas contempladas en la</w:t>
      </w:r>
      <w:r w:rsidR="006A2E66">
        <w:rPr>
          <w:rFonts w:ascii="TimesNewRomanPSMT" w:hAnsi="TimesNewRomanPSMT" w:cs="TimesNewRomanPSMT"/>
          <w:lang w:val="es-ES_tradnl"/>
        </w:rPr>
        <w:t xml:space="preserve"> ley.</w:t>
      </w:r>
      <w:r w:rsidR="006A2E66">
        <w:rPr>
          <w:rStyle w:val="FootnoteReference"/>
          <w:rFonts w:ascii="TimesNewRomanPSMT" w:hAnsi="TimesNewRomanPSMT" w:cs="TimesNewRomanPSMT"/>
          <w:lang w:val="es-ES_tradnl"/>
        </w:rPr>
        <w:footnoteReference w:id="6"/>
      </w:r>
      <w:r w:rsidR="006A2E66" w:rsidRPr="006A2E66">
        <w:rPr>
          <w:rFonts w:ascii="TimesNewRomanPSMT" w:hAnsi="TimesNewRomanPSMT" w:cs="TimesNewRomanPSMT"/>
          <w:lang w:val="es-ES_tradnl"/>
        </w:rPr>
        <w:t xml:space="preserve"> </w:t>
      </w:r>
    </w:p>
    <w:p w14:paraId="6E957C78" w14:textId="77777777" w:rsidR="00693B42" w:rsidRDefault="00693B42" w:rsidP="006A2E66">
      <w:pPr>
        <w:autoSpaceDE w:val="0"/>
        <w:autoSpaceDN w:val="0"/>
        <w:adjustRightInd w:val="0"/>
        <w:spacing w:after="0" w:line="240" w:lineRule="auto"/>
        <w:jc w:val="both"/>
        <w:rPr>
          <w:rFonts w:ascii="TimesNewRomanPSMT" w:hAnsi="TimesNewRomanPSMT" w:cs="TimesNewRomanPSMT"/>
          <w:lang w:val="es-ES_tradnl"/>
        </w:rPr>
      </w:pPr>
    </w:p>
    <w:p w14:paraId="4B9413A3" w14:textId="75670694" w:rsidR="00693B42" w:rsidRPr="0041792D" w:rsidRDefault="00693B42" w:rsidP="00693B42">
      <w:pPr>
        <w:autoSpaceDE w:val="0"/>
        <w:autoSpaceDN w:val="0"/>
        <w:adjustRightInd w:val="0"/>
        <w:spacing w:after="0" w:line="240" w:lineRule="auto"/>
        <w:jc w:val="both"/>
        <w:rPr>
          <w:rFonts w:ascii="TimesNewRomanPSMT" w:hAnsi="TimesNewRomanPSMT" w:cs="TimesNewRomanPSMT"/>
          <w:b/>
          <w:lang w:val="es-ES_tradnl"/>
        </w:rPr>
      </w:pPr>
      <w:r>
        <w:rPr>
          <w:rFonts w:ascii="TimesNewRomanPSMT" w:hAnsi="TimesNewRomanPSMT" w:cs="TimesNewRomanPSMT"/>
          <w:lang w:val="es-ES_tradnl"/>
        </w:rPr>
        <w:t xml:space="preserve">Por otro lado, </w:t>
      </w:r>
      <w:r w:rsidRPr="0041792D">
        <w:rPr>
          <w:rFonts w:ascii="TimesNewRomanPSMT" w:hAnsi="TimesNewRomanPSMT" w:cs="TimesNewRomanPSMT"/>
          <w:lang w:val="es-ES_tradnl"/>
        </w:rPr>
        <w:t>El ministerio del Interior, en coordinación con la PNP y el Ministerio de la Mujer y Poblaciones Vulnerables (MIMP), han trabajado conjuntamente para desarrollar l</w:t>
      </w:r>
      <w:r w:rsidRPr="007A05C7">
        <w:rPr>
          <w:rFonts w:ascii="TimesNewRomanPSMT" w:hAnsi="TimesNewRomanPSMT" w:cs="TimesNewRomanPSMT"/>
          <w:lang w:val="es-ES_tradnl"/>
        </w:rPr>
        <w:t xml:space="preserve">os </w:t>
      </w:r>
      <w:r>
        <w:rPr>
          <w:rFonts w:ascii="TimesNewRomanPSMT" w:hAnsi="TimesNewRomanPSMT" w:cs="TimesNewRomanPSMT"/>
          <w:lang w:val="es-ES_tradnl"/>
        </w:rPr>
        <w:t>Centros de Emergencia de la Mujer (</w:t>
      </w:r>
      <w:r w:rsidRPr="007A05C7">
        <w:rPr>
          <w:rFonts w:ascii="TimesNewRomanPSMT" w:hAnsi="TimesNewRomanPSMT" w:cs="TimesNewRomanPSMT"/>
          <w:lang w:val="es-ES_tradnl"/>
        </w:rPr>
        <w:t>CEM</w:t>
      </w:r>
      <w:r>
        <w:rPr>
          <w:rFonts w:ascii="TimesNewRomanPSMT" w:hAnsi="TimesNewRomanPSMT" w:cs="TimesNewRomanPSMT"/>
          <w:lang w:val="es-ES_tradnl"/>
        </w:rPr>
        <w:t>), los cuales brindan</w:t>
      </w:r>
      <w:r w:rsidRPr="007A05C7">
        <w:rPr>
          <w:rFonts w:ascii="TimesNewRomanPSMT" w:hAnsi="TimesNewRomanPSMT" w:cs="TimesNewRomanPSMT"/>
          <w:lang w:val="es-ES_tradnl"/>
        </w:rPr>
        <w:t xml:space="preserve"> servicios públicos especializados y gratuitos, de atención integral y multidisciplinaria, para víctimas de violencia familiar y sexual, en los cuales se brinda orientación legal, defensa judicial y consejería psicológica. Se procura la recuperación del daño sufrido y se presta asistencia social. Asimismo, se realizan actividades de prevención a través de capacitaciones, campañas comunicacionales, formación de agentes comunitarios y movilización de organizaciones. </w:t>
      </w:r>
      <w:r>
        <w:rPr>
          <w:rStyle w:val="FootnoteReference"/>
          <w:rFonts w:ascii="TimesNewRomanPSMT" w:hAnsi="TimesNewRomanPSMT" w:cs="TimesNewRomanPSMT"/>
          <w:lang w:val="es-ES_tradnl"/>
        </w:rPr>
        <w:footnoteReference w:id="7"/>
      </w:r>
    </w:p>
    <w:p w14:paraId="0AC242AA" w14:textId="77777777" w:rsidR="00693B42" w:rsidRPr="007A05C7" w:rsidRDefault="00693B42" w:rsidP="00693B42">
      <w:pPr>
        <w:spacing w:after="0" w:line="240" w:lineRule="auto"/>
        <w:jc w:val="both"/>
        <w:rPr>
          <w:rFonts w:ascii="TimesNewRomanPSMT" w:hAnsi="TimesNewRomanPSMT" w:cs="TimesNewRomanPSMT"/>
          <w:lang w:val="es-ES_tradnl"/>
        </w:rPr>
      </w:pPr>
    </w:p>
    <w:p w14:paraId="59841D31" w14:textId="77777777" w:rsidR="00693B42" w:rsidRDefault="00693B42" w:rsidP="00693B42">
      <w:pPr>
        <w:spacing w:after="0" w:line="240" w:lineRule="auto"/>
        <w:jc w:val="both"/>
        <w:rPr>
          <w:rFonts w:ascii="TimesNewRomanPSMT" w:hAnsi="TimesNewRomanPSMT" w:cs="TimesNewRomanPSMT"/>
          <w:lang w:val="es-ES_tradnl"/>
        </w:rPr>
      </w:pPr>
      <w:r>
        <w:rPr>
          <w:rFonts w:ascii="TimesNewRomanPSMT" w:hAnsi="TimesNewRomanPSMT" w:cs="TimesNewRomanPSMT"/>
          <w:lang w:val="es-ES_tradnl"/>
        </w:rPr>
        <w:t xml:space="preserve">Hasta el momento se cuenta con aproximadamente 245 CEM funcionando en comisarías a nivel nacional. </w:t>
      </w:r>
      <w:r w:rsidRPr="007A05C7">
        <w:rPr>
          <w:rFonts w:ascii="TimesNewRomanPSMT" w:hAnsi="TimesNewRomanPSMT" w:cs="TimesNewRomanPSMT"/>
          <w:lang w:val="es-ES_tradnl"/>
        </w:rPr>
        <w:t>Estas acciones vienen acompañadas de procesos de capacitación al</w:t>
      </w:r>
      <w:r>
        <w:rPr>
          <w:rFonts w:ascii="TimesNewRomanPSMT" w:hAnsi="TimesNewRomanPSMT" w:cs="TimesNewRomanPSMT"/>
          <w:lang w:val="es-ES_tradnl"/>
        </w:rPr>
        <w:t xml:space="preserve"> personal policial encargado de</w:t>
      </w:r>
      <w:r w:rsidRPr="007A05C7">
        <w:rPr>
          <w:rFonts w:ascii="TimesNewRomanPSMT" w:hAnsi="TimesNewRomanPSMT" w:cs="TimesNewRomanPSMT"/>
          <w:lang w:val="es-ES_tradnl"/>
        </w:rPr>
        <w:t xml:space="preserve"> la atención de las víctimas, por parte de los especialistas del MIMP</w:t>
      </w:r>
      <w:r>
        <w:rPr>
          <w:rFonts w:ascii="TimesNewRomanPSMT" w:hAnsi="TimesNewRomanPSMT" w:cs="TimesNewRomanPSMT"/>
          <w:lang w:val="es-ES_tradnl"/>
        </w:rPr>
        <w:t xml:space="preserve">. </w:t>
      </w:r>
    </w:p>
    <w:p w14:paraId="5017FF5C" w14:textId="30665837" w:rsidR="00BE076A" w:rsidRDefault="00BE076A" w:rsidP="006A2E66">
      <w:pPr>
        <w:autoSpaceDE w:val="0"/>
        <w:autoSpaceDN w:val="0"/>
        <w:adjustRightInd w:val="0"/>
        <w:spacing w:after="0" w:line="240" w:lineRule="auto"/>
        <w:jc w:val="both"/>
        <w:rPr>
          <w:rFonts w:ascii="TimesNewRomanPSMT" w:hAnsi="TimesNewRomanPSMT" w:cs="TimesNewRomanPSMT"/>
          <w:lang w:val="es-ES_tradnl"/>
        </w:rPr>
      </w:pPr>
    </w:p>
    <w:p w14:paraId="43AC4CA1" w14:textId="1D643C68" w:rsidR="00797F20" w:rsidRDefault="00FA660A" w:rsidP="00B93A50">
      <w:pPr>
        <w:autoSpaceDE w:val="0"/>
        <w:autoSpaceDN w:val="0"/>
        <w:adjustRightInd w:val="0"/>
        <w:spacing w:after="0" w:line="240" w:lineRule="auto"/>
        <w:jc w:val="both"/>
        <w:rPr>
          <w:rFonts w:ascii="TimesNewRomanPSMT" w:hAnsi="TimesNewRomanPSMT" w:cs="TimesNewRomanPSMT"/>
          <w:lang w:val="es-ES_tradnl"/>
        </w:rPr>
      </w:pPr>
      <w:r>
        <w:rPr>
          <w:rFonts w:ascii="TimesNewRomanPSMT" w:hAnsi="TimesNewRomanPSMT" w:cs="TimesNewRomanPSMT"/>
          <w:lang w:val="es-ES_tradnl"/>
        </w:rPr>
        <w:t>En este contexto, e</w:t>
      </w:r>
      <w:r w:rsidR="00797F20">
        <w:rPr>
          <w:rFonts w:ascii="TimesNewRomanPSMT" w:hAnsi="TimesNewRomanPSMT" w:cs="TimesNewRomanPSMT"/>
          <w:lang w:val="es-ES_tradnl"/>
        </w:rPr>
        <w:t>l P</w:t>
      </w:r>
      <w:r w:rsidR="00797F20" w:rsidRPr="00BE076A">
        <w:rPr>
          <w:rFonts w:ascii="TimesNewRomanPSMT" w:hAnsi="TimesNewRomanPSMT" w:cs="TimesNewRomanPSMT"/>
          <w:lang w:val="es-ES_tradnl"/>
        </w:rPr>
        <w:t xml:space="preserve">royecto de </w:t>
      </w:r>
      <w:r w:rsidR="00797F20">
        <w:rPr>
          <w:rFonts w:ascii="TimesNewRomanPSMT" w:hAnsi="TimesNewRomanPSMT" w:cs="TimesNewRomanPSMT"/>
          <w:lang w:val="es-ES_tradnl"/>
        </w:rPr>
        <w:t>Mejora de los Servicios de Prevención y Atención al Delito en Barrios Vulnerables al Crimen y la Violencia en el Perú</w:t>
      </w:r>
      <w:r w:rsidR="00797F20" w:rsidRPr="00797F20">
        <w:rPr>
          <w:rFonts w:ascii="TimesNewRomanPSMT" w:hAnsi="TimesNewRomanPSMT" w:cs="TimesNewRomanPSMT"/>
          <w:lang w:val="es-ES_tradnl"/>
        </w:rPr>
        <w:t xml:space="preserve"> </w:t>
      </w:r>
      <w:r w:rsidR="00797F20">
        <w:rPr>
          <w:rFonts w:ascii="TimesNewRomanPSMT" w:hAnsi="TimesNewRomanPSMT" w:cs="TimesNewRomanPSMT"/>
          <w:lang w:val="es-ES_tradnl"/>
        </w:rPr>
        <w:t>(PE-L122</w:t>
      </w:r>
      <w:r w:rsidR="00797F20" w:rsidRPr="00797F20">
        <w:rPr>
          <w:rFonts w:ascii="TimesNewRomanPSMT" w:hAnsi="TimesNewRomanPSMT" w:cs="TimesNewRomanPSMT"/>
          <w:lang w:val="es-ES_tradnl"/>
        </w:rPr>
        <w:t>4) es</w:t>
      </w:r>
      <w:r w:rsidR="00797F20">
        <w:rPr>
          <w:rFonts w:ascii="TimesNewRomanPSMT" w:hAnsi="TimesNewRomanPSMT" w:cs="TimesNewRomanPSMT"/>
          <w:lang w:val="es-ES_tradnl"/>
        </w:rPr>
        <w:t>tá sien</w:t>
      </w:r>
      <w:r w:rsidR="00C628CB">
        <w:rPr>
          <w:rFonts w:ascii="TimesNewRomanPSMT" w:hAnsi="TimesNewRomanPSMT" w:cs="TimesNewRomanPSMT"/>
          <w:lang w:val="es-ES_tradnl"/>
        </w:rPr>
        <w:t>do preparado por el BID con el objetivo de contribuir</w:t>
      </w:r>
      <w:r w:rsidR="00797F20">
        <w:rPr>
          <w:rFonts w:ascii="TimesNewRomanPSMT" w:hAnsi="TimesNewRomanPSMT" w:cs="TimesNewRomanPSMT"/>
          <w:lang w:val="es-ES_tradnl"/>
        </w:rPr>
        <w:t xml:space="preserve"> a mejorar la efectividad</w:t>
      </w:r>
      <w:r w:rsidR="001655A7">
        <w:rPr>
          <w:rFonts w:ascii="TimesNewRomanPSMT" w:hAnsi="TimesNewRomanPSMT" w:cs="TimesNewRomanPSMT"/>
          <w:lang w:val="es-ES_tradnl"/>
        </w:rPr>
        <w:t xml:space="preserve"> policial en la prevención del delito, mejorar la efectividad de la in</w:t>
      </w:r>
      <w:r>
        <w:rPr>
          <w:rFonts w:ascii="TimesNewRomanPSMT" w:hAnsi="TimesNewRomanPSMT" w:cs="TimesNewRomanPSMT"/>
          <w:lang w:val="es-ES_tradnl"/>
        </w:rPr>
        <w:t>teligencia policial y mejorar</w:t>
      </w:r>
      <w:r w:rsidR="001655A7">
        <w:rPr>
          <w:rFonts w:ascii="TimesNewRomanPSMT" w:hAnsi="TimesNewRomanPSMT" w:cs="TimesNewRomanPSMT"/>
          <w:lang w:val="es-ES_tradnl"/>
        </w:rPr>
        <w:t xml:space="preserve"> la prevención comunitaria</w:t>
      </w:r>
      <w:r w:rsidR="00797F20" w:rsidRPr="00797F20">
        <w:rPr>
          <w:rFonts w:ascii="TimesNewRomanPSMT" w:hAnsi="TimesNewRomanPSMT" w:cs="TimesNewRomanPSMT"/>
          <w:lang w:val="es-ES_tradnl"/>
        </w:rPr>
        <w:t>.</w:t>
      </w:r>
      <w:r w:rsidR="00C628CB">
        <w:rPr>
          <w:rFonts w:ascii="TimesNewRomanPSMT" w:hAnsi="TimesNewRomanPSMT" w:cs="TimesNewRomanPSMT"/>
          <w:lang w:val="es-ES_tradnl"/>
        </w:rPr>
        <w:t xml:space="preserve"> </w:t>
      </w:r>
      <w:r>
        <w:rPr>
          <w:rFonts w:ascii="TimesNewRomanPSMT" w:hAnsi="TimesNewRomanPSMT" w:cs="TimesNewRomanPSMT"/>
          <w:lang w:val="es-ES_tradnl"/>
        </w:rPr>
        <w:t>Mas aú</w:t>
      </w:r>
      <w:r w:rsidR="00B76912">
        <w:rPr>
          <w:rFonts w:ascii="TimesNewRomanPSMT" w:hAnsi="TimesNewRomanPSMT" w:cs="TimesNewRomanPSMT"/>
          <w:lang w:val="es-ES_tradnl"/>
        </w:rPr>
        <w:t>n</w:t>
      </w:r>
      <w:r w:rsidR="00C628CB">
        <w:rPr>
          <w:rFonts w:ascii="TimesNewRomanPSMT" w:hAnsi="TimesNewRomanPSMT" w:cs="TimesNewRomanPSMT"/>
          <w:lang w:val="es-ES_tradnl"/>
        </w:rPr>
        <w:t>, l</w:t>
      </w:r>
      <w:r w:rsidR="00B76912">
        <w:rPr>
          <w:rFonts w:ascii="TimesNewRomanPSMT" w:hAnsi="TimesNewRomanPSMT" w:cs="TimesNewRomanPSMT"/>
          <w:lang w:val="es-ES_tradnl"/>
        </w:rPr>
        <w:t>as actividades descritas</w:t>
      </w:r>
      <w:r w:rsidR="00C628CB">
        <w:rPr>
          <w:rFonts w:ascii="TimesNewRomanPSMT" w:hAnsi="TimesNewRomanPSMT" w:cs="TimesNewRomanPSMT"/>
          <w:lang w:val="es-ES_tradnl"/>
        </w:rPr>
        <w:t xml:space="preserve"> en los</w:t>
      </w:r>
      <w:r w:rsidR="00797F20" w:rsidRPr="00797F20">
        <w:rPr>
          <w:rFonts w:ascii="TimesNewRomanPSMT" w:hAnsi="TimesNewRomanPSMT" w:cs="TimesNewRomanPSMT"/>
          <w:lang w:val="es-ES_tradnl"/>
        </w:rPr>
        <w:t xml:space="preserve"> componente</w:t>
      </w:r>
      <w:r w:rsidR="00C628CB">
        <w:rPr>
          <w:rFonts w:ascii="TimesNewRomanPSMT" w:hAnsi="TimesNewRomanPSMT" w:cs="TimesNewRomanPSMT"/>
          <w:lang w:val="es-ES_tradnl"/>
        </w:rPr>
        <w:t>s</w:t>
      </w:r>
      <w:r w:rsidR="00797F20" w:rsidRPr="00797F20">
        <w:rPr>
          <w:rFonts w:ascii="TimesNewRomanPSMT" w:hAnsi="TimesNewRomanPSMT" w:cs="TimesNewRomanPSMT"/>
          <w:lang w:val="es-ES_tradnl"/>
        </w:rPr>
        <w:t xml:space="preserve"> 1 </w:t>
      </w:r>
      <w:r w:rsidR="001655A7">
        <w:rPr>
          <w:rFonts w:ascii="TimesNewRomanPSMT" w:hAnsi="TimesNewRomanPSMT" w:cs="TimesNewRomanPSMT"/>
          <w:lang w:val="es-ES_tradnl"/>
        </w:rPr>
        <w:t xml:space="preserve">y 3 </w:t>
      </w:r>
      <w:r w:rsidR="00797F20" w:rsidRPr="00797F20">
        <w:rPr>
          <w:rFonts w:ascii="TimesNewRomanPSMT" w:hAnsi="TimesNewRomanPSMT" w:cs="TimesNewRomanPSMT"/>
          <w:lang w:val="es-ES_tradnl"/>
        </w:rPr>
        <w:t xml:space="preserve">del Proyecto </w:t>
      </w:r>
      <w:r w:rsidR="00C628CB">
        <w:rPr>
          <w:rFonts w:ascii="TimesNewRomanPSMT" w:hAnsi="TimesNewRomanPSMT" w:cs="TimesNewRomanPSMT"/>
          <w:lang w:val="es-ES_tradnl"/>
        </w:rPr>
        <w:t xml:space="preserve">contribuirán al incremento de las denuncias de violencia intra-familiar en las </w:t>
      </w:r>
      <w:r w:rsidR="00B76912">
        <w:rPr>
          <w:rFonts w:ascii="TimesNewRomanPSMT" w:hAnsi="TimesNewRomanPSMT" w:cs="TimesNewRomanPSMT"/>
          <w:lang w:val="es-ES_tradnl"/>
        </w:rPr>
        <w:t>jurisdicciones</w:t>
      </w:r>
      <w:r w:rsidR="00C628CB">
        <w:rPr>
          <w:rFonts w:ascii="TimesNewRomanPSMT" w:hAnsi="TimesNewRomanPSMT" w:cs="TimesNewRomanPSMT"/>
          <w:lang w:val="es-ES_tradnl"/>
        </w:rPr>
        <w:t xml:space="preserve"> </w:t>
      </w:r>
      <w:r w:rsidR="00B76912">
        <w:rPr>
          <w:rFonts w:ascii="TimesNewRomanPSMT" w:hAnsi="TimesNewRomanPSMT" w:cs="TimesNewRomanPSMT"/>
          <w:lang w:val="es-ES_tradnl"/>
        </w:rPr>
        <w:t>intervenidas</w:t>
      </w:r>
      <w:r w:rsidR="006A2E66">
        <w:rPr>
          <w:rFonts w:ascii="TimesNewRomanPSMT" w:hAnsi="TimesNewRomanPSMT" w:cs="TimesNewRomanPSMT"/>
          <w:lang w:val="es-ES_tradnl"/>
        </w:rPr>
        <w:t xml:space="preserve"> por le proyecto</w:t>
      </w:r>
      <w:r w:rsidR="00C628CB">
        <w:rPr>
          <w:rFonts w:ascii="TimesNewRomanPSMT" w:hAnsi="TimesNewRomanPSMT" w:cs="TimesNewRomanPSMT"/>
          <w:lang w:val="es-ES_tradnl"/>
        </w:rPr>
        <w:t xml:space="preserve">.  </w:t>
      </w:r>
      <w:r>
        <w:rPr>
          <w:rFonts w:ascii="TimesNewRomanPSMT" w:hAnsi="TimesNewRomanPSMT" w:cs="TimesNewRomanPSMT"/>
          <w:lang w:val="es-ES_tradnl"/>
        </w:rPr>
        <w:t xml:space="preserve">Para este fin, se desarrollaran las siguientes </w:t>
      </w:r>
      <w:r w:rsidR="00797F20" w:rsidRPr="00797F20">
        <w:rPr>
          <w:rFonts w:ascii="TimesNewRomanPSMT" w:hAnsi="TimesNewRomanPSMT" w:cs="TimesNewRomanPSMT"/>
          <w:lang w:val="es-ES_tradnl"/>
        </w:rPr>
        <w:t>actividades</w:t>
      </w:r>
      <w:r w:rsidR="006A2E66">
        <w:rPr>
          <w:rFonts w:ascii="TimesNewRomanPSMT" w:hAnsi="TimesNewRomanPSMT" w:cs="TimesNewRomanPSMT"/>
          <w:lang w:val="es-ES_tradnl"/>
        </w:rPr>
        <w:t>,</w:t>
      </w:r>
      <w:r w:rsidR="00797F20" w:rsidRPr="00797F20">
        <w:rPr>
          <w:rFonts w:ascii="TimesNewRomanPSMT" w:hAnsi="TimesNewRomanPSMT" w:cs="TimesNewRomanPSMT"/>
          <w:lang w:val="es-ES_tradnl"/>
        </w:rPr>
        <w:t xml:space="preserve"> </w:t>
      </w:r>
      <w:r w:rsidR="006A2E66">
        <w:rPr>
          <w:rFonts w:ascii="TimesNewRomanPSMT" w:hAnsi="TimesNewRomanPSMT" w:cs="TimesNewRomanPSMT"/>
          <w:lang w:val="es-ES_tradnl"/>
        </w:rPr>
        <w:t xml:space="preserve">i) </w:t>
      </w:r>
      <w:r w:rsidR="007C32FA">
        <w:rPr>
          <w:rFonts w:ascii="TimesNewRomanPSMT" w:hAnsi="TimesNewRomanPSMT" w:cs="TimesNewRomanPSMT"/>
          <w:lang w:val="es-ES_tradnl"/>
        </w:rPr>
        <w:t xml:space="preserve">diseñar e implementar </w:t>
      </w:r>
      <w:r w:rsidR="00C0407D">
        <w:rPr>
          <w:rFonts w:ascii="TimesNewRomanPSMT" w:hAnsi="TimesNewRomanPSMT" w:cs="TimesNewRomanPSMT"/>
          <w:lang w:val="es-ES_tradnl"/>
        </w:rPr>
        <w:t>una malla curricular moderna para la PNP con un enfoque de policía comunitaria</w:t>
      </w:r>
      <w:r w:rsidR="00B76912">
        <w:rPr>
          <w:rStyle w:val="FootnoteReference"/>
          <w:rFonts w:ascii="TimesNewRomanPSMT" w:hAnsi="TimesNewRomanPSMT" w:cs="TimesNewRomanPSMT"/>
          <w:lang w:val="es-ES_tradnl"/>
        </w:rPr>
        <w:footnoteReference w:id="8"/>
      </w:r>
      <w:r w:rsidR="00C0407D">
        <w:rPr>
          <w:rFonts w:ascii="TimesNewRomanPSMT" w:hAnsi="TimesNewRomanPSMT" w:cs="TimesNewRomanPSMT"/>
          <w:lang w:val="es-ES_tradnl"/>
        </w:rPr>
        <w:t xml:space="preserve">, la cual contiene módulos de formación para el apropiado abordaje a las víctimas de violencia familiar y sexual, </w:t>
      </w:r>
      <w:r w:rsidR="006A2E66">
        <w:rPr>
          <w:rFonts w:ascii="TimesNewRomanPSMT" w:hAnsi="TimesNewRomanPSMT" w:cs="TimesNewRomanPSMT"/>
          <w:lang w:val="es-ES_tradnl"/>
        </w:rPr>
        <w:t xml:space="preserve">ii) </w:t>
      </w:r>
      <w:r w:rsidR="00C0407D">
        <w:rPr>
          <w:rFonts w:ascii="TimesNewRomanPSMT" w:hAnsi="TimesNewRomanPSMT" w:cs="TimesNewRomanPSMT"/>
          <w:lang w:val="es-ES_tradnl"/>
        </w:rPr>
        <w:t xml:space="preserve">mejoramiento del sistema de información para una mejor </w:t>
      </w:r>
      <w:r w:rsidR="009A181B">
        <w:rPr>
          <w:rFonts w:ascii="TimesNewRomanPSMT" w:hAnsi="TimesNewRomanPSMT" w:cs="TimesNewRomanPSMT"/>
          <w:lang w:val="es-ES_tradnl"/>
        </w:rPr>
        <w:t>recolección y análisis</w:t>
      </w:r>
      <w:r w:rsidR="00C0407D">
        <w:rPr>
          <w:rFonts w:ascii="TimesNewRomanPSMT" w:hAnsi="TimesNewRomanPSMT" w:cs="TimesNewRomanPSMT"/>
          <w:lang w:val="es-ES_tradnl"/>
        </w:rPr>
        <w:t xml:space="preserve"> de datos, incluyendo </w:t>
      </w:r>
      <w:r w:rsidR="009A181B">
        <w:rPr>
          <w:rFonts w:ascii="TimesNewRomanPSMT" w:hAnsi="TimesNewRomanPSMT" w:cs="TimesNewRomanPSMT"/>
          <w:lang w:val="es-ES_tradnl"/>
        </w:rPr>
        <w:t xml:space="preserve">los </w:t>
      </w:r>
      <w:r w:rsidR="006A2E66">
        <w:rPr>
          <w:rFonts w:ascii="TimesNewRomanPSMT" w:hAnsi="TimesNewRomanPSMT" w:cs="TimesNewRomanPSMT"/>
          <w:lang w:val="es-ES_tradnl"/>
        </w:rPr>
        <w:t>delitos por</w:t>
      </w:r>
      <w:r w:rsidR="00C0407D">
        <w:rPr>
          <w:rFonts w:ascii="TimesNewRomanPSMT" w:hAnsi="TimesNewRomanPSMT" w:cs="TimesNewRomanPSMT"/>
          <w:lang w:val="es-ES_tradnl"/>
        </w:rPr>
        <w:t xml:space="preserve"> violencia intrafamiliar, </w:t>
      </w:r>
      <w:r w:rsidR="006A2E66">
        <w:rPr>
          <w:rFonts w:ascii="TimesNewRomanPSMT" w:hAnsi="TimesNewRomanPSMT" w:cs="TimesNewRomanPSMT"/>
          <w:lang w:val="es-ES_tradnl"/>
        </w:rPr>
        <w:t xml:space="preserve">iii) </w:t>
      </w:r>
      <w:r w:rsidR="00C0407D">
        <w:rPr>
          <w:rFonts w:ascii="TimesNewRomanPSMT" w:hAnsi="TimesNewRomanPSMT" w:cs="TimesNewRomanPSMT"/>
          <w:lang w:val="es-ES_tradnl"/>
        </w:rPr>
        <w:t xml:space="preserve">fortalecimiento </w:t>
      </w:r>
      <w:r w:rsidR="009A181B">
        <w:rPr>
          <w:rFonts w:ascii="TimesNewRomanPSMT" w:hAnsi="TimesNewRomanPSMT" w:cs="TimesNewRomanPSMT"/>
          <w:lang w:val="es-ES_tradnl"/>
        </w:rPr>
        <w:t>de programas preventivos comunita</w:t>
      </w:r>
      <w:r w:rsidR="00B53F0D">
        <w:rPr>
          <w:rFonts w:ascii="TimesNewRomanPSMT" w:hAnsi="TimesNewRomanPSMT" w:cs="TimesNewRomanPSMT"/>
          <w:lang w:val="es-ES_tradnl"/>
        </w:rPr>
        <w:t>rios dirigidos</w:t>
      </w:r>
      <w:r w:rsidR="009A181B">
        <w:rPr>
          <w:rFonts w:ascii="TimesNewRomanPSMT" w:hAnsi="TimesNewRomanPSMT" w:cs="TimesNewRomanPSMT"/>
          <w:lang w:val="es-ES_tradnl"/>
        </w:rPr>
        <w:t xml:space="preserve"> a las mujeres y</w:t>
      </w:r>
      <w:r>
        <w:rPr>
          <w:rFonts w:ascii="TimesNewRomanPSMT" w:hAnsi="TimesNewRomanPSMT" w:cs="TimesNewRomanPSMT"/>
          <w:lang w:val="es-ES_tradnl"/>
        </w:rPr>
        <w:t>,</w:t>
      </w:r>
      <w:r w:rsidR="009A181B">
        <w:rPr>
          <w:rFonts w:ascii="TimesNewRomanPSMT" w:hAnsi="TimesNewRomanPSMT" w:cs="TimesNewRomanPSMT"/>
          <w:lang w:val="es-ES_tradnl"/>
        </w:rPr>
        <w:t xml:space="preserve"> </w:t>
      </w:r>
      <w:r>
        <w:rPr>
          <w:rFonts w:ascii="TimesNewRomanPSMT" w:hAnsi="TimesNewRomanPSMT" w:cs="TimesNewRomanPSMT"/>
          <w:lang w:val="es-ES_tradnl"/>
        </w:rPr>
        <w:t xml:space="preserve">iv) </w:t>
      </w:r>
      <w:r w:rsidR="009A181B">
        <w:rPr>
          <w:rFonts w:ascii="TimesNewRomanPSMT" w:hAnsi="TimesNewRomanPSMT" w:cs="TimesNewRomanPSMT"/>
          <w:lang w:val="es-ES_tradnl"/>
        </w:rPr>
        <w:t>adecuación de espacios físicos en la comisaria</w:t>
      </w:r>
      <w:r w:rsidR="00B76912">
        <w:rPr>
          <w:rFonts w:ascii="TimesNewRomanPSMT" w:hAnsi="TimesNewRomanPSMT" w:cs="TimesNewRomanPSMT"/>
          <w:lang w:val="es-ES_tradnl"/>
        </w:rPr>
        <w:t>s</w:t>
      </w:r>
      <w:r w:rsidR="009A181B">
        <w:rPr>
          <w:rFonts w:ascii="TimesNewRomanPSMT" w:hAnsi="TimesNewRomanPSMT" w:cs="TimesNewRomanPSMT"/>
          <w:lang w:val="es-ES_tradnl"/>
        </w:rPr>
        <w:t xml:space="preserve"> </w:t>
      </w:r>
      <w:r w:rsidR="00B76912">
        <w:rPr>
          <w:rFonts w:ascii="TimesNewRomanPSMT" w:hAnsi="TimesNewRomanPSMT" w:cs="TimesNewRomanPSMT"/>
          <w:lang w:val="es-ES_tradnl"/>
        </w:rPr>
        <w:t xml:space="preserve">para proporcionar </w:t>
      </w:r>
      <w:r w:rsidR="004146F5">
        <w:rPr>
          <w:rFonts w:ascii="TimesNewRomanPSMT" w:hAnsi="TimesNewRomanPSMT" w:cs="TimesNewRomanPSMT"/>
          <w:lang w:val="es-ES_tradnl"/>
        </w:rPr>
        <w:t>privacidad</w:t>
      </w:r>
      <w:r w:rsidR="00B76912">
        <w:rPr>
          <w:rFonts w:ascii="TimesNewRomanPSMT" w:hAnsi="TimesNewRomanPSMT" w:cs="TimesNewRomanPSMT"/>
          <w:lang w:val="es-ES_tradnl"/>
        </w:rPr>
        <w:t xml:space="preserve"> y confidencialidad a la hora de brindar </w:t>
      </w:r>
      <w:r w:rsidR="009A181B">
        <w:rPr>
          <w:rFonts w:ascii="TimesNewRomanPSMT" w:hAnsi="TimesNewRomanPSMT" w:cs="TimesNewRomanPSMT"/>
          <w:lang w:val="es-ES_tradnl"/>
        </w:rPr>
        <w:t xml:space="preserve">los servicios </w:t>
      </w:r>
      <w:r w:rsidR="00B76912">
        <w:rPr>
          <w:rFonts w:ascii="TimesNewRomanPSMT" w:hAnsi="TimesNewRomanPSMT" w:cs="TimesNewRomanPSMT"/>
          <w:lang w:val="es-ES_tradnl"/>
        </w:rPr>
        <w:t xml:space="preserve">de </w:t>
      </w:r>
      <w:r w:rsidR="009A181B">
        <w:rPr>
          <w:rFonts w:ascii="TimesNewRomanPSMT" w:hAnsi="TimesNewRomanPSMT" w:cs="TimesNewRomanPSMT"/>
          <w:lang w:val="es-ES_tradnl"/>
        </w:rPr>
        <w:t>atención comunitaria</w:t>
      </w:r>
      <w:r w:rsidR="00C0407D">
        <w:rPr>
          <w:rFonts w:ascii="TimesNewRomanPSMT" w:hAnsi="TimesNewRomanPSMT" w:cs="TimesNewRomanPSMT"/>
          <w:lang w:val="es-ES_tradnl"/>
        </w:rPr>
        <w:t>.</w:t>
      </w:r>
      <w:r w:rsidR="009A181B">
        <w:rPr>
          <w:rFonts w:ascii="TimesNewRomanPSMT" w:hAnsi="TimesNewRomanPSMT" w:cs="TimesNewRomanPSMT"/>
          <w:lang w:val="es-ES_tradnl"/>
        </w:rPr>
        <w:t xml:space="preserve"> </w:t>
      </w:r>
      <w:r w:rsidR="006A2E66">
        <w:rPr>
          <w:rFonts w:ascii="TimesNewRomanPSMT" w:hAnsi="TimesNewRomanPSMT" w:cs="TimesNewRomanPSMT"/>
          <w:lang w:val="es-ES_tradnl"/>
        </w:rPr>
        <w:t>E</w:t>
      </w:r>
      <w:r w:rsidR="00B93A50">
        <w:rPr>
          <w:rFonts w:ascii="TimesNewRomanPSMT" w:hAnsi="TimesNewRomanPSMT" w:cs="TimesNewRomanPSMT"/>
          <w:lang w:val="es-ES_tradnl"/>
        </w:rPr>
        <w:t>l tener una policía al servicio del ciudadano</w:t>
      </w:r>
      <w:r w:rsidR="006A2E66">
        <w:rPr>
          <w:rFonts w:ascii="TimesNewRomanPSMT" w:hAnsi="TimesNewRomanPSMT" w:cs="TimesNewRomanPSMT"/>
          <w:lang w:val="es-ES_tradnl"/>
        </w:rPr>
        <w:t>,</w:t>
      </w:r>
      <w:r w:rsidR="00884E70" w:rsidRPr="00B76912">
        <w:rPr>
          <w:rFonts w:ascii="TimesNewRomanPSMT" w:hAnsi="TimesNewRomanPSMT" w:cs="TimesNewRomanPSMT"/>
          <w:lang w:val="es-ES_tradnl"/>
        </w:rPr>
        <w:t xml:space="preserve"> </w:t>
      </w:r>
      <w:r w:rsidR="006A2E66" w:rsidRPr="00B76912">
        <w:rPr>
          <w:rFonts w:ascii="TimesNewRomanPSMT" w:hAnsi="TimesNewRomanPSMT" w:cs="TimesNewRomanPSMT"/>
          <w:lang w:val="es-ES_tradnl"/>
        </w:rPr>
        <w:t>favorecerá</w:t>
      </w:r>
      <w:r w:rsidR="00884E70" w:rsidRPr="00B76912">
        <w:rPr>
          <w:rFonts w:ascii="TimesNewRomanPSMT" w:hAnsi="TimesNewRomanPSMT" w:cs="TimesNewRomanPSMT"/>
          <w:lang w:val="es-ES_tradnl"/>
        </w:rPr>
        <w:t xml:space="preserve"> a mejorar</w:t>
      </w:r>
      <w:r w:rsidR="00FA092F" w:rsidRPr="00B76912">
        <w:rPr>
          <w:rFonts w:ascii="TimesNewRomanPSMT" w:hAnsi="TimesNewRomanPSMT" w:cs="TimesNewRomanPSMT"/>
          <w:lang w:val="es-ES_tradnl"/>
        </w:rPr>
        <w:t xml:space="preserve"> la percepción ciudadana</w:t>
      </w:r>
      <w:r w:rsidR="00884E70" w:rsidRPr="00B76912">
        <w:rPr>
          <w:rFonts w:ascii="TimesNewRomanPSMT" w:hAnsi="TimesNewRomanPSMT" w:cs="TimesNewRomanPSMT"/>
          <w:lang w:val="es-ES_tradnl"/>
        </w:rPr>
        <w:t xml:space="preserve"> y la disposición de las mujeres víctimas de violencia a denunciar </w:t>
      </w:r>
      <w:r w:rsidR="006A2E66">
        <w:rPr>
          <w:rFonts w:ascii="TimesNewRomanPSMT" w:hAnsi="TimesNewRomanPSMT" w:cs="TimesNewRomanPSMT"/>
          <w:lang w:val="es-ES_tradnl"/>
        </w:rPr>
        <w:t xml:space="preserve">dichos </w:t>
      </w:r>
      <w:r w:rsidR="00884E70" w:rsidRPr="00B76912">
        <w:rPr>
          <w:rFonts w:ascii="TimesNewRomanPSMT" w:hAnsi="TimesNewRomanPSMT" w:cs="TimesNewRomanPSMT"/>
          <w:lang w:val="es-ES_tradnl"/>
        </w:rPr>
        <w:t>delitos</w:t>
      </w:r>
      <w:r w:rsidR="00B93A50">
        <w:rPr>
          <w:rFonts w:ascii="TimesNewRomanPSMT" w:hAnsi="TimesNewRomanPSMT" w:cs="TimesNewRomanPSMT"/>
          <w:lang w:val="es-ES_tradnl"/>
        </w:rPr>
        <w:t>.</w:t>
      </w:r>
      <w:r w:rsidR="00884E70">
        <w:rPr>
          <w:rFonts w:ascii="TimesNewRomanPSMT" w:hAnsi="TimesNewRomanPSMT" w:cs="TimesNewRomanPSMT"/>
          <w:lang w:val="es-ES_tradnl"/>
        </w:rPr>
        <w:t xml:space="preserve"> </w:t>
      </w:r>
    </w:p>
    <w:p w14:paraId="44049F05" w14:textId="77777777" w:rsidR="00884E70" w:rsidRPr="00797F20" w:rsidRDefault="00884E70" w:rsidP="00797F20">
      <w:pPr>
        <w:autoSpaceDE w:val="0"/>
        <w:autoSpaceDN w:val="0"/>
        <w:adjustRightInd w:val="0"/>
        <w:spacing w:after="0" w:line="240" w:lineRule="auto"/>
        <w:rPr>
          <w:rFonts w:ascii="TimesNewRomanPSMT" w:hAnsi="TimesNewRomanPSMT" w:cs="TimesNewRomanPSMT"/>
          <w:lang w:val="es-ES_tradnl"/>
        </w:rPr>
      </w:pPr>
    </w:p>
    <w:p w14:paraId="00555731" w14:textId="1C138B09" w:rsidR="00BE076A" w:rsidRDefault="006A2E66" w:rsidP="00797F20">
      <w:pPr>
        <w:autoSpaceDE w:val="0"/>
        <w:autoSpaceDN w:val="0"/>
        <w:adjustRightInd w:val="0"/>
        <w:spacing w:after="0" w:line="240" w:lineRule="auto"/>
        <w:rPr>
          <w:rFonts w:ascii="TimesNewRomanPSMT" w:hAnsi="TimesNewRomanPSMT" w:cs="TimesNewRomanPSMT"/>
          <w:lang w:val="es-ES_tradnl"/>
        </w:rPr>
      </w:pPr>
      <w:r>
        <w:rPr>
          <w:rFonts w:ascii="TimesNewRomanPSMT" w:hAnsi="TimesNewRomanPSMT" w:cs="TimesNewRomanPSMT"/>
          <w:lang w:val="es-ES_tradnl"/>
        </w:rPr>
        <w:lastRenderedPageBreak/>
        <w:t>E</w:t>
      </w:r>
      <w:r w:rsidR="00797F20" w:rsidRPr="00797F20">
        <w:rPr>
          <w:rFonts w:ascii="TimesNewRomanPSMT" w:hAnsi="TimesNewRomanPSMT" w:cs="TimesNewRomanPSMT"/>
          <w:lang w:val="es-ES_tradnl"/>
        </w:rPr>
        <w:t>ste documento describe la importancia de abordar l</w:t>
      </w:r>
      <w:r w:rsidR="00B53F0D">
        <w:rPr>
          <w:rFonts w:ascii="TimesNewRomanPSMT" w:hAnsi="TimesNewRomanPSMT" w:cs="TimesNewRomanPSMT"/>
          <w:lang w:val="es-ES_tradnl"/>
        </w:rPr>
        <w:t>a violencia contra la mujer (VCM</w:t>
      </w:r>
      <w:r w:rsidR="00797F20" w:rsidRPr="00797F20">
        <w:rPr>
          <w:rFonts w:ascii="TimesNewRomanPSMT" w:hAnsi="TimesNewRomanPSMT" w:cs="TimesNewRomanPSMT"/>
          <w:lang w:val="es-ES_tradnl"/>
        </w:rPr>
        <w:t>) en las operaciones de seguridad ciudadana y cómo se ha incorporado la igualdad de género a través de las actividades de</w:t>
      </w:r>
      <w:r w:rsidR="00C628CB">
        <w:rPr>
          <w:rFonts w:ascii="TimesNewRomanPSMT" w:hAnsi="TimesNewRomanPSMT" w:cs="TimesNewRomanPSMT"/>
          <w:lang w:val="es-ES_tradnl"/>
        </w:rPr>
        <w:t xml:space="preserve"> </w:t>
      </w:r>
      <w:r w:rsidR="00797F20" w:rsidRPr="00797F20">
        <w:rPr>
          <w:rFonts w:ascii="TimesNewRomanPSMT" w:hAnsi="TimesNewRomanPSMT" w:cs="TimesNewRomanPSMT"/>
          <w:lang w:val="es-ES_tradnl"/>
        </w:rPr>
        <w:t>l</w:t>
      </w:r>
      <w:r w:rsidR="00C628CB">
        <w:rPr>
          <w:rFonts w:ascii="TimesNewRomanPSMT" w:hAnsi="TimesNewRomanPSMT" w:cs="TimesNewRomanPSMT"/>
          <w:lang w:val="es-ES_tradnl"/>
        </w:rPr>
        <w:t>os</w:t>
      </w:r>
      <w:r w:rsidR="00797F20" w:rsidRPr="00797F20">
        <w:rPr>
          <w:rFonts w:ascii="TimesNewRomanPSMT" w:hAnsi="TimesNewRomanPSMT" w:cs="TimesNewRomanPSMT"/>
          <w:lang w:val="es-ES_tradnl"/>
        </w:rPr>
        <w:t xml:space="preserve"> componente</w:t>
      </w:r>
      <w:r w:rsidR="00C628CB">
        <w:rPr>
          <w:rFonts w:ascii="TimesNewRomanPSMT" w:hAnsi="TimesNewRomanPSMT" w:cs="TimesNewRomanPSMT"/>
          <w:lang w:val="es-ES_tradnl"/>
        </w:rPr>
        <w:t>s</w:t>
      </w:r>
      <w:r w:rsidR="00797F20" w:rsidRPr="00797F20">
        <w:rPr>
          <w:rFonts w:ascii="TimesNewRomanPSMT" w:hAnsi="TimesNewRomanPSMT" w:cs="TimesNewRomanPSMT"/>
          <w:lang w:val="es-ES_tradnl"/>
        </w:rPr>
        <w:t xml:space="preserve"> 1 </w:t>
      </w:r>
      <w:r w:rsidR="00B53F0D">
        <w:rPr>
          <w:rFonts w:ascii="TimesNewRomanPSMT" w:hAnsi="TimesNewRomanPSMT" w:cs="TimesNewRomanPSMT"/>
          <w:lang w:val="es-ES_tradnl"/>
        </w:rPr>
        <w:t xml:space="preserve">y 3 </w:t>
      </w:r>
      <w:r w:rsidR="00797F20" w:rsidRPr="00797F20">
        <w:rPr>
          <w:rFonts w:ascii="TimesNewRomanPSMT" w:hAnsi="TimesNewRomanPSMT" w:cs="TimesNewRomanPSMT"/>
          <w:lang w:val="es-ES_tradnl"/>
        </w:rPr>
        <w:t xml:space="preserve">del Proyecto </w:t>
      </w:r>
      <w:r w:rsidR="00B53F0D" w:rsidRPr="00BE076A">
        <w:rPr>
          <w:rFonts w:ascii="TimesNewRomanPSMT" w:hAnsi="TimesNewRomanPSMT" w:cs="TimesNewRomanPSMT"/>
          <w:lang w:val="es-ES_tradnl"/>
        </w:rPr>
        <w:t xml:space="preserve">de </w:t>
      </w:r>
      <w:r w:rsidR="00B53F0D">
        <w:rPr>
          <w:rFonts w:ascii="TimesNewRomanPSMT" w:hAnsi="TimesNewRomanPSMT" w:cs="TimesNewRomanPSMT"/>
          <w:lang w:val="es-ES_tradnl"/>
        </w:rPr>
        <w:t>Mejora de los Servicios de Prevención y Atención al Delito en Barrios Vulnerables al Crimen y la Violencia en el Perú.</w:t>
      </w:r>
    </w:p>
    <w:p w14:paraId="64FE9424" w14:textId="77777777" w:rsidR="00BE076A" w:rsidRDefault="00BE076A" w:rsidP="00BE076A">
      <w:pPr>
        <w:autoSpaceDE w:val="0"/>
        <w:autoSpaceDN w:val="0"/>
        <w:adjustRightInd w:val="0"/>
        <w:spacing w:after="0" w:line="240" w:lineRule="auto"/>
        <w:rPr>
          <w:rFonts w:ascii="TimesNewRomanPSMT" w:hAnsi="TimesNewRomanPSMT" w:cs="TimesNewRomanPSMT"/>
          <w:lang w:val="es-ES_tradnl"/>
        </w:rPr>
      </w:pPr>
    </w:p>
    <w:p w14:paraId="158622C4" w14:textId="5541654D" w:rsidR="00BE076A" w:rsidRPr="00797F20" w:rsidRDefault="00797F20" w:rsidP="00BE076A">
      <w:pPr>
        <w:autoSpaceDE w:val="0"/>
        <w:autoSpaceDN w:val="0"/>
        <w:adjustRightInd w:val="0"/>
        <w:spacing w:after="0" w:line="240" w:lineRule="auto"/>
        <w:rPr>
          <w:rFonts w:ascii="TimesNewRomanPSMT" w:hAnsi="TimesNewRomanPSMT" w:cs="TimesNewRomanPSMT"/>
          <w:b/>
          <w:lang w:val="es-ES_tradnl"/>
        </w:rPr>
      </w:pPr>
      <w:r w:rsidRPr="00797F20">
        <w:rPr>
          <w:rFonts w:ascii="TimesNewRomanPSMT" w:hAnsi="TimesNewRomanPSMT" w:cs="TimesNewRomanPSMT"/>
          <w:b/>
          <w:lang w:val="es-ES_tradnl"/>
        </w:rPr>
        <w:t>2. Violencia contra la Mujer</w:t>
      </w:r>
      <w:r w:rsidR="002A30FC">
        <w:rPr>
          <w:rFonts w:ascii="TimesNewRomanPSMT" w:hAnsi="TimesNewRomanPSMT" w:cs="TimesNewRomanPSMT"/>
          <w:b/>
          <w:lang w:val="es-ES_tradnl"/>
        </w:rPr>
        <w:t xml:space="preserve"> (VCM)</w:t>
      </w:r>
    </w:p>
    <w:p w14:paraId="26B7E860" w14:textId="6AD786A1" w:rsidR="007A05C7" w:rsidRDefault="007A05C7" w:rsidP="001777FB">
      <w:pPr>
        <w:autoSpaceDE w:val="0"/>
        <w:autoSpaceDN w:val="0"/>
        <w:adjustRightInd w:val="0"/>
        <w:spacing w:after="0" w:line="240" w:lineRule="auto"/>
        <w:rPr>
          <w:rFonts w:ascii="TimesNewRomanPSMT" w:hAnsi="TimesNewRomanPSMT" w:cs="TimesNewRomanPSMT"/>
          <w:lang w:val="es-ES_tradnl"/>
        </w:rPr>
      </w:pPr>
    </w:p>
    <w:p w14:paraId="25B8A6BF" w14:textId="59265EA7" w:rsidR="002A30FC" w:rsidRDefault="002A30FC" w:rsidP="004A376F">
      <w:pPr>
        <w:autoSpaceDE w:val="0"/>
        <w:autoSpaceDN w:val="0"/>
        <w:adjustRightInd w:val="0"/>
        <w:spacing w:after="0" w:line="240" w:lineRule="auto"/>
        <w:jc w:val="both"/>
        <w:rPr>
          <w:rFonts w:ascii="TimesNewRomanPSMT" w:hAnsi="TimesNewRomanPSMT" w:cs="TimesNewRomanPSMT"/>
          <w:lang w:val="es-ES_tradnl"/>
        </w:rPr>
      </w:pPr>
      <w:r>
        <w:rPr>
          <w:rFonts w:ascii="TimesNewRomanPSMT" w:hAnsi="TimesNewRomanPSMT" w:cs="TimesNewRomanPSMT"/>
          <w:lang w:val="es-ES_tradnl"/>
        </w:rPr>
        <w:t>2.1 Datos de la VCM</w:t>
      </w:r>
    </w:p>
    <w:p w14:paraId="3A657E67" w14:textId="77777777" w:rsidR="002A30FC" w:rsidRDefault="002A30FC" w:rsidP="004A376F">
      <w:pPr>
        <w:autoSpaceDE w:val="0"/>
        <w:autoSpaceDN w:val="0"/>
        <w:adjustRightInd w:val="0"/>
        <w:spacing w:after="0" w:line="240" w:lineRule="auto"/>
        <w:jc w:val="both"/>
        <w:rPr>
          <w:rFonts w:ascii="TimesNewRomanPSMT" w:hAnsi="TimesNewRomanPSMT" w:cs="TimesNewRomanPSMT"/>
          <w:lang w:val="es-ES_tradnl"/>
        </w:rPr>
      </w:pPr>
    </w:p>
    <w:p w14:paraId="05970917" w14:textId="41AD8F76" w:rsidR="001777FB" w:rsidRPr="001777FB" w:rsidRDefault="001777FB" w:rsidP="004A376F">
      <w:pPr>
        <w:autoSpaceDE w:val="0"/>
        <w:autoSpaceDN w:val="0"/>
        <w:adjustRightInd w:val="0"/>
        <w:spacing w:after="0" w:line="240" w:lineRule="auto"/>
        <w:jc w:val="both"/>
        <w:rPr>
          <w:rFonts w:ascii="TimesNewRomanPSMT" w:hAnsi="TimesNewRomanPSMT" w:cs="TimesNewRomanPSMT"/>
          <w:lang w:val="es-ES_tradnl"/>
        </w:rPr>
      </w:pPr>
      <w:r w:rsidRPr="001777FB">
        <w:rPr>
          <w:rFonts w:ascii="TimesNewRomanPSMT" w:hAnsi="TimesNewRomanPSMT" w:cs="TimesNewRomanPSMT"/>
          <w:lang w:val="es-ES_tradnl"/>
        </w:rPr>
        <w:t>En el año 2016, a nivel nacional, el 68,2% de las mujeres alguna vez unidas sufrieron algún tipo de</w:t>
      </w:r>
    </w:p>
    <w:p w14:paraId="0E447360" w14:textId="77777777" w:rsidR="009A181B" w:rsidRDefault="001777FB" w:rsidP="004A376F">
      <w:pPr>
        <w:autoSpaceDE w:val="0"/>
        <w:autoSpaceDN w:val="0"/>
        <w:adjustRightInd w:val="0"/>
        <w:spacing w:after="0" w:line="240" w:lineRule="auto"/>
        <w:jc w:val="both"/>
        <w:rPr>
          <w:rFonts w:ascii="TimesNewRomanPSMT" w:hAnsi="TimesNewRomanPSMT" w:cs="TimesNewRomanPSMT"/>
          <w:lang w:val="es-ES_tradnl"/>
        </w:rPr>
      </w:pPr>
      <w:r w:rsidRPr="001777FB">
        <w:rPr>
          <w:rFonts w:ascii="TimesNewRomanPSMT" w:hAnsi="TimesNewRomanPSMT" w:cs="TimesNewRomanPSMT"/>
          <w:lang w:val="es-ES_tradnl"/>
        </w:rPr>
        <w:t>violencia po</w:t>
      </w:r>
      <w:r>
        <w:rPr>
          <w:rFonts w:ascii="TimesNewRomanPSMT" w:hAnsi="TimesNewRomanPSMT" w:cs="TimesNewRomanPSMT"/>
          <w:lang w:val="es-ES_tradnl"/>
        </w:rPr>
        <w:t xml:space="preserve">r parte del esposo o compañero.  </w:t>
      </w:r>
      <w:r w:rsidRPr="001777FB">
        <w:rPr>
          <w:rFonts w:ascii="TimesNewRomanPSMT" w:hAnsi="TimesNewRomanPSMT" w:cs="TimesNewRomanPSMT"/>
          <w:lang w:val="es-ES_tradnl"/>
        </w:rPr>
        <w:t xml:space="preserve">Entre las formas de violencia, destaca la violencia psicológica y/o </w:t>
      </w:r>
      <w:r>
        <w:rPr>
          <w:rFonts w:ascii="TimesNewRomanPSMT" w:hAnsi="TimesNewRomanPSMT" w:cs="TimesNewRomanPSMT"/>
          <w:lang w:val="es-ES_tradnl"/>
        </w:rPr>
        <w:t>verbal (64,2%),</w:t>
      </w:r>
      <w:r w:rsidRPr="001777FB">
        <w:rPr>
          <w:rFonts w:ascii="TimesNewRomanPSMT" w:hAnsi="TimesNewRomanPSMT" w:cs="TimesNewRomanPSMT"/>
          <w:lang w:val="es-ES_tradnl"/>
        </w:rPr>
        <w:t xml:space="preserve"> la violencia fí</w:t>
      </w:r>
      <w:r>
        <w:rPr>
          <w:rFonts w:ascii="TimesNewRomanPSMT" w:hAnsi="TimesNewRomanPSMT" w:cs="TimesNewRomanPSMT"/>
          <w:lang w:val="es-ES_tradnl"/>
        </w:rPr>
        <w:t>sica (31,7%)</w:t>
      </w:r>
      <w:r w:rsidRPr="001777FB">
        <w:rPr>
          <w:rFonts w:ascii="TimesNewRomanPSMT" w:hAnsi="TimesNewRomanPSMT" w:cs="TimesNewRomanPSMT"/>
          <w:lang w:val="es-ES_tradnl"/>
        </w:rPr>
        <w:t xml:space="preserve"> y l</w:t>
      </w:r>
      <w:r>
        <w:rPr>
          <w:rFonts w:ascii="TimesNewRomanPSMT" w:hAnsi="TimesNewRomanPSMT" w:cs="TimesNewRomanPSMT"/>
          <w:lang w:val="es-ES_tradnl"/>
        </w:rPr>
        <w:t xml:space="preserve">a violencia sexual (6,6%). </w:t>
      </w:r>
    </w:p>
    <w:p w14:paraId="730AF04E" w14:textId="77777777" w:rsidR="001777FB" w:rsidRDefault="001777FB" w:rsidP="001777FB">
      <w:pPr>
        <w:autoSpaceDE w:val="0"/>
        <w:autoSpaceDN w:val="0"/>
        <w:adjustRightInd w:val="0"/>
        <w:spacing w:after="0" w:line="240" w:lineRule="auto"/>
        <w:rPr>
          <w:rFonts w:ascii="TimesNewRomanPSMT" w:hAnsi="TimesNewRomanPSMT" w:cs="TimesNewRomanPSMT"/>
          <w:lang w:val="es-ES_tradnl"/>
        </w:rPr>
      </w:pPr>
    </w:p>
    <w:p w14:paraId="05B1D6A7" w14:textId="77777777" w:rsidR="001777FB" w:rsidRDefault="001777FB" w:rsidP="001777FB">
      <w:pPr>
        <w:autoSpaceDE w:val="0"/>
        <w:autoSpaceDN w:val="0"/>
        <w:adjustRightInd w:val="0"/>
        <w:spacing w:after="0" w:line="240" w:lineRule="auto"/>
        <w:rPr>
          <w:rFonts w:ascii="TimesNewRomanPSMT" w:hAnsi="TimesNewRomanPSMT" w:cs="TimesNewRomanPSMT"/>
          <w:lang w:val="es-ES_tradnl"/>
        </w:rPr>
      </w:pPr>
      <w:r>
        <w:rPr>
          <w:noProof/>
        </w:rPr>
        <w:drawing>
          <wp:inline distT="0" distB="0" distL="0" distR="0" wp14:anchorId="46F7994F" wp14:editId="23C13CC6">
            <wp:extent cx="4655398" cy="305386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677398" cy="3068294"/>
                    </a:xfrm>
                    <a:prstGeom prst="rect">
                      <a:avLst/>
                    </a:prstGeom>
                  </pic:spPr>
                </pic:pic>
              </a:graphicData>
            </a:graphic>
          </wp:inline>
        </w:drawing>
      </w:r>
    </w:p>
    <w:p w14:paraId="128470F4" w14:textId="77777777" w:rsidR="001777FB" w:rsidRDefault="001777FB" w:rsidP="001777FB">
      <w:pPr>
        <w:autoSpaceDE w:val="0"/>
        <w:autoSpaceDN w:val="0"/>
        <w:adjustRightInd w:val="0"/>
        <w:spacing w:after="0" w:line="240" w:lineRule="auto"/>
        <w:rPr>
          <w:rFonts w:ascii="TimesNewRomanPSMT" w:hAnsi="TimesNewRomanPSMT" w:cs="TimesNewRomanPSMT"/>
          <w:lang w:val="es-ES_tradnl"/>
        </w:rPr>
      </w:pPr>
    </w:p>
    <w:p w14:paraId="7DEE0186" w14:textId="77777777" w:rsidR="001777FB" w:rsidRPr="001777FB" w:rsidRDefault="001777FB" w:rsidP="00E43C39">
      <w:pPr>
        <w:autoSpaceDE w:val="0"/>
        <w:autoSpaceDN w:val="0"/>
        <w:adjustRightInd w:val="0"/>
        <w:spacing w:after="0" w:line="240" w:lineRule="auto"/>
        <w:jc w:val="both"/>
        <w:rPr>
          <w:rFonts w:ascii="TimesNewRomanPSMT" w:hAnsi="TimesNewRomanPSMT" w:cs="TimesNewRomanPSMT"/>
          <w:lang w:val="es-ES_tradnl"/>
        </w:rPr>
      </w:pPr>
      <w:r w:rsidRPr="001777FB">
        <w:rPr>
          <w:rFonts w:ascii="TimesNewRomanPSMT" w:hAnsi="TimesNewRomanPSMT" w:cs="TimesNewRomanPSMT"/>
          <w:lang w:val="es-ES_tradnl"/>
        </w:rPr>
        <w:t>La violencia por parte del esposo o compañero fue mayor entre las mujeres divorciadas, separadas o</w:t>
      </w:r>
    </w:p>
    <w:p w14:paraId="2EBD7D6C" w14:textId="77777777" w:rsidR="001777FB" w:rsidRPr="001777FB" w:rsidRDefault="001777FB" w:rsidP="00E43C39">
      <w:pPr>
        <w:autoSpaceDE w:val="0"/>
        <w:autoSpaceDN w:val="0"/>
        <w:adjustRightInd w:val="0"/>
        <w:spacing w:after="0" w:line="240" w:lineRule="auto"/>
        <w:jc w:val="both"/>
        <w:rPr>
          <w:rFonts w:ascii="TimesNewRomanPSMT" w:hAnsi="TimesNewRomanPSMT" w:cs="TimesNewRomanPSMT"/>
          <w:lang w:val="es-ES_tradnl"/>
        </w:rPr>
      </w:pPr>
      <w:r w:rsidRPr="001777FB">
        <w:rPr>
          <w:rFonts w:ascii="TimesNewRomanPSMT" w:hAnsi="TimesNewRomanPSMT" w:cs="TimesNewRomanPSMT"/>
          <w:lang w:val="es-ES_tradnl"/>
        </w:rPr>
        <w:t>viudas (87,5%); asimismo, en aquellas mujeres con educación primaria (71,4%), residentes en la Sierra</w:t>
      </w:r>
    </w:p>
    <w:p w14:paraId="368168EF" w14:textId="77777777" w:rsidR="001777FB" w:rsidRPr="001777FB" w:rsidRDefault="001777FB" w:rsidP="00E43C39">
      <w:pPr>
        <w:autoSpaceDE w:val="0"/>
        <w:autoSpaceDN w:val="0"/>
        <w:adjustRightInd w:val="0"/>
        <w:spacing w:after="0" w:line="240" w:lineRule="auto"/>
        <w:jc w:val="both"/>
        <w:rPr>
          <w:rFonts w:ascii="TimesNewRomanPSMT" w:hAnsi="TimesNewRomanPSMT" w:cs="TimesNewRomanPSMT"/>
          <w:lang w:val="es-ES_tradnl"/>
        </w:rPr>
      </w:pPr>
      <w:r w:rsidRPr="001777FB">
        <w:rPr>
          <w:rFonts w:ascii="TimesNewRomanPSMT" w:hAnsi="TimesNewRomanPSMT" w:cs="TimesNewRomanPSMT"/>
          <w:lang w:val="es-ES_tradnl"/>
        </w:rPr>
        <w:t>(70,3%) y las que viven en hogares correspondientes al segundo quintil y quintil intermedio de riqueza</w:t>
      </w:r>
    </w:p>
    <w:p w14:paraId="1DA3645B" w14:textId="77777777" w:rsidR="001777FB" w:rsidRPr="00A019BB" w:rsidRDefault="001777FB" w:rsidP="00E43C39">
      <w:pPr>
        <w:autoSpaceDE w:val="0"/>
        <w:autoSpaceDN w:val="0"/>
        <w:adjustRightInd w:val="0"/>
        <w:spacing w:after="0" w:line="240" w:lineRule="auto"/>
        <w:jc w:val="both"/>
        <w:rPr>
          <w:rFonts w:ascii="TimesNewRomanPSMT" w:hAnsi="TimesNewRomanPSMT" w:cs="TimesNewRomanPSMT"/>
          <w:lang w:val="es-ES_tradnl"/>
        </w:rPr>
      </w:pPr>
      <w:r w:rsidRPr="00A019BB">
        <w:rPr>
          <w:rFonts w:ascii="TimesNewRomanPSMT" w:hAnsi="TimesNewRomanPSMT" w:cs="TimesNewRomanPSMT"/>
          <w:lang w:val="es-ES_tradnl"/>
        </w:rPr>
        <w:t>(71,5% y 70,9%, respectivamente).</w:t>
      </w:r>
    </w:p>
    <w:p w14:paraId="204DAE22" w14:textId="77777777" w:rsidR="001777FB" w:rsidRPr="00A019BB" w:rsidRDefault="001777FB" w:rsidP="001777FB">
      <w:pPr>
        <w:autoSpaceDE w:val="0"/>
        <w:autoSpaceDN w:val="0"/>
        <w:adjustRightInd w:val="0"/>
        <w:spacing w:after="0" w:line="240" w:lineRule="auto"/>
        <w:rPr>
          <w:rFonts w:ascii="TimesNewRomanPSMT" w:hAnsi="TimesNewRomanPSMT" w:cs="TimesNewRomanPSMT"/>
          <w:lang w:val="es-ES_tradnl"/>
        </w:rPr>
      </w:pPr>
    </w:p>
    <w:p w14:paraId="5F1E153B" w14:textId="77777777" w:rsidR="007060C9" w:rsidRPr="007060C9" w:rsidRDefault="007060C9" w:rsidP="00E43C39">
      <w:pPr>
        <w:autoSpaceDE w:val="0"/>
        <w:autoSpaceDN w:val="0"/>
        <w:adjustRightInd w:val="0"/>
        <w:spacing w:after="0" w:line="240" w:lineRule="auto"/>
        <w:jc w:val="both"/>
        <w:rPr>
          <w:rFonts w:ascii="TimesNewRomanPSMT" w:hAnsi="TimesNewRomanPSMT" w:cs="TimesNewRomanPSMT"/>
          <w:lang w:val="es-ES_tradnl"/>
        </w:rPr>
      </w:pPr>
      <w:r w:rsidRPr="007060C9">
        <w:rPr>
          <w:rFonts w:ascii="TimesNewRomanPSMT" w:hAnsi="TimesNewRomanPSMT" w:cs="TimesNewRomanPSMT"/>
          <w:lang w:val="es-ES_tradnl"/>
        </w:rPr>
        <w:t>A nivel nacional, las mujeres víctimas de violencia psicológica y/o verbal declararon haber sufrido alguna</w:t>
      </w:r>
    </w:p>
    <w:p w14:paraId="20217232" w14:textId="77777777" w:rsidR="007060C9" w:rsidRPr="007060C9" w:rsidRDefault="007060C9" w:rsidP="00E43C39">
      <w:pPr>
        <w:autoSpaceDE w:val="0"/>
        <w:autoSpaceDN w:val="0"/>
        <w:adjustRightInd w:val="0"/>
        <w:spacing w:after="0" w:line="240" w:lineRule="auto"/>
        <w:jc w:val="both"/>
        <w:rPr>
          <w:rFonts w:ascii="TimesNewRomanPSMT" w:hAnsi="TimesNewRomanPSMT" w:cs="TimesNewRomanPSMT"/>
          <w:lang w:val="es-ES_tradnl"/>
        </w:rPr>
      </w:pPr>
      <w:r w:rsidRPr="007060C9">
        <w:rPr>
          <w:rFonts w:ascii="TimesNewRomanPSMT" w:hAnsi="TimesNewRomanPSMT" w:cs="TimesNewRomanPSMT"/>
          <w:lang w:val="es-ES_tradnl"/>
        </w:rPr>
        <w:t>situación de control (60,5%) por parte de su esposo o compañero, las más frecuentes fueron la insistencia</w:t>
      </w:r>
    </w:p>
    <w:p w14:paraId="3E26A202" w14:textId="77777777" w:rsidR="001777FB" w:rsidRDefault="007060C9" w:rsidP="00E43C39">
      <w:pPr>
        <w:autoSpaceDE w:val="0"/>
        <w:autoSpaceDN w:val="0"/>
        <w:adjustRightInd w:val="0"/>
        <w:spacing w:after="0" w:line="240" w:lineRule="auto"/>
        <w:jc w:val="both"/>
        <w:rPr>
          <w:rFonts w:ascii="TimesNewRomanPSMT" w:hAnsi="TimesNewRomanPSMT" w:cs="TimesNewRomanPSMT"/>
          <w:lang w:val="es-ES_tradnl"/>
        </w:rPr>
      </w:pPr>
      <w:r w:rsidRPr="007060C9">
        <w:rPr>
          <w:rFonts w:ascii="TimesNewRomanPSMT" w:hAnsi="TimesNewRomanPSMT" w:cs="TimesNewRomanPSMT"/>
          <w:lang w:val="es-ES_tradnl"/>
        </w:rPr>
        <w:t>en saber a dónde va (43,5%) y la manifestación de celos (39,2%).</w:t>
      </w:r>
    </w:p>
    <w:p w14:paraId="6B220941" w14:textId="77777777" w:rsidR="007060C9" w:rsidRDefault="007060C9" w:rsidP="00E43C39">
      <w:pPr>
        <w:autoSpaceDE w:val="0"/>
        <w:autoSpaceDN w:val="0"/>
        <w:adjustRightInd w:val="0"/>
        <w:spacing w:after="0" w:line="240" w:lineRule="auto"/>
        <w:jc w:val="both"/>
        <w:rPr>
          <w:rFonts w:ascii="TimesNewRomanPSMT" w:hAnsi="TimesNewRomanPSMT" w:cs="TimesNewRomanPSMT"/>
          <w:lang w:val="es-ES_tradnl"/>
        </w:rPr>
      </w:pPr>
    </w:p>
    <w:p w14:paraId="13C9FD59" w14:textId="77777777" w:rsidR="007060C9" w:rsidRPr="007060C9" w:rsidRDefault="007060C9" w:rsidP="00E43C39">
      <w:pPr>
        <w:autoSpaceDE w:val="0"/>
        <w:autoSpaceDN w:val="0"/>
        <w:adjustRightInd w:val="0"/>
        <w:spacing w:after="0" w:line="240" w:lineRule="auto"/>
        <w:jc w:val="both"/>
        <w:rPr>
          <w:rFonts w:ascii="TimesNewRomanPSMT" w:hAnsi="TimesNewRomanPSMT" w:cs="TimesNewRomanPSMT"/>
          <w:lang w:val="es-ES_tradnl"/>
        </w:rPr>
      </w:pPr>
      <w:r w:rsidRPr="007060C9">
        <w:rPr>
          <w:rFonts w:ascii="TimesNewRomanPSMT" w:hAnsi="TimesNewRomanPSMT" w:cs="TimesNewRomanPSMT"/>
          <w:lang w:val="es-ES_tradnl"/>
        </w:rPr>
        <w:t>El mayor porcentaje de violencia psicológica y/o verbal ocurrió en las mujeres de 45 a 49 años de edad</w:t>
      </w:r>
    </w:p>
    <w:p w14:paraId="47090730" w14:textId="0A2DB3C6" w:rsidR="007060C9" w:rsidRDefault="007060C9" w:rsidP="00E43C39">
      <w:pPr>
        <w:autoSpaceDE w:val="0"/>
        <w:autoSpaceDN w:val="0"/>
        <w:adjustRightInd w:val="0"/>
        <w:spacing w:after="0" w:line="240" w:lineRule="auto"/>
        <w:jc w:val="both"/>
        <w:rPr>
          <w:rFonts w:ascii="TimesNewRomanPSMT" w:hAnsi="TimesNewRomanPSMT" w:cs="TimesNewRomanPSMT"/>
          <w:lang w:val="es-ES_tradnl"/>
        </w:rPr>
      </w:pPr>
      <w:r w:rsidRPr="007060C9">
        <w:rPr>
          <w:rFonts w:ascii="TimesNewRomanPSMT" w:hAnsi="TimesNewRomanPSMT" w:cs="TimesNewRomanPSMT"/>
          <w:lang w:val="es-ES_tradnl"/>
        </w:rPr>
        <w:t>(66,6%), en divorciadas, separadas o viudas (85,3%), con educación primaria (67,8%), residentes en la regió</w:t>
      </w:r>
      <w:r>
        <w:rPr>
          <w:rFonts w:ascii="TimesNewRomanPSMT" w:hAnsi="TimesNewRomanPSMT" w:cs="TimesNewRomanPSMT"/>
          <w:lang w:val="es-ES_tradnl"/>
        </w:rPr>
        <w:t xml:space="preserve">n Sierra (66,2%).  De igual forma, </w:t>
      </w:r>
      <w:r w:rsidR="00E43C39">
        <w:rPr>
          <w:rFonts w:ascii="TimesNewRomanPSMT" w:hAnsi="TimesNewRomanPSMT" w:cs="TimesNewRomanPSMT"/>
          <w:lang w:val="es-ES_tradnl"/>
        </w:rPr>
        <w:t>l</w:t>
      </w:r>
      <w:r w:rsidRPr="007060C9">
        <w:rPr>
          <w:rFonts w:ascii="TimesNewRomanPSMT" w:hAnsi="TimesNewRomanPSMT" w:cs="TimesNewRomanPSMT"/>
          <w:lang w:val="es-ES_tradnl"/>
        </w:rPr>
        <w:t xml:space="preserve">as mujeres alguna vez unidas (casadas, convivientes, divorciadas, </w:t>
      </w:r>
      <w:r>
        <w:rPr>
          <w:rFonts w:ascii="TimesNewRomanPSMT" w:hAnsi="TimesNewRomanPSMT" w:cs="TimesNewRomanPSMT"/>
          <w:lang w:val="es-ES_tradnl"/>
        </w:rPr>
        <w:t xml:space="preserve">separadas o viudas), declararon </w:t>
      </w:r>
      <w:r w:rsidRPr="007060C9">
        <w:rPr>
          <w:rFonts w:ascii="TimesNewRomanPSMT" w:hAnsi="TimesNewRomanPSMT" w:cs="TimesNewRomanPSMT"/>
          <w:lang w:val="es-ES_tradnl"/>
        </w:rPr>
        <w:t>que su actual o última pareja (esposo o compañero) había ejercido violencia fí</w:t>
      </w:r>
      <w:r>
        <w:rPr>
          <w:rFonts w:ascii="TimesNewRomanPSMT" w:hAnsi="TimesNewRomanPSMT" w:cs="TimesNewRomanPSMT"/>
          <w:lang w:val="es-ES_tradnl"/>
        </w:rPr>
        <w:t xml:space="preserve">sica y/o sexual contra ellas </w:t>
      </w:r>
      <w:r w:rsidRPr="007060C9">
        <w:rPr>
          <w:rFonts w:ascii="TimesNewRomanPSMT" w:hAnsi="TimesNewRomanPSMT" w:cs="TimesNewRomanPSMT"/>
          <w:lang w:val="es-ES_tradnl"/>
        </w:rPr>
        <w:t xml:space="preserve">(32,2%); el mayor porcentaje ocurrió en mujeres de 45 a 49 años de edad </w:t>
      </w:r>
      <w:r>
        <w:rPr>
          <w:rFonts w:ascii="TimesNewRomanPSMT" w:hAnsi="TimesNewRomanPSMT" w:cs="TimesNewRomanPSMT"/>
          <w:lang w:val="es-ES_tradnl"/>
        </w:rPr>
        <w:t xml:space="preserve">(39,3%), divorciadas, separadas </w:t>
      </w:r>
      <w:r w:rsidRPr="007060C9">
        <w:rPr>
          <w:rFonts w:ascii="TimesNewRomanPSMT" w:hAnsi="TimesNewRomanPSMT" w:cs="TimesNewRomanPSMT"/>
          <w:lang w:val="es-ES_tradnl"/>
        </w:rPr>
        <w:t>o viudas (54,5%), residentes en el área urbana (33,1%), en la Sierra (35,4%),</w:t>
      </w:r>
      <w:r>
        <w:rPr>
          <w:rFonts w:ascii="TimesNewRomanPSMT" w:hAnsi="TimesNewRomanPSMT" w:cs="TimesNewRomanPSMT"/>
          <w:lang w:val="es-ES_tradnl"/>
        </w:rPr>
        <w:t xml:space="preserve"> y las que viven en los hogares </w:t>
      </w:r>
      <w:r w:rsidRPr="007060C9">
        <w:rPr>
          <w:rFonts w:ascii="TimesNewRomanPSMT" w:hAnsi="TimesNewRomanPSMT" w:cs="TimesNewRomanPSMT"/>
          <w:lang w:val="es-ES_tradnl"/>
        </w:rPr>
        <w:t>pertenecientes al segundo quintil y al quintil intermedio de riqueza (36,0% y 35,6% respectivamente).</w:t>
      </w:r>
    </w:p>
    <w:p w14:paraId="40659DB2" w14:textId="77777777" w:rsidR="007060C9" w:rsidRDefault="007060C9" w:rsidP="00E43C39">
      <w:pPr>
        <w:autoSpaceDE w:val="0"/>
        <w:autoSpaceDN w:val="0"/>
        <w:adjustRightInd w:val="0"/>
        <w:spacing w:after="0" w:line="240" w:lineRule="auto"/>
        <w:jc w:val="both"/>
        <w:rPr>
          <w:rFonts w:ascii="TimesNewRomanPSMT" w:hAnsi="TimesNewRomanPSMT" w:cs="TimesNewRomanPSMT"/>
          <w:lang w:val="es-ES_tradnl"/>
        </w:rPr>
      </w:pPr>
    </w:p>
    <w:p w14:paraId="155F86AA" w14:textId="77777777" w:rsidR="007060C9" w:rsidRPr="007060C9" w:rsidRDefault="007060C9" w:rsidP="00E43C39">
      <w:pPr>
        <w:autoSpaceDE w:val="0"/>
        <w:autoSpaceDN w:val="0"/>
        <w:adjustRightInd w:val="0"/>
        <w:spacing w:after="0" w:line="240" w:lineRule="auto"/>
        <w:jc w:val="both"/>
        <w:rPr>
          <w:rFonts w:ascii="TimesNewRomanPSMT" w:hAnsi="TimesNewRomanPSMT" w:cs="TimesNewRomanPSMT"/>
          <w:lang w:val="es-ES_tradnl"/>
        </w:rPr>
      </w:pPr>
      <w:r w:rsidRPr="007060C9">
        <w:rPr>
          <w:rFonts w:ascii="TimesNewRomanPSMT" w:hAnsi="TimesNewRomanPSMT" w:cs="TimesNewRomanPSMT"/>
          <w:lang w:val="es-ES_tradnl"/>
        </w:rPr>
        <w:lastRenderedPageBreak/>
        <w:t>En el país, el 10,8% de las mujeres alguna vez unidas, declararon que fueron víctimas de violencia</w:t>
      </w:r>
    </w:p>
    <w:p w14:paraId="0CBDE8CD" w14:textId="77777777" w:rsidR="007060C9" w:rsidRPr="007060C9" w:rsidRDefault="007060C9" w:rsidP="00E43C39">
      <w:pPr>
        <w:autoSpaceDE w:val="0"/>
        <w:autoSpaceDN w:val="0"/>
        <w:adjustRightInd w:val="0"/>
        <w:spacing w:after="0" w:line="240" w:lineRule="auto"/>
        <w:jc w:val="both"/>
        <w:rPr>
          <w:rFonts w:ascii="TimesNewRomanPSMT" w:hAnsi="TimesNewRomanPSMT" w:cs="TimesNewRomanPSMT"/>
          <w:lang w:val="es-ES_tradnl"/>
        </w:rPr>
      </w:pPr>
      <w:r w:rsidRPr="007060C9">
        <w:rPr>
          <w:rFonts w:ascii="TimesNewRomanPSMT" w:hAnsi="TimesNewRomanPSMT" w:cs="TimesNewRomanPSMT"/>
          <w:lang w:val="es-ES_tradnl"/>
        </w:rPr>
        <w:t>física y/o sexual por parte de su actual o último esposo o compañero en los últimos 12 meses anteriores a</w:t>
      </w:r>
    </w:p>
    <w:p w14:paraId="6C98A70F" w14:textId="77777777" w:rsidR="007060C9" w:rsidRPr="007060C9" w:rsidRDefault="007060C9" w:rsidP="00E43C39">
      <w:pPr>
        <w:autoSpaceDE w:val="0"/>
        <w:autoSpaceDN w:val="0"/>
        <w:adjustRightInd w:val="0"/>
        <w:spacing w:after="0" w:line="240" w:lineRule="auto"/>
        <w:jc w:val="both"/>
        <w:rPr>
          <w:rFonts w:ascii="TimesNewRomanPSMT" w:hAnsi="TimesNewRomanPSMT" w:cs="TimesNewRomanPSMT"/>
          <w:lang w:val="es-ES_tradnl"/>
        </w:rPr>
      </w:pPr>
      <w:r w:rsidRPr="007060C9">
        <w:rPr>
          <w:rFonts w:ascii="TimesNewRomanPSMT" w:hAnsi="TimesNewRomanPSMT" w:cs="TimesNewRomanPSMT"/>
          <w:lang w:val="es-ES_tradnl"/>
        </w:rPr>
        <w:t>la entrevista. El mayor porcentaje se presentó en las mujeres de 15 a 19 años de edad (17,6%), en las que</w:t>
      </w:r>
    </w:p>
    <w:p w14:paraId="374DD932" w14:textId="77777777" w:rsidR="007060C9" w:rsidRDefault="007060C9" w:rsidP="00E43C39">
      <w:pPr>
        <w:autoSpaceDE w:val="0"/>
        <w:autoSpaceDN w:val="0"/>
        <w:adjustRightInd w:val="0"/>
        <w:spacing w:after="0" w:line="240" w:lineRule="auto"/>
        <w:jc w:val="both"/>
        <w:rPr>
          <w:rFonts w:ascii="TimesNewRomanPSMT" w:hAnsi="TimesNewRomanPSMT" w:cs="TimesNewRomanPSMT"/>
          <w:lang w:val="es-ES_tradnl"/>
        </w:rPr>
      </w:pPr>
      <w:r w:rsidRPr="007060C9">
        <w:rPr>
          <w:rFonts w:ascii="TimesNewRomanPSMT" w:hAnsi="TimesNewRomanPSMT" w:cs="TimesNewRomanPSMT"/>
          <w:lang w:val="es-ES_tradnl"/>
        </w:rPr>
        <w:t>tienen educación secundaria (12,3%), pertenecientes al segundo quintil de ri</w:t>
      </w:r>
      <w:r>
        <w:rPr>
          <w:rFonts w:ascii="TimesNewRomanPSMT" w:hAnsi="TimesNewRomanPSMT" w:cs="TimesNewRomanPSMT"/>
          <w:lang w:val="es-ES_tradnl"/>
        </w:rPr>
        <w:t xml:space="preserve">queza (13,3%), residentes en la Sierra (12,7%). </w:t>
      </w:r>
    </w:p>
    <w:p w14:paraId="4092189F" w14:textId="77777777" w:rsidR="005A172C" w:rsidRDefault="005A172C" w:rsidP="00E43C39">
      <w:pPr>
        <w:autoSpaceDE w:val="0"/>
        <w:autoSpaceDN w:val="0"/>
        <w:adjustRightInd w:val="0"/>
        <w:spacing w:after="0" w:line="240" w:lineRule="auto"/>
        <w:jc w:val="both"/>
        <w:rPr>
          <w:rFonts w:ascii="TimesNewRomanPSMT" w:hAnsi="TimesNewRomanPSMT" w:cs="TimesNewRomanPSMT"/>
          <w:lang w:val="es-ES_tradnl"/>
        </w:rPr>
      </w:pPr>
    </w:p>
    <w:p w14:paraId="6EEEAD77" w14:textId="7F771F9D" w:rsidR="007B1132" w:rsidRPr="007B1132" w:rsidRDefault="002A30FC" w:rsidP="002A30FC">
      <w:pPr>
        <w:autoSpaceDE w:val="0"/>
        <w:autoSpaceDN w:val="0"/>
        <w:adjustRightInd w:val="0"/>
        <w:spacing w:after="0" w:line="240" w:lineRule="auto"/>
        <w:jc w:val="both"/>
        <w:rPr>
          <w:rFonts w:ascii="TimesNewRomanPSMT" w:hAnsi="TimesNewRomanPSMT" w:cs="TimesNewRomanPSMT"/>
          <w:lang w:val="es-ES_tradnl"/>
        </w:rPr>
      </w:pPr>
      <w:r>
        <w:rPr>
          <w:rFonts w:ascii="TimesNewRomanPSMT" w:hAnsi="TimesNewRomanPSMT" w:cs="TimesNewRomanPSMT"/>
          <w:lang w:val="es-ES_tradnl"/>
        </w:rPr>
        <w:t>La violencia de género basa sus raíces en razones de carácter cultural y social, que son consecuencia del rol particular que han desempeñado las mujeres a lo largo de la historia. Esto se ve reflejado en la relación de desigualdad entre hombres y mujeres manifestada en la tolerancia que existe por ambos sexos a la violencia contra la mujer. En el Perú, e</w:t>
      </w:r>
      <w:r w:rsidR="007B1132" w:rsidRPr="007B1132">
        <w:rPr>
          <w:rFonts w:ascii="TimesNewRomanPSMT" w:hAnsi="TimesNewRomanPSMT" w:cs="TimesNewRomanPSMT"/>
          <w:lang w:val="es-ES_tradnl"/>
        </w:rPr>
        <w:t>l 5.3% de las mujeres alguna vez casadas o unidas, considera ace</w:t>
      </w:r>
      <w:r>
        <w:rPr>
          <w:rFonts w:ascii="TimesNewRomanPSMT" w:hAnsi="TimesNewRomanPSMT" w:cs="TimesNewRomanPSMT"/>
          <w:lang w:val="es-ES_tradnl"/>
        </w:rPr>
        <w:t xml:space="preserve">ptable pegar a la esposa por al </w:t>
      </w:r>
      <w:r w:rsidR="007B1132" w:rsidRPr="007B1132">
        <w:rPr>
          <w:rFonts w:ascii="TimesNewRomanPSMT" w:hAnsi="TimesNewRomanPSMT" w:cs="TimesNewRomanPSMT"/>
          <w:lang w:val="es-ES_tradnl"/>
        </w:rPr>
        <w:t>menos una razón. La circunstancia más común por la cual las mujeres decían que pegar a la esposa era</w:t>
      </w:r>
      <w:r>
        <w:rPr>
          <w:rFonts w:ascii="TimesNewRomanPSMT" w:hAnsi="TimesNewRomanPSMT" w:cs="TimesNewRomanPSMT"/>
          <w:lang w:val="es-ES_tradnl"/>
        </w:rPr>
        <w:t xml:space="preserve"> </w:t>
      </w:r>
      <w:r w:rsidR="007B1132" w:rsidRPr="007B1132">
        <w:rPr>
          <w:rFonts w:ascii="TimesNewRomanPSMT" w:hAnsi="TimesNewRomanPSMT" w:cs="TimesNewRomanPSMT"/>
          <w:lang w:val="es-ES_tradnl"/>
        </w:rPr>
        <w:t xml:space="preserve">aceptable es por descuidar a los niños o a la casa (3.5%), seguido por salir sin su permiso (1.8%), quema la comida (1.4%), discute o discrepa con el esposo (1.3%), y por último, se niega a tener relaciones sexuales (1.1%). </w:t>
      </w:r>
      <w:r w:rsidR="007B1132">
        <w:rPr>
          <w:rStyle w:val="FootnoteReference"/>
          <w:rFonts w:ascii="TimesNewRomanPSMT" w:hAnsi="TimesNewRomanPSMT" w:cs="TimesNewRomanPSMT"/>
          <w:lang w:val="es-ES_tradnl"/>
        </w:rPr>
        <w:footnoteReference w:id="9"/>
      </w:r>
    </w:p>
    <w:p w14:paraId="55819F25" w14:textId="77777777" w:rsidR="007B1132" w:rsidRDefault="007B1132" w:rsidP="007060C9">
      <w:pPr>
        <w:autoSpaceDE w:val="0"/>
        <w:autoSpaceDN w:val="0"/>
        <w:adjustRightInd w:val="0"/>
        <w:spacing w:after="0" w:line="240" w:lineRule="auto"/>
        <w:rPr>
          <w:rFonts w:ascii="TimesNewRomanPSMT" w:hAnsi="TimesNewRomanPSMT" w:cs="TimesNewRomanPSMT"/>
          <w:lang w:val="es-ES_tradnl"/>
        </w:rPr>
      </w:pPr>
    </w:p>
    <w:p w14:paraId="68C34474" w14:textId="785FF852" w:rsidR="007060C9" w:rsidRDefault="002A30FC" w:rsidP="007060C9">
      <w:pPr>
        <w:autoSpaceDE w:val="0"/>
        <w:autoSpaceDN w:val="0"/>
        <w:adjustRightInd w:val="0"/>
        <w:spacing w:after="0" w:line="240" w:lineRule="auto"/>
        <w:rPr>
          <w:rFonts w:ascii="TimesNewRomanPSMT" w:hAnsi="TimesNewRomanPSMT" w:cs="TimesNewRomanPSMT"/>
          <w:lang w:val="es-ES_tradnl"/>
        </w:rPr>
      </w:pPr>
      <w:r>
        <w:rPr>
          <w:rFonts w:ascii="TimesNewRomanPSMT" w:hAnsi="TimesNewRomanPSMT" w:cs="TimesNewRomanPSMT"/>
          <w:lang w:val="es-ES_tradnl"/>
        </w:rPr>
        <w:t xml:space="preserve">2.2 </w:t>
      </w:r>
      <w:r w:rsidR="007060C9">
        <w:rPr>
          <w:rFonts w:ascii="TimesNewRomanPSMT" w:hAnsi="TimesNewRomanPSMT" w:cs="TimesNewRomanPSMT"/>
          <w:lang w:val="es-ES_tradnl"/>
        </w:rPr>
        <w:t xml:space="preserve">Denuncias del maltrato. </w:t>
      </w:r>
    </w:p>
    <w:p w14:paraId="2625F334" w14:textId="77777777" w:rsidR="007060C9" w:rsidRDefault="007060C9" w:rsidP="007060C9">
      <w:pPr>
        <w:autoSpaceDE w:val="0"/>
        <w:autoSpaceDN w:val="0"/>
        <w:adjustRightInd w:val="0"/>
        <w:spacing w:after="0" w:line="240" w:lineRule="auto"/>
        <w:rPr>
          <w:rFonts w:ascii="TimesNewRomanPSMT" w:hAnsi="TimesNewRomanPSMT" w:cs="TimesNewRomanPSMT"/>
          <w:lang w:val="es-ES_tradnl"/>
        </w:rPr>
      </w:pPr>
    </w:p>
    <w:p w14:paraId="18EFDC4C" w14:textId="5FF5F784" w:rsidR="005A172C" w:rsidRDefault="005A172C" w:rsidP="002A30FC">
      <w:pPr>
        <w:autoSpaceDE w:val="0"/>
        <w:autoSpaceDN w:val="0"/>
        <w:adjustRightInd w:val="0"/>
        <w:spacing w:after="0" w:line="240" w:lineRule="auto"/>
        <w:jc w:val="both"/>
        <w:rPr>
          <w:rFonts w:ascii="TimesNewRomanPSMT" w:hAnsi="TimesNewRomanPSMT" w:cs="TimesNewRomanPSMT"/>
          <w:lang w:val="es-ES_tradnl"/>
        </w:rPr>
      </w:pPr>
      <w:r>
        <w:rPr>
          <w:rFonts w:ascii="TimesNewRomanPSMT" w:hAnsi="TimesNewRomanPSMT" w:cs="TimesNewRomanPSMT"/>
          <w:lang w:val="es-ES_tradnl"/>
        </w:rPr>
        <w:t>En</w:t>
      </w:r>
      <w:r w:rsidR="007060C9" w:rsidRPr="007060C9">
        <w:rPr>
          <w:rFonts w:ascii="TimesNewRomanPSMT" w:hAnsi="TimesNewRomanPSMT" w:cs="TimesNewRomanPSMT"/>
          <w:lang w:val="es-ES_tradnl"/>
        </w:rPr>
        <w:t xml:space="preserve"> mayor porcentaje</w:t>
      </w:r>
      <w:r>
        <w:rPr>
          <w:rFonts w:ascii="TimesNewRomanPSMT" w:hAnsi="TimesNewRomanPSMT" w:cs="TimesNewRomanPSMT"/>
          <w:lang w:val="es-ES_tradnl"/>
        </w:rPr>
        <w:t xml:space="preserve">, las mujeres que experimentaron violencia </w:t>
      </w:r>
      <w:r w:rsidR="007B1132">
        <w:rPr>
          <w:rFonts w:ascii="TimesNewRomanPSMT" w:hAnsi="TimesNewRomanPSMT" w:cs="TimesNewRomanPSMT"/>
          <w:lang w:val="es-ES_tradnl"/>
        </w:rPr>
        <w:t>física</w:t>
      </w:r>
      <w:r w:rsidR="002A30FC">
        <w:rPr>
          <w:rFonts w:ascii="TimesNewRomanPSMT" w:hAnsi="TimesNewRomanPSMT" w:cs="TimesNewRomanPSMT"/>
          <w:lang w:val="es-ES_tradnl"/>
        </w:rPr>
        <w:t xml:space="preserve"> recurrieran só</w:t>
      </w:r>
      <w:r>
        <w:rPr>
          <w:rFonts w:ascii="TimesNewRomanPSMT" w:hAnsi="TimesNewRomanPSMT" w:cs="TimesNewRomanPSMT"/>
          <w:lang w:val="es-ES_tradnl"/>
        </w:rPr>
        <w:t>lo</w:t>
      </w:r>
      <w:r w:rsidR="007060C9" w:rsidRPr="007060C9">
        <w:rPr>
          <w:rFonts w:ascii="TimesNewRomanPSMT" w:hAnsi="TimesNewRomanPSMT" w:cs="TimesNewRomanPSMT"/>
          <w:lang w:val="es-ES_tradnl"/>
        </w:rPr>
        <w:t xml:space="preserve"> a personas cercanas (44,1%), </w:t>
      </w:r>
      <w:r w:rsidRPr="007060C9">
        <w:rPr>
          <w:rFonts w:ascii="TimesNewRomanPSMT" w:hAnsi="TimesNewRomanPSMT" w:cs="TimesNewRomanPSMT"/>
          <w:lang w:val="es-ES_tradnl"/>
        </w:rPr>
        <w:t>buscaron ayuda o soporte c</w:t>
      </w:r>
      <w:r>
        <w:rPr>
          <w:rFonts w:ascii="TimesNewRomanPSMT" w:hAnsi="TimesNewRomanPSMT" w:cs="TimesNewRomanPSMT"/>
          <w:lang w:val="es-ES_tradnl"/>
        </w:rPr>
        <w:t xml:space="preserve">on mayor frecuencia en la madre </w:t>
      </w:r>
      <w:r w:rsidRPr="007060C9">
        <w:rPr>
          <w:rFonts w:ascii="TimesNewRomanPSMT" w:hAnsi="TimesNewRomanPSMT" w:cs="TimesNewRomanPSMT"/>
          <w:lang w:val="es-ES_tradnl"/>
        </w:rPr>
        <w:t>(35,7%); siguen amiga(o)/vecina(o) (19,2%), hermana (18,0%), entre otras personas</w:t>
      </w:r>
      <w:r>
        <w:rPr>
          <w:rFonts w:ascii="TimesNewRomanPSMT" w:hAnsi="TimesNewRomanPSMT" w:cs="TimesNewRomanPSMT"/>
          <w:lang w:val="es-ES_tradnl"/>
        </w:rPr>
        <w:t xml:space="preserve">. </w:t>
      </w:r>
    </w:p>
    <w:p w14:paraId="44E3113F" w14:textId="77777777" w:rsidR="005A172C" w:rsidRDefault="005A172C" w:rsidP="007060C9">
      <w:pPr>
        <w:autoSpaceDE w:val="0"/>
        <w:autoSpaceDN w:val="0"/>
        <w:adjustRightInd w:val="0"/>
        <w:spacing w:after="0" w:line="240" w:lineRule="auto"/>
        <w:rPr>
          <w:rFonts w:ascii="TimesNewRomanPSMT" w:hAnsi="TimesNewRomanPSMT" w:cs="TimesNewRomanPSMT"/>
          <w:lang w:val="es-ES_tradnl"/>
        </w:rPr>
      </w:pPr>
    </w:p>
    <w:p w14:paraId="56197C38" w14:textId="1C499FE9" w:rsidR="007060C9" w:rsidRDefault="005A172C" w:rsidP="002A30FC">
      <w:pPr>
        <w:autoSpaceDE w:val="0"/>
        <w:autoSpaceDN w:val="0"/>
        <w:adjustRightInd w:val="0"/>
        <w:spacing w:after="0" w:line="240" w:lineRule="auto"/>
        <w:jc w:val="both"/>
        <w:rPr>
          <w:rFonts w:ascii="TimesNewRomanPSMT" w:hAnsi="TimesNewRomanPSMT" w:cs="TimesNewRomanPSMT"/>
          <w:lang w:val="es-ES_tradnl"/>
        </w:rPr>
      </w:pPr>
      <w:r>
        <w:rPr>
          <w:rFonts w:ascii="TimesNewRomanPSMT" w:hAnsi="TimesNewRomanPSMT" w:cs="TimesNewRomanPSMT"/>
          <w:lang w:val="es-ES_tradnl"/>
        </w:rPr>
        <w:t xml:space="preserve">Sin embargo, menos de la tercera parte (27,2%) de mujeres víctimas de violencia física </w:t>
      </w:r>
      <w:r w:rsidR="007060C9" w:rsidRPr="007060C9">
        <w:rPr>
          <w:rFonts w:ascii="TimesNewRomanPSMT" w:hAnsi="TimesNewRomanPSMT" w:cs="TimesNewRomanPSMT"/>
          <w:lang w:val="es-ES_tradnl"/>
        </w:rPr>
        <w:t>buscó</w:t>
      </w:r>
      <w:r>
        <w:rPr>
          <w:rFonts w:ascii="TimesNewRomanPSMT" w:hAnsi="TimesNewRomanPSMT" w:cs="TimesNewRomanPSMT"/>
          <w:lang w:val="es-ES_tradnl"/>
        </w:rPr>
        <w:t xml:space="preserve"> ayuda </w:t>
      </w:r>
      <w:r w:rsidR="007060C9" w:rsidRPr="007060C9">
        <w:rPr>
          <w:rFonts w:ascii="TimesNewRomanPSMT" w:hAnsi="TimesNewRomanPSMT" w:cs="TimesNewRomanPSMT"/>
          <w:lang w:val="es-ES_tradnl"/>
        </w:rPr>
        <w:t>en alguna institución.</w:t>
      </w:r>
      <w:r>
        <w:rPr>
          <w:rFonts w:ascii="TimesNewRomanPSMT" w:hAnsi="TimesNewRomanPSMT" w:cs="TimesNewRomanPSMT"/>
          <w:lang w:val="es-ES_tradnl"/>
        </w:rPr>
        <w:t xml:space="preserve"> </w:t>
      </w:r>
      <w:r w:rsidR="007060C9" w:rsidRPr="007060C9">
        <w:rPr>
          <w:rFonts w:ascii="TimesNewRomanPSMT" w:hAnsi="TimesNewRomanPSMT" w:cs="TimesNewRomanPSMT"/>
          <w:lang w:val="es-ES_tradnl"/>
        </w:rPr>
        <w:t xml:space="preserve"> </w:t>
      </w:r>
      <w:r w:rsidR="002A30FC">
        <w:rPr>
          <w:rFonts w:ascii="TimesNewRomanPSMT" w:hAnsi="TimesNewRomanPSMT" w:cs="TimesNewRomanPSMT"/>
          <w:lang w:val="es-ES_tradnl"/>
        </w:rPr>
        <w:t xml:space="preserve">De aquellas que acudieron a una institución, </w:t>
      </w:r>
      <w:r w:rsidR="007060C9" w:rsidRPr="007060C9">
        <w:rPr>
          <w:rFonts w:ascii="TimesNewRomanPSMT" w:hAnsi="TimesNewRomanPSMT" w:cs="TimesNewRomanPSMT"/>
          <w:lang w:val="es-ES_tradnl"/>
        </w:rPr>
        <w:t>el 75,9%</w:t>
      </w:r>
      <w:r w:rsidR="002A30FC">
        <w:rPr>
          <w:rFonts w:ascii="TimesNewRomanPSMT" w:hAnsi="TimesNewRomanPSMT" w:cs="TimesNewRomanPSMT"/>
          <w:lang w:val="es-ES_tradnl"/>
        </w:rPr>
        <w:t xml:space="preserve"> de mujeres busco ayuda en una comisaria</w:t>
      </w:r>
      <w:r w:rsidR="007060C9" w:rsidRPr="007060C9">
        <w:rPr>
          <w:rFonts w:ascii="TimesNewRomanPSMT" w:hAnsi="TimesNewRomanPSMT" w:cs="TimesNewRomanPSMT"/>
          <w:lang w:val="es-ES_tradnl"/>
        </w:rPr>
        <w:t>, observá</w:t>
      </w:r>
      <w:r>
        <w:rPr>
          <w:rFonts w:ascii="TimesNewRomanPSMT" w:hAnsi="TimesNewRomanPSMT" w:cs="TimesNewRomanPSMT"/>
          <w:lang w:val="es-ES_tradnl"/>
        </w:rPr>
        <w:t xml:space="preserve">ndose una tendencia hacia el </w:t>
      </w:r>
      <w:r w:rsidR="007060C9" w:rsidRPr="007060C9">
        <w:rPr>
          <w:rFonts w:ascii="TimesNewRomanPSMT" w:hAnsi="TimesNewRomanPSMT" w:cs="TimesNewRomanPSMT"/>
          <w:lang w:val="es-ES_tradnl"/>
        </w:rPr>
        <w:t>incremento en el período 2012/2016 (0,5 puntos porcentuales). También recurrieron a la Defensorí</w:t>
      </w:r>
      <w:r>
        <w:rPr>
          <w:rFonts w:ascii="TimesNewRomanPSMT" w:hAnsi="TimesNewRomanPSMT" w:cs="TimesNewRomanPSMT"/>
          <w:lang w:val="es-ES_tradnl"/>
        </w:rPr>
        <w:t xml:space="preserve">a Municipal </w:t>
      </w:r>
      <w:r w:rsidR="007060C9" w:rsidRPr="007060C9">
        <w:rPr>
          <w:rFonts w:ascii="TimesNewRomanPSMT" w:hAnsi="TimesNewRomanPSMT" w:cs="TimesNewRomanPSMT"/>
          <w:lang w:val="es-ES_tradnl"/>
        </w:rPr>
        <w:t>- DEMUNA y la Fiscalía en menores porcentajes que el mencionado (10,9% y 9,8%, respectivamente).</w:t>
      </w:r>
    </w:p>
    <w:p w14:paraId="2ABF647C" w14:textId="77777777" w:rsidR="005A172C" w:rsidRDefault="005A172C" w:rsidP="007060C9">
      <w:pPr>
        <w:autoSpaceDE w:val="0"/>
        <w:autoSpaceDN w:val="0"/>
        <w:adjustRightInd w:val="0"/>
        <w:spacing w:after="0" w:line="240" w:lineRule="auto"/>
        <w:rPr>
          <w:rFonts w:ascii="TimesNewRomanPSMT" w:hAnsi="TimesNewRomanPSMT" w:cs="TimesNewRomanPSMT"/>
          <w:lang w:val="es-ES_tradnl"/>
        </w:rPr>
      </w:pPr>
    </w:p>
    <w:p w14:paraId="0B7EB15B" w14:textId="77777777" w:rsidR="007507BA" w:rsidRDefault="005A172C" w:rsidP="005A172C">
      <w:pPr>
        <w:autoSpaceDE w:val="0"/>
        <w:autoSpaceDN w:val="0"/>
        <w:adjustRightInd w:val="0"/>
        <w:spacing w:after="0" w:line="240" w:lineRule="auto"/>
        <w:rPr>
          <w:rFonts w:ascii="TimesNewRomanPSMT" w:hAnsi="TimesNewRomanPSMT" w:cs="TimesNewRomanPSMT"/>
          <w:lang w:val="es-ES_tradnl"/>
        </w:rPr>
      </w:pPr>
      <w:r>
        <w:rPr>
          <w:noProof/>
        </w:rPr>
        <w:lastRenderedPageBreak/>
        <w:drawing>
          <wp:inline distT="0" distB="0" distL="0" distR="0" wp14:anchorId="47453FF0" wp14:editId="46B2A305">
            <wp:extent cx="3563815" cy="457837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78422" cy="4597144"/>
                    </a:xfrm>
                    <a:prstGeom prst="rect">
                      <a:avLst/>
                    </a:prstGeom>
                  </pic:spPr>
                </pic:pic>
              </a:graphicData>
            </a:graphic>
          </wp:inline>
        </w:drawing>
      </w:r>
    </w:p>
    <w:p w14:paraId="0F434458" w14:textId="3FA1A344" w:rsidR="002A30FC" w:rsidRDefault="002A30FC" w:rsidP="005A172C">
      <w:pPr>
        <w:autoSpaceDE w:val="0"/>
        <w:autoSpaceDN w:val="0"/>
        <w:adjustRightInd w:val="0"/>
        <w:spacing w:after="0" w:line="240" w:lineRule="auto"/>
        <w:rPr>
          <w:rFonts w:ascii="TimesNewRomanPSMT" w:hAnsi="TimesNewRomanPSMT" w:cs="TimesNewRomanPSMT"/>
          <w:lang w:val="es-ES_tradnl"/>
        </w:rPr>
      </w:pPr>
    </w:p>
    <w:p w14:paraId="4472A6D7" w14:textId="77777777" w:rsidR="002A30FC" w:rsidRDefault="002A30FC" w:rsidP="005A172C">
      <w:pPr>
        <w:autoSpaceDE w:val="0"/>
        <w:autoSpaceDN w:val="0"/>
        <w:adjustRightInd w:val="0"/>
        <w:spacing w:after="0" w:line="240" w:lineRule="auto"/>
        <w:rPr>
          <w:rFonts w:ascii="TimesNewRomanPSMT" w:hAnsi="TimesNewRomanPSMT" w:cs="TimesNewRomanPSMT"/>
          <w:lang w:val="es-ES_tradnl"/>
        </w:rPr>
      </w:pPr>
    </w:p>
    <w:p w14:paraId="59401296" w14:textId="348EB8C7" w:rsidR="005A172C" w:rsidRPr="007507BA" w:rsidRDefault="002A30FC" w:rsidP="005A172C">
      <w:pPr>
        <w:autoSpaceDE w:val="0"/>
        <w:autoSpaceDN w:val="0"/>
        <w:adjustRightInd w:val="0"/>
        <w:spacing w:after="0" w:line="240" w:lineRule="auto"/>
        <w:rPr>
          <w:rFonts w:ascii="TimesNewRomanPSMT" w:hAnsi="TimesNewRomanPSMT" w:cs="TimesNewRomanPSMT"/>
          <w:lang w:val="es-ES_tradnl"/>
        </w:rPr>
      </w:pPr>
      <w:r>
        <w:rPr>
          <w:rFonts w:ascii="TimesNewRomanPSMT" w:hAnsi="TimesNewRomanPSMT" w:cs="TimesNewRomanPSMT"/>
          <w:lang w:val="es-ES_tradnl"/>
        </w:rPr>
        <w:t xml:space="preserve">2.3 </w:t>
      </w:r>
      <w:r w:rsidR="005A172C" w:rsidRPr="007507BA">
        <w:rPr>
          <w:rFonts w:ascii="TimesNewRomanPSMT" w:hAnsi="TimesNewRomanPSMT" w:cs="TimesNewRomanPSMT"/>
          <w:lang w:val="es-ES_tradnl"/>
        </w:rPr>
        <w:t>Razones por las cuales no buscaron ayuda cuando fueron maltratadas físicamente</w:t>
      </w:r>
      <w:r>
        <w:rPr>
          <w:rFonts w:ascii="TimesNewRomanPSMT" w:hAnsi="TimesNewRomanPSMT" w:cs="TimesNewRomanPSMT"/>
          <w:lang w:val="es-ES_tradnl"/>
        </w:rPr>
        <w:t>.</w:t>
      </w:r>
    </w:p>
    <w:p w14:paraId="0A15E2D5" w14:textId="77777777" w:rsidR="005A172C" w:rsidRPr="005A172C" w:rsidRDefault="005A172C" w:rsidP="005A172C">
      <w:pPr>
        <w:autoSpaceDE w:val="0"/>
        <w:autoSpaceDN w:val="0"/>
        <w:adjustRightInd w:val="0"/>
        <w:spacing w:after="0" w:line="240" w:lineRule="auto"/>
        <w:rPr>
          <w:rFonts w:ascii="TimesNewRomanPSMT" w:hAnsi="TimesNewRomanPSMT" w:cs="TimesNewRomanPSMT"/>
          <w:lang w:val="es-ES_tradnl"/>
        </w:rPr>
      </w:pPr>
    </w:p>
    <w:p w14:paraId="04ABACCC" w14:textId="77777777" w:rsidR="005A172C" w:rsidRPr="005A172C" w:rsidRDefault="005A172C" w:rsidP="00D64CCC">
      <w:pPr>
        <w:autoSpaceDE w:val="0"/>
        <w:autoSpaceDN w:val="0"/>
        <w:adjustRightInd w:val="0"/>
        <w:spacing w:after="0" w:line="240" w:lineRule="auto"/>
        <w:jc w:val="both"/>
        <w:rPr>
          <w:rFonts w:ascii="TimesNewRomanPSMT" w:hAnsi="TimesNewRomanPSMT" w:cs="TimesNewRomanPSMT"/>
          <w:lang w:val="es-ES_tradnl"/>
        </w:rPr>
      </w:pPr>
      <w:r w:rsidRPr="005A172C">
        <w:rPr>
          <w:rFonts w:ascii="TimesNewRomanPSMT" w:hAnsi="TimesNewRomanPSMT" w:cs="TimesNewRomanPSMT"/>
          <w:lang w:val="es-ES_tradnl"/>
        </w:rPr>
        <w:t>En el año 2016, entre las razones más frecuentes para no buscar ayuda, mencionaron que no era necesario</w:t>
      </w:r>
    </w:p>
    <w:p w14:paraId="4910B00D" w14:textId="77777777" w:rsidR="005A172C" w:rsidRPr="005A172C" w:rsidRDefault="005A172C" w:rsidP="00D64CCC">
      <w:pPr>
        <w:autoSpaceDE w:val="0"/>
        <w:autoSpaceDN w:val="0"/>
        <w:adjustRightInd w:val="0"/>
        <w:spacing w:after="0" w:line="240" w:lineRule="auto"/>
        <w:jc w:val="both"/>
        <w:rPr>
          <w:rFonts w:ascii="TimesNewRomanPSMT" w:hAnsi="TimesNewRomanPSMT" w:cs="TimesNewRomanPSMT"/>
          <w:lang w:val="es-ES_tradnl"/>
        </w:rPr>
      </w:pPr>
      <w:r w:rsidRPr="005A172C">
        <w:rPr>
          <w:rFonts w:ascii="TimesNewRomanPSMT" w:hAnsi="TimesNewRomanPSMT" w:cs="TimesNewRomanPSMT"/>
          <w:lang w:val="es-ES_tradnl"/>
        </w:rPr>
        <w:t>(44,5%), que sentían vergüenza (16,0%) y que no sabía dónde ir/no conoce servicios (11,6%), entre otras</w:t>
      </w:r>
    </w:p>
    <w:p w14:paraId="03A0D7D1" w14:textId="570B5B13" w:rsidR="00A23732" w:rsidRDefault="005A172C" w:rsidP="00D64CCC">
      <w:pPr>
        <w:autoSpaceDE w:val="0"/>
        <w:autoSpaceDN w:val="0"/>
        <w:adjustRightInd w:val="0"/>
        <w:spacing w:after="0" w:line="240" w:lineRule="auto"/>
        <w:jc w:val="both"/>
        <w:rPr>
          <w:rFonts w:ascii="TimesNewRomanPSMT" w:hAnsi="TimesNewRomanPSMT" w:cs="TimesNewRomanPSMT"/>
          <w:lang w:val="es-ES_tradnl"/>
        </w:rPr>
      </w:pPr>
      <w:r w:rsidRPr="005A172C">
        <w:rPr>
          <w:rFonts w:ascii="TimesNewRomanPSMT" w:hAnsi="TimesNewRomanPSMT" w:cs="TimesNewRomanPSMT"/>
          <w:lang w:val="es-ES_tradnl"/>
        </w:rPr>
        <w:t xml:space="preserve">razones. </w:t>
      </w:r>
      <w:r w:rsidR="00D64CCC">
        <w:rPr>
          <w:rFonts w:ascii="TimesNewRomanPSMT" w:hAnsi="TimesNewRomanPSMT" w:cs="TimesNewRomanPSMT"/>
          <w:lang w:val="es-ES_tradnl"/>
        </w:rPr>
        <w:t xml:space="preserve"> </w:t>
      </w:r>
      <w:r w:rsidR="00A23732">
        <w:rPr>
          <w:rFonts w:ascii="TimesNewRomanPSMT" w:hAnsi="TimesNewRomanPSMT" w:cs="TimesNewRomanPSMT"/>
          <w:lang w:val="es-ES_tradnl"/>
        </w:rPr>
        <w:t xml:space="preserve">Otro factor importante </w:t>
      </w:r>
      <w:r w:rsidR="00002B72">
        <w:rPr>
          <w:rFonts w:ascii="TimesNewRomanPSMT" w:hAnsi="TimesNewRomanPSMT" w:cs="TimesNewRomanPSMT"/>
          <w:lang w:val="es-ES_tradnl"/>
        </w:rPr>
        <w:t>que contribuye a las razones por las cuales las mujeres víctimas de violencia no buscan ayuda en las instituciones</w:t>
      </w:r>
      <w:r w:rsidR="00D64CCC">
        <w:rPr>
          <w:rFonts w:ascii="TimesNewRomanPSMT" w:hAnsi="TimesNewRomanPSMT" w:cs="TimesNewRomanPSMT"/>
          <w:lang w:val="es-ES_tradnl"/>
        </w:rPr>
        <w:t>,</w:t>
      </w:r>
      <w:r w:rsidR="00002B72">
        <w:rPr>
          <w:rFonts w:ascii="TimesNewRomanPSMT" w:hAnsi="TimesNewRomanPSMT" w:cs="TimesNewRomanPSMT"/>
          <w:lang w:val="es-ES_tradnl"/>
        </w:rPr>
        <w:t xml:space="preserve"> es la baja credibilidad y confianza </w:t>
      </w:r>
      <w:r w:rsidR="00A23732">
        <w:rPr>
          <w:rFonts w:ascii="TimesNewRomanPSMT" w:hAnsi="TimesNewRomanPSMT" w:cs="TimesNewRomanPSMT"/>
          <w:lang w:val="es-ES_tradnl"/>
        </w:rPr>
        <w:t xml:space="preserve">en la </w:t>
      </w:r>
      <w:r w:rsidR="00D64CCC">
        <w:rPr>
          <w:rFonts w:ascii="TimesNewRomanPSMT" w:hAnsi="TimesNewRomanPSMT" w:cs="TimesNewRomanPSMT"/>
          <w:lang w:val="es-ES_tradnl"/>
        </w:rPr>
        <w:t>PNP</w:t>
      </w:r>
      <w:r w:rsidR="00002B72">
        <w:rPr>
          <w:rFonts w:ascii="TimesNewRomanPSMT" w:hAnsi="TimesNewRomanPSMT" w:cs="TimesNewRomanPSMT"/>
          <w:lang w:val="es-ES_tradnl"/>
        </w:rPr>
        <w:t xml:space="preserve">. A pesar de que las </w:t>
      </w:r>
      <w:r w:rsidR="00A23732">
        <w:rPr>
          <w:rFonts w:ascii="TimesNewRomanPSMT" w:hAnsi="TimesNewRomanPSMT" w:cs="TimesNewRomanPSMT"/>
          <w:lang w:val="es-ES_tradnl"/>
        </w:rPr>
        <w:t xml:space="preserve">denuncias por violencia intrafamiliar aumentaron en </w:t>
      </w:r>
      <w:r w:rsidR="00002B72">
        <w:rPr>
          <w:rFonts w:ascii="TimesNewRomanPSMT" w:hAnsi="TimesNewRomanPSMT" w:cs="TimesNewRomanPSMT"/>
          <w:lang w:val="es-ES_tradnl"/>
        </w:rPr>
        <w:t>72% llegando a 164.488 en el 2016</w:t>
      </w:r>
      <w:r w:rsidR="00002B72">
        <w:rPr>
          <w:rStyle w:val="FootnoteReference"/>
          <w:rFonts w:ascii="TimesNewRomanPSMT" w:hAnsi="TimesNewRomanPSMT" w:cs="TimesNewRomanPSMT"/>
          <w:lang w:val="es-ES_tradnl"/>
        </w:rPr>
        <w:footnoteReference w:id="10"/>
      </w:r>
      <w:r w:rsidR="00002B72">
        <w:rPr>
          <w:rFonts w:ascii="TimesNewRomanPSMT" w:hAnsi="TimesNewRomanPSMT" w:cs="TimesNewRomanPSMT"/>
          <w:lang w:val="es-ES_tradnl"/>
        </w:rPr>
        <w:t>, en ese mismo año,</w:t>
      </w:r>
      <w:r w:rsidR="00A23732">
        <w:rPr>
          <w:rFonts w:ascii="TimesNewRomanPSMT" w:hAnsi="TimesNewRomanPSMT" w:cs="TimesNewRomanPSMT"/>
          <w:lang w:val="es-ES_tradnl"/>
        </w:rPr>
        <w:t xml:space="preserve"> </w:t>
      </w:r>
      <w:r w:rsidR="00002B72">
        <w:rPr>
          <w:rFonts w:ascii="TimesNewRomanPSMT" w:hAnsi="TimesNewRomanPSMT" w:cs="TimesNewRomanPSMT"/>
          <w:lang w:val="es-ES_tradnl"/>
        </w:rPr>
        <w:t>el 65% de los peruanos y las peruanas a nivel nac</w:t>
      </w:r>
      <w:r w:rsidR="00D64CCC">
        <w:rPr>
          <w:rFonts w:ascii="TimesNewRomanPSMT" w:hAnsi="TimesNewRomanPSMT" w:cs="TimesNewRomanPSMT"/>
          <w:lang w:val="es-ES_tradnl"/>
        </w:rPr>
        <w:t xml:space="preserve">ional revelan un sentimiento de </w:t>
      </w:r>
      <w:r w:rsidR="00002B72">
        <w:rPr>
          <w:rFonts w:ascii="TimesNewRomanPSMT" w:hAnsi="TimesNewRomanPSMT" w:cs="TimesNewRomanPSMT"/>
          <w:lang w:val="es-ES_tradnl"/>
        </w:rPr>
        <w:t>desconfianza hacia la policía,</w:t>
      </w:r>
      <w:r w:rsidR="00002B72" w:rsidRPr="00002B72">
        <w:rPr>
          <w:rFonts w:ascii="TimesNewRomanPSMT" w:hAnsi="TimesNewRomanPSMT" w:cs="TimesNewRomanPSMT"/>
          <w:lang w:val="es-ES_tradnl"/>
        </w:rPr>
        <w:t xml:space="preserve"> </w:t>
      </w:r>
      <w:r w:rsidR="00E26E0A">
        <w:rPr>
          <w:rFonts w:ascii="TimesNewRomanPSMT" w:hAnsi="TimesNewRomanPSMT" w:cs="TimesNewRomanPSMT"/>
          <w:lang w:val="es-ES_tradnl"/>
        </w:rPr>
        <w:t xml:space="preserve">un sentimiento </w:t>
      </w:r>
      <w:r w:rsidR="00BE076A">
        <w:rPr>
          <w:rFonts w:ascii="TimesNewRomanPSMT" w:hAnsi="TimesNewRomanPSMT" w:cs="TimesNewRomanPSMT"/>
          <w:lang w:val="es-ES_tradnl"/>
        </w:rPr>
        <w:t xml:space="preserve">de </w:t>
      </w:r>
      <w:r w:rsidR="00BE076A" w:rsidRPr="00A23732">
        <w:rPr>
          <w:rFonts w:ascii="TimesNewRomanPSMT" w:hAnsi="TimesNewRomanPSMT" w:cs="TimesNewRomanPSMT"/>
          <w:lang w:val="es-ES_tradnl"/>
        </w:rPr>
        <w:t>confian</w:t>
      </w:r>
      <w:r w:rsidR="00BE076A">
        <w:rPr>
          <w:rFonts w:ascii="TimesNewRomanPSMT" w:hAnsi="TimesNewRomanPSMT" w:cs="TimesNewRomanPSMT"/>
          <w:lang w:val="es-ES_tradnl"/>
        </w:rPr>
        <w:t>za</w:t>
      </w:r>
      <w:r w:rsidR="00002B72" w:rsidRPr="00A23732">
        <w:rPr>
          <w:rFonts w:ascii="TimesNewRomanPSMT" w:hAnsi="TimesNewRomanPSMT" w:cs="TimesNewRomanPSMT"/>
          <w:lang w:val="es-ES_tradnl"/>
        </w:rPr>
        <w:t xml:space="preserve"> </w:t>
      </w:r>
      <w:r w:rsidR="00E26E0A">
        <w:rPr>
          <w:rFonts w:ascii="TimesNewRomanPSMT" w:hAnsi="TimesNewRomanPSMT" w:cs="TimesNewRomanPSMT"/>
          <w:lang w:val="es-ES_tradnl"/>
        </w:rPr>
        <w:t xml:space="preserve">de </w:t>
      </w:r>
      <w:r w:rsidR="00002B72" w:rsidRPr="00A23732">
        <w:rPr>
          <w:rFonts w:ascii="TimesNewRomanPSMT" w:hAnsi="TimesNewRomanPSMT" w:cs="TimesNewRomanPSMT"/>
          <w:lang w:val="es-ES_tradnl"/>
        </w:rPr>
        <w:t>28% y no opinan 7%</w:t>
      </w:r>
      <w:r w:rsidR="00002B72">
        <w:rPr>
          <w:rFonts w:ascii="TimesNewRomanPSMT" w:hAnsi="TimesNewRomanPSMT" w:cs="TimesNewRomanPSMT"/>
          <w:lang w:val="es-ES_tradnl"/>
        </w:rPr>
        <w:t xml:space="preserve">.  </w:t>
      </w:r>
      <w:r w:rsidR="00A23732" w:rsidRPr="00A23732">
        <w:rPr>
          <w:rFonts w:ascii="TimesNewRomanPSMT" w:hAnsi="TimesNewRomanPSMT" w:cs="TimesNewRomanPSMT"/>
          <w:lang w:val="es-ES_tradnl"/>
        </w:rPr>
        <w:t>En la capital, el 27% de los consultad</w:t>
      </w:r>
      <w:r w:rsidR="00D64CCC">
        <w:rPr>
          <w:rFonts w:ascii="TimesNewRomanPSMT" w:hAnsi="TimesNewRomanPSMT" w:cs="TimesNewRomanPSMT"/>
          <w:lang w:val="es-ES_tradnl"/>
        </w:rPr>
        <w:t>os confía en la PNP</w:t>
      </w:r>
      <w:r w:rsidR="00A23732" w:rsidRPr="00A23732">
        <w:rPr>
          <w:rFonts w:ascii="TimesNewRomanPSMT" w:hAnsi="TimesNewRomanPSMT" w:cs="TimesNewRomanPSMT"/>
          <w:lang w:val="es-ES_tradnl"/>
        </w:rPr>
        <w:t xml:space="preserve"> y un </w:t>
      </w:r>
      <w:r w:rsidR="00002B72">
        <w:rPr>
          <w:rFonts w:ascii="TimesNewRomanPSMT" w:hAnsi="TimesNewRomanPSMT" w:cs="TimesNewRomanPSMT"/>
          <w:lang w:val="es-ES_tradnl"/>
        </w:rPr>
        <w:t>7% decide no opinar sobre ello</w:t>
      </w:r>
      <w:r w:rsidR="00A23732" w:rsidRPr="00A23732">
        <w:rPr>
          <w:rFonts w:ascii="TimesNewRomanPSMT" w:hAnsi="TimesNewRomanPSMT" w:cs="TimesNewRomanPSMT"/>
          <w:lang w:val="es-ES_tradnl"/>
        </w:rPr>
        <w:t>.</w:t>
      </w:r>
      <w:r w:rsidR="00A23732">
        <w:rPr>
          <w:rFonts w:ascii="TimesNewRomanPSMT" w:hAnsi="TimesNewRomanPSMT" w:cs="TimesNewRomanPSMT"/>
          <w:lang w:val="es-ES_tradnl"/>
        </w:rPr>
        <w:t xml:space="preserve"> </w:t>
      </w:r>
      <w:r w:rsidR="00A23732" w:rsidRPr="00A23732">
        <w:rPr>
          <w:rFonts w:ascii="TimesNewRomanPSMT" w:hAnsi="TimesNewRomanPSMT" w:cs="TimesNewRomanPSMT"/>
          <w:lang w:val="es-ES_tradnl"/>
        </w:rPr>
        <w:t xml:space="preserve">Otros sentimientos que genera la PNP en la población son temor (47% en el país y 52% en Lima), </w:t>
      </w:r>
      <w:r w:rsidR="00002B72">
        <w:rPr>
          <w:rFonts w:ascii="TimesNewRomanPSMT" w:hAnsi="TimesNewRomanPSMT" w:cs="TimesNewRomanPSMT"/>
          <w:lang w:val="es-ES_tradnl"/>
        </w:rPr>
        <w:t xml:space="preserve">y </w:t>
      </w:r>
      <w:r w:rsidR="00A23732" w:rsidRPr="00A23732">
        <w:rPr>
          <w:rFonts w:ascii="TimesNewRomanPSMT" w:hAnsi="TimesNewRomanPSMT" w:cs="TimesNewRomanPSMT"/>
          <w:lang w:val="es-ES_tradnl"/>
        </w:rPr>
        <w:t>vergüenza (51% en el país y 54% en la capital).</w:t>
      </w:r>
      <w:r w:rsidR="00002B72">
        <w:rPr>
          <w:rStyle w:val="FootnoteReference"/>
          <w:rFonts w:ascii="TimesNewRomanPSMT" w:hAnsi="TimesNewRomanPSMT" w:cs="TimesNewRomanPSMT"/>
          <w:lang w:val="es-ES_tradnl"/>
        </w:rPr>
        <w:footnoteReference w:id="11"/>
      </w:r>
    </w:p>
    <w:p w14:paraId="7245ED7F" w14:textId="034FCF42" w:rsidR="004A3C20" w:rsidRDefault="004A3C20" w:rsidP="0041792D">
      <w:pPr>
        <w:autoSpaceDE w:val="0"/>
        <w:autoSpaceDN w:val="0"/>
        <w:adjustRightInd w:val="0"/>
        <w:spacing w:after="0" w:line="240" w:lineRule="auto"/>
        <w:jc w:val="both"/>
        <w:rPr>
          <w:rFonts w:ascii="TimesNewRomanPSMT" w:hAnsi="TimesNewRomanPSMT" w:cs="TimesNewRomanPSMT"/>
          <w:lang w:val="es-ES_tradnl"/>
        </w:rPr>
      </w:pPr>
    </w:p>
    <w:p w14:paraId="27CED3F8" w14:textId="7AF48110" w:rsidR="004A3C20" w:rsidRPr="00A23732" w:rsidRDefault="004A3C20" w:rsidP="004A3C20">
      <w:pPr>
        <w:autoSpaceDE w:val="0"/>
        <w:autoSpaceDN w:val="0"/>
        <w:adjustRightInd w:val="0"/>
        <w:spacing w:after="0" w:line="240" w:lineRule="auto"/>
        <w:rPr>
          <w:rFonts w:ascii="TimesNewRomanPSMT" w:hAnsi="TimesNewRomanPSMT" w:cs="TimesNewRomanPSMT"/>
          <w:lang w:val="es-ES_tradnl"/>
        </w:rPr>
      </w:pPr>
      <w:r w:rsidRPr="00C87A5B">
        <w:rPr>
          <w:rFonts w:ascii="TimesNewRomanPSMT" w:hAnsi="TimesNewRomanPSMT" w:cs="TimesNewRomanPSMT"/>
          <w:lang w:val="es-ES_tradnl"/>
        </w:rPr>
        <w:t>De acuerdo al último sondeo</w:t>
      </w:r>
      <w:r>
        <w:rPr>
          <w:rFonts w:ascii="TimesNewRomanPSMT" w:hAnsi="TimesNewRomanPSMT" w:cs="TimesNewRomanPSMT"/>
          <w:lang w:val="es-ES_tradnl"/>
        </w:rPr>
        <w:t xml:space="preserve"> de </w:t>
      </w:r>
      <w:r w:rsidRPr="00935FC3">
        <w:rPr>
          <w:rFonts w:ascii="TimesNewRomanPSMT" w:hAnsi="TimesNewRomanPSMT" w:cs="TimesNewRomanPSMT"/>
          <w:i/>
          <w:lang w:val="es-ES_tradnl"/>
        </w:rPr>
        <w:t>World Value Survey</w:t>
      </w:r>
      <w:r>
        <w:rPr>
          <w:rStyle w:val="FootnoteReference"/>
          <w:rFonts w:ascii="TimesNewRomanPSMT" w:hAnsi="TimesNewRomanPSMT" w:cs="TimesNewRomanPSMT"/>
          <w:i/>
          <w:lang w:val="es-ES_tradnl"/>
        </w:rPr>
        <w:footnoteReference w:id="12"/>
      </w:r>
      <w:r w:rsidRPr="00C87A5B">
        <w:rPr>
          <w:rFonts w:ascii="TimesNewRomanPSMT" w:hAnsi="TimesNewRomanPSMT" w:cs="TimesNewRomanPSMT"/>
          <w:lang w:val="es-ES_tradnl"/>
        </w:rPr>
        <w:t xml:space="preserve"> para el período 2010-2014 el ranking de países</w:t>
      </w:r>
      <w:r>
        <w:rPr>
          <w:rFonts w:ascii="TimesNewRomanPSMT" w:hAnsi="TimesNewRomanPSMT" w:cs="TimesNewRomanPSMT"/>
          <w:lang w:val="es-ES_tradnl"/>
        </w:rPr>
        <w:t xml:space="preserve"> según confianza en la policía</w:t>
      </w:r>
      <w:r w:rsidRPr="00C87A5B">
        <w:rPr>
          <w:rFonts w:ascii="TimesNewRomanPSMT" w:hAnsi="TimesNewRomanPSMT" w:cs="TimesNewRomanPSMT"/>
          <w:lang w:val="es-ES_tradnl"/>
        </w:rPr>
        <w:t xml:space="preserve"> muestra que los 5 países con menos confianza son: México, Trinidad y </w:t>
      </w:r>
      <w:r w:rsidRPr="00C87A5B">
        <w:rPr>
          <w:rFonts w:ascii="TimesNewRomanPSMT" w:hAnsi="TimesNewRomanPSMT" w:cs="TimesNewRomanPSMT"/>
          <w:lang w:val="es-ES_tradnl"/>
        </w:rPr>
        <w:lastRenderedPageBreak/>
        <w:t>Tobago, Perú, Argentina y Pakistán. Es decir, 4 de los 5 países de los 60 incluidos en la muestra que tienen menor confianza en la policía están en la región.</w:t>
      </w:r>
    </w:p>
    <w:p w14:paraId="16377B31" w14:textId="30D1CE2F" w:rsidR="007A05C7" w:rsidRDefault="007A05C7" w:rsidP="005A172C">
      <w:pPr>
        <w:autoSpaceDE w:val="0"/>
        <w:autoSpaceDN w:val="0"/>
        <w:adjustRightInd w:val="0"/>
        <w:spacing w:after="0" w:line="240" w:lineRule="auto"/>
        <w:rPr>
          <w:rFonts w:ascii="TimesNewRomanPSMT" w:hAnsi="TimesNewRomanPSMT" w:cs="TimesNewRomanPSMT"/>
          <w:b/>
          <w:lang w:val="es-ES_tradnl"/>
        </w:rPr>
      </w:pPr>
    </w:p>
    <w:p w14:paraId="05B90BA0" w14:textId="4CB107AF" w:rsidR="00002B72" w:rsidRDefault="00FC1315" w:rsidP="005A172C">
      <w:pPr>
        <w:autoSpaceDE w:val="0"/>
        <w:autoSpaceDN w:val="0"/>
        <w:adjustRightInd w:val="0"/>
        <w:spacing w:after="0" w:line="240" w:lineRule="auto"/>
        <w:rPr>
          <w:rFonts w:ascii="TimesNewRomanPSMT" w:hAnsi="TimesNewRomanPSMT" w:cs="TimesNewRomanPSMT"/>
          <w:b/>
          <w:lang w:val="es-ES_tradnl"/>
        </w:rPr>
      </w:pPr>
      <w:r w:rsidRPr="00FC1315">
        <w:rPr>
          <w:rFonts w:ascii="TimesNewRomanPSMT" w:hAnsi="TimesNewRomanPSMT" w:cs="TimesNewRomanPSMT"/>
          <w:b/>
          <w:lang w:val="es-ES_tradnl"/>
        </w:rPr>
        <w:t>3. Ig</w:t>
      </w:r>
      <w:r w:rsidR="00693B42">
        <w:rPr>
          <w:rFonts w:ascii="TimesNewRomanPSMT" w:hAnsi="TimesNewRomanPSMT" w:cs="TimesNewRomanPSMT"/>
          <w:b/>
          <w:lang w:val="es-ES_tradnl"/>
        </w:rPr>
        <w:t>ualdad de género dentro de los Componentes del P</w:t>
      </w:r>
      <w:r w:rsidRPr="00FC1315">
        <w:rPr>
          <w:rFonts w:ascii="TimesNewRomanPSMT" w:hAnsi="TimesNewRomanPSMT" w:cs="TimesNewRomanPSMT"/>
          <w:b/>
          <w:lang w:val="es-ES_tradnl"/>
        </w:rPr>
        <w:t>royecto.</w:t>
      </w:r>
    </w:p>
    <w:p w14:paraId="26FFB299" w14:textId="77777777" w:rsidR="00FC1315" w:rsidRDefault="00FC1315" w:rsidP="005A172C">
      <w:pPr>
        <w:autoSpaceDE w:val="0"/>
        <w:autoSpaceDN w:val="0"/>
        <w:adjustRightInd w:val="0"/>
        <w:spacing w:after="0" w:line="240" w:lineRule="auto"/>
        <w:rPr>
          <w:rFonts w:ascii="TimesNewRomanPSMT" w:hAnsi="TimesNewRomanPSMT" w:cs="TimesNewRomanPSMT"/>
          <w:b/>
          <w:lang w:val="es-ES_tradnl"/>
        </w:rPr>
      </w:pPr>
    </w:p>
    <w:p w14:paraId="3A735746" w14:textId="1A4C55F9" w:rsidR="00FC1315" w:rsidRPr="007B44A1" w:rsidRDefault="009D0A46" w:rsidP="005A172C">
      <w:pPr>
        <w:autoSpaceDE w:val="0"/>
        <w:autoSpaceDN w:val="0"/>
        <w:adjustRightInd w:val="0"/>
        <w:spacing w:after="0" w:line="240" w:lineRule="auto"/>
        <w:rPr>
          <w:rFonts w:ascii="TimesNewRomanPSMT" w:hAnsi="TimesNewRomanPSMT" w:cs="TimesNewRomanPSMT"/>
          <w:lang w:val="es-ES_tradnl"/>
        </w:rPr>
      </w:pPr>
      <w:r w:rsidRPr="007B44A1">
        <w:rPr>
          <w:rFonts w:ascii="TimesNewRomanPSMT" w:hAnsi="TimesNewRomanPSMT" w:cs="TimesNewRomanPSMT"/>
          <w:lang w:val="es-ES_tradnl"/>
        </w:rPr>
        <w:t>3.1</w:t>
      </w:r>
      <w:r w:rsidR="00FC1315" w:rsidRPr="007B44A1">
        <w:rPr>
          <w:rFonts w:ascii="TimesNewRomanPSMT" w:hAnsi="TimesNewRomanPSMT" w:cs="TimesNewRomanPSMT"/>
          <w:lang w:val="es-ES_tradnl"/>
        </w:rPr>
        <w:t xml:space="preserve"> Componente 1: </w:t>
      </w:r>
      <w:r w:rsidR="00AA57E7" w:rsidRPr="007B44A1">
        <w:rPr>
          <w:rFonts w:ascii="TimesNewRomanPSMT" w:hAnsi="TimesNewRomanPSMT" w:cs="TimesNewRomanPSMT"/>
          <w:lang w:val="es-ES_tradnl"/>
        </w:rPr>
        <w:t xml:space="preserve">Mejora la efectividad policial en la prevención del delito </w:t>
      </w:r>
    </w:p>
    <w:p w14:paraId="75E7DB0A" w14:textId="77777777" w:rsidR="00FC1315" w:rsidRDefault="00FC1315" w:rsidP="005A172C">
      <w:pPr>
        <w:autoSpaceDE w:val="0"/>
        <w:autoSpaceDN w:val="0"/>
        <w:adjustRightInd w:val="0"/>
        <w:spacing w:after="0" w:line="240" w:lineRule="auto"/>
        <w:rPr>
          <w:rFonts w:ascii="TimesNewRomanPSMT" w:hAnsi="TimesNewRomanPSMT" w:cs="TimesNewRomanPSMT"/>
          <w:b/>
          <w:lang w:val="es-ES_tradnl"/>
        </w:rPr>
      </w:pPr>
    </w:p>
    <w:p w14:paraId="5ACAFAD4" w14:textId="7A5A3951" w:rsidR="00B93A50" w:rsidRDefault="00FC1315" w:rsidP="00FC7008">
      <w:pPr>
        <w:autoSpaceDE w:val="0"/>
        <w:autoSpaceDN w:val="0"/>
        <w:adjustRightInd w:val="0"/>
        <w:spacing w:after="0" w:line="240" w:lineRule="auto"/>
        <w:jc w:val="both"/>
        <w:rPr>
          <w:rFonts w:ascii="TimesNewRomanPSMT" w:hAnsi="TimesNewRomanPSMT" w:cs="TimesNewRomanPSMT"/>
          <w:lang w:val="es-ES_tradnl"/>
        </w:rPr>
      </w:pPr>
      <w:r w:rsidRPr="00FC1315">
        <w:rPr>
          <w:rFonts w:ascii="TimesNewRomanPSMT" w:hAnsi="TimesNewRomanPSMT" w:cs="TimesNewRomanPSMT"/>
          <w:lang w:val="es-ES_tradnl"/>
        </w:rPr>
        <w:t>El objetivo del primer componente de la operación es mejor</w:t>
      </w:r>
      <w:r>
        <w:rPr>
          <w:rFonts w:ascii="TimesNewRomanPSMT" w:hAnsi="TimesNewRomanPSMT" w:cs="TimesNewRomanPSMT"/>
          <w:lang w:val="es-ES_tradnl"/>
        </w:rPr>
        <w:t>ar la efectividad policial en la</w:t>
      </w:r>
      <w:r w:rsidRPr="00FC1315">
        <w:rPr>
          <w:rFonts w:ascii="TimesNewRomanPSMT" w:hAnsi="TimesNewRomanPSMT" w:cs="TimesNewRomanPSMT"/>
          <w:lang w:val="es-ES_tradnl"/>
        </w:rPr>
        <w:t xml:space="preserve"> prevención del delito. La operación fortalecerá </w:t>
      </w:r>
      <w:r w:rsidR="00B93A50">
        <w:rPr>
          <w:rFonts w:ascii="TimesNewRomanPSMT" w:hAnsi="TimesNewRomanPSMT" w:cs="TimesNewRomanPSMT"/>
          <w:lang w:val="es-ES_tradnl"/>
        </w:rPr>
        <w:t xml:space="preserve">las capacidades de los oficiales al </w:t>
      </w:r>
      <w:r w:rsidR="00C9399C">
        <w:rPr>
          <w:rFonts w:ascii="TimesNewRomanPSMT" w:hAnsi="TimesNewRomanPSMT" w:cs="TimesNewRomanPSMT"/>
          <w:lang w:val="es-ES_tradnl"/>
        </w:rPr>
        <w:t>diseñar</w:t>
      </w:r>
      <w:r w:rsidR="00632808">
        <w:rPr>
          <w:rFonts w:ascii="TimesNewRomanPSMT" w:hAnsi="TimesNewRomanPSMT" w:cs="TimesNewRomanPSMT"/>
          <w:lang w:val="es-ES_tradnl"/>
        </w:rPr>
        <w:t xml:space="preserve"> e </w:t>
      </w:r>
      <w:r w:rsidR="00B93A50">
        <w:rPr>
          <w:rFonts w:ascii="TimesNewRomanPSMT" w:hAnsi="TimesNewRomanPSMT" w:cs="TimesNewRomanPSMT"/>
          <w:lang w:val="es-ES_tradnl"/>
        </w:rPr>
        <w:t>impleme</w:t>
      </w:r>
      <w:r w:rsidR="00FC7008">
        <w:rPr>
          <w:rFonts w:ascii="TimesNewRomanPSMT" w:hAnsi="TimesNewRomanPSMT" w:cs="TimesNewRomanPSMT"/>
          <w:lang w:val="es-ES_tradnl"/>
        </w:rPr>
        <w:t>ntar una malla curricular moder</w:t>
      </w:r>
      <w:r w:rsidR="00B93A50">
        <w:rPr>
          <w:rFonts w:ascii="TimesNewRomanPSMT" w:hAnsi="TimesNewRomanPSMT" w:cs="TimesNewRomanPSMT"/>
          <w:lang w:val="es-ES_tradnl"/>
        </w:rPr>
        <w:t>n</w:t>
      </w:r>
      <w:r w:rsidR="00FC7008">
        <w:rPr>
          <w:rFonts w:ascii="TimesNewRomanPSMT" w:hAnsi="TimesNewRomanPSMT" w:cs="TimesNewRomanPSMT"/>
          <w:lang w:val="es-ES_tradnl"/>
        </w:rPr>
        <w:t>a</w:t>
      </w:r>
      <w:r w:rsidR="00B93A50">
        <w:rPr>
          <w:rFonts w:ascii="TimesNewRomanPSMT" w:hAnsi="TimesNewRomanPSMT" w:cs="TimesNewRomanPSMT"/>
          <w:lang w:val="es-ES_tradnl"/>
        </w:rPr>
        <w:t xml:space="preserve"> con un enfoque de policía comunitario. El enfoque de policía </w:t>
      </w:r>
      <w:r w:rsidR="00455934">
        <w:rPr>
          <w:rFonts w:ascii="TimesNewRomanPSMT" w:hAnsi="TimesNewRomanPSMT" w:cs="TimesNewRomanPSMT"/>
          <w:lang w:val="es-ES_tradnl"/>
        </w:rPr>
        <w:t>comunitario</w:t>
      </w:r>
      <w:r w:rsidR="00EE0F2E">
        <w:rPr>
          <w:rFonts w:ascii="TimesNewRomanPSMT" w:hAnsi="TimesNewRomanPSMT" w:cs="TimesNewRomanPSMT"/>
          <w:lang w:val="es-ES_tradnl"/>
        </w:rPr>
        <w:t xml:space="preserve"> permite generar lazos solidos </w:t>
      </w:r>
      <w:r w:rsidR="00B93A50">
        <w:rPr>
          <w:rFonts w:ascii="TimesNewRomanPSMT" w:hAnsi="TimesNewRomanPSMT" w:cs="TimesNewRomanPSMT"/>
          <w:lang w:val="es-ES_tradnl"/>
        </w:rPr>
        <w:t>con la ciudadanía para desarrollar programas y acciones colaborativas de coproducción de la seguridad, al mismo tiempo que concilia la acción preventiva, la reactiva, y el respeto por los derechos humanos.</w:t>
      </w:r>
      <w:r w:rsidR="00455934">
        <w:rPr>
          <w:rStyle w:val="FootnoteReference"/>
          <w:rFonts w:ascii="TimesNewRomanPSMT" w:hAnsi="TimesNewRomanPSMT" w:cs="TimesNewRomanPSMT"/>
          <w:lang w:val="es-ES_tradnl"/>
        </w:rPr>
        <w:footnoteReference w:id="13"/>
      </w:r>
      <w:r w:rsidR="00C9399C">
        <w:rPr>
          <w:rFonts w:ascii="TimesNewRomanPSMT" w:hAnsi="TimesNewRomanPSMT" w:cs="TimesNewRomanPSMT"/>
          <w:lang w:val="es-ES_tradnl"/>
        </w:rPr>
        <w:t xml:space="preserve"> El préstamo ayudará a desarrollar el contenido de los módulos y cursos </w:t>
      </w:r>
      <w:r w:rsidR="00911C9A">
        <w:rPr>
          <w:rFonts w:ascii="TimesNewRomanPSMT" w:hAnsi="TimesNewRomanPSMT" w:cs="TimesNewRomanPSMT"/>
          <w:lang w:val="es-ES_tradnl"/>
        </w:rPr>
        <w:t>preestablecidos</w:t>
      </w:r>
      <w:r w:rsidR="00C9399C">
        <w:rPr>
          <w:rFonts w:ascii="TimesNewRomanPSMT" w:hAnsi="TimesNewRomanPSMT" w:cs="TimesNewRomanPSMT"/>
          <w:lang w:val="es-ES_tradnl"/>
        </w:rPr>
        <w:t xml:space="preserve"> en la malla </w:t>
      </w:r>
      <w:r w:rsidR="00911C9A">
        <w:rPr>
          <w:rFonts w:ascii="TimesNewRomanPSMT" w:hAnsi="TimesNewRomanPSMT" w:cs="TimesNewRomanPSMT"/>
          <w:lang w:val="es-ES_tradnl"/>
        </w:rPr>
        <w:t>curricular, así como también</w:t>
      </w:r>
      <w:r w:rsidR="00C9399C">
        <w:rPr>
          <w:rFonts w:ascii="TimesNewRomanPSMT" w:hAnsi="TimesNewRomanPSMT" w:cs="TimesNewRomanPSMT"/>
          <w:lang w:val="es-ES_tradnl"/>
        </w:rPr>
        <w:t>,</w:t>
      </w:r>
      <w:r w:rsidR="00911C9A">
        <w:rPr>
          <w:rFonts w:ascii="TimesNewRomanPSMT" w:hAnsi="TimesNewRomanPSMT" w:cs="TimesNewRomanPSMT"/>
          <w:lang w:val="es-ES_tradnl"/>
        </w:rPr>
        <w:t xml:space="preserve"> definir el perfil y las competencias necesarias para que la policía tenga un enfoque comunitario. </w:t>
      </w:r>
    </w:p>
    <w:p w14:paraId="38057BF2" w14:textId="77777777" w:rsidR="00B93A50" w:rsidRDefault="00B93A50" w:rsidP="005A172C">
      <w:pPr>
        <w:autoSpaceDE w:val="0"/>
        <w:autoSpaceDN w:val="0"/>
        <w:adjustRightInd w:val="0"/>
        <w:spacing w:after="0" w:line="240" w:lineRule="auto"/>
        <w:rPr>
          <w:rFonts w:ascii="TimesNewRomanPSMT" w:hAnsi="TimesNewRomanPSMT" w:cs="TimesNewRomanPSMT"/>
          <w:lang w:val="es-ES_tradnl"/>
        </w:rPr>
      </w:pPr>
    </w:p>
    <w:p w14:paraId="2EC23B74" w14:textId="4F3460FC" w:rsidR="00285CD3" w:rsidRDefault="00B93A50" w:rsidP="00FC7008">
      <w:pPr>
        <w:autoSpaceDE w:val="0"/>
        <w:autoSpaceDN w:val="0"/>
        <w:adjustRightInd w:val="0"/>
        <w:spacing w:after="0" w:line="240" w:lineRule="auto"/>
        <w:jc w:val="both"/>
        <w:rPr>
          <w:rFonts w:ascii="TimesNewRomanPSMT" w:hAnsi="TimesNewRomanPSMT" w:cs="TimesNewRomanPSMT"/>
          <w:lang w:val="es-ES_tradnl"/>
        </w:rPr>
      </w:pPr>
      <w:r>
        <w:rPr>
          <w:rFonts w:ascii="TimesNewRomanPSMT" w:hAnsi="TimesNewRomanPSMT" w:cs="TimesNewRomanPSMT"/>
          <w:lang w:val="es-ES_tradnl"/>
        </w:rPr>
        <w:t xml:space="preserve">La malla curricular </w:t>
      </w:r>
      <w:r w:rsidR="00455934">
        <w:rPr>
          <w:rFonts w:ascii="TimesNewRomanPSMT" w:hAnsi="TimesNewRomanPSMT" w:cs="TimesNewRomanPSMT"/>
          <w:lang w:val="es-ES_tradnl"/>
        </w:rPr>
        <w:t>para la formació</w:t>
      </w:r>
      <w:r w:rsidR="00911C9A">
        <w:rPr>
          <w:rFonts w:ascii="TimesNewRomanPSMT" w:hAnsi="TimesNewRomanPSMT" w:cs="TimesNewRomanPSMT"/>
          <w:lang w:val="es-ES_tradnl"/>
        </w:rPr>
        <w:t>n de oficiales y suboficiales</w:t>
      </w:r>
      <w:r w:rsidR="00455934">
        <w:rPr>
          <w:rFonts w:ascii="TimesNewRomanPSMT" w:hAnsi="TimesNewRomanPSMT" w:cs="TimesNewRomanPSMT"/>
          <w:lang w:val="es-ES_tradnl"/>
        </w:rPr>
        <w:t xml:space="preserve"> con enfoque</w:t>
      </w:r>
      <w:r>
        <w:rPr>
          <w:rFonts w:ascii="TimesNewRomanPSMT" w:hAnsi="TimesNewRomanPSMT" w:cs="TimesNewRomanPSMT"/>
          <w:lang w:val="es-ES_tradnl"/>
        </w:rPr>
        <w:t xml:space="preserve"> comunitario integra varios </w:t>
      </w:r>
      <w:r w:rsidR="00911C9A">
        <w:rPr>
          <w:rFonts w:ascii="TimesNewRomanPSMT" w:hAnsi="TimesNewRomanPSMT" w:cs="TimesNewRomanPSMT"/>
          <w:lang w:val="es-ES_tradnl"/>
        </w:rPr>
        <w:t>módulos que contienen cursos que ayudarán a mejorar la relación del policía con el ciudadano.</w:t>
      </w:r>
      <w:r w:rsidR="00285CD3">
        <w:rPr>
          <w:rFonts w:ascii="TimesNewRomanPSMT" w:hAnsi="TimesNewRomanPSMT" w:cs="TimesNewRomanPSMT"/>
          <w:lang w:val="es-ES_tradnl"/>
        </w:rPr>
        <w:t xml:space="preserve">  Entre ellos se encuentran:</w:t>
      </w:r>
    </w:p>
    <w:p w14:paraId="3511181F" w14:textId="77777777" w:rsidR="00285CD3" w:rsidRDefault="00285CD3" w:rsidP="00285CD3">
      <w:pPr>
        <w:pStyle w:val="ListParagraph"/>
        <w:autoSpaceDE w:val="0"/>
        <w:autoSpaceDN w:val="0"/>
        <w:adjustRightInd w:val="0"/>
        <w:spacing w:after="0" w:line="240" w:lineRule="auto"/>
        <w:ind w:left="1500"/>
        <w:jc w:val="both"/>
        <w:rPr>
          <w:rFonts w:ascii="TimesNewRomanPSMT" w:hAnsi="TimesNewRomanPSMT" w:cs="TimesNewRomanPSMT"/>
          <w:lang w:val="es-ES_tradnl"/>
        </w:rPr>
      </w:pPr>
    </w:p>
    <w:p w14:paraId="08E89811" w14:textId="4E678C27" w:rsidR="00285CD3" w:rsidRDefault="00EE0F2E" w:rsidP="00285CD3">
      <w:pPr>
        <w:pStyle w:val="ListParagraph"/>
        <w:numPr>
          <w:ilvl w:val="0"/>
          <w:numId w:val="1"/>
        </w:numPr>
        <w:autoSpaceDE w:val="0"/>
        <w:autoSpaceDN w:val="0"/>
        <w:adjustRightInd w:val="0"/>
        <w:spacing w:after="0" w:line="240" w:lineRule="auto"/>
        <w:jc w:val="both"/>
        <w:rPr>
          <w:rFonts w:ascii="TimesNewRomanPSMT" w:hAnsi="TimesNewRomanPSMT" w:cs="TimesNewRomanPSMT"/>
          <w:lang w:val="es-ES_tradnl"/>
        </w:rPr>
      </w:pPr>
      <w:r w:rsidRPr="00285CD3">
        <w:rPr>
          <w:rFonts w:ascii="TimesNewRomanPSMT" w:hAnsi="TimesNewRomanPSMT" w:cs="TimesNewRomanPSMT"/>
          <w:lang w:val="es-ES_tradnl"/>
        </w:rPr>
        <w:t xml:space="preserve">Relación con la Ciudadanía; el cual se centra en </w:t>
      </w:r>
      <w:r w:rsidR="00455934" w:rsidRPr="00285CD3">
        <w:rPr>
          <w:rFonts w:ascii="TimesNewRomanPSMT" w:hAnsi="TimesNewRomanPSMT" w:cs="TimesNewRomanPSMT"/>
          <w:lang w:val="es-ES_tradnl"/>
        </w:rPr>
        <w:t xml:space="preserve">el abordaje a las </w:t>
      </w:r>
      <w:r w:rsidRPr="00285CD3">
        <w:rPr>
          <w:rFonts w:ascii="TimesNewRomanPSMT" w:hAnsi="TimesNewRomanPSMT" w:cs="TimesNewRomanPSMT"/>
          <w:lang w:val="es-ES_tradnl"/>
        </w:rPr>
        <w:t>víctimas</w:t>
      </w:r>
      <w:r w:rsidR="00455934" w:rsidRPr="00285CD3">
        <w:rPr>
          <w:rFonts w:ascii="TimesNewRomanPSMT" w:hAnsi="TimesNewRomanPSMT" w:cs="TimesNewRomanPSMT"/>
          <w:lang w:val="es-ES_tradnl"/>
        </w:rPr>
        <w:t xml:space="preserve"> de vi</w:t>
      </w:r>
      <w:r w:rsidRPr="00285CD3">
        <w:rPr>
          <w:rFonts w:ascii="TimesNewRomanPSMT" w:hAnsi="TimesNewRomanPSMT" w:cs="TimesNewRomanPSMT"/>
          <w:lang w:val="es-ES_tradnl"/>
        </w:rPr>
        <w:t xml:space="preserve">olencia familiar y sexual, </w:t>
      </w:r>
      <w:r w:rsidR="00F403E3" w:rsidRPr="00285CD3">
        <w:rPr>
          <w:rFonts w:ascii="TimesNewRomanPSMT" w:hAnsi="TimesNewRomanPSMT" w:cs="TimesNewRomanPSMT"/>
          <w:lang w:val="es-ES_tradnl"/>
        </w:rPr>
        <w:t xml:space="preserve">negociación de conflictos sociales y atención y protección de familia y </w:t>
      </w:r>
      <w:r w:rsidR="004C38D8">
        <w:rPr>
          <w:rFonts w:ascii="TimesNewRomanPSMT" w:hAnsi="TimesNewRomanPSMT" w:cs="TimesNewRomanPSMT"/>
          <w:lang w:val="es-ES_tradnl"/>
        </w:rPr>
        <w:t xml:space="preserve">la </w:t>
      </w:r>
      <w:r w:rsidR="00F403E3" w:rsidRPr="00285CD3">
        <w:rPr>
          <w:rFonts w:ascii="TimesNewRomanPSMT" w:hAnsi="TimesNewRomanPSMT" w:cs="TimesNewRomanPSMT"/>
          <w:lang w:val="es-ES_tradnl"/>
        </w:rPr>
        <w:t>trata de personas.</w:t>
      </w:r>
    </w:p>
    <w:p w14:paraId="1881EE87" w14:textId="1F9DF5E0" w:rsidR="00285CD3" w:rsidRPr="00285CD3" w:rsidRDefault="00EE0F2E" w:rsidP="00285CD3">
      <w:pPr>
        <w:pStyle w:val="ListParagraph"/>
        <w:numPr>
          <w:ilvl w:val="0"/>
          <w:numId w:val="1"/>
        </w:numPr>
        <w:autoSpaceDE w:val="0"/>
        <w:autoSpaceDN w:val="0"/>
        <w:adjustRightInd w:val="0"/>
        <w:spacing w:after="0" w:line="240" w:lineRule="auto"/>
        <w:jc w:val="both"/>
        <w:rPr>
          <w:rFonts w:ascii="TimesNewRomanPSMT" w:hAnsi="TimesNewRomanPSMT" w:cs="TimesNewRomanPSMT"/>
          <w:lang w:val="es-ES_tradnl"/>
        </w:rPr>
      </w:pPr>
      <w:r w:rsidRPr="00285CD3">
        <w:rPr>
          <w:rFonts w:ascii="TimesNewRomanPSMT" w:hAnsi="TimesNewRomanPSMT" w:cs="TimesNewRomanPSMT"/>
          <w:lang w:val="es-ES_tradnl"/>
        </w:rPr>
        <w:t>Derechos H</w:t>
      </w:r>
      <w:r w:rsidR="00455934" w:rsidRPr="00285CD3">
        <w:rPr>
          <w:rFonts w:ascii="TimesNewRomanPSMT" w:hAnsi="TimesNewRomanPSMT" w:cs="TimesNewRomanPSMT"/>
          <w:lang w:val="es-ES_tradnl"/>
        </w:rPr>
        <w:t xml:space="preserve">umanos y </w:t>
      </w:r>
      <w:r w:rsidRPr="00285CD3">
        <w:rPr>
          <w:rFonts w:ascii="TimesNewRomanPSMT" w:hAnsi="TimesNewRomanPSMT" w:cs="TimesNewRomanPSMT"/>
          <w:lang w:val="es-ES_tradnl"/>
        </w:rPr>
        <w:t>Aplicación a la L</w:t>
      </w:r>
      <w:r w:rsidR="00455934" w:rsidRPr="00285CD3">
        <w:rPr>
          <w:rFonts w:ascii="TimesNewRomanPSMT" w:hAnsi="TimesNewRomanPSMT" w:cs="TimesNewRomanPSMT"/>
          <w:lang w:val="es-ES_tradnl"/>
        </w:rPr>
        <w:t xml:space="preserve">ey; en donde se imparten cursos que incluyen </w:t>
      </w:r>
      <w:r w:rsidRPr="00285CD3">
        <w:rPr>
          <w:rFonts w:ascii="TimesNewRomanPSMT" w:hAnsi="TimesNewRomanPSMT" w:cs="TimesNewRomanPSMT"/>
          <w:lang w:val="es-ES_tradnl"/>
        </w:rPr>
        <w:t>temáticas</w:t>
      </w:r>
      <w:r w:rsidR="00455934" w:rsidRPr="00285CD3">
        <w:rPr>
          <w:rFonts w:ascii="TimesNewRomanPSMT" w:hAnsi="TimesNewRomanPSMT" w:cs="TimesNewRomanPSMT"/>
          <w:lang w:val="es-ES_tradnl"/>
        </w:rPr>
        <w:t xml:space="preserve"> como </w:t>
      </w:r>
      <w:r w:rsidRPr="00285CD3">
        <w:rPr>
          <w:rFonts w:ascii="TimesNewRomanPSMT" w:hAnsi="TimesNewRomanPSMT" w:cs="TimesNewRomanPSMT"/>
          <w:lang w:val="es-ES_tradnl"/>
        </w:rPr>
        <w:t>los derechos humanos aplicados a la función de la policía, derecho civil, derecho penal, ética y de</w:t>
      </w:r>
      <w:r w:rsidR="004C38D8">
        <w:rPr>
          <w:rFonts w:ascii="TimesNewRomanPSMT" w:hAnsi="TimesNewRomanPSMT" w:cs="TimesNewRomanPSMT"/>
          <w:lang w:val="es-ES_tradnl"/>
        </w:rPr>
        <w:t>rechos, legislación de menores.</w:t>
      </w:r>
      <w:r w:rsidR="004C38D8">
        <w:rPr>
          <w:rStyle w:val="FootnoteReference"/>
          <w:rFonts w:ascii="TimesNewRomanPSMT" w:hAnsi="TimesNewRomanPSMT" w:cs="TimesNewRomanPSMT"/>
          <w:lang w:val="es-ES_tradnl"/>
        </w:rPr>
        <w:footnoteReference w:id="14"/>
      </w:r>
    </w:p>
    <w:p w14:paraId="2750AEA6" w14:textId="77777777" w:rsidR="00285CD3" w:rsidRDefault="00285CD3" w:rsidP="00285CD3">
      <w:pPr>
        <w:autoSpaceDE w:val="0"/>
        <w:autoSpaceDN w:val="0"/>
        <w:adjustRightInd w:val="0"/>
        <w:spacing w:after="0" w:line="240" w:lineRule="auto"/>
        <w:jc w:val="both"/>
        <w:rPr>
          <w:rFonts w:ascii="TimesNewRomanPSMT" w:hAnsi="TimesNewRomanPSMT" w:cs="TimesNewRomanPSMT"/>
          <w:lang w:val="es-ES_tradnl"/>
        </w:rPr>
      </w:pPr>
    </w:p>
    <w:p w14:paraId="4570C017" w14:textId="1BE77F1E" w:rsidR="00B93A50" w:rsidRPr="00285CD3" w:rsidRDefault="004C38D8" w:rsidP="00285CD3">
      <w:pPr>
        <w:autoSpaceDE w:val="0"/>
        <w:autoSpaceDN w:val="0"/>
        <w:adjustRightInd w:val="0"/>
        <w:spacing w:after="0" w:line="240" w:lineRule="auto"/>
        <w:jc w:val="both"/>
        <w:rPr>
          <w:rFonts w:ascii="TimesNewRomanPSMT" w:hAnsi="TimesNewRomanPSMT" w:cs="TimesNewRomanPSMT"/>
          <w:lang w:val="es-ES_tradnl"/>
        </w:rPr>
      </w:pPr>
      <w:r>
        <w:rPr>
          <w:rFonts w:ascii="TimesNewRomanPSMT" w:hAnsi="TimesNewRomanPSMT" w:cs="TimesNewRomanPSMT"/>
          <w:lang w:val="es-ES_tradnl"/>
        </w:rPr>
        <w:t>La aplicación de la nueva malla curricular</w:t>
      </w:r>
      <w:r w:rsidR="00EE0F2E" w:rsidRPr="00285CD3">
        <w:rPr>
          <w:rFonts w:ascii="TimesNewRomanPSMT" w:hAnsi="TimesNewRomanPSMT" w:cs="TimesNewRomanPSMT"/>
          <w:lang w:val="es-ES_tradnl"/>
        </w:rPr>
        <w:t xml:space="preserve"> permitirá un mejor entendimiento </w:t>
      </w:r>
      <w:r w:rsidR="00F403E3" w:rsidRPr="00285CD3">
        <w:rPr>
          <w:rFonts w:ascii="TimesNewRomanPSMT" w:hAnsi="TimesNewRomanPSMT" w:cs="TimesNewRomanPSMT"/>
          <w:lang w:val="es-ES_tradnl"/>
        </w:rPr>
        <w:t>sobre</w:t>
      </w:r>
      <w:r w:rsidR="00EE0F2E" w:rsidRPr="00285CD3">
        <w:rPr>
          <w:rFonts w:ascii="TimesNewRomanPSMT" w:hAnsi="TimesNewRomanPSMT" w:cs="TimesNewRomanPSMT"/>
          <w:lang w:val="es-ES_tradnl"/>
        </w:rPr>
        <w:t xml:space="preserve"> la normativa legal</w:t>
      </w:r>
      <w:r>
        <w:rPr>
          <w:rFonts w:ascii="TimesNewRomanPSMT" w:hAnsi="TimesNewRomanPSMT" w:cs="TimesNewRomanPSMT"/>
          <w:lang w:val="es-ES_tradnl"/>
        </w:rPr>
        <w:t xml:space="preserve"> y las medidas de protección</w:t>
      </w:r>
      <w:r w:rsidR="00EE0F2E" w:rsidRPr="00285CD3">
        <w:rPr>
          <w:rFonts w:ascii="TimesNewRomanPSMT" w:hAnsi="TimesNewRomanPSMT" w:cs="TimesNewRomanPSMT"/>
          <w:lang w:val="es-ES_tradnl"/>
        </w:rPr>
        <w:t xml:space="preserve"> en cuestio</w:t>
      </w:r>
      <w:r>
        <w:rPr>
          <w:rFonts w:ascii="TimesNewRomanPSMT" w:hAnsi="TimesNewRomanPSMT" w:cs="TimesNewRomanPSMT"/>
          <w:lang w:val="es-ES_tradnl"/>
        </w:rPr>
        <w:t>nes de VCM</w:t>
      </w:r>
      <w:r w:rsidR="00F53565">
        <w:rPr>
          <w:rFonts w:ascii="TimesNewRomanPSMT" w:hAnsi="TimesNewRomanPSMT" w:cs="TimesNewRomanPSMT"/>
          <w:lang w:val="es-ES_tradnl"/>
        </w:rPr>
        <w:t xml:space="preserve">, </w:t>
      </w:r>
      <w:r>
        <w:rPr>
          <w:rFonts w:ascii="TimesNewRomanPSMT" w:hAnsi="TimesNewRomanPSMT" w:cs="TimesNewRomanPSMT"/>
          <w:lang w:val="es-ES_tradnl"/>
        </w:rPr>
        <w:t xml:space="preserve">y </w:t>
      </w:r>
      <w:r w:rsidR="00F53565">
        <w:rPr>
          <w:rFonts w:ascii="TimesNewRomanPSMT" w:hAnsi="TimesNewRomanPSMT" w:cs="TimesNewRomanPSMT"/>
          <w:lang w:val="es-ES_tradnl"/>
        </w:rPr>
        <w:t>además</w:t>
      </w:r>
      <w:r w:rsidR="00EE0F2E" w:rsidRPr="00285CD3">
        <w:rPr>
          <w:rFonts w:ascii="TimesNewRomanPSMT" w:hAnsi="TimesNewRomanPSMT" w:cs="TimesNewRomanPSMT"/>
          <w:lang w:val="es-ES_tradnl"/>
        </w:rPr>
        <w:t xml:space="preserve">, </w:t>
      </w:r>
      <w:r w:rsidR="00FB5760">
        <w:rPr>
          <w:rFonts w:ascii="TimesNewRomanPSMT" w:hAnsi="TimesNewRomanPSMT" w:cs="TimesNewRomanPSMT"/>
          <w:lang w:val="es-ES_tradnl"/>
        </w:rPr>
        <w:t>proporcionará una</w:t>
      </w:r>
      <w:r w:rsidR="00C776CC">
        <w:rPr>
          <w:rFonts w:ascii="TimesNewRomanPSMT" w:hAnsi="TimesNewRomanPSMT" w:cs="TimesNewRomanPSMT"/>
          <w:lang w:val="es-ES_tradnl"/>
        </w:rPr>
        <w:t xml:space="preserve"> </w:t>
      </w:r>
      <w:r w:rsidR="00F53565">
        <w:rPr>
          <w:rFonts w:ascii="TimesNewRomanPSMT" w:hAnsi="TimesNewRomanPSMT" w:cs="TimesNewRomanPSMT"/>
          <w:lang w:val="es-ES_tradnl"/>
        </w:rPr>
        <w:t>atención con enfoque de derechos humanos</w:t>
      </w:r>
      <w:r>
        <w:rPr>
          <w:rFonts w:ascii="TimesNewRomanPSMT" w:hAnsi="TimesNewRomanPSMT" w:cs="TimesNewRomanPSMT"/>
          <w:lang w:val="es-ES_tradnl"/>
        </w:rPr>
        <w:t xml:space="preserve">, evitando </w:t>
      </w:r>
      <w:r w:rsidR="00F53565">
        <w:rPr>
          <w:rFonts w:ascii="TimesNewRomanPSMT" w:hAnsi="TimesNewRomanPSMT" w:cs="TimesNewRomanPSMT"/>
          <w:lang w:val="es-ES_tradnl"/>
        </w:rPr>
        <w:t xml:space="preserve">así </w:t>
      </w:r>
      <w:r>
        <w:rPr>
          <w:rFonts w:ascii="TimesNewRomanPSMT" w:hAnsi="TimesNewRomanPSMT" w:cs="TimesNewRomanPSMT"/>
          <w:lang w:val="es-ES_tradnl"/>
        </w:rPr>
        <w:t>la revictimización</w:t>
      </w:r>
      <w:r w:rsidR="00F53565">
        <w:rPr>
          <w:rFonts w:ascii="TimesNewRomanPSMT" w:hAnsi="TimesNewRomanPSMT" w:cs="TimesNewRomanPSMT"/>
          <w:lang w:val="es-ES_tradnl"/>
        </w:rPr>
        <w:t xml:space="preserve"> de las mujeres</w:t>
      </w:r>
      <w:r>
        <w:rPr>
          <w:rFonts w:ascii="TimesNewRomanPSMT" w:hAnsi="TimesNewRomanPSMT" w:cs="TimesNewRomanPSMT"/>
          <w:lang w:val="es-ES_tradnl"/>
        </w:rPr>
        <w:t>. La revictimización es</w:t>
      </w:r>
      <w:r w:rsidR="00EE0F2E" w:rsidRPr="00285CD3">
        <w:rPr>
          <w:rFonts w:ascii="TimesNewRomanPSMT" w:hAnsi="TimesNewRomanPSMT" w:cs="TimesNewRomanPSMT"/>
          <w:lang w:val="es-ES_tradnl"/>
        </w:rPr>
        <w:t xml:space="preserve"> uno de los principales factores que incrementan la desconfianza en la PNP</w:t>
      </w:r>
      <w:r w:rsidR="00F403E3" w:rsidRPr="00285CD3">
        <w:rPr>
          <w:rFonts w:ascii="TimesNewRomanPSMT" w:hAnsi="TimesNewRomanPSMT" w:cs="TimesNewRomanPSMT"/>
          <w:lang w:val="es-ES_tradnl"/>
        </w:rPr>
        <w:t xml:space="preserve"> y no contribuyen a </w:t>
      </w:r>
      <w:r w:rsidR="00FC7008" w:rsidRPr="00285CD3">
        <w:rPr>
          <w:rFonts w:ascii="TimesNewRomanPSMT" w:hAnsi="TimesNewRomanPSMT" w:cs="TimesNewRomanPSMT"/>
          <w:lang w:val="es-ES_tradnl"/>
        </w:rPr>
        <w:t xml:space="preserve">la disposición de las mujeres a denunciar </w:t>
      </w:r>
      <w:r w:rsidR="00F403E3" w:rsidRPr="00285CD3">
        <w:rPr>
          <w:rFonts w:ascii="TimesNewRomanPSMT" w:hAnsi="TimesNewRomanPSMT" w:cs="TimesNewRomanPSMT"/>
          <w:lang w:val="es-ES_tradnl"/>
        </w:rPr>
        <w:t xml:space="preserve">este </w:t>
      </w:r>
      <w:r w:rsidR="00FC7008" w:rsidRPr="00285CD3">
        <w:rPr>
          <w:rFonts w:ascii="TimesNewRomanPSMT" w:hAnsi="TimesNewRomanPSMT" w:cs="TimesNewRomanPSMT"/>
          <w:lang w:val="es-ES_tradnl"/>
        </w:rPr>
        <w:t xml:space="preserve">tipo de </w:t>
      </w:r>
      <w:r w:rsidR="00F403E3" w:rsidRPr="00285CD3">
        <w:rPr>
          <w:rFonts w:ascii="TimesNewRomanPSMT" w:hAnsi="TimesNewRomanPSMT" w:cs="TimesNewRomanPSMT"/>
          <w:lang w:val="es-ES_tradnl"/>
        </w:rPr>
        <w:t>delito</w:t>
      </w:r>
      <w:r w:rsidR="00EE0F2E" w:rsidRPr="00285CD3">
        <w:rPr>
          <w:rFonts w:ascii="TimesNewRomanPSMT" w:hAnsi="TimesNewRomanPSMT" w:cs="TimesNewRomanPSMT"/>
          <w:lang w:val="es-ES_tradnl"/>
        </w:rPr>
        <w:t xml:space="preserve">. </w:t>
      </w:r>
      <w:r w:rsidR="0041792D" w:rsidRPr="00285CD3">
        <w:rPr>
          <w:rFonts w:ascii="TimesNewRomanPSMT" w:hAnsi="TimesNewRomanPSMT" w:cs="TimesNewRomanPSMT"/>
          <w:lang w:val="es-ES_tradnl"/>
        </w:rPr>
        <w:t>Además, la capacitación adecuada al personal policial evitará la inacción y el abuso de autorida</w:t>
      </w:r>
      <w:r w:rsidR="00FB5760">
        <w:rPr>
          <w:rFonts w:ascii="TimesNewRomanPSMT" w:hAnsi="TimesNewRomanPSMT" w:cs="TimesNewRomanPSMT"/>
          <w:lang w:val="es-ES_tradnl"/>
        </w:rPr>
        <w:t>d por parte de los oficiales hacia</w:t>
      </w:r>
      <w:r w:rsidR="0041792D" w:rsidRPr="00285CD3">
        <w:rPr>
          <w:rFonts w:ascii="TimesNewRomanPSMT" w:hAnsi="TimesNewRomanPSMT" w:cs="TimesNewRomanPSMT"/>
          <w:lang w:val="es-ES_tradnl"/>
        </w:rPr>
        <w:t xml:space="preserve"> las víctimas que están atravesando una situación</w:t>
      </w:r>
      <w:r w:rsidR="00F53565">
        <w:rPr>
          <w:rFonts w:ascii="TimesNewRomanPSMT" w:hAnsi="TimesNewRomanPSMT" w:cs="TimesNewRomanPSMT"/>
          <w:lang w:val="es-ES_tradnl"/>
        </w:rPr>
        <w:t xml:space="preserve"> de </w:t>
      </w:r>
      <w:r w:rsidR="0041792D" w:rsidRPr="00285CD3">
        <w:rPr>
          <w:rFonts w:ascii="TimesNewRomanPSMT" w:hAnsi="TimesNewRomanPSMT" w:cs="TimesNewRomanPSMT"/>
          <w:lang w:val="es-ES_tradnl"/>
        </w:rPr>
        <w:t>extrema</w:t>
      </w:r>
      <w:r w:rsidR="00F53565">
        <w:rPr>
          <w:rFonts w:ascii="TimesNewRomanPSMT" w:hAnsi="TimesNewRomanPSMT" w:cs="TimesNewRomanPSMT"/>
          <w:lang w:val="es-ES_tradnl"/>
        </w:rPr>
        <w:t xml:space="preserve"> vulnerabilidad</w:t>
      </w:r>
      <w:r w:rsidR="0041792D" w:rsidRPr="00285CD3">
        <w:rPr>
          <w:rFonts w:ascii="TimesNewRomanPSMT" w:hAnsi="TimesNewRomanPSMT" w:cs="TimesNewRomanPSMT"/>
          <w:lang w:val="es-ES_tradnl"/>
        </w:rPr>
        <w:t xml:space="preserve">.  </w:t>
      </w:r>
    </w:p>
    <w:p w14:paraId="11860FA5" w14:textId="77777777" w:rsidR="00F403E3" w:rsidRDefault="00F403E3" w:rsidP="005A172C">
      <w:pPr>
        <w:autoSpaceDE w:val="0"/>
        <w:autoSpaceDN w:val="0"/>
        <w:adjustRightInd w:val="0"/>
        <w:spacing w:after="0" w:line="240" w:lineRule="auto"/>
        <w:rPr>
          <w:rFonts w:ascii="TimesNewRomanPSMT" w:hAnsi="TimesNewRomanPSMT" w:cs="TimesNewRomanPSMT"/>
          <w:lang w:val="es-ES_tradnl"/>
        </w:rPr>
      </w:pPr>
    </w:p>
    <w:p w14:paraId="5F12E5E3" w14:textId="66A94268" w:rsidR="00F403E3" w:rsidRDefault="00F403E3" w:rsidP="00E3321F">
      <w:pPr>
        <w:autoSpaceDE w:val="0"/>
        <w:autoSpaceDN w:val="0"/>
        <w:adjustRightInd w:val="0"/>
        <w:spacing w:after="0" w:line="240" w:lineRule="auto"/>
        <w:jc w:val="both"/>
        <w:rPr>
          <w:rFonts w:ascii="TimesNewRomanPSMT" w:hAnsi="TimesNewRomanPSMT" w:cs="TimesNewRomanPSMT"/>
          <w:lang w:val="es-ES_tradnl"/>
        </w:rPr>
      </w:pPr>
      <w:r>
        <w:rPr>
          <w:rFonts w:ascii="TimesNewRomanPSMT" w:hAnsi="TimesNewRomanPSMT" w:cs="TimesNewRomanPSMT"/>
          <w:lang w:val="es-ES_tradnl"/>
        </w:rPr>
        <w:t xml:space="preserve">Actualmente, </w:t>
      </w:r>
      <w:r w:rsidR="00FC7008">
        <w:rPr>
          <w:rFonts w:ascii="TimesNewRomanPSMT" w:hAnsi="TimesNewRomanPSMT" w:cs="TimesNewRomanPSMT"/>
          <w:lang w:val="es-ES_tradnl"/>
        </w:rPr>
        <w:t xml:space="preserve">existe una baja formación, capacitación y especialización del personal de la PNP en el modelo comunitario. Casi el 100% de los egresados (oficiales y suboficiales) de la Escuela Nacional de </w:t>
      </w:r>
      <w:r w:rsidR="004146F5">
        <w:rPr>
          <w:rFonts w:ascii="TimesNewRomanPSMT" w:hAnsi="TimesNewRomanPSMT" w:cs="TimesNewRomanPSMT"/>
          <w:lang w:val="es-ES_tradnl"/>
        </w:rPr>
        <w:t>Formación</w:t>
      </w:r>
      <w:r w:rsidR="00FC7008">
        <w:rPr>
          <w:rFonts w:ascii="TimesNewRomanPSMT" w:hAnsi="TimesNewRomanPSMT" w:cs="TimesNewRomanPSMT"/>
          <w:lang w:val="es-ES_tradnl"/>
        </w:rPr>
        <w:t xml:space="preserve"> Policial (ENFPP) tuvieron un desempeño malo o regular en las competencias relacionadas con </w:t>
      </w:r>
      <w:r w:rsidR="004146F5">
        <w:rPr>
          <w:rFonts w:ascii="TimesNewRomanPSMT" w:hAnsi="TimesNewRomanPSMT" w:cs="TimesNewRomanPSMT"/>
          <w:lang w:val="es-ES_tradnl"/>
        </w:rPr>
        <w:t>policía</w:t>
      </w:r>
      <w:r w:rsidR="00FC7008">
        <w:rPr>
          <w:rFonts w:ascii="TimesNewRomanPSMT" w:hAnsi="TimesNewRomanPSMT" w:cs="TimesNewRomanPSMT"/>
          <w:lang w:val="es-ES_tradnl"/>
        </w:rPr>
        <w:t xml:space="preserve"> comunitario en las ultimas evaluación.</w:t>
      </w:r>
      <w:r w:rsidR="00FC7008">
        <w:rPr>
          <w:rStyle w:val="FootnoteReference"/>
          <w:rFonts w:ascii="TimesNewRomanPSMT" w:hAnsi="TimesNewRomanPSMT" w:cs="TimesNewRomanPSMT"/>
          <w:lang w:val="es-ES_tradnl"/>
        </w:rPr>
        <w:footnoteReference w:id="15"/>
      </w:r>
      <w:r w:rsidR="004146F5">
        <w:rPr>
          <w:rFonts w:ascii="TimesNewRomanPSMT" w:hAnsi="TimesNewRomanPSMT" w:cs="TimesNewRomanPSMT"/>
          <w:lang w:val="es-ES_tradnl"/>
        </w:rPr>
        <w:t xml:space="preserve"> De igual manera, esto implica una mala o regular formación en el abordaje</w:t>
      </w:r>
      <w:r w:rsidR="00F53565">
        <w:rPr>
          <w:rFonts w:ascii="TimesNewRomanPSMT" w:hAnsi="TimesNewRomanPSMT" w:cs="TimesNewRomanPSMT"/>
          <w:lang w:val="es-ES_tradnl"/>
        </w:rPr>
        <w:t xml:space="preserve"> y tratamiento</w:t>
      </w:r>
      <w:r w:rsidR="004146F5">
        <w:rPr>
          <w:rFonts w:ascii="TimesNewRomanPSMT" w:hAnsi="TimesNewRomanPSMT" w:cs="TimesNewRomanPSMT"/>
          <w:lang w:val="es-ES_tradnl"/>
        </w:rPr>
        <w:t xml:space="preserve"> a las </w:t>
      </w:r>
      <w:r w:rsidR="00F53565">
        <w:rPr>
          <w:rFonts w:ascii="TimesNewRomanPSMT" w:hAnsi="TimesNewRomanPSMT" w:cs="TimesNewRomanPSMT"/>
          <w:lang w:val="es-ES_tradnl"/>
        </w:rPr>
        <w:t>víctimas</w:t>
      </w:r>
      <w:r w:rsidR="004146F5">
        <w:rPr>
          <w:rFonts w:ascii="TimesNewRomanPSMT" w:hAnsi="TimesNewRomanPSMT" w:cs="TimesNewRomanPSMT"/>
          <w:lang w:val="es-ES_tradnl"/>
        </w:rPr>
        <w:t xml:space="preserve"> de violencia familiar y sexual por parte de la PNP.  </w:t>
      </w:r>
    </w:p>
    <w:p w14:paraId="730A1119" w14:textId="77777777" w:rsidR="004146F5" w:rsidRDefault="004146F5" w:rsidP="00E3321F">
      <w:pPr>
        <w:autoSpaceDE w:val="0"/>
        <w:autoSpaceDN w:val="0"/>
        <w:adjustRightInd w:val="0"/>
        <w:spacing w:after="0" w:line="240" w:lineRule="auto"/>
        <w:jc w:val="both"/>
        <w:rPr>
          <w:rFonts w:ascii="TimesNewRomanPSMT" w:hAnsi="TimesNewRomanPSMT" w:cs="TimesNewRomanPSMT"/>
          <w:lang w:val="es-ES_tradnl"/>
        </w:rPr>
      </w:pPr>
    </w:p>
    <w:p w14:paraId="643EF1E7" w14:textId="7B665C01" w:rsidR="004146F5" w:rsidRDefault="004146F5" w:rsidP="00E3321F">
      <w:pPr>
        <w:autoSpaceDE w:val="0"/>
        <w:autoSpaceDN w:val="0"/>
        <w:adjustRightInd w:val="0"/>
        <w:spacing w:after="0" w:line="240" w:lineRule="auto"/>
        <w:jc w:val="both"/>
        <w:rPr>
          <w:rFonts w:ascii="TimesNewRomanPSMT" w:hAnsi="TimesNewRomanPSMT" w:cs="TimesNewRomanPSMT"/>
          <w:lang w:val="es-ES_tradnl"/>
        </w:rPr>
      </w:pPr>
      <w:r>
        <w:rPr>
          <w:rFonts w:ascii="TimesNewRomanPSMT" w:hAnsi="TimesNewRomanPSMT" w:cs="TimesNewRomanPSMT"/>
          <w:lang w:val="es-ES_tradnl"/>
        </w:rPr>
        <w:t xml:space="preserve">Además, la ENFPP no cuenta con una malla curricular estructurada </w:t>
      </w:r>
      <w:r w:rsidR="003E5222">
        <w:rPr>
          <w:rFonts w:ascii="TimesNewRomanPSMT" w:hAnsi="TimesNewRomanPSMT" w:cs="TimesNewRomanPSMT"/>
          <w:lang w:val="es-ES_tradnl"/>
        </w:rPr>
        <w:t>con enfoque en policía comunitario, que desarrolle las competencias para prevenir delitos y construir vinculo de confianza con la comunidad.</w:t>
      </w:r>
      <w:r w:rsidR="003E5222">
        <w:rPr>
          <w:rStyle w:val="FootnoteReference"/>
          <w:rFonts w:ascii="TimesNewRomanPSMT" w:hAnsi="TimesNewRomanPSMT" w:cs="TimesNewRomanPSMT"/>
          <w:lang w:val="es-ES_tradnl"/>
        </w:rPr>
        <w:footnoteReference w:id="16"/>
      </w:r>
      <w:r w:rsidR="003E5222">
        <w:rPr>
          <w:rFonts w:ascii="TimesNewRomanPSMT" w:hAnsi="TimesNewRomanPSMT" w:cs="TimesNewRomanPSMT"/>
          <w:lang w:val="es-ES_tradnl"/>
        </w:rPr>
        <w:t xml:space="preserve"> Así mismo, entre el 2012 y 2014, solo 120 oficiales y suboficiales de la PNP recibieron algún tipo de capacitación en policía comunitario.</w:t>
      </w:r>
      <w:r w:rsidR="003E5222">
        <w:rPr>
          <w:rStyle w:val="FootnoteReference"/>
          <w:rFonts w:ascii="TimesNewRomanPSMT" w:hAnsi="TimesNewRomanPSMT" w:cs="TimesNewRomanPSMT"/>
          <w:lang w:val="es-ES_tradnl"/>
        </w:rPr>
        <w:footnoteReference w:id="17"/>
      </w:r>
      <w:r w:rsidR="003E5222">
        <w:rPr>
          <w:rFonts w:ascii="TimesNewRomanPSMT" w:hAnsi="TimesNewRomanPSMT" w:cs="TimesNewRomanPSMT"/>
          <w:lang w:val="es-ES_tradnl"/>
        </w:rPr>
        <w:t xml:space="preserve"> </w:t>
      </w:r>
      <w:r w:rsidR="00E3321F">
        <w:rPr>
          <w:rFonts w:ascii="TimesNewRomanPSMT" w:hAnsi="TimesNewRomanPSMT" w:cs="TimesNewRomanPSMT"/>
          <w:lang w:val="es-ES_tradnl"/>
        </w:rPr>
        <w:t>En un análisis</w:t>
      </w:r>
      <w:r w:rsidR="003E5222">
        <w:rPr>
          <w:rFonts w:ascii="TimesNewRomanPSMT" w:hAnsi="TimesNewRomanPSMT" w:cs="TimesNewRomanPSMT"/>
          <w:lang w:val="es-ES_tradnl"/>
        </w:rPr>
        <w:t xml:space="preserve"> reciente </w:t>
      </w:r>
      <w:r w:rsidR="00E3321F">
        <w:rPr>
          <w:rFonts w:ascii="TimesNewRomanPSMT" w:hAnsi="TimesNewRomanPSMT" w:cs="TimesNewRomanPSMT"/>
          <w:lang w:val="es-ES_tradnl"/>
        </w:rPr>
        <w:t>sobre las</w:t>
      </w:r>
      <w:r w:rsidR="003E5222">
        <w:rPr>
          <w:rFonts w:ascii="TimesNewRomanPSMT" w:hAnsi="TimesNewRomanPSMT" w:cs="TimesNewRomanPSMT"/>
          <w:lang w:val="es-ES_tradnl"/>
        </w:rPr>
        <w:t xml:space="preserve"> competencias en la ENFPP</w:t>
      </w:r>
      <w:r w:rsidR="00E3321F">
        <w:rPr>
          <w:rFonts w:ascii="TimesNewRomanPSMT" w:hAnsi="TimesNewRomanPSMT" w:cs="TimesNewRomanPSMT"/>
          <w:lang w:val="es-ES_tradnl"/>
        </w:rPr>
        <w:t>,</w:t>
      </w:r>
      <w:r w:rsidR="003E5222">
        <w:rPr>
          <w:rFonts w:ascii="TimesNewRomanPSMT" w:hAnsi="TimesNewRomanPSMT" w:cs="TimesNewRomanPSMT"/>
          <w:lang w:val="es-ES_tradnl"/>
        </w:rPr>
        <w:t xml:space="preserve"> </w:t>
      </w:r>
      <w:r w:rsidR="00F53565">
        <w:rPr>
          <w:rFonts w:ascii="TimesNewRomanPSMT" w:hAnsi="TimesNewRomanPSMT" w:cs="TimesNewRomanPSMT"/>
          <w:lang w:val="es-ES_tradnl"/>
        </w:rPr>
        <w:t>reveló</w:t>
      </w:r>
      <w:r w:rsidR="00E3321F">
        <w:rPr>
          <w:rFonts w:ascii="TimesNewRomanPSMT" w:hAnsi="TimesNewRomanPSMT" w:cs="TimesNewRomanPSMT"/>
          <w:lang w:val="es-ES_tradnl"/>
        </w:rPr>
        <w:t xml:space="preserve"> </w:t>
      </w:r>
      <w:r w:rsidR="00E3321F">
        <w:rPr>
          <w:rFonts w:ascii="TimesNewRomanPSMT" w:hAnsi="TimesNewRomanPSMT" w:cs="TimesNewRomanPSMT"/>
          <w:lang w:val="es-ES_tradnl"/>
        </w:rPr>
        <w:lastRenderedPageBreak/>
        <w:t xml:space="preserve">que tan solo entre el 37% y 44% de los créditos de la capacitación para la policía, se vinculan con el plan de estudio básico para la formación de policía comunitario. </w:t>
      </w:r>
      <w:r w:rsidR="00E3321F">
        <w:rPr>
          <w:rStyle w:val="FootnoteReference"/>
          <w:rFonts w:ascii="TimesNewRomanPSMT" w:hAnsi="TimesNewRomanPSMT" w:cs="TimesNewRomanPSMT"/>
          <w:lang w:val="es-ES_tradnl"/>
        </w:rPr>
        <w:footnoteReference w:id="18"/>
      </w:r>
    </w:p>
    <w:p w14:paraId="5DD314A4" w14:textId="77777777" w:rsidR="00B93A50" w:rsidRDefault="00B93A50" w:rsidP="005A172C">
      <w:pPr>
        <w:autoSpaceDE w:val="0"/>
        <w:autoSpaceDN w:val="0"/>
        <w:adjustRightInd w:val="0"/>
        <w:spacing w:after="0" w:line="240" w:lineRule="auto"/>
        <w:rPr>
          <w:rFonts w:ascii="TimesNewRomanPSMT" w:hAnsi="TimesNewRomanPSMT" w:cs="TimesNewRomanPSMT"/>
          <w:lang w:val="es-ES_tradnl"/>
        </w:rPr>
      </w:pPr>
    </w:p>
    <w:p w14:paraId="6934AB66" w14:textId="3C6AB652" w:rsidR="00092B25" w:rsidRDefault="00E3321F" w:rsidP="00B1714C">
      <w:pPr>
        <w:autoSpaceDE w:val="0"/>
        <w:autoSpaceDN w:val="0"/>
        <w:adjustRightInd w:val="0"/>
        <w:spacing w:after="0" w:line="240" w:lineRule="auto"/>
        <w:jc w:val="both"/>
        <w:rPr>
          <w:rFonts w:ascii="TimesNewRomanPSMT" w:hAnsi="TimesNewRomanPSMT" w:cs="TimesNewRomanPSMT"/>
          <w:lang w:val="es-ES_tradnl"/>
        </w:rPr>
      </w:pPr>
      <w:r>
        <w:rPr>
          <w:rFonts w:ascii="TimesNewRomanPSMT" w:hAnsi="TimesNewRomanPSMT" w:cs="TimesNewRomanPSMT"/>
          <w:lang w:val="es-ES_tradnl"/>
        </w:rPr>
        <w:t xml:space="preserve">Por otro lado, la operación fortalecerá la capacidad técnica y tecnológica para generar, gestionar y analizar la información criminal y </w:t>
      </w:r>
      <w:r w:rsidR="005F3336">
        <w:rPr>
          <w:rFonts w:ascii="TimesNewRomanPSMT" w:hAnsi="TimesNewRomanPSMT" w:cs="TimesNewRomanPSMT"/>
          <w:lang w:val="es-ES_tradnl"/>
        </w:rPr>
        <w:t xml:space="preserve">poder </w:t>
      </w:r>
      <w:r>
        <w:rPr>
          <w:rFonts w:ascii="TimesNewRomanPSMT" w:hAnsi="TimesNewRomanPSMT" w:cs="TimesNewRomanPSMT"/>
          <w:lang w:val="es-ES_tradnl"/>
        </w:rPr>
        <w:t xml:space="preserve">planificar acciones locales de prevención del delito. </w:t>
      </w:r>
      <w:r w:rsidR="005F3336">
        <w:rPr>
          <w:rFonts w:ascii="TimesNewRomanPSMT" w:hAnsi="TimesNewRomanPSMT" w:cs="TimesNewRomanPSMT"/>
          <w:lang w:val="es-ES_tradnl"/>
        </w:rPr>
        <w:t xml:space="preserve"> En este</w:t>
      </w:r>
      <w:r w:rsidR="00F91643">
        <w:rPr>
          <w:rFonts w:ascii="TimesNewRomanPSMT" w:hAnsi="TimesNewRomanPSMT" w:cs="TimesNewRomanPSMT"/>
          <w:lang w:val="es-ES_tradnl"/>
        </w:rPr>
        <w:t xml:space="preserve"> sentido, esta actividad mejorará el sistema</w:t>
      </w:r>
      <w:r w:rsidR="00FC1315" w:rsidRPr="00FC1315">
        <w:rPr>
          <w:rFonts w:ascii="TimesNewRomanPSMT" w:hAnsi="TimesNewRomanPSMT" w:cs="TimesNewRomanPSMT"/>
          <w:lang w:val="es-ES_tradnl"/>
        </w:rPr>
        <w:t xml:space="preserve"> </w:t>
      </w:r>
      <w:r w:rsidR="00F91643">
        <w:rPr>
          <w:rFonts w:ascii="TimesNewRomanPSMT" w:hAnsi="TimesNewRomanPSMT" w:cs="TimesNewRomanPSMT"/>
          <w:lang w:val="es-ES_tradnl"/>
        </w:rPr>
        <w:t>de</w:t>
      </w:r>
      <w:r w:rsidR="005F3336">
        <w:rPr>
          <w:rFonts w:ascii="TimesNewRomanPSMT" w:hAnsi="TimesNewRomanPSMT" w:cs="TimesNewRomanPSMT"/>
          <w:lang w:val="es-ES_tradnl"/>
        </w:rPr>
        <w:t xml:space="preserve"> </w:t>
      </w:r>
      <w:r w:rsidR="002E25C8">
        <w:rPr>
          <w:rFonts w:ascii="TimesNewRomanPSMT" w:hAnsi="TimesNewRomanPSMT" w:cs="TimesNewRomanPSMT"/>
          <w:lang w:val="es-ES_tradnl"/>
        </w:rPr>
        <w:t>gestión del conocimiento</w:t>
      </w:r>
      <w:r w:rsidR="00F91643">
        <w:rPr>
          <w:rFonts w:ascii="TimesNewRomanPSMT" w:hAnsi="TimesNewRomanPSMT" w:cs="TimesNewRomanPSMT"/>
          <w:lang w:val="es-ES_tradnl"/>
        </w:rPr>
        <w:t>,</w:t>
      </w:r>
      <w:r w:rsidR="002E25C8">
        <w:rPr>
          <w:rFonts w:ascii="TimesNewRomanPSMT" w:hAnsi="TimesNewRomanPSMT" w:cs="TimesNewRomanPSMT"/>
          <w:lang w:val="es-ES_tradnl"/>
        </w:rPr>
        <w:t xml:space="preserve"> </w:t>
      </w:r>
      <w:r w:rsidR="00F91643">
        <w:rPr>
          <w:rFonts w:ascii="TimesNewRomanPSMT" w:hAnsi="TimesNewRomanPSMT" w:cs="TimesNewRomanPSMT"/>
          <w:lang w:val="es-ES_tradnl"/>
        </w:rPr>
        <w:t>al crear un único repositorio de datos que alberg</w:t>
      </w:r>
      <w:r w:rsidR="006B3547">
        <w:rPr>
          <w:rFonts w:ascii="TimesNewRomanPSMT" w:hAnsi="TimesNewRomanPSMT" w:cs="TimesNewRomanPSMT"/>
          <w:lang w:val="es-ES_tradnl"/>
        </w:rPr>
        <w:t xml:space="preserve">ue </w:t>
      </w:r>
      <w:r w:rsidR="00F91643">
        <w:rPr>
          <w:rFonts w:ascii="TimesNewRomanPSMT" w:hAnsi="TimesNewRomanPSMT" w:cs="TimesNewRomanPSMT"/>
          <w:lang w:val="es-ES_tradnl"/>
        </w:rPr>
        <w:t>e interconect</w:t>
      </w:r>
      <w:r w:rsidR="006B3547">
        <w:rPr>
          <w:rFonts w:ascii="TimesNewRomanPSMT" w:hAnsi="TimesNewRomanPSMT" w:cs="TimesNewRomanPSMT"/>
          <w:lang w:val="es-ES_tradnl"/>
        </w:rPr>
        <w:t>e</w:t>
      </w:r>
      <w:r w:rsidR="00F91643">
        <w:rPr>
          <w:rFonts w:ascii="TimesNewRomanPSMT" w:hAnsi="TimesNewRomanPSMT" w:cs="TimesNewRomanPSMT"/>
          <w:lang w:val="es-ES_tradnl"/>
        </w:rPr>
        <w:t xml:space="preserve"> los datos de varias agencias del estado; el MININTER, el MIMP, el Ministerio Publico y la PNP</w:t>
      </w:r>
      <w:r w:rsidR="005F3336">
        <w:rPr>
          <w:rFonts w:ascii="TimesNewRomanPSMT" w:hAnsi="TimesNewRomanPSMT" w:cs="TimesNewRomanPSMT"/>
          <w:lang w:val="es-ES_tradnl"/>
        </w:rPr>
        <w:t>.</w:t>
      </w:r>
      <w:r w:rsidR="00AA57E7">
        <w:rPr>
          <w:rStyle w:val="FootnoteReference"/>
          <w:rFonts w:ascii="TimesNewRomanPSMT" w:hAnsi="TimesNewRomanPSMT" w:cs="TimesNewRomanPSMT"/>
          <w:lang w:val="es-ES_tradnl"/>
        </w:rPr>
        <w:footnoteReference w:id="19"/>
      </w:r>
      <w:r w:rsidR="005F3336">
        <w:rPr>
          <w:rFonts w:ascii="TimesNewRomanPSMT" w:hAnsi="TimesNewRomanPSMT" w:cs="TimesNewRomanPSMT"/>
          <w:lang w:val="es-ES_tradnl"/>
        </w:rPr>
        <w:t xml:space="preserve"> </w:t>
      </w:r>
      <w:r w:rsidR="00126864">
        <w:rPr>
          <w:rFonts w:ascii="TimesNewRomanPSMT" w:hAnsi="TimesNewRomanPSMT" w:cs="TimesNewRomanPSMT"/>
          <w:lang w:val="es-ES_tradnl"/>
        </w:rPr>
        <w:t>Se espera que l</w:t>
      </w:r>
      <w:r w:rsidR="005F3336">
        <w:rPr>
          <w:rFonts w:ascii="TimesNewRomanPSMT" w:hAnsi="TimesNewRomanPSMT" w:cs="TimesNewRomanPSMT"/>
          <w:lang w:val="es-ES_tradnl"/>
        </w:rPr>
        <w:t xml:space="preserve">a PNP </w:t>
      </w:r>
      <w:r w:rsidR="00126864">
        <w:rPr>
          <w:rFonts w:ascii="TimesNewRomanPSMT" w:hAnsi="TimesNewRomanPSMT" w:cs="TimesNewRomanPSMT"/>
          <w:lang w:val="es-ES_tradnl"/>
        </w:rPr>
        <w:t>tenga</w:t>
      </w:r>
      <w:r w:rsidR="005F3336">
        <w:rPr>
          <w:rFonts w:ascii="TimesNewRomanPSMT" w:hAnsi="TimesNewRomanPSMT" w:cs="TimesNewRomanPSMT"/>
          <w:lang w:val="es-ES_tradnl"/>
        </w:rPr>
        <w:t xml:space="preserve"> mejores habilidade</w:t>
      </w:r>
      <w:r w:rsidR="00F91643">
        <w:rPr>
          <w:rFonts w:ascii="TimesNewRomanPSMT" w:hAnsi="TimesNewRomanPSMT" w:cs="TimesNewRomanPSMT"/>
          <w:lang w:val="es-ES_tradnl"/>
        </w:rPr>
        <w:t xml:space="preserve">s para analizar adecuadamente </w:t>
      </w:r>
      <w:r w:rsidR="006B3547">
        <w:rPr>
          <w:rFonts w:ascii="TimesNewRomanPSMT" w:hAnsi="TimesNewRomanPSMT" w:cs="TimesNewRomanPSMT"/>
          <w:lang w:val="es-ES_tradnl"/>
        </w:rPr>
        <w:t>lo</w:t>
      </w:r>
      <w:r w:rsidR="005F3336">
        <w:rPr>
          <w:rFonts w:ascii="TimesNewRomanPSMT" w:hAnsi="TimesNewRomanPSMT" w:cs="TimesNewRomanPSMT"/>
          <w:lang w:val="es-ES_tradnl"/>
        </w:rPr>
        <w:t>s</w:t>
      </w:r>
      <w:r w:rsidR="006B3547">
        <w:rPr>
          <w:rFonts w:ascii="TimesNewRomanPSMT" w:hAnsi="TimesNewRomanPSMT" w:cs="TimesNewRomanPSMT"/>
          <w:lang w:val="es-ES_tradnl"/>
        </w:rPr>
        <w:t xml:space="preserve"> casos de</w:t>
      </w:r>
      <w:r w:rsidR="005F3336">
        <w:rPr>
          <w:rFonts w:ascii="TimesNewRomanPSMT" w:hAnsi="TimesNewRomanPSMT" w:cs="TimesNewRomanPSMT"/>
          <w:lang w:val="es-ES_tradnl"/>
        </w:rPr>
        <w:t xml:space="preserve"> </w:t>
      </w:r>
      <w:r w:rsidR="00921671">
        <w:rPr>
          <w:rFonts w:ascii="TimesNewRomanPSMT" w:hAnsi="TimesNewRomanPSMT" w:cs="TimesNewRomanPSMT"/>
          <w:lang w:val="es-ES_tradnl"/>
        </w:rPr>
        <w:t>denuncias</w:t>
      </w:r>
      <w:r w:rsidR="006B3547">
        <w:rPr>
          <w:rFonts w:ascii="TimesNewRomanPSMT" w:hAnsi="TimesNewRomanPSMT" w:cs="TimesNewRomanPSMT"/>
          <w:lang w:val="es-ES_tradnl"/>
        </w:rPr>
        <w:t xml:space="preserve"> por</w:t>
      </w:r>
      <w:r w:rsidR="00C4383B">
        <w:rPr>
          <w:rFonts w:ascii="TimesNewRomanPSMT" w:hAnsi="TimesNewRomanPSMT" w:cs="TimesNewRomanPSMT"/>
          <w:lang w:val="es-ES_tradnl"/>
        </w:rPr>
        <w:t xml:space="preserve"> violencia </w:t>
      </w:r>
      <w:r w:rsidR="006B3547">
        <w:rPr>
          <w:rFonts w:ascii="TimesNewRomanPSMT" w:hAnsi="TimesNewRomanPSMT" w:cs="TimesNewRomanPSMT"/>
          <w:lang w:val="es-ES_tradnl"/>
        </w:rPr>
        <w:t>contra la mujer</w:t>
      </w:r>
      <w:r w:rsidR="00921671">
        <w:rPr>
          <w:rFonts w:ascii="TimesNewRomanPSMT" w:hAnsi="TimesNewRomanPSMT" w:cs="TimesNewRomanPSMT"/>
          <w:lang w:val="es-ES_tradnl"/>
        </w:rPr>
        <w:t>,</w:t>
      </w:r>
      <w:r w:rsidR="00FC1315" w:rsidRPr="00FC1315">
        <w:rPr>
          <w:rFonts w:ascii="TimesNewRomanPSMT" w:hAnsi="TimesNewRomanPSMT" w:cs="TimesNewRomanPSMT"/>
          <w:lang w:val="es-ES_tradnl"/>
        </w:rPr>
        <w:t xml:space="preserve"> </w:t>
      </w:r>
      <w:r w:rsidR="005F3336">
        <w:rPr>
          <w:rFonts w:ascii="TimesNewRomanPSMT" w:hAnsi="TimesNewRomanPSMT" w:cs="TimesNewRomanPSMT"/>
          <w:lang w:val="es-ES_tradnl"/>
        </w:rPr>
        <w:t xml:space="preserve">y </w:t>
      </w:r>
      <w:r w:rsidR="00C4383B">
        <w:rPr>
          <w:rFonts w:ascii="TimesNewRomanPSMT" w:hAnsi="TimesNewRomanPSMT" w:cs="TimesNewRomanPSMT"/>
          <w:lang w:val="es-ES_tradnl"/>
        </w:rPr>
        <w:t>que desarrolle</w:t>
      </w:r>
      <w:r w:rsidR="006B3547">
        <w:rPr>
          <w:rFonts w:ascii="TimesNewRomanPSMT" w:hAnsi="TimesNewRomanPSMT" w:cs="TimesNewRomanPSMT"/>
          <w:lang w:val="es-ES_tradnl"/>
        </w:rPr>
        <w:t xml:space="preserve"> </w:t>
      </w:r>
      <w:r w:rsidR="00921671">
        <w:rPr>
          <w:rFonts w:ascii="TimesNewRomanPSMT" w:hAnsi="TimesNewRomanPSMT" w:cs="TimesNewRomanPSMT"/>
          <w:lang w:val="es-ES_tradnl"/>
        </w:rPr>
        <w:t xml:space="preserve">las </w:t>
      </w:r>
      <w:r w:rsidR="005F3336">
        <w:rPr>
          <w:rFonts w:ascii="TimesNewRomanPSMT" w:hAnsi="TimesNewRomanPSMT" w:cs="TimesNewRomanPSMT"/>
          <w:lang w:val="es-ES_tradnl"/>
        </w:rPr>
        <w:t xml:space="preserve">herramientas </w:t>
      </w:r>
      <w:r w:rsidR="00921671">
        <w:rPr>
          <w:rFonts w:ascii="TimesNewRomanPSMT" w:hAnsi="TimesNewRomanPSMT" w:cs="TimesNewRomanPSMT"/>
          <w:lang w:val="es-ES_tradnl"/>
        </w:rPr>
        <w:t xml:space="preserve">necesarias </w:t>
      </w:r>
      <w:r w:rsidR="005F3336">
        <w:rPr>
          <w:rFonts w:ascii="TimesNewRomanPSMT" w:hAnsi="TimesNewRomanPSMT" w:cs="TimesNewRomanPSMT"/>
          <w:lang w:val="es-ES_tradnl"/>
        </w:rPr>
        <w:t>para prevenir</w:t>
      </w:r>
      <w:r w:rsidR="00FC1315" w:rsidRPr="00FC1315">
        <w:rPr>
          <w:rFonts w:ascii="TimesNewRomanPSMT" w:hAnsi="TimesNewRomanPSMT" w:cs="TimesNewRomanPSMT"/>
          <w:lang w:val="es-ES_tradnl"/>
        </w:rPr>
        <w:t xml:space="preserve"> la escalada de la violencia</w:t>
      </w:r>
      <w:r w:rsidR="005F3336">
        <w:rPr>
          <w:rFonts w:ascii="TimesNewRomanPSMT" w:hAnsi="TimesNewRomanPSMT" w:cs="TimesNewRomanPSMT"/>
          <w:lang w:val="es-ES_tradnl"/>
        </w:rPr>
        <w:t xml:space="preserve"> a tiempo.</w:t>
      </w:r>
      <w:r w:rsidR="00092B25">
        <w:rPr>
          <w:rFonts w:ascii="TimesNewRomanPSMT" w:hAnsi="TimesNewRomanPSMT" w:cs="TimesNewRomanPSMT"/>
          <w:lang w:val="es-ES_tradnl"/>
        </w:rPr>
        <w:t xml:space="preserve"> Además, al mejorar el perfil analítico de</w:t>
      </w:r>
      <w:r w:rsidR="00FB5760">
        <w:rPr>
          <w:rFonts w:ascii="TimesNewRomanPSMT" w:hAnsi="TimesNewRomanPSMT" w:cs="TimesNewRomanPSMT"/>
          <w:lang w:val="es-ES_tradnl"/>
        </w:rPr>
        <w:t xml:space="preserve"> </w:t>
      </w:r>
      <w:r w:rsidR="00092B25">
        <w:rPr>
          <w:rFonts w:ascii="TimesNewRomanPSMT" w:hAnsi="TimesNewRomanPSMT" w:cs="TimesNewRomanPSMT"/>
          <w:lang w:val="es-ES_tradnl"/>
        </w:rPr>
        <w:t>l</w:t>
      </w:r>
      <w:r w:rsidR="00FB5760">
        <w:rPr>
          <w:rFonts w:ascii="TimesNewRomanPSMT" w:hAnsi="TimesNewRomanPSMT" w:cs="TimesNewRomanPSMT"/>
          <w:lang w:val="es-ES_tradnl"/>
        </w:rPr>
        <w:t>a</w:t>
      </w:r>
      <w:r w:rsidR="00092B25">
        <w:rPr>
          <w:rFonts w:ascii="TimesNewRomanPSMT" w:hAnsi="TimesNewRomanPSMT" w:cs="TimesNewRomanPSMT"/>
          <w:lang w:val="es-ES_tradnl"/>
        </w:rPr>
        <w:t xml:space="preserve"> policía se podrá definir las líneas de acción y enfatizar por donde es que se tiene que trabajar. </w:t>
      </w:r>
    </w:p>
    <w:p w14:paraId="4EF892DA" w14:textId="77777777" w:rsidR="00092B25" w:rsidRDefault="00092B25" w:rsidP="00B1714C">
      <w:pPr>
        <w:autoSpaceDE w:val="0"/>
        <w:autoSpaceDN w:val="0"/>
        <w:adjustRightInd w:val="0"/>
        <w:spacing w:after="0" w:line="240" w:lineRule="auto"/>
        <w:jc w:val="both"/>
        <w:rPr>
          <w:rFonts w:ascii="TimesNewRomanPSMT" w:hAnsi="TimesNewRomanPSMT" w:cs="TimesNewRomanPSMT"/>
          <w:lang w:val="es-ES_tradnl"/>
        </w:rPr>
      </w:pPr>
    </w:p>
    <w:p w14:paraId="461C4E60" w14:textId="12FD7ABD" w:rsidR="00FC1315" w:rsidRDefault="00C4383B" w:rsidP="00AA57E7">
      <w:pPr>
        <w:autoSpaceDE w:val="0"/>
        <w:autoSpaceDN w:val="0"/>
        <w:adjustRightInd w:val="0"/>
        <w:spacing w:after="0" w:line="240" w:lineRule="auto"/>
        <w:jc w:val="both"/>
        <w:rPr>
          <w:rFonts w:ascii="TimesNewRomanPSMT" w:hAnsi="TimesNewRomanPSMT" w:cs="TimesNewRomanPSMT"/>
          <w:lang w:val="es-ES_tradnl"/>
        </w:rPr>
      </w:pPr>
      <w:r>
        <w:rPr>
          <w:rFonts w:ascii="TimesNewRomanPSMT" w:hAnsi="TimesNewRomanPSMT" w:cs="TimesNewRomanPSMT"/>
          <w:lang w:val="es-ES_tradnl"/>
        </w:rPr>
        <w:t>La confidencialidad</w:t>
      </w:r>
      <w:r w:rsidR="00AB05B9">
        <w:rPr>
          <w:rFonts w:ascii="TimesNewRomanPSMT" w:hAnsi="TimesNewRomanPSMT" w:cs="TimesNewRomanPSMT"/>
          <w:lang w:val="es-ES_tradnl"/>
        </w:rPr>
        <w:t xml:space="preserve"> de los datos personales de las víctimas y de los agresores </w:t>
      </w:r>
      <w:r>
        <w:rPr>
          <w:rFonts w:ascii="TimesNewRomanPSMT" w:hAnsi="TimesNewRomanPSMT" w:cs="TimesNewRomanPSMT"/>
          <w:lang w:val="es-ES_tradnl"/>
        </w:rPr>
        <w:t>se encuentra protegida bajo la nueva Ley</w:t>
      </w:r>
      <w:r w:rsidR="00AB05B9">
        <w:rPr>
          <w:rFonts w:ascii="TimesNewRomanPSMT" w:hAnsi="TimesNewRomanPSMT" w:cs="TimesNewRomanPSMT"/>
          <w:lang w:val="es-ES_tradnl"/>
        </w:rPr>
        <w:t xml:space="preserve"> de </w:t>
      </w:r>
      <w:r>
        <w:rPr>
          <w:rFonts w:ascii="TimesNewRomanPSMT" w:hAnsi="TimesNewRomanPSMT" w:cs="TimesNewRomanPSMT"/>
          <w:lang w:val="es-ES_tradnl"/>
        </w:rPr>
        <w:t>Protección de Datos P</w:t>
      </w:r>
      <w:r w:rsidR="00AB05B9">
        <w:rPr>
          <w:rFonts w:ascii="TimesNewRomanPSMT" w:hAnsi="TimesNewRomanPSMT" w:cs="TimesNewRomanPSMT"/>
          <w:lang w:val="es-ES_tradnl"/>
        </w:rPr>
        <w:t>ersonales</w:t>
      </w:r>
      <w:r w:rsidR="0072527F">
        <w:rPr>
          <w:rFonts w:ascii="TimesNewRomanPSMT" w:hAnsi="TimesNewRomanPSMT" w:cs="TimesNewRomanPSMT"/>
          <w:lang w:val="es-ES_tradnl"/>
        </w:rPr>
        <w:t xml:space="preserve"> (Ley No. 29733)</w:t>
      </w:r>
      <w:r w:rsidR="00AB05B9">
        <w:rPr>
          <w:rFonts w:ascii="TimesNewRomanPSMT" w:hAnsi="TimesNewRomanPSMT" w:cs="TimesNewRomanPSMT"/>
          <w:lang w:val="es-ES_tradnl"/>
        </w:rPr>
        <w:t xml:space="preserve">, por lo que se </w:t>
      </w:r>
      <w:r>
        <w:rPr>
          <w:rFonts w:ascii="TimesNewRomanPSMT" w:hAnsi="TimesNewRomanPSMT" w:cs="TimesNewRomanPSMT"/>
          <w:lang w:val="es-ES_tradnl"/>
        </w:rPr>
        <w:t>mitigará</w:t>
      </w:r>
      <w:r w:rsidR="00AB05B9">
        <w:rPr>
          <w:rFonts w:ascii="TimesNewRomanPSMT" w:hAnsi="TimesNewRomanPSMT" w:cs="TimesNewRomanPSMT"/>
          <w:lang w:val="es-ES_tradnl"/>
        </w:rPr>
        <w:t xml:space="preserve"> cualquier uso ilegitimo de la información que pueda poner en peligro a las personas cuya información este registrada en la base de da</w:t>
      </w:r>
      <w:r w:rsidR="00472735">
        <w:rPr>
          <w:rFonts w:ascii="TimesNewRomanPSMT" w:hAnsi="TimesNewRomanPSMT" w:cs="TimesNewRomanPSMT"/>
          <w:lang w:val="es-ES_tradnl"/>
        </w:rPr>
        <w:t>tos de</w:t>
      </w:r>
      <w:r w:rsidR="00AB05B9">
        <w:rPr>
          <w:rFonts w:ascii="TimesNewRomanPSMT" w:hAnsi="TimesNewRomanPSMT" w:cs="TimesNewRomanPSMT"/>
          <w:lang w:val="es-ES_tradnl"/>
        </w:rPr>
        <w:t xml:space="preserve"> las comisarías.   </w:t>
      </w:r>
      <w:r w:rsidR="00AA57E7">
        <w:rPr>
          <w:rFonts w:ascii="TimesNewRomanPSMT" w:hAnsi="TimesNewRomanPSMT" w:cs="TimesNewRomanPSMT"/>
          <w:lang w:val="es-ES_tradnl"/>
        </w:rPr>
        <w:t>Actualmente, e</w:t>
      </w:r>
      <w:r w:rsidR="002E0B98">
        <w:rPr>
          <w:rFonts w:ascii="TimesNewRomanPSMT" w:hAnsi="TimesNewRomanPSMT" w:cs="TimesNewRomanPSMT"/>
          <w:lang w:val="es-ES_tradnl"/>
        </w:rPr>
        <w:t>n muchas de las comisarias,</w:t>
      </w:r>
      <w:r w:rsidR="005F3336">
        <w:rPr>
          <w:rFonts w:ascii="TimesNewRomanPSMT" w:hAnsi="TimesNewRomanPSMT" w:cs="TimesNewRomanPSMT"/>
          <w:lang w:val="es-ES_tradnl"/>
        </w:rPr>
        <w:t xml:space="preserve"> </w:t>
      </w:r>
      <w:r w:rsidR="002E0B98">
        <w:rPr>
          <w:rFonts w:ascii="TimesNewRomanPSMT" w:hAnsi="TimesNewRomanPSMT" w:cs="TimesNewRomanPSMT"/>
          <w:lang w:val="es-ES_tradnl"/>
        </w:rPr>
        <w:t>l</w:t>
      </w:r>
      <w:r w:rsidR="00866990">
        <w:rPr>
          <w:rFonts w:ascii="TimesNewRomanPSMT" w:hAnsi="TimesNewRomanPSMT" w:cs="TimesNewRomanPSMT"/>
          <w:lang w:val="es-ES_tradnl"/>
        </w:rPr>
        <w:t>os registros de delitos son efectuados en papel,</w:t>
      </w:r>
      <w:r w:rsidR="002E0B98">
        <w:rPr>
          <w:rFonts w:ascii="TimesNewRomanPSMT" w:hAnsi="TimesNewRomanPSMT" w:cs="TimesNewRomanPSMT"/>
          <w:lang w:val="es-ES_tradnl"/>
        </w:rPr>
        <w:t xml:space="preserve"> lo cual puede estar</w:t>
      </w:r>
      <w:r w:rsidR="00866990">
        <w:rPr>
          <w:rFonts w:ascii="TimesNewRomanPSMT" w:hAnsi="TimesNewRomanPSMT" w:cs="TimesNewRomanPSMT"/>
          <w:lang w:val="es-ES_tradnl"/>
        </w:rPr>
        <w:t xml:space="preserve"> suje</w:t>
      </w:r>
      <w:r w:rsidR="0095593E">
        <w:rPr>
          <w:rFonts w:ascii="TimesNewRomanPSMT" w:hAnsi="TimesNewRomanPSMT" w:cs="TimesNewRomanPSMT"/>
          <w:lang w:val="es-ES_tradnl"/>
        </w:rPr>
        <w:t>ta a errores de interpretación,</w:t>
      </w:r>
      <w:r w:rsidR="00866990">
        <w:rPr>
          <w:rFonts w:ascii="TimesNewRomanPSMT" w:hAnsi="TimesNewRomanPSMT" w:cs="TimesNewRomanPSMT"/>
          <w:lang w:val="es-ES_tradnl"/>
        </w:rPr>
        <w:t xml:space="preserve"> consolidación</w:t>
      </w:r>
      <w:r w:rsidR="0095593E">
        <w:rPr>
          <w:rFonts w:ascii="TimesNewRomanPSMT" w:hAnsi="TimesNewRomanPSMT" w:cs="TimesNewRomanPSMT"/>
          <w:lang w:val="es-ES_tradnl"/>
        </w:rPr>
        <w:t xml:space="preserve"> y bajas medidas de confidencialidad de los datos</w:t>
      </w:r>
      <w:r w:rsidR="00866990">
        <w:rPr>
          <w:rFonts w:ascii="TimesNewRomanPSMT" w:hAnsi="TimesNewRomanPSMT" w:cs="TimesNewRomanPSMT"/>
          <w:lang w:val="es-ES_tradnl"/>
        </w:rPr>
        <w:t xml:space="preserve">. </w:t>
      </w:r>
      <w:r w:rsidR="00B1714C">
        <w:rPr>
          <w:rFonts w:ascii="TimesNewRomanPSMT" w:hAnsi="TimesNewRomanPSMT" w:cs="TimesNewRomanPSMT"/>
          <w:lang w:val="es-ES_tradnl"/>
        </w:rPr>
        <w:t xml:space="preserve">Por otro lado, el Sistema de Denuncias Policiales (SIDPOL) no esta siendo optimizado ya que no cuenta con interconectividad con otros sistemas informáticos disponibles en comisarías. </w:t>
      </w:r>
      <w:r w:rsidR="00B1714C">
        <w:rPr>
          <w:rStyle w:val="FootnoteReference"/>
          <w:rFonts w:ascii="TimesNewRomanPSMT" w:hAnsi="TimesNewRomanPSMT" w:cs="TimesNewRomanPSMT"/>
          <w:lang w:val="es-ES_tradnl"/>
        </w:rPr>
        <w:footnoteReference w:id="20"/>
      </w:r>
      <w:r w:rsidR="00B1714C">
        <w:rPr>
          <w:rFonts w:ascii="TimesNewRomanPSMT" w:hAnsi="TimesNewRomanPSMT" w:cs="TimesNewRomanPSMT"/>
          <w:lang w:val="es-ES_tradnl"/>
        </w:rPr>
        <w:t xml:space="preserve"> </w:t>
      </w:r>
    </w:p>
    <w:p w14:paraId="730D9A14" w14:textId="7B3E71C2" w:rsidR="009D0A46" w:rsidRDefault="009D0A46" w:rsidP="005A172C">
      <w:pPr>
        <w:autoSpaceDE w:val="0"/>
        <w:autoSpaceDN w:val="0"/>
        <w:adjustRightInd w:val="0"/>
        <w:spacing w:after="0" w:line="240" w:lineRule="auto"/>
        <w:rPr>
          <w:rFonts w:ascii="TimesNewRomanPSMT" w:hAnsi="TimesNewRomanPSMT" w:cs="TimesNewRomanPSMT"/>
          <w:lang w:val="es-ES_tradnl"/>
        </w:rPr>
      </w:pPr>
    </w:p>
    <w:p w14:paraId="259F1830" w14:textId="150B3144" w:rsidR="009D0A46" w:rsidRPr="007B44A1" w:rsidRDefault="009D0A46" w:rsidP="005A172C">
      <w:pPr>
        <w:autoSpaceDE w:val="0"/>
        <w:autoSpaceDN w:val="0"/>
        <w:adjustRightInd w:val="0"/>
        <w:spacing w:after="0" w:line="240" w:lineRule="auto"/>
        <w:rPr>
          <w:rFonts w:ascii="TimesNewRomanPSMT" w:hAnsi="TimesNewRomanPSMT" w:cs="TimesNewRomanPSMT"/>
          <w:lang w:val="es-ES_tradnl"/>
        </w:rPr>
      </w:pPr>
      <w:r w:rsidRPr="007B44A1">
        <w:rPr>
          <w:rFonts w:ascii="TimesNewRomanPSMT" w:hAnsi="TimesNewRomanPSMT" w:cs="TimesNewRomanPSMT"/>
          <w:lang w:val="es-ES_tradnl"/>
        </w:rPr>
        <w:t>3.2 Componente 3</w:t>
      </w:r>
      <w:r w:rsidR="002C0781" w:rsidRPr="007B44A1">
        <w:rPr>
          <w:rFonts w:ascii="TimesNewRomanPSMT" w:hAnsi="TimesNewRomanPSMT" w:cs="TimesNewRomanPSMT"/>
          <w:lang w:val="es-ES_tradnl"/>
        </w:rPr>
        <w:t>: Mejorar la prevención comunitaria.</w:t>
      </w:r>
      <w:r w:rsidRPr="007B44A1">
        <w:rPr>
          <w:rFonts w:ascii="TimesNewRomanPSMT" w:hAnsi="TimesNewRomanPSMT" w:cs="TimesNewRomanPSMT"/>
          <w:lang w:val="es-ES_tradnl"/>
        </w:rPr>
        <w:t xml:space="preserve"> </w:t>
      </w:r>
    </w:p>
    <w:p w14:paraId="35377EB3" w14:textId="54BF914B" w:rsidR="009D0A46" w:rsidRDefault="009D0A46" w:rsidP="005A172C">
      <w:pPr>
        <w:autoSpaceDE w:val="0"/>
        <w:autoSpaceDN w:val="0"/>
        <w:adjustRightInd w:val="0"/>
        <w:spacing w:after="0" w:line="240" w:lineRule="auto"/>
        <w:rPr>
          <w:rFonts w:ascii="TimesNewRomanPSMT" w:hAnsi="TimesNewRomanPSMT" w:cs="TimesNewRomanPSMT"/>
          <w:b/>
          <w:lang w:val="es-ES_tradnl"/>
        </w:rPr>
      </w:pPr>
    </w:p>
    <w:p w14:paraId="2A6DCB53" w14:textId="4152805B" w:rsidR="00D1054E" w:rsidRDefault="009D0A46" w:rsidP="00B2714C">
      <w:pPr>
        <w:autoSpaceDE w:val="0"/>
        <w:autoSpaceDN w:val="0"/>
        <w:adjustRightInd w:val="0"/>
        <w:spacing w:after="0" w:line="240" w:lineRule="auto"/>
        <w:jc w:val="both"/>
        <w:rPr>
          <w:rFonts w:ascii="TimesNewRomanPSMT" w:hAnsi="TimesNewRomanPSMT" w:cs="TimesNewRomanPSMT"/>
          <w:lang w:val="es-ES_tradnl"/>
        </w:rPr>
      </w:pPr>
      <w:r>
        <w:rPr>
          <w:rFonts w:ascii="TimesNewRomanPSMT" w:hAnsi="TimesNewRomanPSMT" w:cs="TimesNewRomanPSMT"/>
          <w:lang w:val="es-ES_tradnl"/>
        </w:rPr>
        <w:t>El objetivo del tercer</w:t>
      </w:r>
      <w:r w:rsidRPr="00FC1315">
        <w:rPr>
          <w:rFonts w:ascii="TimesNewRomanPSMT" w:hAnsi="TimesNewRomanPSMT" w:cs="TimesNewRomanPSMT"/>
          <w:lang w:val="es-ES_tradnl"/>
        </w:rPr>
        <w:t xml:space="preserve"> componente es mejor</w:t>
      </w:r>
      <w:r>
        <w:rPr>
          <w:rFonts w:ascii="TimesNewRomanPSMT" w:hAnsi="TimesNewRomanPSMT" w:cs="TimesNewRomanPSMT"/>
          <w:lang w:val="es-ES_tradnl"/>
        </w:rPr>
        <w:t>ar</w:t>
      </w:r>
      <w:r w:rsidR="00840741">
        <w:rPr>
          <w:rFonts w:ascii="TimesNewRomanPSMT" w:hAnsi="TimesNewRomanPSMT" w:cs="TimesNewRomanPSMT"/>
          <w:lang w:val="es-ES_tradnl"/>
        </w:rPr>
        <w:t xml:space="preserve"> la prevención comunitaria. </w:t>
      </w:r>
      <w:r w:rsidR="00D1054E">
        <w:rPr>
          <w:rFonts w:ascii="TimesNewRomanPSMT" w:hAnsi="TimesNewRomanPSMT" w:cs="TimesNewRomanPSMT"/>
          <w:lang w:val="es-ES_tradnl"/>
        </w:rPr>
        <w:t xml:space="preserve">Este componente esta orientado a fortalecer los servicios de atención y los programas de participación comunitaria, y la prevención social de la violencia. </w:t>
      </w:r>
      <w:r w:rsidR="0031350C">
        <w:rPr>
          <w:rFonts w:ascii="TimesNewRomanPSMT" w:hAnsi="TimesNewRomanPSMT" w:cs="TimesNewRomanPSMT"/>
          <w:lang w:val="es-ES_tradnl"/>
        </w:rPr>
        <w:t xml:space="preserve">En particular ese componente contempla tres actividades relevantes para el presente documento. </w:t>
      </w:r>
    </w:p>
    <w:p w14:paraId="35439305" w14:textId="77777777" w:rsidR="00D1054E" w:rsidRDefault="00D1054E" w:rsidP="00B2714C">
      <w:pPr>
        <w:autoSpaceDE w:val="0"/>
        <w:autoSpaceDN w:val="0"/>
        <w:adjustRightInd w:val="0"/>
        <w:spacing w:after="0" w:line="240" w:lineRule="auto"/>
        <w:jc w:val="both"/>
        <w:rPr>
          <w:rFonts w:ascii="TimesNewRomanPSMT" w:hAnsi="TimesNewRomanPSMT" w:cs="TimesNewRomanPSMT"/>
          <w:lang w:val="es-ES_tradnl"/>
        </w:rPr>
      </w:pPr>
    </w:p>
    <w:p w14:paraId="0265CE32" w14:textId="2D5CCC47" w:rsidR="0008515D" w:rsidRDefault="00D1054E" w:rsidP="008A29B4">
      <w:pPr>
        <w:autoSpaceDE w:val="0"/>
        <w:autoSpaceDN w:val="0"/>
        <w:adjustRightInd w:val="0"/>
        <w:spacing w:after="0" w:line="240" w:lineRule="auto"/>
        <w:jc w:val="both"/>
        <w:rPr>
          <w:rFonts w:ascii="TimesNewRomanPSMT" w:hAnsi="TimesNewRomanPSMT" w:cs="TimesNewRomanPSMT"/>
          <w:lang w:val="es-ES_tradnl"/>
        </w:rPr>
      </w:pPr>
      <w:r>
        <w:rPr>
          <w:rFonts w:ascii="TimesNewRomanPSMT" w:hAnsi="TimesNewRomanPSMT" w:cs="TimesNewRomanPSMT"/>
          <w:lang w:val="es-ES_tradnl"/>
        </w:rPr>
        <w:t xml:space="preserve">Por un lado, se busca </w:t>
      </w:r>
      <w:r w:rsidR="008931D6">
        <w:rPr>
          <w:rFonts w:ascii="TimesNewRomanPSMT" w:hAnsi="TimesNewRomanPSMT" w:cs="TimesNewRomanPSMT"/>
          <w:lang w:val="es-ES_tradnl"/>
        </w:rPr>
        <w:t>el</w:t>
      </w:r>
      <w:r>
        <w:rPr>
          <w:rFonts w:ascii="TimesNewRomanPSMT" w:hAnsi="TimesNewRomanPSMT" w:cs="TimesNewRomanPSMT"/>
          <w:lang w:val="es-ES_tradnl"/>
        </w:rPr>
        <w:t xml:space="preserve"> fortalecimiento de programas preventivos comunitarios destinados a </w:t>
      </w:r>
      <w:r w:rsidR="00B36EAD">
        <w:rPr>
          <w:rFonts w:ascii="TimesNewRomanPSMT" w:hAnsi="TimesNewRomanPSMT" w:cs="TimesNewRomanPSMT"/>
          <w:lang w:val="es-ES_tradnl"/>
        </w:rPr>
        <w:t xml:space="preserve">niños, </w:t>
      </w:r>
      <w:r w:rsidR="008931D6">
        <w:rPr>
          <w:rFonts w:ascii="TimesNewRomanPSMT" w:hAnsi="TimesNewRomanPSMT" w:cs="TimesNewRomanPSMT"/>
          <w:lang w:val="es-ES_tradnl"/>
        </w:rPr>
        <w:t>niñas</w:t>
      </w:r>
      <w:r w:rsidR="00B36EAD">
        <w:rPr>
          <w:rFonts w:ascii="TimesNewRomanPSMT" w:hAnsi="TimesNewRomanPSMT" w:cs="TimesNewRomanPSMT"/>
          <w:lang w:val="es-ES_tradnl"/>
        </w:rPr>
        <w:t>, adolescentes</w:t>
      </w:r>
      <w:r w:rsidR="0031350C">
        <w:rPr>
          <w:rFonts w:ascii="TimesNewRomanPSMT" w:hAnsi="TimesNewRomanPSMT" w:cs="TimesNewRomanPSMT"/>
          <w:lang w:val="es-ES_tradnl"/>
        </w:rPr>
        <w:t>,</w:t>
      </w:r>
      <w:r w:rsidR="00B36EAD">
        <w:rPr>
          <w:rFonts w:ascii="TimesNewRomanPSMT" w:hAnsi="TimesNewRomanPSMT" w:cs="TimesNewRomanPSMT"/>
          <w:lang w:val="es-ES_tradnl"/>
        </w:rPr>
        <w:t xml:space="preserve"> </w:t>
      </w:r>
      <w:r w:rsidR="0031350C">
        <w:rPr>
          <w:rFonts w:ascii="TimesNewRomanPSMT" w:hAnsi="TimesNewRomanPSMT" w:cs="TimesNewRomanPSMT"/>
          <w:lang w:val="es-ES_tradnl"/>
        </w:rPr>
        <w:t>jóvenes</w:t>
      </w:r>
      <w:r w:rsidR="00B36EAD">
        <w:rPr>
          <w:rFonts w:ascii="TimesNewRomanPSMT" w:hAnsi="TimesNewRomanPSMT" w:cs="TimesNewRomanPSMT"/>
          <w:lang w:val="es-ES_tradnl"/>
        </w:rPr>
        <w:t xml:space="preserve"> y </w:t>
      </w:r>
      <w:r>
        <w:rPr>
          <w:rFonts w:ascii="TimesNewRomanPSMT" w:hAnsi="TimesNewRomanPSMT" w:cs="TimesNewRomanPSMT"/>
          <w:lang w:val="es-ES_tradnl"/>
        </w:rPr>
        <w:t>mujeres</w:t>
      </w:r>
      <w:r w:rsidR="00B36EAD">
        <w:rPr>
          <w:rFonts w:ascii="TimesNewRomanPSMT" w:hAnsi="TimesNewRomanPSMT" w:cs="TimesNewRomanPSMT"/>
          <w:lang w:val="es-ES_tradnl"/>
        </w:rPr>
        <w:t xml:space="preserve"> </w:t>
      </w:r>
      <w:r w:rsidR="008931D6">
        <w:rPr>
          <w:rFonts w:ascii="TimesNewRomanPSMT" w:hAnsi="TimesNewRomanPSMT" w:cs="TimesNewRomanPSMT"/>
          <w:lang w:val="es-ES_tradnl"/>
        </w:rPr>
        <w:t>para</w:t>
      </w:r>
      <w:r w:rsidR="00B36EAD">
        <w:rPr>
          <w:rFonts w:ascii="TimesNewRomanPSMT" w:hAnsi="TimesNewRomanPSMT" w:cs="TimesNewRomanPSMT"/>
          <w:lang w:val="es-ES_tradnl"/>
        </w:rPr>
        <w:t xml:space="preserve"> abord</w:t>
      </w:r>
      <w:r w:rsidR="008931D6">
        <w:rPr>
          <w:rFonts w:ascii="TimesNewRomanPSMT" w:hAnsi="TimesNewRomanPSMT" w:cs="TimesNewRomanPSMT"/>
          <w:lang w:val="es-ES_tradnl"/>
        </w:rPr>
        <w:t>ar</w:t>
      </w:r>
      <w:r w:rsidR="00B36EAD">
        <w:rPr>
          <w:rFonts w:ascii="TimesNewRomanPSMT" w:hAnsi="TimesNewRomanPSMT" w:cs="TimesNewRomanPSMT"/>
          <w:lang w:val="es-ES_tradnl"/>
        </w:rPr>
        <w:t xml:space="preserve"> </w:t>
      </w:r>
      <w:r w:rsidR="0008515D">
        <w:rPr>
          <w:rFonts w:ascii="TimesNewRomanPSMT" w:hAnsi="TimesNewRomanPSMT" w:cs="TimesNewRomanPSMT"/>
          <w:lang w:val="es-ES_tradnl"/>
        </w:rPr>
        <w:t xml:space="preserve">los </w:t>
      </w:r>
      <w:r w:rsidR="00B36EAD">
        <w:rPr>
          <w:rFonts w:ascii="TimesNewRomanPSMT" w:hAnsi="TimesNewRomanPSMT" w:cs="TimesNewRomanPSMT"/>
          <w:lang w:val="es-ES_tradnl"/>
        </w:rPr>
        <w:t xml:space="preserve">factores sociales de riesgo y </w:t>
      </w:r>
      <w:r w:rsidR="0031350C">
        <w:rPr>
          <w:rFonts w:ascii="TimesNewRomanPSMT" w:hAnsi="TimesNewRomanPSMT" w:cs="TimesNewRomanPSMT"/>
          <w:lang w:val="es-ES_tradnl"/>
        </w:rPr>
        <w:t>los</w:t>
      </w:r>
      <w:r w:rsidR="00B36EAD">
        <w:rPr>
          <w:rFonts w:ascii="TimesNewRomanPSMT" w:hAnsi="TimesNewRomanPSMT" w:cs="TimesNewRomanPSMT"/>
          <w:lang w:val="es-ES_tradnl"/>
        </w:rPr>
        <w:t xml:space="preserve"> roles trad</w:t>
      </w:r>
      <w:r w:rsidR="0031350C">
        <w:rPr>
          <w:rFonts w:ascii="TimesNewRomanPSMT" w:hAnsi="TimesNewRomanPSMT" w:cs="TimesNewRomanPSMT"/>
          <w:lang w:val="es-ES_tradnl"/>
        </w:rPr>
        <w:t>i</w:t>
      </w:r>
      <w:r w:rsidR="00B36EAD">
        <w:rPr>
          <w:rFonts w:ascii="TimesNewRomanPSMT" w:hAnsi="TimesNewRomanPSMT" w:cs="TimesNewRomanPSMT"/>
          <w:lang w:val="es-ES_tradnl"/>
        </w:rPr>
        <w:t xml:space="preserve">cionales de </w:t>
      </w:r>
      <w:r w:rsidR="00935FC3">
        <w:rPr>
          <w:rFonts w:ascii="TimesNewRomanPSMT" w:hAnsi="TimesNewRomanPSMT" w:cs="TimesNewRomanPSMT"/>
          <w:lang w:val="es-ES_tradnl"/>
        </w:rPr>
        <w:t>género</w:t>
      </w:r>
      <w:r w:rsidR="008931D6">
        <w:rPr>
          <w:rFonts w:ascii="TimesNewRomanPSMT" w:hAnsi="TimesNewRomanPSMT" w:cs="TimesNewRomanPSMT"/>
          <w:lang w:val="es-ES_tradnl"/>
        </w:rPr>
        <w:t xml:space="preserve">, </w:t>
      </w:r>
      <w:r w:rsidR="0096028A">
        <w:rPr>
          <w:rFonts w:ascii="TimesNewRomanPSMT" w:hAnsi="TimesNewRomanPSMT" w:cs="TimesNewRomanPSMT"/>
          <w:lang w:val="es-ES_tradnl"/>
        </w:rPr>
        <w:t>que,</w:t>
      </w:r>
      <w:r w:rsidR="008931D6">
        <w:rPr>
          <w:rFonts w:ascii="TimesNewRomanPSMT" w:hAnsi="TimesNewRomanPSMT" w:cs="TimesNewRomanPSMT"/>
          <w:lang w:val="es-ES_tradnl"/>
        </w:rPr>
        <w:t xml:space="preserve"> bajo un sistema patriarcal,</w:t>
      </w:r>
      <w:r w:rsidR="00B36EAD">
        <w:rPr>
          <w:rFonts w:ascii="TimesNewRomanPSMT" w:hAnsi="TimesNewRomanPSMT" w:cs="TimesNewRomanPSMT"/>
          <w:lang w:val="es-ES_tradnl"/>
        </w:rPr>
        <w:t xml:space="preserve"> </w:t>
      </w:r>
      <w:r w:rsidR="008931D6">
        <w:rPr>
          <w:rFonts w:ascii="TimesNewRomanPSMT" w:hAnsi="TimesNewRomanPSMT" w:cs="TimesNewRomanPSMT"/>
          <w:lang w:val="es-ES_tradnl"/>
        </w:rPr>
        <w:t>sitúan</w:t>
      </w:r>
      <w:r w:rsidR="00B36EAD">
        <w:rPr>
          <w:rFonts w:ascii="TimesNewRomanPSMT" w:hAnsi="TimesNewRomanPSMT" w:cs="TimesNewRomanPSMT"/>
          <w:lang w:val="es-ES_tradnl"/>
        </w:rPr>
        <w:t xml:space="preserve"> a la mujer en</w:t>
      </w:r>
      <w:r w:rsidR="008931D6">
        <w:rPr>
          <w:rFonts w:ascii="TimesNewRomanPSMT" w:hAnsi="TimesNewRomanPSMT" w:cs="TimesNewRomanPSMT"/>
          <w:lang w:val="es-ES_tradnl"/>
        </w:rPr>
        <w:t xml:space="preserve"> una posición de</w:t>
      </w:r>
      <w:r w:rsidR="00B36EAD">
        <w:rPr>
          <w:rFonts w:ascii="TimesNewRomanPSMT" w:hAnsi="TimesNewRomanPSMT" w:cs="TimesNewRomanPSMT"/>
          <w:lang w:val="es-ES_tradnl"/>
        </w:rPr>
        <w:t xml:space="preserve"> desventaja</w:t>
      </w:r>
      <w:r w:rsidR="0008515D">
        <w:rPr>
          <w:rFonts w:ascii="TimesNewRomanPSMT" w:hAnsi="TimesNewRomanPSMT" w:cs="TimesNewRomanPSMT"/>
          <w:lang w:val="es-ES_tradnl"/>
        </w:rPr>
        <w:t>,</w:t>
      </w:r>
      <w:r w:rsidR="0096028A">
        <w:rPr>
          <w:rFonts w:ascii="TimesNewRomanPSMT" w:hAnsi="TimesNewRomanPSMT" w:cs="TimesNewRomanPSMT"/>
          <w:lang w:val="es-ES_tradnl"/>
        </w:rPr>
        <w:t xml:space="preserve"> propensa a experimentar violencia. </w:t>
      </w:r>
      <w:r w:rsidR="0096028A" w:rsidRPr="0096028A">
        <w:rPr>
          <w:rFonts w:ascii="TimesNewRomanPSMT" w:hAnsi="TimesNewRomanPSMT" w:cs="TimesNewRomanPSMT"/>
          <w:lang w:val="es-ES_tradnl"/>
        </w:rPr>
        <w:t>Estas faltas se encuentran asociadas a los modos y acuerdos tácitos que la estructura de la sociedad ha puesto, pues “los estereotipos de género refuerzan la noción del ‘derecho’ del marido a controlar a su compañera, y ejercer tal control mediante la violencia”</w:t>
      </w:r>
      <w:r w:rsidR="0096028A">
        <w:rPr>
          <w:rFonts w:ascii="TimesNewRomanPSMT" w:hAnsi="TimesNewRomanPSMT" w:cs="TimesNewRomanPSMT"/>
          <w:lang w:val="es-ES_tradnl"/>
        </w:rPr>
        <w:t xml:space="preserve">. </w:t>
      </w:r>
      <w:r w:rsidR="0096028A">
        <w:rPr>
          <w:rStyle w:val="FootnoteReference"/>
          <w:rFonts w:ascii="TimesNewRomanPSMT" w:hAnsi="TimesNewRomanPSMT" w:cs="TimesNewRomanPSMT"/>
          <w:lang w:val="es-ES_tradnl"/>
        </w:rPr>
        <w:footnoteReference w:id="21"/>
      </w:r>
      <w:r w:rsidR="008A29B4">
        <w:rPr>
          <w:rFonts w:ascii="TimesNewRomanPSMT" w:hAnsi="TimesNewRomanPSMT" w:cs="TimesNewRomanPSMT"/>
          <w:lang w:val="es-ES_tradnl"/>
        </w:rPr>
        <w:t xml:space="preserve"> Una de las intervenciones contempladas por e</w:t>
      </w:r>
      <w:r w:rsidR="0008515D" w:rsidRPr="008A29B4">
        <w:rPr>
          <w:rFonts w:ascii="TimesNewRomanPSMT" w:hAnsi="TimesNewRomanPSMT" w:cs="TimesNewRomanPSMT"/>
          <w:lang w:val="es-ES_tradnl"/>
        </w:rPr>
        <w:t>l proyecto</w:t>
      </w:r>
      <w:r w:rsidR="008A29B4">
        <w:rPr>
          <w:rFonts w:ascii="TimesNewRomanPSMT" w:hAnsi="TimesNewRomanPSMT" w:cs="TimesNewRomanPSMT"/>
          <w:lang w:val="es-ES_tradnl"/>
        </w:rPr>
        <w:t xml:space="preserve">, es de implementar </w:t>
      </w:r>
      <w:r w:rsidR="0008515D" w:rsidRPr="008A29B4">
        <w:rPr>
          <w:rFonts w:ascii="TimesNewRomanPSMT" w:hAnsi="TimesNewRomanPSMT" w:cs="TimesNewRomanPSMT"/>
          <w:lang w:val="es-ES_tradnl"/>
        </w:rPr>
        <w:t xml:space="preserve">programas </w:t>
      </w:r>
      <w:r w:rsidR="008A29B4">
        <w:rPr>
          <w:rFonts w:ascii="TimesNewRomanPSMT" w:hAnsi="TimesNewRomanPSMT" w:cs="TimesNewRomanPSMT"/>
          <w:lang w:val="es-ES_tradnl"/>
        </w:rPr>
        <w:t xml:space="preserve">que aborden el </w:t>
      </w:r>
      <w:r w:rsidR="0008515D" w:rsidRPr="008A29B4">
        <w:rPr>
          <w:rFonts w:ascii="TimesNewRomanPSMT" w:hAnsi="TimesNewRomanPSMT" w:cs="TimesNewRomanPSMT"/>
          <w:lang w:val="es-ES_tradnl"/>
        </w:rPr>
        <w:t>tema de masculinidades</w:t>
      </w:r>
      <w:r w:rsidR="00B479DC" w:rsidRPr="008A29B4">
        <w:rPr>
          <w:rFonts w:ascii="TimesNewRomanPSMT" w:hAnsi="TimesNewRomanPSMT" w:cs="TimesNewRomanPSMT"/>
          <w:lang w:val="es-ES_tradnl"/>
        </w:rPr>
        <w:t xml:space="preserve"> </w:t>
      </w:r>
      <w:r w:rsidR="008A29B4">
        <w:rPr>
          <w:rFonts w:ascii="TimesNewRomanPSMT" w:hAnsi="TimesNewRomanPSMT" w:cs="TimesNewRomanPSMT"/>
          <w:lang w:val="es-ES_tradnl"/>
        </w:rPr>
        <w:t>en los distritos seleccionados como medida de prevención hacia el maltrato de las mujeres.</w:t>
      </w:r>
      <w:r w:rsidR="008A29B4">
        <w:rPr>
          <w:rStyle w:val="FootnoteReference"/>
          <w:rFonts w:ascii="TimesNewRomanPSMT" w:hAnsi="TimesNewRomanPSMT" w:cs="TimesNewRomanPSMT"/>
          <w:lang w:val="es-ES_tradnl"/>
        </w:rPr>
        <w:footnoteReference w:id="22"/>
      </w:r>
    </w:p>
    <w:p w14:paraId="54388E50" w14:textId="10E9F9FC" w:rsidR="00D1054E" w:rsidRDefault="0008515D" w:rsidP="009D0A46">
      <w:pPr>
        <w:autoSpaceDE w:val="0"/>
        <w:autoSpaceDN w:val="0"/>
        <w:adjustRightInd w:val="0"/>
        <w:spacing w:after="0" w:line="240" w:lineRule="auto"/>
        <w:rPr>
          <w:rFonts w:ascii="TimesNewRomanPSMT" w:hAnsi="TimesNewRomanPSMT" w:cs="TimesNewRomanPSMT"/>
          <w:lang w:val="es-ES_tradnl"/>
        </w:rPr>
      </w:pPr>
      <w:r>
        <w:rPr>
          <w:rFonts w:ascii="TimesNewRomanPSMT" w:hAnsi="TimesNewRomanPSMT" w:cs="TimesNewRomanPSMT"/>
          <w:lang w:val="es-ES_tradnl"/>
        </w:rPr>
        <w:t xml:space="preserve"> </w:t>
      </w:r>
    </w:p>
    <w:p w14:paraId="602B740B" w14:textId="2E081D47" w:rsidR="0008515D" w:rsidRPr="0008515D" w:rsidRDefault="0096028A" w:rsidP="00B2714C">
      <w:pPr>
        <w:autoSpaceDE w:val="0"/>
        <w:autoSpaceDN w:val="0"/>
        <w:adjustRightInd w:val="0"/>
        <w:spacing w:after="0" w:line="240" w:lineRule="auto"/>
        <w:jc w:val="both"/>
        <w:rPr>
          <w:rFonts w:ascii="TimesNewRomanPSMT" w:hAnsi="TimesNewRomanPSMT" w:cs="TimesNewRomanPSMT"/>
          <w:lang w:val="es-ES_tradnl"/>
        </w:rPr>
      </w:pPr>
      <w:r>
        <w:rPr>
          <w:rFonts w:ascii="TimesNewRomanPSMT" w:hAnsi="TimesNewRomanPSMT" w:cs="TimesNewRomanPSMT"/>
          <w:lang w:val="es-ES_tradnl"/>
        </w:rPr>
        <w:t xml:space="preserve">Además, </w:t>
      </w:r>
      <w:r w:rsidR="009D21D4">
        <w:rPr>
          <w:rFonts w:ascii="TimesNewRomanPSMT" w:hAnsi="TimesNewRomanPSMT" w:cs="TimesNewRomanPSMT"/>
          <w:lang w:val="es-ES_tradnl"/>
        </w:rPr>
        <w:t>e</w:t>
      </w:r>
      <w:r>
        <w:rPr>
          <w:rFonts w:ascii="TimesNewRomanPSMT" w:hAnsi="TimesNewRomanPSMT" w:cs="TimesNewRomanPSMT"/>
          <w:lang w:val="es-ES_tradnl"/>
        </w:rPr>
        <w:t xml:space="preserve">l proyecto busca </w:t>
      </w:r>
      <w:r w:rsidR="00F239F0">
        <w:rPr>
          <w:rFonts w:ascii="TimesNewRomanPSMT" w:hAnsi="TimesNewRomanPSMT" w:cs="TimesNewRomanPSMT"/>
          <w:lang w:val="es-ES_tradnl"/>
        </w:rPr>
        <w:t>mejorar</w:t>
      </w:r>
      <w:r w:rsidR="00A2394F">
        <w:rPr>
          <w:rFonts w:ascii="TimesNewRomanPSMT" w:hAnsi="TimesNewRomanPSMT" w:cs="TimesNewRomanPSMT"/>
          <w:lang w:val="es-ES_tradnl"/>
        </w:rPr>
        <w:t xml:space="preserve"> </w:t>
      </w:r>
      <w:r>
        <w:rPr>
          <w:rFonts w:ascii="TimesNewRomanPSMT" w:hAnsi="TimesNewRomanPSMT" w:cs="TimesNewRomanPSMT"/>
          <w:lang w:val="es-ES_tradnl"/>
        </w:rPr>
        <w:t xml:space="preserve">los mecanismos de rendición de cuentas, transparencia y </w:t>
      </w:r>
      <w:r w:rsidR="00A2394F">
        <w:rPr>
          <w:rFonts w:ascii="TimesNewRomanPSMT" w:hAnsi="TimesNewRomanPSMT" w:cs="TimesNewRomanPSMT"/>
          <w:lang w:val="es-ES_tradnl"/>
        </w:rPr>
        <w:t>participación</w:t>
      </w:r>
      <w:r>
        <w:rPr>
          <w:rFonts w:ascii="TimesNewRomanPSMT" w:hAnsi="TimesNewRomanPSMT" w:cs="TimesNewRomanPSMT"/>
          <w:lang w:val="es-ES_tradnl"/>
        </w:rPr>
        <w:t xml:space="preserve"> ciudadana. </w:t>
      </w:r>
      <w:r w:rsidR="004A3C20">
        <w:rPr>
          <w:rFonts w:ascii="TimesNewRomanPSMT" w:hAnsi="TimesNewRomanPSMT" w:cs="TimesNewRomanPSMT"/>
          <w:lang w:val="es-ES_tradnl"/>
        </w:rPr>
        <w:t>Este mecanismo permitirá</w:t>
      </w:r>
      <w:r w:rsidR="0008515D">
        <w:rPr>
          <w:rFonts w:ascii="TimesNewRomanPSMT" w:hAnsi="TimesNewRomanPSMT" w:cs="TimesNewRomanPSMT"/>
          <w:lang w:val="es-ES_tradnl"/>
        </w:rPr>
        <w:t xml:space="preserve"> amenorar</w:t>
      </w:r>
      <w:r w:rsidR="004A3C20">
        <w:rPr>
          <w:rFonts w:ascii="TimesNewRomanPSMT" w:hAnsi="TimesNewRomanPSMT" w:cs="TimesNewRomanPSMT"/>
          <w:lang w:val="es-ES_tradnl"/>
        </w:rPr>
        <w:t xml:space="preserve"> el uso ilegitimo de poder</w:t>
      </w:r>
      <w:r w:rsidR="0008515D">
        <w:rPr>
          <w:rFonts w:ascii="TimesNewRomanPSMT" w:hAnsi="TimesNewRomanPSMT" w:cs="TimesNewRomanPSMT"/>
          <w:lang w:val="es-ES_tradnl"/>
        </w:rPr>
        <w:t>, y el abuso de las autoridades</w:t>
      </w:r>
      <w:r w:rsidR="004A3C20">
        <w:rPr>
          <w:rFonts w:ascii="TimesNewRomanPSMT" w:hAnsi="TimesNewRomanPSMT" w:cs="TimesNewRomanPSMT"/>
          <w:lang w:val="es-ES_tradnl"/>
        </w:rPr>
        <w:t xml:space="preserve"> contra los ciudadanos </w:t>
      </w:r>
      <w:r w:rsidR="00047A80">
        <w:rPr>
          <w:rFonts w:ascii="TimesNewRomanPSMT" w:hAnsi="TimesNewRomanPSMT" w:cs="TimesNewRomanPSMT"/>
          <w:lang w:val="es-ES_tradnl"/>
        </w:rPr>
        <w:t>o contra poblaciones vulnerable</w:t>
      </w:r>
      <w:r w:rsidR="009D21D4">
        <w:rPr>
          <w:rFonts w:ascii="TimesNewRomanPSMT" w:hAnsi="TimesNewRomanPSMT" w:cs="TimesNewRomanPSMT"/>
          <w:lang w:val="es-ES_tradnl"/>
        </w:rPr>
        <w:t>s</w:t>
      </w:r>
      <w:r w:rsidR="0008515D">
        <w:rPr>
          <w:rFonts w:ascii="TimesNewRomanPSMT" w:hAnsi="TimesNewRomanPSMT" w:cs="TimesNewRomanPSMT"/>
          <w:lang w:val="es-ES_tradnl"/>
        </w:rPr>
        <w:t>. E</w:t>
      </w:r>
      <w:r w:rsidR="0008515D" w:rsidRPr="0008515D">
        <w:rPr>
          <w:rFonts w:ascii="TimesNewRomanPSMT" w:hAnsi="TimesNewRomanPSMT" w:cs="TimesNewRomanPSMT"/>
          <w:lang w:val="es-ES_tradnl"/>
        </w:rPr>
        <w:t xml:space="preserve">l MININTER y la PNP no cuentan </w:t>
      </w:r>
      <w:r w:rsidR="00092B25">
        <w:rPr>
          <w:rFonts w:ascii="TimesNewRomanPSMT" w:hAnsi="TimesNewRomanPSMT" w:cs="TimesNewRomanPSMT"/>
          <w:lang w:val="es-ES_tradnl"/>
        </w:rPr>
        <w:t xml:space="preserve">con </w:t>
      </w:r>
      <w:r w:rsidR="0008515D" w:rsidRPr="0008515D">
        <w:rPr>
          <w:rFonts w:ascii="TimesNewRomanPSMT" w:hAnsi="TimesNewRomanPSMT" w:cs="TimesNewRomanPSMT"/>
          <w:lang w:val="es-ES_tradnl"/>
        </w:rPr>
        <w:t xml:space="preserve">un sistema </w:t>
      </w:r>
      <w:r w:rsidR="0008515D" w:rsidRPr="0008515D">
        <w:rPr>
          <w:rFonts w:ascii="TimesNewRomanPSMT" w:hAnsi="TimesNewRomanPSMT" w:cs="TimesNewRomanPSMT"/>
          <w:lang w:val="es-ES_tradnl"/>
        </w:rPr>
        <w:lastRenderedPageBreak/>
        <w:t>de información o portal para proveer acceso a la información pública; garantizar la transparencia en las labores de la institución; y realizar un adecuado control interno.</w:t>
      </w:r>
      <w:r w:rsidR="0008515D">
        <w:rPr>
          <w:rStyle w:val="FootnoteReference"/>
          <w:rFonts w:ascii="TimesNewRomanPSMT" w:hAnsi="TimesNewRomanPSMT" w:cs="TimesNewRomanPSMT"/>
          <w:lang w:val="es-ES_tradnl"/>
        </w:rPr>
        <w:footnoteReference w:id="23"/>
      </w:r>
      <w:r w:rsidR="0008515D" w:rsidRPr="0008515D">
        <w:rPr>
          <w:rFonts w:ascii="TimesNewRomanPSMT" w:hAnsi="TimesNewRomanPSMT" w:cs="TimesNewRomanPSMT"/>
          <w:lang w:val="es-ES_tradnl"/>
        </w:rPr>
        <w:t xml:space="preserve"> </w:t>
      </w:r>
    </w:p>
    <w:p w14:paraId="32BF760E" w14:textId="5BA72163" w:rsidR="0096028A" w:rsidRDefault="0096028A" w:rsidP="00B2714C">
      <w:pPr>
        <w:autoSpaceDE w:val="0"/>
        <w:autoSpaceDN w:val="0"/>
        <w:adjustRightInd w:val="0"/>
        <w:spacing w:after="0" w:line="240" w:lineRule="auto"/>
        <w:jc w:val="both"/>
        <w:rPr>
          <w:rFonts w:ascii="TimesNewRomanPSMT" w:hAnsi="TimesNewRomanPSMT" w:cs="TimesNewRomanPSMT"/>
          <w:lang w:val="es-ES_tradnl"/>
        </w:rPr>
      </w:pPr>
    </w:p>
    <w:p w14:paraId="7EF3413A" w14:textId="7DC2560F" w:rsidR="0008515D" w:rsidRPr="0008515D" w:rsidRDefault="0008515D" w:rsidP="00B2714C">
      <w:pPr>
        <w:autoSpaceDE w:val="0"/>
        <w:autoSpaceDN w:val="0"/>
        <w:adjustRightInd w:val="0"/>
        <w:spacing w:after="0" w:line="240" w:lineRule="auto"/>
        <w:jc w:val="both"/>
        <w:rPr>
          <w:rFonts w:ascii="TimesNewRomanPSMT" w:hAnsi="TimesNewRomanPSMT" w:cs="TimesNewRomanPSMT"/>
          <w:lang w:val="es-ES_tradnl"/>
        </w:rPr>
      </w:pPr>
      <w:r>
        <w:rPr>
          <w:rFonts w:ascii="TimesNewRomanPSMT" w:hAnsi="TimesNewRomanPSMT" w:cs="TimesNewRomanPSMT"/>
          <w:lang w:val="es-ES_tradnl"/>
        </w:rPr>
        <w:t>Por último, el proyecto</w:t>
      </w:r>
      <w:r w:rsidR="0096028A">
        <w:rPr>
          <w:rFonts w:ascii="TimesNewRomanPSMT" w:hAnsi="TimesNewRomanPSMT" w:cs="TimesNewRomanPSMT"/>
          <w:lang w:val="es-ES_tradnl"/>
        </w:rPr>
        <w:t xml:space="preserve"> </w:t>
      </w:r>
      <w:r>
        <w:rPr>
          <w:rFonts w:ascii="TimesNewRomanPSMT" w:hAnsi="TimesNewRomanPSMT" w:cs="TimesNewRomanPSMT"/>
          <w:lang w:val="es-ES_tradnl"/>
        </w:rPr>
        <w:t>adecuará</w:t>
      </w:r>
      <w:r w:rsidR="004A3C20">
        <w:rPr>
          <w:rFonts w:ascii="TimesNewRomanPSMT" w:hAnsi="TimesNewRomanPSMT" w:cs="TimesNewRomanPSMT"/>
          <w:lang w:val="es-ES_tradnl"/>
        </w:rPr>
        <w:t xml:space="preserve"> espacios físicos en comisarias para los servicios de prevención comunitari</w:t>
      </w:r>
      <w:r>
        <w:rPr>
          <w:rFonts w:ascii="TimesNewRomanPSMT" w:hAnsi="TimesNewRomanPSMT" w:cs="TimesNewRomanPSMT"/>
          <w:lang w:val="es-ES_tradnl"/>
        </w:rPr>
        <w:t xml:space="preserve">a como oficina de participación </w:t>
      </w:r>
      <w:r w:rsidR="00B2714C">
        <w:rPr>
          <w:rFonts w:ascii="TimesNewRomanPSMT" w:hAnsi="TimesNewRomanPSMT" w:cs="TimesNewRomanPSMT"/>
          <w:lang w:val="es-ES_tradnl"/>
        </w:rPr>
        <w:t>ciudadana</w:t>
      </w:r>
      <w:r>
        <w:rPr>
          <w:rFonts w:ascii="TimesNewRomanPSMT" w:hAnsi="TimesNewRomanPSMT" w:cs="TimesNewRomanPSMT"/>
          <w:lang w:val="es-ES_tradnl"/>
        </w:rPr>
        <w:t xml:space="preserve">, sala multiusos, sección de familia en donde se </w:t>
      </w:r>
      <w:r w:rsidR="00092B25">
        <w:rPr>
          <w:rFonts w:ascii="TimesNewRomanPSMT" w:hAnsi="TimesNewRomanPSMT" w:cs="TimesNewRomanPSMT"/>
          <w:lang w:val="es-ES_tradnl"/>
        </w:rPr>
        <w:t>prevé</w:t>
      </w:r>
      <w:r>
        <w:rPr>
          <w:rFonts w:ascii="TimesNewRomanPSMT" w:hAnsi="TimesNewRomanPSMT" w:cs="TimesNewRomanPSMT"/>
          <w:lang w:val="es-ES_tradnl"/>
        </w:rPr>
        <w:t xml:space="preserve"> recibir y atender los casos de violencia intra-familiar. Este ultimo espacio permitirá ofrecerle a la </w:t>
      </w:r>
      <w:r w:rsidR="00B2714C">
        <w:rPr>
          <w:rFonts w:ascii="TimesNewRomanPSMT" w:hAnsi="TimesNewRomanPSMT" w:cs="TimesNewRomanPSMT"/>
          <w:lang w:val="es-ES_tradnl"/>
        </w:rPr>
        <w:t>víctima</w:t>
      </w:r>
      <w:r>
        <w:rPr>
          <w:rFonts w:ascii="TimesNewRomanPSMT" w:hAnsi="TimesNewRomanPSMT" w:cs="TimesNewRomanPSMT"/>
          <w:lang w:val="es-ES_tradnl"/>
        </w:rPr>
        <w:t xml:space="preserve"> el debido respeto</w:t>
      </w:r>
      <w:r w:rsidR="00B2714C">
        <w:rPr>
          <w:rFonts w:ascii="TimesNewRomanPSMT" w:hAnsi="TimesNewRomanPSMT" w:cs="TimesNewRomanPSMT"/>
          <w:lang w:val="es-ES_tradnl"/>
        </w:rPr>
        <w:t>,</w:t>
      </w:r>
      <w:r>
        <w:rPr>
          <w:rFonts w:ascii="TimesNewRomanPSMT" w:hAnsi="TimesNewRomanPSMT" w:cs="TimesNewRomanPSMT"/>
          <w:lang w:val="es-ES_tradnl"/>
        </w:rPr>
        <w:t xml:space="preserve"> </w:t>
      </w:r>
      <w:r w:rsidR="00B2714C">
        <w:rPr>
          <w:rFonts w:ascii="TimesNewRomanPSMT" w:hAnsi="TimesNewRomanPSMT" w:cs="TimesNewRomanPSMT"/>
          <w:lang w:val="es-ES_tradnl"/>
        </w:rPr>
        <w:t>con la correspondiente privacidad y confidencialidad, requisitos de una adecuada atención de calidad.</w:t>
      </w:r>
      <w:r w:rsidR="00092B25">
        <w:rPr>
          <w:rStyle w:val="FootnoteReference"/>
          <w:rFonts w:ascii="TimesNewRomanPSMT" w:hAnsi="TimesNewRomanPSMT" w:cs="TimesNewRomanPSMT"/>
          <w:lang w:val="es-ES_tradnl"/>
        </w:rPr>
        <w:footnoteReference w:id="24"/>
      </w:r>
      <w:r w:rsidR="00B2714C">
        <w:rPr>
          <w:rFonts w:ascii="TimesNewRomanPSMT" w:hAnsi="TimesNewRomanPSMT" w:cs="TimesNewRomanPSMT"/>
          <w:lang w:val="es-ES_tradnl"/>
        </w:rPr>
        <w:t xml:space="preserve">  </w:t>
      </w:r>
      <w:r w:rsidRPr="0008515D">
        <w:rPr>
          <w:rFonts w:ascii="TimesNewRomanPSMT" w:hAnsi="TimesNewRomanPSMT" w:cs="TimesNewRomanPSMT"/>
          <w:lang w:val="es-ES_tradnl"/>
        </w:rPr>
        <w:t>De las 107 comisarías en el área de intervención, 89 disponen de áreas de información al público, 78 con salas de espera y 22 cuentan con un módulo de atención ciudadana. Lo cual afecta la participación de los ciudadanos en programas de prevención como las Juntas Vecinales en las que participa solo el 4,47% y en las Brigadas de Autoprotección participa el 0,23%.</w:t>
      </w:r>
    </w:p>
    <w:p w14:paraId="09FACEB1" w14:textId="5650554A" w:rsidR="00B2714C" w:rsidRDefault="00B2714C" w:rsidP="009D0A46">
      <w:pPr>
        <w:autoSpaceDE w:val="0"/>
        <w:autoSpaceDN w:val="0"/>
        <w:adjustRightInd w:val="0"/>
        <w:spacing w:after="0" w:line="240" w:lineRule="auto"/>
        <w:rPr>
          <w:rFonts w:ascii="TimesNewRomanPSMT" w:hAnsi="TimesNewRomanPSMT" w:cs="TimesNewRomanPSMT"/>
          <w:lang w:val="es-ES_tradnl"/>
        </w:rPr>
      </w:pPr>
    </w:p>
    <w:p w14:paraId="62E4E115" w14:textId="788D3F9D" w:rsidR="00B2714C" w:rsidRPr="00E04739" w:rsidRDefault="00B2714C" w:rsidP="009D0A46">
      <w:pPr>
        <w:autoSpaceDE w:val="0"/>
        <w:autoSpaceDN w:val="0"/>
        <w:adjustRightInd w:val="0"/>
        <w:spacing w:after="0" w:line="240" w:lineRule="auto"/>
        <w:rPr>
          <w:rFonts w:ascii="TimesNewRomanPSMT" w:hAnsi="TimesNewRomanPSMT" w:cs="TimesNewRomanPSMT"/>
          <w:b/>
          <w:lang w:val="es-ES_tradnl"/>
        </w:rPr>
      </w:pPr>
      <w:r w:rsidRPr="00E04739">
        <w:rPr>
          <w:rFonts w:ascii="TimesNewRomanPSMT" w:hAnsi="TimesNewRomanPSMT" w:cs="TimesNewRomanPSMT"/>
          <w:b/>
          <w:lang w:val="es-ES_tradnl"/>
        </w:rPr>
        <w:t>4. Plan de acción para las medidas de mitigación</w:t>
      </w:r>
    </w:p>
    <w:p w14:paraId="6BE3B011" w14:textId="5FB7CB68" w:rsidR="00B2714C" w:rsidRDefault="00B2714C" w:rsidP="009D0A46">
      <w:pPr>
        <w:autoSpaceDE w:val="0"/>
        <w:autoSpaceDN w:val="0"/>
        <w:adjustRightInd w:val="0"/>
        <w:spacing w:after="0" w:line="240" w:lineRule="auto"/>
        <w:rPr>
          <w:rFonts w:ascii="TimesNewRomanPSMT" w:hAnsi="TimesNewRomanPSMT" w:cs="TimesNewRomanPSMT"/>
          <w:lang w:val="es-ES_tradnl"/>
        </w:rPr>
      </w:pPr>
    </w:p>
    <w:p w14:paraId="441015C7" w14:textId="53899BE2" w:rsidR="00B2714C" w:rsidRDefault="00B2714C" w:rsidP="007B44A1">
      <w:pPr>
        <w:autoSpaceDE w:val="0"/>
        <w:autoSpaceDN w:val="0"/>
        <w:adjustRightInd w:val="0"/>
        <w:spacing w:after="0" w:line="240" w:lineRule="auto"/>
        <w:jc w:val="both"/>
        <w:rPr>
          <w:rFonts w:ascii="TimesNewRomanPSMT" w:hAnsi="TimesNewRomanPSMT" w:cs="TimesNewRomanPSMT"/>
          <w:lang w:val="es-ES_tradnl"/>
        </w:rPr>
      </w:pPr>
      <w:r w:rsidRPr="00B2714C">
        <w:rPr>
          <w:rFonts w:ascii="TimesNewRomanPSMT" w:hAnsi="TimesNewRomanPSMT" w:cs="TimesNewRomanPSMT"/>
          <w:lang w:val="es-ES_tradnl"/>
        </w:rPr>
        <w:t>La operación ha incorporado varias de las recom</w:t>
      </w:r>
      <w:r>
        <w:rPr>
          <w:rFonts w:ascii="TimesNewRomanPSMT" w:hAnsi="TimesNewRomanPSMT" w:cs="TimesNewRomanPSMT"/>
          <w:lang w:val="es-ES_tradnl"/>
        </w:rPr>
        <w:t>endaciones establecidas por la Nota S</w:t>
      </w:r>
      <w:r w:rsidRPr="00B2714C">
        <w:rPr>
          <w:rFonts w:ascii="TimesNewRomanPSMT" w:hAnsi="TimesNewRomanPSMT" w:cs="TimesNewRomanPSMT"/>
          <w:lang w:val="es-ES_tradnl"/>
        </w:rPr>
        <w:t xml:space="preserve">ectorial </w:t>
      </w:r>
      <w:r>
        <w:rPr>
          <w:rFonts w:ascii="TimesNewRomanPSMT" w:hAnsi="TimesNewRomanPSMT" w:cs="TimesNewRomanPSMT"/>
          <w:lang w:val="es-ES_tradnl"/>
        </w:rPr>
        <w:t xml:space="preserve">de Seguridad </w:t>
      </w:r>
      <w:r w:rsidR="007E0D28">
        <w:rPr>
          <w:rFonts w:ascii="TimesNewRomanPSMT" w:hAnsi="TimesNewRomanPSMT" w:cs="TimesNewRomanPSMT"/>
          <w:lang w:val="es-ES_tradnl"/>
        </w:rPr>
        <w:t>Ciudadana</w:t>
      </w:r>
      <w:r>
        <w:rPr>
          <w:rFonts w:ascii="TimesNewRomanPSMT" w:hAnsi="TimesNewRomanPSMT" w:cs="TimesNewRomanPSMT"/>
          <w:lang w:val="es-ES_tradnl"/>
        </w:rPr>
        <w:t>, Leyes y Justicia.</w:t>
      </w:r>
      <w:r>
        <w:rPr>
          <w:rStyle w:val="FootnoteReference"/>
          <w:rFonts w:ascii="TimesNewRomanPSMT" w:hAnsi="TimesNewRomanPSMT" w:cs="TimesNewRomanPSMT"/>
          <w:lang w:val="es-ES_tradnl"/>
        </w:rPr>
        <w:footnoteReference w:id="25"/>
      </w:r>
      <w:r w:rsidR="007E0D28">
        <w:rPr>
          <w:rFonts w:ascii="TimesNewRomanPSMT" w:hAnsi="TimesNewRomanPSMT" w:cs="TimesNewRomanPSMT"/>
          <w:lang w:val="es-ES_tradnl"/>
        </w:rPr>
        <w:t xml:space="preserve"> </w:t>
      </w:r>
    </w:p>
    <w:p w14:paraId="612E16C0" w14:textId="37288387" w:rsidR="007E0D28" w:rsidRDefault="007E0D28" w:rsidP="007B44A1">
      <w:pPr>
        <w:autoSpaceDE w:val="0"/>
        <w:autoSpaceDN w:val="0"/>
        <w:adjustRightInd w:val="0"/>
        <w:spacing w:after="0" w:line="240" w:lineRule="auto"/>
        <w:jc w:val="both"/>
        <w:rPr>
          <w:rFonts w:ascii="TimesNewRomanPSMT" w:hAnsi="TimesNewRomanPSMT" w:cs="TimesNewRomanPSMT"/>
          <w:lang w:val="es-ES_tradnl"/>
        </w:rPr>
      </w:pPr>
    </w:p>
    <w:p w14:paraId="1EA6D94F" w14:textId="1076069A" w:rsidR="007E0D28" w:rsidRPr="007E0D28" w:rsidRDefault="007E0D28" w:rsidP="004F0D71">
      <w:pPr>
        <w:autoSpaceDE w:val="0"/>
        <w:autoSpaceDN w:val="0"/>
        <w:adjustRightInd w:val="0"/>
        <w:spacing w:after="0" w:line="240" w:lineRule="auto"/>
        <w:rPr>
          <w:rFonts w:ascii="TimesNewRomanPSMT" w:hAnsi="TimesNewRomanPSMT" w:cs="TimesNewRomanPSMT"/>
          <w:lang w:val="es-ES_tradnl"/>
        </w:rPr>
      </w:pPr>
      <w:r>
        <w:rPr>
          <w:rFonts w:ascii="TimesNewRomanPSMT" w:hAnsi="TimesNewRomanPSMT" w:cs="TimesNewRomanPSMT"/>
          <w:lang w:val="es-ES_tradnl"/>
        </w:rPr>
        <w:t>4.1 A nivel sectorial</w:t>
      </w:r>
      <w:r>
        <w:rPr>
          <w:rFonts w:ascii="TimesNewRomanPSMT" w:hAnsi="TimesNewRomanPSMT" w:cs="TimesNewRomanPSMT"/>
          <w:lang w:val="es-ES_tradnl"/>
        </w:rPr>
        <w:br/>
        <w:t xml:space="preserve"> </w:t>
      </w:r>
    </w:p>
    <w:p w14:paraId="1E41F55A" w14:textId="39487DD6" w:rsidR="007E0D28" w:rsidRDefault="007E0D28" w:rsidP="007B44A1">
      <w:pPr>
        <w:autoSpaceDE w:val="0"/>
        <w:autoSpaceDN w:val="0"/>
        <w:adjustRightInd w:val="0"/>
        <w:spacing w:after="0" w:line="240" w:lineRule="auto"/>
        <w:jc w:val="both"/>
        <w:rPr>
          <w:rFonts w:ascii="TimesNewRomanPSMT" w:hAnsi="TimesNewRomanPSMT" w:cs="TimesNewRomanPSMT"/>
          <w:lang w:val="es-ES_tradnl"/>
        </w:rPr>
      </w:pPr>
      <w:r w:rsidRPr="007E0D28">
        <w:rPr>
          <w:rFonts w:ascii="TimesNewRomanPSMT" w:hAnsi="TimesNewRomanPSMT" w:cs="TimesNewRomanPSMT"/>
          <w:lang w:val="es-ES_tradnl"/>
        </w:rPr>
        <w:t>El personal del sector judicial y de las fuerzas del orden frecuentemente carece del conocimiento y la capacidad para responder de manera adecuada a las sobrevivientes de la violencia. Además, es posible que este personal comparta con la sociedad valores que condonan la violencia contra las mujeres y las niñas, llevándolo a culparlas o a exhibir actitudes y tomar decisiones discriminatorias. Por ese motivo, además de establecer respuestas definidas a la VCMN y servicios de apoyo especializado para las</w:t>
      </w:r>
      <w:r w:rsidRPr="007E0D28">
        <w:rPr>
          <w:lang w:val="es-ES_tradnl"/>
        </w:rPr>
        <w:t xml:space="preserve"> </w:t>
      </w:r>
      <w:r w:rsidRPr="007E0D28">
        <w:rPr>
          <w:rFonts w:ascii="TimesNewRomanPSMT" w:hAnsi="TimesNewRomanPSMT" w:cs="TimesNewRomanPSMT"/>
          <w:lang w:val="es-ES_tradnl"/>
        </w:rPr>
        <w:t xml:space="preserve">sobrevivientes, es fundamental ofrecer constantemente </w:t>
      </w:r>
      <w:r w:rsidRPr="00932B0C">
        <w:rPr>
          <w:rFonts w:ascii="TimesNewRomanPSMT" w:hAnsi="TimesNewRomanPSMT" w:cs="TimesNewRomanPSMT"/>
          <w:lang w:val="es-ES_tradnl"/>
        </w:rPr>
        <w:t>capacitación e intervenciones</w:t>
      </w:r>
      <w:r w:rsidRPr="00E04739">
        <w:rPr>
          <w:rFonts w:ascii="TimesNewRomanPSMT" w:hAnsi="TimesNewRomanPSMT" w:cs="TimesNewRomanPSMT"/>
          <w:b/>
          <w:lang w:val="es-ES_tradnl"/>
        </w:rPr>
        <w:t xml:space="preserve"> </w:t>
      </w:r>
      <w:r w:rsidRPr="007E0D28">
        <w:rPr>
          <w:rFonts w:ascii="TimesNewRomanPSMT" w:hAnsi="TimesNewRomanPSMT" w:cs="TimesNewRomanPSMT"/>
          <w:lang w:val="es-ES_tradnl"/>
        </w:rPr>
        <w:t>de sensibilización para el personal a todos los niveles</w:t>
      </w:r>
      <w:r w:rsidR="00932B0C">
        <w:rPr>
          <w:rFonts w:ascii="TimesNewRomanPSMT" w:hAnsi="TimesNewRomanPSMT" w:cs="TimesNewRomanPSMT"/>
          <w:lang w:val="es-ES_tradnl"/>
        </w:rPr>
        <w:t xml:space="preserve"> o también una curricula nueva que atienda estos desafíos. </w:t>
      </w:r>
    </w:p>
    <w:p w14:paraId="5E73E364" w14:textId="0D52F02E" w:rsidR="00E04739" w:rsidRDefault="00E04739" w:rsidP="007B44A1">
      <w:pPr>
        <w:autoSpaceDE w:val="0"/>
        <w:autoSpaceDN w:val="0"/>
        <w:adjustRightInd w:val="0"/>
        <w:spacing w:after="0" w:line="240" w:lineRule="auto"/>
        <w:jc w:val="both"/>
        <w:rPr>
          <w:rFonts w:ascii="TimesNewRomanPSMT" w:hAnsi="TimesNewRomanPSMT" w:cs="TimesNewRomanPSMT"/>
          <w:lang w:val="es-ES_tradnl"/>
        </w:rPr>
      </w:pPr>
    </w:p>
    <w:p w14:paraId="41D4C32B" w14:textId="0DB55EB4" w:rsidR="00E04739" w:rsidRDefault="00E04739" w:rsidP="007B44A1">
      <w:pPr>
        <w:autoSpaceDE w:val="0"/>
        <w:autoSpaceDN w:val="0"/>
        <w:adjustRightInd w:val="0"/>
        <w:spacing w:after="0" w:line="240" w:lineRule="auto"/>
        <w:jc w:val="both"/>
        <w:rPr>
          <w:rFonts w:ascii="TimesNewRomanPSMT" w:hAnsi="TimesNewRomanPSMT" w:cs="TimesNewRomanPSMT"/>
          <w:lang w:val="es-ES_tradnl"/>
        </w:rPr>
      </w:pPr>
      <w:r>
        <w:rPr>
          <w:rFonts w:ascii="TimesNewRomanPSMT" w:hAnsi="TimesNewRomanPSMT" w:cs="TimesNewRomanPSMT"/>
          <w:lang w:val="es-ES_tradnl"/>
        </w:rPr>
        <w:t xml:space="preserve">4.2 </w:t>
      </w:r>
      <w:r w:rsidR="004F0D71">
        <w:rPr>
          <w:rFonts w:ascii="TimesNewRomanPSMT" w:hAnsi="TimesNewRomanPSMT" w:cs="TimesNewRomanPSMT"/>
          <w:lang w:val="es-ES_tradnl"/>
        </w:rPr>
        <w:t>Por procedimientos y protocolos</w:t>
      </w:r>
    </w:p>
    <w:p w14:paraId="64C17CA1" w14:textId="151A095F" w:rsidR="00E04739" w:rsidRDefault="00E04739" w:rsidP="007B44A1">
      <w:pPr>
        <w:autoSpaceDE w:val="0"/>
        <w:autoSpaceDN w:val="0"/>
        <w:adjustRightInd w:val="0"/>
        <w:spacing w:after="0" w:line="240" w:lineRule="auto"/>
        <w:jc w:val="both"/>
        <w:rPr>
          <w:rFonts w:ascii="TimesNewRomanPSMT" w:hAnsi="TimesNewRomanPSMT" w:cs="TimesNewRomanPSMT"/>
          <w:lang w:val="es-ES_tradnl"/>
        </w:rPr>
      </w:pPr>
    </w:p>
    <w:p w14:paraId="19BA2809" w14:textId="77777777" w:rsidR="00E04739" w:rsidRDefault="00E04739" w:rsidP="007B44A1">
      <w:pPr>
        <w:pStyle w:val="Default"/>
        <w:jc w:val="both"/>
        <w:rPr>
          <w:rFonts w:ascii="TimesNewRomanPSMT" w:hAnsi="TimesNewRomanPSMT" w:cs="TimesNewRomanPSMT"/>
          <w:color w:val="auto"/>
          <w:sz w:val="22"/>
          <w:szCs w:val="22"/>
          <w:lang w:val="es-ES_tradnl"/>
        </w:rPr>
      </w:pPr>
      <w:r w:rsidRPr="00E04739">
        <w:rPr>
          <w:rFonts w:ascii="TimesNewRomanPSMT" w:hAnsi="TimesNewRomanPSMT" w:cs="TimesNewRomanPSMT"/>
          <w:color w:val="auto"/>
          <w:sz w:val="22"/>
          <w:szCs w:val="22"/>
          <w:lang w:val="es-ES_tradnl"/>
        </w:rPr>
        <w:t xml:space="preserve">Sistematizar y reforzar la </w:t>
      </w:r>
      <w:r w:rsidRPr="00000FD0">
        <w:rPr>
          <w:rFonts w:ascii="TimesNewRomanPSMT" w:hAnsi="TimesNewRomanPSMT" w:cs="TimesNewRomanPSMT"/>
          <w:color w:val="auto"/>
          <w:sz w:val="22"/>
          <w:szCs w:val="22"/>
          <w:lang w:val="es-ES_tradnl"/>
        </w:rPr>
        <w:t>recolección de datos</w:t>
      </w:r>
      <w:r w:rsidRPr="00E04739">
        <w:rPr>
          <w:rFonts w:ascii="TimesNewRomanPSMT" w:hAnsi="TimesNewRomanPSMT" w:cs="TimesNewRomanPSMT"/>
          <w:color w:val="auto"/>
          <w:sz w:val="22"/>
          <w:szCs w:val="22"/>
          <w:lang w:val="es-ES_tradnl"/>
        </w:rPr>
        <w:t xml:space="preserve"> sobre </w:t>
      </w:r>
      <w:r>
        <w:rPr>
          <w:rFonts w:ascii="TimesNewRomanPSMT" w:hAnsi="TimesNewRomanPSMT" w:cs="TimesNewRomanPSMT"/>
          <w:color w:val="auto"/>
          <w:sz w:val="22"/>
          <w:szCs w:val="22"/>
          <w:lang w:val="es-ES_tradnl"/>
        </w:rPr>
        <w:t>delitos relacionados con la VCM</w:t>
      </w:r>
      <w:r w:rsidRPr="00E04739">
        <w:rPr>
          <w:rFonts w:ascii="TimesNewRomanPSMT" w:hAnsi="TimesNewRomanPSMT" w:cs="TimesNewRomanPSMT"/>
          <w:color w:val="auto"/>
          <w:sz w:val="22"/>
          <w:szCs w:val="22"/>
          <w:lang w:val="es-ES_tradnl"/>
        </w:rPr>
        <w:t xml:space="preserve">. Para mejorar la tramitación, el análisis y el seguimiento de los casos penales que se relacionan con la </w:t>
      </w:r>
      <w:r>
        <w:rPr>
          <w:rFonts w:ascii="TimesNewRomanPSMT" w:hAnsi="TimesNewRomanPSMT" w:cs="TimesNewRomanPSMT"/>
          <w:color w:val="auto"/>
          <w:sz w:val="22"/>
          <w:szCs w:val="22"/>
          <w:lang w:val="es-ES_tradnl"/>
        </w:rPr>
        <w:t>VCM</w:t>
      </w:r>
      <w:r w:rsidRPr="00E04739">
        <w:rPr>
          <w:rFonts w:ascii="TimesNewRomanPSMT" w:hAnsi="TimesNewRomanPSMT" w:cs="TimesNewRomanPSMT"/>
          <w:color w:val="auto"/>
          <w:sz w:val="22"/>
          <w:szCs w:val="22"/>
          <w:lang w:val="es-ES_tradnl"/>
        </w:rPr>
        <w:t>, las distintas instituciones involucradas en la obtención de justicia y la aplicación de la ley deben disponer de un registro de casos y un sistema de seguimiento confiables con datos de alta calidad.</w:t>
      </w:r>
      <w:r>
        <w:rPr>
          <w:rFonts w:ascii="TimesNewRomanPSMT" w:hAnsi="TimesNewRomanPSMT" w:cs="TimesNewRomanPSMT"/>
          <w:color w:val="auto"/>
          <w:sz w:val="22"/>
          <w:szCs w:val="22"/>
          <w:lang w:val="es-ES_tradnl"/>
        </w:rPr>
        <w:t xml:space="preserve"> Por ejemplo, </w:t>
      </w:r>
      <w:r w:rsidRPr="00E04739">
        <w:rPr>
          <w:rFonts w:ascii="TimesNewRomanPSMT" w:hAnsi="TimesNewRomanPSMT" w:cs="TimesNewRomanPSMT"/>
          <w:color w:val="auto"/>
          <w:sz w:val="22"/>
          <w:szCs w:val="22"/>
          <w:lang w:val="es-ES_tradnl"/>
        </w:rPr>
        <w:t>datos de incidencia, prevalencia y tipos de delito violento estén desagregados por sexo, edad y ubicación</w:t>
      </w:r>
      <w:r>
        <w:rPr>
          <w:rFonts w:ascii="TimesNewRomanPSMT" w:hAnsi="TimesNewRomanPSMT" w:cs="TimesNewRomanPSMT"/>
          <w:color w:val="auto"/>
          <w:sz w:val="22"/>
          <w:szCs w:val="22"/>
          <w:lang w:val="es-ES_tradnl"/>
        </w:rPr>
        <w:t>.</w:t>
      </w:r>
    </w:p>
    <w:p w14:paraId="27E68607" w14:textId="77777777" w:rsidR="00E04739" w:rsidRDefault="00E04739" w:rsidP="007B44A1">
      <w:pPr>
        <w:pStyle w:val="Default"/>
        <w:jc w:val="both"/>
        <w:rPr>
          <w:rFonts w:ascii="TimesNewRomanPSMT" w:hAnsi="TimesNewRomanPSMT" w:cs="TimesNewRomanPSMT"/>
          <w:color w:val="auto"/>
          <w:sz w:val="22"/>
          <w:szCs w:val="22"/>
          <w:lang w:val="es-ES_tradnl"/>
        </w:rPr>
      </w:pPr>
      <w:bookmarkStart w:id="0" w:name="_GoBack"/>
    </w:p>
    <w:bookmarkEnd w:id="0"/>
    <w:p w14:paraId="1D2AB711" w14:textId="4D97C72C" w:rsidR="00E04739" w:rsidRPr="00E04739" w:rsidRDefault="00E04739" w:rsidP="007B44A1">
      <w:pPr>
        <w:pStyle w:val="Default"/>
        <w:jc w:val="both"/>
        <w:rPr>
          <w:rFonts w:ascii="TimesNewRomanPSMT" w:hAnsi="TimesNewRomanPSMT" w:cs="TimesNewRomanPSMT"/>
          <w:color w:val="auto"/>
          <w:sz w:val="22"/>
          <w:szCs w:val="22"/>
          <w:lang w:val="es-ES_tradnl"/>
        </w:rPr>
      </w:pPr>
      <w:r>
        <w:rPr>
          <w:rFonts w:ascii="TimesNewRomanPSMT" w:hAnsi="TimesNewRomanPSMT" w:cs="TimesNewRomanPSMT"/>
          <w:color w:val="auto"/>
          <w:sz w:val="22"/>
          <w:szCs w:val="22"/>
          <w:lang w:val="es-ES_tradnl"/>
        </w:rPr>
        <w:t>4.3 Estruct</w:t>
      </w:r>
      <w:r w:rsidR="004F0D71">
        <w:rPr>
          <w:rFonts w:ascii="TimesNewRomanPSMT" w:hAnsi="TimesNewRomanPSMT" w:cs="TimesNewRomanPSMT"/>
          <w:color w:val="auto"/>
          <w:sz w:val="22"/>
          <w:szCs w:val="22"/>
          <w:lang w:val="es-ES_tradnl"/>
        </w:rPr>
        <w:t>ura y capacidad institucionales</w:t>
      </w:r>
      <w:r>
        <w:rPr>
          <w:rFonts w:ascii="TimesNewRomanPSMT" w:hAnsi="TimesNewRomanPSMT" w:cs="TimesNewRomanPSMT"/>
          <w:color w:val="auto"/>
          <w:sz w:val="22"/>
          <w:szCs w:val="22"/>
          <w:lang w:val="es-ES_tradnl"/>
        </w:rPr>
        <w:t xml:space="preserve">  </w:t>
      </w:r>
      <w:r w:rsidRPr="00E04739">
        <w:rPr>
          <w:rFonts w:ascii="TimesNewRomanPSMT" w:hAnsi="TimesNewRomanPSMT" w:cs="TimesNewRomanPSMT"/>
          <w:color w:val="auto"/>
          <w:sz w:val="22"/>
          <w:szCs w:val="22"/>
          <w:lang w:val="es-ES_tradnl"/>
        </w:rPr>
        <w:t xml:space="preserve"> </w:t>
      </w:r>
    </w:p>
    <w:p w14:paraId="33A1FD36" w14:textId="336D7D1C" w:rsidR="00E04739" w:rsidRPr="00E04739" w:rsidRDefault="00E04739" w:rsidP="007B44A1">
      <w:pPr>
        <w:pStyle w:val="Default"/>
        <w:spacing w:after="53"/>
        <w:jc w:val="both"/>
        <w:rPr>
          <w:rFonts w:ascii="TimesNewRomanPSMT" w:hAnsi="TimesNewRomanPSMT" w:cs="TimesNewRomanPSMT"/>
          <w:color w:val="auto"/>
          <w:sz w:val="22"/>
          <w:szCs w:val="22"/>
          <w:lang w:val="es-ES_tradnl"/>
        </w:rPr>
      </w:pPr>
      <w:r w:rsidRPr="00E04739">
        <w:rPr>
          <w:rFonts w:ascii="TimesNewRomanPSMT" w:hAnsi="TimesNewRomanPSMT" w:cs="TimesNewRomanPSMT"/>
          <w:color w:val="auto"/>
          <w:sz w:val="22"/>
          <w:szCs w:val="22"/>
          <w:lang w:val="es-ES_tradnl"/>
        </w:rPr>
        <w:t xml:space="preserve"> </w:t>
      </w:r>
    </w:p>
    <w:p w14:paraId="6FD22AB2" w14:textId="3493616A" w:rsidR="00E04739" w:rsidRPr="00E04739" w:rsidRDefault="00E04739" w:rsidP="007B44A1">
      <w:pPr>
        <w:pStyle w:val="Default"/>
        <w:spacing w:after="53"/>
        <w:jc w:val="both"/>
        <w:rPr>
          <w:rFonts w:ascii="TimesNewRomanPSMT" w:hAnsi="TimesNewRomanPSMT" w:cs="TimesNewRomanPSMT"/>
          <w:color w:val="auto"/>
          <w:sz w:val="22"/>
          <w:szCs w:val="22"/>
          <w:lang w:val="es-ES_tradnl"/>
        </w:rPr>
      </w:pPr>
      <w:r w:rsidRPr="00E04739">
        <w:rPr>
          <w:rFonts w:ascii="TimesNewRomanPSMT" w:hAnsi="TimesNewRomanPSMT" w:cs="TimesNewRomanPSMT"/>
          <w:color w:val="auto"/>
          <w:sz w:val="22"/>
          <w:szCs w:val="22"/>
          <w:lang w:val="es-ES_tradnl"/>
        </w:rPr>
        <w:t>Establezca dependencias exclusivas o estaciones de policía especializadas. Las estaciones especializadas o las dependencias exclusivas con personal capa</w:t>
      </w:r>
      <w:r>
        <w:rPr>
          <w:rFonts w:ascii="TimesNewRomanPSMT" w:hAnsi="TimesNewRomanPSMT" w:cs="TimesNewRomanPSMT"/>
          <w:color w:val="auto"/>
          <w:sz w:val="22"/>
          <w:szCs w:val="22"/>
          <w:lang w:val="es-ES_tradnl"/>
        </w:rPr>
        <w:t xml:space="preserve">citado pueden estar en mejores </w:t>
      </w:r>
      <w:r w:rsidRPr="00E04739">
        <w:rPr>
          <w:rFonts w:ascii="TimesNewRomanPSMT" w:hAnsi="TimesNewRomanPSMT" w:cs="TimesNewRomanPSMT"/>
          <w:color w:val="auto"/>
          <w:sz w:val="22"/>
          <w:szCs w:val="22"/>
          <w:lang w:val="es-ES_tradnl"/>
        </w:rPr>
        <w:t>condiciones de prestar servicios centrados en la sobreviviente, obtener las declaraciones de las sobrevivientes sin revictimizarlas y facilitar la reco</w:t>
      </w:r>
      <w:r>
        <w:rPr>
          <w:rFonts w:ascii="TimesNewRomanPSMT" w:hAnsi="TimesNewRomanPSMT" w:cs="TimesNewRomanPSMT"/>
          <w:color w:val="auto"/>
          <w:sz w:val="22"/>
          <w:szCs w:val="22"/>
          <w:lang w:val="es-ES_tradnl"/>
        </w:rPr>
        <w:t xml:space="preserve">pilación de la evidencia. En este </w:t>
      </w:r>
      <w:r w:rsidRPr="00000FD0">
        <w:rPr>
          <w:rFonts w:ascii="TimesNewRomanPSMT" w:hAnsi="TimesNewRomanPSMT" w:cs="TimesNewRomanPSMT"/>
          <w:color w:val="auto"/>
          <w:sz w:val="22"/>
          <w:szCs w:val="22"/>
          <w:lang w:val="es-ES_tradnl"/>
        </w:rPr>
        <w:t>proyecto adecuar</w:t>
      </w:r>
      <w:r w:rsidR="002F185F" w:rsidRPr="00000FD0">
        <w:rPr>
          <w:rFonts w:ascii="TimesNewRomanPSMT" w:hAnsi="TimesNewRomanPSMT" w:cs="TimesNewRomanPSMT"/>
          <w:color w:val="auto"/>
          <w:sz w:val="22"/>
          <w:szCs w:val="22"/>
          <w:lang w:val="es-ES_tradnl"/>
        </w:rPr>
        <w:t xml:space="preserve">á </w:t>
      </w:r>
      <w:r w:rsidR="00CA737A" w:rsidRPr="00000FD0">
        <w:rPr>
          <w:rFonts w:ascii="TimesNewRomanPSMT" w:hAnsi="TimesNewRomanPSMT" w:cs="TimesNewRomanPSMT"/>
          <w:color w:val="auto"/>
          <w:sz w:val="22"/>
          <w:szCs w:val="22"/>
          <w:lang w:val="es-ES_tradnl"/>
        </w:rPr>
        <w:t>espacios esp</w:t>
      </w:r>
      <w:r w:rsidR="00AE63E0">
        <w:rPr>
          <w:rFonts w:ascii="TimesNewRomanPSMT" w:hAnsi="TimesNewRomanPSMT" w:cs="TimesNewRomanPSMT"/>
          <w:color w:val="auto"/>
          <w:sz w:val="22"/>
          <w:szCs w:val="22"/>
          <w:lang w:val="es-ES_tradnl"/>
        </w:rPr>
        <w:t>e</w:t>
      </w:r>
      <w:r w:rsidR="00CA737A" w:rsidRPr="00000FD0">
        <w:rPr>
          <w:rFonts w:ascii="TimesNewRomanPSMT" w:hAnsi="TimesNewRomanPSMT" w:cs="TimesNewRomanPSMT"/>
          <w:color w:val="auto"/>
          <w:sz w:val="22"/>
          <w:szCs w:val="22"/>
          <w:lang w:val="es-ES_tradnl"/>
        </w:rPr>
        <w:t>ciales</w:t>
      </w:r>
      <w:r w:rsidR="00CA737A">
        <w:rPr>
          <w:rFonts w:ascii="TimesNewRomanPSMT" w:hAnsi="TimesNewRomanPSMT" w:cs="TimesNewRomanPSMT"/>
          <w:color w:val="auto"/>
          <w:sz w:val="22"/>
          <w:szCs w:val="22"/>
          <w:lang w:val="es-ES_tradnl"/>
        </w:rPr>
        <w:t xml:space="preserve"> en</w:t>
      </w:r>
      <w:r w:rsidR="002F185F">
        <w:rPr>
          <w:rFonts w:ascii="TimesNewRomanPSMT" w:hAnsi="TimesNewRomanPSMT" w:cs="TimesNewRomanPSMT"/>
          <w:color w:val="auto"/>
          <w:sz w:val="22"/>
          <w:szCs w:val="22"/>
          <w:lang w:val="es-ES_tradnl"/>
        </w:rPr>
        <w:t xml:space="preserve"> las </w:t>
      </w:r>
      <w:r w:rsidR="00CA737A">
        <w:rPr>
          <w:rFonts w:ascii="TimesNewRomanPSMT" w:hAnsi="TimesNewRomanPSMT" w:cs="TimesNewRomanPSMT"/>
          <w:color w:val="auto"/>
          <w:sz w:val="22"/>
          <w:szCs w:val="22"/>
          <w:lang w:val="es-ES_tradnl"/>
        </w:rPr>
        <w:t xml:space="preserve">comisarías </w:t>
      </w:r>
      <w:r w:rsidR="00CA737A">
        <w:rPr>
          <w:rFonts w:ascii="TimesNewRomanPSMT" w:hAnsi="TimesNewRomanPSMT" w:cs="TimesNewRomanPSMT"/>
          <w:color w:val="auto"/>
          <w:sz w:val="22"/>
          <w:szCs w:val="22"/>
          <w:lang w:val="es-ES_tradnl"/>
        </w:rPr>
        <w:lastRenderedPageBreak/>
        <w:t xml:space="preserve">para brindar más </w:t>
      </w:r>
      <w:r>
        <w:rPr>
          <w:rFonts w:ascii="TimesNewRomanPSMT" w:hAnsi="TimesNewRomanPSMT" w:cs="TimesNewRomanPSMT"/>
          <w:color w:val="auto"/>
          <w:sz w:val="22"/>
          <w:szCs w:val="22"/>
          <w:lang w:val="es-ES_tradnl"/>
        </w:rPr>
        <w:t xml:space="preserve">privacidad y confidencialidad </w:t>
      </w:r>
      <w:r w:rsidR="00CA737A">
        <w:rPr>
          <w:rFonts w:ascii="TimesNewRomanPSMT" w:hAnsi="TimesNewRomanPSMT" w:cs="TimesNewRomanPSMT"/>
          <w:color w:val="auto"/>
          <w:sz w:val="22"/>
          <w:szCs w:val="22"/>
          <w:lang w:val="es-ES_tradnl"/>
        </w:rPr>
        <w:t>a las víctimas de violencia, requisitos indispensables de</w:t>
      </w:r>
      <w:r>
        <w:rPr>
          <w:rFonts w:ascii="TimesNewRomanPSMT" w:hAnsi="TimesNewRomanPSMT" w:cs="TimesNewRomanPSMT"/>
          <w:color w:val="auto"/>
          <w:sz w:val="22"/>
          <w:szCs w:val="22"/>
          <w:lang w:val="es-ES_tradnl"/>
        </w:rPr>
        <w:t xml:space="preserve"> </w:t>
      </w:r>
      <w:r w:rsidR="00CA737A">
        <w:rPr>
          <w:rFonts w:ascii="TimesNewRomanPSMT" w:hAnsi="TimesNewRomanPSMT" w:cs="TimesNewRomanPSMT"/>
          <w:color w:val="auto"/>
          <w:sz w:val="22"/>
          <w:szCs w:val="22"/>
          <w:lang w:val="es-ES_tradnl"/>
        </w:rPr>
        <w:t xml:space="preserve">una </w:t>
      </w:r>
      <w:r>
        <w:rPr>
          <w:rFonts w:ascii="TimesNewRomanPSMT" w:hAnsi="TimesNewRomanPSMT" w:cs="TimesNewRomanPSMT"/>
          <w:color w:val="auto"/>
          <w:sz w:val="22"/>
          <w:szCs w:val="22"/>
          <w:lang w:val="es-ES_tradnl"/>
        </w:rPr>
        <w:t>at</w:t>
      </w:r>
      <w:r w:rsidR="00CA737A">
        <w:rPr>
          <w:rFonts w:ascii="TimesNewRomanPSMT" w:hAnsi="TimesNewRomanPSMT" w:cs="TimesNewRomanPSMT"/>
          <w:color w:val="auto"/>
          <w:sz w:val="22"/>
          <w:szCs w:val="22"/>
          <w:lang w:val="es-ES_tradnl"/>
        </w:rPr>
        <w:t>ención de calidad</w:t>
      </w:r>
      <w:r>
        <w:rPr>
          <w:rFonts w:ascii="TimesNewRomanPSMT" w:hAnsi="TimesNewRomanPSMT" w:cs="TimesNewRomanPSMT"/>
          <w:color w:val="auto"/>
          <w:sz w:val="22"/>
          <w:szCs w:val="22"/>
          <w:lang w:val="es-ES_tradnl"/>
        </w:rPr>
        <w:t xml:space="preserve">. </w:t>
      </w:r>
      <w:r w:rsidRPr="00E04739">
        <w:rPr>
          <w:rFonts w:ascii="TimesNewRomanPSMT" w:hAnsi="TimesNewRomanPSMT" w:cs="TimesNewRomanPSMT"/>
          <w:color w:val="auto"/>
          <w:sz w:val="22"/>
          <w:szCs w:val="22"/>
          <w:lang w:val="es-ES_tradnl"/>
        </w:rPr>
        <w:t xml:space="preserve"> </w:t>
      </w:r>
    </w:p>
    <w:p w14:paraId="03803752" w14:textId="50B6856E" w:rsidR="00E04739" w:rsidRDefault="00E04739" w:rsidP="007B44A1">
      <w:pPr>
        <w:autoSpaceDE w:val="0"/>
        <w:autoSpaceDN w:val="0"/>
        <w:adjustRightInd w:val="0"/>
        <w:spacing w:after="0" w:line="240" w:lineRule="auto"/>
        <w:jc w:val="both"/>
        <w:rPr>
          <w:rFonts w:ascii="TimesNewRomanPSMT" w:hAnsi="TimesNewRomanPSMT" w:cs="TimesNewRomanPSMT"/>
          <w:lang w:val="es-ES_tradnl"/>
        </w:rPr>
      </w:pPr>
    </w:p>
    <w:p w14:paraId="09AE8A88" w14:textId="7255DF12" w:rsidR="00CA737A" w:rsidRDefault="004F0D71" w:rsidP="007B44A1">
      <w:pPr>
        <w:autoSpaceDE w:val="0"/>
        <w:autoSpaceDN w:val="0"/>
        <w:adjustRightInd w:val="0"/>
        <w:spacing w:after="0" w:line="240" w:lineRule="auto"/>
        <w:jc w:val="both"/>
        <w:rPr>
          <w:rFonts w:ascii="TimesNewRomanPSMT" w:hAnsi="TimesNewRomanPSMT" w:cs="TimesNewRomanPSMT"/>
          <w:lang w:val="es-ES_tradnl"/>
        </w:rPr>
      </w:pPr>
      <w:r>
        <w:rPr>
          <w:rFonts w:ascii="TimesNewRomanPSMT" w:hAnsi="TimesNewRomanPSMT" w:cs="TimesNewRomanPSMT"/>
          <w:lang w:val="es-ES_tradnl"/>
        </w:rPr>
        <w:t>El</w:t>
      </w:r>
      <w:r w:rsidR="00CA737A" w:rsidRPr="00CA737A">
        <w:rPr>
          <w:rFonts w:ascii="TimesNewRomanPSMT" w:hAnsi="TimesNewRomanPSMT" w:cs="TimesNewRomanPSMT"/>
          <w:lang w:val="es-ES_tradnl"/>
        </w:rPr>
        <w:t xml:space="preserve"> plan de acción debe implementarse durante la ejecuc</w:t>
      </w:r>
      <w:r>
        <w:rPr>
          <w:rFonts w:ascii="TimesNewRomanPSMT" w:hAnsi="TimesNewRomanPSMT" w:cs="TimesNewRomanPSMT"/>
          <w:lang w:val="es-ES_tradnl"/>
        </w:rPr>
        <w:t xml:space="preserve">ión de la operación, y cada una </w:t>
      </w:r>
      <w:r w:rsidR="00CA737A" w:rsidRPr="00CA737A">
        <w:rPr>
          <w:rFonts w:ascii="TimesNewRomanPSMT" w:hAnsi="TimesNewRomanPSMT" w:cs="TimesNewRomanPSMT"/>
          <w:lang w:val="es-ES_tradnl"/>
        </w:rPr>
        <w:t>de las medidas de mitigación descritas deberían formar parte de las condiciones c</w:t>
      </w:r>
      <w:r w:rsidR="00CA737A">
        <w:rPr>
          <w:rFonts w:ascii="TimesNewRomanPSMT" w:hAnsi="TimesNewRomanPSMT" w:cs="TimesNewRomanPSMT"/>
          <w:lang w:val="es-ES_tradnl"/>
        </w:rPr>
        <w:t xml:space="preserve">ontractuales establecidas en el </w:t>
      </w:r>
      <w:r w:rsidR="00CA737A" w:rsidRPr="00CA737A">
        <w:rPr>
          <w:rFonts w:ascii="TimesNewRomanPSMT" w:hAnsi="TimesNewRomanPSMT" w:cs="TimesNewRomanPSMT"/>
          <w:lang w:val="es-ES_tradnl"/>
        </w:rPr>
        <w:t xml:space="preserve">Contrato de </w:t>
      </w:r>
      <w:r w:rsidR="00062E22">
        <w:rPr>
          <w:rFonts w:ascii="TimesNewRomanPSMT" w:hAnsi="TimesNewRomanPSMT" w:cs="TimesNewRomanPSMT"/>
          <w:lang w:val="es-ES_tradnl"/>
        </w:rPr>
        <w:t>P</w:t>
      </w:r>
      <w:r w:rsidR="00CA737A" w:rsidRPr="00CA737A">
        <w:rPr>
          <w:rFonts w:ascii="TimesNewRomanPSMT" w:hAnsi="TimesNewRomanPSMT" w:cs="TimesNewRomanPSMT"/>
          <w:lang w:val="es-ES_tradnl"/>
        </w:rPr>
        <w:t>réstamo de la operación. Estas medidas y su inclusión e</w:t>
      </w:r>
      <w:r w:rsidR="00CA737A">
        <w:rPr>
          <w:rFonts w:ascii="TimesNewRomanPSMT" w:hAnsi="TimesNewRomanPSMT" w:cs="TimesNewRomanPSMT"/>
          <w:lang w:val="es-ES_tradnl"/>
        </w:rPr>
        <w:t xml:space="preserve">n el Contrato de Préstamo serán </w:t>
      </w:r>
      <w:r w:rsidR="00CA737A" w:rsidRPr="00CA737A">
        <w:rPr>
          <w:rFonts w:ascii="TimesNewRomanPSMT" w:hAnsi="TimesNewRomanPSMT" w:cs="TimesNewRomanPSMT"/>
          <w:lang w:val="es-ES_tradnl"/>
        </w:rPr>
        <w:t>descrito con mayor detalle en el Informe de Gestión Ambiental y Social</w:t>
      </w:r>
      <w:r w:rsidR="00235C64">
        <w:rPr>
          <w:rFonts w:ascii="TimesNewRomanPSMT" w:hAnsi="TimesNewRomanPSMT" w:cs="TimesNewRomanPSMT"/>
          <w:lang w:val="es-ES_tradnl"/>
        </w:rPr>
        <w:t xml:space="preserve"> (IGAS) que se preparará para </w:t>
      </w:r>
      <w:r w:rsidR="00CA737A" w:rsidRPr="00CA737A">
        <w:rPr>
          <w:rFonts w:ascii="TimesNewRomanPSMT" w:hAnsi="TimesNewRomanPSMT" w:cs="TimesNewRomanPSMT"/>
          <w:lang w:val="es-ES_tradnl"/>
        </w:rPr>
        <w:t>la Operación como un</w:t>
      </w:r>
      <w:r w:rsidR="004574D3">
        <w:rPr>
          <w:rFonts w:ascii="TimesNewRomanPSMT" w:hAnsi="TimesNewRomanPSMT" w:cs="TimesNewRomanPSMT"/>
          <w:lang w:val="es-ES_tradnl"/>
        </w:rPr>
        <w:t xml:space="preserve"> enlace obligatori</w:t>
      </w:r>
      <w:r w:rsidR="004574D3" w:rsidRPr="00235C64">
        <w:rPr>
          <w:rFonts w:ascii="TimesNewRomanPSMT" w:hAnsi="TimesNewRomanPSMT" w:cs="TimesNewRomanPSMT"/>
          <w:lang w:val="es-ES_tradnl"/>
        </w:rPr>
        <w:t>o</w:t>
      </w:r>
      <w:r w:rsidR="00CA737A" w:rsidRPr="00235C64">
        <w:rPr>
          <w:rFonts w:ascii="TimesNewRomanPSMT" w:hAnsi="TimesNewRomanPSMT" w:cs="TimesNewRomanPSMT"/>
          <w:lang w:val="es-ES_tradnl"/>
        </w:rPr>
        <w:t>.</w:t>
      </w:r>
    </w:p>
    <w:p w14:paraId="1429741C" w14:textId="77777777" w:rsidR="007E5873" w:rsidRDefault="007E5873" w:rsidP="00CA737A">
      <w:pPr>
        <w:autoSpaceDE w:val="0"/>
        <w:autoSpaceDN w:val="0"/>
        <w:adjustRightInd w:val="0"/>
        <w:spacing w:after="0" w:line="240" w:lineRule="auto"/>
        <w:rPr>
          <w:rFonts w:ascii="TimesNewRomanPSMT" w:hAnsi="TimesNewRomanPSMT" w:cs="TimesNewRomanPSMT"/>
          <w:lang w:val="es-ES_tradnl"/>
        </w:rPr>
      </w:pPr>
    </w:p>
    <w:tbl>
      <w:tblPr>
        <w:tblStyle w:val="TableGrid"/>
        <w:tblW w:w="0" w:type="auto"/>
        <w:tblLook w:val="04A0" w:firstRow="1" w:lastRow="0" w:firstColumn="1" w:lastColumn="0" w:noHBand="0" w:noVBand="1"/>
      </w:tblPr>
      <w:tblGrid>
        <w:gridCol w:w="4675"/>
        <w:gridCol w:w="4675"/>
      </w:tblGrid>
      <w:tr w:rsidR="00235C64" w14:paraId="797CCC7F" w14:textId="77777777" w:rsidTr="00235C64">
        <w:tc>
          <w:tcPr>
            <w:tcW w:w="4675" w:type="dxa"/>
          </w:tcPr>
          <w:p w14:paraId="3A17E20C" w14:textId="4C43B50A" w:rsidR="00235C64" w:rsidRDefault="00235C64" w:rsidP="00CA737A">
            <w:pPr>
              <w:autoSpaceDE w:val="0"/>
              <w:autoSpaceDN w:val="0"/>
              <w:adjustRightInd w:val="0"/>
              <w:rPr>
                <w:rFonts w:ascii="TimesNewRomanPSMT" w:hAnsi="TimesNewRomanPSMT" w:cs="TimesNewRomanPSMT"/>
                <w:lang w:val="es-ES_tradnl"/>
              </w:rPr>
            </w:pPr>
            <w:r>
              <w:rPr>
                <w:rFonts w:ascii="TimesNewRomanPSMT" w:hAnsi="TimesNewRomanPSMT" w:cs="TimesNewRomanPSMT"/>
                <w:lang w:val="es-ES_tradnl"/>
              </w:rPr>
              <w:t>Riesgos identificados</w:t>
            </w:r>
          </w:p>
        </w:tc>
        <w:tc>
          <w:tcPr>
            <w:tcW w:w="4675" w:type="dxa"/>
          </w:tcPr>
          <w:p w14:paraId="4147C5D1" w14:textId="4B7CB8D0" w:rsidR="00235C64" w:rsidRDefault="00235C64" w:rsidP="00CA737A">
            <w:pPr>
              <w:autoSpaceDE w:val="0"/>
              <w:autoSpaceDN w:val="0"/>
              <w:adjustRightInd w:val="0"/>
              <w:rPr>
                <w:rFonts w:ascii="TimesNewRomanPSMT" w:hAnsi="TimesNewRomanPSMT" w:cs="TimesNewRomanPSMT"/>
                <w:lang w:val="es-ES_tradnl"/>
              </w:rPr>
            </w:pPr>
            <w:r>
              <w:rPr>
                <w:rFonts w:ascii="TimesNewRomanPSMT" w:hAnsi="TimesNewRomanPSMT" w:cs="TimesNewRomanPSMT"/>
                <w:lang w:val="es-ES_tradnl"/>
              </w:rPr>
              <w:t xml:space="preserve">Medidas de mitigación </w:t>
            </w:r>
          </w:p>
        </w:tc>
      </w:tr>
      <w:tr w:rsidR="00235C64" w:rsidRPr="00A63F2D" w14:paraId="233BD603" w14:textId="77777777" w:rsidTr="00235C64">
        <w:tc>
          <w:tcPr>
            <w:tcW w:w="4675" w:type="dxa"/>
          </w:tcPr>
          <w:p w14:paraId="45FE5D05" w14:textId="77777777" w:rsidR="00235C64" w:rsidRDefault="00235C64" w:rsidP="00CA737A">
            <w:pPr>
              <w:autoSpaceDE w:val="0"/>
              <w:autoSpaceDN w:val="0"/>
              <w:adjustRightInd w:val="0"/>
              <w:rPr>
                <w:rFonts w:ascii="TimesNewRomanPSMT" w:hAnsi="TimesNewRomanPSMT" w:cs="TimesNewRomanPSMT"/>
                <w:lang w:val="es-ES_tradnl"/>
              </w:rPr>
            </w:pPr>
            <w:r>
              <w:rPr>
                <w:rFonts w:ascii="TimesNewRomanPSMT" w:hAnsi="TimesNewRomanPSMT" w:cs="TimesNewRomanPSMT"/>
                <w:lang w:val="es-ES_tradnl"/>
              </w:rPr>
              <w:t>Violencia o ejercicio de poder no legitimo de parte de la policía</w:t>
            </w:r>
          </w:p>
          <w:p w14:paraId="40F86AD2" w14:textId="77777777" w:rsidR="00AE63E0" w:rsidRDefault="00AE63E0" w:rsidP="00CA737A">
            <w:pPr>
              <w:autoSpaceDE w:val="0"/>
              <w:autoSpaceDN w:val="0"/>
              <w:adjustRightInd w:val="0"/>
              <w:rPr>
                <w:rFonts w:ascii="TimesNewRomanPSMT" w:hAnsi="TimesNewRomanPSMT" w:cs="TimesNewRomanPSMT"/>
                <w:lang w:val="es-ES_tradnl"/>
              </w:rPr>
            </w:pPr>
          </w:p>
          <w:p w14:paraId="43BE21B7" w14:textId="0CBA4B39" w:rsidR="00AE63E0" w:rsidRDefault="00AE63E0" w:rsidP="00CA737A">
            <w:pPr>
              <w:autoSpaceDE w:val="0"/>
              <w:autoSpaceDN w:val="0"/>
              <w:adjustRightInd w:val="0"/>
              <w:rPr>
                <w:rFonts w:ascii="TimesNewRomanPSMT" w:hAnsi="TimesNewRomanPSMT" w:cs="TimesNewRomanPSMT"/>
                <w:lang w:val="es-ES_tradnl"/>
              </w:rPr>
            </w:pPr>
            <w:r>
              <w:rPr>
                <w:rFonts w:ascii="TimesNewRomanPSMT" w:hAnsi="TimesNewRomanPSMT" w:cs="TimesNewRomanPSMT"/>
                <w:lang w:val="es-ES_tradnl"/>
              </w:rPr>
              <w:t>Revictimización a las víctimas de violencia contra la mujer que deciden reportarlo</w:t>
            </w:r>
          </w:p>
        </w:tc>
        <w:tc>
          <w:tcPr>
            <w:tcW w:w="4675" w:type="dxa"/>
          </w:tcPr>
          <w:p w14:paraId="0E4DD62B" w14:textId="77777777" w:rsidR="00607F6E" w:rsidRPr="00607F6E" w:rsidRDefault="00607F6E" w:rsidP="001602C3">
            <w:pPr>
              <w:autoSpaceDE w:val="0"/>
              <w:autoSpaceDN w:val="0"/>
              <w:adjustRightInd w:val="0"/>
              <w:jc w:val="both"/>
              <w:rPr>
                <w:rFonts w:ascii="TimesNewRomanPSMT" w:hAnsi="TimesNewRomanPSMT" w:cs="TimesNewRomanPSMT"/>
                <w:lang w:val="es-ES_tradnl"/>
              </w:rPr>
            </w:pPr>
            <w:r w:rsidRPr="00607F6E">
              <w:rPr>
                <w:rFonts w:ascii="TimesNewRomanPSMT" w:hAnsi="TimesNewRomanPSMT" w:cs="TimesNewRomanPSMT"/>
                <w:lang w:val="es-ES_tradnl"/>
              </w:rPr>
              <w:t>Capacitaciones de ética, incluyendo módulos sobre género, violencia de género y cómo responder efectivamente, diversidad y la no</w:t>
            </w:r>
            <w:r w:rsidRPr="00607F6E">
              <w:rPr>
                <w:rFonts w:ascii="TimesNewRomanPSMT" w:hAnsi="TimesNewRomanPSMT" w:cs="TimesNewRomanPSMT"/>
                <w:lang w:val="es-ES_tradnl"/>
              </w:rPr>
              <w:noBreakHyphen/>
              <w:t>discriminación, y derechos humanos, siguiendo estándares internacionales</w:t>
            </w:r>
          </w:p>
          <w:p w14:paraId="57BEE5EC" w14:textId="76B7C75E" w:rsidR="00235C64" w:rsidRDefault="00607F6E" w:rsidP="001602C3">
            <w:pPr>
              <w:autoSpaceDE w:val="0"/>
              <w:autoSpaceDN w:val="0"/>
              <w:adjustRightInd w:val="0"/>
              <w:jc w:val="both"/>
              <w:rPr>
                <w:rFonts w:ascii="TimesNewRomanPSMT" w:hAnsi="TimesNewRomanPSMT" w:cs="TimesNewRomanPSMT"/>
                <w:lang w:val="es-ES_tradnl"/>
              </w:rPr>
            </w:pPr>
            <w:r w:rsidRPr="00607F6E">
              <w:rPr>
                <w:rFonts w:ascii="TimesNewRomanPSMT" w:hAnsi="TimesNewRomanPSMT" w:cs="TimesNewRomanPSMT"/>
                <w:lang w:val="es-ES_tradnl"/>
              </w:rPr>
              <w:t>Enfoque de la curricula de policía comunitario</w:t>
            </w:r>
            <w:r>
              <w:rPr>
                <w:rFonts w:ascii="TimesNewRomanPSMT" w:hAnsi="TimesNewRomanPSMT" w:cs="TimesNewRomanPSMT"/>
                <w:lang w:val="es-ES_tradnl"/>
              </w:rPr>
              <w:t xml:space="preserve"> desde la Escuela de la Policía (Componente 1).</w:t>
            </w:r>
          </w:p>
          <w:p w14:paraId="702053CD" w14:textId="6ADBC7D7" w:rsidR="00607F6E" w:rsidRPr="00607F6E" w:rsidRDefault="00607F6E" w:rsidP="001602C3">
            <w:pPr>
              <w:autoSpaceDE w:val="0"/>
              <w:autoSpaceDN w:val="0"/>
              <w:adjustRightInd w:val="0"/>
              <w:jc w:val="both"/>
              <w:rPr>
                <w:rFonts w:ascii="TimesNewRomanPSMT" w:hAnsi="TimesNewRomanPSMT" w:cs="TimesNewRomanPSMT"/>
                <w:lang w:val="es-ES_tradnl"/>
              </w:rPr>
            </w:pPr>
            <w:r>
              <w:rPr>
                <w:rFonts w:ascii="TimesNewRomanPSMT" w:hAnsi="TimesNewRomanPSMT" w:cs="TimesNewRomanPSMT"/>
                <w:lang w:val="es-ES_tradnl"/>
              </w:rPr>
              <w:t xml:space="preserve">Además, se adecuarán espacios especiales en las comisarías para brindar una atención de calidad; privacidad y confidencialidad a la </w:t>
            </w:r>
            <w:r w:rsidR="00FC0F3A">
              <w:rPr>
                <w:rFonts w:ascii="TimesNewRomanPSMT" w:hAnsi="TimesNewRomanPSMT" w:cs="TimesNewRomanPSMT"/>
                <w:lang w:val="es-ES_tradnl"/>
              </w:rPr>
              <w:t>víctima</w:t>
            </w:r>
            <w:r>
              <w:rPr>
                <w:rFonts w:ascii="TimesNewRomanPSMT" w:hAnsi="TimesNewRomanPSMT" w:cs="TimesNewRomanPSMT"/>
                <w:lang w:val="es-ES_tradnl"/>
              </w:rPr>
              <w:t xml:space="preserve"> cuando </w:t>
            </w:r>
            <w:r w:rsidR="00FC0F3A">
              <w:rPr>
                <w:rFonts w:ascii="TimesNewRomanPSMT" w:hAnsi="TimesNewRomanPSMT" w:cs="TimesNewRomanPSMT"/>
                <w:lang w:val="es-ES_tradnl"/>
              </w:rPr>
              <w:t xml:space="preserve">se </w:t>
            </w:r>
            <w:r>
              <w:rPr>
                <w:rFonts w:ascii="TimesNewRomanPSMT" w:hAnsi="TimesNewRomanPSMT" w:cs="TimesNewRomanPSMT"/>
                <w:lang w:val="es-ES_tradnl"/>
              </w:rPr>
              <w:t>realice la denuncia (componente 3).</w:t>
            </w:r>
          </w:p>
        </w:tc>
      </w:tr>
      <w:tr w:rsidR="00235C64" w:rsidRPr="00A63F2D" w14:paraId="77C72B9A" w14:textId="77777777" w:rsidTr="00235C64">
        <w:tc>
          <w:tcPr>
            <w:tcW w:w="4675" w:type="dxa"/>
          </w:tcPr>
          <w:p w14:paraId="498DF25A" w14:textId="13E5C3F3" w:rsidR="00235C64" w:rsidRPr="00607F6E" w:rsidRDefault="00235C64" w:rsidP="00CA737A">
            <w:pPr>
              <w:autoSpaceDE w:val="0"/>
              <w:autoSpaceDN w:val="0"/>
              <w:adjustRightInd w:val="0"/>
              <w:rPr>
                <w:rFonts w:ascii="TimesNewRomanPSMT" w:hAnsi="TimesNewRomanPSMT" w:cs="TimesNewRomanPSMT"/>
                <w:lang w:val="es-ES_tradnl"/>
              </w:rPr>
            </w:pPr>
            <w:r w:rsidRPr="00607F6E">
              <w:rPr>
                <w:rFonts w:ascii="TimesNewRomanPSMT" w:hAnsi="TimesNewRomanPSMT" w:cs="TimesNewRomanPSMT"/>
                <w:lang w:val="es-ES_tradnl"/>
              </w:rPr>
              <w:t>Uso ilegítimo de poder o abuso de las autoridades</w:t>
            </w:r>
            <w:r w:rsidR="00607F6E" w:rsidRPr="00607F6E">
              <w:rPr>
                <w:rFonts w:ascii="TimesNewRomanPSMT" w:hAnsi="TimesNewRomanPSMT" w:cs="TimesNewRomanPSMT"/>
                <w:lang w:val="es-ES_tradnl"/>
              </w:rPr>
              <w:t xml:space="preserve"> contra ciudadanos o contra poblaciones </w:t>
            </w:r>
            <w:r w:rsidR="00607F6E">
              <w:rPr>
                <w:rFonts w:ascii="TimesNewRomanPSMT" w:hAnsi="TimesNewRomanPSMT" w:cs="TimesNewRomanPSMT"/>
                <w:lang w:val="es-ES_tradnl"/>
              </w:rPr>
              <w:t>vulnerables</w:t>
            </w:r>
            <w:r w:rsidRPr="00607F6E">
              <w:rPr>
                <w:rFonts w:ascii="TimesNewRomanPSMT" w:hAnsi="TimesNewRomanPSMT" w:cs="TimesNewRomanPSMT"/>
                <w:lang w:val="es-ES_tradnl"/>
              </w:rPr>
              <w:t xml:space="preserve"> </w:t>
            </w:r>
          </w:p>
        </w:tc>
        <w:tc>
          <w:tcPr>
            <w:tcW w:w="4675" w:type="dxa"/>
          </w:tcPr>
          <w:p w14:paraId="6597488D" w14:textId="5A4A7586" w:rsidR="00235C64" w:rsidRPr="00607F6E" w:rsidRDefault="004668BC" w:rsidP="001602C3">
            <w:pPr>
              <w:autoSpaceDE w:val="0"/>
              <w:autoSpaceDN w:val="0"/>
              <w:adjustRightInd w:val="0"/>
              <w:jc w:val="both"/>
              <w:rPr>
                <w:rFonts w:ascii="TimesNewRomanPSMT" w:hAnsi="TimesNewRomanPSMT" w:cs="TimesNewRomanPSMT"/>
                <w:lang w:val="es-ES_tradnl"/>
              </w:rPr>
            </w:pPr>
            <w:r w:rsidRPr="004668BC">
              <w:rPr>
                <w:rFonts w:ascii="TimesNewRomanPSMT" w:hAnsi="TimesNewRomanPSMT" w:cs="TimesNewRomanPSMT"/>
                <w:lang w:val="es-ES_tradnl"/>
              </w:rPr>
              <w:t>Desarrollo de un mecanismo de atención de quejas y reclamos como está previsto en el Componente 3: Mejoramiento de Mecanismos de Rendición de Cuentas, Transparencia y Participación Ciudadana.</w:t>
            </w:r>
          </w:p>
        </w:tc>
      </w:tr>
    </w:tbl>
    <w:p w14:paraId="75FB214C" w14:textId="0940A86C" w:rsidR="00607F6E" w:rsidRDefault="00607F6E" w:rsidP="00CA737A">
      <w:pPr>
        <w:autoSpaceDE w:val="0"/>
        <w:autoSpaceDN w:val="0"/>
        <w:adjustRightInd w:val="0"/>
        <w:spacing w:after="0" w:line="240" w:lineRule="auto"/>
        <w:rPr>
          <w:rFonts w:ascii="TimesNewRomanPSMT" w:hAnsi="TimesNewRomanPSMT" w:cs="TimesNewRomanPSMT"/>
          <w:lang w:val="es-ES_tradnl"/>
        </w:rPr>
      </w:pPr>
    </w:p>
    <w:p w14:paraId="435FC0BD" w14:textId="1393DEA6" w:rsidR="00607F6E" w:rsidRPr="00D46BCB" w:rsidRDefault="00764E4B" w:rsidP="00CA737A">
      <w:pPr>
        <w:autoSpaceDE w:val="0"/>
        <w:autoSpaceDN w:val="0"/>
        <w:adjustRightInd w:val="0"/>
        <w:spacing w:after="0" w:line="240" w:lineRule="auto"/>
        <w:rPr>
          <w:rFonts w:ascii="TimesNewRomanPSMT" w:hAnsi="TimesNewRomanPSMT" w:cs="TimesNewRomanPSMT"/>
          <w:b/>
          <w:lang w:val="es-ES_tradnl"/>
        </w:rPr>
      </w:pPr>
      <w:r w:rsidRPr="00D46BCB">
        <w:rPr>
          <w:rFonts w:ascii="TimesNewRomanPSMT" w:hAnsi="TimesNewRomanPSMT" w:cs="TimesNewRomanPSMT"/>
          <w:b/>
          <w:lang w:val="es-ES_tradnl"/>
        </w:rPr>
        <w:t xml:space="preserve">5. </w:t>
      </w:r>
      <w:r w:rsidR="007B27D3" w:rsidRPr="00D46BCB">
        <w:rPr>
          <w:rFonts w:ascii="TimesNewRomanPSMT" w:hAnsi="TimesNewRomanPSMT" w:cs="TimesNewRomanPSMT"/>
          <w:b/>
          <w:lang w:val="es-ES_tradnl"/>
        </w:rPr>
        <w:t xml:space="preserve">El </w:t>
      </w:r>
      <w:r w:rsidRPr="00D46BCB">
        <w:rPr>
          <w:rFonts w:ascii="TimesNewRomanPSMT" w:hAnsi="TimesNewRomanPSMT" w:cs="TimesNewRomanPSMT"/>
          <w:b/>
          <w:lang w:val="es-ES_tradnl"/>
        </w:rPr>
        <w:t>Plan</w:t>
      </w:r>
      <w:r w:rsidR="007B27D3" w:rsidRPr="00D46BCB">
        <w:rPr>
          <w:rFonts w:ascii="TimesNewRomanPSMT" w:hAnsi="TimesNewRomanPSMT" w:cs="TimesNewRomanPSMT"/>
          <w:b/>
          <w:lang w:val="es-ES_tradnl"/>
        </w:rPr>
        <w:t xml:space="preserve"> de Consulta </w:t>
      </w:r>
      <w:r w:rsidR="00DF6F5D" w:rsidRPr="00D46BCB">
        <w:rPr>
          <w:rFonts w:ascii="TimesNewRomanPSMT" w:hAnsi="TimesNewRomanPSMT" w:cs="TimesNewRomanPSMT"/>
          <w:b/>
          <w:lang w:val="es-ES_tradnl"/>
        </w:rPr>
        <w:t>Pública</w:t>
      </w:r>
    </w:p>
    <w:p w14:paraId="7C4A4AAB" w14:textId="5073FBA2" w:rsidR="00764E4B" w:rsidRPr="00D46BCB" w:rsidRDefault="00764E4B" w:rsidP="00CA737A">
      <w:pPr>
        <w:autoSpaceDE w:val="0"/>
        <w:autoSpaceDN w:val="0"/>
        <w:adjustRightInd w:val="0"/>
        <w:spacing w:after="0" w:line="240" w:lineRule="auto"/>
        <w:rPr>
          <w:rFonts w:ascii="TimesNewRomanPSMT" w:hAnsi="TimesNewRomanPSMT" w:cs="TimesNewRomanPSMT"/>
          <w:lang w:val="es-ES_tradnl"/>
        </w:rPr>
      </w:pPr>
    </w:p>
    <w:p w14:paraId="3CD0A115" w14:textId="504D8C84" w:rsidR="00DF6F5D" w:rsidRPr="00D46BCB" w:rsidRDefault="0024784E">
      <w:pPr>
        <w:autoSpaceDE w:val="0"/>
        <w:autoSpaceDN w:val="0"/>
        <w:adjustRightInd w:val="0"/>
        <w:spacing w:after="0" w:line="240" w:lineRule="auto"/>
        <w:jc w:val="both"/>
        <w:rPr>
          <w:rFonts w:ascii="TimesNewRomanPSMT" w:hAnsi="TimesNewRomanPSMT" w:cs="TimesNewRomanPSMT"/>
          <w:lang w:val="es-ES_tradnl"/>
        </w:rPr>
      </w:pPr>
      <w:r w:rsidRPr="00D46BCB">
        <w:rPr>
          <w:rFonts w:ascii="TimesNewRomanPSMT" w:hAnsi="TimesNewRomanPSMT" w:cs="TimesNewRomanPSMT"/>
          <w:lang w:val="es-ES_tradnl"/>
        </w:rPr>
        <w:t>La Polí</w:t>
      </w:r>
      <w:r w:rsidR="00F91A9C" w:rsidRPr="00D46BCB">
        <w:rPr>
          <w:rFonts w:ascii="TimesNewRomanPSMT" w:hAnsi="TimesNewRomanPSMT" w:cs="TimesNewRomanPSMT"/>
          <w:lang w:val="es-ES_tradnl"/>
        </w:rPr>
        <w:t xml:space="preserve">tica de medioambiente y cumplimiento de salvaguardias </w:t>
      </w:r>
      <w:r w:rsidR="000B6CE9" w:rsidRPr="00D46BCB">
        <w:rPr>
          <w:rFonts w:ascii="TimesNewRomanPSMT" w:hAnsi="TimesNewRomanPSMT" w:cs="TimesNewRomanPSMT"/>
          <w:lang w:val="es-ES_tradnl"/>
        </w:rPr>
        <w:t xml:space="preserve">(OP-703) </w:t>
      </w:r>
      <w:r w:rsidR="00F91A9C" w:rsidRPr="00D46BCB">
        <w:rPr>
          <w:rFonts w:ascii="TimesNewRomanPSMT" w:hAnsi="TimesNewRomanPSMT" w:cs="TimesNewRomanPSMT"/>
          <w:lang w:val="es-ES_tradnl"/>
        </w:rPr>
        <w:t xml:space="preserve">del Banco Interamericano de Desarrollo Directiva B.6 sobre Consultas afirma que operaciones clasificadas bajo Categoría B, requerirá consultas con </w:t>
      </w:r>
      <w:r w:rsidR="00D335FC" w:rsidRPr="00D46BCB">
        <w:rPr>
          <w:rFonts w:ascii="TimesNewRomanPSMT" w:hAnsi="TimesNewRomanPSMT" w:cs="TimesNewRomanPSMT"/>
          <w:lang w:val="es-ES_tradnl"/>
        </w:rPr>
        <w:t xml:space="preserve">las partes afectadas al menos una vez, durante la preparación del análisis de impacto o riesgo y el correspondiente plan de mitigación, y en acuerdo con el Prestatario. Con los propósitos de la consulta, información apropiada será disponible en los sitios, formatos, e idiomas apropiados para permitir que las partes afectadas sean consultadas de una manera significativa, para formar una opinión y para comentar sobre las actividades propuestas …. Análisis relevante se dispondrá al público consistente con la Política de Acceso a la Informacion del BID (OP-102). Durante la ejecución, las partes afectadas deben ser informadas de las medidas de mitigación ambiental y social que les afecten…” </w:t>
      </w:r>
      <w:r w:rsidR="00DF6F5D" w:rsidRPr="00D46BCB">
        <w:rPr>
          <w:rFonts w:ascii="TimesNewRomanPSMT" w:hAnsi="TimesNewRomanPSMT" w:cs="TimesNewRomanPSMT"/>
          <w:lang w:val="es-ES_tradnl"/>
        </w:rPr>
        <w:t>20</w:t>
      </w:r>
    </w:p>
    <w:p w14:paraId="740D0B7B" w14:textId="067FF2D1" w:rsidR="00DF6F5D" w:rsidRPr="00D46BCB" w:rsidRDefault="00DF6F5D" w:rsidP="00DF6F5D">
      <w:pPr>
        <w:autoSpaceDE w:val="0"/>
        <w:autoSpaceDN w:val="0"/>
        <w:adjustRightInd w:val="0"/>
        <w:spacing w:after="0" w:line="240" w:lineRule="auto"/>
        <w:jc w:val="both"/>
        <w:rPr>
          <w:rFonts w:ascii="TimesNewRomanPSMT" w:hAnsi="TimesNewRomanPSMT" w:cs="TimesNewRomanPSMT"/>
          <w:lang w:val="es-ES_tradnl"/>
        </w:rPr>
      </w:pPr>
    </w:p>
    <w:p w14:paraId="233ABFA1" w14:textId="48A22265" w:rsidR="00797A4F" w:rsidRPr="00D46BCB" w:rsidRDefault="00797A4F" w:rsidP="00DF6F5D">
      <w:pPr>
        <w:autoSpaceDE w:val="0"/>
        <w:autoSpaceDN w:val="0"/>
        <w:adjustRightInd w:val="0"/>
        <w:spacing w:after="0" w:line="240" w:lineRule="auto"/>
        <w:jc w:val="both"/>
        <w:rPr>
          <w:rFonts w:ascii="TimesNewRomanPSMT" w:hAnsi="TimesNewRomanPSMT" w:cs="TimesNewRomanPSMT"/>
          <w:lang w:val="es-ES_tradnl"/>
        </w:rPr>
      </w:pPr>
      <w:r w:rsidRPr="00D46BCB">
        <w:rPr>
          <w:rFonts w:ascii="TimesNewRomanPSMT" w:hAnsi="TimesNewRomanPSMT" w:cs="TimesNewRomanPSMT"/>
          <w:lang w:val="es-ES_tradnl"/>
        </w:rPr>
        <w:t xml:space="preserve">Ya que esta operación fue clasificada por la Unidad de Salvaguardias Ambientales y Sociales (ESG) como Categoría B como consecuencia de la Reunión de Revisión de Elegibilidad del XXXX, se requerirá una consulta de acuerdo a la OP-703 B.6 y divulgado el informe de la consulta al público, antes de la distribución de los documentos de proyecto al Comité de Políticas Operativas (OPC).  </w:t>
      </w:r>
    </w:p>
    <w:p w14:paraId="49B62D88" w14:textId="2320F329" w:rsidR="00DF6F5D" w:rsidRDefault="00DF6F5D" w:rsidP="00CA737A">
      <w:pPr>
        <w:autoSpaceDE w:val="0"/>
        <w:autoSpaceDN w:val="0"/>
        <w:adjustRightInd w:val="0"/>
        <w:spacing w:after="0" w:line="240" w:lineRule="auto"/>
        <w:rPr>
          <w:rFonts w:ascii="TimesNewRomanPSMT" w:hAnsi="TimesNewRomanPSMT" w:cs="TimesNewRomanPSMT"/>
          <w:lang w:val="es-ES_tradnl"/>
        </w:rPr>
      </w:pPr>
    </w:p>
    <w:p w14:paraId="2999480D" w14:textId="585B85BE" w:rsidR="00DF6F5D" w:rsidRDefault="00DF6F5D" w:rsidP="00DF6CDB">
      <w:pPr>
        <w:autoSpaceDE w:val="0"/>
        <w:autoSpaceDN w:val="0"/>
        <w:adjustRightInd w:val="0"/>
        <w:spacing w:after="0" w:line="240" w:lineRule="auto"/>
        <w:jc w:val="both"/>
        <w:rPr>
          <w:rFonts w:ascii="TimesNewRomanPSMT" w:hAnsi="TimesNewRomanPSMT" w:cs="TimesNewRomanPSMT"/>
          <w:lang w:val="es-ES_tradnl"/>
        </w:rPr>
      </w:pPr>
      <w:r>
        <w:rPr>
          <w:rFonts w:ascii="TimesNewRomanPSMT" w:hAnsi="TimesNewRomanPSMT" w:cs="TimesNewRomanPSMT"/>
          <w:lang w:val="es-ES_tradnl"/>
        </w:rPr>
        <w:t xml:space="preserve">Por lo tanto, la consulta pública se llevará a cabo en Lima </w:t>
      </w:r>
      <w:r w:rsidRPr="00DF6F5D">
        <w:rPr>
          <w:rFonts w:ascii="TimesNewRomanPSMT" w:hAnsi="TimesNewRomanPSMT" w:cs="TimesNewRomanPSMT"/>
          <w:lang w:val="es-ES_tradnl"/>
        </w:rPr>
        <w:t>en proporción a la magnitud de la operación que difunde y revela el presente documento de análisis social y de género en forma de comunicación más accesible para el contexto sociocultural en el que se llevará a cabo la operación.</w:t>
      </w:r>
      <w:r w:rsidR="006C0C0B">
        <w:rPr>
          <w:rFonts w:ascii="TimesNewRomanPSMT" w:hAnsi="TimesNewRomanPSMT" w:cs="TimesNewRomanPSMT"/>
          <w:lang w:val="es-ES_tradnl"/>
        </w:rPr>
        <w:t xml:space="preserve"> </w:t>
      </w:r>
    </w:p>
    <w:p w14:paraId="64CCB20E" w14:textId="6481B213" w:rsidR="00DF6F5D" w:rsidRDefault="00DF6F5D" w:rsidP="00DF6CDB">
      <w:pPr>
        <w:autoSpaceDE w:val="0"/>
        <w:autoSpaceDN w:val="0"/>
        <w:adjustRightInd w:val="0"/>
        <w:spacing w:after="0" w:line="240" w:lineRule="auto"/>
        <w:jc w:val="both"/>
        <w:rPr>
          <w:rFonts w:ascii="TimesNewRomanPSMT" w:hAnsi="TimesNewRomanPSMT" w:cs="TimesNewRomanPSMT"/>
          <w:lang w:val="es-ES_tradnl"/>
        </w:rPr>
      </w:pPr>
    </w:p>
    <w:p w14:paraId="5EC382EB" w14:textId="76D1E315" w:rsidR="006C0C0B" w:rsidRPr="006C0C0B" w:rsidRDefault="006C0C0B" w:rsidP="00DF6CDB">
      <w:pPr>
        <w:autoSpaceDE w:val="0"/>
        <w:autoSpaceDN w:val="0"/>
        <w:adjustRightInd w:val="0"/>
        <w:spacing w:after="0" w:line="240" w:lineRule="auto"/>
        <w:jc w:val="both"/>
        <w:rPr>
          <w:rFonts w:ascii="TimesNewRomanPSMT" w:hAnsi="TimesNewRomanPSMT" w:cs="TimesNewRomanPSMT"/>
          <w:lang w:val="es-ES_tradnl"/>
        </w:rPr>
      </w:pPr>
      <w:r>
        <w:rPr>
          <w:rFonts w:ascii="TimesNewRomanPSMT" w:hAnsi="TimesNewRomanPSMT" w:cs="TimesNewRomanPSMT"/>
          <w:lang w:val="es-ES_tradnl"/>
        </w:rPr>
        <w:t xml:space="preserve">Existen </w:t>
      </w:r>
      <w:r w:rsidRPr="006C0C0B">
        <w:rPr>
          <w:rFonts w:ascii="TimesNewRomanPSMT" w:hAnsi="TimesNewRomanPSMT" w:cs="TimesNewRomanPSMT"/>
          <w:lang w:val="es-ES_tradnl"/>
        </w:rPr>
        <w:t>algunas pautas generales</w:t>
      </w:r>
      <w:r>
        <w:rPr>
          <w:rFonts w:ascii="TimesNewRomanPSMT" w:hAnsi="TimesNewRomanPSMT" w:cs="TimesNewRomanPSMT"/>
          <w:lang w:val="es-ES_tradnl"/>
        </w:rPr>
        <w:t xml:space="preserve"> sobre</w:t>
      </w:r>
      <w:r w:rsidRPr="006C0C0B">
        <w:rPr>
          <w:rFonts w:ascii="TimesNewRomanPSMT" w:hAnsi="TimesNewRomanPSMT" w:cs="TimesNewRomanPSMT"/>
          <w:lang w:val="es-ES_tradnl"/>
        </w:rPr>
        <w:t xml:space="preserve"> la logística y el formato de la consulta, </w:t>
      </w:r>
      <w:r>
        <w:rPr>
          <w:rFonts w:ascii="TimesNewRomanPSMT" w:hAnsi="TimesNewRomanPSMT" w:cs="TimesNewRomanPSMT"/>
          <w:lang w:val="es-ES_tradnl"/>
        </w:rPr>
        <w:t>como por ejemplo</w:t>
      </w:r>
      <w:r w:rsidRPr="006C0C0B">
        <w:rPr>
          <w:rFonts w:ascii="TimesNewRomanPSMT" w:hAnsi="TimesNewRomanPSMT" w:cs="TimesNewRomanPSMT"/>
          <w:lang w:val="es-ES_tradnl"/>
        </w:rPr>
        <w:t xml:space="preserve"> anunciar una reunión pública</w:t>
      </w:r>
      <w:r>
        <w:rPr>
          <w:rFonts w:ascii="TimesNewRomanPSMT" w:hAnsi="TimesNewRomanPSMT" w:cs="TimesNewRomanPSMT"/>
          <w:lang w:val="es-ES_tradnl"/>
        </w:rPr>
        <w:t xml:space="preserve"> en un centro comunitario junto a la disponibilidad de este documento</w:t>
      </w:r>
      <w:r w:rsidRPr="006C0C0B">
        <w:rPr>
          <w:rFonts w:ascii="TimesNewRomanPSMT" w:hAnsi="TimesNewRomanPSMT" w:cs="TimesNewRomanPSMT"/>
          <w:lang w:val="es-ES_tradnl"/>
        </w:rPr>
        <w:t xml:space="preserve">. Se deben hacer esfuerzos para asegurar la inclusión de mujeres, jóvenes, personas mayores, discapacitadas o de otra manera </w:t>
      </w:r>
      <w:r w:rsidRPr="006C0C0B">
        <w:rPr>
          <w:rFonts w:ascii="TimesNewRomanPSMT" w:hAnsi="TimesNewRomanPSMT" w:cs="TimesNewRomanPSMT"/>
          <w:lang w:val="es-ES_tradnl"/>
        </w:rPr>
        <w:lastRenderedPageBreak/>
        <w:t>vulnerables (seleccione un lugar para la reunión que sea accesible para discapacitados, durante un período de tiempo que sea factible para hombres y mujeres). S</w:t>
      </w:r>
      <w:r w:rsidR="00E825D4">
        <w:rPr>
          <w:rFonts w:ascii="TimesNewRomanPSMT" w:hAnsi="TimesNewRomanPSMT" w:cs="TimesNewRomanPSMT"/>
          <w:lang w:val="es-ES_tradnl"/>
        </w:rPr>
        <w:t xml:space="preserve">i es posible, proporcione en </w:t>
      </w:r>
      <w:r w:rsidRPr="006C0C0B">
        <w:rPr>
          <w:rFonts w:ascii="TimesNewRomanPSMT" w:hAnsi="TimesNewRomanPSMT" w:cs="TimesNewRomanPSMT"/>
          <w:lang w:val="es-ES_tradnl"/>
        </w:rPr>
        <w:t>el anuncio de la reunión un correo electrónico o una dirección postal para permitir la presentación de comentarios o preguntas por escrito como una forma alternativa de participación para promover la inclusión de todas las partes que deseen ser incluidas pero que no puedan asistir o deseen compartir sus pu</w:t>
      </w:r>
      <w:r w:rsidR="00E825D4">
        <w:rPr>
          <w:rFonts w:ascii="TimesNewRomanPSMT" w:hAnsi="TimesNewRomanPSMT" w:cs="TimesNewRomanPSMT"/>
          <w:lang w:val="es-ES_tradnl"/>
        </w:rPr>
        <w:t>ntos de vista abiertamente en la</w:t>
      </w:r>
      <w:r w:rsidRPr="006C0C0B">
        <w:rPr>
          <w:rFonts w:ascii="TimesNewRomanPSMT" w:hAnsi="TimesNewRomanPSMT" w:cs="TimesNewRomanPSMT"/>
          <w:lang w:val="es-ES_tradnl"/>
        </w:rPr>
        <w:t xml:space="preserve"> </w:t>
      </w:r>
      <w:r w:rsidR="00DF6CDB" w:rsidRPr="006C0C0B">
        <w:rPr>
          <w:rFonts w:ascii="TimesNewRomanPSMT" w:hAnsi="TimesNewRomanPSMT" w:cs="TimesNewRomanPSMT"/>
          <w:lang w:val="es-ES_tradnl"/>
        </w:rPr>
        <w:t>reunión</w:t>
      </w:r>
      <w:r w:rsidRPr="006C0C0B">
        <w:rPr>
          <w:rFonts w:ascii="TimesNewRomanPSMT" w:hAnsi="TimesNewRomanPSMT" w:cs="TimesNewRomanPSMT"/>
          <w:lang w:val="es-ES_tradnl"/>
        </w:rPr>
        <w:t xml:space="preserve"> publica.</w:t>
      </w:r>
    </w:p>
    <w:p w14:paraId="0D824C1D" w14:textId="77777777" w:rsidR="006C0C0B" w:rsidRPr="006C0C0B" w:rsidRDefault="006C0C0B" w:rsidP="00DF6CDB">
      <w:pPr>
        <w:autoSpaceDE w:val="0"/>
        <w:autoSpaceDN w:val="0"/>
        <w:adjustRightInd w:val="0"/>
        <w:spacing w:after="0" w:line="240" w:lineRule="auto"/>
        <w:jc w:val="both"/>
        <w:rPr>
          <w:rFonts w:ascii="TimesNewRomanPSMT" w:hAnsi="TimesNewRomanPSMT" w:cs="TimesNewRomanPSMT"/>
          <w:lang w:val="es-ES_tradnl"/>
        </w:rPr>
      </w:pPr>
    </w:p>
    <w:p w14:paraId="5AAEA6BC" w14:textId="67A1AE7B" w:rsidR="006C0C0B" w:rsidRPr="006C0C0B" w:rsidRDefault="006C0C0B" w:rsidP="00DF6CDB">
      <w:pPr>
        <w:autoSpaceDE w:val="0"/>
        <w:autoSpaceDN w:val="0"/>
        <w:adjustRightInd w:val="0"/>
        <w:spacing w:after="0" w:line="240" w:lineRule="auto"/>
        <w:jc w:val="both"/>
        <w:rPr>
          <w:rFonts w:ascii="TimesNewRomanPSMT" w:hAnsi="TimesNewRomanPSMT" w:cs="TimesNewRomanPSMT"/>
          <w:lang w:val="es-ES_tradnl"/>
        </w:rPr>
      </w:pPr>
      <w:r w:rsidRPr="006C0C0B">
        <w:rPr>
          <w:rFonts w:ascii="TimesNewRomanPSMT" w:hAnsi="TimesNewRomanPSMT" w:cs="TimesNewRomanPSMT"/>
          <w:lang w:val="es-ES_tradnl"/>
        </w:rPr>
        <w:t xml:space="preserve">La consulta debe esforzarse por la representatividad, lo que significa </w:t>
      </w:r>
      <w:r w:rsidR="00DF6CDB" w:rsidRPr="006C0C0B">
        <w:rPr>
          <w:rFonts w:ascii="TimesNewRomanPSMT" w:hAnsi="TimesNewRomanPSMT" w:cs="TimesNewRomanPSMT"/>
          <w:lang w:val="es-ES_tradnl"/>
        </w:rPr>
        <w:t>que,</w:t>
      </w:r>
      <w:r w:rsidRPr="006C0C0B">
        <w:rPr>
          <w:rFonts w:ascii="TimesNewRomanPSMT" w:hAnsi="TimesNewRomanPSMT" w:cs="TimesNewRomanPSMT"/>
          <w:lang w:val="es-ES_tradnl"/>
        </w:rPr>
        <w:t xml:space="preserve"> aunque no es posible contar con la participación de todas las personas, intereses, géneros, edades y grupos socioeconómicos, hay una selección de individuos de cada grupo que pueden reflejar las preocupaciones únicas y perspectivas de cada uno.</w:t>
      </w:r>
      <w:r w:rsidR="00DF6CDB">
        <w:rPr>
          <w:rFonts w:ascii="TimesNewRomanPSMT" w:hAnsi="TimesNewRomanPSMT" w:cs="TimesNewRomanPSMT"/>
          <w:lang w:val="es-ES_tradnl"/>
        </w:rPr>
        <w:t xml:space="preserve"> L</w:t>
      </w:r>
      <w:r w:rsidRPr="006C0C0B">
        <w:rPr>
          <w:rFonts w:ascii="TimesNewRomanPSMT" w:hAnsi="TimesNewRomanPSMT" w:cs="TimesNewRomanPSMT"/>
          <w:lang w:val="es-ES_tradnl"/>
        </w:rPr>
        <w:t>a inclusión de grupos de la comunidad local, iglesias o grupos religiosos, organizaciones o asociaciones en la comunidad es importante.</w:t>
      </w:r>
    </w:p>
    <w:p w14:paraId="793F6EF5" w14:textId="77777777" w:rsidR="006C0C0B" w:rsidRPr="006C0C0B" w:rsidRDefault="006C0C0B" w:rsidP="00DF6CDB">
      <w:pPr>
        <w:autoSpaceDE w:val="0"/>
        <w:autoSpaceDN w:val="0"/>
        <w:adjustRightInd w:val="0"/>
        <w:spacing w:after="0" w:line="240" w:lineRule="auto"/>
        <w:jc w:val="both"/>
        <w:rPr>
          <w:rFonts w:ascii="TimesNewRomanPSMT" w:hAnsi="TimesNewRomanPSMT" w:cs="TimesNewRomanPSMT"/>
          <w:lang w:val="es-ES_tradnl"/>
        </w:rPr>
      </w:pPr>
    </w:p>
    <w:p w14:paraId="761882D8" w14:textId="1FD57DDA" w:rsidR="00764E4B" w:rsidRDefault="006C0C0B" w:rsidP="00E825D4">
      <w:pPr>
        <w:autoSpaceDE w:val="0"/>
        <w:autoSpaceDN w:val="0"/>
        <w:adjustRightInd w:val="0"/>
        <w:spacing w:after="0" w:line="240" w:lineRule="auto"/>
        <w:jc w:val="both"/>
        <w:rPr>
          <w:rFonts w:ascii="TimesNewRomanPSMT" w:hAnsi="TimesNewRomanPSMT" w:cs="TimesNewRomanPSMT"/>
          <w:lang w:val="es-ES_tradnl"/>
        </w:rPr>
      </w:pPr>
      <w:r w:rsidRPr="006C0C0B">
        <w:rPr>
          <w:rFonts w:ascii="TimesNewRomanPSMT" w:hAnsi="TimesNewRomanPSMT" w:cs="TimesNewRomanPSMT"/>
          <w:lang w:val="es-ES_tradnl"/>
        </w:rPr>
        <w:t xml:space="preserve">El alcance de la reunión debe abarcar las actividades propuestas de la operación, el presente documento sobre igualdad de género y medidas de riesgo y mitigación, e incluir el tiempo suficiente para escuchar las opiniones, perspectivas y sugerencias de los participantes de la reunión. Los comentarios y respuestas proporcionados a los participantes deben registrarse, junto con los nombres, edades y géneros de todos los participantes. Al concluir la reunión, los participantes deben ser informados de qué acciones se tomarán a continuación en términos del avance del proyecto y cómo </w:t>
      </w:r>
      <w:r w:rsidR="00DF6CDB">
        <w:rPr>
          <w:rFonts w:ascii="TimesNewRomanPSMT" w:hAnsi="TimesNewRomanPSMT" w:cs="TimesNewRomanPSMT"/>
          <w:lang w:val="es-ES_tradnl"/>
        </w:rPr>
        <w:t xml:space="preserve">se pueden tomar sus comentarios en </w:t>
      </w:r>
      <w:r w:rsidRPr="006C0C0B">
        <w:rPr>
          <w:rFonts w:ascii="TimesNewRomanPSMT" w:hAnsi="TimesNewRomanPSMT" w:cs="TimesNewRomanPSMT"/>
          <w:lang w:val="es-ES_tradnl"/>
        </w:rPr>
        <w:t>cuenta (en la medida de lo posible y teniendo cuidado de no prometer respuestas o acciones si no están seguros de tener lugar), y una forma de comunicación que será accesible en caso de que los participantes o cualquier otra persona desee expresar sus inquietudes o preguntar preguntas en el futuro con respecto al proy</w:t>
      </w:r>
      <w:r w:rsidR="00DF6CDB">
        <w:rPr>
          <w:rFonts w:ascii="TimesNewRomanPSMT" w:hAnsi="TimesNewRomanPSMT" w:cs="TimesNewRomanPSMT"/>
          <w:lang w:val="es-ES_tradnl"/>
        </w:rPr>
        <w:t>ecto</w:t>
      </w:r>
      <w:r w:rsidR="006424DB">
        <w:rPr>
          <w:rFonts w:ascii="TimesNewRomanPSMT" w:hAnsi="TimesNewRomanPSMT" w:cs="TimesNewRomanPSMT"/>
          <w:lang w:val="es-ES_tradnl"/>
        </w:rPr>
        <w:t>.</w:t>
      </w:r>
    </w:p>
    <w:p w14:paraId="5C49DADA" w14:textId="40FDF0B0" w:rsidR="006424DB" w:rsidRDefault="006424DB" w:rsidP="00E825D4">
      <w:pPr>
        <w:autoSpaceDE w:val="0"/>
        <w:autoSpaceDN w:val="0"/>
        <w:adjustRightInd w:val="0"/>
        <w:spacing w:after="0" w:line="240" w:lineRule="auto"/>
        <w:jc w:val="both"/>
        <w:rPr>
          <w:rFonts w:ascii="TimesNewRomanPSMT" w:hAnsi="TimesNewRomanPSMT" w:cs="TimesNewRomanPSMT"/>
          <w:lang w:val="es-ES_tradnl"/>
        </w:rPr>
      </w:pPr>
    </w:p>
    <w:p w14:paraId="6907685A" w14:textId="35B6A916" w:rsidR="006424DB" w:rsidRDefault="006424DB" w:rsidP="00E825D4">
      <w:pPr>
        <w:autoSpaceDE w:val="0"/>
        <w:autoSpaceDN w:val="0"/>
        <w:adjustRightInd w:val="0"/>
        <w:spacing w:after="0" w:line="240" w:lineRule="auto"/>
        <w:jc w:val="both"/>
        <w:rPr>
          <w:rFonts w:ascii="TimesNewRomanPSMT" w:hAnsi="TimesNewRomanPSMT" w:cs="TimesNewRomanPSMT"/>
          <w:lang w:val="es-ES_tradnl"/>
        </w:rPr>
      </w:pPr>
    </w:p>
    <w:p w14:paraId="6BB9C7C1" w14:textId="33AEA631" w:rsidR="00764E4B" w:rsidRPr="00693B42" w:rsidRDefault="00693B42" w:rsidP="00693B42">
      <w:pPr>
        <w:autoSpaceDE w:val="0"/>
        <w:autoSpaceDN w:val="0"/>
        <w:adjustRightInd w:val="0"/>
        <w:spacing w:after="0" w:line="240" w:lineRule="auto"/>
        <w:ind w:left="4320" w:firstLine="720"/>
        <w:rPr>
          <w:rFonts w:ascii="TimesNewRomanPSMT" w:hAnsi="TimesNewRomanPSMT" w:cs="TimesNewRomanPSMT"/>
          <w:lang w:val="es-ES_tradnl"/>
        </w:rPr>
      </w:pPr>
      <w:r w:rsidRPr="00693B42">
        <w:rPr>
          <w:rFonts w:ascii="TimesNewRomanPSMT" w:hAnsi="TimesNewRomanPSMT" w:cs="TimesNewRomanPSMT"/>
          <w:b/>
          <w:lang w:val="es-ES_tradnl"/>
        </w:rPr>
        <w:t>Anexo 1</w:t>
      </w:r>
    </w:p>
    <w:tbl>
      <w:tblPr>
        <w:tblW w:w="7531" w:type="dxa"/>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85"/>
        <w:gridCol w:w="4346"/>
      </w:tblGrid>
      <w:tr w:rsidR="00607F6E" w:rsidRPr="00715FAF" w14:paraId="2A8F12E0" w14:textId="77777777" w:rsidTr="006C0C0B">
        <w:trPr>
          <w:trHeight w:val="205"/>
        </w:trPr>
        <w:tc>
          <w:tcPr>
            <w:tcW w:w="7531" w:type="dxa"/>
            <w:gridSpan w:val="2"/>
            <w:shd w:val="clear" w:color="auto" w:fill="auto"/>
            <w:vAlign w:val="center"/>
            <w:hideMark/>
          </w:tcPr>
          <w:p w14:paraId="66E99892" w14:textId="77777777" w:rsidR="00607F6E" w:rsidRPr="00715FAF" w:rsidRDefault="00607F6E" w:rsidP="006C0C0B">
            <w:pPr>
              <w:pStyle w:val="NoSpacing"/>
              <w:jc w:val="center"/>
              <w:rPr>
                <w:rFonts w:ascii="Garamond" w:hAnsi="Garamond"/>
                <w:b/>
                <w:sz w:val="18"/>
                <w:szCs w:val="18"/>
                <w:lang w:eastAsia="es-PE"/>
              </w:rPr>
            </w:pPr>
            <w:r w:rsidRPr="00715FAF">
              <w:rPr>
                <w:rFonts w:ascii="Garamond" w:hAnsi="Garamond"/>
                <w:b/>
                <w:sz w:val="18"/>
                <w:szCs w:val="18"/>
                <w:lang w:eastAsia="es-PE"/>
              </w:rPr>
              <w:t>Formación de los suboficiales</w:t>
            </w:r>
          </w:p>
        </w:tc>
      </w:tr>
      <w:tr w:rsidR="00607F6E" w:rsidRPr="00715FAF" w14:paraId="14748894" w14:textId="77777777" w:rsidTr="006C0C0B">
        <w:trPr>
          <w:trHeight w:val="205"/>
        </w:trPr>
        <w:tc>
          <w:tcPr>
            <w:tcW w:w="3185" w:type="dxa"/>
            <w:vMerge w:val="restart"/>
            <w:shd w:val="clear" w:color="auto" w:fill="auto"/>
            <w:vAlign w:val="center"/>
            <w:hideMark/>
          </w:tcPr>
          <w:p w14:paraId="4DD3DC30" w14:textId="77777777" w:rsidR="00607F6E" w:rsidRPr="00715FAF" w:rsidRDefault="00607F6E" w:rsidP="006C0C0B">
            <w:pPr>
              <w:pStyle w:val="NoSpacing"/>
              <w:rPr>
                <w:rFonts w:ascii="Garamond" w:hAnsi="Garamond"/>
                <w:sz w:val="18"/>
                <w:szCs w:val="18"/>
                <w:lang w:eastAsia="es-PE"/>
              </w:rPr>
            </w:pPr>
            <w:r w:rsidRPr="00715FAF">
              <w:rPr>
                <w:rFonts w:ascii="Garamond" w:hAnsi="Garamond"/>
                <w:sz w:val="18"/>
                <w:szCs w:val="18"/>
                <w:lang w:eastAsia="es-PE"/>
              </w:rPr>
              <w:t>Prevención</w:t>
            </w:r>
          </w:p>
        </w:tc>
        <w:tc>
          <w:tcPr>
            <w:tcW w:w="4346" w:type="dxa"/>
            <w:shd w:val="clear" w:color="auto" w:fill="auto"/>
            <w:vAlign w:val="center"/>
            <w:hideMark/>
          </w:tcPr>
          <w:p w14:paraId="53B2FBD9" w14:textId="77777777" w:rsidR="00607F6E" w:rsidRPr="00715FAF" w:rsidRDefault="00607F6E" w:rsidP="006C0C0B">
            <w:pPr>
              <w:pStyle w:val="NoSpacing"/>
              <w:rPr>
                <w:rFonts w:ascii="Garamond" w:hAnsi="Garamond"/>
                <w:sz w:val="18"/>
                <w:szCs w:val="18"/>
                <w:lang w:eastAsia="es-PE"/>
              </w:rPr>
            </w:pPr>
            <w:r w:rsidRPr="00715FAF">
              <w:rPr>
                <w:rFonts w:ascii="Garamond" w:hAnsi="Garamond"/>
                <w:sz w:val="18"/>
                <w:szCs w:val="18"/>
                <w:lang w:eastAsia="es-PE"/>
              </w:rPr>
              <w:t>Patrullaje Policial</w:t>
            </w:r>
          </w:p>
        </w:tc>
      </w:tr>
      <w:tr w:rsidR="00607F6E" w:rsidRPr="00A63F2D" w14:paraId="3FA1122C" w14:textId="77777777" w:rsidTr="006C0C0B">
        <w:trPr>
          <w:trHeight w:val="523"/>
        </w:trPr>
        <w:tc>
          <w:tcPr>
            <w:tcW w:w="3185" w:type="dxa"/>
            <w:vMerge/>
            <w:vAlign w:val="center"/>
            <w:hideMark/>
          </w:tcPr>
          <w:p w14:paraId="55A859F3" w14:textId="77777777" w:rsidR="00607F6E" w:rsidRPr="00715FAF"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368FA45B" w14:textId="77777777" w:rsidR="00607F6E" w:rsidRPr="00715FAF" w:rsidRDefault="00607F6E" w:rsidP="006C0C0B">
            <w:pPr>
              <w:pStyle w:val="NoSpacing"/>
              <w:rPr>
                <w:rFonts w:ascii="Garamond" w:hAnsi="Garamond"/>
                <w:sz w:val="18"/>
                <w:szCs w:val="18"/>
                <w:lang w:eastAsia="es-PE"/>
              </w:rPr>
            </w:pPr>
            <w:r w:rsidRPr="00715FAF">
              <w:rPr>
                <w:rFonts w:ascii="Garamond" w:hAnsi="Garamond"/>
                <w:sz w:val="18"/>
                <w:szCs w:val="18"/>
                <w:lang w:eastAsia="es-PE"/>
              </w:rPr>
              <w:t>- Técnicas y Procedimientos de Seguridad Ciudadana para el trabajo conjunto con las Juntas Vecinales y el Serenazgo Municipal</w:t>
            </w:r>
          </w:p>
        </w:tc>
      </w:tr>
      <w:tr w:rsidR="00607F6E" w:rsidRPr="00A63F2D" w14:paraId="5729938A" w14:textId="77777777" w:rsidTr="006C0C0B">
        <w:trPr>
          <w:trHeight w:val="205"/>
        </w:trPr>
        <w:tc>
          <w:tcPr>
            <w:tcW w:w="3185" w:type="dxa"/>
            <w:vMerge w:val="restart"/>
            <w:shd w:val="clear" w:color="auto" w:fill="auto"/>
            <w:vAlign w:val="center"/>
            <w:hideMark/>
          </w:tcPr>
          <w:p w14:paraId="2142F708" w14:textId="77777777" w:rsidR="00607F6E" w:rsidRPr="00715FAF" w:rsidRDefault="00607F6E" w:rsidP="006C0C0B">
            <w:pPr>
              <w:pStyle w:val="NoSpacing"/>
              <w:rPr>
                <w:rFonts w:ascii="Garamond" w:hAnsi="Garamond"/>
                <w:sz w:val="18"/>
                <w:szCs w:val="18"/>
                <w:lang w:eastAsia="es-PE"/>
              </w:rPr>
            </w:pPr>
            <w:r w:rsidRPr="00715FAF">
              <w:rPr>
                <w:rFonts w:ascii="Garamond" w:hAnsi="Garamond"/>
                <w:sz w:val="18"/>
                <w:szCs w:val="18"/>
                <w:lang w:eastAsia="es-PE"/>
              </w:rPr>
              <w:t>Relación con la ciudadanía</w:t>
            </w:r>
          </w:p>
        </w:tc>
        <w:tc>
          <w:tcPr>
            <w:tcW w:w="4346" w:type="dxa"/>
            <w:shd w:val="clear" w:color="auto" w:fill="auto"/>
            <w:vAlign w:val="center"/>
            <w:hideMark/>
          </w:tcPr>
          <w:p w14:paraId="210BA79A" w14:textId="77777777" w:rsidR="00607F6E" w:rsidRPr="00715FAF" w:rsidRDefault="00607F6E" w:rsidP="006C0C0B">
            <w:pPr>
              <w:pStyle w:val="NoSpacing"/>
              <w:rPr>
                <w:rFonts w:ascii="Garamond" w:hAnsi="Garamond"/>
                <w:sz w:val="18"/>
                <w:szCs w:val="18"/>
                <w:lang w:eastAsia="es-PE"/>
              </w:rPr>
            </w:pPr>
            <w:r w:rsidRPr="00715FAF">
              <w:rPr>
                <w:rFonts w:ascii="Garamond" w:hAnsi="Garamond"/>
                <w:sz w:val="18"/>
                <w:szCs w:val="18"/>
                <w:lang w:eastAsia="es-PE"/>
              </w:rPr>
              <w:t>Abordaje a las víctimas de violencia familiar y sexual</w:t>
            </w:r>
          </w:p>
        </w:tc>
      </w:tr>
      <w:tr w:rsidR="00607F6E" w:rsidRPr="00715FAF" w14:paraId="7C275167" w14:textId="77777777" w:rsidTr="006C0C0B">
        <w:trPr>
          <w:trHeight w:val="205"/>
        </w:trPr>
        <w:tc>
          <w:tcPr>
            <w:tcW w:w="3185" w:type="dxa"/>
            <w:vMerge/>
            <w:vAlign w:val="center"/>
            <w:hideMark/>
          </w:tcPr>
          <w:p w14:paraId="710DF1BE" w14:textId="77777777" w:rsidR="00607F6E" w:rsidRPr="00715FAF"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3EFFF358" w14:textId="77777777" w:rsidR="00607F6E" w:rsidRPr="00715FAF" w:rsidRDefault="00607F6E" w:rsidP="006C0C0B">
            <w:pPr>
              <w:pStyle w:val="NoSpacing"/>
              <w:rPr>
                <w:rFonts w:ascii="Garamond" w:hAnsi="Garamond"/>
                <w:sz w:val="18"/>
                <w:szCs w:val="18"/>
                <w:lang w:eastAsia="es-PE"/>
              </w:rPr>
            </w:pPr>
            <w:r w:rsidRPr="00715FAF">
              <w:rPr>
                <w:rFonts w:ascii="Garamond" w:hAnsi="Garamond"/>
                <w:sz w:val="18"/>
                <w:szCs w:val="18"/>
                <w:lang w:eastAsia="es-PE"/>
              </w:rPr>
              <w:t>- Oratoria</w:t>
            </w:r>
          </w:p>
        </w:tc>
      </w:tr>
      <w:tr w:rsidR="00607F6E" w:rsidRPr="00A63F2D" w14:paraId="6318C901" w14:textId="77777777" w:rsidTr="006C0C0B">
        <w:trPr>
          <w:trHeight w:val="205"/>
        </w:trPr>
        <w:tc>
          <w:tcPr>
            <w:tcW w:w="3185" w:type="dxa"/>
            <w:vMerge w:val="restart"/>
            <w:shd w:val="clear" w:color="auto" w:fill="auto"/>
            <w:vAlign w:val="center"/>
            <w:hideMark/>
          </w:tcPr>
          <w:p w14:paraId="0B6AE5D7" w14:textId="77777777" w:rsidR="00607F6E" w:rsidRPr="00715FAF" w:rsidRDefault="00607F6E" w:rsidP="006C0C0B">
            <w:pPr>
              <w:pStyle w:val="NoSpacing"/>
              <w:rPr>
                <w:rFonts w:ascii="Garamond" w:hAnsi="Garamond"/>
                <w:sz w:val="18"/>
                <w:szCs w:val="18"/>
                <w:lang w:eastAsia="es-PE"/>
              </w:rPr>
            </w:pPr>
            <w:r w:rsidRPr="00715FAF">
              <w:rPr>
                <w:rFonts w:ascii="Garamond" w:hAnsi="Garamond"/>
                <w:sz w:val="18"/>
                <w:szCs w:val="18"/>
                <w:lang w:eastAsia="es-PE"/>
              </w:rPr>
              <w:t>Cultura física, defensa personal y manejo de armas</w:t>
            </w:r>
          </w:p>
        </w:tc>
        <w:tc>
          <w:tcPr>
            <w:tcW w:w="4346" w:type="dxa"/>
            <w:shd w:val="clear" w:color="auto" w:fill="auto"/>
            <w:vAlign w:val="center"/>
            <w:hideMark/>
          </w:tcPr>
          <w:p w14:paraId="1F0021AE" w14:textId="77777777" w:rsidR="00607F6E" w:rsidRPr="00715FAF" w:rsidRDefault="00607F6E" w:rsidP="006C0C0B">
            <w:pPr>
              <w:pStyle w:val="NoSpacing"/>
              <w:rPr>
                <w:rFonts w:ascii="Garamond" w:hAnsi="Garamond"/>
                <w:sz w:val="18"/>
                <w:szCs w:val="18"/>
                <w:lang w:val="pt-BR" w:eastAsia="es-PE"/>
              </w:rPr>
            </w:pPr>
            <w:r w:rsidRPr="00715FAF">
              <w:rPr>
                <w:rFonts w:ascii="Garamond" w:hAnsi="Garamond"/>
                <w:sz w:val="18"/>
                <w:szCs w:val="18"/>
                <w:lang w:val="pt-BR" w:eastAsia="es-PE"/>
              </w:rPr>
              <w:t>- Cultura Física I, II, III, IV, V</w:t>
            </w:r>
          </w:p>
        </w:tc>
      </w:tr>
      <w:tr w:rsidR="00607F6E" w:rsidRPr="00A63F2D" w14:paraId="12C4CC70" w14:textId="77777777" w:rsidTr="006C0C0B">
        <w:trPr>
          <w:trHeight w:val="205"/>
        </w:trPr>
        <w:tc>
          <w:tcPr>
            <w:tcW w:w="3185" w:type="dxa"/>
            <w:vMerge/>
            <w:vAlign w:val="center"/>
            <w:hideMark/>
          </w:tcPr>
          <w:p w14:paraId="48E41F6D" w14:textId="77777777" w:rsidR="00607F6E" w:rsidRPr="00715FAF" w:rsidRDefault="00607F6E" w:rsidP="006C0C0B">
            <w:pPr>
              <w:pStyle w:val="NoSpacing"/>
              <w:rPr>
                <w:rFonts w:ascii="Garamond" w:hAnsi="Garamond"/>
                <w:sz w:val="18"/>
                <w:szCs w:val="18"/>
                <w:lang w:val="pt-BR" w:eastAsia="es-PE"/>
              </w:rPr>
            </w:pPr>
          </w:p>
        </w:tc>
        <w:tc>
          <w:tcPr>
            <w:tcW w:w="4346" w:type="dxa"/>
            <w:shd w:val="clear" w:color="auto" w:fill="auto"/>
            <w:vAlign w:val="center"/>
            <w:hideMark/>
          </w:tcPr>
          <w:p w14:paraId="7296804C" w14:textId="77777777" w:rsidR="00607F6E" w:rsidRPr="00715FAF" w:rsidRDefault="00607F6E" w:rsidP="006C0C0B">
            <w:pPr>
              <w:pStyle w:val="NoSpacing"/>
              <w:rPr>
                <w:rFonts w:ascii="Garamond" w:hAnsi="Garamond"/>
                <w:sz w:val="18"/>
                <w:szCs w:val="18"/>
                <w:lang w:val="pt-BR" w:eastAsia="es-PE"/>
              </w:rPr>
            </w:pPr>
            <w:r w:rsidRPr="00715FAF">
              <w:rPr>
                <w:rFonts w:ascii="Garamond" w:hAnsi="Garamond"/>
                <w:sz w:val="18"/>
                <w:szCs w:val="18"/>
                <w:lang w:val="pt-BR" w:eastAsia="es-PE"/>
              </w:rPr>
              <w:t>- Defensa Personal I, II, III</w:t>
            </w:r>
          </w:p>
        </w:tc>
      </w:tr>
      <w:tr w:rsidR="00607F6E" w:rsidRPr="00A63F2D" w14:paraId="73B4D94A" w14:textId="77777777" w:rsidTr="006C0C0B">
        <w:trPr>
          <w:trHeight w:val="205"/>
        </w:trPr>
        <w:tc>
          <w:tcPr>
            <w:tcW w:w="3185" w:type="dxa"/>
            <w:vMerge/>
            <w:vAlign w:val="center"/>
            <w:hideMark/>
          </w:tcPr>
          <w:p w14:paraId="22E39CA9" w14:textId="77777777" w:rsidR="00607F6E" w:rsidRPr="00715FAF" w:rsidRDefault="00607F6E" w:rsidP="006C0C0B">
            <w:pPr>
              <w:pStyle w:val="NoSpacing"/>
              <w:rPr>
                <w:rFonts w:ascii="Garamond" w:hAnsi="Garamond"/>
                <w:sz w:val="18"/>
                <w:szCs w:val="18"/>
                <w:lang w:val="pt-BR" w:eastAsia="es-PE"/>
              </w:rPr>
            </w:pPr>
          </w:p>
        </w:tc>
        <w:tc>
          <w:tcPr>
            <w:tcW w:w="4346" w:type="dxa"/>
            <w:shd w:val="clear" w:color="auto" w:fill="auto"/>
            <w:vAlign w:val="center"/>
            <w:hideMark/>
          </w:tcPr>
          <w:p w14:paraId="10FDCD2C" w14:textId="77777777" w:rsidR="00607F6E" w:rsidRPr="00715FAF" w:rsidRDefault="00607F6E" w:rsidP="006C0C0B">
            <w:pPr>
              <w:pStyle w:val="NoSpacing"/>
              <w:rPr>
                <w:rFonts w:ascii="Garamond" w:hAnsi="Garamond"/>
                <w:sz w:val="18"/>
                <w:szCs w:val="18"/>
                <w:lang w:eastAsia="es-PE"/>
              </w:rPr>
            </w:pPr>
            <w:r w:rsidRPr="00715FAF">
              <w:rPr>
                <w:rFonts w:ascii="Garamond" w:hAnsi="Garamond"/>
                <w:sz w:val="18"/>
                <w:szCs w:val="18"/>
                <w:lang w:eastAsia="es-PE"/>
              </w:rPr>
              <w:t>- Uso y Manejo de Armas de Fuego I, II, III</w:t>
            </w:r>
          </w:p>
        </w:tc>
      </w:tr>
      <w:tr w:rsidR="00607F6E" w:rsidRPr="00A70C10" w14:paraId="5C525A59" w14:textId="77777777" w:rsidTr="006C0C0B">
        <w:trPr>
          <w:trHeight w:val="205"/>
        </w:trPr>
        <w:tc>
          <w:tcPr>
            <w:tcW w:w="3185" w:type="dxa"/>
            <w:vMerge w:val="restart"/>
            <w:shd w:val="clear" w:color="auto" w:fill="auto"/>
            <w:vAlign w:val="center"/>
            <w:hideMark/>
          </w:tcPr>
          <w:p w14:paraId="7C00D095" w14:textId="77777777" w:rsidR="00607F6E" w:rsidRPr="00715FAF" w:rsidRDefault="00607F6E" w:rsidP="006C0C0B">
            <w:pPr>
              <w:pStyle w:val="NoSpacing"/>
              <w:rPr>
                <w:rFonts w:ascii="Garamond" w:hAnsi="Garamond"/>
                <w:sz w:val="18"/>
                <w:szCs w:val="18"/>
                <w:lang w:eastAsia="es-PE"/>
              </w:rPr>
            </w:pPr>
            <w:r w:rsidRPr="00715FAF">
              <w:rPr>
                <w:rFonts w:ascii="Garamond" w:hAnsi="Garamond"/>
                <w:sz w:val="18"/>
                <w:szCs w:val="18"/>
                <w:lang w:eastAsia="es-PE"/>
              </w:rPr>
              <w:t>Actitud</w:t>
            </w:r>
          </w:p>
        </w:tc>
        <w:tc>
          <w:tcPr>
            <w:tcW w:w="4346" w:type="dxa"/>
            <w:shd w:val="clear" w:color="auto" w:fill="auto"/>
            <w:vAlign w:val="center"/>
            <w:hideMark/>
          </w:tcPr>
          <w:p w14:paraId="464EE920" w14:textId="77777777" w:rsidR="00607F6E" w:rsidRPr="00715FAF" w:rsidRDefault="00607F6E" w:rsidP="006C0C0B">
            <w:pPr>
              <w:pStyle w:val="NoSpacing"/>
              <w:rPr>
                <w:rFonts w:ascii="Garamond" w:hAnsi="Garamond"/>
                <w:sz w:val="18"/>
                <w:szCs w:val="18"/>
                <w:lang w:eastAsia="es-PE"/>
              </w:rPr>
            </w:pPr>
            <w:r w:rsidRPr="00715FAF">
              <w:rPr>
                <w:rFonts w:ascii="Garamond" w:hAnsi="Garamond"/>
                <w:sz w:val="18"/>
                <w:szCs w:val="18"/>
                <w:lang w:eastAsia="es-PE"/>
              </w:rPr>
              <w:t>- Seguridad Ciudadana</w:t>
            </w:r>
          </w:p>
        </w:tc>
      </w:tr>
      <w:tr w:rsidR="00607F6E" w:rsidRPr="00A70C10" w14:paraId="1D3D12EA" w14:textId="77777777" w:rsidTr="006C0C0B">
        <w:trPr>
          <w:trHeight w:val="205"/>
        </w:trPr>
        <w:tc>
          <w:tcPr>
            <w:tcW w:w="3185" w:type="dxa"/>
            <w:vMerge/>
            <w:vAlign w:val="center"/>
            <w:hideMark/>
          </w:tcPr>
          <w:p w14:paraId="5E60ED7C" w14:textId="77777777" w:rsidR="00607F6E" w:rsidRPr="00B34D9E" w:rsidRDefault="00607F6E" w:rsidP="006C0C0B">
            <w:pPr>
              <w:pStyle w:val="NoSpacing"/>
              <w:rPr>
                <w:rFonts w:ascii="Garamond" w:hAnsi="Garamond"/>
                <w:sz w:val="18"/>
                <w:szCs w:val="18"/>
                <w:highlight w:val="yellow"/>
                <w:lang w:eastAsia="es-PE"/>
              </w:rPr>
            </w:pPr>
          </w:p>
        </w:tc>
        <w:tc>
          <w:tcPr>
            <w:tcW w:w="4346" w:type="dxa"/>
            <w:shd w:val="clear" w:color="auto" w:fill="auto"/>
            <w:vAlign w:val="center"/>
            <w:hideMark/>
          </w:tcPr>
          <w:p w14:paraId="47839021" w14:textId="77777777" w:rsidR="00607F6E" w:rsidRPr="00715FAF" w:rsidRDefault="00607F6E" w:rsidP="006C0C0B">
            <w:pPr>
              <w:pStyle w:val="NoSpacing"/>
              <w:rPr>
                <w:rFonts w:ascii="Garamond" w:hAnsi="Garamond"/>
                <w:sz w:val="18"/>
                <w:szCs w:val="18"/>
                <w:lang w:eastAsia="es-PE"/>
              </w:rPr>
            </w:pPr>
            <w:r w:rsidRPr="00715FAF">
              <w:rPr>
                <w:rFonts w:ascii="Garamond" w:hAnsi="Garamond"/>
                <w:sz w:val="18"/>
                <w:szCs w:val="18"/>
                <w:lang w:eastAsia="es-PE"/>
              </w:rPr>
              <w:t>- Seguridad Comunitaria</w:t>
            </w:r>
          </w:p>
        </w:tc>
      </w:tr>
      <w:tr w:rsidR="00607F6E" w:rsidRPr="00A70C10" w14:paraId="7D5F1E9C" w14:textId="77777777" w:rsidTr="006C0C0B">
        <w:trPr>
          <w:trHeight w:val="205"/>
        </w:trPr>
        <w:tc>
          <w:tcPr>
            <w:tcW w:w="3185" w:type="dxa"/>
            <w:vMerge/>
            <w:vAlign w:val="center"/>
            <w:hideMark/>
          </w:tcPr>
          <w:p w14:paraId="4B0B5514" w14:textId="77777777" w:rsidR="00607F6E" w:rsidRPr="00B34D9E" w:rsidRDefault="00607F6E" w:rsidP="006C0C0B">
            <w:pPr>
              <w:pStyle w:val="NoSpacing"/>
              <w:rPr>
                <w:rFonts w:ascii="Garamond" w:hAnsi="Garamond"/>
                <w:sz w:val="18"/>
                <w:szCs w:val="18"/>
                <w:highlight w:val="yellow"/>
                <w:lang w:eastAsia="es-PE"/>
              </w:rPr>
            </w:pPr>
          </w:p>
        </w:tc>
        <w:tc>
          <w:tcPr>
            <w:tcW w:w="4346" w:type="dxa"/>
            <w:shd w:val="clear" w:color="auto" w:fill="auto"/>
            <w:vAlign w:val="center"/>
            <w:hideMark/>
          </w:tcPr>
          <w:p w14:paraId="0CCBB157" w14:textId="77777777" w:rsidR="00607F6E" w:rsidRPr="00715FAF" w:rsidRDefault="00607F6E" w:rsidP="006C0C0B">
            <w:pPr>
              <w:pStyle w:val="NoSpacing"/>
              <w:rPr>
                <w:rFonts w:ascii="Garamond" w:hAnsi="Garamond"/>
                <w:sz w:val="18"/>
                <w:szCs w:val="18"/>
                <w:lang w:eastAsia="es-PE"/>
              </w:rPr>
            </w:pPr>
            <w:r w:rsidRPr="00715FAF">
              <w:rPr>
                <w:rFonts w:ascii="Garamond" w:hAnsi="Garamond"/>
                <w:sz w:val="18"/>
                <w:szCs w:val="18"/>
                <w:lang w:eastAsia="es-PE"/>
              </w:rPr>
              <w:t>- Orden Abierto</w:t>
            </w:r>
          </w:p>
        </w:tc>
      </w:tr>
      <w:tr w:rsidR="00607F6E" w:rsidRPr="00A70C10" w14:paraId="5BE5AD91" w14:textId="77777777" w:rsidTr="006C0C0B">
        <w:trPr>
          <w:trHeight w:val="205"/>
        </w:trPr>
        <w:tc>
          <w:tcPr>
            <w:tcW w:w="3185" w:type="dxa"/>
            <w:vMerge/>
            <w:vAlign w:val="center"/>
            <w:hideMark/>
          </w:tcPr>
          <w:p w14:paraId="452635DE"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65ED4E67" w14:textId="77777777" w:rsidR="00607F6E" w:rsidRPr="00715FAF" w:rsidRDefault="00607F6E" w:rsidP="006C0C0B">
            <w:pPr>
              <w:pStyle w:val="NoSpacing"/>
              <w:rPr>
                <w:rFonts w:ascii="Garamond" w:hAnsi="Garamond"/>
                <w:sz w:val="18"/>
                <w:szCs w:val="18"/>
                <w:lang w:eastAsia="es-PE"/>
              </w:rPr>
            </w:pPr>
            <w:r w:rsidRPr="00715FAF">
              <w:rPr>
                <w:rFonts w:ascii="Garamond" w:hAnsi="Garamond"/>
                <w:sz w:val="18"/>
                <w:szCs w:val="18"/>
                <w:lang w:eastAsia="es-PE"/>
              </w:rPr>
              <w:t>- Orden Público</w:t>
            </w:r>
          </w:p>
        </w:tc>
      </w:tr>
      <w:tr w:rsidR="00607F6E" w:rsidRPr="00A63F2D" w14:paraId="576ABE9E" w14:textId="77777777" w:rsidTr="006C0C0B">
        <w:trPr>
          <w:trHeight w:val="205"/>
        </w:trPr>
        <w:tc>
          <w:tcPr>
            <w:tcW w:w="3185" w:type="dxa"/>
            <w:vMerge/>
            <w:vAlign w:val="center"/>
            <w:hideMark/>
          </w:tcPr>
          <w:p w14:paraId="15407FF3"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667952CF"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Delitos Contra el Orden Publico</w:t>
            </w:r>
          </w:p>
        </w:tc>
      </w:tr>
      <w:tr w:rsidR="00607F6E" w:rsidRPr="00A70C10" w14:paraId="606A9331" w14:textId="77777777" w:rsidTr="006C0C0B">
        <w:trPr>
          <w:trHeight w:val="205"/>
        </w:trPr>
        <w:tc>
          <w:tcPr>
            <w:tcW w:w="3185" w:type="dxa"/>
            <w:vMerge/>
            <w:vAlign w:val="center"/>
            <w:hideMark/>
          </w:tcPr>
          <w:p w14:paraId="351F910F"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170CC83D"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xml:space="preserve">- Mantenimiento del Orden Público </w:t>
            </w:r>
          </w:p>
        </w:tc>
      </w:tr>
      <w:tr w:rsidR="00607F6E" w:rsidRPr="00A63F2D" w14:paraId="201FD6DC" w14:textId="77777777" w:rsidTr="006C0C0B">
        <w:trPr>
          <w:trHeight w:val="205"/>
        </w:trPr>
        <w:tc>
          <w:tcPr>
            <w:tcW w:w="3185" w:type="dxa"/>
            <w:vMerge/>
            <w:vAlign w:val="center"/>
            <w:hideMark/>
          </w:tcPr>
          <w:p w14:paraId="739DA021"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01151052"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Accionar de la PNP en el control del Orden Público</w:t>
            </w:r>
          </w:p>
        </w:tc>
      </w:tr>
      <w:tr w:rsidR="00607F6E" w:rsidRPr="00A63F2D" w14:paraId="5616B408" w14:textId="77777777" w:rsidTr="006C0C0B">
        <w:trPr>
          <w:trHeight w:val="205"/>
        </w:trPr>
        <w:tc>
          <w:tcPr>
            <w:tcW w:w="3185" w:type="dxa"/>
            <w:vMerge/>
            <w:vAlign w:val="center"/>
            <w:hideMark/>
          </w:tcPr>
          <w:p w14:paraId="00826AD4"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2648E8C6"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Accionar de la PNP en la Seguridad Ciudadana.</w:t>
            </w:r>
          </w:p>
        </w:tc>
      </w:tr>
      <w:tr w:rsidR="00607F6E" w:rsidRPr="00A63F2D" w14:paraId="1D130904" w14:textId="77777777" w:rsidTr="006C0C0B">
        <w:trPr>
          <w:trHeight w:val="205"/>
        </w:trPr>
        <w:tc>
          <w:tcPr>
            <w:tcW w:w="3185" w:type="dxa"/>
            <w:vMerge/>
            <w:vAlign w:val="center"/>
            <w:hideMark/>
          </w:tcPr>
          <w:p w14:paraId="4005782A"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2CDFB442"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Plan Nacional de Seguridad Ciudadana 2013 -2018</w:t>
            </w:r>
          </w:p>
        </w:tc>
      </w:tr>
      <w:tr w:rsidR="00607F6E" w:rsidRPr="00A70C10" w14:paraId="418F79B7" w14:textId="77777777" w:rsidTr="006C0C0B">
        <w:trPr>
          <w:trHeight w:val="205"/>
        </w:trPr>
        <w:tc>
          <w:tcPr>
            <w:tcW w:w="3185" w:type="dxa"/>
            <w:vMerge/>
            <w:vAlign w:val="center"/>
            <w:hideMark/>
          </w:tcPr>
          <w:p w14:paraId="7E4DAB67"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04B57D2A"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Deontología Policial</w:t>
            </w:r>
          </w:p>
        </w:tc>
      </w:tr>
      <w:tr w:rsidR="00607F6E" w:rsidRPr="00A70C10" w14:paraId="0E8452F0" w14:textId="77777777" w:rsidTr="006C0C0B">
        <w:trPr>
          <w:trHeight w:val="205"/>
        </w:trPr>
        <w:tc>
          <w:tcPr>
            <w:tcW w:w="3185" w:type="dxa"/>
            <w:vMerge/>
            <w:vAlign w:val="center"/>
            <w:hideMark/>
          </w:tcPr>
          <w:p w14:paraId="383D49EE"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224A113F"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Liderazgo y Transparencia</w:t>
            </w:r>
          </w:p>
        </w:tc>
      </w:tr>
      <w:tr w:rsidR="00607F6E" w:rsidRPr="00A63F2D" w14:paraId="2F3D0EAD" w14:textId="77777777" w:rsidTr="006C0C0B">
        <w:trPr>
          <w:trHeight w:val="205"/>
        </w:trPr>
        <w:tc>
          <w:tcPr>
            <w:tcW w:w="3185" w:type="dxa"/>
            <w:vMerge w:val="restart"/>
            <w:shd w:val="clear" w:color="auto" w:fill="auto"/>
            <w:vAlign w:val="center"/>
            <w:hideMark/>
          </w:tcPr>
          <w:p w14:paraId="056E8BBF"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Derechos humanos y aplicación de la ley</w:t>
            </w:r>
          </w:p>
        </w:tc>
        <w:tc>
          <w:tcPr>
            <w:tcW w:w="4346" w:type="dxa"/>
            <w:shd w:val="clear" w:color="auto" w:fill="auto"/>
            <w:vAlign w:val="center"/>
            <w:hideMark/>
          </w:tcPr>
          <w:p w14:paraId="7CF3C798"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Ética y DD.HH I, II</w:t>
            </w:r>
          </w:p>
        </w:tc>
      </w:tr>
      <w:tr w:rsidR="00607F6E" w:rsidRPr="00A63F2D" w14:paraId="0125B777" w14:textId="77777777" w:rsidTr="006C0C0B">
        <w:trPr>
          <w:trHeight w:val="205"/>
        </w:trPr>
        <w:tc>
          <w:tcPr>
            <w:tcW w:w="3185" w:type="dxa"/>
            <w:vMerge/>
            <w:vAlign w:val="center"/>
            <w:hideMark/>
          </w:tcPr>
          <w:p w14:paraId="5468D172"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5437F102"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Derechos Humanos aplicados a la Función Policial I, II</w:t>
            </w:r>
          </w:p>
        </w:tc>
      </w:tr>
      <w:tr w:rsidR="00607F6E" w:rsidRPr="00A70C10" w14:paraId="48365B7A" w14:textId="77777777" w:rsidTr="006C0C0B">
        <w:trPr>
          <w:trHeight w:val="205"/>
        </w:trPr>
        <w:tc>
          <w:tcPr>
            <w:tcW w:w="3185" w:type="dxa"/>
            <w:vMerge/>
            <w:vAlign w:val="center"/>
            <w:hideMark/>
          </w:tcPr>
          <w:p w14:paraId="1EFC0CA0"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467D1909"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Derecho Constitucional</w:t>
            </w:r>
          </w:p>
        </w:tc>
      </w:tr>
      <w:tr w:rsidR="00607F6E" w:rsidRPr="00A70C10" w14:paraId="44124B9E" w14:textId="77777777" w:rsidTr="006C0C0B">
        <w:trPr>
          <w:trHeight w:val="205"/>
        </w:trPr>
        <w:tc>
          <w:tcPr>
            <w:tcW w:w="3185" w:type="dxa"/>
            <w:vMerge/>
            <w:vAlign w:val="center"/>
            <w:hideMark/>
          </w:tcPr>
          <w:p w14:paraId="68603A60"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4EAC53A9"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Derecho Civil</w:t>
            </w:r>
          </w:p>
        </w:tc>
      </w:tr>
      <w:tr w:rsidR="00607F6E" w:rsidRPr="00A70C10" w14:paraId="3E83B974" w14:textId="77777777" w:rsidTr="006C0C0B">
        <w:trPr>
          <w:trHeight w:val="205"/>
        </w:trPr>
        <w:tc>
          <w:tcPr>
            <w:tcW w:w="3185" w:type="dxa"/>
            <w:vMerge/>
            <w:vAlign w:val="center"/>
            <w:hideMark/>
          </w:tcPr>
          <w:p w14:paraId="0CEBC258"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4B8B6A8E"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Derecho de Policía</w:t>
            </w:r>
          </w:p>
        </w:tc>
      </w:tr>
      <w:tr w:rsidR="00607F6E" w:rsidRPr="00A70C10" w14:paraId="7EE7B057" w14:textId="77777777" w:rsidTr="006C0C0B">
        <w:trPr>
          <w:trHeight w:val="205"/>
        </w:trPr>
        <w:tc>
          <w:tcPr>
            <w:tcW w:w="3185" w:type="dxa"/>
            <w:vMerge/>
            <w:vAlign w:val="center"/>
            <w:hideMark/>
          </w:tcPr>
          <w:p w14:paraId="5E6E783F"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4F07F24F"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Derecho Penal I, II</w:t>
            </w:r>
          </w:p>
        </w:tc>
      </w:tr>
      <w:tr w:rsidR="00607F6E" w:rsidRPr="00A63F2D" w14:paraId="58EF1B2C" w14:textId="77777777" w:rsidTr="006C0C0B">
        <w:trPr>
          <w:trHeight w:val="205"/>
        </w:trPr>
        <w:tc>
          <w:tcPr>
            <w:tcW w:w="3185" w:type="dxa"/>
            <w:vMerge/>
            <w:vAlign w:val="center"/>
            <w:hideMark/>
          </w:tcPr>
          <w:p w14:paraId="1964EC2C"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4FC5237C" w14:textId="77777777" w:rsidR="00607F6E" w:rsidRPr="008C6C96" w:rsidRDefault="00607F6E" w:rsidP="006C0C0B">
            <w:pPr>
              <w:pStyle w:val="NoSpacing"/>
              <w:rPr>
                <w:rFonts w:ascii="Garamond" w:hAnsi="Garamond"/>
                <w:sz w:val="18"/>
                <w:szCs w:val="18"/>
                <w:lang w:val="pt-BR" w:eastAsia="es-PE"/>
              </w:rPr>
            </w:pPr>
            <w:r w:rsidRPr="008C6C96">
              <w:rPr>
                <w:rFonts w:ascii="Garamond" w:hAnsi="Garamond"/>
                <w:sz w:val="18"/>
                <w:szCs w:val="18"/>
                <w:lang w:val="pt-BR" w:eastAsia="es-PE"/>
              </w:rPr>
              <w:t xml:space="preserve">- Nuevo Código </w:t>
            </w:r>
            <w:r w:rsidRPr="004D016C">
              <w:rPr>
                <w:rFonts w:ascii="Garamond" w:hAnsi="Garamond"/>
                <w:sz w:val="18"/>
                <w:szCs w:val="18"/>
                <w:lang w:val="pt-BR" w:eastAsia="es-PE"/>
              </w:rPr>
              <w:t>Procesal</w:t>
            </w:r>
            <w:r w:rsidRPr="008C6C96">
              <w:rPr>
                <w:rFonts w:ascii="Garamond" w:hAnsi="Garamond"/>
                <w:sz w:val="18"/>
                <w:szCs w:val="18"/>
                <w:lang w:val="pt-BR" w:eastAsia="es-PE"/>
              </w:rPr>
              <w:t xml:space="preserve"> Penal I, II</w:t>
            </w:r>
          </w:p>
        </w:tc>
      </w:tr>
      <w:tr w:rsidR="00607F6E" w:rsidRPr="00A63F2D" w14:paraId="6EEA8409" w14:textId="77777777" w:rsidTr="006C0C0B">
        <w:trPr>
          <w:trHeight w:val="205"/>
        </w:trPr>
        <w:tc>
          <w:tcPr>
            <w:tcW w:w="3185" w:type="dxa"/>
            <w:vMerge/>
            <w:vAlign w:val="center"/>
            <w:hideMark/>
          </w:tcPr>
          <w:p w14:paraId="67F239A1" w14:textId="77777777" w:rsidR="00607F6E" w:rsidRPr="008C6C96" w:rsidRDefault="00607F6E" w:rsidP="006C0C0B">
            <w:pPr>
              <w:pStyle w:val="NoSpacing"/>
              <w:rPr>
                <w:rFonts w:ascii="Garamond" w:hAnsi="Garamond"/>
                <w:sz w:val="18"/>
                <w:szCs w:val="18"/>
                <w:lang w:val="pt-BR" w:eastAsia="es-PE"/>
              </w:rPr>
            </w:pPr>
          </w:p>
        </w:tc>
        <w:tc>
          <w:tcPr>
            <w:tcW w:w="4346" w:type="dxa"/>
            <w:shd w:val="clear" w:color="auto" w:fill="auto"/>
            <w:vAlign w:val="center"/>
            <w:hideMark/>
          </w:tcPr>
          <w:p w14:paraId="5299BCBD" w14:textId="77777777" w:rsidR="00607F6E" w:rsidRPr="008C6C96" w:rsidRDefault="00607F6E" w:rsidP="006C0C0B">
            <w:pPr>
              <w:pStyle w:val="NoSpacing"/>
              <w:rPr>
                <w:rFonts w:ascii="Garamond" w:hAnsi="Garamond"/>
                <w:sz w:val="18"/>
                <w:szCs w:val="18"/>
                <w:lang w:val="pt-BR" w:eastAsia="es-PE"/>
              </w:rPr>
            </w:pPr>
            <w:r w:rsidRPr="008C6C96">
              <w:rPr>
                <w:rFonts w:ascii="Garamond" w:hAnsi="Garamond"/>
                <w:sz w:val="18"/>
                <w:szCs w:val="18"/>
                <w:lang w:val="pt-BR" w:eastAsia="es-PE"/>
              </w:rPr>
              <w:t>- Código de Justicia Militar Policial</w:t>
            </w:r>
          </w:p>
        </w:tc>
      </w:tr>
      <w:tr w:rsidR="00607F6E" w:rsidRPr="00A63F2D" w14:paraId="7C4DD553" w14:textId="77777777" w:rsidTr="006C0C0B">
        <w:trPr>
          <w:trHeight w:val="205"/>
        </w:trPr>
        <w:tc>
          <w:tcPr>
            <w:tcW w:w="3185" w:type="dxa"/>
            <w:vMerge/>
            <w:vAlign w:val="center"/>
            <w:hideMark/>
          </w:tcPr>
          <w:p w14:paraId="35D84442" w14:textId="77777777" w:rsidR="00607F6E" w:rsidRPr="008C6C96" w:rsidRDefault="00607F6E" w:rsidP="006C0C0B">
            <w:pPr>
              <w:pStyle w:val="NoSpacing"/>
              <w:rPr>
                <w:rFonts w:ascii="Garamond" w:hAnsi="Garamond"/>
                <w:sz w:val="18"/>
                <w:szCs w:val="18"/>
                <w:lang w:val="pt-BR" w:eastAsia="es-PE"/>
              </w:rPr>
            </w:pPr>
          </w:p>
        </w:tc>
        <w:tc>
          <w:tcPr>
            <w:tcW w:w="4346" w:type="dxa"/>
            <w:shd w:val="clear" w:color="auto" w:fill="auto"/>
            <w:vAlign w:val="center"/>
            <w:hideMark/>
          </w:tcPr>
          <w:p w14:paraId="44BF5C89"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Código del Niño y Adolescentes</w:t>
            </w:r>
          </w:p>
        </w:tc>
      </w:tr>
      <w:tr w:rsidR="00607F6E" w:rsidRPr="00A70C10" w14:paraId="279F4468" w14:textId="77777777" w:rsidTr="006C0C0B">
        <w:trPr>
          <w:trHeight w:val="49"/>
        </w:trPr>
        <w:tc>
          <w:tcPr>
            <w:tcW w:w="3185" w:type="dxa"/>
            <w:vMerge/>
            <w:vAlign w:val="center"/>
            <w:hideMark/>
          </w:tcPr>
          <w:p w14:paraId="50FDBE06"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316FC32C"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Legislación Policial I, II</w:t>
            </w:r>
          </w:p>
        </w:tc>
      </w:tr>
      <w:tr w:rsidR="00607F6E" w:rsidRPr="00A70C10" w14:paraId="14DB19FF" w14:textId="77777777" w:rsidTr="006C0C0B">
        <w:trPr>
          <w:trHeight w:val="205"/>
        </w:trPr>
        <w:tc>
          <w:tcPr>
            <w:tcW w:w="7531" w:type="dxa"/>
            <w:gridSpan w:val="2"/>
            <w:shd w:val="clear" w:color="auto" w:fill="auto"/>
            <w:vAlign w:val="center"/>
            <w:hideMark/>
          </w:tcPr>
          <w:p w14:paraId="240FFFF5" w14:textId="77777777" w:rsidR="00607F6E" w:rsidRPr="009C5A42" w:rsidRDefault="00607F6E" w:rsidP="006C0C0B">
            <w:pPr>
              <w:pStyle w:val="NoSpacing"/>
              <w:jc w:val="center"/>
              <w:rPr>
                <w:rFonts w:ascii="Garamond" w:hAnsi="Garamond"/>
                <w:b/>
                <w:sz w:val="18"/>
                <w:szCs w:val="18"/>
                <w:lang w:eastAsia="es-PE"/>
              </w:rPr>
            </w:pPr>
            <w:r w:rsidRPr="009C5A42">
              <w:rPr>
                <w:rFonts w:ascii="Garamond" w:hAnsi="Garamond"/>
                <w:b/>
                <w:sz w:val="18"/>
                <w:szCs w:val="18"/>
                <w:lang w:eastAsia="es-PE"/>
              </w:rPr>
              <w:t>Formación de Oficiales</w:t>
            </w:r>
          </w:p>
        </w:tc>
      </w:tr>
      <w:tr w:rsidR="00607F6E" w:rsidRPr="00A70C10" w14:paraId="6825E8DD" w14:textId="77777777" w:rsidTr="006C0C0B">
        <w:trPr>
          <w:trHeight w:val="205"/>
        </w:trPr>
        <w:tc>
          <w:tcPr>
            <w:tcW w:w="3185" w:type="dxa"/>
            <w:vMerge w:val="restart"/>
            <w:shd w:val="clear" w:color="auto" w:fill="auto"/>
            <w:vAlign w:val="center"/>
            <w:hideMark/>
          </w:tcPr>
          <w:p w14:paraId="348103C2"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Actitud</w:t>
            </w:r>
          </w:p>
        </w:tc>
        <w:tc>
          <w:tcPr>
            <w:tcW w:w="4346" w:type="dxa"/>
            <w:shd w:val="clear" w:color="auto" w:fill="auto"/>
            <w:vAlign w:val="center"/>
            <w:hideMark/>
          </w:tcPr>
          <w:p w14:paraId="547A0530"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Seguridad Ciudadana</w:t>
            </w:r>
          </w:p>
        </w:tc>
      </w:tr>
      <w:tr w:rsidR="00607F6E" w:rsidRPr="00A70C10" w14:paraId="7F9BA30C" w14:textId="77777777" w:rsidTr="006C0C0B">
        <w:trPr>
          <w:trHeight w:val="205"/>
        </w:trPr>
        <w:tc>
          <w:tcPr>
            <w:tcW w:w="3185" w:type="dxa"/>
            <w:vMerge/>
            <w:vAlign w:val="center"/>
            <w:hideMark/>
          </w:tcPr>
          <w:p w14:paraId="11634BBE"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295D6941"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Orden Público</w:t>
            </w:r>
          </w:p>
        </w:tc>
      </w:tr>
      <w:tr w:rsidR="00607F6E" w:rsidRPr="00A63F2D" w14:paraId="650334FF" w14:textId="77777777" w:rsidTr="006C0C0B">
        <w:trPr>
          <w:trHeight w:val="205"/>
        </w:trPr>
        <w:tc>
          <w:tcPr>
            <w:tcW w:w="3185" w:type="dxa"/>
            <w:vMerge/>
            <w:vAlign w:val="center"/>
            <w:hideMark/>
          </w:tcPr>
          <w:p w14:paraId="10CB0BA8"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588AEF17"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Seguridad de Establecimientos Públicos y Privados</w:t>
            </w:r>
          </w:p>
        </w:tc>
      </w:tr>
      <w:tr w:rsidR="00607F6E" w:rsidRPr="00A63F2D" w14:paraId="0D911296" w14:textId="77777777" w:rsidTr="006C0C0B">
        <w:trPr>
          <w:trHeight w:val="205"/>
        </w:trPr>
        <w:tc>
          <w:tcPr>
            <w:tcW w:w="3185" w:type="dxa"/>
            <w:vMerge/>
            <w:vAlign w:val="center"/>
            <w:hideMark/>
          </w:tcPr>
          <w:p w14:paraId="47150D34"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0DA85351"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Análisis de Riesgos y Estudios de Seguridad</w:t>
            </w:r>
          </w:p>
        </w:tc>
      </w:tr>
      <w:tr w:rsidR="00607F6E" w:rsidRPr="00A70C10" w14:paraId="080A2114" w14:textId="77777777" w:rsidTr="006C0C0B">
        <w:trPr>
          <w:trHeight w:val="205"/>
        </w:trPr>
        <w:tc>
          <w:tcPr>
            <w:tcW w:w="3185" w:type="dxa"/>
            <w:vMerge/>
            <w:vAlign w:val="center"/>
            <w:hideMark/>
          </w:tcPr>
          <w:p w14:paraId="1182B4E6"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5E629C11"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Ética y Deontología Policial</w:t>
            </w:r>
          </w:p>
        </w:tc>
      </w:tr>
      <w:tr w:rsidR="00607F6E" w:rsidRPr="00A70C10" w14:paraId="7CA9AE6E" w14:textId="77777777" w:rsidTr="006C0C0B">
        <w:trPr>
          <w:trHeight w:val="205"/>
        </w:trPr>
        <w:tc>
          <w:tcPr>
            <w:tcW w:w="3185" w:type="dxa"/>
            <w:vMerge/>
            <w:vAlign w:val="center"/>
            <w:hideMark/>
          </w:tcPr>
          <w:p w14:paraId="07A3BB22"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2F4ECA0A"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Ética, Liderazgo y Transparencia</w:t>
            </w:r>
          </w:p>
        </w:tc>
      </w:tr>
      <w:tr w:rsidR="00607F6E" w:rsidRPr="00A70C10" w14:paraId="52D0E9AE" w14:textId="77777777" w:rsidTr="006C0C0B">
        <w:trPr>
          <w:trHeight w:val="205"/>
        </w:trPr>
        <w:tc>
          <w:tcPr>
            <w:tcW w:w="3185" w:type="dxa"/>
            <w:vMerge/>
            <w:vAlign w:val="center"/>
            <w:hideMark/>
          </w:tcPr>
          <w:p w14:paraId="1495B922"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4EEC1AE7"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Liderazgo Policial</w:t>
            </w:r>
          </w:p>
        </w:tc>
      </w:tr>
      <w:tr w:rsidR="00607F6E" w:rsidRPr="00A70C10" w14:paraId="6A7B0C2F" w14:textId="77777777" w:rsidTr="006C0C0B">
        <w:trPr>
          <w:trHeight w:val="205"/>
        </w:trPr>
        <w:tc>
          <w:tcPr>
            <w:tcW w:w="3185" w:type="dxa"/>
            <w:vMerge/>
            <w:vAlign w:val="center"/>
            <w:hideMark/>
          </w:tcPr>
          <w:p w14:paraId="33A1A947"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5BE7E64D"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Turismo y Medio Ambiente</w:t>
            </w:r>
          </w:p>
        </w:tc>
      </w:tr>
      <w:tr w:rsidR="00607F6E" w:rsidRPr="00A70C10" w14:paraId="0EDCBC0A" w14:textId="77777777" w:rsidTr="006C0C0B">
        <w:trPr>
          <w:trHeight w:val="205"/>
        </w:trPr>
        <w:tc>
          <w:tcPr>
            <w:tcW w:w="3185" w:type="dxa"/>
            <w:vMerge w:val="restart"/>
            <w:shd w:val="clear" w:color="auto" w:fill="auto"/>
            <w:vAlign w:val="center"/>
            <w:hideMark/>
          </w:tcPr>
          <w:p w14:paraId="0D8F5CB7"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Relación con la ciudadanía</w:t>
            </w:r>
          </w:p>
        </w:tc>
        <w:tc>
          <w:tcPr>
            <w:tcW w:w="4346" w:type="dxa"/>
            <w:shd w:val="clear" w:color="auto" w:fill="auto"/>
            <w:vAlign w:val="center"/>
            <w:hideMark/>
          </w:tcPr>
          <w:p w14:paraId="4FE492B3"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Negociación de Conflictos Sociales</w:t>
            </w:r>
          </w:p>
        </w:tc>
      </w:tr>
      <w:tr w:rsidR="00607F6E" w:rsidRPr="00A63F2D" w14:paraId="13E5DBEE" w14:textId="77777777" w:rsidTr="006C0C0B">
        <w:trPr>
          <w:trHeight w:val="205"/>
        </w:trPr>
        <w:tc>
          <w:tcPr>
            <w:tcW w:w="3185" w:type="dxa"/>
            <w:vMerge/>
            <w:vAlign w:val="center"/>
            <w:hideMark/>
          </w:tcPr>
          <w:p w14:paraId="45268B66"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72BE91A2"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Atención y Protección de Familia y Trata de Personas</w:t>
            </w:r>
          </w:p>
        </w:tc>
      </w:tr>
      <w:tr w:rsidR="00607F6E" w:rsidRPr="00A63F2D" w14:paraId="78297878" w14:textId="77777777" w:rsidTr="006C0C0B">
        <w:trPr>
          <w:trHeight w:val="205"/>
        </w:trPr>
        <w:tc>
          <w:tcPr>
            <w:tcW w:w="3185" w:type="dxa"/>
            <w:vMerge/>
            <w:vAlign w:val="center"/>
            <w:hideMark/>
          </w:tcPr>
          <w:p w14:paraId="7432F879"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627330F1"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Abordaje a Ví</w:t>
            </w:r>
            <w:r>
              <w:rPr>
                <w:rFonts w:ascii="Garamond" w:hAnsi="Garamond"/>
                <w:sz w:val="18"/>
                <w:szCs w:val="18"/>
                <w:lang w:eastAsia="es-PE"/>
              </w:rPr>
              <w:t xml:space="preserve">ctimas de Violencia Familiar y </w:t>
            </w:r>
            <w:r w:rsidRPr="00A70C10">
              <w:rPr>
                <w:rFonts w:ascii="Garamond" w:hAnsi="Garamond"/>
                <w:sz w:val="18"/>
                <w:szCs w:val="18"/>
                <w:lang w:eastAsia="es-PE"/>
              </w:rPr>
              <w:t>Sexual</w:t>
            </w:r>
          </w:p>
        </w:tc>
      </w:tr>
      <w:tr w:rsidR="00607F6E" w:rsidRPr="00A70C10" w14:paraId="5F2B8E86" w14:textId="77777777" w:rsidTr="006C0C0B">
        <w:trPr>
          <w:trHeight w:val="91"/>
        </w:trPr>
        <w:tc>
          <w:tcPr>
            <w:tcW w:w="3185" w:type="dxa"/>
            <w:vMerge/>
            <w:vAlign w:val="center"/>
            <w:hideMark/>
          </w:tcPr>
          <w:p w14:paraId="69FF9B83"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0DFDDD9D"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Oratoria</w:t>
            </w:r>
          </w:p>
        </w:tc>
      </w:tr>
      <w:tr w:rsidR="00607F6E" w:rsidRPr="00A70C10" w14:paraId="1E9032F8" w14:textId="77777777" w:rsidTr="006C0C0B">
        <w:trPr>
          <w:trHeight w:val="205"/>
        </w:trPr>
        <w:tc>
          <w:tcPr>
            <w:tcW w:w="3185" w:type="dxa"/>
            <w:vMerge w:val="restart"/>
            <w:shd w:val="clear" w:color="auto" w:fill="auto"/>
            <w:vAlign w:val="center"/>
            <w:hideMark/>
          </w:tcPr>
          <w:p w14:paraId="25079741"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Prevención</w:t>
            </w:r>
          </w:p>
        </w:tc>
        <w:tc>
          <w:tcPr>
            <w:tcW w:w="4346" w:type="dxa"/>
            <w:shd w:val="clear" w:color="auto" w:fill="auto"/>
            <w:vAlign w:val="center"/>
            <w:hideMark/>
          </w:tcPr>
          <w:p w14:paraId="2F4253A8"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Patrullaje Policial</w:t>
            </w:r>
          </w:p>
        </w:tc>
      </w:tr>
      <w:tr w:rsidR="00607F6E" w:rsidRPr="00A70C10" w14:paraId="35E6A6BF" w14:textId="77777777" w:rsidTr="006C0C0B">
        <w:trPr>
          <w:trHeight w:val="205"/>
        </w:trPr>
        <w:tc>
          <w:tcPr>
            <w:tcW w:w="3185" w:type="dxa"/>
            <w:vMerge/>
            <w:vAlign w:val="center"/>
            <w:hideMark/>
          </w:tcPr>
          <w:p w14:paraId="1D000CE4"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25FB5488"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Procedimientos Policiales de Prevención</w:t>
            </w:r>
          </w:p>
        </w:tc>
      </w:tr>
      <w:tr w:rsidR="00607F6E" w:rsidRPr="00A63F2D" w14:paraId="078ABDAE" w14:textId="77777777" w:rsidTr="006C0C0B">
        <w:trPr>
          <w:trHeight w:val="205"/>
        </w:trPr>
        <w:tc>
          <w:tcPr>
            <w:tcW w:w="3185" w:type="dxa"/>
            <w:vMerge w:val="restart"/>
            <w:shd w:val="clear" w:color="auto" w:fill="auto"/>
            <w:vAlign w:val="center"/>
            <w:hideMark/>
          </w:tcPr>
          <w:p w14:paraId="6C97AFD9" w14:textId="77777777" w:rsidR="00607F6E" w:rsidRPr="00A70C10" w:rsidRDefault="00607F6E" w:rsidP="006C0C0B">
            <w:pPr>
              <w:pStyle w:val="NoSpacing"/>
              <w:rPr>
                <w:rFonts w:ascii="Garamond" w:hAnsi="Garamond"/>
                <w:sz w:val="18"/>
                <w:szCs w:val="18"/>
                <w:lang w:eastAsia="es-PE"/>
              </w:rPr>
            </w:pPr>
            <w:r>
              <w:rPr>
                <w:rFonts w:ascii="Garamond" w:hAnsi="Garamond"/>
                <w:sz w:val="18"/>
                <w:szCs w:val="18"/>
                <w:lang w:eastAsia="es-PE"/>
              </w:rPr>
              <w:t>Cu</w:t>
            </w:r>
            <w:r w:rsidRPr="00A70C10">
              <w:rPr>
                <w:rFonts w:ascii="Garamond" w:hAnsi="Garamond"/>
                <w:sz w:val="18"/>
                <w:szCs w:val="18"/>
                <w:lang w:eastAsia="es-PE"/>
              </w:rPr>
              <w:t>ltura física, defensa personal y manejo de armas</w:t>
            </w:r>
          </w:p>
        </w:tc>
        <w:tc>
          <w:tcPr>
            <w:tcW w:w="4346" w:type="dxa"/>
            <w:shd w:val="clear" w:color="auto" w:fill="auto"/>
            <w:vAlign w:val="center"/>
            <w:hideMark/>
          </w:tcPr>
          <w:p w14:paraId="1241F618" w14:textId="77777777" w:rsidR="00607F6E" w:rsidRPr="008C6C96" w:rsidRDefault="00607F6E" w:rsidP="006C0C0B">
            <w:pPr>
              <w:pStyle w:val="NoSpacing"/>
              <w:rPr>
                <w:rFonts w:ascii="Garamond" w:hAnsi="Garamond"/>
                <w:sz w:val="18"/>
                <w:szCs w:val="18"/>
                <w:lang w:val="pt-BR" w:eastAsia="es-PE"/>
              </w:rPr>
            </w:pPr>
            <w:r w:rsidRPr="008C6C96">
              <w:rPr>
                <w:rFonts w:ascii="Garamond" w:hAnsi="Garamond"/>
                <w:sz w:val="18"/>
                <w:szCs w:val="18"/>
                <w:lang w:val="pt-BR" w:eastAsia="es-PE"/>
              </w:rPr>
              <w:t>- Cultura Física I, II, III, IV, V, VI, VII, VIII, IX</w:t>
            </w:r>
          </w:p>
        </w:tc>
      </w:tr>
      <w:tr w:rsidR="00607F6E" w:rsidRPr="00A63F2D" w14:paraId="4991135F" w14:textId="77777777" w:rsidTr="006C0C0B">
        <w:trPr>
          <w:trHeight w:val="205"/>
        </w:trPr>
        <w:tc>
          <w:tcPr>
            <w:tcW w:w="3185" w:type="dxa"/>
            <w:vMerge/>
            <w:vAlign w:val="center"/>
            <w:hideMark/>
          </w:tcPr>
          <w:p w14:paraId="709B7035" w14:textId="77777777" w:rsidR="00607F6E" w:rsidRPr="008C6C96" w:rsidRDefault="00607F6E" w:rsidP="006C0C0B">
            <w:pPr>
              <w:pStyle w:val="NoSpacing"/>
              <w:rPr>
                <w:rFonts w:ascii="Garamond" w:hAnsi="Garamond"/>
                <w:sz w:val="18"/>
                <w:szCs w:val="18"/>
                <w:lang w:val="pt-BR" w:eastAsia="es-PE"/>
              </w:rPr>
            </w:pPr>
          </w:p>
        </w:tc>
        <w:tc>
          <w:tcPr>
            <w:tcW w:w="4346" w:type="dxa"/>
            <w:shd w:val="clear" w:color="auto" w:fill="auto"/>
            <w:vAlign w:val="center"/>
            <w:hideMark/>
          </w:tcPr>
          <w:p w14:paraId="162CA3B5" w14:textId="77777777" w:rsidR="00607F6E" w:rsidRPr="008C6C96" w:rsidRDefault="00607F6E" w:rsidP="006C0C0B">
            <w:pPr>
              <w:pStyle w:val="NoSpacing"/>
              <w:rPr>
                <w:rFonts w:ascii="Garamond" w:hAnsi="Garamond"/>
                <w:sz w:val="18"/>
                <w:szCs w:val="18"/>
                <w:lang w:val="pt-BR" w:eastAsia="es-PE"/>
              </w:rPr>
            </w:pPr>
            <w:r w:rsidRPr="008C6C96">
              <w:rPr>
                <w:rFonts w:ascii="Garamond" w:hAnsi="Garamond"/>
                <w:sz w:val="18"/>
                <w:szCs w:val="18"/>
                <w:lang w:val="pt-BR" w:eastAsia="es-PE"/>
              </w:rPr>
              <w:t>- Defensa Personal I, II, III, IV, V, VI, VII, VIII, IX</w:t>
            </w:r>
          </w:p>
        </w:tc>
      </w:tr>
      <w:tr w:rsidR="00607F6E" w:rsidRPr="00A63F2D" w14:paraId="5AFFBF7D" w14:textId="77777777" w:rsidTr="006C0C0B">
        <w:trPr>
          <w:trHeight w:val="205"/>
        </w:trPr>
        <w:tc>
          <w:tcPr>
            <w:tcW w:w="3185" w:type="dxa"/>
            <w:vMerge/>
            <w:vAlign w:val="center"/>
            <w:hideMark/>
          </w:tcPr>
          <w:p w14:paraId="5DA0FB54" w14:textId="77777777" w:rsidR="00607F6E" w:rsidRPr="008C6C96" w:rsidRDefault="00607F6E" w:rsidP="006C0C0B">
            <w:pPr>
              <w:pStyle w:val="NoSpacing"/>
              <w:rPr>
                <w:rFonts w:ascii="Garamond" w:hAnsi="Garamond"/>
                <w:sz w:val="18"/>
                <w:szCs w:val="18"/>
                <w:lang w:val="pt-BR" w:eastAsia="es-PE"/>
              </w:rPr>
            </w:pPr>
          </w:p>
        </w:tc>
        <w:tc>
          <w:tcPr>
            <w:tcW w:w="4346" w:type="dxa"/>
            <w:shd w:val="clear" w:color="auto" w:fill="auto"/>
            <w:vAlign w:val="center"/>
            <w:hideMark/>
          </w:tcPr>
          <w:p w14:paraId="03D69ADD"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Uso y Manejo de Armas de Fuego I, II, III, IV</w:t>
            </w:r>
          </w:p>
        </w:tc>
      </w:tr>
      <w:tr w:rsidR="00607F6E" w:rsidRPr="00A70C10" w14:paraId="2FD78ADA" w14:textId="77777777" w:rsidTr="006C0C0B">
        <w:trPr>
          <w:trHeight w:val="205"/>
        </w:trPr>
        <w:tc>
          <w:tcPr>
            <w:tcW w:w="3185" w:type="dxa"/>
            <w:vMerge w:val="restart"/>
            <w:shd w:val="clear" w:color="auto" w:fill="auto"/>
            <w:vAlign w:val="center"/>
            <w:hideMark/>
          </w:tcPr>
          <w:p w14:paraId="206208E3"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Derechos humanos y aplicación de la ley</w:t>
            </w:r>
          </w:p>
        </w:tc>
        <w:tc>
          <w:tcPr>
            <w:tcW w:w="4346" w:type="dxa"/>
            <w:shd w:val="clear" w:color="auto" w:fill="auto"/>
            <w:vAlign w:val="center"/>
            <w:hideMark/>
          </w:tcPr>
          <w:p w14:paraId="6BFBA436"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Derechos Humanos</w:t>
            </w:r>
          </w:p>
        </w:tc>
      </w:tr>
      <w:tr w:rsidR="00607F6E" w:rsidRPr="00A70C10" w14:paraId="7CD23786" w14:textId="77777777" w:rsidTr="006C0C0B">
        <w:trPr>
          <w:trHeight w:val="205"/>
        </w:trPr>
        <w:tc>
          <w:tcPr>
            <w:tcW w:w="3185" w:type="dxa"/>
            <w:vMerge/>
            <w:vAlign w:val="center"/>
            <w:hideMark/>
          </w:tcPr>
          <w:p w14:paraId="7AF6A1F0"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62AF5EBC"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Derecho de Policía</w:t>
            </w:r>
          </w:p>
        </w:tc>
      </w:tr>
      <w:tr w:rsidR="00607F6E" w:rsidRPr="00A70C10" w14:paraId="72F1CED8" w14:textId="77777777" w:rsidTr="006C0C0B">
        <w:trPr>
          <w:trHeight w:val="205"/>
        </w:trPr>
        <w:tc>
          <w:tcPr>
            <w:tcW w:w="3185" w:type="dxa"/>
            <w:vMerge/>
            <w:vAlign w:val="center"/>
            <w:hideMark/>
          </w:tcPr>
          <w:p w14:paraId="27A8F8BB"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185AEAE3"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Derecho Constitucional</w:t>
            </w:r>
          </w:p>
        </w:tc>
      </w:tr>
      <w:tr w:rsidR="00607F6E" w:rsidRPr="00A70C10" w14:paraId="13FB6DC1" w14:textId="77777777" w:rsidTr="006C0C0B">
        <w:trPr>
          <w:trHeight w:val="205"/>
        </w:trPr>
        <w:tc>
          <w:tcPr>
            <w:tcW w:w="3185" w:type="dxa"/>
            <w:vMerge/>
            <w:vAlign w:val="center"/>
            <w:hideMark/>
          </w:tcPr>
          <w:p w14:paraId="41992024"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2A72DFAB"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Derecho Civil</w:t>
            </w:r>
          </w:p>
        </w:tc>
      </w:tr>
      <w:tr w:rsidR="00607F6E" w:rsidRPr="00A70C10" w14:paraId="1CF5433F" w14:textId="77777777" w:rsidTr="006C0C0B">
        <w:trPr>
          <w:trHeight w:val="205"/>
        </w:trPr>
        <w:tc>
          <w:tcPr>
            <w:tcW w:w="3185" w:type="dxa"/>
            <w:vMerge/>
            <w:vAlign w:val="center"/>
            <w:hideMark/>
          </w:tcPr>
          <w:p w14:paraId="2FAE354B"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493F5038"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Derecho Administrativo</w:t>
            </w:r>
          </w:p>
        </w:tc>
      </w:tr>
      <w:tr w:rsidR="00607F6E" w:rsidRPr="00A70C10" w14:paraId="4F43BCEA" w14:textId="77777777" w:rsidTr="006C0C0B">
        <w:trPr>
          <w:trHeight w:val="205"/>
        </w:trPr>
        <w:tc>
          <w:tcPr>
            <w:tcW w:w="3185" w:type="dxa"/>
            <w:vMerge/>
            <w:vAlign w:val="center"/>
            <w:hideMark/>
          </w:tcPr>
          <w:p w14:paraId="082185A2"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09103EBE"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Derecho Penal I, II</w:t>
            </w:r>
          </w:p>
        </w:tc>
      </w:tr>
      <w:tr w:rsidR="00607F6E" w:rsidRPr="00A70C10" w14:paraId="2FE34449" w14:textId="77777777" w:rsidTr="006C0C0B">
        <w:trPr>
          <w:trHeight w:val="205"/>
        </w:trPr>
        <w:tc>
          <w:tcPr>
            <w:tcW w:w="3185" w:type="dxa"/>
            <w:vMerge/>
            <w:vAlign w:val="center"/>
            <w:hideMark/>
          </w:tcPr>
          <w:p w14:paraId="74B33831"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1A7FB22E"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Derecho Procesal Penal I, II</w:t>
            </w:r>
          </w:p>
        </w:tc>
      </w:tr>
      <w:tr w:rsidR="00607F6E" w:rsidRPr="00A70C10" w14:paraId="7B3BCC36" w14:textId="77777777" w:rsidTr="006C0C0B">
        <w:trPr>
          <w:trHeight w:val="205"/>
        </w:trPr>
        <w:tc>
          <w:tcPr>
            <w:tcW w:w="3185" w:type="dxa"/>
            <w:vMerge/>
            <w:vAlign w:val="center"/>
            <w:hideMark/>
          </w:tcPr>
          <w:p w14:paraId="3CBF797D"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18A48981"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Legislación de Menores</w:t>
            </w:r>
          </w:p>
        </w:tc>
      </w:tr>
      <w:tr w:rsidR="00607F6E" w:rsidRPr="00A70C10" w14:paraId="18036322" w14:textId="77777777" w:rsidTr="006C0C0B">
        <w:trPr>
          <w:trHeight w:val="205"/>
        </w:trPr>
        <w:tc>
          <w:tcPr>
            <w:tcW w:w="3185" w:type="dxa"/>
            <w:vMerge/>
            <w:vAlign w:val="center"/>
            <w:hideMark/>
          </w:tcPr>
          <w:p w14:paraId="40163638"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2F2ACCE6"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Legislación Policial</w:t>
            </w:r>
          </w:p>
        </w:tc>
      </w:tr>
      <w:tr w:rsidR="00607F6E" w:rsidRPr="00A70C10" w14:paraId="1E1D5ACC" w14:textId="77777777" w:rsidTr="006C0C0B">
        <w:trPr>
          <w:trHeight w:val="205"/>
        </w:trPr>
        <w:tc>
          <w:tcPr>
            <w:tcW w:w="3185" w:type="dxa"/>
            <w:vMerge/>
            <w:vAlign w:val="center"/>
            <w:hideMark/>
          </w:tcPr>
          <w:p w14:paraId="54FEBF14" w14:textId="77777777" w:rsidR="00607F6E" w:rsidRPr="00A70C10" w:rsidRDefault="00607F6E" w:rsidP="006C0C0B">
            <w:pPr>
              <w:pStyle w:val="NoSpacing"/>
              <w:rPr>
                <w:rFonts w:ascii="Garamond" w:hAnsi="Garamond"/>
                <w:sz w:val="18"/>
                <w:szCs w:val="18"/>
                <w:lang w:eastAsia="es-PE"/>
              </w:rPr>
            </w:pPr>
          </w:p>
        </w:tc>
        <w:tc>
          <w:tcPr>
            <w:tcW w:w="4346" w:type="dxa"/>
            <w:shd w:val="clear" w:color="auto" w:fill="auto"/>
            <w:vAlign w:val="center"/>
            <w:hideMark/>
          </w:tcPr>
          <w:p w14:paraId="4BF55727" w14:textId="77777777" w:rsidR="00607F6E" w:rsidRPr="00A70C10" w:rsidRDefault="00607F6E" w:rsidP="006C0C0B">
            <w:pPr>
              <w:pStyle w:val="NoSpacing"/>
              <w:rPr>
                <w:rFonts w:ascii="Garamond" w:hAnsi="Garamond"/>
                <w:sz w:val="18"/>
                <w:szCs w:val="18"/>
                <w:lang w:eastAsia="es-PE"/>
              </w:rPr>
            </w:pPr>
            <w:r w:rsidRPr="00A70C10">
              <w:rPr>
                <w:rFonts w:ascii="Garamond" w:hAnsi="Garamond"/>
                <w:sz w:val="18"/>
                <w:szCs w:val="18"/>
                <w:lang w:eastAsia="es-PE"/>
              </w:rPr>
              <w:t>- Código Penal Militar Policial</w:t>
            </w:r>
          </w:p>
        </w:tc>
      </w:tr>
    </w:tbl>
    <w:p w14:paraId="4FB47AEF" w14:textId="0EAF6923" w:rsidR="00607F6E" w:rsidRPr="00607F6E" w:rsidRDefault="00607F6E" w:rsidP="00CA737A">
      <w:pPr>
        <w:autoSpaceDE w:val="0"/>
        <w:autoSpaceDN w:val="0"/>
        <w:adjustRightInd w:val="0"/>
        <w:spacing w:after="0" w:line="240" w:lineRule="auto"/>
        <w:rPr>
          <w:rFonts w:ascii="TimesNewRomanPSMT" w:hAnsi="TimesNewRomanPSMT" w:cs="TimesNewRomanPSMT"/>
          <w:lang w:val="es-ES_tradnl"/>
        </w:rPr>
      </w:pPr>
    </w:p>
    <w:sectPr w:rsidR="00607F6E" w:rsidRPr="00607F6E">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B00752" w14:textId="77777777" w:rsidR="00583A6C" w:rsidRDefault="00583A6C" w:rsidP="007B1132">
      <w:pPr>
        <w:spacing w:after="0" w:line="240" w:lineRule="auto"/>
      </w:pPr>
      <w:r>
        <w:separator/>
      </w:r>
    </w:p>
  </w:endnote>
  <w:endnote w:type="continuationSeparator" w:id="0">
    <w:p w14:paraId="714F59E0" w14:textId="77777777" w:rsidR="00583A6C" w:rsidRDefault="00583A6C" w:rsidP="007B1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8921211"/>
      <w:docPartObj>
        <w:docPartGallery w:val="Page Numbers (Bottom of Page)"/>
        <w:docPartUnique/>
      </w:docPartObj>
    </w:sdtPr>
    <w:sdtEndPr>
      <w:rPr>
        <w:noProof/>
      </w:rPr>
    </w:sdtEndPr>
    <w:sdtContent>
      <w:p w14:paraId="7C5FB282" w14:textId="288C1F78" w:rsidR="002F1757" w:rsidRDefault="002F1757">
        <w:pPr>
          <w:pStyle w:val="Footer"/>
          <w:jc w:val="center"/>
        </w:pPr>
        <w:r>
          <w:fldChar w:fldCharType="begin"/>
        </w:r>
        <w:r>
          <w:instrText xml:space="preserve"> PAGE   \* MERGEFORMAT </w:instrText>
        </w:r>
        <w:r>
          <w:fldChar w:fldCharType="separate"/>
        </w:r>
        <w:r w:rsidR="00A63F2D">
          <w:rPr>
            <w:noProof/>
          </w:rPr>
          <w:t>2</w:t>
        </w:r>
        <w:r>
          <w:rPr>
            <w:noProof/>
          </w:rPr>
          <w:fldChar w:fldCharType="end"/>
        </w:r>
      </w:p>
    </w:sdtContent>
  </w:sdt>
  <w:p w14:paraId="7E503041" w14:textId="77777777" w:rsidR="002F1757" w:rsidRDefault="002F1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DF50C" w14:textId="77777777" w:rsidR="00583A6C" w:rsidRDefault="00583A6C" w:rsidP="007B1132">
      <w:pPr>
        <w:spacing w:after="0" w:line="240" w:lineRule="auto"/>
      </w:pPr>
      <w:r>
        <w:separator/>
      </w:r>
    </w:p>
  </w:footnote>
  <w:footnote w:type="continuationSeparator" w:id="0">
    <w:p w14:paraId="2731EA33" w14:textId="77777777" w:rsidR="00583A6C" w:rsidRDefault="00583A6C" w:rsidP="007B1132">
      <w:pPr>
        <w:spacing w:after="0" w:line="240" w:lineRule="auto"/>
      </w:pPr>
      <w:r>
        <w:continuationSeparator/>
      </w:r>
    </w:p>
  </w:footnote>
  <w:footnote w:id="1">
    <w:p w14:paraId="405F40DD" w14:textId="7BAEE32A" w:rsidR="002F1757" w:rsidRPr="001602C3" w:rsidRDefault="002F1757">
      <w:pPr>
        <w:pStyle w:val="FootnoteText"/>
        <w:rPr>
          <w:rFonts w:ascii="Arial" w:hAnsi="Arial" w:cs="Arial"/>
          <w:sz w:val="18"/>
          <w:szCs w:val="18"/>
          <w:lang w:val="es-ES_tradnl"/>
        </w:rPr>
      </w:pPr>
      <w:r>
        <w:rPr>
          <w:rStyle w:val="FootnoteReference"/>
        </w:rPr>
        <w:footnoteRef/>
      </w:r>
      <w:r w:rsidRPr="00DF5B3C">
        <w:rPr>
          <w:lang w:val="es-ES_tradnl"/>
        </w:rPr>
        <w:t xml:space="preserve"> </w:t>
      </w:r>
      <w:r w:rsidRPr="001602C3">
        <w:rPr>
          <w:rFonts w:ascii="Arial" w:hAnsi="Arial" w:cs="Arial"/>
          <w:sz w:val="18"/>
          <w:szCs w:val="18"/>
          <w:lang w:val="es-ES_tradnl"/>
        </w:rPr>
        <w:t>Todos los países miembros de la región respaldaron la Declaración Universal de los Derechos Humanos (1948), la Convención sobre la Eliminación de Todas las Formas de Discriminación contra la Mujer (1979), la Convención Interamericana para Prevenir, Sancionar y Erradicar</w:t>
      </w:r>
      <w:r>
        <w:rPr>
          <w:rFonts w:ascii="Arial" w:hAnsi="Arial" w:cs="Arial"/>
          <w:sz w:val="18"/>
          <w:szCs w:val="18"/>
          <w:lang w:val="es-ES_tradnl"/>
        </w:rPr>
        <w:t xml:space="preserve"> la Violencia contra las</w:t>
      </w:r>
      <w:r w:rsidRPr="001602C3">
        <w:rPr>
          <w:rFonts w:ascii="Arial" w:hAnsi="Arial" w:cs="Arial"/>
          <w:sz w:val="18"/>
          <w:szCs w:val="18"/>
          <w:lang w:val="es-ES_tradnl"/>
        </w:rPr>
        <w:t xml:space="preserve"> Mujeres (1994), el Programa de Acción de la Conferencia Internacional sobre Población y Desarrollo (1994), la Plataforma de Acción de la Cuarta Conferencia Mundial sobre la Mujer (1995) y los Objetivos de Desarrollo del Milenio (2000).</w:t>
      </w:r>
    </w:p>
  </w:footnote>
  <w:footnote w:id="2">
    <w:p w14:paraId="21484251" w14:textId="77777777" w:rsidR="002F1757" w:rsidRPr="001602C3" w:rsidRDefault="002F1757">
      <w:pPr>
        <w:pStyle w:val="FootnoteText"/>
        <w:rPr>
          <w:rFonts w:ascii="Arial" w:hAnsi="Arial" w:cs="Arial"/>
          <w:sz w:val="18"/>
          <w:szCs w:val="18"/>
          <w:lang w:val="es-ES_tradnl"/>
        </w:rPr>
      </w:pPr>
      <w:r>
        <w:rPr>
          <w:rStyle w:val="FootnoteReference"/>
        </w:rPr>
        <w:footnoteRef/>
      </w:r>
      <w:r w:rsidRPr="00DF5B3C">
        <w:rPr>
          <w:lang w:val="es-ES_tradnl"/>
        </w:rPr>
        <w:t xml:space="preserve">  </w:t>
      </w:r>
      <w:r w:rsidRPr="001602C3">
        <w:rPr>
          <w:rFonts w:ascii="Arial" w:hAnsi="Arial" w:cs="Arial"/>
          <w:sz w:val="18"/>
          <w:szCs w:val="18"/>
          <w:lang w:val="es-ES_tradnl"/>
        </w:rPr>
        <w:t>Cuando las mujeres y los hombres disfrutan de las mismas condiciones y oportunidades para ejercer sus derechos y alcanzar su potencial social, económico, político y cultural. La búsqueda de la igualdad requiere acciones dirigidas a la equidad, lo que implica proporcionar y distribuir beneficios y / o recursos de una manera que reduzca las brechas existentes, a la vez que reconoce que estas brechas pueden dañar tanto a mujeres como a hombres.</w:t>
      </w:r>
    </w:p>
  </w:footnote>
  <w:footnote w:id="3">
    <w:p w14:paraId="6C24F218" w14:textId="77777777" w:rsidR="002F1757" w:rsidRPr="00C7333C" w:rsidRDefault="002F1757">
      <w:pPr>
        <w:pStyle w:val="FootnoteText"/>
        <w:rPr>
          <w:lang w:val="es-ES_tradnl"/>
        </w:rPr>
      </w:pPr>
      <w:r>
        <w:rPr>
          <w:rStyle w:val="FootnoteReference"/>
        </w:rPr>
        <w:footnoteRef/>
      </w:r>
      <w:r w:rsidRPr="00C7333C">
        <w:rPr>
          <w:lang w:val="es-ES_tradnl"/>
        </w:rPr>
        <w:t xml:space="preserve">  </w:t>
      </w:r>
      <w:r w:rsidRPr="001602C3">
        <w:rPr>
          <w:rFonts w:ascii="Arial" w:hAnsi="Arial" w:cs="Arial"/>
          <w:sz w:val="18"/>
          <w:szCs w:val="18"/>
          <w:lang w:val="es-ES_tradnl"/>
        </w:rPr>
        <w:t>Banco Mundial 2007. Informe de Seguimiento Mundial 2007: Enfrentando los Desafíos de la Igualdad de Género y Estados Frágiles, citado en GN-2531-6.</w:t>
      </w:r>
    </w:p>
  </w:footnote>
  <w:footnote w:id="4">
    <w:p w14:paraId="6068664C" w14:textId="77777777" w:rsidR="002F1757" w:rsidRPr="00B04888" w:rsidRDefault="002F1757">
      <w:pPr>
        <w:pStyle w:val="FootnoteText"/>
        <w:rPr>
          <w:lang w:val="es-ES_tradnl"/>
        </w:rPr>
      </w:pPr>
      <w:r>
        <w:rPr>
          <w:rStyle w:val="FootnoteReference"/>
        </w:rPr>
        <w:footnoteRef/>
      </w:r>
      <w:r w:rsidRPr="00B04888">
        <w:rPr>
          <w:lang w:val="es-ES_tradnl"/>
        </w:rPr>
        <w:t xml:space="preserve"> </w:t>
      </w:r>
      <w:r w:rsidRPr="001602C3">
        <w:rPr>
          <w:rFonts w:ascii="Arial" w:hAnsi="Arial" w:cs="Arial"/>
          <w:sz w:val="18"/>
          <w:szCs w:val="18"/>
          <w:lang w:val="es-ES_tradnl"/>
        </w:rPr>
        <w:t>Plan Nacional Contra la Violencia de Genero 2016-2021</w:t>
      </w:r>
    </w:p>
  </w:footnote>
  <w:footnote w:id="5">
    <w:p w14:paraId="20295AE3" w14:textId="77777777" w:rsidR="002F1757" w:rsidRPr="004146F5" w:rsidRDefault="002F1757">
      <w:pPr>
        <w:pStyle w:val="FootnoteText"/>
        <w:rPr>
          <w:lang w:val="es-ES_tradnl"/>
        </w:rPr>
      </w:pPr>
      <w:r>
        <w:rPr>
          <w:rStyle w:val="FootnoteReference"/>
        </w:rPr>
        <w:footnoteRef/>
      </w:r>
      <w:r w:rsidRPr="004146F5">
        <w:rPr>
          <w:lang w:val="es-ES_tradnl"/>
        </w:rPr>
        <w:t xml:space="preserve"> </w:t>
      </w:r>
      <w:r w:rsidRPr="001602C3">
        <w:rPr>
          <w:rFonts w:ascii="Arial" w:hAnsi="Arial" w:cs="Arial"/>
          <w:sz w:val="18"/>
          <w:szCs w:val="18"/>
          <w:lang w:val="es-ES_tradnl"/>
        </w:rPr>
        <w:t>Propuesta de Desarrollo de la Operación, Matriz de Resultados, PE-L1224.</w:t>
      </w:r>
    </w:p>
  </w:footnote>
  <w:footnote w:id="6">
    <w:p w14:paraId="58D73506" w14:textId="30C8F912" w:rsidR="002F1757" w:rsidRPr="006A2E66" w:rsidRDefault="002F1757">
      <w:pPr>
        <w:pStyle w:val="FootnoteText"/>
        <w:rPr>
          <w:lang w:val="es-ES_tradnl"/>
        </w:rPr>
      </w:pPr>
      <w:r>
        <w:rPr>
          <w:rStyle w:val="FootnoteReference"/>
        </w:rPr>
        <w:footnoteRef/>
      </w:r>
      <w:r w:rsidRPr="006A2E66">
        <w:rPr>
          <w:rFonts w:ascii="Arial" w:hAnsi="Arial" w:cs="Arial"/>
          <w:spacing w:val="-3"/>
          <w:sz w:val="18"/>
          <w:szCs w:val="18"/>
          <w:lang w:val="es-ES_tradnl"/>
        </w:rPr>
        <w:t xml:space="preserve"> “datos personales” a toda información sobre una persona natural que la identifica o la hace identificable y a “bancos de datos personales” como el conjunto organizado de datos personales, independientemente del soporte y cualquiera sea la forma o modalidad de su creación, formación, almacenamiento, organización y acceso. </w:t>
      </w:r>
    </w:p>
  </w:footnote>
  <w:footnote w:id="7">
    <w:p w14:paraId="3C60CBCD" w14:textId="77777777" w:rsidR="002F1757" w:rsidRPr="001602C3" w:rsidRDefault="002F1757" w:rsidP="00693B42">
      <w:pPr>
        <w:pStyle w:val="FootnoteText"/>
        <w:rPr>
          <w:rFonts w:ascii="Arial" w:hAnsi="Arial" w:cs="Arial"/>
          <w:spacing w:val="-3"/>
          <w:sz w:val="18"/>
          <w:szCs w:val="18"/>
          <w:lang w:val="es-ES_tradnl"/>
        </w:rPr>
      </w:pPr>
      <w:r>
        <w:rPr>
          <w:rStyle w:val="FootnoteReference"/>
        </w:rPr>
        <w:footnoteRef/>
      </w:r>
      <w:r w:rsidRPr="0041792D">
        <w:rPr>
          <w:lang w:val="es-ES_tradnl"/>
        </w:rPr>
        <w:t xml:space="preserve"> </w:t>
      </w:r>
      <w:r w:rsidRPr="001602C3">
        <w:rPr>
          <w:rFonts w:ascii="Arial" w:hAnsi="Arial" w:cs="Arial"/>
          <w:spacing w:val="-3"/>
          <w:sz w:val="18"/>
          <w:szCs w:val="18"/>
          <w:lang w:val="es-ES_tradnl"/>
        </w:rPr>
        <w:t>Ministerio de la Mujer y Poblaciones Vulnerables, https://www.mimp.gob.pe/</w:t>
      </w:r>
    </w:p>
  </w:footnote>
  <w:footnote w:id="8">
    <w:p w14:paraId="6D9071CE" w14:textId="77777777" w:rsidR="002F1757" w:rsidRPr="001602C3" w:rsidRDefault="002F1757">
      <w:pPr>
        <w:pStyle w:val="FootnoteText"/>
        <w:rPr>
          <w:rFonts w:ascii="Arial" w:hAnsi="Arial" w:cs="Arial"/>
          <w:spacing w:val="-3"/>
          <w:sz w:val="18"/>
          <w:szCs w:val="18"/>
          <w:lang w:val="es-ES_tradnl"/>
        </w:rPr>
      </w:pPr>
      <w:r>
        <w:rPr>
          <w:rStyle w:val="FootnoteReference"/>
        </w:rPr>
        <w:footnoteRef/>
      </w:r>
      <w:r w:rsidRPr="00B76912">
        <w:rPr>
          <w:lang w:val="es-ES_tradnl"/>
        </w:rPr>
        <w:t xml:space="preserve"> </w:t>
      </w:r>
      <w:r w:rsidRPr="00B76912">
        <w:rPr>
          <w:rFonts w:ascii="Arial" w:hAnsi="Arial" w:cs="Arial"/>
          <w:spacing w:val="-3"/>
          <w:sz w:val="18"/>
          <w:szCs w:val="18"/>
          <w:lang w:val="es-ES_tradnl"/>
        </w:rPr>
        <w:t xml:space="preserve">El modelo de policía comunitaria, definido por la PNP, hace referencia a una policía próxima a la ciudadanía, con recursos concentrados en sus comisarías, para atender mejor las demandas de seguridad. Incluye: (i) actividades preventivas dentro de un área geográfica reducida; (ii) relaciones estrechas con la comunidad; (iii) esfuerzos por movilizar a la comunidad para desarrollar acciones preventivas conjuntas; y (iv) estudio de las condiciones y circunstancias que favorecen la delincuencia, incluyendo su análisis estadístico. </w:t>
      </w:r>
      <w:r w:rsidRPr="00A019BB">
        <w:rPr>
          <w:rFonts w:ascii="Arial" w:hAnsi="Arial" w:cs="Arial"/>
          <w:spacing w:val="-3"/>
          <w:sz w:val="18"/>
          <w:szCs w:val="18"/>
          <w:lang w:val="es-ES_tradnl"/>
        </w:rPr>
        <w:t>Fuente:</w:t>
      </w:r>
      <w:r w:rsidRPr="001602C3">
        <w:rPr>
          <w:rFonts w:ascii="Arial" w:hAnsi="Arial" w:cs="Arial"/>
          <w:spacing w:val="-3"/>
          <w:sz w:val="18"/>
          <w:szCs w:val="18"/>
          <w:lang w:val="es-ES_tradnl"/>
        </w:rPr>
        <w:t xml:space="preserve"> </w:t>
      </w:r>
      <w:r w:rsidRPr="00A019BB">
        <w:rPr>
          <w:rFonts w:ascii="Arial" w:hAnsi="Arial" w:cs="Arial"/>
          <w:spacing w:val="-3"/>
          <w:sz w:val="18"/>
          <w:szCs w:val="18"/>
          <w:lang w:val="es-ES_tradnl"/>
        </w:rPr>
        <w:t>Diagnóstico Perfil de Inversión Pública Barrio Seguro, Trans100d, 2017</w:t>
      </w:r>
    </w:p>
  </w:footnote>
  <w:footnote w:id="9">
    <w:p w14:paraId="596AE6A4" w14:textId="77777777" w:rsidR="002F1757" w:rsidRPr="007B1132" w:rsidRDefault="002F1757">
      <w:pPr>
        <w:pStyle w:val="FootnoteText"/>
        <w:rPr>
          <w:lang w:val="es-ES_tradnl"/>
        </w:rPr>
      </w:pPr>
      <w:r>
        <w:rPr>
          <w:rStyle w:val="FootnoteReference"/>
        </w:rPr>
        <w:footnoteRef/>
      </w:r>
      <w:r w:rsidRPr="007B1132">
        <w:rPr>
          <w:lang w:val="es-ES_tradnl"/>
        </w:rPr>
        <w:t xml:space="preserve"> </w:t>
      </w:r>
      <w:r w:rsidRPr="001602C3">
        <w:rPr>
          <w:rFonts w:ascii="Arial" w:hAnsi="Arial" w:cs="Arial"/>
          <w:sz w:val="18"/>
          <w:szCs w:val="18"/>
          <w:lang w:val="es-ES_tradnl"/>
        </w:rPr>
        <w:t>Fuente: Violencia Contra las Mujeres en América Latina y el Caribe; Análisis Comparativo de Datos Poblacionales de 12 Países. Organización Panamericana de la Salud (OPS, 2012).</w:t>
      </w:r>
    </w:p>
  </w:footnote>
  <w:footnote w:id="10">
    <w:p w14:paraId="751F16B0" w14:textId="77777777" w:rsidR="002F1757" w:rsidRPr="001602C3" w:rsidRDefault="002F1757">
      <w:pPr>
        <w:pStyle w:val="FootnoteText"/>
        <w:rPr>
          <w:rFonts w:ascii="Arial" w:hAnsi="Arial" w:cs="Arial"/>
          <w:sz w:val="18"/>
          <w:szCs w:val="18"/>
          <w:lang w:val="es-ES_tradnl"/>
        </w:rPr>
      </w:pPr>
      <w:r>
        <w:rPr>
          <w:rStyle w:val="FootnoteReference"/>
        </w:rPr>
        <w:footnoteRef/>
      </w:r>
      <w:r w:rsidRPr="00002B72">
        <w:rPr>
          <w:lang w:val="es-ES_tradnl"/>
        </w:rPr>
        <w:t xml:space="preserve"> </w:t>
      </w:r>
      <w:r w:rsidRPr="001602C3">
        <w:rPr>
          <w:rFonts w:ascii="Arial" w:hAnsi="Arial" w:cs="Arial"/>
          <w:sz w:val="18"/>
          <w:szCs w:val="18"/>
          <w:lang w:val="es-ES_tradnl"/>
        </w:rPr>
        <w:t>Sistema Integrado de Estadísticas de la Criminalidad y Seguridad Ciudadana, 2016.</w:t>
      </w:r>
    </w:p>
  </w:footnote>
  <w:footnote w:id="11">
    <w:p w14:paraId="44B65A78" w14:textId="77777777" w:rsidR="002F1757" w:rsidRPr="001602C3" w:rsidRDefault="002F1757">
      <w:pPr>
        <w:pStyle w:val="FootnoteText"/>
        <w:rPr>
          <w:rFonts w:ascii="Arial" w:hAnsi="Arial" w:cs="Arial"/>
          <w:sz w:val="18"/>
          <w:szCs w:val="18"/>
          <w:lang w:val="es-ES_tradnl"/>
        </w:rPr>
      </w:pPr>
      <w:r w:rsidRPr="001602C3">
        <w:rPr>
          <w:rStyle w:val="FootnoteReference"/>
          <w:rFonts w:ascii="Arial" w:hAnsi="Arial" w:cs="Arial"/>
          <w:sz w:val="18"/>
          <w:szCs w:val="18"/>
        </w:rPr>
        <w:footnoteRef/>
      </w:r>
      <w:r w:rsidRPr="001602C3">
        <w:rPr>
          <w:rFonts w:ascii="Arial" w:hAnsi="Arial" w:cs="Arial"/>
          <w:sz w:val="18"/>
          <w:szCs w:val="18"/>
          <w:lang w:val="es-ES_tradnl"/>
        </w:rPr>
        <w:t xml:space="preserve"> Ipsos Peru, 2016. </w:t>
      </w:r>
    </w:p>
  </w:footnote>
  <w:footnote w:id="12">
    <w:p w14:paraId="1CDEC63A" w14:textId="77777777" w:rsidR="002F1757" w:rsidRPr="001602C3" w:rsidRDefault="002F1757" w:rsidP="004A3C20">
      <w:pPr>
        <w:pStyle w:val="Heading1"/>
        <w:shd w:val="clear" w:color="auto" w:fill="FFFFFF"/>
        <w:spacing w:before="0" w:beforeAutospacing="0" w:after="0" w:afterAutospacing="0"/>
        <w:textAlignment w:val="baseline"/>
        <w:rPr>
          <w:rFonts w:ascii="Arial" w:eastAsiaTheme="minorHAnsi" w:hAnsi="Arial" w:cs="Arial"/>
          <w:b w:val="0"/>
          <w:bCs w:val="0"/>
          <w:kern w:val="0"/>
          <w:sz w:val="18"/>
          <w:szCs w:val="18"/>
          <w:lang w:val="es-ES_tradnl"/>
        </w:rPr>
      </w:pPr>
      <w:r w:rsidRPr="001602C3">
        <w:rPr>
          <w:rStyle w:val="FootnoteReference"/>
          <w:rFonts w:ascii="Arial" w:eastAsiaTheme="minorHAnsi" w:hAnsi="Arial" w:cs="Arial"/>
          <w:b w:val="0"/>
          <w:bCs w:val="0"/>
          <w:kern w:val="0"/>
          <w:sz w:val="18"/>
          <w:szCs w:val="18"/>
        </w:rPr>
        <w:footnoteRef/>
      </w:r>
      <w:r w:rsidRPr="00932B0C">
        <w:rPr>
          <w:rStyle w:val="FootnoteReference"/>
          <w:rFonts w:eastAsiaTheme="minorHAnsi"/>
          <w:lang w:val="es-ES_tradnl"/>
        </w:rPr>
        <w:t xml:space="preserve"> </w:t>
      </w:r>
      <w:hyperlink r:id="rId1" w:history="1">
        <w:r w:rsidRPr="001602C3">
          <w:rPr>
            <w:rFonts w:ascii="Arial" w:eastAsiaTheme="minorHAnsi" w:hAnsi="Arial" w:cs="Arial"/>
            <w:b w:val="0"/>
            <w:kern w:val="0"/>
            <w:sz w:val="18"/>
            <w:szCs w:val="18"/>
            <w:lang w:val="es-ES_tradnl"/>
          </w:rPr>
          <w:t>¿Es la falta de confianza en las policías en América Latina y el Caribe una anomalía?</w:t>
        </w:r>
      </w:hyperlink>
      <w:r w:rsidRPr="001602C3">
        <w:rPr>
          <w:rFonts w:ascii="Arial" w:eastAsiaTheme="minorHAnsi" w:hAnsi="Arial" w:cs="Arial"/>
          <w:b w:val="0"/>
          <w:bCs w:val="0"/>
          <w:kern w:val="0"/>
          <w:sz w:val="18"/>
          <w:szCs w:val="18"/>
          <w:lang w:val="es-ES_tradnl"/>
        </w:rPr>
        <w:t>, Blog Sin Miedos https://blogs.iadb.org/sinmiedos/2016/04/28/confianza-en-policias/</w:t>
      </w:r>
    </w:p>
    <w:p w14:paraId="29676308" w14:textId="77777777" w:rsidR="002F1757" w:rsidRPr="00935FC3" w:rsidRDefault="002F1757" w:rsidP="004A3C20">
      <w:pPr>
        <w:pStyle w:val="FootnoteText"/>
        <w:rPr>
          <w:lang w:val="es-ES_tradnl"/>
        </w:rPr>
      </w:pPr>
    </w:p>
  </w:footnote>
  <w:footnote w:id="13">
    <w:p w14:paraId="22B9833D" w14:textId="77777777" w:rsidR="002F1757" w:rsidRPr="001602C3" w:rsidRDefault="002F1757">
      <w:pPr>
        <w:pStyle w:val="FootnoteText"/>
        <w:rPr>
          <w:rFonts w:ascii="Arial" w:hAnsi="Arial" w:cs="Arial"/>
          <w:sz w:val="18"/>
          <w:szCs w:val="18"/>
          <w:lang w:val="es-ES_tradnl"/>
        </w:rPr>
      </w:pPr>
      <w:r>
        <w:rPr>
          <w:rStyle w:val="FootnoteReference"/>
        </w:rPr>
        <w:footnoteRef/>
      </w:r>
      <w:r w:rsidRPr="00A019BB">
        <w:rPr>
          <w:lang w:val="es-ES_tradnl"/>
        </w:rPr>
        <w:t xml:space="preserve"> </w:t>
      </w:r>
      <w:r w:rsidRPr="001602C3">
        <w:rPr>
          <w:rFonts w:ascii="Arial" w:hAnsi="Arial" w:cs="Arial"/>
          <w:sz w:val="18"/>
          <w:szCs w:val="18"/>
          <w:lang w:val="es-ES_tradnl"/>
        </w:rPr>
        <w:t>USAID, 2012</w:t>
      </w:r>
    </w:p>
  </w:footnote>
  <w:footnote w:id="14">
    <w:p w14:paraId="25740238" w14:textId="77777777" w:rsidR="002F1757" w:rsidRPr="001602C3" w:rsidRDefault="002F1757" w:rsidP="004C38D8">
      <w:pPr>
        <w:pStyle w:val="FootnoteText"/>
        <w:rPr>
          <w:rFonts w:ascii="Arial" w:hAnsi="Arial" w:cs="Arial"/>
          <w:sz w:val="18"/>
          <w:szCs w:val="18"/>
          <w:lang w:val="es-ES_tradnl"/>
        </w:rPr>
      </w:pPr>
      <w:r w:rsidRPr="001602C3">
        <w:rPr>
          <w:rStyle w:val="FootnoteReference"/>
          <w:rFonts w:ascii="Arial" w:hAnsi="Arial" w:cs="Arial"/>
          <w:sz w:val="18"/>
          <w:szCs w:val="18"/>
        </w:rPr>
        <w:footnoteRef/>
      </w:r>
      <w:r w:rsidRPr="001602C3">
        <w:rPr>
          <w:rFonts w:ascii="Arial" w:hAnsi="Arial" w:cs="Arial"/>
          <w:sz w:val="18"/>
          <w:szCs w:val="18"/>
          <w:lang w:val="es-ES_tradnl"/>
        </w:rPr>
        <w:t xml:space="preserve"> Ver anexo con la table que contiene los cursos relacionados a policía comunitario</w:t>
      </w:r>
    </w:p>
  </w:footnote>
  <w:footnote w:id="15">
    <w:p w14:paraId="29E6AC27" w14:textId="77777777" w:rsidR="002F1757" w:rsidRPr="00932B0C" w:rsidRDefault="002F1757">
      <w:pPr>
        <w:pStyle w:val="FootnoteText"/>
        <w:rPr>
          <w:rFonts w:ascii="Arial" w:hAnsi="Arial" w:cs="Arial"/>
          <w:sz w:val="18"/>
          <w:szCs w:val="18"/>
          <w:lang w:val="es-ES_tradnl"/>
        </w:rPr>
      </w:pPr>
      <w:r w:rsidRPr="001602C3">
        <w:rPr>
          <w:rStyle w:val="FootnoteReference"/>
          <w:rFonts w:ascii="Arial" w:hAnsi="Arial" w:cs="Arial"/>
          <w:sz w:val="18"/>
          <w:szCs w:val="18"/>
        </w:rPr>
        <w:footnoteRef/>
      </w:r>
      <w:r w:rsidRPr="00932B0C">
        <w:rPr>
          <w:rFonts w:ascii="Arial" w:hAnsi="Arial" w:cs="Arial"/>
          <w:sz w:val="18"/>
          <w:szCs w:val="18"/>
          <w:lang w:val="es-ES_tradnl"/>
        </w:rPr>
        <w:t xml:space="preserve"> MININTER-ENFPP. 2017</w:t>
      </w:r>
    </w:p>
  </w:footnote>
  <w:footnote w:id="16">
    <w:p w14:paraId="11670D6B" w14:textId="54933C3E" w:rsidR="002F1757" w:rsidRPr="001602C3" w:rsidRDefault="002F1757">
      <w:pPr>
        <w:pStyle w:val="FootnoteText"/>
        <w:rPr>
          <w:rFonts w:ascii="Arial" w:hAnsi="Arial" w:cs="Arial"/>
          <w:sz w:val="18"/>
          <w:szCs w:val="18"/>
          <w:lang w:val="es-ES_tradnl"/>
        </w:rPr>
      </w:pPr>
      <w:r w:rsidRPr="001602C3">
        <w:rPr>
          <w:rStyle w:val="FootnoteReference"/>
          <w:rFonts w:ascii="Arial" w:hAnsi="Arial" w:cs="Arial"/>
          <w:sz w:val="18"/>
          <w:szCs w:val="18"/>
        </w:rPr>
        <w:footnoteRef/>
      </w:r>
      <w:r w:rsidRPr="001602C3">
        <w:rPr>
          <w:rFonts w:ascii="Arial" w:hAnsi="Arial" w:cs="Arial"/>
          <w:sz w:val="18"/>
          <w:szCs w:val="18"/>
          <w:lang w:val="es-ES_tradnl"/>
        </w:rPr>
        <w:t xml:space="preserve"> Inseguridad en el Perú. ¿Que Hacer? Costa y Romero 2011</w:t>
      </w:r>
    </w:p>
  </w:footnote>
  <w:footnote w:id="17">
    <w:p w14:paraId="397A6CA8" w14:textId="081EC35C" w:rsidR="002F1757" w:rsidRPr="00E3321F" w:rsidRDefault="002F1757">
      <w:pPr>
        <w:pStyle w:val="FootnoteText"/>
        <w:rPr>
          <w:lang w:val="es-ES_tradnl"/>
        </w:rPr>
      </w:pPr>
      <w:r w:rsidRPr="001602C3">
        <w:rPr>
          <w:rStyle w:val="FootnoteReference"/>
          <w:rFonts w:ascii="Arial" w:hAnsi="Arial" w:cs="Arial"/>
          <w:sz w:val="18"/>
          <w:szCs w:val="18"/>
        </w:rPr>
        <w:footnoteRef/>
      </w:r>
      <w:r w:rsidRPr="001602C3">
        <w:rPr>
          <w:rFonts w:ascii="Arial" w:hAnsi="Arial" w:cs="Arial"/>
          <w:sz w:val="18"/>
          <w:szCs w:val="18"/>
          <w:lang w:val="es-ES_tradnl"/>
        </w:rPr>
        <w:t xml:space="preserve"> Diagnostico Perfil de inversión Publica Barrio Seguro,Trans 100d,2017.</w:t>
      </w:r>
    </w:p>
  </w:footnote>
  <w:footnote w:id="18">
    <w:p w14:paraId="28A73802" w14:textId="77777777" w:rsidR="002F1757" w:rsidRPr="001602C3" w:rsidRDefault="002F1757">
      <w:pPr>
        <w:pStyle w:val="FootnoteText"/>
        <w:rPr>
          <w:rFonts w:ascii="Arial" w:hAnsi="Arial" w:cs="Arial"/>
          <w:sz w:val="18"/>
          <w:szCs w:val="18"/>
          <w:lang w:val="es-ES_tradnl"/>
        </w:rPr>
      </w:pPr>
      <w:r>
        <w:rPr>
          <w:rStyle w:val="FootnoteReference"/>
        </w:rPr>
        <w:footnoteRef/>
      </w:r>
      <w:r w:rsidRPr="00E3321F">
        <w:rPr>
          <w:lang w:val="es-ES_tradnl"/>
        </w:rPr>
        <w:t xml:space="preserve"> </w:t>
      </w:r>
      <w:r w:rsidRPr="001602C3">
        <w:rPr>
          <w:rFonts w:ascii="Arial" w:hAnsi="Arial" w:cs="Arial"/>
          <w:sz w:val="18"/>
          <w:szCs w:val="18"/>
          <w:lang w:val="es-ES_tradnl"/>
        </w:rPr>
        <w:t>Encuesta Barrio Seguro, 2017.</w:t>
      </w:r>
    </w:p>
  </w:footnote>
  <w:footnote w:id="19">
    <w:p w14:paraId="1996A47C" w14:textId="59B1D041" w:rsidR="002F1757" w:rsidRPr="001602C3" w:rsidRDefault="002F1757">
      <w:pPr>
        <w:pStyle w:val="FootnoteText"/>
        <w:rPr>
          <w:rFonts w:ascii="Arial" w:hAnsi="Arial" w:cs="Arial"/>
          <w:sz w:val="18"/>
          <w:szCs w:val="18"/>
          <w:lang w:val="es-ES_tradnl"/>
        </w:rPr>
      </w:pPr>
      <w:r w:rsidRPr="001602C3">
        <w:rPr>
          <w:rStyle w:val="FootnoteReference"/>
          <w:rFonts w:ascii="Arial" w:hAnsi="Arial" w:cs="Arial"/>
          <w:sz w:val="18"/>
          <w:szCs w:val="18"/>
        </w:rPr>
        <w:footnoteRef/>
      </w:r>
      <w:r w:rsidRPr="001602C3">
        <w:rPr>
          <w:rFonts w:ascii="Arial" w:hAnsi="Arial" w:cs="Arial"/>
          <w:sz w:val="18"/>
          <w:szCs w:val="18"/>
          <w:lang w:val="es-ES_tradnl"/>
        </w:rPr>
        <w:t xml:space="preserve"> Entrevista con Mariana Llona, Directora de Información del Ministerio del Interior.</w:t>
      </w:r>
    </w:p>
  </w:footnote>
  <w:footnote w:id="20">
    <w:p w14:paraId="321C6970" w14:textId="77777777" w:rsidR="002F1757" w:rsidRPr="001602C3" w:rsidRDefault="002F1757">
      <w:pPr>
        <w:pStyle w:val="FootnoteText"/>
        <w:rPr>
          <w:rFonts w:ascii="Arial" w:hAnsi="Arial" w:cs="Arial"/>
          <w:sz w:val="18"/>
          <w:szCs w:val="18"/>
          <w:lang w:val="es-ES_tradnl"/>
        </w:rPr>
      </w:pPr>
      <w:r w:rsidRPr="001602C3">
        <w:rPr>
          <w:rStyle w:val="FootnoteReference"/>
          <w:rFonts w:ascii="Arial" w:hAnsi="Arial" w:cs="Arial"/>
          <w:sz w:val="18"/>
          <w:szCs w:val="18"/>
        </w:rPr>
        <w:footnoteRef/>
      </w:r>
      <w:r w:rsidRPr="001602C3">
        <w:rPr>
          <w:rFonts w:ascii="Arial" w:hAnsi="Arial" w:cs="Arial"/>
          <w:sz w:val="18"/>
          <w:szCs w:val="18"/>
          <w:lang w:val="es-ES_tradnl"/>
        </w:rPr>
        <w:t xml:space="preserve"> CENACOM, 2016.</w:t>
      </w:r>
    </w:p>
  </w:footnote>
  <w:footnote w:id="21">
    <w:p w14:paraId="012237FA" w14:textId="790CF76A" w:rsidR="002F1757" w:rsidRPr="001602C3" w:rsidRDefault="002F1757">
      <w:pPr>
        <w:pStyle w:val="FootnoteText"/>
        <w:rPr>
          <w:rFonts w:ascii="Arial" w:hAnsi="Arial" w:cs="Arial"/>
          <w:sz w:val="18"/>
          <w:szCs w:val="18"/>
          <w:lang w:val="es-ES_tradnl"/>
        </w:rPr>
      </w:pPr>
      <w:r w:rsidRPr="001602C3">
        <w:rPr>
          <w:rStyle w:val="FootnoteReference"/>
          <w:rFonts w:ascii="Arial" w:hAnsi="Arial" w:cs="Arial"/>
          <w:sz w:val="18"/>
          <w:szCs w:val="18"/>
        </w:rPr>
        <w:footnoteRef/>
      </w:r>
      <w:r w:rsidRPr="001602C3">
        <w:rPr>
          <w:rFonts w:ascii="Arial" w:hAnsi="Arial" w:cs="Arial"/>
          <w:sz w:val="18"/>
          <w:szCs w:val="18"/>
          <w:lang w:val="es-ES_tradnl"/>
        </w:rPr>
        <w:t xml:space="preserve"> Informe de estudio: Familia, Roles de Género y Violencia de Genero, Pontificia Universidad Católica del Perú, 2014.</w:t>
      </w:r>
    </w:p>
  </w:footnote>
  <w:footnote w:id="22">
    <w:p w14:paraId="421A9477" w14:textId="435E79C3" w:rsidR="002F1757" w:rsidRPr="008A29B4" w:rsidRDefault="002F1757">
      <w:pPr>
        <w:pStyle w:val="FootnoteText"/>
        <w:rPr>
          <w:lang w:val="es-ES_tradnl"/>
        </w:rPr>
      </w:pPr>
      <w:r w:rsidRPr="001602C3">
        <w:rPr>
          <w:rStyle w:val="FootnoteReference"/>
          <w:rFonts w:ascii="Arial" w:hAnsi="Arial" w:cs="Arial"/>
          <w:sz w:val="18"/>
          <w:szCs w:val="18"/>
        </w:rPr>
        <w:footnoteRef/>
      </w:r>
      <w:r w:rsidRPr="001602C3">
        <w:rPr>
          <w:rFonts w:ascii="Arial" w:hAnsi="Arial" w:cs="Arial"/>
          <w:sz w:val="18"/>
          <w:szCs w:val="18"/>
          <w:lang w:val="es-ES_tradnl"/>
        </w:rPr>
        <w:t xml:space="preserve"> </w:t>
      </w:r>
      <w:r w:rsidRPr="001602C3">
        <w:rPr>
          <w:rFonts w:ascii="Arial" w:hAnsi="Arial" w:cs="Arial"/>
          <w:sz w:val="18"/>
          <w:szCs w:val="18"/>
          <w:lang w:val="es-ES"/>
        </w:rPr>
        <w:t>Masculinidades: por el rol particular y las exigencias sociales asociadas con el ejercicio del poder, a los hombres se les exige ser fuertes, osados, conquistadores, estas “características” incrementan los riesgos de accidentes, violencia, enfermedades de transmisión sexual, etc.</w:t>
      </w:r>
      <w:r>
        <w:rPr>
          <w:lang w:val="es-ES"/>
        </w:rPr>
        <w:t xml:space="preserve"> </w:t>
      </w:r>
    </w:p>
  </w:footnote>
  <w:footnote w:id="23">
    <w:p w14:paraId="26317D8B" w14:textId="31B8E8C2" w:rsidR="002F1757" w:rsidRPr="001602C3" w:rsidRDefault="002F1757">
      <w:pPr>
        <w:pStyle w:val="FootnoteText"/>
        <w:rPr>
          <w:rFonts w:ascii="Arial" w:hAnsi="Arial" w:cs="Arial"/>
          <w:sz w:val="18"/>
          <w:szCs w:val="18"/>
          <w:lang w:val="es-ES_tradnl"/>
        </w:rPr>
      </w:pPr>
      <w:r w:rsidRPr="001602C3">
        <w:rPr>
          <w:rStyle w:val="FootnoteReference"/>
          <w:rFonts w:ascii="Arial" w:hAnsi="Arial" w:cs="Arial"/>
          <w:sz w:val="18"/>
          <w:szCs w:val="18"/>
        </w:rPr>
        <w:footnoteRef/>
      </w:r>
      <w:r w:rsidRPr="001602C3">
        <w:rPr>
          <w:rFonts w:ascii="Arial" w:hAnsi="Arial" w:cs="Arial"/>
          <w:sz w:val="18"/>
          <w:szCs w:val="18"/>
          <w:lang w:val="es-ES_tradnl"/>
        </w:rPr>
        <w:t xml:space="preserve"> De acuerdo con el Informe de la Defensoría del Pueblo, “Fortalecimiento de la Policía Nacional del Perú: Cinco áreas de atención urgente” (2009),</w:t>
      </w:r>
    </w:p>
  </w:footnote>
  <w:footnote w:id="24">
    <w:p w14:paraId="64922239" w14:textId="6BB97955" w:rsidR="002F1757" w:rsidRPr="001602C3" w:rsidRDefault="002F1757" w:rsidP="001602C3">
      <w:pPr>
        <w:spacing w:line="240" w:lineRule="auto"/>
        <w:rPr>
          <w:rFonts w:ascii="Arial" w:eastAsia="Times New Roman" w:hAnsi="Arial" w:cs="Arial"/>
          <w:color w:val="000000"/>
          <w:sz w:val="18"/>
          <w:szCs w:val="18"/>
          <w:lang w:val="es-ES_tradnl"/>
        </w:rPr>
      </w:pPr>
      <w:r w:rsidRPr="001602C3">
        <w:rPr>
          <w:rStyle w:val="FootnoteReference"/>
          <w:rFonts w:ascii="Arial" w:hAnsi="Arial" w:cs="Arial"/>
          <w:sz w:val="18"/>
          <w:szCs w:val="18"/>
        </w:rPr>
        <w:footnoteRef/>
      </w:r>
      <w:r w:rsidRPr="001602C3">
        <w:rPr>
          <w:rFonts w:ascii="Arial" w:hAnsi="Arial" w:cs="Arial"/>
          <w:sz w:val="18"/>
          <w:szCs w:val="18"/>
          <w:lang w:val="es-ES_tradnl"/>
        </w:rPr>
        <w:t xml:space="preserve">  Reglamento de Decreto legislativo No. 1267, Ley de la Policía Nacional del Perú. Artículo 4.- Funciones. Garantizar los   derechos   fundamentales de las</w:t>
      </w:r>
      <w:r w:rsidRPr="001602C3">
        <w:rPr>
          <w:rFonts w:ascii="Arial" w:eastAsia="Times New Roman" w:hAnsi="Arial" w:cs="Arial"/>
          <w:color w:val="000000"/>
          <w:sz w:val="18"/>
          <w:szCs w:val="18"/>
          <w:lang w:val="es-ES_tradnl"/>
        </w:rPr>
        <w:t xml:space="preserve"> </w:t>
      </w:r>
      <w:r w:rsidRPr="001602C3">
        <w:rPr>
          <w:rFonts w:ascii="Arial" w:hAnsi="Arial" w:cs="Arial"/>
          <w:sz w:val="18"/>
          <w:szCs w:val="18"/>
          <w:lang w:val="es-ES_tradnl"/>
        </w:rPr>
        <w:t>personas y la protección de sus bienes, privilegiando de</w:t>
      </w:r>
      <w:r w:rsidRPr="001602C3">
        <w:rPr>
          <w:rFonts w:ascii="Arial" w:eastAsia="Times New Roman" w:hAnsi="Arial" w:cs="Arial"/>
          <w:color w:val="000000"/>
          <w:sz w:val="18"/>
          <w:szCs w:val="18"/>
          <w:lang w:val="es-ES_tradnl"/>
        </w:rPr>
        <w:t xml:space="preserve"> </w:t>
      </w:r>
      <w:r w:rsidRPr="001602C3">
        <w:rPr>
          <w:rFonts w:ascii="Arial" w:hAnsi="Arial" w:cs="Arial"/>
          <w:sz w:val="18"/>
          <w:szCs w:val="18"/>
          <w:lang w:val="es-ES_tradnl"/>
        </w:rPr>
        <w:t>manera especial a la población en riesgo, vulnerabilidad y</w:t>
      </w:r>
      <w:r w:rsidRPr="001602C3">
        <w:rPr>
          <w:rFonts w:ascii="Arial" w:eastAsia="Times New Roman" w:hAnsi="Arial" w:cs="Arial"/>
          <w:color w:val="000000"/>
          <w:sz w:val="18"/>
          <w:szCs w:val="18"/>
          <w:lang w:val="es-ES_tradnl"/>
        </w:rPr>
        <w:t xml:space="preserve"> </w:t>
      </w:r>
      <w:r w:rsidRPr="001602C3">
        <w:rPr>
          <w:rFonts w:ascii="Arial" w:hAnsi="Arial" w:cs="Arial"/>
          <w:sz w:val="18"/>
          <w:szCs w:val="18"/>
          <w:lang w:val="es-ES_tradnl"/>
        </w:rPr>
        <w:t>en abandono moral y material, incorporando los enfoques</w:t>
      </w:r>
      <w:r w:rsidRPr="001602C3">
        <w:rPr>
          <w:rFonts w:ascii="Arial" w:eastAsia="Times New Roman" w:hAnsi="Arial" w:cs="Arial"/>
          <w:color w:val="000000"/>
          <w:sz w:val="18"/>
          <w:szCs w:val="18"/>
          <w:lang w:val="es-ES_tradnl"/>
        </w:rPr>
        <w:t xml:space="preserve"> </w:t>
      </w:r>
      <w:r w:rsidRPr="001602C3">
        <w:rPr>
          <w:rFonts w:ascii="Arial" w:hAnsi="Arial" w:cs="Arial"/>
          <w:sz w:val="18"/>
          <w:szCs w:val="18"/>
          <w:lang w:val="es-ES_tradnl"/>
        </w:rPr>
        <w:t>de derechos humanos, género e interculturalidad en sus</w:t>
      </w:r>
      <w:r w:rsidRPr="001602C3">
        <w:rPr>
          <w:rFonts w:ascii="Arial" w:eastAsia="Times New Roman" w:hAnsi="Arial" w:cs="Arial"/>
          <w:color w:val="000000"/>
          <w:sz w:val="18"/>
          <w:szCs w:val="18"/>
          <w:lang w:val="es-ES_tradnl"/>
        </w:rPr>
        <w:t xml:space="preserve"> </w:t>
      </w:r>
      <w:r w:rsidRPr="001602C3">
        <w:rPr>
          <w:rFonts w:ascii="Arial" w:hAnsi="Arial" w:cs="Arial"/>
          <w:sz w:val="18"/>
          <w:szCs w:val="18"/>
          <w:lang w:val="es-ES_tradnl"/>
        </w:rPr>
        <w:t>intervenciones.</w:t>
      </w:r>
    </w:p>
  </w:footnote>
  <w:footnote w:id="25">
    <w:p w14:paraId="2EB552FD" w14:textId="4CF3F2D3" w:rsidR="002F1757" w:rsidRPr="00B2714C" w:rsidRDefault="002F1757" w:rsidP="001602C3">
      <w:pPr>
        <w:pStyle w:val="FootnoteText"/>
        <w:rPr>
          <w:lang w:val="es-ES_tradnl"/>
        </w:rPr>
      </w:pPr>
      <w:r w:rsidRPr="001602C3">
        <w:rPr>
          <w:rStyle w:val="FootnoteReference"/>
          <w:rFonts w:ascii="Arial" w:hAnsi="Arial" w:cs="Arial"/>
          <w:sz w:val="18"/>
          <w:szCs w:val="18"/>
        </w:rPr>
        <w:footnoteRef/>
      </w:r>
      <w:r w:rsidRPr="001602C3">
        <w:rPr>
          <w:rFonts w:ascii="Arial" w:hAnsi="Arial" w:cs="Arial"/>
          <w:sz w:val="18"/>
          <w:szCs w:val="18"/>
          <w:lang w:val="es-ES_tradnl"/>
        </w:rPr>
        <w:t xml:space="preserve"> La Violencia contra las Muejres y las Ni</w:t>
      </w:r>
      <w:r>
        <w:rPr>
          <w:rFonts w:ascii="Arial" w:hAnsi="Arial" w:cs="Arial"/>
          <w:sz w:val="18"/>
          <w:szCs w:val="18"/>
          <w:lang w:val="es-ES_tradnl"/>
        </w:rPr>
        <w:t>ñ</w:t>
      </w:r>
      <w:r w:rsidRPr="001602C3">
        <w:rPr>
          <w:rFonts w:ascii="Arial" w:hAnsi="Arial" w:cs="Arial"/>
          <w:sz w:val="18"/>
          <w:szCs w:val="18"/>
          <w:lang w:val="es-ES_tradnl"/>
        </w:rPr>
        <w:t>as: Nota Sectorial de Seguridad Ciudadana, Leyes y Justicia. Banco Mundial, Banco Inter</w:t>
      </w:r>
      <w:r>
        <w:rPr>
          <w:rFonts w:ascii="Arial" w:hAnsi="Arial" w:cs="Arial"/>
          <w:sz w:val="18"/>
          <w:szCs w:val="18"/>
          <w:lang w:val="es-ES_tradnl"/>
        </w:rPr>
        <w:t>a</w:t>
      </w:r>
      <w:r w:rsidRPr="001602C3">
        <w:rPr>
          <w:rFonts w:ascii="Arial" w:hAnsi="Arial" w:cs="Arial"/>
          <w:sz w:val="18"/>
          <w:szCs w:val="18"/>
          <w:lang w:val="es-ES_tradnl"/>
        </w:rPr>
        <w:t>mericano de Desarrollo, Global Women’s Institute, 2015.</w:t>
      </w:r>
      <w:r>
        <w:rPr>
          <w:lang w:val="es-ES_tradnl"/>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7D161B"/>
    <w:multiLevelType w:val="hybridMultilevel"/>
    <w:tmpl w:val="E4A88B7E"/>
    <w:lvl w:ilvl="0" w:tplc="33441390">
      <w:start w:val="1"/>
      <w:numFmt w:val="lowerRoman"/>
      <w:lvlText w:val="%1)"/>
      <w:lvlJc w:val="left"/>
      <w:pPr>
        <w:ind w:left="1500" w:hanging="72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7FB"/>
    <w:rsid w:val="00000FD0"/>
    <w:rsid w:val="00002B72"/>
    <w:rsid w:val="000403C4"/>
    <w:rsid w:val="00047A80"/>
    <w:rsid w:val="00062E22"/>
    <w:rsid w:val="0008515D"/>
    <w:rsid w:val="00092B25"/>
    <w:rsid w:val="000B6CE9"/>
    <w:rsid w:val="000C086E"/>
    <w:rsid w:val="000C111B"/>
    <w:rsid w:val="00126490"/>
    <w:rsid w:val="00126864"/>
    <w:rsid w:val="001602C3"/>
    <w:rsid w:val="001655A7"/>
    <w:rsid w:val="001777FB"/>
    <w:rsid w:val="00235C64"/>
    <w:rsid w:val="00245176"/>
    <w:rsid w:val="0024784E"/>
    <w:rsid w:val="00274C8B"/>
    <w:rsid w:val="00285CD3"/>
    <w:rsid w:val="00294729"/>
    <w:rsid w:val="00294D5F"/>
    <w:rsid w:val="002A30FC"/>
    <w:rsid w:val="002C0781"/>
    <w:rsid w:val="002E0B98"/>
    <w:rsid w:val="002E25C8"/>
    <w:rsid w:val="002F1757"/>
    <w:rsid w:val="002F185F"/>
    <w:rsid w:val="0031350C"/>
    <w:rsid w:val="00314766"/>
    <w:rsid w:val="003460DA"/>
    <w:rsid w:val="003461AA"/>
    <w:rsid w:val="003E5222"/>
    <w:rsid w:val="004146F5"/>
    <w:rsid w:val="0041792D"/>
    <w:rsid w:val="00455934"/>
    <w:rsid w:val="004574D3"/>
    <w:rsid w:val="004668BC"/>
    <w:rsid w:val="00472735"/>
    <w:rsid w:val="004A376F"/>
    <w:rsid w:val="004A3C20"/>
    <w:rsid w:val="004A66D5"/>
    <w:rsid w:val="004C38D8"/>
    <w:rsid w:val="004F0D71"/>
    <w:rsid w:val="005022EA"/>
    <w:rsid w:val="0051499E"/>
    <w:rsid w:val="00583A6C"/>
    <w:rsid w:val="005A172C"/>
    <w:rsid w:val="005C1A7D"/>
    <w:rsid w:val="005C75FC"/>
    <w:rsid w:val="005E6163"/>
    <w:rsid w:val="005F3336"/>
    <w:rsid w:val="00607F6E"/>
    <w:rsid w:val="00632808"/>
    <w:rsid w:val="00635173"/>
    <w:rsid w:val="006424DB"/>
    <w:rsid w:val="00693B42"/>
    <w:rsid w:val="006A2E66"/>
    <w:rsid w:val="006B3547"/>
    <w:rsid w:val="006C0C0B"/>
    <w:rsid w:val="007060C9"/>
    <w:rsid w:val="0072527F"/>
    <w:rsid w:val="00750585"/>
    <w:rsid w:val="007507BA"/>
    <w:rsid w:val="00764E4B"/>
    <w:rsid w:val="00797A4F"/>
    <w:rsid w:val="00797F20"/>
    <w:rsid w:val="007A05C7"/>
    <w:rsid w:val="007B1132"/>
    <w:rsid w:val="007B129F"/>
    <w:rsid w:val="007B27D3"/>
    <w:rsid w:val="007B44A1"/>
    <w:rsid w:val="007C32FA"/>
    <w:rsid w:val="007E0D28"/>
    <w:rsid w:val="007E5873"/>
    <w:rsid w:val="00840741"/>
    <w:rsid w:val="008430C4"/>
    <w:rsid w:val="00866990"/>
    <w:rsid w:val="00884E70"/>
    <w:rsid w:val="008931D6"/>
    <w:rsid w:val="00895AF1"/>
    <w:rsid w:val="008A29B4"/>
    <w:rsid w:val="008D4DFE"/>
    <w:rsid w:val="00900A48"/>
    <w:rsid w:val="00911C9A"/>
    <w:rsid w:val="00921671"/>
    <w:rsid w:val="00932B0C"/>
    <w:rsid w:val="00935FC3"/>
    <w:rsid w:val="0095593E"/>
    <w:rsid w:val="0096028A"/>
    <w:rsid w:val="009A181B"/>
    <w:rsid w:val="009C1711"/>
    <w:rsid w:val="009D0A46"/>
    <w:rsid w:val="009D21D4"/>
    <w:rsid w:val="009F2121"/>
    <w:rsid w:val="00A019BB"/>
    <w:rsid w:val="00A23732"/>
    <w:rsid w:val="00A2394F"/>
    <w:rsid w:val="00A47D9D"/>
    <w:rsid w:val="00A63F2D"/>
    <w:rsid w:val="00AA57E7"/>
    <w:rsid w:val="00AB05B9"/>
    <w:rsid w:val="00AB0F3D"/>
    <w:rsid w:val="00AB1F55"/>
    <w:rsid w:val="00AE63E0"/>
    <w:rsid w:val="00B04888"/>
    <w:rsid w:val="00B1714C"/>
    <w:rsid w:val="00B2714C"/>
    <w:rsid w:val="00B36EAD"/>
    <w:rsid w:val="00B479DC"/>
    <w:rsid w:val="00B53F0D"/>
    <w:rsid w:val="00B6550F"/>
    <w:rsid w:val="00B76912"/>
    <w:rsid w:val="00B93A50"/>
    <w:rsid w:val="00BE076A"/>
    <w:rsid w:val="00BE1982"/>
    <w:rsid w:val="00BF409B"/>
    <w:rsid w:val="00C006E8"/>
    <w:rsid w:val="00C0407D"/>
    <w:rsid w:val="00C4383B"/>
    <w:rsid w:val="00C628CB"/>
    <w:rsid w:val="00C7333C"/>
    <w:rsid w:val="00C776CC"/>
    <w:rsid w:val="00C87A5B"/>
    <w:rsid w:val="00C9399C"/>
    <w:rsid w:val="00C96D6F"/>
    <w:rsid w:val="00CA737A"/>
    <w:rsid w:val="00CE7317"/>
    <w:rsid w:val="00D00456"/>
    <w:rsid w:val="00D1054E"/>
    <w:rsid w:val="00D335FC"/>
    <w:rsid w:val="00D46BCB"/>
    <w:rsid w:val="00D64CCC"/>
    <w:rsid w:val="00D64E6A"/>
    <w:rsid w:val="00DF541A"/>
    <w:rsid w:val="00DF5B3C"/>
    <w:rsid w:val="00DF6CDB"/>
    <w:rsid w:val="00DF6F5D"/>
    <w:rsid w:val="00E04739"/>
    <w:rsid w:val="00E26E0A"/>
    <w:rsid w:val="00E3321F"/>
    <w:rsid w:val="00E43C39"/>
    <w:rsid w:val="00E825D4"/>
    <w:rsid w:val="00EE0F2E"/>
    <w:rsid w:val="00F239F0"/>
    <w:rsid w:val="00F403E3"/>
    <w:rsid w:val="00F53565"/>
    <w:rsid w:val="00F91643"/>
    <w:rsid w:val="00F91A9C"/>
    <w:rsid w:val="00FA092F"/>
    <w:rsid w:val="00FA1018"/>
    <w:rsid w:val="00FA660A"/>
    <w:rsid w:val="00FB5760"/>
    <w:rsid w:val="00FC0F3A"/>
    <w:rsid w:val="00FC1315"/>
    <w:rsid w:val="00FC7008"/>
    <w:rsid w:val="00FE20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54791"/>
  <w15:chartTrackingRefBased/>
  <w15:docId w15:val="{318F1719-1002-4271-9A61-2CED91AD7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935FC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textfra,footnote,F,Footnote Text Char Char Char,Footnote Text Char Char Char Char Char Char Char,Footnote Text Char Char Char Char Char,Footnote Text Char Char Char Char Char Char,Footnote Text Char Char Char Char Ch Char,ft,ADB,f"/>
    <w:basedOn w:val="Normal"/>
    <w:link w:val="FootnoteTextChar"/>
    <w:uiPriority w:val="99"/>
    <w:unhideWhenUsed/>
    <w:qFormat/>
    <w:rsid w:val="007B1132"/>
    <w:pPr>
      <w:spacing w:after="0" w:line="240" w:lineRule="auto"/>
    </w:pPr>
    <w:rPr>
      <w:sz w:val="20"/>
      <w:szCs w:val="20"/>
    </w:rPr>
  </w:style>
  <w:style w:type="character" w:customStyle="1" w:styleId="FootnoteTextChar">
    <w:name w:val="Footnote Text Char"/>
    <w:aliases w:val="fn Char,foottextfra Char,footnote Char,F Char,Footnote Text Char Char Char Char,Footnote Text Char Char Char Char Char Char Char Char,Footnote Text Char Char Char Char Char Char1,Footnote Text Char Char Char Char Char Char Char1"/>
    <w:basedOn w:val="DefaultParagraphFont"/>
    <w:link w:val="FootnoteText"/>
    <w:uiPriority w:val="99"/>
    <w:rsid w:val="007B1132"/>
    <w:rPr>
      <w:sz w:val="20"/>
      <w:szCs w:val="20"/>
    </w:rPr>
  </w:style>
  <w:style w:type="character" w:styleId="FootnoteReference">
    <w:name w:val="footnote reference"/>
    <w:basedOn w:val="DefaultParagraphFont"/>
    <w:uiPriority w:val="99"/>
    <w:semiHidden/>
    <w:unhideWhenUsed/>
    <w:rsid w:val="007B1132"/>
    <w:rPr>
      <w:vertAlign w:val="superscript"/>
    </w:rPr>
  </w:style>
  <w:style w:type="paragraph" w:customStyle="1" w:styleId="parrafo">
    <w:name w:val="parrafo"/>
    <w:basedOn w:val="Normal"/>
    <w:rsid w:val="00A2373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C32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32FA"/>
  </w:style>
  <w:style w:type="paragraph" w:styleId="Footer">
    <w:name w:val="footer"/>
    <w:basedOn w:val="Normal"/>
    <w:link w:val="FooterChar"/>
    <w:uiPriority w:val="99"/>
    <w:unhideWhenUsed/>
    <w:rsid w:val="007C32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32FA"/>
  </w:style>
  <w:style w:type="character" w:styleId="CommentReference">
    <w:name w:val="annotation reference"/>
    <w:basedOn w:val="DefaultParagraphFont"/>
    <w:uiPriority w:val="99"/>
    <w:semiHidden/>
    <w:unhideWhenUsed/>
    <w:rsid w:val="00866990"/>
    <w:rPr>
      <w:sz w:val="16"/>
      <w:szCs w:val="16"/>
    </w:rPr>
  </w:style>
  <w:style w:type="paragraph" w:styleId="CommentText">
    <w:name w:val="annotation text"/>
    <w:basedOn w:val="Normal"/>
    <w:link w:val="CommentTextChar"/>
    <w:uiPriority w:val="99"/>
    <w:semiHidden/>
    <w:unhideWhenUsed/>
    <w:rsid w:val="00866990"/>
    <w:pPr>
      <w:spacing w:line="240" w:lineRule="auto"/>
    </w:pPr>
    <w:rPr>
      <w:sz w:val="20"/>
      <w:szCs w:val="20"/>
    </w:rPr>
  </w:style>
  <w:style w:type="character" w:customStyle="1" w:styleId="CommentTextChar">
    <w:name w:val="Comment Text Char"/>
    <w:basedOn w:val="DefaultParagraphFont"/>
    <w:link w:val="CommentText"/>
    <w:uiPriority w:val="99"/>
    <w:semiHidden/>
    <w:rsid w:val="00866990"/>
    <w:rPr>
      <w:sz w:val="20"/>
      <w:szCs w:val="20"/>
    </w:rPr>
  </w:style>
  <w:style w:type="paragraph" w:styleId="CommentSubject">
    <w:name w:val="annotation subject"/>
    <w:basedOn w:val="CommentText"/>
    <w:next w:val="CommentText"/>
    <w:link w:val="CommentSubjectChar"/>
    <w:uiPriority w:val="99"/>
    <w:semiHidden/>
    <w:unhideWhenUsed/>
    <w:rsid w:val="00866990"/>
    <w:rPr>
      <w:b/>
      <w:bCs/>
    </w:rPr>
  </w:style>
  <w:style w:type="character" w:customStyle="1" w:styleId="CommentSubjectChar">
    <w:name w:val="Comment Subject Char"/>
    <w:basedOn w:val="CommentTextChar"/>
    <w:link w:val="CommentSubject"/>
    <w:uiPriority w:val="99"/>
    <w:semiHidden/>
    <w:rsid w:val="00866990"/>
    <w:rPr>
      <w:b/>
      <w:bCs/>
      <w:sz w:val="20"/>
      <w:szCs w:val="20"/>
    </w:rPr>
  </w:style>
  <w:style w:type="paragraph" w:styleId="BalloonText">
    <w:name w:val="Balloon Text"/>
    <w:basedOn w:val="Normal"/>
    <w:link w:val="BalloonTextChar"/>
    <w:uiPriority w:val="99"/>
    <w:semiHidden/>
    <w:unhideWhenUsed/>
    <w:rsid w:val="008669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6990"/>
    <w:rPr>
      <w:rFonts w:ascii="Segoe UI" w:hAnsi="Segoe UI" w:cs="Segoe UI"/>
      <w:sz w:val="18"/>
      <w:szCs w:val="18"/>
    </w:rPr>
  </w:style>
  <w:style w:type="character" w:styleId="Hyperlink">
    <w:name w:val="Hyperlink"/>
    <w:basedOn w:val="DefaultParagraphFont"/>
    <w:uiPriority w:val="99"/>
    <w:unhideWhenUsed/>
    <w:rsid w:val="0041792D"/>
    <w:rPr>
      <w:color w:val="0563C1" w:themeColor="hyperlink"/>
      <w:u w:val="single"/>
    </w:rPr>
  </w:style>
  <w:style w:type="character" w:styleId="UnresolvedMention">
    <w:name w:val="Unresolved Mention"/>
    <w:basedOn w:val="DefaultParagraphFont"/>
    <w:uiPriority w:val="99"/>
    <w:semiHidden/>
    <w:unhideWhenUsed/>
    <w:rsid w:val="0041792D"/>
    <w:rPr>
      <w:color w:val="808080"/>
      <w:shd w:val="clear" w:color="auto" w:fill="E6E6E6"/>
    </w:rPr>
  </w:style>
  <w:style w:type="character" w:customStyle="1" w:styleId="Heading1Char">
    <w:name w:val="Heading 1 Char"/>
    <w:basedOn w:val="DefaultParagraphFont"/>
    <w:link w:val="Heading1"/>
    <w:uiPriority w:val="9"/>
    <w:rsid w:val="00935FC3"/>
    <w:rPr>
      <w:rFonts w:ascii="Times New Roman" w:eastAsia="Times New Roman" w:hAnsi="Times New Roman" w:cs="Times New Roman"/>
      <w:b/>
      <w:bCs/>
      <w:kern w:val="36"/>
      <w:sz w:val="48"/>
      <w:szCs w:val="48"/>
    </w:rPr>
  </w:style>
  <w:style w:type="paragraph" w:customStyle="1" w:styleId="Default">
    <w:name w:val="Default"/>
    <w:rsid w:val="007E0D28"/>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235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607F6E"/>
    <w:pPr>
      <w:spacing w:after="0" w:line="240" w:lineRule="auto"/>
    </w:pPr>
    <w:rPr>
      <w:rFonts w:ascii="Calibri" w:eastAsia="Calibri" w:hAnsi="Calibri" w:cs="Times New Roman"/>
      <w:lang w:val="es-ES"/>
    </w:rPr>
  </w:style>
  <w:style w:type="character" w:customStyle="1" w:styleId="NoSpacingChar">
    <w:name w:val="No Spacing Char"/>
    <w:link w:val="NoSpacing"/>
    <w:uiPriority w:val="1"/>
    <w:locked/>
    <w:rsid w:val="00607F6E"/>
    <w:rPr>
      <w:rFonts w:ascii="Calibri" w:eastAsia="Calibri" w:hAnsi="Calibri" w:cs="Times New Roman"/>
      <w:lang w:val="es-ES"/>
    </w:rPr>
  </w:style>
  <w:style w:type="character" w:customStyle="1" w:styleId="stl34">
    <w:name w:val="stl_34"/>
    <w:basedOn w:val="DefaultParagraphFont"/>
    <w:rsid w:val="00092B25"/>
  </w:style>
  <w:style w:type="paragraph" w:styleId="ListParagraph">
    <w:name w:val="List Paragraph"/>
    <w:basedOn w:val="Normal"/>
    <w:uiPriority w:val="34"/>
    <w:qFormat/>
    <w:rsid w:val="00285C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616849">
      <w:bodyDiv w:val="1"/>
      <w:marLeft w:val="0"/>
      <w:marRight w:val="0"/>
      <w:marTop w:val="0"/>
      <w:marBottom w:val="0"/>
      <w:divBdr>
        <w:top w:val="none" w:sz="0" w:space="0" w:color="auto"/>
        <w:left w:val="none" w:sz="0" w:space="0" w:color="auto"/>
        <w:bottom w:val="none" w:sz="0" w:space="0" w:color="auto"/>
        <w:right w:val="none" w:sz="0" w:space="0" w:color="auto"/>
      </w:divBdr>
      <w:divsChild>
        <w:div w:id="1297371831">
          <w:marLeft w:val="0"/>
          <w:marRight w:val="0"/>
          <w:marTop w:val="0"/>
          <w:marBottom w:val="0"/>
          <w:divBdr>
            <w:top w:val="none" w:sz="0" w:space="0" w:color="auto"/>
            <w:left w:val="none" w:sz="0" w:space="0" w:color="auto"/>
            <w:bottom w:val="none" w:sz="0" w:space="0" w:color="auto"/>
            <w:right w:val="none" w:sz="0" w:space="0" w:color="auto"/>
          </w:divBdr>
        </w:div>
        <w:div w:id="1502770777">
          <w:marLeft w:val="0"/>
          <w:marRight w:val="0"/>
          <w:marTop w:val="0"/>
          <w:marBottom w:val="0"/>
          <w:divBdr>
            <w:top w:val="none" w:sz="0" w:space="0" w:color="auto"/>
            <w:left w:val="none" w:sz="0" w:space="0" w:color="auto"/>
            <w:bottom w:val="none" w:sz="0" w:space="0" w:color="auto"/>
            <w:right w:val="none" w:sz="0" w:space="0" w:color="auto"/>
          </w:divBdr>
        </w:div>
        <w:div w:id="1308128051">
          <w:marLeft w:val="0"/>
          <w:marRight w:val="0"/>
          <w:marTop w:val="0"/>
          <w:marBottom w:val="0"/>
          <w:divBdr>
            <w:top w:val="none" w:sz="0" w:space="0" w:color="auto"/>
            <w:left w:val="none" w:sz="0" w:space="0" w:color="auto"/>
            <w:bottom w:val="none" w:sz="0" w:space="0" w:color="auto"/>
            <w:right w:val="none" w:sz="0" w:space="0" w:color="auto"/>
          </w:divBdr>
        </w:div>
        <w:div w:id="53237109">
          <w:marLeft w:val="0"/>
          <w:marRight w:val="0"/>
          <w:marTop w:val="0"/>
          <w:marBottom w:val="0"/>
          <w:divBdr>
            <w:top w:val="none" w:sz="0" w:space="0" w:color="auto"/>
            <w:left w:val="none" w:sz="0" w:space="0" w:color="auto"/>
            <w:bottom w:val="none" w:sz="0" w:space="0" w:color="auto"/>
            <w:right w:val="none" w:sz="0" w:space="0" w:color="auto"/>
          </w:divBdr>
        </w:div>
        <w:div w:id="2090272670">
          <w:marLeft w:val="0"/>
          <w:marRight w:val="0"/>
          <w:marTop w:val="0"/>
          <w:marBottom w:val="0"/>
          <w:divBdr>
            <w:top w:val="none" w:sz="0" w:space="0" w:color="auto"/>
            <w:left w:val="none" w:sz="0" w:space="0" w:color="auto"/>
            <w:bottom w:val="none" w:sz="0" w:space="0" w:color="auto"/>
            <w:right w:val="none" w:sz="0" w:space="0" w:color="auto"/>
          </w:divBdr>
        </w:div>
        <w:div w:id="927540265">
          <w:marLeft w:val="0"/>
          <w:marRight w:val="0"/>
          <w:marTop w:val="0"/>
          <w:marBottom w:val="0"/>
          <w:divBdr>
            <w:top w:val="none" w:sz="0" w:space="0" w:color="auto"/>
            <w:left w:val="none" w:sz="0" w:space="0" w:color="auto"/>
            <w:bottom w:val="none" w:sz="0" w:space="0" w:color="auto"/>
            <w:right w:val="none" w:sz="0" w:space="0" w:color="auto"/>
          </w:divBdr>
        </w:div>
        <w:div w:id="1220289095">
          <w:marLeft w:val="0"/>
          <w:marRight w:val="0"/>
          <w:marTop w:val="0"/>
          <w:marBottom w:val="0"/>
          <w:divBdr>
            <w:top w:val="none" w:sz="0" w:space="0" w:color="auto"/>
            <w:left w:val="none" w:sz="0" w:space="0" w:color="auto"/>
            <w:bottom w:val="none" w:sz="0" w:space="0" w:color="auto"/>
            <w:right w:val="none" w:sz="0" w:space="0" w:color="auto"/>
          </w:divBdr>
        </w:div>
      </w:divsChild>
    </w:div>
    <w:div w:id="316303717">
      <w:bodyDiv w:val="1"/>
      <w:marLeft w:val="0"/>
      <w:marRight w:val="0"/>
      <w:marTop w:val="0"/>
      <w:marBottom w:val="0"/>
      <w:divBdr>
        <w:top w:val="none" w:sz="0" w:space="0" w:color="auto"/>
        <w:left w:val="none" w:sz="0" w:space="0" w:color="auto"/>
        <w:bottom w:val="none" w:sz="0" w:space="0" w:color="auto"/>
        <w:right w:val="none" w:sz="0" w:space="0" w:color="auto"/>
      </w:divBdr>
    </w:div>
    <w:div w:id="352537073">
      <w:bodyDiv w:val="1"/>
      <w:marLeft w:val="0"/>
      <w:marRight w:val="0"/>
      <w:marTop w:val="0"/>
      <w:marBottom w:val="0"/>
      <w:divBdr>
        <w:top w:val="none" w:sz="0" w:space="0" w:color="auto"/>
        <w:left w:val="none" w:sz="0" w:space="0" w:color="auto"/>
        <w:bottom w:val="none" w:sz="0" w:space="0" w:color="auto"/>
        <w:right w:val="none" w:sz="0" w:space="0" w:color="auto"/>
      </w:divBdr>
    </w:div>
    <w:div w:id="577791716">
      <w:bodyDiv w:val="1"/>
      <w:marLeft w:val="0"/>
      <w:marRight w:val="0"/>
      <w:marTop w:val="0"/>
      <w:marBottom w:val="0"/>
      <w:divBdr>
        <w:top w:val="none" w:sz="0" w:space="0" w:color="auto"/>
        <w:left w:val="none" w:sz="0" w:space="0" w:color="auto"/>
        <w:bottom w:val="none" w:sz="0" w:space="0" w:color="auto"/>
        <w:right w:val="none" w:sz="0" w:space="0" w:color="auto"/>
      </w:divBdr>
    </w:div>
    <w:div w:id="939023856">
      <w:bodyDiv w:val="1"/>
      <w:marLeft w:val="0"/>
      <w:marRight w:val="0"/>
      <w:marTop w:val="0"/>
      <w:marBottom w:val="0"/>
      <w:divBdr>
        <w:top w:val="none" w:sz="0" w:space="0" w:color="auto"/>
        <w:left w:val="none" w:sz="0" w:space="0" w:color="auto"/>
        <w:bottom w:val="none" w:sz="0" w:space="0" w:color="auto"/>
        <w:right w:val="none" w:sz="0" w:space="0" w:color="auto"/>
      </w:divBdr>
      <w:divsChild>
        <w:div w:id="1805197811">
          <w:marLeft w:val="0"/>
          <w:marRight w:val="0"/>
          <w:marTop w:val="0"/>
          <w:marBottom w:val="0"/>
          <w:divBdr>
            <w:top w:val="none" w:sz="0" w:space="0" w:color="auto"/>
            <w:left w:val="none" w:sz="0" w:space="0" w:color="auto"/>
            <w:bottom w:val="none" w:sz="0" w:space="0" w:color="auto"/>
            <w:right w:val="none" w:sz="0" w:space="0" w:color="auto"/>
          </w:divBdr>
        </w:div>
        <w:div w:id="1805195174">
          <w:marLeft w:val="0"/>
          <w:marRight w:val="0"/>
          <w:marTop w:val="0"/>
          <w:marBottom w:val="0"/>
          <w:divBdr>
            <w:top w:val="none" w:sz="0" w:space="0" w:color="auto"/>
            <w:left w:val="none" w:sz="0" w:space="0" w:color="auto"/>
            <w:bottom w:val="none" w:sz="0" w:space="0" w:color="auto"/>
            <w:right w:val="none" w:sz="0" w:space="0" w:color="auto"/>
          </w:divBdr>
        </w:div>
        <w:div w:id="1139491257">
          <w:marLeft w:val="0"/>
          <w:marRight w:val="0"/>
          <w:marTop w:val="0"/>
          <w:marBottom w:val="0"/>
          <w:divBdr>
            <w:top w:val="none" w:sz="0" w:space="0" w:color="auto"/>
            <w:left w:val="none" w:sz="0" w:space="0" w:color="auto"/>
            <w:bottom w:val="none" w:sz="0" w:space="0" w:color="auto"/>
            <w:right w:val="none" w:sz="0" w:space="0" w:color="auto"/>
          </w:divBdr>
        </w:div>
        <w:div w:id="2040008380">
          <w:marLeft w:val="0"/>
          <w:marRight w:val="0"/>
          <w:marTop w:val="0"/>
          <w:marBottom w:val="0"/>
          <w:divBdr>
            <w:top w:val="none" w:sz="0" w:space="0" w:color="auto"/>
            <w:left w:val="none" w:sz="0" w:space="0" w:color="auto"/>
            <w:bottom w:val="none" w:sz="0" w:space="0" w:color="auto"/>
            <w:right w:val="none" w:sz="0" w:space="0" w:color="auto"/>
          </w:divBdr>
        </w:div>
        <w:div w:id="1304431355">
          <w:marLeft w:val="0"/>
          <w:marRight w:val="0"/>
          <w:marTop w:val="0"/>
          <w:marBottom w:val="0"/>
          <w:divBdr>
            <w:top w:val="none" w:sz="0" w:space="0" w:color="auto"/>
            <w:left w:val="none" w:sz="0" w:space="0" w:color="auto"/>
            <w:bottom w:val="none" w:sz="0" w:space="0" w:color="auto"/>
            <w:right w:val="none" w:sz="0" w:space="0" w:color="auto"/>
          </w:divBdr>
        </w:div>
        <w:div w:id="1384863832">
          <w:marLeft w:val="0"/>
          <w:marRight w:val="0"/>
          <w:marTop w:val="0"/>
          <w:marBottom w:val="0"/>
          <w:divBdr>
            <w:top w:val="none" w:sz="0" w:space="0" w:color="auto"/>
            <w:left w:val="none" w:sz="0" w:space="0" w:color="auto"/>
            <w:bottom w:val="none" w:sz="0" w:space="0" w:color="auto"/>
            <w:right w:val="none" w:sz="0" w:space="0" w:color="auto"/>
          </w:divBdr>
        </w:div>
        <w:div w:id="1099983691">
          <w:marLeft w:val="0"/>
          <w:marRight w:val="0"/>
          <w:marTop w:val="0"/>
          <w:marBottom w:val="0"/>
          <w:divBdr>
            <w:top w:val="none" w:sz="0" w:space="0" w:color="auto"/>
            <w:left w:val="none" w:sz="0" w:space="0" w:color="auto"/>
            <w:bottom w:val="none" w:sz="0" w:space="0" w:color="auto"/>
            <w:right w:val="none" w:sz="0" w:space="0" w:color="auto"/>
          </w:divBdr>
        </w:div>
      </w:divsChild>
    </w:div>
    <w:div w:id="1167864544">
      <w:bodyDiv w:val="1"/>
      <w:marLeft w:val="0"/>
      <w:marRight w:val="0"/>
      <w:marTop w:val="0"/>
      <w:marBottom w:val="0"/>
      <w:divBdr>
        <w:top w:val="none" w:sz="0" w:space="0" w:color="auto"/>
        <w:left w:val="none" w:sz="0" w:space="0" w:color="auto"/>
        <w:bottom w:val="none" w:sz="0" w:space="0" w:color="auto"/>
        <w:right w:val="none" w:sz="0" w:space="0" w:color="auto"/>
      </w:divBdr>
    </w:div>
    <w:div w:id="149352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blogs.iadb.org/sinmiedos/2016/04/28/confianza-en-polici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74C85-BB7E-4753-B43C-33493FECB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4403</Words>
  <Characters>25101</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Wolfenzon, Denisse</dc:creator>
  <cp:keywords/>
  <dc:description/>
  <cp:lastModifiedBy>Fishpaw, Heidi Zoe</cp:lastModifiedBy>
  <cp:revision>3</cp:revision>
  <dcterms:created xsi:type="dcterms:W3CDTF">2017-11-08T22:41:00Z</dcterms:created>
  <dcterms:modified xsi:type="dcterms:W3CDTF">2017-11-08T22:41:00Z</dcterms:modified>
</cp:coreProperties>
</file>