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BC064B" w14:textId="77777777" w:rsidR="008A2A84" w:rsidRDefault="008A2A84">
      <w:pPr>
        <w:pStyle w:val="Title"/>
        <w:rPr>
          <w:rFonts w:ascii="Arial" w:eastAsia="Arial" w:hAnsi="Arial" w:cs="Arial"/>
        </w:rPr>
      </w:pPr>
    </w:p>
    <w:p w14:paraId="644A4083" w14:textId="77777777" w:rsidR="008A2A84" w:rsidRDefault="008A2A84">
      <w:pPr>
        <w:pStyle w:val="Title"/>
        <w:spacing w:line="276" w:lineRule="auto"/>
        <w:rPr>
          <w:rFonts w:ascii="Arial" w:eastAsia="Arial" w:hAnsi="Arial" w:cs="Arial"/>
          <w:smallCaps/>
          <w:sz w:val="22"/>
          <w:szCs w:val="22"/>
        </w:rPr>
      </w:pPr>
    </w:p>
    <w:p w14:paraId="0F99D68E" w14:textId="77777777" w:rsidR="008A2A84" w:rsidRPr="00CE7AB7" w:rsidRDefault="001B2BB5">
      <w:pPr>
        <w:pStyle w:val="Title"/>
        <w:spacing w:line="276" w:lineRule="auto"/>
        <w:rPr>
          <w:rFonts w:ascii="Arial" w:eastAsia="Arial" w:hAnsi="Arial" w:cs="Arial"/>
          <w:smallCaps/>
          <w:sz w:val="22"/>
          <w:szCs w:val="22"/>
          <w:lang w:val="es-ES_tradnl"/>
        </w:rPr>
      </w:pPr>
      <w:r w:rsidRPr="00CE7AB7">
        <w:rPr>
          <w:rFonts w:ascii="Arial" w:eastAsia="Arial" w:hAnsi="Arial" w:cs="Arial"/>
          <w:smallCaps/>
          <w:sz w:val="22"/>
          <w:szCs w:val="22"/>
          <w:lang w:val="es-ES_tradnl"/>
        </w:rPr>
        <w:t>Documento del Banco Interamericano de Desarrollo</w:t>
      </w:r>
    </w:p>
    <w:p w14:paraId="1BC8CDD2" w14:textId="77777777" w:rsidR="008A2A84" w:rsidRPr="00CE7AB7" w:rsidRDefault="008A2A84">
      <w:pPr>
        <w:spacing w:before="120"/>
        <w:jc w:val="center"/>
        <w:rPr>
          <w:rFonts w:ascii="Arial" w:eastAsia="Arial" w:hAnsi="Arial" w:cs="Arial"/>
          <w:b/>
          <w:lang w:val="es-ES_tradnl"/>
        </w:rPr>
      </w:pPr>
    </w:p>
    <w:p w14:paraId="018CA8AA" w14:textId="77777777" w:rsidR="008A2A84" w:rsidRPr="00CE7AB7" w:rsidRDefault="008A2A84">
      <w:pPr>
        <w:tabs>
          <w:tab w:val="left" w:pos="1440"/>
          <w:tab w:val="left" w:pos="3060"/>
        </w:tabs>
        <w:jc w:val="center"/>
        <w:rPr>
          <w:rFonts w:ascii="Arial" w:eastAsia="Arial" w:hAnsi="Arial" w:cs="Arial"/>
          <w:b/>
          <w:smallCaps/>
          <w:lang w:val="es-ES_tradnl"/>
        </w:rPr>
      </w:pPr>
    </w:p>
    <w:p w14:paraId="0C2F3E27" w14:textId="77777777" w:rsidR="008A2A84" w:rsidRPr="00CE7AB7" w:rsidRDefault="008A2A84">
      <w:pPr>
        <w:tabs>
          <w:tab w:val="left" w:pos="1440"/>
          <w:tab w:val="left" w:pos="3060"/>
        </w:tabs>
        <w:jc w:val="center"/>
        <w:rPr>
          <w:rFonts w:ascii="Arial" w:eastAsia="Arial" w:hAnsi="Arial" w:cs="Arial"/>
          <w:b/>
          <w:smallCaps/>
          <w:lang w:val="es-ES_tradnl"/>
        </w:rPr>
      </w:pPr>
    </w:p>
    <w:p w14:paraId="0B702115" w14:textId="77777777" w:rsidR="008A2A84" w:rsidRPr="00CE7AB7" w:rsidRDefault="008A2A84">
      <w:pPr>
        <w:tabs>
          <w:tab w:val="left" w:pos="1440"/>
          <w:tab w:val="left" w:pos="3060"/>
        </w:tabs>
        <w:jc w:val="center"/>
        <w:rPr>
          <w:rFonts w:ascii="Arial" w:eastAsia="Arial" w:hAnsi="Arial" w:cs="Arial"/>
          <w:b/>
          <w:smallCaps/>
          <w:lang w:val="es-ES_tradnl"/>
        </w:rPr>
      </w:pPr>
    </w:p>
    <w:p w14:paraId="67B1E979" w14:textId="77777777" w:rsidR="008A2A84" w:rsidRPr="00CE7AB7" w:rsidRDefault="008A2A84">
      <w:pPr>
        <w:tabs>
          <w:tab w:val="left" w:pos="1440"/>
          <w:tab w:val="left" w:pos="3060"/>
        </w:tabs>
        <w:jc w:val="center"/>
        <w:rPr>
          <w:rFonts w:ascii="Arial" w:eastAsia="Arial" w:hAnsi="Arial" w:cs="Arial"/>
          <w:b/>
          <w:smallCaps/>
          <w:lang w:val="es-ES_tradnl"/>
        </w:rPr>
      </w:pPr>
    </w:p>
    <w:p w14:paraId="2F56AA0D" w14:textId="77777777" w:rsidR="008A2A84" w:rsidRPr="00CE7AB7" w:rsidRDefault="008A2A84">
      <w:pPr>
        <w:tabs>
          <w:tab w:val="left" w:pos="1440"/>
          <w:tab w:val="left" w:pos="3060"/>
        </w:tabs>
        <w:jc w:val="center"/>
        <w:rPr>
          <w:rFonts w:ascii="Arial" w:eastAsia="Arial" w:hAnsi="Arial" w:cs="Arial"/>
          <w:b/>
          <w:smallCaps/>
          <w:lang w:val="es-ES_tradnl"/>
        </w:rPr>
      </w:pPr>
    </w:p>
    <w:p w14:paraId="2AC683D9" w14:textId="77777777" w:rsidR="008A2A84" w:rsidRPr="00CE7AB7" w:rsidRDefault="008A2A84">
      <w:pPr>
        <w:tabs>
          <w:tab w:val="left" w:pos="1440"/>
          <w:tab w:val="left" w:pos="3060"/>
        </w:tabs>
        <w:jc w:val="center"/>
        <w:rPr>
          <w:rFonts w:ascii="Arial" w:eastAsia="Arial" w:hAnsi="Arial" w:cs="Arial"/>
          <w:b/>
          <w:smallCaps/>
          <w:lang w:val="es-ES_tradnl"/>
        </w:rPr>
      </w:pPr>
    </w:p>
    <w:p w14:paraId="1CBCEE7B" w14:textId="77777777" w:rsidR="008A2A84" w:rsidRPr="00CE7AB7" w:rsidRDefault="001B2BB5">
      <w:pPr>
        <w:tabs>
          <w:tab w:val="left" w:pos="1440"/>
          <w:tab w:val="left" w:pos="3060"/>
        </w:tabs>
        <w:spacing w:line="288" w:lineRule="auto"/>
        <w:jc w:val="center"/>
        <w:rPr>
          <w:rFonts w:ascii="Arial" w:eastAsia="Arial" w:hAnsi="Arial" w:cs="Arial"/>
          <w:b/>
          <w:smallCaps/>
          <w:lang w:val="es-ES_tradnl"/>
        </w:rPr>
      </w:pPr>
      <w:r w:rsidRPr="00CE7AB7">
        <w:rPr>
          <w:rFonts w:ascii="Arial" w:eastAsia="Arial" w:hAnsi="Arial" w:cs="Arial"/>
          <w:b/>
          <w:smallCaps/>
          <w:lang w:val="es-ES_tradnl"/>
        </w:rPr>
        <w:t>PERU</w:t>
      </w:r>
    </w:p>
    <w:p w14:paraId="1715A593" w14:textId="77777777" w:rsidR="008A2A84" w:rsidRPr="00CE7AB7" w:rsidRDefault="008A2A84">
      <w:pPr>
        <w:tabs>
          <w:tab w:val="left" w:pos="1440"/>
          <w:tab w:val="left" w:pos="3060"/>
        </w:tabs>
        <w:jc w:val="center"/>
        <w:rPr>
          <w:rFonts w:ascii="Arial" w:eastAsia="Arial" w:hAnsi="Arial" w:cs="Arial"/>
          <w:b/>
          <w:smallCaps/>
          <w:lang w:val="es-ES_tradnl"/>
        </w:rPr>
      </w:pPr>
    </w:p>
    <w:p w14:paraId="347DB76B" w14:textId="77777777" w:rsidR="008A2A84" w:rsidRPr="00CE7AB7" w:rsidRDefault="008A2A84">
      <w:pPr>
        <w:tabs>
          <w:tab w:val="left" w:pos="1440"/>
          <w:tab w:val="left" w:pos="3060"/>
        </w:tabs>
        <w:jc w:val="center"/>
        <w:rPr>
          <w:rFonts w:ascii="Arial" w:eastAsia="Arial" w:hAnsi="Arial" w:cs="Arial"/>
          <w:b/>
          <w:smallCaps/>
          <w:lang w:val="es-ES_tradnl"/>
        </w:rPr>
      </w:pPr>
    </w:p>
    <w:p w14:paraId="55F2547E" w14:textId="77777777" w:rsidR="008A2A84" w:rsidRPr="00CE7AB7" w:rsidRDefault="008A2A84">
      <w:pPr>
        <w:tabs>
          <w:tab w:val="left" w:pos="1440"/>
          <w:tab w:val="left" w:pos="3060"/>
        </w:tabs>
        <w:jc w:val="center"/>
        <w:rPr>
          <w:rFonts w:ascii="Arial" w:eastAsia="Arial" w:hAnsi="Arial" w:cs="Arial"/>
          <w:b/>
          <w:smallCaps/>
          <w:lang w:val="es-ES_tradnl"/>
        </w:rPr>
      </w:pPr>
    </w:p>
    <w:p w14:paraId="4CA050B2" w14:textId="77777777" w:rsidR="008A2A84" w:rsidRPr="00CE7AB7" w:rsidRDefault="001B2BB5">
      <w:pPr>
        <w:tabs>
          <w:tab w:val="left" w:pos="1440"/>
          <w:tab w:val="left" w:pos="3060"/>
        </w:tabs>
        <w:spacing w:line="288" w:lineRule="auto"/>
        <w:jc w:val="center"/>
        <w:rPr>
          <w:rFonts w:ascii="Arial" w:eastAsia="Arial" w:hAnsi="Arial" w:cs="Arial"/>
          <w:b/>
          <w:smallCaps/>
          <w:lang w:val="es-ES_tradnl"/>
        </w:rPr>
      </w:pPr>
      <w:r w:rsidRPr="00CE7AB7">
        <w:rPr>
          <w:rFonts w:ascii="Arial" w:eastAsia="Arial" w:hAnsi="Arial" w:cs="Arial"/>
          <w:b/>
          <w:smallCaps/>
          <w:lang w:val="es-ES_tradnl"/>
        </w:rPr>
        <w:t>PROGRAMA PARA LA MEJORA DE LA CALIDAD Y PERTINENCIA DE LOS SERVICIOS DE EDUCACION SUPERIOR UNIVERSITARIA Y TECNOLÓGICA A NIVEL NACIONAL</w:t>
      </w:r>
    </w:p>
    <w:p w14:paraId="3D449E39" w14:textId="77777777" w:rsidR="008A2A84" w:rsidRPr="00CE7AB7" w:rsidRDefault="001B2BB5">
      <w:pPr>
        <w:tabs>
          <w:tab w:val="left" w:pos="1440"/>
          <w:tab w:val="left" w:pos="3060"/>
        </w:tabs>
        <w:spacing w:line="288" w:lineRule="auto"/>
        <w:jc w:val="center"/>
        <w:rPr>
          <w:rFonts w:ascii="Arial" w:eastAsia="Arial" w:hAnsi="Arial" w:cs="Arial"/>
          <w:b/>
          <w:smallCaps/>
          <w:lang w:val="es-ES_tradnl"/>
        </w:rPr>
      </w:pPr>
      <w:r w:rsidRPr="00CE7AB7">
        <w:rPr>
          <w:rFonts w:ascii="Arial" w:eastAsia="Arial" w:hAnsi="Arial" w:cs="Arial"/>
          <w:b/>
          <w:smallCaps/>
          <w:lang w:val="es-ES_tradnl"/>
        </w:rPr>
        <w:t>(PE-L1227)</w:t>
      </w:r>
    </w:p>
    <w:p w14:paraId="0C76B738" w14:textId="77777777" w:rsidR="008A2A84" w:rsidRPr="00CE7AB7" w:rsidRDefault="008A2A84">
      <w:pPr>
        <w:tabs>
          <w:tab w:val="left" w:pos="1440"/>
          <w:tab w:val="left" w:pos="3060"/>
        </w:tabs>
        <w:jc w:val="center"/>
        <w:rPr>
          <w:rFonts w:ascii="Arial" w:eastAsia="Arial" w:hAnsi="Arial" w:cs="Arial"/>
          <w:b/>
          <w:smallCaps/>
          <w:lang w:val="es-ES_tradnl"/>
        </w:rPr>
      </w:pPr>
    </w:p>
    <w:p w14:paraId="415F8FE6" w14:textId="77777777" w:rsidR="008A2A84" w:rsidRPr="00CE7AB7" w:rsidRDefault="008A2A84">
      <w:pPr>
        <w:tabs>
          <w:tab w:val="left" w:pos="1440"/>
          <w:tab w:val="left" w:pos="3060"/>
        </w:tabs>
        <w:jc w:val="center"/>
        <w:rPr>
          <w:rFonts w:ascii="Arial" w:eastAsia="Arial" w:hAnsi="Arial" w:cs="Arial"/>
          <w:b/>
          <w:smallCaps/>
          <w:lang w:val="es-ES_tradnl"/>
        </w:rPr>
      </w:pPr>
    </w:p>
    <w:p w14:paraId="0A203902" w14:textId="77777777" w:rsidR="008A2A84" w:rsidRPr="00CE7AB7" w:rsidRDefault="008A2A84">
      <w:pPr>
        <w:tabs>
          <w:tab w:val="left" w:pos="1440"/>
          <w:tab w:val="left" w:pos="3060"/>
        </w:tabs>
        <w:jc w:val="center"/>
        <w:rPr>
          <w:rFonts w:ascii="Arial" w:eastAsia="Arial" w:hAnsi="Arial" w:cs="Arial"/>
          <w:b/>
          <w:smallCaps/>
          <w:lang w:val="es-ES_tradnl"/>
        </w:rPr>
      </w:pPr>
    </w:p>
    <w:p w14:paraId="1137BC06" w14:textId="77777777" w:rsidR="008A2A84" w:rsidRPr="00CE7AB7" w:rsidRDefault="001B2BB5">
      <w:pPr>
        <w:tabs>
          <w:tab w:val="left" w:pos="1440"/>
          <w:tab w:val="left" w:pos="3060"/>
        </w:tabs>
        <w:spacing w:line="288" w:lineRule="auto"/>
        <w:jc w:val="center"/>
        <w:rPr>
          <w:rFonts w:ascii="Arial" w:eastAsia="Arial" w:hAnsi="Arial" w:cs="Arial"/>
          <w:b/>
          <w:smallCaps/>
          <w:lang w:val="es-ES_tradnl"/>
        </w:rPr>
      </w:pPr>
      <w:r w:rsidRPr="00CE7AB7">
        <w:rPr>
          <w:rFonts w:ascii="Arial" w:eastAsia="Arial" w:hAnsi="Arial" w:cs="Arial"/>
          <w:b/>
          <w:smallCaps/>
          <w:lang w:val="es-ES_tradnl"/>
        </w:rPr>
        <w:t>ANÁLISIS ECONÓMICO (COSTO-BENEFICIO)</w:t>
      </w:r>
    </w:p>
    <w:p w14:paraId="2234F1CC" w14:textId="77777777" w:rsidR="008A2A84" w:rsidRPr="00CE7AB7" w:rsidRDefault="008A2A84">
      <w:pPr>
        <w:tabs>
          <w:tab w:val="left" w:pos="1440"/>
          <w:tab w:val="left" w:pos="3060"/>
        </w:tabs>
        <w:jc w:val="center"/>
        <w:rPr>
          <w:rFonts w:ascii="Arial" w:eastAsia="Arial" w:hAnsi="Arial" w:cs="Arial"/>
          <w:b/>
          <w:smallCaps/>
          <w:lang w:val="es-ES_tradnl"/>
        </w:rPr>
      </w:pPr>
    </w:p>
    <w:p w14:paraId="642CDAC0" w14:textId="77777777" w:rsidR="008A2A84" w:rsidRPr="00CE7AB7" w:rsidRDefault="008A2A84">
      <w:pPr>
        <w:tabs>
          <w:tab w:val="left" w:pos="1440"/>
          <w:tab w:val="left" w:pos="3060"/>
        </w:tabs>
        <w:jc w:val="center"/>
        <w:rPr>
          <w:rFonts w:ascii="Arial" w:eastAsia="Arial" w:hAnsi="Arial" w:cs="Arial"/>
          <w:b/>
          <w:smallCaps/>
          <w:lang w:val="es-ES_tradnl"/>
        </w:rPr>
      </w:pPr>
    </w:p>
    <w:p w14:paraId="27D0E812" w14:textId="77777777" w:rsidR="008A2A84" w:rsidRPr="00CE7AB7" w:rsidRDefault="008A2A84">
      <w:pPr>
        <w:tabs>
          <w:tab w:val="left" w:pos="1440"/>
          <w:tab w:val="left" w:pos="3060"/>
        </w:tabs>
        <w:jc w:val="center"/>
        <w:rPr>
          <w:rFonts w:ascii="Arial" w:eastAsia="Arial" w:hAnsi="Arial" w:cs="Arial"/>
          <w:b/>
          <w:smallCaps/>
          <w:lang w:val="es-ES_tradnl"/>
        </w:rPr>
      </w:pPr>
    </w:p>
    <w:p w14:paraId="1463B8BC" w14:textId="77777777" w:rsidR="008A2A84" w:rsidRPr="00CE7AB7" w:rsidRDefault="008A2A84">
      <w:pPr>
        <w:tabs>
          <w:tab w:val="left" w:pos="1440"/>
          <w:tab w:val="left" w:pos="3060"/>
        </w:tabs>
        <w:jc w:val="center"/>
        <w:rPr>
          <w:rFonts w:ascii="Arial" w:eastAsia="Arial" w:hAnsi="Arial" w:cs="Arial"/>
          <w:b/>
          <w:smallCaps/>
          <w:lang w:val="es-ES_tradnl"/>
        </w:rPr>
      </w:pPr>
    </w:p>
    <w:p w14:paraId="50B2AEA1" w14:textId="77777777" w:rsidR="008A2A84" w:rsidRPr="00CE7AB7" w:rsidRDefault="008A2A84">
      <w:pPr>
        <w:tabs>
          <w:tab w:val="left" w:pos="1440"/>
          <w:tab w:val="left" w:pos="3060"/>
        </w:tabs>
        <w:rPr>
          <w:rFonts w:ascii="Arial" w:eastAsia="Arial" w:hAnsi="Arial" w:cs="Arial"/>
          <w:b/>
          <w:smallCaps/>
          <w:lang w:val="es-ES_tradnl"/>
        </w:rPr>
      </w:pPr>
    </w:p>
    <w:p w14:paraId="71E24860" w14:textId="77777777" w:rsidR="008A2A84" w:rsidRPr="00CE7AB7" w:rsidRDefault="008A2A84">
      <w:pPr>
        <w:spacing w:before="120"/>
        <w:jc w:val="center"/>
        <w:rPr>
          <w:rFonts w:ascii="Arial" w:eastAsia="Arial" w:hAnsi="Arial" w:cs="Arial"/>
          <w:b/>
          <w:lang w:val="es-ES_tradnl"/>
        </w:rPr>
      </w:pPr>
    </w:p>
    <w:p w14:paraId="10FF8EAD" w14:textId="77777777" w:rsidR="008A2A84" w:rsidRPr="00CE7AB7" w:rsidRDefault="008A2A84">
      <w:pPr>
        <w:jc w:val="center"/>
        <w:rPr>
          <w:rFonts w:ascii="Arial" w:eastAsia="Arial" w:hAnsi="Arial" w:cs="Arial"/>
          <w:b/>
          <w:lang w:val="es-ES_tradnl"/>
        </w:rPr>
      </w:pPr>
    </w:p>
    <w:p w14:paraId="371149CE" w14:textId="77777777" w:rsidR="008A2A84" w:rsidRPr="00CE7AB7" w:rsidRDefault="008A2A84">
      <w:pPr>
        <w:jc w:val="center"/>
        <w:rPr>
          <w:rFonts w:ascii="Arial" w:eastAsia="Arial" w:hAnsi="Arial" w:cs="Arial"/>
          <w:b/>
          <w:lang w:val="es-ES_tradnl"/>
        </w:rPr>
      </w:pPr>
    </w:p>
    <w:p w14:paraId="2D493E33" w14:textId="77777777" w:rsidR="008A2A84" w:rsidRPr="00CE7AB7" w:rsidRDefault="008A2A84">
      <w:pPr>
        <w:jc w:val="center"/>
        <w:rPr>
          <w:rFonts w:ascii="Arial" w:eastAsia="Arial" w:hAnsi="Arial" w:cs="Arial"/>
          <w:b/>
          <w:lang w:val="es-ES_tradnl"/>
        </w:rPr>
      </w:pPr>
    </w:p>
    <w:p w14:paraId="6DE4069D" w14:textId="77777777" w:rsidR="008A2A84" w:rsidRPr="00CE7AB7" w:rsidRDefault="008A2A84">
      <w:pPr>
        <w:jc w:val="center"/>
        <w:rPr>
          <w:rFonts w:ascii="Arial" w:eastAsia="Arial" w:hAnsi="Arial" w:cs="Arial"/>
          <w:b/>
          <w:lang w:val="es-ES_tradnl"/>
        </w:rPr>
      </w:pPr>
    </w:p>
    <w:p w14:paraId="5FDE97F0" w14:textId="77777777" w:rsidR="008A2A84" w:rsidRPr="00CE7AB7" w:rsidRDefault="008A2A84">
      <w:pPr>
        <w:jc w:val="center"/>
        <w:rPr>
          <w:rFonts w:ascii="Arial" w:eastAsia="Arial" w:hAnsi="Arial" w:cs="Arial"/>
          <w:b/>
          <w:lang w:val="es-ES_tradnl"/>
        </w:rPr>
      </w:pPr>
    </w:p>
    <w:p w14:paraId="7977C965" w14:textId="77777777" w:rsidR="008A2A84" w:rsidRPr="00CE7AB7" w:rsidRDefault="008A2A84">
      <w:pPr>
        <w:jc w:val="center"/>
        <w:rPr>
          <w:rFonts w:ascii="Arial" w:eastAsia="Arial" w:hAnsi="Arial" w:cs="Arial"/>
          <w:b/>
          <w:lang w:val="es-ES_tradnl"/>
        </w:rPr>
      </w:pPr>
    </w:p>
    <w:p w14:paraId="03762786" w14:textId="77777777" w:rsidR="008A2A84" w:rsidRPr="00CE7AB7" w:rsidRDefault="008A2A84">
      <w:pPr>
        <w:jc w:val="center"/>
        <w:rPr>
          <w:rFonts w:ascii="Arial" w:eastAsia="Arial" w:hAnsi="Arial" w:cs="Arial"/>
          <w:b/>
          <w:lang w:val="es-ES_tradnl"/>
        </w:rPr>
      </w:pPr>
    </w:p>
    <w:p w14:paraId="66D6EEA8" w14:textId="77777777" w:rsidR="008A2A84" w:rsidRPr="00CE7AB7" w:rsidRDefault="008A2A84">
      <w:pPr>
        <w:jc w:val="center"/>
        <w:rPr>
          <w:rFonts w:ascii="Arial" w:eastAsia="Arial" w:hAnsi="Arial" w:cs="Arial"/>
          <w:b/>
          <w:lang w:val="es-ES_tradnl"/>
        </w:rPr>
      </w:pPr>
    </w:p>
    <w:p w14:paraId="5E8E9EF6" w14:textId="77777777" w:rsidR="008A2A84" w:rsidRPr="00CE7AB7" w:rsidRDefault="008A2A84">
      <w:pPr>
        <w:tabs>
          <w:tab w:val="left" w:pos="1440"/>
          <w:tab w:val="left" w:pos="3060"/>
        </w:tabs>
        <w:jc w:val="center"/>
        <w:rPr>
          <w:rFonts w:ascii="Arial" w:eastAsia="Arial" w:hAnsi="Arial" w:cs="Arial"/>
          <w:lang w:val="es-ES_tradnl"/>
        </w:rPr>
      </w:pPr>
    </w:p>
    <w:p w14:paraId="20752DD8" w14:textId="77777777" w:rsidR="008A2A84" w:rsidRPr="00CE7AB7" w:rsidRDefault="008A2A84">
      <w:pPr>
        <w:tabs>
          <w:tab w:val="left" w:pos="1440"/>
          <w:tab w:val="left" w:pos="3060"/>
        </w:tabs>
        <w:jc w:val="center"/>
        <w:rPr>
          <w:rFonts w:ascii="Arial" w:eastAsia="Arial" w:hAnsi="Arial" w:cs="Arial"/>
          <w:lang w:val="es-ES_tradnl"/>
        </w:rPr>
      </w:pPr>
    </w:p>
    <w:p w14:paraId="4A6C6F37" w14:textId="77777777" w:rsidR="008A2A84" w:rsidRPr="00CE7AB7" w:rsidRDefault="008A2A84">
      <w:pPr>
        <w:tabs>
          <w:tab w:val="left" w:pos="1440"/>
          <w:tab w:val="left" w:pos="3060"/>
        </w:tabs>
        <w:jc w:val="center"/>
        <w:rPr>
          <w:rFonts w:ascii="Arial" w:eastAsia="Arial" w:hAnsi="Arial" w:cs="Arial"/>
          <w:lang w:val="es-ES_tradnl"/>
        </w:rPr>
      </w:pPr>
    </w:p>
    <w:p w14:paraId="3CF37037" w14:textId="77777777" w:rsidR="008A2A84" w:rsidRPr="00CE7AB7" w:rsidRDefault="001B2BB5">
      <w:pPr>
        <w:pBdr>
          <w:top w:val="single" w:sz="4" w:space="1" w:color="000000"/>
          <w:left w:val="single" w:sz="4" w:space="4" w:color="000000"/>
          <w:bottom w:val="single" w:sz="4" w:space="0" w:color="000000"/>
          <w:right w:val="single" w:sz="4" w:space="4" w:color="000000"/>
        </w:pBdr>
        <w:tabs>
          <w:tab w:val="left" w:pos="1440"/>
        </w:tabs>
        <w:spacing w:after="120" w:line="276" w:lineRule="auto"/>
        <w:jc w:val="both"/>
        <w:rPr>
          <w:rFonts w:ascii="Arial" w:eastAsia="Arial" w:hAnsi="Arial" w:cs="Arial"/>
          <w:b/>
          <w:lang w:val="es-ES_tradnl"/>
        </w:rPr>
      </w:pPr>
      <w:r w:rsidRPr="00CE7AB7">
        <w:rPr>
          <w:rFonts w:ascii="Arial" w:eastAsia="Arial" w:hAnsi="Arial" w:cs="Arial"/>
          <w:sz w:val="22"/>
          <w:szCs w:val="22"/>
          <w:lang w:val="es-ES_tradnl"/>
        </w:rPr>
        <w:t xml:space="preserve">El presente documento fue elaborado por: </w:t>
      </w:r>
      <w:r w:rsidR="0047733F">
        <w:rPr>
          <w:rFonts w:ascii="Arial" w:eastAsia="Arial" w:hAnsi="Arial" w:cs="Arial"/>
          <w:sz w:val="22"/>
          <w:szCs w:val="22"/>
          <w:lang w:val="es-ES_tradnl"/>
        </w:rPr>
        <w:t>Claudia Lisboa</w:t>
      </w:r>
      <w:r w:rsidR="000252F1">
        <w:rPr>
          <w:rFonts w:ascii="Arial" w:eastAsia="Arial" w:hAnsi="Arial" w:cs="Arial"/>
          <w:sz w:val="22"/>
          <w:szCs w:val="22"/>
          <w:lang w:val="es-ES_tradnl"/>
        </w:rPr>
        <w:t xml:space="preserve"> </w:t>
      </w:r>
      <w:r w:rsidR="000252F1" w:rsidRPr="002C50E5">
        <w:rPr>
          <w:rFonts w:ascii="Arial" w:eastAsia="Arial" w:hAnsi="Arial" w:cs="Arial"/>
          <w:sz w:val="22"/>
          <w:szCs w:val="22"/>
          <w:lang w:val="es-ES_tradnl"/>
        </w:rPr>
        <w:t>(SCL/EDU)</w:t>
      </w:r>
      <w:r w:rsidR="00C350DF">
        <w:rPr>
          <w:rFonts w:ascii="Arial" w:eastAsia="Arial" w:hAnsi="Arial" w:cs="Arial"/>
          <w:sz w:val="22"/>
          <w:szCs w:val="22"/>
          <w:lang w:val="es-ES_tradnl"/>
        </w:rPr>
        <w:t xml:space="preserve">, </w:t>
      </w:r>
      <w:r w:rsidRPr="00CE7AB7">
        <w:rPr>
          <w:rFonts w:ascii="Arial" w:eastAsia="Arial" w:hAnsi="Arial" w:cs="Arial"/>
          <w:sz w:val="22"/>
          <w:szCs w:val="22"/>
          <w:lang w:val="es-ES_tradnl"/>
        </w:rPr>
        <w:t>bajo la supervisión de</w:t>
      </w:r>
      <w:r w:rsidR="00C350DF">
        <w:rPr>
          <w:rFonts w:ascii="Arial" w:eastAsia="Arial" w:hAnsi="Arial" w:cs="Arial"/>
          <w:sz w:val="22"/>
          <w:szCs w:val="22"/>
          <w:lang w:val="es-ES_tradnl"/>
        </w:rPr>
        <w:t xml:space="preserve"> </w:t>
      </w:r>
      <w:r w:rsidR="00F21AF9">
        <w:rPr>
          <w:rFonts w:ascii="Arial" w:eastAsia="Arial" w:hAnsi="Arial" w:cs="Arial"/>
          <w:sz w:val="22"/>
          <w:szCs w:val="22"/>
          <w:lang w:val="es-ES_tradnl"/>
        </w:rPr>
        <w:t>David Rosas</w:t>
      </w:r>
      <w:r w:rsidR="00A06A72">
        <w:rPr>
          <w:rFonts w:ascii="Arial" w:eastAsia="Arial" w:hAnsi="Arial" w:cs="Arial"/>
          <w:sz w:val="22"/>
          <w:szCs w:val="22"/>
          <w:lang w:val="es-ES_tradnl"/>
        </w:rPr>
        <w:t xml:space="preserve"> (SCL/LMK)</w:t>
      </w:r>
      <w:r w:rsidR="00F21AF9">
        <w:rPr>
          <w:rFonts w:ascii="Arial" w:eastAsia="Arial" w:hAnsi="Arial" w:cs="Arial"/>
          <w:sz w:val="22"/>
          <w:szCs w:val="22"/>
          <w:lang w:val="es-ES_tradnl"/>
        </w:rPr>
        <w:t>,</w:t>
      </w:r>
      <w:r w:rsidR="0047733F">
        <w:rPr>
          <w:rFonts w:ascii="Arial" w:eastAsia="Arial" w:hAnsi="Arial" w:cs="Arial"/>
          <w:sz w:val="22"/>
          <w:szCs w:val="22"/>
          <w:lang w:val="es-ES_tradnl"/>
        </w:rPr>
        <w:t xml:space="preserve"> Pablo Zoido</w:t>
      </w:r>
      <w:r w:rsidR="000252F1">
        <w:rPr>
          <w:rFonts w:ascii="Arial" w:eastAsia="Arial" w:hAnsi="Arial" w:cs="Arial"/>
          <w:sz w:val="22"/>
          <w:szCs w:val="22"/>
          <w:lang w:val="es-ES_tradnl"/>
        </w:rPr>
        <w:t xml:space="preserve"> </w:t>
      </w:r>
      <w:r w:rsidR="000252F1" w:rsidRPr="002C50E5">
        <w:rPr>
          <w:rFonts w:ascii="Arial" w:eastAsia="Arial" w:hAnsi="Arial" w:cs="Arial"/>
          <w:sz w:val="22"/>
          <w:szCs w:val="22"/>
          <w:lang w:val="es-ES_tradnl"/>
        </w:rPr>
        <w:t>(SCL/EDU)</w:t>
      </w:r>
      <w:r w:rsidR="00F21AF9">
        <w:rPr>
          <w:rFonts w:ascii="Arial" w:eastAsia="Arial" w:hAnsi="Arial" w:cs="Arial"/>
          <w:sz w:val="22"/>
          <w:szCs w:val="22"/>
          <w:lang w:val="es-ES_tradnl"/>
        </w:rPr>
        <w:t xml:space="preserve"> y Alfonso Tolmos</w:t>
      </w:r>
      <w:r w:rsidR="00DE033D">
        <w:rPr>
          <w:rFonts w:ascii="Arial" w:eastAsia="Arial" w:hAnsi="Arial" w:cs="Arial"/>
          <w:sz w:val="22"/>
          <w:szCs w:val="22"/>
          <w:lang w:val="es-ES_tradnl"/>
        </w:rPr>
        <w:t xml:space="preserve"> (Tras100d)</w:t>
      </w:r>
      <w:r w:rsidR="00802CF9">
        <w:rPr>
          <w:rFonts w:ascii="Arial" w:eastAsia="Arial" w:hAnsi="Arial" w:cs="Arial"/>
          <w:sz w:val="22"/>
          <w:szCs w:val="22"/>
          <w:lang w:val="es-ES_tradnl"/>
        </w:rPr>
        <w:t>, con comentarios de Renzo</w:t>
      </w:r>
      <w:r w:rsidR="00DE033D">
        <w:rPr>
          <w:rFonts w:ascii="Arial" w:eastAsia="Arial" w:hAnsi="Arial" w:cs="Arial"/>
          <w:sz w:val="22"/>
          <w:szCs w:val="22"/>
          <w:lang w:val="es-ES_tradnl"/>
        </w:rPr>
        <w:t xml:space="preserve"> </w:t>
      </w:r>
      <w:r w:rsidR="00802CF9">
        <w:rPr>
          <w:rFonts w:ascii="Arial" w:eastAsia="Arial" w:hAnsi="Arial" w:cs="Arial"/>
          <w:sz w:val="22"/>
          <w:szCs w:val="22"/>
          <w:lang w:val="es-ES_tradnl"/>
        </w:rPr>
        <w:t>Guzmán</w:t>
      </w:r>
      <w:r w:rsidR="00DE033D">
        <w:rPr>
          <w:rFonts w:ascii="Arial" w:eastAsia="Arial" w:hAnsi="Arial" w:cs="Arial"/>
          <w:sz w:val="22"/>
          <w:szCs w:val="22"/>
          <w:lang w:val="es-ES_tradnl"/>
        </w:rPr>
        <w:t xml:space="preserve"> (Tras100d)</w:t>
      </w:r>
      <w:r w:rsidR="00802CF9">
        <w:rPr>
          <w:rFonts w:ascii="Arial" w:eastAsia="Arial" w:hAnsi="Arial" w:cs="Arial"/>
          <w:sz w:val="22"/>
          <w:szCs w:val="22"/>
          <w:lang w:val="es-ES_tradnl"/>
        </w:rPr>
        <w:t xml:space="preserve"> y Horacio Valencia</w:t>
      </w:r>
      <w:r w:rsidR="00A06A72">
        <w:rPr>
          <w:rFonts w:ascii="Arial" w:eastAsia="Arial" w:hAnsi="Arial" w:cs="Arial"/>
          <w:sz w:val="22"/>
          <w:szCs w:val="22"/>
          <w:lang w:val="es-ES_tradnl"/>
        </w:rPr>
        <w:t xml:space="preserve"> (SCL/LMK)</w:t>
      </w:r>
      <w:r w:rsidR="00802CF9">
        <w:rPr>
          <w:rFonts w:ascii="Arial" w:eastAsia="Arial" w:hAnsi="Arial" w:cs="Arial"/>
          <w:sz w:val="22"/>
          <w:szCs w:val="22"/>
          <w:lang w:val="es-ES_tradnl"/>
        </w:rPr>
        <w:t>.</w:t>
      </w:r>
      <w:r w:rsidRPr="00CE7AB7">
        <w:rPr>
          <w:lang w:val="es-ES_tradnl"/>
        </w:rPr>
        <w:br w:type="page"/>
      </w:r>
    </w:p>
    <w:p w14:paraId="6224C2A6" w14:textId="77777777" w:rsidR="008A2A84" w:rsidRDefault="001B2BB5">
      <w:pPr>
        <w:numPr>
          <w:ilvl w:val="0"/>
          <w:numId w:val="1"/>
        </w:numPr>
        <w:spacing w:before="120"/>
        <w:ind w:left="0"/>
        <w:contextualSpacing/>
        <w:jc w:val="both"/>
        <w:rPr>
          <w:rFonts w:ascii="Arial" w:eastAsia="Arial" w:hAnsi="Arial" w:cs="Arial"/>
          <w:b/>
        </w:rPr>
      </w:pPr>
      <w:r>
        <w:rPr>
          <w:rFonts w:ascii="Arial" w:eastAsia="Arial" w:hAnsi="Arial" w:cs="Arial"/>
          <w:b/>
        </w:rPr>
        <w:lastRenderedPageBreak/>
        <w:t xml:space="preserve">Introducción </w:t>
      </w:r>
    </w:p>
    <w:p w14:paraId="374C3DE3" w14:textId="77777777" w:rsidR="008A2A84" w:rsidRDefault="008A2A84">
      <w:pPr>
        <w:jc w:val="both"/>
        <w:rPr>
          <w:rFonts w:ascii="Arial" w:eastAsia="Arial" w:hAnsi="Arial" w:cs="Arial"/>
          <w:b/>
        </w:rPr>
      </w:pPr>
    </w:p>
    <w:p w14:paraId="02EEF04E" w14:textId="19AC864E" w:rsidR="008A2A84" w:rsidRDefault="00774BB3">
      <w:pPr>
        <w:numPr>
          <w:ilvl w:val="0"/>
          <w:numId w:val="2"/>
        </w:numPr>
        <w:ind w:left="0"/>
        <w:contextualSpacing/>
        <w:jc w:val="both"/>
        <w:rPr>
          <w:rFonts w:ascii="Arial" w:eastAsia="Arial" w:hAnsi="Arial" w:cs="Arial"/>
          <w:sz w:val="22"/>
          <w:szCs w:val="22"/>
          <w:lang w:val="es-ES_tradnl"/>
        </w:rPr>
      </w:pPr>
      <w:bookmarkStart w:id="0" w:name="_gjdgxs" w:colFirst="0" w:colLast="0"/>
      <w:bookmarkEnd w:id="0"/>
      <w:r w:rsidRPr="00291929">
        <w:rPr>
          <w:rFonts w:ascii="Arial" w:eastAsia="Arial" w:hAnsi="Arial" w:cs="Arial"/>
          <w:b/>
          <w:sz w:val="22"/>
          <w:szCs w:val="22"/>
          <w:lang w:val="es-ES_tradnl"/>
        </w:rPr>
        <w:t xml:space="preserve">Antecedentes. </w:t>
      </w:r>
      <w:r w:rsidR="001B2BB5" w:rsidRPr="00CE7AB7">
        <w:rPr>
          <w:rFonts w:ascii="Arial" w:eastAsia="Arial" w:hAnsi="Arial" w:cs="Arial"/>
          <w:sz w:val="22"/>
          <w:szCs w:val="22"/>
          <w:lang w:val="es-ES_tradnl"/>
        </w:rPr>
        <w:t xml:space="preserve">El presente documento </w:t>
      </w:r>
      <w:r w:rsidR="00EA22CE">
        <w:rPr>
          <w:rFonts w:ascii="Arial" w:eastAsia="Arial" w:hAnsi="Arial" w:cs="Arial"/>
          <w:sz w:val="22"/>
          <w:szCs w:val="22"/>
          <w:lang w:val="es-ES_tradnl"/>
        </w:rPr>
        <w:t>presenta</w:t>
      </w:r>
      <w:r w:rsidR="00EA22CE" w:rsidRPr="00CE7AB7">
        <w:rPr>
          <w:rFonts w:ascii="Arial" w:eastAsia="Arial" w:hAnsi="Arial" w:cs="Arial"/>
          <w:sz w:val="22"/>
          <w:szCs w:val="22"/>
          <w:lang w:val="es-ES_tradnl"/>
        </w:rPr>
        <w:t xml:space="preserve"> </w:t>
      </w:r>
      <w:r w:rsidR="00646E4A">
        <w:rPr>
          <w:rFonts w:ascii="Arial" w:eastAsia="Arial" w:hAnsi="Arial" w:cs="Arial"/>
          <w:sz w:val="22"/>
          <w:szCs w:val="22"/>
          <w:lang w:val="es-ES_tradnl"/>
        </w:rPr>
        <w:t>el análisis económico</w:t>
      </w:r>
      <w:r w:rsidR="001B2BB5" w:rsidRPr="00CE7AB7">
        <w:rPr>
          <w:rFonts w:ascii="Arial" w:eastAsia="Arial" w:hAnsi="Arial" w:cs="Arial"/>
          <w:sz w:val="22"/>
          <w:szCs w:val="22"/>
          <w:lang w:val="es-ES_tradnl"/>
        </w:rPr>
        <w:t xml:space="preserve"> del préstamo PE-L1227, </w:t>
      </w:r>
      <w:r w:rsidR="001B2BB5" w:rsidRPr="00CE7AB7">
        <w:rPr>
          <w:rFonts w:ascii="Arial" w:eastAsia="Arial" w:hAnsi="Arial" w:cs="Arial"/>
          <w:i/>
          <w:sz w:val="22"/>
          <w:szCs w:val="22"/>
          <w:lang w:val="es-ES_tradnl"/>
        </w:rPr>
        <w:t>Programa para la Mejora de la Calidad y Pertinencia de los Servicios de Educación Superior Universitaria y Tecnológica a Nivel Nacional</w:t>
      </w:r>
      <w:r w:rsidR="001B2BB5" w:rsidRPr="00CE7AB7">
        <w:rPr>
          <w:rFonts w:ascii="Arial" w:eastAsia="Arial" w:hAnsi="Arial" w:cs="Arial"/>
          <w:sz w:val="22"/>
          <w:szCs w:val="22"/>
          <w:lang w:val="es-ES_tradnl"/>
        </w:rPr>
        <w:t xml:space="preserve">. El proyecto tiene como objetivo </w:t>
      </w:r>
      <w:r w:rsidR="00DF0E0C">
        <w:rPr>
          <w:rFonts w:ascii="Arial" w:eastAsia="Arial" w:hAnsi="Arial" w:cs="Arial"/>
          <w:sz w:val="22"/>
          <w:szCs w:val="22"/>
          <w:lang w:val="es-ES_tradnl"/>
        </w:rPr>
        <w:t xml:space="preserve">general </w:t>
      </w:r>
      <w:r w:rsidR="001B2BB5" w:rsidRPr="00CE7AB7">
        <w:rPr>
          <w:rFonts w:ascii="Arial" w:eastAsia="Arial" w:hAnsi="Arial" w:cs="Arial"/>
          <w:sz w:val="22"/>
          <w:szCs w:val="22"/>
          <w:lang w:val="es-ES_tradnl"/>
        </w:rPr>
        <w:t xml:space="preserve">que los estudiantes de la educación superior </w:t>
      </w:r>
      <w:r w:rsidR="00DF0E0C">
        <w:rPr>
          <w:rFonts w:ascii="Arial" w:eastAsia="Arial" w:hAnsi="Arial" w:cs="Arial"/>
          <w:sz w:val="22"/>
          <w:szCs w:val="22"/>
          <w:lang w:val="es-ES_tradnl"/>
        </w:rPr>
        <w:t>(ES)</w:t>
      </w:r>
      <w:r w:rsidR="001B2BB5" w:rsidRPr="00CE7AB7">
        <w:rPr>
          <w:rFonts w:ascii="Arial" w:eastAsia="Arial" w:hAnsi="Arial" w:cs="Arial"/>
          <w:sz w:val="22"/>
          <w:szCs w:val="22"/>
          <w:lang w:val="es-ES_tradnl"/>
        </w:rPr>
        <w:t>, universitaria y tecnológica</w:t>
      </w:r>
      <w:r w:rsidR="00EA0156">
        <w:rPr>
          <w:rFonts w:ascii="Arial" w:eastAsia="Arial" w:hAnsi="Arial" w:cs="Arial"/>
          <w:sz w:val="22"/>
          <w:szCs w:val="22"/>
          <w:lang w:val="es-ES_tradnl"/>
        </w:rPr>
        <w:t xml:space="preserve">, del Perú </w:t>
      </w:r>
      <w:r w:rsidR="001B2BB5" w:rsidRPr="00CE7AB7">
        <w:rPr>
          <w:rFonts w:ascii="Arial" w:eastAsia="Arial" w:hAnsi="Arial" w:cs="Arial"/>
          <w:sz w:val="22"/>
          <w:szCs w:val="22"/>
          <w:lang w:val="es-ES_tradnl"/>
        </w:rPr>
        <w:t>ac</w:t>
      </w:r>
      <w:r w:rsidR="00EA0156">
        <w:rPr>
          <w:rFonts w:ascii="Arial" w:eastAsia="Arial" w:hAnsi="Arial" w:cs="Arial"/>
          <w:sz w:val="22"/>
          <w:szCs w:val="22"/>
          <w:lang w:val="es-ES_tradnl"/>
        </w:rPr>
        <w:t>cedan a instituciones que brinda</w:t>
      </w:r>
      <w:r w:rsidR="001B2BB5" w:rsidRPr="00CE7AB7">
        <w:rPr>
          <w:rFonts w:ascii="Arial" w:eastAsia="Arial" w:hAnsi="Arial" w:cs="Arial"/>
          <w:sz w:val="22"/>
          <w:szCs w:val="22"/>
          <w:lang w:val="es-ES_tradnl"/>
        </w:rPr>
        <w:t>n adecuados servicios educat</w:t>
      </w:r>
      <w:r w:rsidR="0044514B">
        <w:rPr>
          <w:rFonts w:ascii="Arial" w:eastAsia="Arial" w:hAnsi="Arial" w:cs="Arial"/>
          <w:sz w:val="22"/>
          <w:szCs w:val="22"/>
          <w:lang w:val="es-ES_tradnl"/>
        </w:rPr>
        <w:t xml:space="preserve">ivos, pertinentes y de calidad. Los objetivos específicos son: </w:t>
      </w:r>
      <w:r w:rsidR="00DF0E0C" w:rsidRPr="00775420">
        <w:rPr>
          <w:rFonts w:ascii="Arial" w:eastAsia="Arial" w:hAnsi="Arial" w:cs="Arial"/>
          <w:sz w:val="22"/>
          <w:szCs w:val="22"/>
          <w:lang w:val="es-ES_tradnl"/>
        </w:rPr>
        <w:t>(i) mejorar el conocimiento y la información para orientar las decisiones de política orientadas al aseguramiento de la calidad y la pertinencia de la ES; (ii) fortalecer la institucionalidad de la ES pública para brindar servicios educativos pertinentes y de calidad; y (iii) asegurar una adecuada infraestructura y e</w:t>
      </w:r>
      <w:r w:rsidR="00DF0E0C">
        <w:rPr>
          <w:rFonts w:ascii="Arial" w:eastAsia="Arial" w:hAnsi="Arial" w:cs="Arial"/>
          <w:sz w:val="22"/>
          <w:szCs w:val="22"/>
          <w:lang w:val="es-ES_tradnl"/>
        </w:rPr>
        <w:t>quipamiento de las instituciones de educación superior (IES) públicas</w:t>
      </w:r>
      <w:r w:rsidR="001B2BB5" w:rsidRPr="005C5CBD">
        <w:rPr>
          <w:rFonts w:ascii="Arial" w:eastAsia="Arial" w:hAnsi="Arial" w:cs="Arial"/>
          <w:sz w:val="22"/>
          <w:szCs w:val="22"/>
          <w:lang w:val="es-ES_tradnl"/>
        </w:rPr>
        <w:t xml:space="preserve">. Por medio de la presente operación, el BID busca apoyar al Gobierno de Perú </w:t>
      </w:r>
      <w:r w:rsidR="0044514B">
        <w:rPr>
          <w:rFonts w:ascii="Arial" w:eastAsia="Arial" w:hAnsi="Arial" w:cs="Arial"/>
          <w:sz w:val="22"/>
          <w:szCs w:val="22"/>
          <w:lang w:val="es-ES_tradnl"/>
        </w:rPr>
        <w:t xml:space="preserve">(GOP) </w:t>
      </w:r>
      <w:r w:rsidR="001B2BB5" w:rsidRPr="005C5CBD">
        <w:rPr>
          <w:rFonts w:ascii="Arial" w:eastAsia="Arial" w:hAnsi="Arial" w:cs="Arial"/>
          <w:sz w:val="22"/>
          <w:szCs w:val="22"/>
          <w:lang w:val="es-ES_tradnl"/>
        </w:rPr>
        <w:t xml:space="preserve">en el diagnóstico de la problemática de la calidad de la </w:t>
      </w:r>
      <w:r w:rsidR="0044514B">
        <w:rPr>
          <w:rFonts w:ascii="Arial" w:eastAsia="Arial" w:hAnsi="Arial" w:cs="Arial"/>
          <w:sz w:val="22"/>
          <w:szCs w:val="22"/>
          <w:lang w:val="es-ES_tradnl"/>
        </w:rPr>
        <w:t>ESU</w:t>
      </w:r>
      <w:r w:rsidR="001B2BB5" w:rsidRPr="005C5CBD">
        <w:rPr>
          <w:rFonts w:ascii="Arial" w:eastAsia="Arial" w:hAnsi="Arial" w:cs="Arial"/>
          <w:sz w:val="22"/>
          <w:szCs w:val="22"/>
          <w:lang w:val="es-ES_tradnl"/>
        </w:rPr>
        <w:t xml:space="preserve"> en el país para proveer una solución dirigida a mejorar los resultados de los estudiantes y egresados en el mercado laboral, tal que mejoren sus niveles de ingresos a través de mejoras en sus niveles de productividad y esto tenga un impacto de largo plazo en los niveles de desarrollo del país.</w:t>
      </w:r>
      <w:r w:rsidR="001B2BB5" w:rsidRPr="00CE7AB7">
        <w:rPr>
          <w:rFonts w:ascii="Arial" w:eastAsia="Arial" w:hAnsi="Arial" w:cs="Arial"/>
          <w:sz w:val="22"/>
          <w:szCs w:val="22"/>
          <w:lang w:val="es-ES_tradnl"/>
        </w:rPr>
        <w:t xml:space="preserve"> </w:t>
      </w:r>
    </w:p>
    <w:p w14:paraId="238594B6" w14:textId="77777777" w:rsidR="008A2A84" w:rsidRPr="00CE7AB7" w:rsidRDefault="008A2A84" w:rsidP="005F1CA6">
      <w:pPr>
        <w:rPr>
          <w:rFonts w:ascii="Arial" w:eastAsia="Arial" w:hAnsi="Arial" w:cs="Arial"/>
          <w:sz w:val="22"/>
          <w:szCs w:val="22"/>
          <w:lang w:val="es-ES_tradnl"/>
        </w:rPr>
      </w:pPr>
    </w:p>
    <w:p w14:paraId="56A6E2AF" w14:textId="77777777" w:rsidR="008A2A84" w:rsidRPr="00CE7AB7" w:rsidRDefault="001B2BB5">
      <w:pPr>
        <w:numPr>
          <w:ilvl w:val="0"/>
          <w:numId w:val="2"/>
        </w:numPr>
        <w:ind w:left="0"/>
        <w:contextualSpacing/>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En un entorno de estabilidad </w:t>
      </w:r>
      <w:r w:rsidR="00EA22CE" w:rsidRPr="00CE7AB7">
        <w:rPr>
          <w:rFonts w:ascii="Arial" w:eastAsia="Arial" w:hAnsi="Arial" w:cs="Arial"/>
          <w:sz w:val="22"/>
          <w:szCs w:val="22"/>
          <w:lang w:val="es-ES_tradnl"/>
        </w:rPr>
        <w:t>macroeconómic</w:t>
      </w:r>
      <w:r w:rsidR="00EA22CE">
        <w:rPr>
          <w:rFonts w:ascii="Arial" w:eastAsia="Arial" w:hAnsi="Arial" w:cs="Arial"/>
          <w:sz w:val="22"/>
          <w:szCs w:val="22"/>
          <w:lang w:val="es-ES_tradnl"/>
        </w:rPr>
        <w:t>a</w:t>
      </w:r>
      <w:r w:rsidR="00EA22CE" w:rsidRPr="00CE7AB7">
        <w:rPr>
          <w:rFonts w:ascii="Arial" w:eastAsia="Arial" w:hAnsi="Arial" w:cs="Arial"/>
          <w:sz w:val="22"/>
          <w:szCs w:val="22"/>
          <w:lang w:val="es-ES_tradnl"/>
        </w:rPr>
        <w:t xml:space="preserve"> </w:t>
      </w:r>
      <w:r w:rsidRPr="00CE7AB7">
        <w:rPr>
          <w:rFonts w:ascii="Arial" w:eastAsia="Arial" w:hAnsi="Arial" w:cs="Arial"/>
          <w:sz w:val="22"/>
          <w:szCs w:val="22"/>
          <w:lang w:val="es-ES_tradnl"/>
        </w:rPr>
        <w:t xml:space="preserve">y social junto con avances en la consolidación democrática en el país, se inició una reforma educativa hacia el último quinquenio. </w:t>
      </w:r>
      <w:r w:rsidR="00291929">
        <w:rPr>
          <w:rFonts w:ascii="Arial" w:eastAsia="Arial" w:hAnsi="Arial" w:cs="Arial"/>
          <w:sz w:val="22"/>
          <w:szCs w:val="22"/>
          <w:lang w:val="es-ES_tradnl"/>
        </w:rPr>
        <w:t>Bajo este marco, e</w:t>
      </w:r>
      <w:r w:rsidRPr="00CE7AB7">
        <w:rPr>
          <w:rFonts w:ascii="Arial" w:eastAsia="Arial" w:hAnsi="Arial" w:cs="Arial"/>
          <w:sz w:val="22"/>
          <w:szCs w:val="22"/>
          <w:lang w:val="es-ES_tradnl"/>
        </w:rPr>
        <w:t xml:space="preserve">n materia de </w:t>
      </w:r>
      <w:r w:rsidR="00774BB3">
        <w:rPr>
          <w:rFonts w:ascii="Arial" w:eastAsia="Arial" w:hAnsi="Arial" w:cs="Arial"/>
          <w:sz w:val="22"/>
          <w:szCs w:val="22"/>
          <w:lang w:val="es-ES_tradnl"/>
        </w:rPr>
        <w:t>ES</w:t>
      </w:r>
      <w:r w:rsidRPr="00CE7AB7">
        <w:rPr>
          <w:rFonts w:ascii="Arial" w:eastAsia="Arial" w:hAnsi="Arial" w:cs="Arial"/>
          <w:sz w:val="22"/>
          <w:szCs w:val="22"/>
          <w:lang w:val="es-ES_tradnl"/>
        </w:rPr>
        <w:t>, uno de los pilares de la reforma</w:t>
      </w:r>
      <w:r w:rsidR="00774BB3">
        <w:rPr>
          <w:rFonts w:ascii="Arial" w:eastAsia="Arial" w:hAnsi="Arial" w:cs="Arial"/>
          <w:sz w:val="22"/>
          <w:szCs w:val="22"/>
          <w:lang w:val="es-ES_tradnl"/>
        </w:rPr>
        <w:t xml:space="preserve"> se orienta</w:t>
      </w:r>
      <w:r w:rsidRPr="00CE7AB7">
        <w:rPr>
          <w:rFonts w:ascii="Arial" w:eastAsia="Arial" w:hAnsi="Arial" w:cs="Arial"/>
          <w:sz w:val="22"/>
          <w:szCs w:val="22"/>
          <w:lang w:val="es-ES_tradnl"/>
        </w:rPr>
        <w:t xml:space="preserve"> </w:t>
      </w:r>
      <w:r w:rsidR="00774BB3">
        <w:rPr>
          <w:rFonts w:ascii="Arial" w:eastAsia="Arial" w:hAnsi="Arial" w:cs="Arial"/>
          <w:sz w:val="22"/>
          <w:szCs w:val="22"/>
          <w:lang w:val="es-ES_tradnl"/>
        </w:rPr>
        <w:t xml:space="preserve">a </w:t>
      </w:r>
      <w:r w:rsidRPr="00CE7AB7">
        <w:rPr>
          <w:rFonts w:ascii="Arial" w:eastAsia="Arial" w:hAnsi="Arial" w:cs="Arial"/>
          <w:sz w:val="22"/>
          <w:szCs w:val="22"/>
          <w:lang w:val="es-ES_tradnl"/>
        </w:rPr>
        <w:t>mejorar su calidad</w:t>
      </w:r>
      <w:r w:rsidR="00774BB3">
        <w:rPr>
          <w:rFonts w:ascii="Arial" w:eastAsia="Arial" w:hAnsi="Arial" w:cs="Arial"/>
          <w:sz w:val="22"/>
          <w:szCs w:val="22"/>
          <w:lang w:val="es-ES_tradnl"/>
        </w:rPr>
        <w:t xml:space="preserve"> y</w:t>
      </w:r>
      <w:r w:rsidRPr="00CE7AB7">
        <w:rPr>
          <w:rFonts w:ascii="Arial" w:eastAsia="Arial" w:hAnsi="Arial" w:cs="Arial"/>
          <w:sz w:val="22"/>
          <w:szCs w:val="22"/>
          <w:lang w:val="es-ES_tradnl"/>
        </w:rPr>
        <w:t xml:space="preserve"> pertinencia</w:t>
      </w:r>
      <w:r>
        <w:rPr>
          <w:rFonts w:ascii="Arial" w:eastAsia="Arial" w:hAnsi="Arial" w:cs="Arial"/>
          <w:sz w:val="22"/>
          <w:szCs w:val="22"/>
          <w:vertAlign w:val="superscript"/>
        </w:rPr>
        <w:footnoteReference w:id="1"/>
      </w:r>
      <w:r w:rsidRPr="00CE7AB7">
        <w:rPr>
          <w:rFonts w:ascii="Arial" w:eastAsia="Arial" w:hAnsi="Arial" w:cs="Arial"/>
          <w:sz w:val="22"/>
          <w:szCs w:val="22"/>
          <w:lang w:val="es-ES_tradnl"/>
        </w:rPr>
        <w:t xml:space="preserve">. </w:t>
      </w:r>
    </w:p>
    <w:p w14:paraId="5B5338E0" w14:textId="77777777" w:rsidR="008A2A84" w:rsidRPr="00CE7AB7" w:rsidRDefault="008A2A84">
      <w:pPr>
        <w:ind w:left="720"/>
        <w:rPr>
          <w:rFonts w:ascii="Arial" w:eastAsia="Arial" w:hAnsi="Arial" w:cs="Arial"/>
          <w:sz w:val="22"/>
          <w:szCs w:val="22"/>
          <w:lang w:val="es-ES_tradnl"/>
        </w:rPr>
      </w:pPr>
    </w:p>
    <w:p w14:paraId="22B9D965" w14:textId="77777777" w:rsidR="008A2A84" w:rsidRDefault="00774BB3">
      <w:pPr>
        <w:numPr>
          <w:ilvl w:val="0"/>
          <w:numId w:val="2"/>
        </w:numPr>
        <w:ind w:left="0"/>
        <w:contextualSpacing/>
        <w:jc w:val="both"/>
        <w:rPr>
          <w:rFonts w:ascii="Arial" w:eastAsia="Arial" w:hAnsi="Arial" w:cs="Arial"/>
          <w:sz w:val="22"/>
          <w:szCs w:val="22"/>
          <w:lang w:val="es-ES_tradnl"/>
        </w:rPr>
      </w:pPr>
      <w:r>
        <w:rPr>
          <w:rFonts w:ascii="Arial" w:eastAsia="Arial" w:hAnsi="Arial" w:cs="Arial"/>
          <w:sz w:val="22"/>
          <w:szCs w:val="22"/>
          <w:lang w:val="es-ES_tradnl"/>
        </w:rPr>
        <w:t>E</w:t>
      </w:r>
      <w:r w:rsidR="001B2BB5" w:rsidRPr="00CE7AB7">
        <w:rPr>
          <w:rFonts w:ascii="Arial" w:eastAsia="Arial" w:hAnsi="Arial" w:cs="Arial"/>
          <w:sz w:val="22"/>
          <w:szCs w:val="22"/>
          <w:lang w:val="es-ES_tradnl"/>
        </w:rPr>
        <w:t>l crecimiento demográfico y económico, las expectativas de movilidad social</w:t>
      </w:r>
      <w:r>
        <w:rPr>
          <w:rFonts w:ascii="Arial" w:eastAsia="Arial" w:hAnsi="Arial" w:cs="Arial"/>
          <w:sz w:val="22"/>
          <w:szCs w:val="22"/>
          <w:lang w:val="es-ES_tradnl"/>
        </w:rPr>
        <w:t>,</w:t>
      </w:r>
      <w:r w:rsidR="001B2BB5" w:rsidRPr="00CE7AB7">
        <w:rPr>
          <w:rFonts w:ascii="Arial" w:eastAsia="Arial" w:hAnsi="Arial" w:cs="Arial"/>
          <w:sz w:val="22"/>
          <w:szCs w:val="22"/>
          <w:lang w:val="es-ES_tradnl"/>
        </w:rPr>
        <w:t xml:space="preserve"> y los procesos de urbani</w:t>
      </w:r>
      <w:r w:rsidR="00947C3E">
        <w:rPr>
          <w:rFonts w:ascii="Arial" w:eastAsia="Arial" w:hAnsi="Arial" w:cs="Arial"/>
          <w:sz w:val="22"/>
          <w:szCs w:val="22"/>
          <w:lang w:val="es-ES_tradnl"/>
        </w:rPr>
        <w:t xml:space="preserve">zación de las últimas décadas </w:t>
      </w:r>
      <w:r>
        <w:rPr>
          <w:rFonts w:ascii="Arial" w:eastAsia="Arial" w:hAnsi="Arial" w:cs="Arial"/>
          <w:sz w:val="22"/>
          <w:szCs w:val="22"/>
          <w:lang w:val="es-ES_tradnl"/>
        </w:rPr>
        <w:t>han contribuido a un incremento</w:t>
      </w:r>
      <w:r w:rsidR="001B2BB5" w:rsidRPr="00CE7AB7">
        <w:rPr>
          <w:rFonts w:ascii="Arial" w:eastAsia="Arial" w:hAnsi="Arial" w:cs="Arial"/>
          <w:sz w:val="22"/>
          <w:szCs w:val="22"/>
          <w:lang w:val="es-ES_tradnl"/>
        </w:rPr>
        <w:t xml:space="preserve"> </w:t>
      </w:r>
      <w:r>
        <w:rPr>
          <w:rFonts w:ascii="Arial" w:eastAsia="Arial" w:hAnsi="Arial" w:cs="Arial"/>
          <w:sz w:val="22"/>
          <w:szCs w:val="22"/>
          <w:lang w:val="es-ES_tradnl"/>
        </w:rPr>
        <w:t xml:space="preserve">de </w:t>
      </w:r>
      <w:r w:rsidR="001B2BB5" w:rsidRPr="00CE7AB7">
        <w:rPr>
          <w:rFonts w:ascii="Arial" w:eastAsia="Arial" w:hAnsi="Arial" w:cs="Arial"/>
          <w:sz w:val="22"/>
          <w:szCs w:val="22"/>
          <w:lang w:val="es-ES_tradnl"/>
        </w:rPr>
        <w:t xml:space="preserve">la demanda por </w:t>
      </w:r>
      <w:r>
        <w:rPr>
          <w:rFonts w:ascii="Arial" w:eastAsia="Arial" w:hAnsi="Arial" w:cs="Arial"/>
          <w:sz w:val="22"/>
          <w:szCs w:val="22"/>
          <w:lang w:val="es-ES_tradnl"/>
        </w:rPr>
        <w:t>ES</w:t>
      </w:r>
      <w:r w:rsidR="00947C3E" w:rsidRPr="00CE7AB7">
        <w:rPr>
          <w:rFonts w:ascii="Arial" w:eastAsia="Arial" w:hAnsi="Arial" w:cs="Arial"/>
          <w:sz w:val="22"/>
          <w:szCs w:val="22"/>
          <w:lang w:val="es-ES_tradnl"/>
        </w:rPr>
        <w:t>.</w:t>
      </w:r>
      <w:r w:rsidR="001B2BB5" w:rsidRPr="00CE7AB7">
        <w:rPr>
          <w:rFonts w:ascii="Arial" w:eastAsia="Arial" w:hAnsi="Arial" w:cs="Arial"/>
          <w:sz w:val="22"/>
          <w:szCs w:val="22"/>
          <w:lang w:val="es-ES_tradnl"/>
        </w:rPr>
        <w:t xml:space="preserve"> En consecuencia, se inició un proceso de desregulación en 1995 con la Ley No 26439 que fomentaba la participación del sector privado para incrementar el acceso a </w:t>
      </w:r>
      <w:r>
        <w:rPr>
          <w:rFonts w:ascii="Arial" w:eastAsia="Arial" w:hAnsi="Arial" w:cs="Arial"/>
          <w:sz w:val="22"/>
          <w:szCs w:val="22"/>
          <w:lang w:val="es-ES_tradnl"/>
        </w:rPr>
        <w:t>ES</w:t>
      </w:r>
      <w:r w:rsidR="009872D7" w:rsidRPr="00CE7AB7">
        <w:rPr>
          <w:rFonts w:ascii="Arial" w:eastAsia="Arial" w:hAnsi="Arial" w:cs="Arial"/>
          <w:sz w:val="22"/>
          <w:szCs w:val="22"/>
          <w:lang w:val="es-ES_tradnl"/>
        </w:rPr>
        <w:t xml:space="preserve"> </w:t>
      </w:r>
      <w:r w:rsidR="001B2BB5" w:rsidRPr="00CE7AB7">
        <w:rPr>
          <w:rFonts w:ascii="Arial" w:eastAsia="Arial" w:hAnsi="Arial" w:cs="Arial"/>
          <w:sz w:val="22"/>
          <w:szCs w:val="22"/>
          <w:lang w:val="es-ES_tradnl"/>
        </w:rPr>
        <w:t>y en 1997 con la aprobación del Decreto Legislativo No 882</w:t>
      </w:r>
      <w:r w:rsidR="001B2BB5">
        <w:rPr>
          <w:rFonts w:ascii="Arial" w:eastAsia="Arial" w:hAnsi="Arial" w:cs="Arial"/>
          <w:sz w:val="22"/>
          <w:szCs w:val="22"/>
          <w:vertAlign w:val="superscript"/>
        </w:rPr>
        <w:footnoteReference w:id="2"/>
      </w:r>
      <w:r w:rsidR="001B2BB5" w:rsidRPr="00CE7AB7">
        <w:rPr>
          <w:rFonts w:ascii="Arial" w:eastAsia="Arial" w:hAnsi="Arial" w:cs="Arial"/>
          <w:sz w:val="22"/>
          <w:szCs w:val="22"/>
          <w:lang w:val="es-ES_tradnl"/>
        </w:rPr>
        <w:t xml:space="preserve"> que permitía el establecimiento de instituciones con ánimo de lucro para abordar </w:t>
      </w:r>
      <w:r w:rsidR="009872D7">
        <w:rPr>
          <w:rFonts w:ascii="Arial" w:eastAsia="Arial" w:hAnsi="Arial" w:cs="Arial"/>
          <w:sz w:val="22"/>
          <w:szCs w:val="22"/>
          <w:lang w:val="es-ES_tradnl"/>
        </w:rPr>
        <w:t>el exceso de</w:t>
      </w:r>
      <w:r w:rsidR="009872D7" w:rsidRPr="00CE7AB7">
        <w:rPr>
          <w:rFonts w:ascii="Arial" w:eastAsia="Arial" w:hAnsi="Arial" w:cs="Arial"/>
          <w:sz w:val="22"/>
          <w:szCs w:val="22"/>
          <w:lang w:val="es-ES_tradnl"/>
        </w:rPr>
        <w:t xml:space="preserve"> </w:t>
      </w:r>
      <w:r w:rsidR="001B2BB5" w:rsidRPr="00CE7AB7">
        <w:rPr>
          <w:rFonts w:ascii="Arial" w:eastAsia="Arial" w:hAnsi="Arial" w:cs="Arial"/>
          <w:sz w:val="22"/>
          <w:szCs w:val="22"/>
          <w:lang w:val="es-ES_tradnl"/>
        </w:rPr>
        <w:t xml:space="preserve">demanda y dar mayores oportunidades de acceso a una educación superior. </w:t>
      </w:r>
    </w:p>
    <w:p w14:paraId="4ED5C05F" w14:textId="77777777" w:rsidR="00947C3E" w:rsidRPr="00CE7AB7" w:rsidRDefault="00947C3E" w:rsidP="00947C3E">
      <w:pPr>
        <w:contextualSpacing/>
        <w:jc w:val="both"/>
        <w:rPr>
          <w:rFonts w:ascii="Arial" w:eastAsia="Arial" w:hAnsi="Arial" w:cs="Arial"/>
          <w:sz w:val="22"/>
          <w:szCs w:val="22"/>
          <w:lang w:val="es-ES_tradnl"/>
        </w:rPr>
      </w:pPr>
    </w:p>
    <w:p w14:paraId="7941DDB1" w14:textId="77777777" w:rsidR="008A2A84" w:rsidRPr="00CE7AB7" w:rsidRDefault="001B2BB5">
      <w:pPr>
        <w:numPr>
          <w:ilvl w:val="0"/>
          <w:numId w:val="2"/>
        </w:numPr>
        <w:ind w:left="0"/>
        <w:contextualSpacing/>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Como consecuencia, por el lado de la oferta, Perú actualmente tiene 142 universidades (91 privadas y 51 públicas) así como 832 </w:t>
      </w:r>
      <w:r w:rsidR="002B159F">
        <w:rPr>
          <w:rFonts w:ascii="Arial" w:eastAsia="Arial" w:hAnsi="Arial" w:cs="Arial"/>
          <w:sz w:val="22"/>
          <w:szCs w:val="22"/>
          <w:lang w:val="es-ES_tradnl"/>
        </w:rPr>
        <w:t xml:space="preserve">IEST </w:t>
      </w:r>
      <w:r w:rsidRPr="00CE7AB7">
        <w:rPr>
          <w:rFonts w:ascii="Arial" w:eastAsia="Arial" w:hAnsi="Arial" w:cs="Arial"/>
          <w:sz w:val="22"/>
          <w:szCs w:val="22"/>
          <w:lang w:val="es-ES_tradnl"/>
        </w:rPr>
        <w:t xml:space="preserve">(458 privados y 374 públicos). </w:t>
      </w:r>
      <w:r w:rsidR="009872D7">
        <w:rPr>
          <w:rFonts w:ascii="Arial" w:eastAsia="Arial" w:hAnsi="Arial" w:cs="Arial"/>
          <w:sz w:val="22"/>
          <w:szCs w:val="22"/>
          <w:lang w:val="es-ES_tradnl"/>
        </w:rPr>
        <w:t>Con respecto a la situación en los 90s, e</w:t>
      </w:r>
      <w:r w:rsidRPr="00CE7AB7">
        <w:rPr>
          <w:rFonts w:ascii="Arial" w:eastAsia="Arial" w:hAnsi="Arial" w:cs="Arial"/>
          <w:sz w:val="22"/>
          <w:szCs w:val="22"/>
          <w:lang w:val="es-ES_tradnl"/>
        </w:rPr>
        <w:t xml:space="preserve">ste crecimiento representa cuatro veces el número de universidades privadas, poco más de una vez y media la cantidad de </w:t>
      </w:r>
      <w:r w:rsidR="00274642">
        <w:rPr>
          <w:rFonts w:ascii="Arial" w:eastAsia="Arial" w:hAnsi="Arial" w:cs="Arial"/>
          <w:sz w:val="22"/>
          <w:szCs w:val="22"/>
          <w:lang w:val="es-ES_tradnl"/>
        </w:rPr>
        <w:t>IEST</w:t>
      </w:r>
      <w:r w:rsidRPr="00CE7AB7">
        <w:rPr>
          <w:rFonts w:ascii="Arial" w:eastAsia="Arial" w:hAnsi="Arial" w:cs="Arial"/>
          <w:sz w:val="22"/>
          <w:szCs w:val="22"/>
          <w:lang w:val="es-ES_tradnl"/>
        </w:rPr>
        <w:t xml:space="preserve"> privados y el doble de la oferta pública en promedio. Asimismo, por el lado de la demanda, </w:t>
      </w:r>
      <w:r w:rsidR="00774BB3">
        <w:rPr>
          <w:rFonts w:ascii="Arial" w:eastAsia="Arial" w:hAnsi="Arial" w:cs="Arial"/>
          <w:sz w:val="22"/>
          <w:szCs w:val="22"/>
          <w:lang w:val="es-ES_tradnl"/>
        </w:rPr>
        <w:t>se produjo</w:t>
      </w:r>
      <w:r w:rsidRPr="00CE7AB7">
        <w:rPr>
          <w:rFonts w:ascii="Arial" w:eastAsia="Arial" w:hAnsi="Arial" w:cs="Arial"/>
          <w:sz w:val="22"/>
          <w:szCs w:val="22"/>
          <w:lang w:val="es-ES_tradnl"/>
        </w:rPr>
        <w:t xml:space="preserve"> un crecimiento sostenido en la población con </w:t>
      </w:r>
      <w:r w:rsidR="00774BB3">
        <w:rPr>
          <w:rFonts w:ascii="Arial" w:eastAsia="Arial" w:hAnsi="Arial" w:cs="Arial"/>
          <w:sz w:val="22"/>
          <w:szCs w:val="22"/>
          <w:lang w:val="es-ES_tradnl"/>
        </w:rPr>
        <w:t>E</w:t>
      </w:r>
      <w:r w:rsidR="00291929">
        <w:rPr>
          <w:rFonts w:ascii="Arial" w:eastAsia="Arial" w:hAnsi="Arial" w:cs="Arial"/>
          <w:sz w:val="22"/>
          <w:szCs w:val="22"/>
          <w:lang w:val="es-ES_tradnl"/>
        </w:rPr>
        <w:t>S</w:t>
      </w:r>
      <w:r w:rsidRPr="00CE7AB7">
        <w:rPr>
          <w:rFonts w:ascii="Arial" w:eastAsia="Arial" w:hAnsi="Arial" w:cs="Arial"/>
          <w:sz w:val="22"/>
          <w:szCs w:val="22"/>
          <w:lang w:val="es-ES_tradnl"/>
        </w:rPr>
        <w:t xml:space="preserve"> (de 10% a inicios de los 80’ a 20% en 1993 y casi 28% hacia el 2014), alcanzando 1.2 millones de alumnos matriculados en universidades y 400 mil alumnos matriculados en </w:t>
      </w:r>
      <w:r w:rsidR="00274642">
        <w:rPr>
          <w:rFonts w:ascii="Arial" w:eastAsia="Arial" w:hAnsi="Arial" w:cs="Arial"/>
          <w:sz w:val="22"/>
          <w:szCs w:val="22"/>
          <w:lang w:val="es-ES_tradnl"/>
        </w:rPr>
        <w:t>IEST</w:t>
      </w:r>
      <w:r w:rsidRPr="00CE7AB7">
        <w:rPr>
          <w:rFonts w:ascii="Arial" w:eastAsia="Arial" w:hAnsi="Arial" w:cs="Arial"/>
          <w:sz w:val="22"/>
          <w:szCs w:val="22"/>
          <w:lang w:val="es-ES_tradnl"/>
        </w:rPr>
        <w:t xml:space="preserve">. De manera complementaria, </w:t>
      </w:r>
      <w:r w:rsidR="005C5CBD">
        <w:rPr>
          <w:rFonts w:ascii="Arial" w:eastAsia="Arial" w:hAnsi="Arial" w:cs="Arial"/>
          <w:sz w:val="22"/>
          <w:szCs w:val="22"/>
          <w:lang w:val="es-ES_tradnl"/>
        </w:rPr>
        <w:t xml:space="preserve">la información recogida muestra que </w:t>
      </w:r>
      <w:r w:rsidRPr="00CE7AB7">
        <w:rPr>
          <w:rFonts w:ascii="Arial" w:eastAsia="Arial" w:hAnsi="Arial" w:cs="Arial"/>
          <w:sz w:val="22"/>
          <w:szCs w:val="22"/>
          <w:lang w:val="es-ES_tradnl"/>
        </w:rPr>
        <w:t xml:space="preserve">la demanda potencial por </w:t>
      </w:r>
      <w:r w:rsidR="00774BB3">
        <w:rPr>
          <w:rFonts w:ascii="Arial" w:eastAsia="Arial" w:hAnsi="Arial" w:cs="Arial"/>
          <w:sz w:val="22"/>
          <w:szCs w:val="22"/>
          <w:lang w:val="es-ES_tradnl"/>
        </w:rPr>
        <w:t>ES</w:t>
      </w:r>
      <w:r w:rsidRPr="00CE7AB7">
        <w:rPr>
          <w:rFonts w:ascii="Arial" w:eastAsia="Arial" w:hAnsi="Arial" w:cs="Arial"/>
          <w:sz w:val="22"/>
          <w:szCs w:val="22"/>
          <w:lang w:val="es-ES_tradnl"/>
        </w:rPr>
        <w:t xml:space="preserve"> continuará expandiéndose, ya que la tasa de conclusión de secundaria ha pasado de 43.2% en el 2011 a 68.6% en el 2015.</w:t>
      </w:r>
    </w:p>
    <w:p w14:paraId="6EE2BFB1" w14:textId="77777777" w:rsidR="008A2A84" w:rsidRPr="00CE7AB7" w:rsidRDefault="008A2A84">
      <w:pPr>
        <w:ind w:left="720"/>
        <w:rPr>
          <w:rFonts w:ascii="Arial" w:eastAsia="Arial" w:hAnsi="Arial" w:cs="Arial"/>
          <w:sz w:val="22"/>
          <w:szCs w:val="22"/>
          <w:lang w:val="es-ES_tradnl"/>
        </w:rPr>
      </w:pPr>
    </w:p>
    <w:p w14:paraId="0BE0D4D4" w14:textId="77777777" w:rsidR="008A2A84" w:rsidRPr="00CE7AB7" w:rsidRDefault="001B2BB5">
      <w:pPr>
        <w:numPr>
          <w:ilvl w:val="0"/>
          <w:numId w:val="2"/>
        </w:numPr>
        <w:ind w:left="0"/>
        <w:contextualSpacing/>
        <w:jc w:val="both"/>
        <w:rPr>
          <w:rFonts w:ascii="Arial" w:eastAsia="Arial" w:hAnsi="Arial" w:cs="Arial"/>
          <w:sz w:val="22"/>
          <w:szCs w:val="22"/>
          <w:lang w:val="es-ES_tradnl"/>
        </w:rPr>
      </w:pPr>
      <w:r w:rsidRPr="00CE7AB7">
        <w:rPr>
          <w:rFonts w:ascii="Arial" w:eastAsia="Arial" w:hAnsi="Arial" w:cs="Arial"/>
          <w:sz w:val="22"/>
          <w:szCs w:val="22"/>
          <w:lang w:val="es-ES_tradnl"/>
        </w:rPr>
        <w:lastRenderedPageBreak/>
        <w:t xml:space="preserve">Si bien Perú aún tiene una tarea pendiente de lograr los niveles de acceso a la </w:t>
      </w:r>
      <w:r w:rsidR="00774BB3">
        <w:rPr>
          <w:rFonts w:ascii="Arial" w:eastAsia="Arial" w:hAnsi="Arial" w:cs="Arial"/>
          <w:sz w:val="22"/>
          <w:szCs w:val="22"/>
          <w:lang w:val="es-ES_tradnl"/>
        </w:rPr>
        <w:t>ES</w:t>
      </w:r>
      <w:r w:rsidRPr="00CE7AB7">
        <w:rPr>
          <w:rFonts w:ascii="Arial" w:eastAsia="Arial" w:hAnsi="Arial" w:cs="Arial"/>
          <w:sz w:val="22"/>
          <w:szCs w:val="22"/>
          <w:lang w:val="es-ES_tradnl"/>
        </w:rPr>
        <w:t xml:space="preserve"> de economías avanzadas (aproximadamente 60% de la población), ya ha logrado una significativa expansión del acceso y se ha ubicado en el promedio de América Latina (aproximadamente 30% de la población). Sin embargo, esta mejora en el acceso </w:t>
      </w:r>
      <w:r w:rsidR="0064125D" w:rsidRPr="002F2DBF">
        <w:rPr>
          <w:rFonts w:ascii="Arial" w:eastAsia="Arial" w:hAnsi="Arial" w:cs="Arial"/>
          <w:sz w:val="22"/>
          <w:szCs w:val="22"/>
          <w:lang w:val="es-ES_tradnl"/>
        </w:rPr>
        <w:t xml:space="preserve">ha </w:t>
      </w:r>
      <w:r w:rsidR="0064125D">
        <w:rPr>
          <w:rFonts w:ascii="Arial" w:eastAsia="Arial" w:hAnsi="Arial" w:cs="Arial"/>
          <w:sz w:val="22"/>
          <w:szCs w:val="22"/>
          <w:lang w:val="es-ES_tradnl"/>
        </w:rPr>
        <w:t xml:space="preserve">venido acompañada de </w:t>
      </w:r>
      <w:r w:rsidR="0064125D" w:rsidRPr="002F2DBF">
        <w:rPr>
          <w:rFonts w:ascii="Arial" w:eastAsia="Arial" w:hAnsi="Arial" w:cs="Arial"/>
          <w:sz w:val="22"/>
          <w:szCs w:val="22"/>
          <w:lang w:val="es-ES_tradnl"/>
        </w:rPr>
        <w:t xml:space="preserve">un retroceso en materia de la calidad </w:t>
      </w:r>
      <w:r w:rsidR="00774BB3">
        <w:rPr>
          <w:rFonts w:ascii="Arial" w:eastAsia="Arial" w:hAnsi="Arial" w:cs="Arial"/>
          <w:sz w:val="22"/>
          <w:szCs w:val="22"/>
          <w:lang w:val="es-ES_tradnl"/>
        </w:rPr>
        <w:t xml:space="preserve">y pertinencia </w:t>
      </w:r>
      <w:r w:rsidR="0064125D" w:rsidRPr="002F2DBF">
        <w:rPr>
          <w:rFonts w:ascii="Arial" w:eastAsia="Arial" w:hAnsi="Arial" w:cs="Arial"/>
          <w:sz w:val="22"/>
          <w:szCs w:val="22"/>
          <w:lang w:val="es-ES_tradnl"/>
        </w:rPr>
        <w:t xml:space="preserve">de la </w:t>
      </w:r>
      <w:r w:rsidR="00774BB3">
        <w:rPr>
          <w:rFonts w:ascii="Arial" w:eastAsia="Arial" w:hAnsi="Arial" w:cs="Arial"/>
          <w:sz w:val="22"/>
          <w:szCs w:val="22"/>
          <w:lang w:val="es-ES_tradnl"/>
        </w:rPr>
        <w:t>ES</w:t>
      </w:r>
      <w:r w:rsidRPr="00CE7AB7">
        <w:rPr>
          <w:rFonts w:ascii="Arial" w:eastAsia="Arial" w:hAnsi="Arial" w:cs="Arial"/>
          <w:sz w:val="22"/>
          <w:szCs w:val="22"/>
          <w:lang w:val="es-ES_tradnl"/>
        </w:rPr>
        <w:t xml:space="preserve">. </w:t>
      </w:r>
      <w:r w:rsidR="00774BB3">
        <w:rPr>
          <w:rFonts w:ascii="Arial" w:eastAsia="Arial" w:hAnsi="Arial" w:cs="Arial"/>
          <w:sz w:val="22"/>
          <w:szCs w:val="22"/>
          <w:lang w:val="es-ES_tradnl"/>
        </w:rPr>
        <w:t>El</w:t>
      </w:r>
      <w:r w:rsidRPr="00CE7AB7">
        <w:rPr>
          <w:rFonts w:ascii="Arial" w:eastAsia="Arial" w:hAnsi="Arial" w:cs="Arial"/>
          <w:sz w:val="22"/>
          <w:szCs w:val="22"/>
          <w:lang w:val="es-ES_tradnl"/>
        </w:rPr>
        <w:t xml:space="preserve"> Perú aún se encuentra en una posición muy rezagada con respecto a otros países de la región y otros países </w:t>
      </w:r>
      <w:r w:rsidR="00774BB3">
        <w:rPr>
          <w:rFonts w:ascii="Arial" w:eastAsia="Arial" w:hAnsi="Arial" w:cs="Arial"/>
          <w:sz w:val="22"/>
          <w:szCs w:val="22"/>
          <w:lang w:val="es-ES_tradnl"/>
        </w:rPr>
        <w:t xml:space="preserve">de ingresos </w:t>
      </w:r>
      <w:r w:rsidRPr="00CE7AB7">
        <w:rPr>
          <w:rFonts w:ascii="Arial" w:eastAsia="Arial" w:hAnsi="Arial" w:cs="Arial"/>
          <w:sz w:val="22"/>
          <w:szCs w:val="22"/>
          <w:lang w:val="es-ES_tradnl"/>
        </w:rPr>
        <w:t>medios altos tanto a nivel de indicadores de calidad, retornos de la educación y productividad laboral.</w:t>
      </w:r>
    </w:p>
    <w:p w14:paraId="4B516F4E" w14:textId="77777777" w:rsidR="008A2A84" w:rsidRPr="00CE7AB7" w:rsidRDefault="008A2A84">
      <w:pPr>
        <w:ind w:left="720"/>
        <w:rPr>
          <w:rFonts w:ascii="Arial" w:eastAsia="Arial" w:hAnsi="Arial" w:cs="Arial"/>
          <w:sz w:val="22"/>
          <w:szCs w:val="22"/>
          <w:lang w:val="es-ES_tradnl"/>
        </w:rPr>
      </w:pPr>
    </w:p>
    <w:p w14:paraId="0E27D636" w14:textId="77777777" w:rsidR="008A2A84" w:rsidRPr="00CE7AB7" w:rsidRDefault="001B2BB5">
      <w:pPr>
        <w:numPr>
          <w:ilvl w:val="0"/>
          <w:numId w:val="2"/>
        </w:numPr>
        <w:ind w:left="0"/>
        <w:contextualSpacing/>
        <w:jc w:val="both"/>
        <w:rPr>
          <w:rFonts w:ascii="Arial" w:eastAsia="Arial" w:hAnsi="Arial" w:cs="Arial"/>
          <w:sz w:val="22"/>
          <w:szCs w:val="22"/>
          <w:lang w:val="es-ES_tradnl"/>
        </w:rPr>
      </w:pPr>
      <w:r w:rsidRPr="00CE7AB7">
        <w:rPr>
          <w:rFonts w:ascii="Arial" w:eastAsia="Arial" w:hAnsi="Arial" w:cs="Arial"/>
          <w:sz w:val="22"/>
          <w:szCs w:val="22"/>
          <w:lang w:val="es-ES_tradnl"/>
        </w:rPr>
        <w:t>Según el índice de competitividad global del Foro Económico Mundial, Perú ocupa el puesto 80 de 138 países, lo cual lo ubica por debajo de otros países de ingresos medios altos de la región como Colombia (70) y Chile (28) y muy por debajo de economías avanzadas. En términos de retornos de la educación, Perú aún tiene retornos relativamente bajos con respecto a otros países con niveles similares de años de escolaridad, debajo de Argentina, Uruguay, Chile, Filipinas y Singapur</w:t>
      </w:r>
      <w:r>
        <w:rPr>
          <w:rFonts w:ascii="Arial" w:eastAsia="Arial" w:hAnsi="Arial" w:cs="Arial"/>
          <w:sz w:val="22"/>
          <w:szCs w:val="22"/>
          <w:vertAlign w:val="superscript"/>
        </w:rPr>
        <w:footnoteReference w:id="3"/>
      </w:r>
      <w:r w:rsidRPr="00CE7AB7">
        <w:rPr>
          <w:rFonts w:ascii="Arial" w:eastAsia="Arial" w:hAnsi="Arial" w:cs="Arial"/>
          <w:sz w:val="22"/>
          <w:szCs w:val="22"/>
          <w:lang w:val="es-ES_tradnl"/>
        </w:rPr>
        <w:t xml:space="preserve">. Al considerar la relación entre el efecto de la </w:t>
      </w:r>
      <w:r w:rsidR="00774BB3">
        <w:rPr>
          <w:rFonts w:ascii="Arial" w:eastAsia="Arial" w:hAnsi="Arial" w:cs="Arial"/>
          <w:sz w:val="22"/>
          <w:szCs w:val="22"/>
          <w:lang w:val="es-ES_tradnl"/>
        </w:rPr>
        <w:t>ES</w:t>
      </w:r>
      <w:r w:rsidRPr="00CE7AB7">
        <w:rPr>
          <w:rFonts w:ascii="Arial" w:eastAsia="Arial" w:hAnsi="Arial" w:cs="Arial"/>
          <w:sz w:val="22"/>
          <w:szCs w:val="22"/>
          <w:lang w:val="es-ES_tradnl"/>
        </w:rPr>
        <w:t xml:space="preserve"> en la productividad laboral y el crecimiento económico de los países en el largo plazo, se tiene que la contribución de la productividad laboral a los niveles de ingreso es relativamente baja y la productividad laboral en Perú representa solo un 23% de la de Estados Unidos.</w:t>
      </w:r>
    </w:p>
    <w:p w14:paraId="2951850C" w14:textId="77777777" w:rsidR="008A2A84" w:rsidRPr="00CE7AB7" w:rsidRDefault="008A2A84">
      <w:pPr>
        <w:ind w:left="720"/>
        <w:rPr>
          <w:rFonts w:ascii="Arial" w:eastAsia="Arial" w:hAnsi="Arial" w:cs="Arial"/>
          <w:sz w:val="22"/>
          <w:szCs w:val="22"/>
          <w:lang w:val="es-ES_tradnl"/>
        </w:rPr>
      </w:pPr>
    </w:p>
    <w:p w14:paraId="3769F660" w14:textId="77777777" w:rsidR="008A2A84" w:rsidRPr="00CE7AB7" w:rsidRDefault="001B2BB5">
      <w:pPr>
        <w:numPr>
          <w:ilvl w:val="0"/>
          <w:numId w:val="2"/>
        </w:numPr>
        <w:tabs>
          <w:tab w:val="left" w:pos="360"/>
        </w:tabs>
        <w:ind w:left="0"/>
        <w:contextualSpacing/>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En este contexto, bajo un enfoque institucional del manejo de universidades e </w:t>
      </w:r>
      <w:r w:rsidR="00274642">
        <w:rPr>
          <w:rFonts w:ascii="Arial" w:eastAsia="Arial" w:hAnsi="Arial" w:cs="Arial"/>
          <w:sz w:val="22"/>
          <w:szCs w:val="22"/>
          <w:lang w:val="es-ES_tradnl"/>
        </w:rPr>
        <w:t>IEST</w:t>
      </w:r>
      <w:r w:rsidRPr="00CE7AB7">
        <w:rPr>
          <w:rFonts w:ascii="Arial" w:eastAsia="Arial" w:hAnsi="Arial" w:cs="Arial"/>
          <w:sz w:val="22"/>
          <w:szCs w:val="22"/>
          <w:lang w:val="es-ES_tradnl"/>
        </w:rPr>
        <w:t xml:space="preserve">, asegurar e influir de manera positiva en las diversas dimensiones de la gestión institucional educativa, ayudaría a promover un adecuado conjunto de capacidades en los egresados, lo cual a su vez impactaría de manera positiva en el crecimiento de la productividad del capital humano del país que se configura en un factor determinante para el desarrollo económico del país. </w:t>
      </w:r>
    </w:p>
    <w:p w14:paraId="771D929E" w14:textId="77777777" w:rsidR="008A2A84" w:rsidRPr="00CE7AB7" w:rsidRDefault="008A2A84">
      <w:pPr>
        <w:ind w:left="720"/>
        <w:rPr>
          <w:rFonts w:ascii="Arial" w:eastAsia="Arial" w:hAnsi="Arial" w:cs="Arial"/>
          <w:sz w:val="22"/>
          <w:szCs w:val="22"/>
          <w:lang w:val="es-ES_tradnl"/>
        </w:rPr>
      </w:pPr>
    </w:p>
    <w:p w14:paraId="448EBE1F" w14:textId="77777777" w:rsidR="008A2A84" w:rsidRPr="00CE7AB7" w:rsidRDefault="00134AC3">
      <w:pPr>
        <w:numPr>
          <w:ilvl w:val="0"/>
          <w:numId w:val="2"/>
        </w:numPr>
        <w:tabs>
          <w:tab w:val="left" w:pos="360"/>
        </w:tabs>
        <w:ind w:left="0"/>
        <w:contextualSpacing/>
        <w:jc w:val="both"/>
        <w:rPr>
          <w:rFonts w:ascii="Arial" w:eastAsia="Arial" w:hAnsi="Arial" w:cs="Arial"/>
          <w:sz w:val="22"/>
          <w:szCs w:val="22"/>
          <w:lang w:val="es-ES_tradnl"/>
        </w:rPr>
      </w:pPr>
      <w:r w:rsidRPr="00291929">
        <w:rPr>
          <w:rFonts w:ascii="Arial" w:eastAsia="Arial" w:hAnsi="Arial" w:cs="Arial"/>
          <w:b/>
          <w:sz w:val="22"/>
          <w:szCs w:val="22"/>
          <w:lang w:val="es-ES_tradnl"/>
        </w:rPr>
        <w:t xml:space="preserve">Evidencia internacional. </w:t>
      </w:r>
      <w:r w:rsidR="001B2BB5" w:rsidRPr="00CE7AB7">
        <w:rPr>
          <w:rFonts w:ascii="Arial" w:eastAsia="Arial" w:hAnsi="Arial" w:cs="Arial"/>
          <w:sz w:val="22"/>
          <w:szCs w:val="22"/>
          <w:lang w:val="es-ES_tradnl"/>
        </w:rPr>
        <w:t>La evidencia internacional (North y Thomas (1973), Glaeser et al. (2004) y Ac</w:t>
      </w:r>
      <w:r w:rsidR="00A4258C">
        <w:rPr>
          <w:rFonts w:ascii="Arial" w:eastAsia="Arial" w:hAnsi="Arial" w:cs="Arial"/>
          <w:sz w:val="22"/>
          <w:szCs w:val="22"/>
          <w:lang w:val="es-ES_tradnl"/>
        </w:rPr>
        <w:t>emoglu, Gallego y Robinson (2014</w:t>
      </w:r>
      <w:r w:rsidR="001B2BB5" w:rsidRPr="00CE7AB7">
        <w:rPr>
          <w:rFonts w:ascii="Arial" w:eastAsia="Arial" w:hAnsi="Arial" w:cs="Arial"/>
          <w:sz w:val="22"/>
          <w:szCs w:val="22"/>
          <w:lang w:val="es-ES_tradnl"/>
        </w:rPr>
        <w:t xml:space="preserve">)) señala que las instituciones tienen un rol primordial para el desarrollo económico de las naciones. En particular, en el ámbito educativo, la gestión institucional de la </w:t>
      </w:r>
      <w:r w:rsidR="00774BB3">
        <w:rPr>
          <w:rFonts w:ascii="Arial" w:eastAsia="Arial" w:hAnsi="Arial" w:cs="Arial"/>
          <w:sz w:val="22"/>
          <w:szCs w:val="22"/>
          <w:lang w:val="es-ES_tradnl"/>
        </w:rPr>
        <w:t>ES</w:t>
      </w:r>
      <w:r w:rsidR="001B2BB5" w:rsidRPr="00CE7AB7">
        <w:rPr>
          <w:rFonts w:ascii="Arial" w:eastAsia="Arial" w:hAnsi="Arial" w:cs="Arial"/>
          <w:sz w:val="22"/>
          <w:szCs w:val="22"/>
          <w:lang w:val="es-ES_tradnl"/>
        </w:rPr>
        <w:t xml:space="preserve">, vinculada a la práctica y funcionamiento de las organizaciones educativas, influye directamente en el desempeño económico y el desarrollo del país. En ese sentido, la gestión eficiente de la </w:t>
      </w:r>
      <w:r w:rsidR="00774BB3">
        <w:rPr>
          <w:rFonts w:ascii="Arial" w:eastAsia="Arial" w:hAnsi="Arial" w:cs="Arial"/>
          <w:sz w:val="22"/>
          <w:szCs w:val="22"/>
          <w:lang w:val="es-ES_tradnl"/>
        </w:rPr>
        <w:t>ES</w:t>
      </w:r>
      <w:r w:rsidR="001B2BB5" w:rsidRPr="00CE7AB7">
        <w:rPr>
          <w:rFonts w:ascii="Arial" w:eastAsia="Arial" w:hAnsi="Arial" w:cs="Arial"/>
          <w:sz w:val="22"/>
          <w:szCs w:val="22"/>
          <w:lang w:val="es-ES_tradnl"/>
        </w:rPr>
        <w:t xml:space="preserve"> es vital y juega un rol importante en la determinación de la calidad de la oferta laboral de un país, la cual impacta en sus niveles de productividad y en el largo plazo, en el crecimiento económico (Cho &amp; McLean, 2004; G.N. McLean, 2006 y Peters, 2009). </w:t>
      </w:r>
    </w:p>
    <w:p w14:paraId="33207584" w14:textId="77777777" w:rsidR="008A2A84" w:rsidRPr="00CE7AB7" w:rsidRDefault="008A2A84">
      <w:pPr>
        <w:ind w:left="720"/>
        <w:rPr>
          <w:rFonts w:ascii="Arial" w:eastAsia="Arial" w:hAnsi="Arial" w:cs="Arial"/>
          <w:sz w:val="22"/>
          <w:szCs w:val="22"/>
          <w:lang w:val="es-ES_tradnl"/>
        </w:rPr>
      </w:pPr>
    </w:p>
    <w:p w14:paraId="7F492303" w14:textId="77777777" w:rsidR="008A2A84" w:rsidRPr="00CE7AB7" w:rsidRDefault="001B2BB5">
      <w:pPr>
        <w:numPr>
          <w:ilvl w:val="0"/>
          <w:numId w:val="2"/>
        </w:numPr>
        <w:tabs>
          <w:tab w:val="left" w:pos="360"/>
        </w:tabs>
        <w:ind w:left="0"/>
        <w:contextualSpacing/>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A su vez, la gestión de la </w:t>
      </w:r>
      <w:r w:rsidR="00774BB3">
        <w:rPr>
          <w:rFonts w:ascii="Arial" w:eastAsia="Arial" w:hAnsi="Arial" w:cs="Arial"/>
          <w:sz w:val="22"/>
          <w:szCs w:val="22"/>
          <w:lang w:val="es-ES_tradnl"/>
        </w:rPr>
        <w:t>ES</w:t>
      </w:r>
      <w:r w:rsidRPr="00CE7AB7">
        <w:rPr>
          <w:rFonts w:ascii="Arial" w:eastAsia="Arial" w:hAnsi="Arial" w:cs="Arial"/>
          <w:sz w:val="22"/>
          <w:szCs w:val="22"/>
          <w:lang w:val="es-ES_tradnl"/>
        </w:rPr>
        <w:t xml:space="preserve"> depende de la calidad del (i) capital físico (recursos e infraestructura) que tienen y (ii) capital humano (capacidades de sus egresados, disposición (Ekundayo y Ajayi, 2009)). Dentro de los factores del capital humano, se identifican principalmente tres factores que coadyuvan a la eficiente gestión de las instituciones y que además van acorde con el marco normativo de la educación en universidades e </w:t>
      </w:r>
      <w:r w:rsidR="00274642">
        <w:rPr>
          <w:rFonts w:ascii="Arial" w:eastAsia="Arial" w:hAnsi="Arial" w:cs="Arial"/>
          <w:sz w:val="22"/>
          <w:szCs w:val="22"/>
          <w:lang w:val="es-ES_tradnl"/>
        </w:rPr>
        <w:t>IEST</w:t>
      </w:r>
      <w:r w:rsidRPr="00CE7AB7">
        <w:rPr>
          <w:rFonts w:ascii="Arial" w:eastAsia="Arial" w:hAnsi="Arial" w:cs="Arial"/>
          <w:sz w:val="22"/>
          <w:szCs w:val="22"/>
          <w:lang w:val="es-ES_tradnl"/>
        </w:rPr>
        <w:t xml:space="preserve"> en el Perú: (i) gestión administrativa, (ii) gestión académica y (iii) gestión de la investigación e innovación tal como lo sugieren Suri, Boozer, Ranis y Stewart (2011).</w:t>
      </w:r>
    </w:p>
    <w:p w14:paraId="33D13708" w14:textId="77777777" w:rsidR="008A2A84" w:rsidRPr="00CE7AB7" w:rsidRDefault="001B2BB5">
      <w:pPr>
        <w:tabs>
          <w:tab w:val="left" w:pos="360"/>
        </w:tabs>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 </w:t>
      </w:r>
    </w:p>
    <w:p w14:paraId="7C38FB01" w14:textId="48D8A745" w:rsidR="008A2A84" w:rsidRPr="00CE7AB7" w:rsidRDefault="00134AC3" w:rsidP="00D5441A">
      <w:pPr>
        <w:numPr>
          <w:ilvl w:val="0"/>
          <w:numId w:val="2"/>
        </w:numPr>
        <w:ind w:left="0"/>
        <w:contextualSpacing/>
        <w:jc w:val="both"/>
        <w:rPr>
          <w:rFonts w:ascii="Arial" w:eastAsia="Arial" w:hAnsi="Arial" w:cs="Arial"/>
          <w:sz w:val="22"/>
          <w:szCs w:val="22"/>
          <w:lang w:val="es-ES_tradnl"/>
        </w:rPr>
      </w:pPr>
      <w:r w:rsidRPr="00291929">
        <w:rPr>
          <w:rFonts w:ascii="Arial" w:eastAsia="Arial" w:hAnsi="Arial" w:cs="Arial"/>
          <w:b/>
          <w:sz w:val="22"/>
          <w:szCs w:val="22"/>
          <w:lang w:val="es-ES_tradnl"/>
        </w:rPr>
        <w:t xml:space="preserve">Estructura del programa. </w:t>
      </w:r>
      <w:r w:rsidR="001B2BB5" w:rsidRPr="00CE7AB7">
        <w:rPr>
          <w:rFonts w:ascii="Arial" w:eastAsia="Arial" w:hAnsi="Arial" w:cs="Arial"/>
          <w:sz w:val="22"/>
          <w:szCs w:val="22"/>
          <w:lang w:val="es-ES_tradnl"/>
        </w:rPr>
        <w:t>Como respuesta al problema central identificado, sus causas y efectos, en base al marco de referencia de instituciones desarrollado por Ac</w:t>
      </w:r>
      <w:r w:rsidR="00A4258C">
        <w:rPr>
          <w:rFonts w:ascii="Arial" w:eastAsia="Arial" w:hAnsi="Arial" w:cs="Arial"/>
          <w:sz w:val="22"/>
          <w:szCs w:val="22"/>
          <w:lang w:val="es-ES_tradnl"/>
        </w:rPr>
        <w:t>emoglu, Gallego y Robinson (2014</w:t>
      </w:r>
      <w:r w:rsidR="001B2BB5" w:rsidRPr="00CE7AB7">
        <w:rPr>
          <w:rFonts w:ascii="Arial" w:eastAsia="Arial" w:hAnsi="Arial" w:cs="Arial"/>
          <w:sz w:val="22"/>
          <w:szCs w:val="22"/>
          <w:lang w:val="es-ES_tradnl"/>
        </w:rPr>
        <w:t>) y a la revisión de buenas prácticas internacionales, el p</w:t>
      </w:r>
      <w:r w:rsidR="00D5441A">
        <w:rPr>
          <w:rFonts w:ascii="Arial" w:eastAsia="Arial" w:hAnsi="Arial" w:cs="Arial"/>
          <w:sz w:val="22"/>
          <w:szCs w:val="22"/>
          <w:lang w:val="es-ES_tradnl"/>
        </w:rPr>
        <w:t xml:space="preserve">rograma está </w:t>
      </w:r>
      <w:r w:rsidR="00D5441A">
        <w:rPr>
          <w:rFonts w:ascii="Arial" w:eastAsia="Arial" w:hAnsi="Arial" w:cs="Arial"/>
          <w:sz w:val="22"/>
          <w:szCs w:val="22"/>
          <w:lang w:val="es-ES_tradnl"/>
        </w:rPr>
        <w:lastRenderedPageBreak/>
        <w:t>estructurado en tres</w:t>
      </w:r>
      <w:r w:rsidR="001B2BB5" w:rsidRPr="00CE7AB7">
        <w:rPr>
          <w:rFonts w:ascii="Arial" w:eastAsia="Arial" w:hAnsi="Arial" w:cs="Arial"/>
          <w:sz w:val="22"/>
          <w:szCs w:val="22"/>
          <w:lang w:val="es-ES_tradnl"/>
        </w:rPr>
        <w:t xml:space="preserve"> principales componentes</w:t>
      </w:r>
      <w:r w:rsidR="006643B3">
        <w:rPr>
          <w:rStyle w:val="FootnoteReference"/>
          <w:rFonts w:ascii="Arial" w:eastAsia="Arial" w:hAnsi="Arial" w:cs="Arial"/>
          <w:sz w:val="22"/>
          <w:szCs w:val="22"/>
          <w:lang w:val="es-ES_tradnl"/>
        </w:rPr>
        <w:footnoteReference w:id="4"/>
      </w:r>
      <w:r w:rsidR="001B2BB5" w:rsidRPr="00CE7AB7">
        <w:rPr>
          <w:rFonts w:ascii="Arial" w:eastAsia="Arial" w:hAnsi="Arial" w:cs="Arial"/>
          <w:sz w:val="22"/>
          <w:szCs w:val="22"/>
          <w:lang w:val="es-ES_tradnl"/>
        </w:rPr>
        <w:t xml:space="preserve">. El componente 1 </w:t>
      </w:r>
      <w:r w:rsidR="00D5441A">
        <w:rPr>
          <w:rFonts w:ascii="Arial" w:eastAsia="Arial" w:hAnsi="Arial" w:cs="Arial"/>
          <w:sz w:val="22"/>
          <w:szCs w:val="22"/>
          <w:lang w:val="es-ES_tradnl"/>
        </w:rPr>
        <w:t xml:space="preserve">llamado </w:t>
      </w:r>
      <w:r w:rsidR="004109E5" w:rsidRPr="004109E5">
        <w:rPr>
          <w:rFonts w:ascii="Arial" w:eastAsia="Arial" w:hAnsi="Arial" w:cs="Arial"/>
          <w:i/>
          <w:sz w:val="22"/>
          <w:szCs w:val="22"/>
          <w:lang w:val="es-ES_tradnl"/>
        </w:rPr>
        <w:t>Generación de conocimiento e información para un mejor diseño de las políticas de fomento de la calidad y la pertinencia</w:t>
      </w:r>
      <w:r w:rsidR="00D5441A">
        <w:rPr>
          <w:rFonts w:ascii="Arial" w:eastAsia="Arial" w:hAnsi="Arial" w:cs="Arial"/>
          <w:sz w:val="22"/>
          <w:szCs w:val="22"/>
          <w:lang w:val="es-ES_tradnl"/>
        </w:rPr>
        <w:t xml:space="preserve">. El componente 2 </w:t>
      </w:r>
      <w:r w:rsidR="001B2BB5" w:rsidRPr="00CE7AB7">
        <w:rPr>
          <w:rFonts w:ascii="Arial" w:eastAsia="Arial" w:hAnsi="Arial" w:cs="Arial"/>
          <w:sz w:val="22"/>
          <w:szCs w:val="22"/>
          <w:lang w:val="es-ES_tradnl"/>
        </w:rPr>
        <w:t xml:space="preserve">llamado </w:t>
      </w:r>
      <w:r w:rsidR="004109E5">
        <w:rPr>
          <w:rFonts w:ascii="Arial" w:eastAsia="Arial" w:hAnsi="Arial" w:cs="Arial"/>
          <w:i/>
          <w:sz w:val="22"/>
          <w:szCs w:val="22"/>
          <w:lang w:val="es-ES_tradnl"/>
        </w:rPr>
        <w:t>Fortalecimiento</w:t>
      </w:r>
      <w:r w:rsidR="001B2BB5" w:rsidRPr="00CE7AB7">
        <w:rPr>
          <w:rFonts w:ascii="Arial" w:eastAsia="Arial" w:hAnsi="Arial" w:cs="Arial"/>
          <w:i/>
          <w:sz w:val="22"/>
          <w:szCs w:val="22"/>
          <w:lang w:val="es-ES_tradnl"/>
        </w:rPr>
        <w:t xml:space="preserve"> de la gestión </w:t>
      </w:r>
      <w:r w:rsidR="004109E5">
        <w:rPr>
          <w:rFonts w:ascii="Arial" w:eastAsia="Arial" w:hAnsi="Arial" w:cs="Arial"/>
          <w:i/>
          <w:sz w:val="22"/>
          <w:szCs w:val="22"/>
          <w:lang w:val="es-ES_tradnl"/>
        </w:rPr>
        <w:t xml:space="preserve">institucional de las </w:t>
      </w:r>
      <w:r w:rsidR="00DF0E0C">
        <w:rPr>
          <w:rFonts w:ascii="Arial" w:eastAsia="Arial" w:hAnsi="Arial" w:cs="Arial"/>
          <w:i/>
          <w:sz w:val="22"/>
          <w:szCs w:val="22"/>
          <w:lang w:val="es-ES_tradnl"/>
        </w:rPr>
        <w:t>IES</w:t>
      </w:r>
      <w:r w:rsidR="004109E5">
        <w:rPr>
          <w:rFonts w:ascii="Arial" w:eastAsia="Arial" w:hAnsi="Arial" w:cs="Arial"/>
          <w:i/>
          <w:sz w:val="22"/>
          <w:szCs w:val="22"/>
          <w:lang w:val="es-ES_tradnl"/>
        </w:rPr>
        <w:t xml:space="preserve"> públicas</w:t>
      </w:r>
      <w:r w:rsidR="001B2BB5" w:rsidRPr="00CE7AB7">
        <w:rPr>
          <w:rFonts w:ascii="Arial" w:eastAsia="Arial" w:hAnsi="Arial" w:cs="Arial"/>
          <w:sz w:val="22"/>
          <w:szCs w:val="22"/>
          <w:lang w:val="es-ES_tradnl"/>
        </w:rPr>
        <w:t xml:space="preserve">, busca el mejoramiento de la gestión en los servicios de </w:t>
      </w:r>
      <w:r w:rsidR="00774BB3">
        <w:rPr>
          <w:rFonts w:ascii="Arial" w:eastAsia="Arial" w:hAnsi="Arial" w:cs="Arial"/>
          <w:sz w:val="22"/>
          <w:szCs w:val="22"/>
          <w:lang w:val="es-ES_tradnl"/>
        </w:rPr>
        <w:t>ES</w:t>
      </w:r>
      <w:r w:rsidR="001B2BB5" w:rsidRPr="00CE7AB7">
        <w:rPr>
          <w:rFonts w:ascii="Arial" w:eastAsia="Arial" w:hAnsi="Arial" w:cs="Arial"/>
          <w:sz w:val="22"/>
          <w:szCs w:val="22"/>
          <w:lang w:val="es-ES_tradnl"/>
        </w:rPr>
        <w:t xml:space="preserve"> y está compuesto por un proyecto de inversión pública (PIP).</w:t>
      </w:r>
      <w:r w:rsidR="004109E5">
        <w:rPr>
          <w:rFonts w:ascii="Arial" w:eastAsia="Arial" w:hAnsi="Arial" w:cs="Arial"/>
          <w:sz w:val="22"/>
          <w:szCs w:val="22"/>
          <w:lang w:val="es-ES_tradnl"/>
        </w:rPr>
        <w:t xml:space="preserve"> </w:t>
      </w:r>
      <w:r w:rsidR="001B2BB5" w:rsidRPr="00CE7AB7">
        <w:rPr>
          <w:rFonts w:ascii="Arial" w:eastAsia="Arial" w:hAnsi="Arial" w:cs="Arial"/>
          <w:sz w:val="22"/>
          <w:szCs w:val="22"/>
          <w:lang w:val="es-ES_tradnl"/>
        </w:rPr>
        <w:t>A su vez, este PIP tendrá tres líneas de acción: (i) Mejor</w:t>
      </w:r>
      <w:r w:rsidR="004109E5">
        <w:rPr>
          <w:rFonts w:ascii="Arial" w:eastAsia="Arial" w:hAnsi="Arial" w:cs="Arial"/>
          <w:sz w:val="22"/>
          <w:szCs w:val="22"/>
          <w:lang w:val="es-ES_tradnl"/>
        </w:rPr>
        <w:t xml:space="preserve">a de la </w:t>
      </w:r>
      <w:r w:rsidR="001B2BB5" w:rsidRPr="00CE7AB7">
        <w:rPr>
          <w:rFonts w:ascii="Arial" w:eastAsia="Arial" w:hAnsi="Arial" w:cs="Arial"/>
          <w:sz w:val="22"/>
          <w:szCs w:val="22"/>
          <w:lang w:val="es-ES_tradnl"/>
        </w:rPr>
        <w:t xml:space="preserve">Gestión Administrativa de las </w:t>
      </w:r>
      <w:r w:rsidR="00DF0E0C">
        <w:rPr>
          <w:rFonts w:ascii="Arial" w:eastAsia="Arial" w:hAnsi="Arial" w:cs="Arial"/>
          <w:sz w:val="22"/>
          <w:szCs w:val="22"/>
          <w:lang w:val="es-ES_tradnl"/>
        </w:rPr>
        <w:t>IES</w:t>
      </w:r>
      <w:r w:rsidR="004109E5">
        <w:rPr>
          <w:rFonts w:ascii="Arial" w:eastAsia="Arial" w:hAnsi="Arial" w:cs="Arial"/>
          <w:sz w:val="22"/>
          <w:szCs w:val="22"/>
          <w:lang w:val="es-ES_tradnl"/>
        </w:rPr>
        <w:t xml:space="preserve"> pública</w:t>
      </w:r>
      <w:r w:rsidR="00DF0E0C">
        <w:rPr>
          <w:rFonts w:ascii="Arial" w:eastAsia="Arial" w:hAnsi="Arial" w:cs="Arial"/>
          <w:sz w:val="22"/>
          <w:szCs w:val="22"/>
          <w:lang w:val="es-ES_tradnl"/>
        </w:rPr>
        <w:t>s</w:t>
      </w:r>
      <w:r w:rsidR="001B2BB5" w:rsidRPr="00CE7AB7">
        <w:rPr>
          <w:rFonts w:ascii="Arial" w:eastAsia="Arial" w:hAnsi="Arial" w:cs="Arial"/>
          <w:sz w:val="22"/>
          <w:szCs w:val="22"/>
          <w:lang w:val="es-ES_tradnl"/>
        </w:rPr>
        <w:t>, (ii) Mejor</w:t>
      </w:r>
      <w:r w:rsidR="004109E5">
        <w:rPr>
          <w:rFonts w:ascii="Arial" w:eastAsia="Arial" w:hAnsi="Arial" w:cs="Arial"/>
          <w:sz w:val="22"/>
          <w:szCs w:val="22"/>
          <w:lang w:val="es-ES_tradnl"/>
        </w:rPr>
        <w:t>a de la</w:t>
      </w:r>
      <w:r w:rsidR="001B2BB5" w:rsidRPr="00CE7AB7">
        <w:rPr>
          <w:rFonts w:ascii="Arial" w:eastAsia="Arial" w:hAnsi="Arial" w:cs="Arial"/>
          <w:sz w:val="22"/>
          <w:szCs w:val="22"/>
          <w:lang w:val="es-ES_tradnl"/>
        </w:rPr>
        <w:t xml:space="preserve"> Gestión Académica de las </w:t>
      </w:r>
      <w:r w:rsidR="00DF0E0C">
        <w:rPr>
          <w:rFonts w:ascii="Arial" w:eastAsia="Arial" w:hAnsi="Arial" w:cs="Arial"/>
          <w:sz w:val="22"/>
          <w:szCs w:val="22"/>
          <w:lang w:val="es-ES_tradnl"/>
        </w:rPr>
        <w:t>IES</w:t>
      </w:r>
      <w:r w:rsidR="001B2BB5" w:rsidRPr="00CE7AB7">
        <w:rPr>
          <w:rFonts w:ascii="Arial" w:eastAsia="Arial" w:hAnsi="Arial" w:cs="Arial"/>
          <w:sz w:val="22"/>
          <w:szCs w:val="22"/>
          <w:lang w:val="es-ES_tradnl"/>
        </w:rPr>
        <w:t xml:space="preserve"> pública</w:t>
      </w:r>
      <w:r w:rsidR="00DF0E0C">
        <w:rPr>
          <w:rFonts w:ascii="Arial" w:eastAsia="Arial" w:hAnsi="Arial" w:cs="Arial"/>
          <w:sz w:val="22"/>
          <w:szCs w:val="22"/>
          <w:lang w:val="es-ES_tradnl"/>
        </w:rPr>
        <w:t>s</w:t>
      </w:r>
      <w:r w:rsidR="001B2BB5" w:rsidRPr="00CE7AB7">
        <w:rPr>
          <w:rFonts w:ascii="Arial" w:eastAsia="Arial" w:hAnsi="Arial" w:cs="Arial"/>
          <w:sz w:val="22"/>
          <w:szCs w:val="22"/>
          <w:lang w:val="es-ES_tradnl"/>
        </w:rPr>
        <w:t>, y (iii) Mejor</w:t>
      </w:r>
      <w:r w:rsidR="004109E5">
        <w:rPr>
          <w:rFonts w:ascii="Arial" w:eastAsia="Arial" w:hAnsi="Arial" w:cs="Arial"/>
          <w:sz w:val="22"/>
          <w:szCs w:val="22"/>
          <w:lang w:val="es-ES_tradnl"/>
        </w:rPr>
        <w:t>a de la</w:t>
      </w:r>
      <w:r w:rsidR="001B2BB5" w:rsidRPr="00CE7AB7">
        <w:rPr>
          <w:rFonts w:ascii="Arial" w:eastAsia="Arial" w:hAnsi="Arial" w:cs="Arial"/>
          <w:sz w:val="22"/>
          <w:szCs w:val="22"/>
          <w:lang w:val="es-ES_tradnl"/>
        </w:rPr>
        <w:t xml:space="preserve"> Gestión de </w:t>
      </w:r>
      <w:r w:rsidR="004109E5">
        <w:rPr>
          <w:rFonts w:ascii="Arial" w:eastAsia="Arial" w:hAnsi="Arial" w:cs="Arial"/>
          <w:sz w:val="22"/>
          <w:szCs w:val="22"/>
          <w:lang w:val="es-ES_tradnl"/>
        </w:rPr>
        <w:t>la Investigación, Desarrollo e</w:t>
      </w:r>
      <w:r w:rsidR="001B2BB5" w:rsidRPr="00CE7AB7">
        <w:rPr>
          <w:rFonts w:ascii="Arial" w:eastAsia="Arial" w:hAnsi="Arial" w:cs="Arial"/>
          <w:sz w:val="22"/>
          <w:szCs w:val="22"/>
          <w:lang w:val="es-ES_tradnl"/>
        </w:rPr>
        <w:t xml:space="preserve"> Innovación </w:t>
      </w:r>
      <w:r w:rsidR="004109E5">
        <w:rPr>
          <w:rFonts w:ascii="Arial" w:eastAsia="Arial" w:hAnsi="Arial" w:cs="Arial"/>
          <w:sz w:val="22"/>
          <w:szCs w:val="22"/>
          <w:lang w:val="es-ES_tradnl"/>
        </w:rPr>
        <w:t xml:space="preserve">(I+D+I) en las </w:t>
      </w:r>
      <w:r w:rsidR="00DF0E0C">
        <w:rPr>
          <w:rFonts w:ascii="Arial" w:eastAsia="Arial" w:hAnsi="Arial" w:cs="Arial"/>
          <w:sz w:val="22"/>
          <w:szCs w:val="22"/>
          <w:lang w:val="es-ES_tradnl"/>
        </w:rPr>
        <w:t>IES</w:t>
      </w:r>
      <w:r w:rsidR="006643B3">
        <w:rPr>
          <w:rFonts w:ascii="Arial" w:eastAsia="Arial" w:hAnsi="Arial" w:cs="Arial"/>
          <w:sz w:val="22"/>
          <w:szCs w:val="22"/>
          <w:lang w:val="es-ES_tradnl"/>
        </w:rPr>
        <w:t>U</w:t>
      </w:r>
      <w:r w:rsidR="00D5441A">
        <w:rPr>
          <w:rFonts w:ascii="Arial" w:eastAsia="Arial" w:hAnsi="Arial" w:cs="Arial"/>
          <w:sz w:val="22"/>
          <w:szCs w:val="22"/>
          <w:lang w:val="es-ES_tradnl"/>
        </w:rPr>
        <w:t>. El componente 3</w:t>
      </w:r>
      <w:r w:rsidR="001B2BB5" w:rsidRPr="00CE7AB7">
        <w:rPr>
          <w:rFonts w:ascii="Arial" w:eastAsia="Arial" w:hAnsi="Arial" w:cs="Arial"/>
          <w:sz w:val="22"/>
          <w:szCs w:val="22"/>
          <w:lang w:val="es-ES_tradnl"/>
        </w:rPr>
        <w:t xml:space="preserve"> llamado </w:t>
      </w:r>
      <w:r w:rsidR="004109E5">
        <w:rPr>
          <w:rFonts w:ascii="Arial" w:eastAsia="Arial" w:hAnsi="Arial" w:cs="Arial"/>
          <w:i/>
          <w:sz w:val="22"/>
          <w:szCs w:val="22"/>
          <w:lang w:val="es-ES_tradnl"/>
        </w:rPr>
        <w:t>Mejora de la</w:t>
      </w:r>
      <w:r w:rsidR="001B2BB5" w:rsidRPr="00CE7AB7">
        <w:rPr>
          <w:rFonts w:ascii="Arial" w:eastAsia="Arial" w:hAnsi="Arial" w:cs="Arial"/>
          <w:i/>
          <w:sz w:val="22"/>
          <w:szCs w:val="22"/>
          <w:lang w:val="es-ES_tradnl"/>
        </w:rPr>
        <w:t xml:space="preserve"> infraestructura y equipamiento de las </w:t>
      </w:r>
      <w:r w:rsidR="00DF0E0C">
        <w:rPr>
          <w:rFonts w:ascii="Arial" w:eastAsia="Arial" w:hAnsi="Arial" w:cs="Arial"/>
          <w:i/>
          <w:sz w:val="22"/>
          <w:szCs w:val="22"/>
          <w:lang w:val="es-ES_tradnl"/>
        </w:rPr>
        <w:t>IES</w:t>
      </w:r>
      <w:r w:rsidR="001B2BB5" w:rsidRPr="00CE7AB7">
        <w:rPr>
          <w:rFonts w:ascii="Arial" w:eastAsia="Arial" w:hAnsi="Arial" w:cs="Arial"/>
          <w:i/>
          <w:sz w:val="22"/>
          <w:szCs w:val="22"/>
          <w:lang w:val="es-ES_tradnl"/>
        </w:rPr>
        <w:t xml:space="preserve"> pública</w:t>
      </w:r>
      <w:r w:rsidR="006643B3">
        <w:rPr>
          <w:rFonts w:ascii="Arial" w:eastAsia="Arial" w:hAnsi="Arial" w:cs="Arial"/>
          <w:i/>
          <w:sz w:val="22"/>
          <w:szCs w:val="22"/>
          <w:lang w:val="es-ES_tradnl"/>
        </w:rPr>
        <w:t>s</w:t>
      </w:r>
      <w:r w:rsidR="001B2BB5" w:rsidRPr="00CE7AB7">
        <w:rPr>
          <w:rFonts w:ascii="Arial" w:eastAsia="Arial" w:hAnsi="Arial" w:cs="Arial"/>
          <w:sz w:val="22"/>
          <w:szCs w:val="22"/>
          <w:lang w:val="es-ES_tradnl"/>
        </w:rPr>
        <w:t xml:space="preserve">, busca el mejoramiento en la infraestructura de las </w:t>
      </w:r>
      <w:r w:rsidR="00DF0E0C">
        <w:rPr>
          <w:rFonts w:ascii="Arial" w:eastAsia="Arial" w:hAnsi="Arial" w:cs="Arial"/>
          <w:sz w:val="22"/>
          <w:szCs w:val="22"/>
          <w:lang w:val="es-ES_tradnl"/>
        </w:rPr>
        <w:t>IES</w:t>
      </w:r>
      <w:r w:rsidR="001B2BB5" w:rsidRPr="00CE7AB7">
        <w:rPr>
          <w:rFonts w:ascii="Arial" w:eastAsia="Arial" w:hAnsi="Arial" w:cs="Arial"/>
          <w:sz w:val="22"/>
          <w:szCs w:val="22"/>
          <w:lang w:val="es-ES_tradnl"/>
        </w:rPr>
        <w:t xml:space="preserve"> y está compuesto por </w:t>
      </w:r>
      <w:r w:rsidR="006643B3">
        <w:rPr>
          <w:rFonts w:ascii="Arial" w:eastAsia="Arial" w:hAnsi="Arial" w:cs="Arial"/>
          <w:sz w:val="22"/>
          <w:szCs w:val="22"/>
          <w:lang w:val="es-ES_tradnl"/>
        </w:rPr>
        <w:t>10 PIPs (8</w:t>
      </w:r>
      <w:r w:rsidR="00947C3E">
        <w:rPr>
          <w:rFonts w:ascii="Arial" w:eastAsia="Arial" w:hAnsi="Arial" w:cs="Arial"/>
          <w:sz w:val="22"/>
          <w:szCs w:val="22"/>
          <w:lang w:val="es-ES_tradnl"/>
        </w:rPr>
        <w:t xml:space="preserve"> para </w:t>
      </w:r>
      <w:r w:rsidR="006643B3">
        <w:rPr>
          <w:rFonts w:ascii="Arial" w:eastAsia="Arial" w:hAnsi="Arial" w:cs="Arial"/>
          <w:sz w:val="22"/>
          <w:szCs w:val="22"/>
          <w:lang w:val="es-ES_tradnl"/>
        </w:rPr>
        <w:t xml:space="preserve">7 </w:t>
      </w:r>
      <w:r w:rsidR="00947C3E">
        <w:rPr>
          <w:rFonts w:ascii="Arial" w:eastAsia="Arial" w:hAnsi="Arial" w:cs="Arial"/>
          <w:sz w:val="22"/>
          <w:szCs w:val="22"/>
          <w:lang w:val="es-ES_tradnl"/>
        </w:rPr>
        <w:t>universidades públicas y 2</w:t>
      </w:r>
      <w:r w:rsidR="001B2BB5" w:rsidRPr="00CE7AB7">
        <w:rPr>
          <w:rFonts w:ascii="Arial" w:eastAsia="Arial" w:hAnsi="Arial" w:cs="Arial"/>
          <w:sz w:val="22"/>
          <w:szCs w:val="22"/>
          <w:lang w:val="es-ES_tradnl"/>
        </w:rPr>
        <w:t xml:space="preserve"> para </w:t>
      </w:r>
      <w:r w:rsidR="00274642">
        <w:rPr>
          <w:rFonts w:ascii="Arial" w:eastAsia="Arial" w:hAnsi="Arial" w:cs="Arial"/>
          <w:sz w:val="22"/>
          <w:szCs w:val="22"/>
          <w:lang w:val="es-ES_tradnl"/>
        </w:rPr>
        <w:t>IEST</w:t>
      </w:r>
      <w:r w:rsidR="001B2BB5" w:rsidRPr="00CE7AB7">
        <w:rPr>
          <w:rFonts w:ascii="Arial" w:eastAsia="Arial" w:hAnsi="Arial" w:cs="Arial"/>
          <w:sz w:val="22"/>
          <w:szCs w:val="22"/>
          <w:lang w:val="es-ES_tradnl"/>
        </w:rPr>
        <w:t xml:space="preserve">). </w:t>
      </w:r>
      <w:r w:rsidR="00D5441A">
        <w:rPr>
          <w:rFonts w:ascii="Arial" w:eastAsia="Arial" w:hAnsi="Arial" w:cs="Arial"/>
          <w:sz w:val="22"/>
          <w:szCs w:val="22"/>
          <w:lang w:val="es-ES_tradnl"/>
        </w:rPr>
        <w:t>Adicionalmente, se considera un componente de Gestión, monitoreo, evaluación y auditoría.</w:t>
      </w:r>
    </w:p>
    <w:p w14:paraId="3102520C" w14:textId="77777777" w:rsidR="008A2A84" w:rsidRPr="00CE7AB7" w:rsidRDefault="008A2A84">
      <w:pPr>
        <w:jc w:val="both"/>
        <w:rPr>
          <w:rFonts w:ascii="Arial" w:eastAsia="Arial" w:hAnsi="Arial" w:cs="Arial"/>
          <w:sz w:val="22"/>
          <w:szCs w:val="22"/>
          <w:lang w:val="es-ES_tradnl"/>
        </w:rPr>
      </w:pPr>
    </w:p>
    <w:p w14:paraId="4112536D" w14:textId="77777777" w:rsidR="008A2A84" w:rsidRPr="005C5CBD" w:rsidRDefault="001B2BB5">
      <w:pPr>
        <w:numPr>
          <w:ilvl w:val="0"/>
          <w:numId w:val="2"/>
        </w:numPr>
        <w:tabs>
          <w:tab w:val="left" w:pos="360"/>
        </w:tabs>
        <w:ind w:left="0"/>
        <w:contextualSpacing/>
        <w:jc w:val="both"/>
        <w:rPr>
          <w:rFonts w:ascii="Arial" w:eastAsia="Arial" w:hAnsi="Arial" w:cs="Arial"/>
          <w:sz w:val="22"/>
          <w:szCs w:val="22"/>
          <w:lang w:val="es-ES_tradnl"/>
        </w:rPr>
      </w:pPr>
      <w:r w:rsidRPr="005C5CBD">
        <w:rPr>
          <w:rFonts w:ascii="Arial" w:eastAsia="Arial" w:hAnsi="Arial" w:cs="Arial"/>
          <w:sz w:val="22"/>
          <w:szCs w:val="22"/>
          <w:lang w:val="es-ES_tradnl"/>
        </w:rPr>
        <w:t xml:space="preserve">El programa busca dar solución al problema fundamental y sus causas identificadas y se constituye como una herramienta para mejorar la calidad y pertinencia de los servicios de </w:t>
      </w:r>
      <w:r w:rsidR="00134AC3">
        <w:rPr>
          <w:rFonts w:ascii="Arial" w:eastAsia="Arial" w:hAnsi="Arial" w:cs="Arial"/>
          <w:sz w:val="22"/>
          <w:szCs w:val="22"/>
          <w:lang w:val="es-ES_tradnl"/>
        </w:rPr>
        <w:t>ES</w:t>
      </w:r>
      <w:r w:rsidR="00F4195B" w:rsidRPr="005C5CBD">
        <w:rPr>
          <w:rFonts w:ascii="Arial" w:eastAsia="Arial" w:hAnsi="Arial" w:cs="Arial"/>
          <w:sz w:val="22"/>
          <w:szCs w:val="22"/>
          <w:lang w:val="es-ES_tradnl"/>
        </w:rPr>
        <w:t xml:space="preserve"> </w:t>
      </w:r>
      <w:r w:rsidRPr="005C5CBD">
        <w:rPr>
          <w:rFonts w:ascii="Arial" w:eastAsia="Arial" w:hAnsi="Arial" w:cs="Arial"/>
          <w:sz w:val="22"/>
          <w:szCs w:val="22"/>
          <w:lang w:val="es-ES_tradnl"/>
        </w:rPr>
        <w:t xml:space="preserve">pública a nivel nacional, de tal manera que se genere un impacto positivo en la gestión de la </w:t>
      </w:r>
      <w:r w:rsidR="00134AC3">
        <w:rPr>
          <w:rFonts w:ascii="Arial" w:eastAsia="Arial" w:hAnsi="Arial" w:cs="Arial"/>
          <w:sz w:val="22"/>
          <w:szCs w:val="22"/>
          <w:lang w:val="es-ES_tradnl"/>
        </w:rPr>
        <w:t>ES</w:t>
      </w:r>
      <w:r w:rsidRPr="005C5CBD">
        <w:rPr>
          <w:rFonts w:ascii="Arial" w:eastAsia="Arial" w:hAnsi="Arial" w:cs="Arial"/>
          <w:sz w:val="22"/>
          <w:szCs w:val="22"/>
          <w:lang w:val="es-ES_tradnl"/>
        </w:rPr>
        <w:t>, la calidad de la oferta laboral del país, los niveles de productividad, ingresos y por ende en el desarrollo económico en el largo plazo.</w:t>
      </w:r>
    </w:p>
    <w:p w14:paraId="771757DB" w14:textId="77777777" w:rsidR="008A2A84" w:rsidRPr="00CE7AB7" w:rsidRDefault="008A2A84">
      <w:pPr>
        <w:rPr>
          <w:rFonts w:ascii="Arial" w:eastAsia="Arial" w:hAnsi="Arial" w:cs="Arial"/>
          <w:sz w:val="22"/>
          <w:szCs w:val="22"/>
          <w:lang w:val="es-ES_tradnl"/>
        </w:rPr>
      </w:pPr>
    </w:p>
    <w:p w14:paraId="559275E7" w14:textId="5CEB57A0" w:rsidR="008A2A84" w:rsidRPr="00CE7AB7" w:rsidRDefault="009B6FB2">
      <w:pPr>
        <w:numPr>
          <w:ilvl w:val="0"/>
          <w:numId w:val="2"/>
        </w:numPr>
        <w:ind w:left="0"/>
        <w:contextualSpacing/>
        <w:jc w:val="both"/>
        <w:rPr>
          <w:rFonts w:ascii="Arial" w:eastAsia="Arial" w:hAnsi="Arial" w:cs="Arial"/>
          <w:sz w:val="22"/>
          <w:szCs w:val="22"/>
          <w:lang w:val="es-ES_tradnl"/>
        </w:rPr>
      </w:pPr>
      <w:r>
        <w:rPr>
          <w:rFonts w:ascii="Arial" w:eastAsia="Arial" w:hAnsi="Arial" w:cs="Arial"/>
          <w:b/>
          <w:sz w:val="22"/>
          <w:szCs w:val="22"/>
          <w:lang w:val="es-ES_tradnl"/>
        </w:rPr>
        <w:t>Análisis Económico del programa</w:t>
      </w:r>
      <w:r w:rsidRPr="00291929">
        <w:rPr>
          <w:rFonts w:ascii="Arial" w:eastAsia="Arial" w:hAnsi="Arial" w:cs="Arial"/>
          <w:b/>
          <w:sz w:val="22"/>
          <w:szCs w:val="22"/>
          <w:lang w:val="es-ES_tradnl"/>
        </w:rPr>
        <w:t xml:space="preserve">. </w:t>
      </w:r>
      <w:r w:rsidR="00B5373A">
        <w:rPr>
          <w:rFonts w:ascii="Arial" w:eastAsia="Arial" w:hAnsi="Arial" w:cs="Arial"/>
          <w:sz w:val="22"/>
          <w:szCs w:val="22"/>
          <w:lang w:val="es-ES_tradnl"/>
        </w:rPr>
        <w:t>Si bien l</w:t>
      </w:r>
      <w:r w:rsidR="001B2BB5" w:rsidRPr="00CE7AB7">
        <w:rPr>
          <w:rFonts w:ascii="Arial" w:eastAsia="Arial" w:hAnsi="Arial" w:cs="Arial"/>
          <w:sz w:val="22"/>
          <w:szCs w:val="22"/>
          <w:lang w:val="es-ES_tradnl"/>
        </w:rPr>
        <w:t>a base del presente análisis es la matriz de resultados definida para el programa,</w:t>
      </w:r>
      <w:r w:rsidR="00B5373A" w:rsidRPr="00B5373A">
        <w:rPr>
          <w:rFonts w:ascii="Arial" w:eastAsia="Arial" w:hAnsi="Arial" w:cs="Arial"/>
          <w:sz w:val="22"/>
          <w:szCs w:val="22"/>
          <w:lang w:val="es-ES_tradnl"/>
        </w:rPr>
        <w:t xml:space="preserve"> </w:t>
      </w:r>
      <w:r w:rsidR="00B5373A">
        <w:rPr>
          <w:rFonts w:ascii="Arial" w:eastAsia="Arial" w:hAnsi="Arial" w:cs="Arial"/>
          <w:sz w:val="22"/>
          <w:szCs w:val="22"/>
          <w:lang w:val="es-ES_tradnl"/>
        </w:rPr>
        <w:t>e</w:t>
      </w:r>
      <w:r w:rsidR="00B5373A" w:rsidRPr="00B5373A">
        <w:rPr>
          <w:rFonts w:ascii="Arial" w:eastAsia="Arial" w:hAnsi="Arial" w:cs="Arial"/>
          <w:sz w:val="22"/>
          <w:szCs w:val="22"/>
          <w:lang w:val="es-ES_tradnl"/>
        </w:rPr>
        <w:t xml:space="preserve">s necesario mencionar que para realizar el presente Análisis Económico (AE) se han considerado los beneficios y costos propios del programa sobre los egresados de las IES públicas beneficiarias, sin relativizar los resultados respecto a un grupo de control como se haría en la evaluación de impacto que se propone en el Plan de Monitoreo y Evaluación y además se considera </w:t>
      </w:r>
      <w:r w:rsidR="00B5373A">
        <w:rPr>
          <w:rFonts w:ascii="Arial" w:eastAsia="Arial" w:hAnsi="Arial" w:cs="Arial"/>
          <w:sz w:val="22"/>
          <w:szCs w:val="22"/>
          <w:lang w:val="es-ES_tradnl"/>
        </w:rPr>
        <w:t>en los indicadores de impacto de</w:t>
      </w:r>
      <w:r w:rsidR="00B5373A" w:rsidRPr="00B5373A">
        <w:rPr>
          <w:rFonts w:ascii="Arial" w:eastAsia="Arial" w:hAnsi="Arial" w:cs="Arial"/>
          <w:sz w:val="22"/>
          <w:szCs w:val="22"/>
          <w:lang w:val="es-ES_tradnl"/>
        </w:rPr>
        <w:t xml:space="preserve"> la Matriz de Resultados. </w:t>
      </w:r>
      <w:r w:rsidR="00134AC3">
        <w:rPr>
          <w:rFonts w:ascii="Arial" w:eastAsia="Arial" w:hAnsi="Arial" w:cs="Arial"/>
          <w:sz w:val="22"/>
          <w:szCs w:val="22"/>
          <w:lang w:val="es-ES_tradnl"/>
        </w:rPr>
        <w:t>El</w:t>
      </w:r>
      <w:r w:rsidR="00B5373A" w:rsidRPr="00B5373A">
        <w:rPr>
          <w:rFonts w:ascii="Arial" w:eastAsia="Arial" w:hAnsi="Arial" w:cs="Arial"/>
          <w:sz w:val="22"/>
          <w:szCs w:val="22"/>
          <w:lang w:val="es-ES_tradnl"/>
        </w:rPr>
        <w:t xml:space="preserve"> AE </w:t>
      </w:r>
      <w:r w:rsidR="00134AC3">
        <w:rPr>
          <w:rFonts w:ascii="Arial" w:eastAsia="Arial" w:hAnsi="Arial" w:cs="Arial"/>
          <w:sz w:val="22"/>
          <w:szCs w:val="22"/>
          <w:lang w:val="es-ES_tradnl"/>
        </w:rPr>
        <w:t>busca realizar</w:t>
      </w:r>
      <w:r w:rsidR="00B5373A" w:rsidRPr="00B5373A">
        <w:rPr>
          <w:rFonts w:ascii="Arial" w:eastAsia="Arial" w:hAnsi="Arial" w:cs="Arial"/>
          <w:sz w:val="22"/>
          <w:szCs w:val="22"/>
          <w:lang w:val="es-ES_tradnl"/>
        </w:rPr>
        <w:t xml:space="preserve"> una evaluación de viabilidad económica del proyecto en términos monetarios y para eso no </w:t>
      </w:r>
      <w:r w:rsidR="00B5373A">
        <w:rPr>
          <w:rFonts w:ascii="Arial" w:eastAsia="Arial" w:hAnsi="Arial" w:cs="Arial"/>
          <w:sz w:val="22"/>
          <w:szCs w:val="22"/>
          <w:lang w:val="es-ES_tradnl"/>
        </w:rPr>
        <w:t>se considera necesario calcular</w:t>
      </w:r>
      <w:r w:rsidR="00B5373A" w:rsidRPr="00B5373A">
        <w:rPr>
          <w:rFonts w:ascii="Arial" w:eastAsia="Arial" w:hAnsi="Arial" w:cs="Arial"/>
          <w:sz w:val="22"/>
          <w:szCs w:val="22"/>
          <w:lang w:val="es-ES_tradnl"/>
        </w:rPr>
        <w:t xml:space="preserve"> los beneficios y costos del programa respecto a un grupo de control.</w:t>
      </w:r>
      <w:r w:rsidR="001B2BB5" w:rsidRPr="00CE7AB7">
        <w:rPr>
          <w:rFonts w:ascii="Arial" w:eastAsia="Arial" w:hAnsi="Arial" w:cs="Arial"/>
          <w:sz w:val="22"/>
          <w:szCs w:val="22"/>
          <w:lang w:val="es-ES_tradnl"/>
        </w:rPr>
        <w:t xml:space="preserve"> El presente análisis constituye un insumo técnico de la Propuesta para el Desarrollo de la Operación (POD) y forma parte de la misma.  </w:t>
      </w:r>
    </w:p>
    <w:p w14:paraId="6EC1F6CE" w14:textId="77777777" w:rsidR="008A2A84" w:rsidRPr="00CE7AB7" w:rsidRDefault="008A2A84">
      <w:pPr>
        <w:ind w:left="720"/>
        <w:rPr>
          <w:rFonts w:ascii="Arial" w:eastAsia="Arial" w:hAnsi="Arial" w:cs="Arial"/>
          <w:sz w:val="22"/>
          <w:szCs w:val="22"/>
          <w:lang w:val="es-ES_tradnl"/>
        </w:rPr>
      </w:pPr>
    </w:p>
    <w:p w14:paraId="22263F83" w14:textId="2FF9687C" w:rsidR="00CE7AB7" w:rsidRPr="00AB1937" w:rsidRDefault="001B2BB5" w:rsidP="00AB1937">
      <w:pPr>
        <w:numPr>
          <w:ilvl w:val="0"/>
          <w:numId w:val="2"/>
        </w:numPr>
        <w:ind w:left="0"/>
        <w:contextualSpacing/>
        <w:jc w:val="both"/>
        <w:rPr>
          <w:rFonts w:ascii="Arial" w:eastAsia="Arial" w:hAnsi="Arial" w:cs="Arial"/>
          <w:sz w:val="22"/>
          <w:szCs w:val="22"/>
          <w:lang w:val="es-ES_tradnl"/>
        </w:rPr>
      </w:pPr>
      <w:r w:rsidRPr="00AB1937">
        <w:rPr>
          <w:rFonts w:ascii="Arial" w:eastAsia="Arial" w:hAnsi="Arial" w:cs="Arial"/>
          <w:sz w:val="22"/>
          <w:szCs w:val="22"/>
          <w:lang w:val="es-ES_tradnl"/>
        </w:rPr>
        <w:t xml:space="preserve">El préstamo del Banco para el </w:t>
      </w:r>
      <w:r w:rsidR="00947C3E">
        <w:rPr>
          <w:rFonts w:ascii="Arial" w:eastAsia="Arial" w:hAnsi="Arial" w:cs="Arial"/>
          <w:sz w:val="22"/>
          <w:szCs w:val="22"/>
          <w:lang w:val="es-ES_tradnl"/>
        </w:rPr>
        <w:t xml:space="preserve">programa ascenderá a US$200 </w:t>
      </w:r>
      <w:r w:rsidRPr="00AB1937">
        <w:rPr>
          <w:rFonts w:ascii="Arial" w:eastAsia="Arial" w:hAnsi="Arial" w:cs="Arial"/>
          <w:sz w:val="22"/>
          <w:szCs w:val="22"/>
          <w:lang w:val="es-ES_tradnl"/>
        </w:rPr>
        <w:t xml:space="preserve">millones. Según los datos </w:t>
      </w:r>
      <w:r w:rsidRPr="007E07C3">
        <w:rPr>
          <w:rFonts w:ascii="Arial" w:eastAsia="Arial" w:hAnsi="Arial" w:cs="Arial"/>
          <w:sz w:val="22"/>
          <w:szCs w:val="22"/>
          <w:lang w:val="es-ES_tradnl"/>
        </w:rPr>
        <w:t>obtenidos mediante el presente análisis de Costo Beneficio, el préstamo</w:t>
      </w:r>
      <w:r w:rsidR="00AB1937" w:rsidRPr="007E07C3">
        <w:rPr>
          <w:rFonts w:ascii="Arial" w:eastAsia="Arial" w:hAnsi="Arial" w:cs="Arial"/>
          <w:sz w:val="22"/>
          <w:szCs w:val="22"/>
          <w:lang w:val="es-ES_tradnl"/>
        </w:rPr>
        <w:t xml:space="preserve"> es</w:t>
      </w:r>
      <w:r w:rsidR="006B1119" w:rsidRPr="007E07C3">
        <w:rPr>
          <w:rFonts w:ascii="Arial" w:eastAsia="Arial" w:hAnsi="Arial" w:cs="Arial"/>
          <w:sz w:val="22"/>
          <w:szCs w:val="22"/>
          <w:lang w:val="es-ES_tradnl"/>
        </w:rPr>
        <w:t xml:space="preserve"> rentable por un </w:t>
      </w:r>
      <w:r w:rsidR="00E95389" w:rsidRPr="007E07C3">
        <w:rPr>
          <w:rFonts w:ascii="Arial" w:eastAsia="Arial" w:hAnsi="Arial" w:cs="Arial"/>
          <w:sz w:val="22"/>
          <w:szCs w:val="22"/>
          <w:lang w:val="es-ES_tradnl"/>
        </w:rPr>
        <w:t>VPN de US$205,5</w:t>
      </w:r>
      <w:r w:rsidRPr="007E07C3">
        <w:rPr>
          <w:rFonts w:ascii="Arial" w:eastAsia="Arial" w:hAnsi="Arial" w:cs="Arial"/>
          <w:sz w:val="22"/>
          <w:szCs w:val="22"/>
          <w:lang w:val="es-ES_tradnl"/>
        </w:rPr>
        <w:t xml:space="preserve"> millones co</w:t>
      </w:r>
      <w:r w:rsidR="00AB1937" w:rsidRPr="007E07C3">
        <w:rPr>
          <w:rFonts w:ascii="Arial" w:eastAsia="Arial" w:hAnsi="Arial" w:cs="Arial"/>
          <w:sz w:val="22"/>
          <w:szCs w:val="22"/>
          <w:lang w:val="es-ES_tradnl"/>
        </w:rPr>
        <w:t xml:space="preserve">n </w:t>
      </w:r>
      <w:r w:rsidR="005C5CBD" w:rsidRPr="007E07C3">
        <w:rPr>
          <w:rFonts w:ascii="Arial" w:eastAsia="Arial" w:hAnsi="Arial" w:cs="Arial"/>
          <w:sz w:val="22"/>
          <w:szCs w:val="22"/>
          <w:lang w:val="es-ES_tradnl"/>
        </w:rPr>
        <w:t>una ratio</w:t>
      </w:r>
      <w:r w:rsidR="00AB1937" w:rsidRPr="007E07C3">
        <w:rPr>
          <w:rFonts w:ascii="Arial" w:eastAsia="Arial" w:hAnsi="Arial" w:cs="Arial"/>
          <w:sz w:val="22"/>
          <w:szCs w:val="22"/>
          <w:lang w:val="es-ES_tradnl"/>
        </w:rPr>
        <w:t xml:space="preserve"> </w:t>
      </w:r>
      <w:r w:rsidR="00ED5B2A" w:rsidRPr="007E07C3">
        <w:rPr>
          <w:rFonts w:ascii="Arial" w:eastAsia="Arial" w:hAnsi="Arial" w:cs="Arial"/>
          <w:sz w:val="22"/>
          <w:szCs w:val="22"/>
          <w:lang w:val="es-ES_tradnl"/>
        </w:rPr>
        <w:t xml:space="preserve">Beneficio - Costo </w:t>
      </w:r>
      <w:r w:rsidR="00D43E35" w:rsidRPr="007E07C3">
        <w:rPr>
          <w:rFonts w:ascii="Arial" w:eastAsia="Arial" w:hAnsi="Arial" w:cs="Arial"/>
          <w:sz w:val="22"/>
          <w:szCs w:val="22"/>
          <w:lang w:val="es-ES_tradnl"/>
        </w:rPr>
        <w:t>de 2,2</w:t>
      </w:r>
      <w:r w:rsidRPr="007E07C3">
        <w:rPr>
          <w:rFonts w:ascii="Arial" w:eastAsia="Arial" w:hAnsi="Arial" w:cs="Arial"/>
          <w:sz w:val="22"/>
          <w:szCs w:val="22"/>
          <w:lang w:val="es-ES_tradnl"/>
        </w:rPr>
        <w:t>.</w:t>
      </w:r>
      <w:r w:rsidRPr="00AB1937">
        <w:rPr>
          <w:rFonts w:ascii="Arial" w:eastAsia="Arial" w:hAnsi="Arial" w:cs="Arial"/>
          <w:sz w:val="22"/>
          <w:szCs w:val="22"/>
          <w:lang w:val="es-ES_tradnl"/>
        </w:rPr>
        <w:t xml:space="preserve"> </w:t>
      </w:r>
    </w:p>
    <w:p w14:paraId="305F560A" w14:textId="77777777" w:rsidR="008A2A84" w:rsidRPr="00CE7AB7" w:rsidRDefault="008A2A84">
      <w:pPr>
        <w:rPr>
          <w:rFonts w:ascii="Arial" w:eastAsia="Arial" w:hAnsi="Arial" w:cs="Arial"/>
          <w:lang w:val="es-ES_tradnl"/>
        </w:rPr>
      </w:pPr>
    </w:p>
    <w:p w14:paraId="5474821E" w14:textId="77777777" w:rsidR="008A2A84" w:rsidRDefault="000C35F9" w:rsidP="0033355F">
      <w:pPr>
        <w:numPr>
          <w:ilvl w:val="0"/>
          <w:numId w:val="1"/>
        </w:numPr>
        <w:spacing w:before="120"/>
        <w:ind w:left="0"/>
        <w:contextualSpacing/>
        <w:jc w:val="both"/>
        <w:rPr>
          <w:rFonts w:ascii="Arial" w:eastAsia="Arial" w:hAnsi="Arial" w:cs="Arial"/>
          <w:b/>
        </w:rPr>
      </w:pPr>
      <w:r>
        <w:rPr>
          <w:rFonts w:ascii="Arial" w:eastAsia="Arial" w:hAnsi="Arial" w:cs="Arial"/>
          <w:b/>
        </w:rPr>
        <w:t>Marco teórico</w:t>
      </w:r>
      <w:r w:rsidR="001B2BB5">
        <w:rPr>
          <w:rFonts w:ascii="Arial" w:eastAsia="Arial" w:hAnsi="Arial" w:cs="Arial"/>
          <w:b/>
        </w:rPr>
        <w:t xml:space="preserve"> y Metodología </w:t>
      </w:r>
    </w:p>
    <w:p w14:paraId="14B0937D" w14:textId="77777777" w:rsidR="008A2A84" w:rsidRDefault="008A2A84" w:rsidP="001B2BB5">
      <w:pPr>
        <w:jc w:val="both"/>
        <w:rPr>
          <w:rFonts w:ascii="Arial" w:eastAsia="Arial" w:hAnsi="Arial" w:cs="Arial"/>
        </w:rPr>
      </w:pPr>
    </w:p>
    <w:p w14:paraId="5516ED0A" w14:textId="432E2C9F" w:rsidR="00802193" w:rsidRDefault="00802193" w:rsidP="00802193">
      <w:pPr>
        <w:numPr>
          <w:ilvl w:val="0"/>
          <w:numId w:val="2"/>
        </w:numPr>
        <w:ind w:left="0"/>
        <w:contextualSpacing/>
        <w:jc w:val="both"/>
        <w:rPr>
          <w:rFonts w:ascii="Arial" w:eastAsia="Arial" w:hAnsi="Arial" w:cs="Arial"/>
          <w:sz w:val="22"/>
          <w:szCs w:val="22"/>
          <w:lang w:val="es-ES_tradnl"/>
        </w:rPr>
      </w:pPr>
      <w:r w:rsidRPr="00D368AF">
        <w:rPr>
          <w:rFonts w:ascii="Arial" w:eastAsia="Arial" w:hAnsi="Arial" w:cs="Arial"/>
          <w:sz w:val="22"/>
          <w:szCs w:val="22"/>
          <w:lang w:val="es-ES_tradnl"/>
        </w:rPr>
        <w:t xml:space="preserve">Bajo el marco de referencia de Acemoglu, Gallego y Robinson (2015) sobre el rol importante de las instituciones para el desarrollo económico a través del crecimiento de la productividad total de los factores y desarrollo del capital humano y físico, la eficiencia en la gestión de las IES está determinada por los factores de capital humano y físico. Por ello, el impacto sobre la eficiencia en la gestión de las IES en este caso se da a través de las intervenciones orientadas a mejorar </w:t>
      </w:r>
      <w:r>
        <w:rPr>
          <w:rFonts w:ascii="Arial" w:eastAsia="Arial" w:hAnsi="Arial" w:cs="Arial"/>
          <w:sz w:val="22"/>
          <w:szCs w:val="22"/>
          <w:lang w:val="es-ES_tradnl"/>
        </w:rPr>
        <w:t>el capital humano y el capital físico</w:t>
      </w:r>
      <w:r w:rsidRPr="00D368AF">
        <w:rPr>
          <w:rFonts w:ascii="Arial" w:eastAsia="Arial" w:hAnsi="Arial" w:cs="Arial"/>
          <w:sz w:val="22"/>
          <w:szCs w:val="22"/>
          <w:lang w:val="es-ES_tradnl"/>
        </w:rPr>
        <w:t xml:space="preserve">. </w:t>
      </w:r>
      <w:r w:rsidR="0020069C">
        <w:rPr>
          <w:rFonts w:ascii="Arial" w:eastAsia="Arial" w:hAnsi="Arial" w:cs="Arial"/>
          <w:sz w:val="22"/>
          <w:szCs w:val="22"/>
          <w:lang w:val="es-ES_tradnl"/>
        </w:rPr>
        <w:t>En consecuencia, dos de los</w:t>
      </w:r>
      <w:r w:rsidRPr="00D368AF">
        <w:rPr>
          <w:rFonts w:ascii="Arial" w:eastAsia="Arial" w:hAnsi="Arial" w:cs="Arial"/>
          <w:sz w:val="22"/>
          <w:szCs w:val="22"/>
          <w:lang w:val="es-ES_tradnl"/>
        </w:rPr>
        <w:t xml:space="preserve"> componentes </w:t>
      </w:r>
      <w:r w:rsidR="0020069C">
        <w:rPr>
          <w:rFonts w:ascii="Arial" w:eastAsia="Arial" w:hAnsi="Arial" w:cs="Arial"/>
          <w:sz w:val="22"/>
          <w:szCs w:val="22"/>
          <w:lang w:val="es-ES_tradnl"/>
        </w:rPr>
        <w:t xml:space="preserve">del presente programa </w:t>
      </w:r>
      <w:r w:rsidRPr="00D368AF">
        <w:rPr>
          <w:rFonts w:ascii="Arial" w:eastAsia="Arial" w:hAnsi="Arial" w:cs="Arial"/>
          <w:sz w:val="22"/>
          <w:szCs w:val="22"/>
          <w:lang w:val="es-ES_tradnl"/>
        </w:rPr>
        <w:t xml:space="preserve">están vinculados estrechamente a intervenciones dirigidas a mejorar el capital humano y capital físico. </w:t>
      </w:r>
      <w:r>
        <w:rPr>
          <w:rFonts w:ascii="Arial" w:eastAsia="Arial" w:hAnsi="Arial" w:cs="Arial"/>
          <w:sz w:val="22"/>
          <w:szCs w:val="22"/>
          <w:lang w:val="es-ES_tradnl"/>
        </w:rPr>
        <w:t xml:space="preserve">Por un lado, </w:t>
      </w:r>
      <w:r w:rsidRPr="00D368AF">
        <w:rPr>
          <w:rFonts w:ascii="Arial" w:eastAsia="Arial" w:hAnsi="Arial" w:cs="Arial"/>
          <w:sz w:val="22"/>
          <w:szCs w:val="22"/>
          <w:lang w:val="es-ES_tradnl"/>
        </w:rPr>
        <w:t xml:space="preserve">las intervenciones propuestas </w:t>
      </w:r>
      <w:r>
        <w:rPr>
          <w:rFonts w:ascii="Arial" w:eastAsia="Arial" w:hAnsi="Arial" w:cs="Arial"/>
          <w:sz w:val="22"/>
          <w:szCs w:val="22"/>
          <w:lang w:val="es-ES_tradnl"/>
        </w:rPr>
        <w:t>referidas a</w:t>
      </w:r>
      <w:r w:rsidRPr="00D368AF">
        <w:rPr>
          <w:rFonts w:ascii="Arial" w:eastAsia="Arial" w:hAnsi="Arial" w:cs="Arial"/>
          <w:sz w:val="22"/>
          <w:szCs w:val="22"/>
          <w:lang w:val="es-ES_tradnl"/>
        </w:rPr>
        <w:t xml:space="preserve">l capital humano </w:t>
      </w:r>
      <w:r w:rsidR="00134AC3">
        <w:rPr>
          <w:rFonts w:ascii="Arial" w:eastAsia="Arial" w:hAnsi="Arial" w:cs="Arial"/>
          <w:sz w:val="22"/>
          <w:szCs w:val="22"/>
          <w:lang w:val="es-ES_tradnl"/>
        </w:rPr>
        <w:t xml:space="preserve">y </w:t>
      </w:r>
      <w:r w:rsidR="006643B3">
        <w:rPr>
          <w:rFonts w:ascii="Arial" w:eastAsia="Arial" w:hAnsi="Arial" w:cs="Arial"/>
          <w:sz w:val="22"/>
          <w:szCs w:val="22"/>
          <w:lang w:val="es-ES_tradnl"/>
        </w:rPr>
        <w:t xml:space="preserve">se consideran en el </w:t>
      </w:r>
      <w:r w:rsidR="00134AC3" w:rsidRPr="00590631">
        <w:rPr>
          <w:rFonts w:ascii="Arial" w:eastAsia="Arial" w:hAnsi="Arial" w:cs="Arial"/>
          <w:sz w:val="22"/>
          <w:szCs w:val="22"/>
          <w:lang w:val="es-ES_tradnl"/>
        </w:rPr>
        <w:t>segundo</w:t>
      </w:r>
      <w:r w:rsidR="00134AC3" w:rsidRPr="00D368AF">
        <w:rPr>
          <w:rFonts w:ascii="Arial" w:eastAsia="Arial" w:hAnsi="Arial" w:cs="Arial"/>
          <w:sz w:val="22"/>
          <w:szCs w:val="22"/>
          <w:lang w:val="es-ES_tradnl"/>
        </w:rPr>
        <w:t xml:space="preserve"> </w:t>
      </w:r>
      <w:r w:rsidRPr="00D368AF">
        <w:rPr>
          <w:rFonts w:ascii="Arial" w:eastAsia="Arial" w:hAnsi="Arial" w:cs="Arial"/>
          <w:sz w:val="22"/>
          <w:szCs w:val="22"/>
          <w:lang w:val="es-ES_tradnl"/>
        </w:rPr>
        <w:t>componente del programa</w:t>
      </w:r>
      <w:r>
        <w:rPr>
          <w:rFonts w:ascii="Arial" w:eastAsia="Arial" w:hAnsi="Arial" w:cs="Arial"/>
          <w:i/>
          <w:sz w:val="22"/>
          <w:szCs w:val="22"/>
          <w:lang w:val="es-ES_tradnl"/>
        </w:rPr>
        <w:t xml:space="preserve">. </w:t>
      </w:r>
      <w:r w:rsidRPr="00D368AF">
        <w:rPr>
          <w:rFonts w:ascii="Arial" w:eastAsia="Arial" w:hAnsi="Arial" w:cs="Arial"/>
          <w:sz w:val="22"/>
          <w:szCs w:val="22"/>
          <w:lang w:val="es-ES_tradnl"/>
        </w:rPr>
        <w:t xml:space="preserve">Por el otro lado, las intervenciones propuestas </w:t>
      </w:r>
      <w:r>
        <w:rPr>
          <w:rFonts w:ascii="Arial" w:eastAsia="Arial" w:hAnsi="Arial" w:cs="Arial"/>
          <w:sz w:val="22"/>
          <w:szCs w:val="22"/>
          <w:lang w:val="es-ES_tradnl"/>
        </w:rPr>
        <w:t>referidas a</w:t>
      </w:r>
      <w:r w:rsidRPr="00D368AF">
        <w:rPr>
          <w:rFonts w:ascii="Arial" w:eastAsia="Arial" w:hAnsi="Arial" w:cs="Arial"/>
          <w:sz w:val="22"/>
          <w:szCs w:val="22"/>
          <w:lang w:val="es-ES_tradnl"/>
        </w:rPr>
        <w:t xml:space="preserve">l capital </w:t>
      </w:r>
      <w:r>
        <w:rPr>
          <w:rFonts w:ascii="Arial" w:eastAsia="Arial" w:hAnsi="Arial" w:cs="Arial"/>
          <w:sz w:val="22"/>
          <w:szCs w:val="22"/>
          <w:lang w:val="es-ES_tradnl"/>
        </w:rPr>
        <w:t>físico</w:t>
      </w:r>
      <w:r w:rsidRPr="00D368AF">
        <w:rPr>
          <w:rFonts w:ascii="Arial" w:eastAsia="Arial" w:hAnsi="Arial" w:cs="Arial"/>
          <w:sz w:val="22"/>
          <w:szCs w:val="22"/>
          <w:lang w:val="es-ES_tradnl"/>
        </w:rPr>
        <w:t xml:space="preserve"> </w:t>
      </w:r>
      <w:r w:rsidR="00134AC3">
        <w:rPr>
          <w:rFonts w:ascii="Arial" w:eastAsia="Arial" w:hAnsi="Arial" w:cs="Arial"/>
          <w:sz w:val="22"/>
          <w:szCs w:val="22"/>
          <w:lang w:val="es-ES_tradnl"/>
        </w:rPr>
        <w:t xml:space="preserve">y </w:t>
      </w:r>
      <w:r w:rsidR="006643B3">
        <w:rPr>
          <w:rFonts w:ascii="Arial" w:eastAsia="Arial" w:hAnsi="Arial" w:cs="Arial"/>
          <w:sz w:val="22"/>
          <w:szCs w:val="22"/>
          <w:lang w:val="es-ES_tradnl"/>
        </w:rPr>
        <w:t>se consideran en el</w:t>
      </w:r>
      <w:r w:rsidRPr="00D368AF">
        <w:rPr>
          <w:rFonts w:ascii="Arial" w:eastAsia="Arial" w:hAnsi="Arial" w:cs="Arial"/>
          <w:sz w:val="22"/>
          <w:szCs w:val="22"/>
          <w:lang w:val="es-ES_tradnl"/>
        </w:rPr>
        <w:t xml:space="preserve"> </w:t>
      </w:r>
      <w:r w:rsidR="006643B3">
        <w:rPr>
          <w:rFonts w:ascii="Arial" w:eastAsia="Arial" w:hAnsi="Arial" w:cs="Arial"/>
          <w:sz w:val="22"/>
          <w:szCs w:val="22"/>
          <w:lang w:val="es-ES_tradnl"/>
        </w:rPr>
        <w:t xml:space="preserve">tercer </w:t>
      </w:r>
      <w:r w:rsidRPr="00D368AF">
        <w:rPr>
          <w:rFonts w:ascii="Arial" w:eastAsia="Arial" w:hAnsi="Arial" w:cs="Arial"/>
          <w:sz w:val="22"/>
          <w:szCs w:val="22"/>
          <w:lang w:val="es-ES_tradnl"/>
        </w:rPr>
        <w:t xml:space="preserve">componente, </w:t>
      </w:r>
      <w:r w:rsidRPr="00D368AF">
        <w:rPr>
          <w:rFonts w:ascii="Arial" w:eastAsia="Arial" w:hAnsi="Arial" w:cs="Arial"/>
          <w:sz w:val="22"/>
          <w:szCs w:val="22"/>
          <w:lang w:val="es-ES_tradnl"/>
        </w:rPr>
        <w:lastRenderedPageBreak/>
        <w:t>que está conformado por una serie de proyectos de infraestructura y equipamiento</w:t>
      </w:r>
      <w:r>
        <w:rPr>
          <w:rFonts w:ascii="Arial" w:eastAsia="Arial" w:hAnsi="Arial" w:cs="Arial"/>
          <w:sz w:val="22"/>
          <w:szCs w:val="22"/>
          <w:lang w:val="es-ES_tradnl"/>
        </w:rPr>
        <w:t>.</w:t>
      </w:r>
      <w:r w:rsidR="0071756A">
        <w:rPr>
          <w:rFonts w:ascii="Arial" w:eastAsia="Arial" w:hAnsi="Arial" w:cs="Arial"/>
          <w:sz w:val="22"/>
          <w:szCs w:val="22"/>
          <w:lang w:val="es-ES_tradnl"/>
        </w:rPr>
        <w:t xml:space="preserve"> </w:t>
      </w:r>
      <w:r w:rsidR="0020069C">
        <w:rPr>
          <w:rFonts w:ascii="Arial" w:eastAsia="Arial" w:hAnsi="Arial" w:cs="Arial"/>
          <w:sz w:val="22"/>
          <w:szCs w:val="22"/>
          <w:lang w:val="es-ES_tradnl"/>
        </w:rPr>
        <w:t xml:space="preserve">Adicionalmente, se considera </w:t>
      </w:r>
      <w:r w:rsidR="0057000E">
        <w:rPr>
          <w:rFonts w:ascii="Arial" w:eastAsia="Arial" w:hAnsi="Arial" w:cs="Arial"/>
          <w:sz w:val="22"/>
          <w:szCs w:val="22"/>
          <w:lang w:val="es-ES_tradnl"/>
        </w:rPr>
        <w:t>el</w:t>
      </w:r>
      <w:r w:rsidR="0071756A">
        <w:rPr>
          <w:rFonts w:ascii="Arial" w:eastAsia="Arial" w:hAnsi="Arial" w:cs="Arial"/>
          <w:sz w:val="22"/>
          <w:szCs w:val="22"/>
          <w:lang w:val="es-ES_tradnl"/>
        </w:rPr>
        <w:t xml:space="preserve"> componente </w:t>
      </w:r>
      <w:r w:rsidR="00134AC3">
        <w:rPr>
          <w:rFonts w:ascii="Arial" w:eastAsia="Arial" w:hAnsi="Arial" w:cs="Arial"/>
          <w:sz w:val="22"/>
          <w:szCs w:val="22"/>
          <w:lang w:val="es-ES_tradnl"/>
        </w:rPr>
        <w:t xml:space="preserve">1 </w:t>
      </w:r>
      <w:r w:rsidR="00D05043">
        <w:rPr>
          <w:rFonts w:ascii="Arial" w:eastAsia="Arial" w:hAnsi="Arial" w:cs="Arial"/>
          <w:sz w:val="22"/>
          <w:szCs w:val="22"/>
          <w:lang w:val="es-ES_tradnl"/>
        </w:rPr>
        <w:t xml:space="preserve">de </w:t>
      </w:r>
      <w:r w:rsidR="00D05043" w:rsidRPr="004109E5">
        <w:rPr>
          <w:rFonts w:ascii="Arial" w:eastAsia="Arial" w:hAnsi="Arial" w:cs="Arial"/>
          <w:i/>
          <w:sz w:val="22"/>
          <w:szCs w:val="22"/>
          <w:lang w:val="es-ES_tradnl"/>
        </w:rPr>
        <w:t>Generación de conocimiento e información para un mejor diseño de las políticas de fomento de la calidad y la pertinencia</w:t>
      </w:r>
      <w:r w:rsidR="00D05043">
        <w:rPr>
          <w:rFonts w:ascii="Arial" w:eastAsia="Arial" w:hAnsi="Arial" w:cs="Arial"/>
          <w:sz w:val="22"/>
          <w:szCs w:val="22"/>
          <w:lang w:val="es-ES_tradnl"/>
        </w:rPr>
        <w:t xml:space="preserve"> </w:t>
      </w:r>
      <w:r w:rsidR="0020069C">
        <w:rPr>
          <w:rFonts w:ascii="Arial" w:eastAsia="Arial" w:hAnsi="Arial" w:cs="Arial"/>
          <w:sz w:val="22"/>
          <w:szCs w:val="22"/>
          <w:lang w:val="es-ES_tradnl"/>
        </w:rPr>
        <w:t xml:space="preserve">que </w:t>
      </w:r>
      <w:r w:rsidR="00D05043">
        <w:rPr>
          <w:rFonts w:ascii="Arial" w:eastAsia="Arial" w:hAnsi="Arial" w:cs="Arial"/>
          <w:sz w:val="22"/>
          <w:szCs w:val="22"/>
          <w:lang w:val="es-ES_tradnl"/>
        </w:rPr>
        <w:t>es transversal al programa.</w:t>
      </w:r>
    </w:p>
    <w:p w14:paraId="6B906F2C" w14:textId="77777777" w:rsidR="000C35F9" w:rsidRDefault="000C35F9" w:rsidP="000C35F9">
      <w:pPr>
        <w:contextualSpacing/>
        <w:jc w:val="both"/>
        <w:rPr>
          <w:rFonts w:ascii="Arial" w:eastAsia="Arial" w:hAnsi="Arial" w:cs="Arial"/>
          <w:sz w:val="22"/>
          <w:szCs w:val="22"/>
          <w:lang w:val="es-ES_tradnl"/>
        </w:rPr>
      </w:pPr>
    </w:p>
    <w:p w14:paraId="1F05E352" w14:textId="77777777" w:rsidR="00D05043" w:rsidRPr="006D3ACE" w:rsidRDefault="00D05043" w:rsidP="006D3ACE">
      <w:pPr>
        <w:numPr>
          <w:ilvl w:val="0"/>
          <w:numId w:val="2"/>
        </w:numPr>
        <w:ind w:left="0"/>
        <w:contextualSpacing/>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El presente análisis de costo beneficio </w:t>
      </w:r>
      <w:r w:rsidR="00395FEC">
        <w:rPr>
          <w:rFonts w:ascii="Arial" w:eastAsia="Arial" w:hAnsi="Arial" w:cs="Arial"/>
          <w:sz w:val="22"/>
          <w:szCs w:val="22"/>
          <w:lang w:val="es-ES_tradnl"/>
        </w:rPr>
        <w:t xml:space="preserve">del </w:t>
      </w:r>
      <w:r w:rsidR="00395FEC" w:rsidRPr="00395FEC">
        <w:rPr>
          <w:rFonts w:ascii="Arial" w:eastAsia="Arial" w:hAnsi="Arial" w:cs="Arial"/>
          <w:i/>
          <w:sz w:val="22"/>
          <w:szCs w:val="22"/>
          <w:lang w:val="es-ES_tradnl"/>
        </w:rPr>
        <w:t>Programa para la Mejora de la Calidad y Pertinencia de los Servicios de Educación Universitaria y Tecnológica a Nivel Nacional</w:t>
      </w:r>
      <w:r w:rsidR="006D3ACE">
        <w:rPr>
          <w:rFonts w:ascii="Arial" w:eastAsia="Arial" w:hAnsi="Arial" w:cs="Arial"/>
          <w:i/>
          <w:sz w:val="22"/>
          <w:szCs w:val="22"/>
          <w:lang w:val="es-ES_tradnl"/>
        </w:rPr>
        <w:t>,</w:t>
      </w:r>
      <w:r w:rsidR="00395FEC">
        <w:rPr>
          <w:rFonts w:ascii="Arial" w:eastAsia="Arial" w:hAnsi="Arial" w:cs="Arial"/>
          <w:sz w:val="22"/>
          <w:szCs w:val="22"/>
          <w:lang w:val="es-ES_tradnl"/>
        </w:rPr>
        <w:t xml:space="preserve"> </w:t>
      </w:r>
      <w:r w:rsidRPr="00CE7AB7">
        <w:rPr>
          <w:rFonts w:ascii="Arial" w:eastAsia="Arial" w:hAnsi="Arial" w:cs="Arial"/>
          <w:sz w:val="22"/>
          <w:szCs w:val="22"/>
          <w:lang w:val="es-ES_tradnl"/>
        </w:rPr>
        <w:t>estima los beneficios económicos netos sociales incrementales rela</w:t>
      </w:r>
      <w:r>
        <w:rPr>
          <w:rFonts w:ascii="Arial" w:eastAsia="Arial" w:hAnsi="Arial" w:cs="Arial"/>
          <w:sz w:val="22"/>
          <w:szCs w:val="22"/>
          <w:lang w:val="es-ES_tradnl"/>
        </w:rPr>
        <w:t>cionados a la implementación de todos</w:t>
      </w:r>
      <w:r w:rsidR="00556219">
        <w:rPr>
          <w:rStyle w:val="FootnoteReference"/>
          <w:rFonts w:ascii="Arial" w:eastAsia="Arial" w:hAnsi="Arial" w:cs="Arial"/>
          <w:sz w:val="22"/>
          <w:szCs w:val="22"/>
          <w:lang w:val="es-ES_tradnl"/>
        </w:rPr>
        <w:footnoteReference w:id="5"/>
      </w:r>
      <w:r>
        <w:rPr>
          <w:rFonts w:ascii="Arial" w:eastAsia="Arial" w:hAnsi="Arial" w:cs="Arial"/>
          <w:sz w:val="22"/>
          <w:szCs w:val="22"/>
          <w:lang w:val="es-ES_tradnl"/>
        </w:rPr>
        <w:t xml:space="preserve"> los componentes del</w:t>
      </w:r>
      <w:r w:rsidR="00556219">
        <w:rPr>
          <w:rFonts w:ascii="Arial" w:eastAsia="Arial" w:hAnsi="Arial" w:cs="Arial"/>
          <w:sz w:val="22"/>
          <w:szCs w:val="22"/>
          <w:lang w:val="es-ES_tradnl"/>
        </w:rPr>
        <w:t xml:space="preserve"> programa</w:t>
      </w:r>
      <w:r w:rsidRPr="00CE7AB7">
        <w:rPr>
          <w:rFonts w:ascii="Arial" w:eastAsia="Arial" w:hAnsi="Arial" w:cs="Arial"/>
          <w:sz w:val="22"/>
          <w:szCs w:val="22"/>
          <w:lang w:val="es-ES_tradnl"/>
        </w:rPr>
        <w:t>. Esto se hace sustrayendo los costos incrementales del programa del flujo descontado de bene</w:t>
      </w:r>
      <w:r w:rsidR="006D3ACE">
        <w:rPr>
          <w:rFonts w:ascii="Arial" w:eastAsia="Arial" w:hAnsi="Arial" w:cs="Arial"/>
          <w:sz w:val="22"/>
          <w:szCs w:val="22"/>
          <w:lang w:val="es-ES_tradnl"/>
        </w:rPr>
        <w:t>ficios incrementales estimados y calculando</w:t>
      </w:r>
      <w:r w:rsidRPr="006D3ACE">
        <w:rPr>
          <w:rFonts w:ascii="Arial" w:eastAsia="Arial" w:hAnsi="Arial" w:cs="Arial"/>
          <w:sz w:val="22"/>
          <w:szCs w:val="22"/>
          <w:lang w:val="es-ES_tradnl"/>
        </w:rPr>
        <w:t xml:space="preserve"> el Valor Presente Neto mediante la siguiente fórmula:</w:t>
      </w:r>
    </w:p>
    <w:p w14:paraId="3FEE8FD7" w14:textId="77777777" w:rsidR="00D05043" w:rsidRPr="00FE4B5E" w:rsidRDefault="00D05043" w:rsidP="00D05043">
      <w:pPr>
        <w:jc w:val="both"/>
        <w:rPr>
          <w:rFonts w:ascii="Arial" w:eastAsia="Arial" w:hAnsi="Arial" w:cs="Arial"/>
          <w:lang w:val="es-ES_tradnl"/>
        </w:rPr>
      </w:pPr>
      <w:r w:rsidRPr="00CE7AB7">
        <w:rPr>
          <w:rFonts w:ascii="Arial" w:eastAsia="Arial" w:hAnsi="Arial" w:cs="Arial"/>
          <w:lang w:val="es-ES_tradnl"/>
        </w:rPr>
        <w:t xml:space="preserve"> </w:t>
      </w:r>
      <m:oMath>
        <m:r>
          <m:rPr>
            <m:sty m:val="p"/>
          </m:rPr>
          <w:rPr>
            <w:rFonts w:ascii="Cambria Math" w:hAnsi="Cambria Math" w:cs="Arial"/>
            <w:lang w:val="es-ES_tradnl"/>
          </w:rPr>
          <w:br/>
        </m:r>
      </m:oMath>
      <m:oMathPara>
        <m:oMath>
          <m:r>
            <w:rPr>
              <w:rFonts w:ascii="Cambria Math" w:hAnsi="Cambria Math" w:cs="Arial"/>
            </w:rPr>
            <m:t>VPN</m:t>
          </m:r>
          <m:r>
            <w:rPr>
              <w:rFonts w:ascii="Cambria Math" w:hAnsi="Cambria Math" w:cs="Arial"/>
              <w:lang w:val="es-ES_tradnl"/>
            </w:rPr>
            <m:t>=</m:t>
          </m:r>
          <m:nary>
            <m:naryPr>
              <m:chr m:val="∑"/>
              <m:limLoc m:val="undOvr"/>
              <m:ctrlPr>
                <w:rPr>
                  <w:rFonts w:ascii="Cambria Math" w:hAnsi="Cambria Math" w:cs="Arial"/>
                  <w:i/>
                </w:rPr>
              </m:ctrlPr>
            </m:naryPr>
            <m:sub>
              <m:r>
                <w:rPr>
                  <w:rFonts w:ascii="Cambria Math" w:hAnsi="Cambria Math" w:cs="Arial"/>
                </w:rPr>
                <m:t>t</m:t>
              </m:r>
              <m:r>
                <w:rPr>
                  <w:rFonts w:ascii="Cambria Math" w:hAnsi="Cambria Math" w:cs="Arial"/>
                  <w:lang w:val="es-ES_tradnl"/>
                </w:rPr>
                <m:t>=1</m:t>
              </m:r>
            </m:sub>
            <m:sup>
              <m:r>
                <w:rPr>
                  <w:rFonts w:ascii="Cambria Math" w:hAnsi="Cambria Math" w:cs="Arial"/>
                </w:rPr>
                <m:t>n</m:t>
              </m:r>
            </m:sup>
            <m:e>
              <m:f>
                <m:fPr>
                  <m:ctrlPr>
                    <w:rPr>
                      <w:rFonts w:ascii="Cambria Math" w:hAnsi="Cambria Math" w:cs="Arial"/>
                      <w:i/>
                    </w:rPr>
                  </m:ctrlPr>
                </m:fPr>
                <m:num>
                  <m:r>
                    <m:rPr>
                      <m:sty m:val="p"/>
                    </m:rPr>
                    <w:rPr>
                      <w:rFonts w:ascii="Cambria Math" w:hAnsi="Cambria Math" w:cs="Arial"/>
                      <w:lang w:val="es-ES_tradnl"/>
                    </w:rPr>
                    <m:t xml:space="preserve">Beneficios económicos-Costos económicos </m:t>
                  </m:r>
                </m:num>
                <m:den>
                  <m:sSup>
                    <m:sSupPr>
                      <m:ctrlPr>
                        <w:rPr>
                          <w:rFonts w:ascii="Cambria Math" w:hAnsi="Cambria Math" w:cs="Arial"/>
                          <w:i/>
                        </w:rPr>
                      </m:ctrlPr>
                    </m:sSupPr>
                    <m:e>
                      <m:r>
                        <w:rPr>
                          <w:rFonts w:ascii="Cambria Math" w:hAnsi="Cambria Math" w:cs="Arial"/>
                          <w:lang w:val="es-ES_tradnl"/>
                        </w:rPr>
                        <m:t>(1+</m:t>
                      </m:r>
                      <m:r>
                        <w:rPr>
                          <w:rFonts w:ascii="Cambria Math" w:hAnsi="Cambria Math" w:cs="Arial"/>
                        </w:rPr>
                        <m:t>i</m:t>
                      </m:r>
                      <m:r>
                        <w:rPr>
                          <w:rFonts w:ascii="Cambria Math" w:hAnsi="Cambria Math" w:cs="Arial"/>
                          <w:lang w:val="es-ES_tradnl"/>
                        </w:rPr>
                        <m:t>)</m:t>
                      </m:r>
                    </m:e>
                    <m:sup>
                      <m:r>
                        <w:rPr>
                          <w:rFonts w:ascii="Cambria Math" w:hAnsi="Cambria Math" w:cs="Arial"/>
                        </w:rPr>
                        <m:t>t</m:t>
                      </m:r>
                      <m:r>
                        <w:rPr>
                          <w:rFonts w:ascii="Cambria Math" w:hAnsi="Cambria Math" w:cs="Arial"/>
                          <w:lang w:val="es-ES_tradnl"/>
                        </w:rPr>
                        <m:t>-1</m:t>
                      </m:r>
                    </m:sup>
                  </m:sSup>
                </m:den>
              </m:f>
            </m:e>
          </m:nary>
        </m:oMath>
      </m:oMathPara>
    </w:p>
    <w:p w14:paraId="3E10F6C9" w14:textId="77777777" w:rsidR="00D05043" w:rsidRPr="00CE7AB7" w:rsidRDefault="00D05043" w:rsidP="00D05043">
      <w:pPr>
        <w:jc w:val="both"/>
        <w:rPr>
          <w:rFonts w:ascii="Arial" w:eastAsia="Arial" w:hAnsi="Arial" w:cs="Arial"/>
          <w:b/>
          <w:lang w:val="es-ES_tradnl"/>
        </w:rPr>
      </w:pPr>
    </w:p>
    <w:p w14:paraId="2BD84208" w14:textId="77777777" w:rsidR="00D05043" w:rsidRDefault="00D05043" w:rsidP="00D05043">
      <w:pPr>
        <w:jc w:val="both"/>
        <w:rPr>
          <w:rFonts w:ascii="Arial" w:eastAsia="Arial" w:hAnsi="Arial" w:cs="Arial"/>
          <w:sz w:val="22"/>
          <w:szCs w:val="22"/>
          <w:lang w:val="es-ES_tradnl"/>
        </w:rPr>
      </w:pPr>
      <w:r w:rsidRPr="00CE7AB7">
        <w:rPr>
          <w:rFonts w:ascii="Arial" w:eastAsia="Arial" w:hAnsi="Arial" w:cs="Arial"/>
          <w:lang w:val="es-ES_tradnl"/>
        </w:rPr>
        <w:t>Donde</w:t>
      </w:r>
      <w:r w:rsidRPr="00CE7AB7">
        <w:rPr>
          <w:rFonts w:ascii="Arial" w:eastAsia="Arial" w:hAnsi="Arial" w:cs="Arial"/>
          <w:b/>
          <w:lang w:val="es-ES_tradnl"/>
        </w:rPr>
        <w:t xml:space="preserve"> </w:t>
      </w:r>
      <w:r w:rsidRPr="00CE7AB7">
        <w:rPr>
          <w:rFonts w:ascii="Arial" w:eastAsia="Arial" w:hAnsi="Arial" w:cs="Arial"/>
          <w:i/>
          <w:sz w:val="22"/>
          <w:szCs w:val="22"/>
          <w:lang w:val="es-ES_tradnl"/>
        </w:rPr>
        <w:t>i</w:t>
      </w:r>
      <w:r w:rsidRPr="00CE7AB7">
        <w:rPr>
          <w:rFonts w:ascii="Arial" w:eastAsia="Arial" w:hAnsi="Arial" w:cs="Arial"/>
          <w:sz w:val="22"/>
          <w:szCs w:val="22"/>
          <w:lang w:val="es-ES_tradnl"/>
        </w:rPr>
        <w:t xml:space="preserve"> es la tasa de descuento definida de 12%, </w:t>
      </w:r>
      <w:r w:rsidRPr="00CE7AB7">
        <w:rPr>
          <w:rFonts w:ascii="Arial" w:eastAsia="Arial" w:hAnsi="Arial" w:cs="Arial"/>
          <w:i/>
          <w:sz w:val="22"/>
          <w:szCs w:val="22"/>
          <w:lang w:val="es-ES_tradnl"/>
        </w:rPr>
        <w:t xml:space="preserve">t </w:t>
      </w:r>
      <w:r w:rsidRPr="00CE7AB7">
        <w:rPr>
          <w:rFonts w:ascii="Arial" w:eastAsia="Arial" w:hAnsi="Arial" w:cs="Arial"/>
          <w:sz w:val="22"/>
          <w:szCs w:val="22"/>
          <w:lang w:val="es-ES_tradnl"/>
        </w:rPr>
        <w:t>es el número de años que se esperan de beneficios.</w:t>
      </w:r>
    </w:p>
    <w:p w14:paraId="2269EB8C" w14:textId="77777777" w:rsidR="0070280D" w:rsidRDefault="0070280D" w:rsidP="00D05043">
      <w:pPr>
        <w:jc w:val="both"/>
        <w:rPr>
          <w:rFonts w:ascii="Arial" w:eastAsia="Arial" w:hAnsi="Arial" w:cs="Arial"/>
          <w:sz w:val="22"/>
          <w:szCs w:val="22"/>
          <w:lang w:val="es-ES_tradnl"/>
        </w:rPr>
      </w:pPr>
    </w:p>
    <w:p w14:paraId="547E2E01" w14:textId="77777777" w:rsidR="0070280D" w:rsidRPr="0070280D" w:rsidRDefault="0070280D" w:rsidP="00D05043">
      <w:pPr>
        <w:numPr>
          <w:ilvl w:val="0"/>
          <w:numId w:val="2"/>
        </w:numPr>
        <w:ind w:left="0"/>
        <w:contextualSpacing/>
        <w:jc w:val="both"/>
        <w:rPr>
          <w:rFonts w:ascii="Arial" w:eastAsia="Arial" w:hAnsi="Arial" w:cs="Arial"/>
          <w:sz w:val="22"/>
          <w:szCs w:val="22"/>
          <w:lang w:val="es-ES_tradnl"/>
        </w:rPr>
      </w:pPr>
      <w:r w:rsidRPr="00906191">
        <w:rPr>
          <w:rFonts w:ascii="Arial" w:eastAsia="Arial" w:hAnsi="Arial" w:cs="Arial"/>
          <w:sz w:val="22"/>
          <w:szCs w:val="22"/>
          <w:lang w:val="es-ES_tradnl"/>
        </w:rPr>
        <w:t>El presente análisis asume una tasa de descuento de 12%, que es la tasa de descuento definida para los proyectos del Banco (</w:t>
      </w:r>
      <w:r w:rsidRPr="001C0FE2">
        <w:rPr>
          <w:rFonts w:ascii="Arial" w:eastAsia="Arial" w:hAnsi="Arial" w:cs="Arial"/>
          <w:i/>
          <w:sz w:val="22"/>
          <w:szCs w:val="22"/>
          <w:lang w:val="es-ES_tradnl"/>
        </w:rPr>
        <w:t>Guidelines for the Economic Analysis of IDB-Funded Projects, 2012</w:t>
      </w:r>
      <w:r w:rsidRPr="00906191">
        <w:rPr>
          <w:rFonts w:ascii="Arial" w:eastAsia="Arial" w:hAnsi="Arial" w:cs="Arial"/>
          <w:sz w:val="22"/>
          <w:szCs w:val="22"/>
          <w:lang w:val="es-ES_tradnl"/>
        </w:rPr>
        <w:t>) y que coincide con la tasa de descuento usualmente empleada en análisis costo-beneficio en países en desarrollo</w:t>
      </w:r>
      <w:r w:rsidRPr="00906191">
        <w:rPr>
          <w:rFonts w:ascii="Arial" w:eastAsia="Arial" w:hAnsi="Arial" w:cs="Arial"/>
          <w:sz w:val="22"/>
          <w:szCs w:val="22"/>
          <w:vertAlign w:val="superscript"/>
          <w:lang w:val="es-ES_tradnl"/>
        </w:rPr>
        <w:footnoteReference w:id="6"/>
      </w:r>
      <w:r w:rsidRPr="00906191">
        <w:rPr>
          <w:rFonts w:ascii="Arial" w:eastAsia="Arial" w:hAnsi="Arial" w:cs="Arial"/>
          <w:sz w:val="22"/>
          <w:szCs w:val="22"/>
          <w:lang w:val="es-ES_tradnl"/>
        </w:rPr>
        <w:t xml:space="preserve">. </w:t>
      </w:r>
    </w:p>
    <w:p w14:paraId="07B7B588" w14:textId="77777777" w:rsidR="00D05043" w:rsidRDefault="00D05043" w:rsidP="00D05043">
      <w:pPr>
        <w:jc w:val="both"/>
        <w:rPr>
          <w:rFonts w:ascii="Arial" w:eastAsia="Arial" w:hAnsi="Arial" w:cs="Arial"/>
          <w:sz w:val="22"/>
          <w:szCs w:val="22"/>
          <w:lang w:val="es-ES_tradnl"/>
        </w:rPr>
      </w:pPr>
    </w:p>
    <w:p w14:paraId="2DBBDBBA" w14:textId="465B0689" w:rsidR="00D05043" w:rsidRPr="00906191" w:rsidRDefault="00D05043" w:rsidP="00D05043">
      <w:pPr>
        <w:pStyle w:val="ListParagraph"/>
        <w:numPr>
          <w:ilvl w:val="0"/>
          <w:numId w:val="2"/>
        </w:numPr>
        <w:tabs>
          <w:tab w:val="left" w:pos="360"/>
        </w:tabs>
        <w:ind w:left="90" w:hanging="450"/>
        <w:jc w:val="both"/>
        <w:rPr>
          <w:rFonts w:ascii="Arial" w:eastAsia="Arial" w:hAnsi="Arial" w:cs="Arial"/>
          <w:sz w:val="22"/>
          <w:szCs w:val="22"/>
        </w:rPr>
      </w:pPr>
      <w:r w:rsidRPr="00906191">
        <w:rPr>
          <w:rFonts w:ascii="Arial" w:eastAsia="Arial" w:hAnsi="Arial" w:cs="Arial"/>
          <w:sz w:val="22"/>
          <w:szCs w:val="22"/>
        </w:rPr>
        <w:t xml:space="preserve">Todos los cálculos son realizados en dólares americanos. Para el cambio de nuevos soles peruanos a dólares se utiliza el tipo de </w:t>
      </w:r>
      <w:r w:rsidRPr="00052B7C">
        <w:rPr>
          <w:rFonts w:ascii="Arial" w:eastAsia="Arial" w:hAnsi="Arial" w:cs="Arial"/>
          <w:sz w:val="22"/>
          <w:szCs w:val="22"/>
        </w:rPr>
        <w:t xml:space="preserve">cambio </w:t>
      </w:r>
      <w:r w:rsidR="00FB24A7" w:rsidRPr="00052B7C">
        <w:rPr>
          <w:rFonts w:ascii="Arial" w:eastAsia="Arial" w:hAnsi="Arial" w:cs="Arial"/>
          <w:sz w:val="22"/>
          <w:szCs w:val="22"/>
        </w:rPr>
        <w:t xml:space="preserve">de </w:t>
      </w:r>
      <w:r w:rsidR="00052B7C">
        <w:rPr>
          <w:rFonts w:ascii="Arial" w:eastAsia="Arial" w:hAnsi="Arial" w:cs="Arial"/>
          <w:sz w:val="22"/>
          <w:szCs w:val="22"/>
        </w:rPr>
        <w:t>3.41 para el primer año y para el resto, 3.42</w:t>
      </w:r>
      <w:r w:rsidRPr="00906191">
        <w:rPr>
          <w:rFonts w:eastAsia="Arial"/>
          <w:vertAlign w:val="superscript"/>
        </w:rPr>
        <w:footnoteReference w:id="7"/>
      </w:r>
      <w:r w:rsidRPr="00906191">
        <w:rPr>
          <w:rFonts w:ascii="Arial" w:eastAsia="Arial" w:hAnsi="Arial" w:cs="Arial"/>
          <w:sz w:val="22"/>
          <w:szCs w:val="22"/>
        </w:rPr>
        <w:t xml:space="preserve"> nuevos soles por dólar.</w:t>
      </w:r>
    </w:p>
    <w:p w14:paraId="1AE946B0" w14:textId="77777777" w:rsidR="00802193" w:rsidRPr="00802193" w:rsidRDefault="00802193" w:rsidP="001B2BB5">
      <w:pPr>
        <w:jc w:val="both"/>
        <w:rPr>
          <w:rFonts w:ascii="Arial" w:eastAsia="Arial" w:hAnsi="Arial" w:cs="Arial"/>
          <w:lang w:val="es-ES_tradnl"/>
        </w:rPr>
      </w:pPr>
    </w:p>
    <w:p w14:paraId="024998CC" w14:textId="77777777" w:rsidR="008A2A84" w:rsidRPr="00802193" w:rsidRDefault="00802193" w:rsidP="00802193">
      <w:pPr>
        <w:numPr>
          <w:ilvl w:val="0"/>
          <w:numId w:val="1"/>
        </w:numPr>
        <w:spacing w:before="120"/>
        <w:ind w:left="0"/>
        <w:contextualSpacing/>
        <w:jc w:val="both"/>
        <w:rPr>
          <w:rFonts w:ascii="Arial" w:eastAsia="Arial" w:hAnsi="Arial" w:cs="Arial"/>
          <w:b/>
        </w:rPr>
      </w:pPr>
      <w:r>
        <w:rPr>
          <w:rFonts w:ascii="Arial" w:eastAsia="Arial" w:hAnsi="Arial" w:cs="Arial"/>
          <w:b/>
        </w:rPr>
        <w:t>Beneficios económicos</w:t>
      </w:r>
    </w:p>
    <w:p w14:paraId="5C7768D4" w14:textId="77777777" w:rsidR="008A2A84" w:rsidRDefault="008A2A84" w:rsidP="005D0C60">
      <w:pPr>
        <w:jc w:val="both"/>
        <w:rPr>
          <w:rFonts w:ascii="Arial" w:eastAsia="Arial" w:hAnsi="Arial" w:cs="Arial"/>
        </w:rPr>
      </w:pPr>
    </w:p>
    <w:p w14:paraId="6BFD78FD" w14:textId="77777777" w:rsidR="00D05043" w:rsidRDefault="00D05043" w:rsidP="000518F8">
      <w:pPr>
        <w:numPr>
          <w:ilvl w:val="0"/>
          <w:numId w:val="2"/>
        </w:numPr>
        <w:ind w:left="0"/>
        <w:contextualSpacing/>
        <w:jc w:val="both"/>
        <w:rPr>
          <w:rFonts w:ascii="Arial" w:eastAsia="Arial" w:hAnsi="Arial" w:cs="Arial"/>
          <w:sz w:val="22"/>
          <w:szCs w:val="22"/>
          <w:lang w:val="es-ES_tradnl"/>
        </w:rPr>
      </w:pPr>
      <w:r w:rsidRPr="005D0C60">
        <w:rPr>
          <w:rFonts w:ascii="Arial" w:eastAsia="Arial" w:hAnsi="Arial" w:cs="Arial"/>
          <w:sz w:val="22"/>
          <w:szCs w:val="22"/>
          <w:lang w:val="es-ES_tradnl"/>
        </w:rPr>
        <w:t>El cálculo de los beneficios económicos del programa se realiza en base a dos</w:t>
      </w:r>
      <w:r w:rsidR="00D503A4">
        <w:rPr>
          <w:rFonts w:ascii="Arial" w:eastAsia="Arial" w:hAnsi="Arial" w:cs="Arial"/>
          <w:sz w:val="22"/>
          <w:szCs w:val="22"/>
          <w:lang w:val="es-ES_tradnl"/>
        </w:rPr>
        <w:t xml:space="preserve"> de los componentes del programa</w:t>
      </w:r>
      <w:r>
        <w:rPr>
          <w:rStyle w:val="FootnoteReference"/>
          <w:rFonts w:ascii="Arial" w:eastAsia="Arial" w:hAnsi="Arial" w:cs="Arial"/>
          <w:sz w:val="22"/>
          <w:szCs w:val="22"/>
          <w:lang w:val="es-ES_tradnl"/>
        </w:rPr>
        <w:footnoteReference w:id="8"/>
      </w:r>
      <w:r w:rsidRPr="005D0C60">
        <w:rPr>
          <w:rFonts w:ascii="Arial" w:eastAsia="Arial" w:hAnsi="Arial" w:cs="Arial"/>
          <w:sz w:val="22"/>
          <w:szCs w:val="22"/>
          <w:lang w:val="es-ES_tradnl"/>
        </w:rPr>
        <w:t xml:space="preserve"> y se cuantifica en términos del efecto de cada </w:t>
      </w:r>
      <w:r w:rsidR="00D503A4">
        <w:rPr>
          <w:rFonts w:ascii="Arial" w:eastAsia="Arial" w:hAnsi="Arial" w:cs="Arial"/>
          <w:sz w:val="22"/>
          <w:szCs w:val="22"/>
          <w:lang w:val="es-ES_tradnl"/>
        </w:rPr>
        <w:t xml:space="preserve">uno de </w:t>
      </w:r>
      <w:r w:rsidR="009D1BE2">
        <w:rPr>
          <w:rFonts w:ascii="Arial" w:eastAsia="Arial" w:hAnsi="Arial" w:cs="Arial"/>
          <w:sz w:val="22"/>
          <w:szCs w:val="22"/>
          <w:lang w:val="es-ES_tradnl"/>
        </w:rPr>
        <w:t xml:space="preserve">estos dos </w:t>
      </w:r>
      <w:r w:rsidR="009D1BE2" w:rsidRPr="005D0C60">
        <w:rPr>
          <w:rFonts w:ascii="Arial" w:eastAsia="Arial" w:hAnsi="Arial" w:cs="Arial"/>
          <w:sz w:val="22"/>
          <w:szCs w:val="22"/>
          <w:lang w:val="es-ES_tradnl"/>
        </w:rPr>
        <w:t>componentes</w:t>
      </w:r>
      <w:r w:rsidRPr="005D0C60">
        <w:rPr>
          <w:rFonts w:ascii="Arial" w:eastAsia="Arial" w:hAnsi="Arial" w:cs="Arial"/>
          <w:sz w:val="22"/>
          <w:szCs w:val="22"/>
          <w:lang w:val="es-ES_tradnl"/>
        </w:rPr>
        <w:t xml:space="preserve"> en los ingresos de los egresados de las IES públicas</w:t>
      </w:r>
      <w:r w:rsidR="00A2245F" w:rsidRPr="005D0C60">
        <w:rPr>
          <w:rFonts w:ascii="Arial" w:eastAsia="Arial" w:hAnsi="Arial" w:cs="Arial"/>
          <w:sz w:val="22"/>
          <w:szCs w:val="22"/>
          <w:lang w:val="es-ES_tradnl"/>
        </w:rPr>
        <w:t xml:space="preserve"> beneficiadas</w:t>
      </w:r>
      <w:r w:rsidRPr="005D0C60">
        <w:rPr>
          <w:rFonts w:ascii="Arial" w:eastAsia="Arial" w:hAnsi="Arial" w:cs="Arial"/>
          <w:sz w:val="22"/>
          <w:szCs w:val="22"/>
          <w:lang w:val="es-ES_tradnl"/>
        </w:rPr>
        <w:t xml:space="preserve">. </w:t>
      </w:r>
    </w:p>
    <w:p w14:paraId="761768EF" w14:textId="77777777" w:rsidR="005D0C60" w:rsidRPr="005D0C60" w:rsidRDefault="005D0C60" w:rsidP="005D0C60">
      <w:pPr>
        <w:contextualSpacing/>
        <w:jc w:val="both"/>
        <w:rPr>
          <w:rFonts w:ascii="Arial" w:eastAsia="Arial" w:hAnsi="Arial" w:cs="Arial"/>
          <w:sz w:val="22"/>
          <w:szCs w:val="22"/>
          <w:lang w:val="es-ES_tradnl"/>
        </w:rPr>
      </w:pPr>
    </w:p>
    <w:p w14:paraId="7B218FBB" w14:textId="4A5E838F" w:rsidR="00D05043" w:rsidRDefault="00D05043" w:rsidP="00D05043">
      <w:pPr>
        <w:numPr>
          <w:ilvl w:val="0"/>
          <w:numId w:val="2"/>
        </w:numPr>
        <w:ind w:left="0"/>
        <w:contextualSpacing/>
        <w:jc w:val="both"/>
        <w:rPr>
          <w:rFonts w:ascii="Arial" w:eastAsia="Arial" w:hAnsi="Arial" w:cs="Arial"/>
          <w:sz w:val="22"/>
          <w:szCs w:val="22"/>
          <w:lang w:val="es-ES_tradnl"/>
        </w:rPr>
      </w:pPr>
      <w:r>
        <w:rPr>
          <w:rFonts w:ascii="Arial" w:eastAsia="Arial" w:hAnsi="Arial" w:cs="Arial"/>
          <w:sz w:val="22"/>
          <w:szCs w:val="22"/>
          <w:lang w:val="es-ES_tradnl"/>
        </w:rPr>
        <w:t>Para e</w:t>
      </w:r>
      <w:r w:rsidRPr="00CE7AB7">
        <w:rPr>
          <w:rFonts w:ascii="Arial" w:eastAsia="Arial" w:hAnsi="Arial" w:cs="Arial"/>
          <w:sz w:val="22"/>
          <w:szCs w:val="22"/>
          <w:lang w:val="es-ES_tradnl"/>
        </w:rPr>
        <w:t xml:space="preserve">l cálculo de los beneficios de cada </w:t>
      </w:r>
      <w:r w:rsidR="00E35ABD">
        <w:rPr>
          <w:rFonts w:ascii="Arial" w:eastAsia="Arial" w:hAnsi="Arial" w:cs="Arial"/>
          <w:sz w:val="22"/>
          <w:szCs w:val="22"/>
          <w:lang w:val="es-ES_tradnl"/>
        </w:rPr>
        <w:t xml:space="preserve">uno de estos dos </w:t>
      </w:r>
      <w:r w:rsidRPr="00CE7AB7">
        <w:rPr>
          <w:rFonts w:ascii="Arial" w:eastAsia="Arial" w:hAnsi="Arial" w:cs="Arial"/>
          <w:sz w:val="22"/>
          <w:szCs w:val="22"/>
          <w:lang w:val="es-ES_tradnl"/>
        </w:rPr>
        <w:t>componente</w:t>
      </w:r>
      <w:r w:rsidR="00E35ABD">
        <w:rPr>
          <w:rFonts w:ascii="Arial" w:eastAsia="Arial" w:hAnsi="Arial" w:cs="Arial"/>
          <w:sz w:val="22"/>
          <w:szCs w:val="22"/>
          <w:lang w:val="es-ES_tradnl"/>
        </w:rPr>
        <w:t>s</w:t>
      </w:r>
      <w:r w:rsidRPr="00CE7AB7">
        <w:rPr>
          <w:rFonts w:ascii="Arial" w:eastAsia="Arial" w:hAnsi="Arial" w:cs="Arial"/>
          <w:sz w:val="22"/>
          <w:szCs w:val="22"/>
          <w:lang w:val="es-ES_tradnl"/>
        </w:rPr>
        <w:t xml:space="preserve"> del proyecto y agregado </w:t>
      </w:r>
      <w:r>
        <w:rPr>
          <w:rFonts w:ascii="Arial" w:eastAsia="Arial" w:hAnsi="Arial" w:cs="Arial"/>
          <w:sz w:val="22"/>
          <w:szCs w:val="22"/>
          <w:lang w:val="es-ES_tradnl"/>
        </w:rPr>
        <w:t xml:space="preserve">en este análisis económico del proyecto, se deben considerar </w:t>
      </w:r>
      <w:r w:rsidRPr="00CE7AB7">
        <w:rPr>
          <w:rFonts w:ascii="Arial" w:eastAsia="Arial" w:hAnsi="Arial" w:cs="Arial"/>
          <w:sz w:val="22"/>
          <w:szCs w:val="22"/>
          <w:lang w:val="es-ES_tradnl"/>
        </w:rPr>
        <w:t xml:space="preserve">cuatro elementos: </w:t>
      </w:r>
    </w:p>
    <w:p w14:paraId="51940353" w14:textId="77777777" w:rsidR="00D05043" w:rsidRPr="00CE7AB7" w:rsidRDefault="00D05043" w:rsidP="00D05043">
      <w:pPr>
        <w:contextualSpacing/>
        <w:jc w:val="both"/>
        <w:rPr>
          <w:rFonts w:ascii="Arial" w:eastAsia="Arial" w:hAnsi="Arial" w:cs="Arial"/>
          <w:sz w:val="22"/>
          <w:szCs w:val="22"/>
          <w:lang w:val="es-ES_tradnl"/>
        </w:rPr>
      </w:pPr>
    </w:p>
    <w:p w14:paraId="365073E0" w14:textId="77777777" w:rsidR="00D05043" w:rsidRPr="00CE7AB7" w:rsidRDefault="00D05043" w:rsidP="00D05043">
      <w:pPr>
        <w:numPr>
          <w:ilvl w:val="0"/>
          <w:numId w:val="4"/>
        </w:numPr>
        <w:contextualSpacing/>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 Dirección del efecto </w:t>
      </w:r>
      <w:r>
        <w:rPr>
          <w:rFonts w:ascii="Arial" w:eastAsia="Arial" w:hAnsi="Arial" w:cs="Arial"/>
          <w:sz w:val="22"/>
          <w:szCs w:val="22"/>
          <w:lang w:val="es-ES_tradnl"/>
        </w:rPr>
        <w:t>del programa</w:t>
      </w:r>
    </w:p>
    <w:p w14:paraId="477A215B" w14:textId="77777777" w:rsidR="00D05043" w:rsidRPr="00CE7AB7" w:rsidRDefault="00D05043" w:rsidP="00D05043">
      <w:pPr>
        <w:numPr>
          <w:ilvl w:val="0"/>
          <w:numId w:val="4"/>
        </w:numPr>
        <w:contextualSpacing/>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 La magnitud de dicho efecto</w:t>
      </w:r>
    </w:p>
    <w:p w14:paraId="335E76C0" w14:textId="77777777" w:rsidR="00D05043" w:rsidRPr="00CE7AB7" w:rsidRDefault="00D05043" w:rsidP="00D05043">
      <w:pPr>
        <w:numPr>
          <w:ilvl w:val="0"/>
          <w:numId w:val="4"/>
        </w:numPr>
        <w:contextualSpacing/>
        <w:jc w:val="both"/>
        <w:rPr>
          <w:rFonts w:ascii="Arial" w:eastAsia="Arial" w:hAnsi="Arial" w:cs="Arial"/>
          <w:sz w:val="22"/>
          <w:szCs w:val="22"/>
        </w:rPr>
      </w:pPr>
      <w:r w:rsidRPr="00CE7AB7">
        <w:rPr>
          <w:rFonts w:ascii="Arial" w:eastAsia="Arial" w:hAnsi="Arial" w:cs="Arial"/>
          <w:sz w:val="22"/>
          <w:szCs w:val="22"/>
          <w:lang w:val="es-ES_tradnl"/>
        </w:rPr>
        <w:lastRenderedPageBreak/>
        <w:t xml:space="preserve"> </w:t>
      </w:r>
      <w:r w:rsidRPr="00CE7AB7">
        <w:rPr>
          <w:rFonts w:ascii="Arial" w:eastAsia="Arial" w:hAnsi="Arial" w:cs="Arial"/>
          <w:sz w:val="22"/>
          <w:szCs w:val="22"/>
        </w:rPr>
        <w:t>Los beneficiarios</w:t>
      </w:r>
    </w:p>
    <w:p w14:paraId="49FE83A8" w14:textId="77777777" w:rsidR="00D05043" w:rsidRPr="00CE7AB7" w:rsidRDefault="00D05043" w:rsidP="00D05043">
      <w:pPr>
        <w:numPr>
          <w:ilvl w:val="0"/>
          <w:numId w:val="4"/>
        </w:numPr>
        <w:contextualSpacing/>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 La dinámica a lo lar</w:t>
      </w:r>
      <w:r>
        <w:rPr>
          <w:rFonts w:ascii="Arial" w:eastAsia="Arial" w:hAnsi="Arial" w:cs="Arial"/>
          <w:sz w:val="22"/>
          <w:szCs w:val="22"/>
          <w:lang w:val="es-ES_tradnl"/>
        </w:rPr>
        <w:t xml:space="preserve">go de la vida útil del programa </w:t>
      </w:r>
    </w:p>
    <w:p w14:paraId="440DB10D" w14:textId="77777777" w:rsidR="00D05043" w:rsidRPr="00CE7AB7" w:rsidRDefault="00D05043" w:rsidP="00D05043">
      <w:pPr>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 </w:t>
      </w:r>
    </w:p>
    <w:p w14:paraId="5C4E2493" w14:textId="6C0CB0F9" w:rsidR="00D05043" w:rsidRPr="00CE7AB7" w:rsidRDefault="00D05043" w:rsidP="00D05043">
      <w:pPr>
        <w:jc w:val="both"/>
        <w:rPr>
          <w:rFonts w:ascii="Arial" w:eastAsia="Arial" w:hAnsi="Arial" w:cs="Arial"/>
          <w:sz w:val="22"/>
          <w:szCs w:val="22"/>
          <w:lang w:val="es-ES_tradnl"/>
        </w:rPr>
      </w:pPr>
      <w:r>
        <w:rPr>
          <w:rFonts w:ascii="Arial" w:eastAsia="Arial" w:hAnsi="Arial" w:cs="Arial"/>
          <w:sz w:val="22"/>
          <w:szCs w:val="22"/>
          <w:lang w:val="es-ES_tradnl"/>
        </w:rPr>
        <w:t xml:space="preserve">Primero, como el objetivo del programa es la </w:t>
      </w:r>
      <w:r w:rsidRPr="00CE7AB7">
        <w:rPr>
          <w:rFonts w:ascii="Arial" w:eastAsia="Arial" w:hAnsi="Arial" w:cs="Arial"/>
          <w:sz w:val="22"/>
          <w:szCs w:val="22"/>
          <w:lang w:val="es-ES_tradnl"/>
        </w:rPr>
        <w:t xml:space="preserve">mejora en la pertinencia y calidad de los servicios educativos </w:t>
      </w:r>
      <w:r>
        <w:rPr>
          <w:rFonts w:ascii="Arial" w:eastAsia="Arial" w:hAnsi="Arial" w:cs="Arial"/>
          <w:sz w:val="22"/>
          <w:szCs w:val="22"/>
          <w:lang w:val="es-ES_tradnl"/>
        </w:rPr>
        <w:t xml:space="preserve">del nivel de </w:t>
      </w:r>
      <w:r w:rsidR="00134AC3">
        <w:rPr>
          <w:rFonts w:ascii="Arial" w:eastAsia="Arial" w:hAnsi="Arial" w:cs="Arial"/>
          <w:sz w:val="22"/>
          <w:szCs w:val="22"/>
          <w:lang w:val="es-ES_tradnl"/>
        </w:rPr>
        <w:t>ES</w:t>
      </w:r>
      <w:r w:rsidRPr="00CE7AB7">
        <w:rPr>
          <w:rFonts w:ascii="Arial" w:eastAsia="Arial" w:hAnsi="Arial" w:cs="Arial"/>
          <w:sz w:val="22"/>
          <w:szCs w:val="22"/>
          <w:lang w:val="es-ES_tradnl"/>
        </w:rPr>
        <w:t xml:space="preserve"> </w:t>
      </w:r>
      <w:r>
        <w:rPr>
          <w:rFonts w:ascii="Arial" w:eastAsia="Arial" w:hAnsi="Arial" w:cs="Arial"/>
          <w:sz w:val="22"/>
          <w:szCs w:val="22"/>
          <w:lang w:val="es-ES_tradnl"/>
        </w:rPr>
        <w:t>tal que se logre una</w:t>
      </w:r>
      <w:r w:rsidRPr="00CE7AB7">
        <w:rPr>
          <w:rFonts w:ascii="Arial" w:eastAsia="Arial" w:hAnsi="Arial" w:cs="Arial"/>
          <w:sz w:val="22"/>
          <w:szCs w:val="22"/>
          <w:lang w:val="es-ES_tradnl"/>
        </w:rPr>
        <w:t xml:space="preserve"> formación profesional de calidad en la educación superior</w:t>
      </w:r>
      <w:r>
        <w:rPr>
          <w:rFonts w:ascii="Arial" w:eastAsia="Arial" w:hAnsi="Arial" w:cs="Arial"/>
          <w:sz w:val="22"/>
          <w:szCs w:val="22"/>
          <w:lang w:val="es-ES_tradnl"/>
        </w:rPr>
        <w:t xml:space="preserve">, se espera </w:t>
      </w:r>
      <w:r w:rsidRPr="00CE7AB7">
        <w:rPr>
          <w:rFonts w:ascii="Arial" w:eastAsia="Arial" w:hAnsi="Arial" w:cs="Arial"/>
          <w:sz w:val="22"/>
          <w:szCs w:val="22"/>
          <w:lang w:val="es-ES_tradnl"/>
        </w:rPr>
        <w:t xml:space="preserve">un incremento en el ingreso laboral de los egresados </w:t>
      </w:r>
      <w:r>
        <w:rPr>
          <w:rFonts w:ascii="Arial" w:eastAsia="Arial" w:hAnsi="Arial" w:cs="Arial"/>
          <w:sz w:val="22"/>
          <w:szCs w:val="22"/>
          <w:lang w:val="es-ES_tradnl"/>
        </w:rPr>
        <w:t xml:space="preserve">beneficiarios de las </w:t>
      </w:r>
      <w:r w:rsidRPr="00CE7AB7">
        <w:rPr>
          <w:rFonts w:ascii="Arial" w:eastAsia="Arial" w:hAnsi="Arial" w:cs="Arial"/>
          <w:sz w:val="22"/>
          <w:szCs w:val="22"/>
          <w:lang w:val="es-ES_tradnl"/>
        </w:rPr>
        <w:t xml:space="preserve">IES </w:t>
      </w:r>
      <w:r>
        <w:rPr>
          <w:rFonts w:ascii="Arial" w:eastAsia="Arial" w:hAnsi="Arial" w:cs="Arial"/>
          <w:sz w:val="22"/>
          <w:szCs w:val="22"/>
          <w:lang w:val="es-ES_tradnl"/>
        </w:rPr>
        <w:t>públicas</w:t>
      </w:r>
      <w:r w:rsidRPr="00CE7AB7">
        <w:rPr>
          <w:rFonts w:ascii="Arial" w:eastAsia="Arial" w:hAnsi="Arial" w:cs="Arial"/>
          <w:sz w:val="22"/>
          <w:szCs w:val="22"/>
          <w:lang w:val="es-ES_tradnl"/>
        </w:rPr>
        <w:t xml:space="preserve"> (Corominas et a</w:t>
      </w:r>
      <w:r>
        <w:rPr>
          <w:rFonts w:ascii="Arial" w:eastAsia="Arial" w:hAnsi="Arial" w:cs="Arial"/>
          <w:sz w:val="22"/>
          <w:szCs w:val="22"/>
          <w:lang w:val="es-ES_tradnl"/>
        </w:rPr>
        <w:t>l., 2010; Vargas y Bassi, 2008).</w:t>
      </w:r>
    </w:p>
    <w:p w14:paraId="3CDE07F9" w14:textId="77777777" w:rsidR="00D05043" w:rsidRPr="00CE7AB7" w:rsidRDefault="00D05043" w:rsidP="00D05043">
      <w:pPr>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 </w:t>
      </w:r>
    </w:p>
    <w:p w14:paraId="2CE4BCDE" w14:textId="1F3E4D6E" w:rsidR="00D05043" w:rsidRPr="00CE7AB7" w:rsidRDefault="00D05043" w:rsidP="00D05043">
      <w:pPr>
        <w:jc w:val="both"/>
        <w:rPr>
          <w:rFonts w:ascii="Arial" w:eastAsia="Arial" w:hAnsi="Arial" w:cs="Arial"/>
          <w:sz w:val="22"/>
          <w:szCs w:val="22"/>
          <w:lang w:val="es-ES_tradnl"/>
        </w:rPr>
      </w:pPr>
      <w:r>
        <w:rPr>
          <w:rFonts w:ascii="Arial" w:eastAsia="Arial" w:hAnsi="Arial" w:cs="Arial"/>
          <w:sz w:val="22"/>
          <w:szCs w:val="22"/>
          <w:lang w:val="es-ES_tradnl"/>
        </w:rPr>
        <w:t>Segundo, la estimación de la magnitud</w:t>
      </w:r>
      <w:r w:rsidRPr="00CE7AB7">
        <w:rPr>
          <w:rFonts w:ascii="Arial" w:eastAsia="Arial" w:hAnsi="Arial" w:cs="Arial"/>
          <w:sz w:val="22"/>
          <w:szCs w:val="22"/>
          <w:lang w:val="es-ES_tradnl"/>
        </w:rPr>
        <w:t xml:space="preserve"> del efecto de</w:t>
      </w:r>
      <w:r>
        <w:rPr>
          <w:rFonts w:ascii="Arial" w:eastAsia="Arial" w:hAnsi="Arial" w:cs="Arial"/>
          <w:sz w:val="22"/>
          <w:szCs w:val="22"/>
          <w:lang w:val="es-ES_tradnl"/>
        </w:rPr>
        <w:t xml:space="preserve">l programa sobre los </w:t>
      </w:r>
      <w:r w:rsidR="00134AC3">
        <w:rPr>
          <w:rFonts w:ascii="Arial" w:eastAsia="Arial" w:hAnsi="Arial" w:cs="Arial"/>
          <w:sz w:val="22"/>
          <w:szCs w:val="22"/>
          <w:lang w:val="es-ES_tradnl"/>
        </w:rPr>
        <w:t xml:space="preserve">ingresos </w:t>
      </w:r>
      <w:r w:rsidRPr="00CE7AB7">
        <w:rPr>
          <w:rFonts w:ascii="Arial" w:eastAsia="Arial" w:hAnsi="Arial" w:cs="Arial"/>
          <w:sz w:val="22"/>
          <w:szCs w:val="22"/>
          <w:lang w:val="es-ES_tradnl"/>
        </w:rPr>
        <w:t xml:space="preserve">se basa en la premisa </w:t>
      </w:r>
      <w:r>
        <w:rPr>
          <w:rFonts w:ascii="Arial" w:eastAsia="Arial" w:hAnsi="Arial" w:cs="Arial"/>
          <w:sz w:val="22"/>
          <w:szCs w:val="22"/>
          <w:lang w:val="es-ES_tradnl"/>
        </w:rPr>
        <w:t xml:space="preserve">de </w:t>
      </w:r>
      <w:r w:rsidRPr="00CE7AB7">
        <w:rPr>
          <w:rFonts w:ascii="Arial" w:eastAsia="Arial" w:hAnsi="Arial" w:cs="Arial"/>
          <w:sz w:val="22"/>
          <w:szCs w:val="22"/>
          <w:lang w:val="es-ES_tradnl"/>
        </w:rPr>
        <w:t>que la dispersión salarial es atribuible, principalmente, a la heterogeneidad en la pertinencia y calidad de los servi</w:t>
      </w:r>
      <w:r w:rsidR="00B5373A">
        <w:rPr>
          <w:rFonts w:ascii="Arial" w:eastAsia="Arial" w:hAnsi="Arial" w:cs="Arial"/>
          <w:sz w:val="22"/>
          <w:szCs w:val="22"/>
          <w:lang w:val="es-ES_tradnl"/>
        </w:rPr>
        <w:t xml:space="preserve">cios </w:t>
      </w:r>
      <w:r w:rsidR="00134AC3">
        <w:rPr>
          <w:rFonts w:ascii="Arial" w:eastAsia="Arial" w:hAnsi="Arial" w:cs="Arial"/>
          <w:sz w:val="22"/>
          <w:szCs w:val="22"/>
          <w:lang w:val="es-ES_tradnl"/>
        </w:rPr>
        <w:t>de ES</w:t>
      </w:r>
      <w:r w:rsidR="00B5373A">
        <w:rPr>
          <w:rFonts w:ascii="Arial" w:eastAsia="Arial" w:hAnsi="Arial" w:cs="Arial"/>
          <w:sz w:val="22"/>
          <w:szCs w:val="22"/>
          <w:lang w:val="es-ES_tradnl"/>
        </w:rPr>
        <w:t xml:space="preserve">. </w:t>
      </w:r>
    </w:p>
    <w:p w14:paraId="5E2E4938" w14:textId="77777777" w:rsidR="00D05043" w:rsidRPr="00CE7AB7" w:rsidRDefault="00D05043" w:rsidP="00D05043">
      <w:pPr>
        <w:jc w:val="both"/>
        <w:rPr>
          <w:rFonts w:ascii="Arial" w:eastAsia="Arial" w:hAnsi="Arial" w:cs="Arial"/>
          <w:sz w:val="22"/>
          <w:szCs w:val="22"/>
          <w:lang w:val="es-ES_tradnl"/>
        </w:rPr>
      </w:pPr>
    </w:p>
    <w:p w14:paraId="30BBC881" w14:textId="77777777" w:rsidR="00D05043" w:rsidRPr="00CE7AB7" w:rsidRDefault="00D05043" w:rsidP="00D05043">
      <w:pPr>
        <w:jc w:val="both"/>
        <w:rPr>
          <w:rFonts w:ascii="Arial" w:eastAsia="Arial" w:hAnsi="Arial" w:cs="Arial"/>
          <w:sz w:val="22"/>
          <w:szCs w:val="22"/>
          <w:lang w:val="es-ES_tradnl"/>
        </w:rPr>
      </w:pPr>
      <w:r>
        <w:rPr>
          <w:rFonts w:ascii="Arial" w:eastAsia="Arial" w:hAnsi="Arial" w:cs="Arial"/>
          <w:sz w:val="22"/>
          <w:szCs w:val="22"/>
          <w:lang w:val="es-ES_tradnl"/>
        </w:rPr>
        <w:t>Tercero, e</w:t>
      </w:r>
      <w:r w:rsidRPr="00CE7AB7">
        <w:rPr>
          <w:rFonts w:ascii="Arial" w:eastAsia="Arial" w:hAnsi="Arial" w:cs="Arial"/>
          <w:sz w:val="22"/>
          <w:szCs w:val="22"/>
          <w:lang w:val="es-ES_tradnl"/>
        </w:rPr>
        <w:t xml:space="preserve">n términos de los beneficiarios, estos vienen dados por todos los egresados de </w:t>
      </w:r>
      <w:r>
        <w:rPr>
          <w:rFonts w:ascii="Arial" w:eastAsia="Arial" w:hAnsi="Arial" w:cs="Arial"/>
          <w:sz w:val="22"/>
          <w:szCs w:val="22"/>
          <w:lang w:val="es-ES_tradnl"/>
        </w:rPr>
        <w:t>las</w:t>
      </w:r>
      <w:r w:rsidRPr="00CE7AB7">
        <w:rPr>
          <w:rFonts w:ascii="Arial" w:eastAsia="Arial" w:hAnsi="Arial" w:cs="Arial"/>
          <w:sz w:val="22"/>
          <w:szCs w:val="22"/>
          <w:lang w:val="es-ES_tradnl"/>
        </w:rPr>
        <w:t xml:space="preserve"> IES</w:t>
      </w:r>
      <w:r>
        <w:rPr>
          <w:rFonts w:ascii="Arial" w:eastAsia="Arial" w:hAnsi="Arial" w:cs="Arial"/>
          <w:sz w:val="22"/>
          <w:szCs w:val="22"/>
          <w:lang w:val="es-ES_tradnl"/>
        </w:rPr>
        <w:t xml:space="preserve"> públicas</w:t>
      </w:r>
      <w:r w:rsidRPr="00CE7AB7">
        <w:rPr>
          <w:rFonts w:ascii="Arial" w:eastAsia="Arial" w:hAnsi="Arial" w:cs="Arial"/>
          <w:sz w:val="22"/>
          <w:szCs w:val="22"/>
          <w:lang w:val="es-ES_tradnl"/>
        </w:rPr>
        <w:t xml:space="preserve"> </w:t>
      </w:r>
      <w:r>
        <w:rPr>
          <w:rFonts w:ascii="Arial" w:eastAsia="Arial" w:hAnsi="Arial" w:cs="Arial"/>
          <w:sz w:val="22"/>
          <w:szCs w:val="22"/>
          <w:lang w:val="es-ES_tradnl"/>
        </w:rPr>
        <w:t xml:space="preserve">intervenidas </w:t>
      </w:r>
      <w:r w:rsidRPr="00CE7AB7">
        <w:rPr>
          <w:rFonts w:ascii="Arial" w:eastAsia="Arial" w:hAnsi="Arial" w:cs="Arial"/>
          <w:sz w:val="22"/>
          <w:szCs w:val="22"/>
          <w:lang w:val="es-ES_tradnl"/>
        </w:rPr>
        <w:t>que ha</w:t>
      </w:r>
      <w:r>
        <w:rPr>
          <w:rFonts w:ascii="Arial" w:eastAsia="Arial" w:hAnsi="Arial" w:cs="Arial"/>
          <w:sz w:val="22"/>
          <w:szCs w:val="22"/>
          <w:lang w:val="es-ES_tradnl"/>
        </w:rPr>
        <w:t>n</w:t>
      </w:r>
      <w:r w:rsidRPr="00CE7AB7">
        <w:rPr>
          <w:rFonts w:ascii="Arial" w:eastAsia="Arial" w:hAnsi="Arial" w:cs="Arial"/>
          <w:sz w:val="22"/>
          <w:szCs w:val="22"/>
          <w:lang w:val="es-ES_tradnl"/>
        </w:rPr>
        <w:t xml:space="preserve"> mejorado la pertinencia y calidad de sus servicios como producto de la implementación de cada componente. Con miras a tener un cálculo conservador de los beneficios, se asume que a partir del momento en que ocurre la intervención, la condición de beneficiario la obtiene la cohorte que recién ingresa a la IES</w:t>
      </w:r>
      <w:r>
        <w:rPr>
          <w:rFonts w:ascii="Arial" w:eastAsia="Arial" w:hAnsi="Arial" w:cs="Arial"/>
          <w:sz w:val="22"/>
          <w:szCs w:val="22"/>
          <w:lang w:val="es-ES_tradnl"/>
        </w:rPr>
        <w:t xml:space="preserve"> pública</w:t>
      </w:r>
      <w:r w:rsidRPr="00CE7AB7">
        <w:rPr>
          <w:rFonts w:ascii="Arial" w:eastAsia="Arial" w:hAnsi="Arial" w:cs="Arial"/>
          <w:sz w:val="22"/>
          <w:szCs w:val="22"/>
          <w:lang w:val="es-ES_tradnl"/>
        </w:rPr>
        <w:t xml:space="preserve">, y todas las que vengan después a lo largo de la vida útil del </w:t>
      </w:r>
      <w:r>
        <w:rPr>
          <w:rFonts w:ascii="Arial" w:eastAsia="Arial" w:hAnsi="Arial" w:cs="Arial"/>
          <w:sz w:val="22"/>
          <w:szCs w:val="22"/>
          <w:lang w:val="es-ES_tradnl"/>
        </w:rPr>
        <w:t>programa</w:t>
      </w:r>
      <w:r>
        <w:rPr>
          <w:rStyle w:val="FootnoteReference"/>
          <w:rFonts w:ascii="Arial" w:eastAsia="Arial" w:hAnsi="Arial" w:cs="Arial"/>
          <w:sz w:val="22"/>
          <w:szCs w:val="22"/>
          <w:lang w:val="es-ES_tradnl"/>
        </w:rPr>
        <w:footnoteReference w:id="9"/>
      </w:r>
      <w:r w:rsidRPr="00CE7AB7">
        <w:rPr>
          <w:rFonts w:ascii="Arial" w:eastAsia="Arial" w:hAnsi="Arial" w:cs="Arial"/>
          <w:sz w:val="22"/>
          <w:szCs w:val="22"/>
          <w:lang w:val="es-ES_tradnl"/>
        </w:rPr>
        <w:t>.</w:t>
      </w:r>
    </w:p>
    <w:p w14:paraId="2F07CA91" w14:textId="77777777" w:rsidR="00D05043" w:rsidRPr="00CE7AB7" w:rsidRDefault="00D05043" w:rsidP="00D05043">
      <w:pPr>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 </w:t>
      </w:r>
    </w:p>
    <w:p w14:paraId="58F2DE03" w14:textId="77777777" w:rsidR="00D05043" w:rsidRDefault="00D05043" w:rsidP="00D05043">
      <w:pPr>
        <w:jc w:val="both"/>
        <w:rPr>
          <w:rFonts w:ascii="Arial" w:eastAsia="Arial" w:hAnsi="Arial" w:cs="Arial"/>
          <w:sz w:val="22"/>
          <w:szCs w:val="22"/>
          <w:lang w:val="es-ES_tradnl"/>
        </w:rPr>
      </w:pPr>
      <w:r>
        <w:rPr>
          <w:rFonts w:ascii="Arial" w:eastAsia="Arial" w:hAnsi="Arial" w:cs="Arial"/>
          <w:sz w:val="22"/>
          <w:szCs w:val="22"/>
          <w:lang w:val="es-ES_tradnl"/>
        </w:rPr>
        <w:t>Finalmente</w:t>
      </w:r>
      <w:r w:rsidRPr="00CE7AB7">
        <w:rPr>
          <w:rFonts w:ascii="Arial" w:eastAsia="Arial" w:hAnsi="Arial" w:cs="Arial"/>
          <w:sz w:val="22"/>
          <w:szCs w:val="22"/>
          <w:lang w:val="es-ES_tradnl"/>
        </w:rPr>
        <w:t>, la dinámica del proceso debe estar estrechamente vinculada a la evolución del porcentaje de IES públicos</w:t>
      </w:r>
      <w:r>
        <w:rPr>
          <w:rFonts w:ascii="Arial" w:eastAsia="Arial" w:hAnsi="Arial" w:cs="Arial"/>
          <w:sz w:val="22"/>
          <w:szCs w:val="22"/>
          <w:lang w:val="es-ES_tradnl"/>
        </w:rPr>
        <w:t xml:space="preserve"> que</w:t>
      </w:r>
      <w:r w:rsidRPr="00CE7AB7">
        <w:rPr>
          <w:rFonts w:ascii="Arial" w:eastAsia="Arial" w:hAnsi="Arial" w:cs="Arial"/>
          <w:sz w:val="22"/>
          <w:szCs w:val="22"/>
          <w:lang w:val="es-ES_tradnl"/>
        </w:rPr>
        <w:t xml:space="preserve"> brindan servicios pertinentes y de calidad y a la manera como se prevé que cambiará la distribución de ingresos laborales conforme avance el proceso. </w:t>
      </w:r>
      <w:r w:rsidR="00B5373A">
        <w:rPr>
          <w:rFonts w:ascii="Arial" w:eastAsia="Arial" w:hAnsi="Arial" w:cs="Arial"/>
          <w:sz w:val="22"/>
          <w:szCs w:val="22"/>
          <w:lang w:val="es-ES_tradnl"/>
        </w:rPr>
        <w:t>Para el primer caso, s</w:t>
      </w:r>
      <w:r>
        <w:rPr>
          <w:rFonts w:ascii="Arial" w:eastAsia="Arial" w:hAnsi="Arial" w:cs="Arial"/>
          <w:sz w:val="22"/>
          <w:szCs w:val="22"/>
          <w:lang w:val="es-ES_tradnl"/>
        </w:rPr>
        <w:t xml:space="preserve">e debe mencionar </w:t>
      </w:r>
      <w:r w:rsidR="00B5373A">
        <w:rPr>
          <w:rFonts w:ascii="Arial" w:eastAsia="Arial" w:hAnsi="Arial" w:cs="Arial"/>
          <w:sz w:val="22"/>
          <w:szCs w:val="22"/>
          <w:lang w:val="es-ES_tradnl"/>
        </w:rPr>
        <w:t>que</w:t>
      </w:r>
      <w:r>
        <w:rPr>
          <w:rFonts w:ascii="Arial" w:eastAsia="Arial" w:hAnsi="Arial" w:cs="Arial"/>
          <w:sz w:val="22"/>
          <w:szCs w:val="22"/>
          <w:lang w:val="es-ES_tradnl"/>
        </w:rPr>
        <w:t xml:space="preserve"> está </w:t>
      </w:r>
      <w:r w:rsidRPr="00CE7AB7">
        <w:rPr>
          <w:rFonts w:ascii="Arial" w:eastAsia="Arial" w:hAnsi="Arial" w:cs="Arial"/>
          <w:sz w:val="22"/>
          <w:szCs w:val="22"/>
          <w:lang w:val="es-ES_tradnl"/>
        </w:rPr>
        <w:t xml:space="preserve">determinado por la velocidad de implementación del proyecto y la eficacia de los incentivos propuestos para que las IES </w:t>
      </w:r>
      <w:r>
        <w:rPr>
          <w:rFonts w:ascii="Arial" w:eastAsia="Arial" w:hAnsi="Arial" w:cs="Arial"/>
          <w:sz w:val="22"/>
          <w:szCs w:val="22"/>
          <w:lang w:val="es-ES_tradnl"/>
        </w:rPr>
        <w:t xml:space="preserve">públicas </w:t>
      </w:r>
      <w:r w:rsidRPr="00CE7AB7">
        <w:rPr>
          <w:rFonts w:ascii="Arial" w:eastAsia="Arial" w:hAnsi="Arial" w:cs="Arial"/>
          <w:sz w:val="22"/>
          <w:szCs w:val="22"/>
          <w:lang w:val="es-ES_tradnl"/>
        </w:rPr>
        <w:t xml:space="preserve">se embarquen en el proceso de acreditación. Esto, a su vez, determinará el porcentaje de la población estudiantil que se verá beneficiada con una mejora salarial al momento de egresar y a lo largo de su vida profesional. </w:t>
      </w:r>
    </w:p>
    <w:p w14:paraId="783C01E9" w14:textId="77777777" w:rsidR="00D05043" w:rsidRPr="00D05043" w:rsidRDefault="00D05043">
      <w:pPr>
        <w:jc w:val="both"/>
        <w:rPr>
          <w:rFonts w:ascii="Arial" w:eastAsia="Arial" w:hAnsi="Arial" w:cs="Arial"/>
          <w:lang w:val="es-ES_tradnl"/>
        </w:rPr>
      </w:pPr>
    </w:p>
    <w:p w14:paraId="31224C45" w14:textId="77777777" w:rsidR="000C35F9" w:rsidRPr="007F09DC" w:rsidRDefault="000C35F9" w:rsidP="000C35F9">
      <w:pPr>
        <w:numPr>
          <w:ilvl w:val="1"/>
          <w:numId w:val="1"/>
        </w:numPr>
        <w:ind w:left="0"/>
        <w:contextualSpacing/>
        <w:jc w:val="both"/>
        <w:rPr>
          <w:rFonts w:ascii="Arial" w:eastAsia="Arial" w:hAnsi="Arial" w:cs="Arial"/>
          <w:b/>
          <w:sz w:val="22"/>
          <w:szCs w:val="22"/>
          <w:lang w:val="es-ES_tradnl"/>
        </w:rPr>
      </w:pPr>
      <w:r>
        <w:rPr>
          <w:rFonts w:ascii="Arial" w:eastAsia="Arial" w:hAnsi="Arial" w:cs="Arial"/>
          <w:b/>
          <w:lang w:val="es-ES_tradnl"/>
        </w:rPr>
        <w:t>Beneficios</w:t>
      </w:r>
      <w:r w:rsidRPr="00D535D7">
        <w:rPr>
          <w:rFonts w:ascii="Arial" w:eastAsia="Arial" w:hAnsi="Arial" w:cs="Arial"/>
          <w:b/>
          <w:lang w:val="es-ES_tradnl"/>
        </w:rPr>
        <w:t xml:space="preserve"> del componente de </w:t>
      </w:r>
      <w:r>
        <w:rPr>
          <w:rFonts w:ascii="Arial" w:eastAsia="Arial" w:hAnsi="Arial" w:cs="Arial"/>
          <w:b/>
          <w:lang w:val="es-ES_tradnl"/>
        </w:rPr>
        <w:t xml:space="preserve">Fortalecimiento de la gestión institucional de las </w:t>
      </w:r>
      <w:r w:rsidR="00DF0E0C">
        <w:rPr>
          <w:rFonts w:ascii="Arial" w:eastAsia="Arial" w:hAnsi="Arial" w:cs="Arial"/>
          <w:b/>
          <w:lang w:val="es-ES_tradnl"/>
        </w:rPr>
        <w:t xml:space="preserve">IES </w:t>
      </w:r>
      <w:r>
        <w:rPr>
          <w:rFonts w:ascii="Arial" w:eastAsia="Arial" w:hAnsi="Arial" w:cs="Arial"/>
          <w:b/>
          <w:lang w:val="es-ES_tradnl"/>
        </w:rPr>
        <w:t xml:space="preserve">públicas </w:t>
      </w:r>
    </w:p>
    <w:p w14:paraId="0BD4BA07" w14:textId="77777777" w:rsidR="000C35F9" w:rsidRPr="00CE7AB7" w:rsidRDefault="000C35F9" w:rsidP="000C35F9">
      <w:pPr>
        <w:contextualSpacing/>
        <w:jc w:val="both"/>
        <w:rPr>
          <w:rFonts w:ascii="Arial" w:eastAsia="Arial" w:hAnsi="Arial" w:cs="Arial"/>
          <w:b/>
          <w:sz w:val="22"/>
          <w:szCs w:val="22"/>
          <w:lang w:val="es-ES_tradnl"/>
        </w:rPr>
      </w:pPr>
    </w:p>
    <w:p w14:paraId="7AF1528A" w14:textId="77777777" w:rsidR="00C708B9" w:rsidRDefault="007A37DB" w:rsidP="00C708B9">
      <w:pPr>
        <w:numPr>
          <w:ilvl w:val="0"/>
          <w:numId w:val="2"/>
        </w:numPr>
        <w:ind w:left="0"/>
        <w:contextualSpacing/>
        <w:jc w:val="both"/>
        <w:rPr>
          <w:rFonts w:ascii="Arial" w:eastAsia="Arial" w:hAnsi="Arial" w:cs="Arial"/>
          <w:sz w:val="22"/>
          <w:szCs w:val="22"/>
          <w:lang w:val="es-ES_tradnl"/>
        </w:rPr>
      </w:pPr>
      <w:r>
        <w:rPr>
          <w:rFonts w:ascii="Arial" w:eastAsia="Arial" w:hAnsi="Arial" w:cs="Arial"/>
          <w:sz w:val="22"/>
          <w:szCs w:val="22"/>
          <w:lang w:val="es-ES_tradnl"/>
        </w:rPr>
        <w:t xml:space="preserve">Para cuantificar el efecto del componente de </w:t>
      </w:r>
      <w:r w:rsidRPr="002E612F">
        <w:rPr>
          <w:rFonts w:ascii="Arial" w:eastAsia="Arial" w:hAnsi="Arial" w:cs="Arial"/>
          <w:i/>
          <w:sz w:val="22"/>
          <w:szCs w:val="22"/>
          <w:lang w:val="es-ES_tradnl"/>
        </w:rPr>
        <w:t xml:space="preserve">Fortalecimiento de la gestión institucional de las </w:t>
      </w:r>
      <w:r w:rsidR="00DF0E0C">
        <w:rPr>
          <w:rFonts w:ascii="Arial" w:eastAsia="Arial" w:hAnsi="Arial" w:cs="Arial"/>
          <w:i/>
          <w:sz w:val="22"/>
          <w:szCs w:val="22"/>
          <w:lang w:val="es-ES_tradnl"/>
        </w:rPr>
        <w:t>IES</w:t>
      </w:r>
      <w:r w:rsidRPr="002E612F">
        <w:rPr>
          <w:rFonts w:ascii="Arial" w:eastAsia="Arial" w:hAnsi="Arial" w:cs="Arial"/>
          <w:i/>
          <w:sz w:val="22"/>
          <w:szCs w:val="22"/>
          <w:lang w:val="es-ES_tradnl"/>
        </w:rPr>
        <w:t xml:space="preserve"> públicas</w:t>
      </w:r>
      <w:r>
        <w:rPr>
          <w:rFonts w:ascii="Arial" w:eastAsia="Arial" w:hAnsi="Arial" w:cs="Arial"/>
          <w:i/>
          <w:sz w:val="22"/>
          <w:szCs w:val="22"/>
          <w:lang w:val="es-ES_tradnl"/>
        </w:rPr>
        <w:t xml:space="preserve"> </w:t>
      </w:r>
      <w:r w:rsidRPr="002E612F">
        <w:rPr>
          <w:rFonts w:ascii="Arial" w:eastAsia="Arial" w:hAnsi="Arial" w:cs="Arial"/>
          <w:sz w:val="22"/>
          <w:szCs w:val="22"/>
          <w:lang w:val="es-ES_tradnl"/>
        </w:rPr>
        <w:t>sobr</w:t>
      </w:r>
      <w:r>
        <w:rPr>
          <w:rFonts w:ascii="Arial" w:eastAsia="Arial" w:hAnsi="Arial" w:cs="Arial"/>
          <w:sz w:val="22"/>
          <w:szCs w:val="22"/>
          <w:lang w:val="es-ES_tradnl"/>
        </w:rPr>
        <w:t>e los ingresos de los egresados</w:t>
      </w:r>
      <w:r w:rsidRPr="002E612F">
        <w:rPr>
          <w:rFonts w:ascii="Arial" w:eastAsia="Arial" w:hAnsi="Arial" w:cs="Arial"/>
          <w:sz w:val="22"/>
          <w:szCs w:val="22"/>
          <w:lang w:val="es-ES_tradnl"/>
        </w:rPr>
        <w:t xml:space="preserve"> de las IES públicas</w:t>
      </w:r>
      <w:r>
        <w:rPr>
          <w:rFonts w:ascii="Arial" w:eastAsia="Arial" w:hAnsi="Arial" w:cs="Arial"/>
          <w:sz w:val="22"/>
          <w:szCs w:val="22"/>
          <w:lang w:val="es-ES_tradnl"/>
        </w:rPr>
        <w:t xml:space="preserve"> beneficiadas, </w:t>
      </w:r>
      <w:r w:rsidRPr="002E612F">
        <w:rPr>
          <w:rFonts w:ascii="Arial" w:eastAsia="Arial" w:hAnsi="Arial" w:cs="Arial"/>
          <w:sz w:val="22"/>
          <w:szCs w:val="22"/>
          <w:lang w:val="es-ES_tradnl"/>
        </w:rPr>
        <w:t>se asume</w:t>
      </w:r>
      <w:r>
        <w:rPr>
          <w:rFonts w:ascii="Arial" w:eastAsia="Arial" w:hAnsi="Arial" w:cs="Arial"/>
          <w:sz w:val="22"/>
          <w:szCs w:val="22"/>
          <w:lang w:val="es-ES_tradnl"/>
        </w:rPr>
        <w:t xml:space="preserve"> que este puede aproximarse</w:t>
      </w:r>
      <w:r w:rsidRPr="002E612F">
        <w:rPr>
          <w:rFonts w:ascii="Arial" w:eastAsia="Arial" w:hAnsi="Arial" w:cs="Arial"/>
          <w:sz w:val="22"/>
          <w:szCs w:val="22"/>
          <w:lang w:val="es-ES_tradnl"/>
        </w:rPr>
        <w:t xml:space="preserve"> a través de</w:t>
      </w:r>
      <w:r>
        <w:rPr>
          <w:rFonts w:ascii="Arial" w:eastAsia="Arial" w:hAnsi="Arial" w:cs="Arial"/>
          <w:sz w:val="22"/>
          <w:szCs w:val="22"/>
          <w:lang w:val="es-ES_tradnl"/>
        </w:rPr>
        <w:t xml:space="preserve">l </w:t>
      </w:r>
      <w:r w:rsidRPr="00CE7AB7">
        <w:rPr>
          <w:rFonts w:ascii="Arial" w:eastAsia="Arial" w:hAnsi="Arial" w:cs="Arial"/>
          <w:sz w:val="22"/>
          <w:szCs w:val="22"/>
          <w:lang w:val="es-ES_tradnl"/>
        </w:rPr>
        <w:t>acceso a mejores oportunidades laborales por parte de los egresados de las IES públicas intervenidas</w:t>
      </w:r>
      <w:r>
        <w:rPr>
          <w:rFonts w:ascii="Arial" w:eastAsia="Arial" w:hAnsi="Arial" w:cs="Arial"/>
          <w:sz w:val="22"/>
          <w:szCs w:val="22"/>
          <w:lang w:val="es-ES_tradnl"/>
        </w:rPr>
        <w:t>.</w:t>
      </w:r>
    </w:p>
    <w:p w14:paraId="16F87A96" w14:textId="77777777" w:rsidR="00C708B9" w:rsidRDefault="00C708B9" w:rsidP="00C708B9">
      <w:pPr>
        <w:contextualSpacing/>
        <w:jc w:val="both"/>
        <w:rPr>
          <w:rFonts w:ascii="Arial" w:eastAsia="Arial" w:hAnsi="Arial" w:cs="Arial"/>
          <w:sz w:val="22"/>
          <w:szCs w:val="22"/>
          <w:lang w:val="es-ES_tradnl"/>
        </w:rPr>
      </w:pPr>
    </w:p>
    <w:p w14:paraId="5583891C" w14:textId="2C1B9543" w:rsidR="0092284B" w:rsidRDefault="006A553B" w:rsidP="00E73EED">
      <w:pPr>
        <w:numPr>
          <w:ilvl w:val="0"/>
          <w:numId w:val="2"/>
        </w:numPr>
        <w:ind w:left="0"/>
        <w:contextualSpacing/>
        <w:jc w:val="both"/>
        <w:rPr>
          <w:rFonts w:ascii="Arial" w:eastAsia="Arial" w:hAnsi="Arial" w:cs="Arial"/>
          <w:sz w:val="22"/>
          <w:szCs w:val="22"/>
          <w:lang w:val="es-ES_tradnl"/>
        </w:rPr>
      </w:pPr>
      <w:r>
        <w:rPr>
          <w:rFonts w:ascii="Arial" w:eastAsia="Arial" w:hAnsi="Arial" w:cs="Arial"/>
          <w:sz w:val="22"/>
          <w:szCs w:val="22"/>
          <w:lang w:val="es-ES_tradnl"/>
        </w:rPr>
        <w:t xml:space="preserve">Dos </w:t>
      </w:r>
      <w:r w:rsidR="00D503A4" w:rsidRPr="00C708B9">
        <w:rPr>
          <w:rFonts w:ascii="Arial" w:eastAsia="Arial" w:hAnsi="Arial" w:cs="Arial"/>
          <w:sz w:val="22"/>
          <w:szCs w:val="22"/>
          <w:lang w:val="es-ES_tradnl"/>
        </w:rPr>
        <w:t>factor</w:t>
      </w:r>
      <w:r>
        <w:rPr>
          <w:rFonts w:ascii="Arial" w:eastAsia="Arial" w:hAnsi="Arial" w:cs="Arial"/>
          <w:sz w:val="22"/>
          <w:szCs w:val="22"/>
          <w:lang w:val="es-ES_tradnl"/>
        </w:rPr>
        <w:t>es</w:t>
      </w:r>
      <w:r w:rsidR="002E612F" w:rsidRPr="00C708B9">
        <w:rPr>
          <w:rFonts w:ascii="Arial" w:eastAsia="Arial" w:hAnsi="Arial" w:cs="Arial"/>
          <w:sz w:val="22"/>
          <w:szCs w:val="22"/>
          <w:lang w:val="es-ES_tradnl"/>
        </w:rPr>
        <w:t xml:space="preserve"> cuantificable</w:t>
      </w:r>
      <w:r>
        <w:rPr>
          <w:rFonts w:ascii="Arial" w:eastAsia="Arial" w:hAnsi="Arial" w:cs="Arial"/>
          <w:sz w:val="22"/>
          <w:szCs w:val="22"/>
          <w:lang w:val="es-ES_tradnl"/>
        </w:rPr>
        <w:t>s</w:t>
      </w:r>
      <w:r w:rsidR="002E612F" w:rsidRPr="00C708B9">
        <w:rPr>
          <w:rFonts w:ascii="Arial" w:eastAsia="Arial" w:hAnsi="Arial" w:cs="Arial"/>
          <w:sz w:val="22"/>
          <w:szCs w:val="22"/>
          <w:lang w:val="es-ES_tradnl"/>
        </w:rPr>
        <w:t xml:space="preserve"> </w:t>
      </w:r>
      <w:r w:rsidR="00A55BF9" w:rsidRPr="00C708B9">
        <w:rPr>
          <w:rFonts w:ascii="Arial" w:eastAsia="Arial" w:hAnsi="Arial" w:cs="Arial"/>
          <w:sz w:val="22"/>
          <w:szCs w:val="22"/>
          <w:lang w:val="es-ES_tradnl"/>
        </w:rPr>
        <w:t xml:space="preserve">estrechamente </w:t>
      </w:r>
      <w:r w:rsidR="002E612F" w:rsidRPr="00C708B9">
        <w:rPr>
          <w:rFonts w:ascii="Arial" w:eastAsia="Arial" w:hAnsi="Arial" w:cs="Arial"/>
          <w:sz w:val="22"/>
          <w:szCs w:val="22"/>
          <w:lang w:val="es-ES_tradnl"/>
        </w:rPr>
        <w:t>vinculado</w:t>
      </w:r>
      <w:r>
        <w:rPr>
          <w:rFonts w:ascii="Arial" w:eastAsia="Arial" w:hAnsi="Arial" w:cs="Arial"/>
          <w:sz w:val="22"/>
          <w:szCs w:val="22"/>
          <w:lang w:val="es-ES_tradnl"/>
        </w:rPr>
        <w:t>s</w:t>
      </w:r>
      <w:r w:rsidR="002E612F" w:rsidRPr="00C708B9">
        <w:rPr>
          <w:rFonts w:ascii="Arial" w:eastAsia="Arial" w:hAnsi="Arial" w:cs="Arial"/>
          <w:sz w:val="22"/>
          <w:szCs w:val="22"/>
          <w:lang w:val="es-ES_tradnl"/>
        </w:rPr>
        <w:t xml:space="preserve"> a la </w:t>
      </w:r>
      <w:r w:rsidR="00A55BF9" w:rsidRPr="00C708B9">
        <w:rPr>
          <w:rFonts w:ascii="Arial" w:eastAsia="Arial" w:hAnsi="Arial" w:cs="Arial"/>
          <w:sz w:val="22"/>
          <w:szCs w:val="22"/>
          <w:lang w:val="es-ES_tradnl"/>
        </w:rPr>
        <w:t xml:space="preserve">calidad </w:t>
      </w:r>
      <w:r w:rsidR="00652BAD">
        <w:rPr>
          <w:rFonts w:ascii="Arial" w:eastAsia="Arial" w:hAnsi="Arial" w:cs="Arial"/>
          <w:sz w:val="22"/>
          <w:szCs w:val="22"/>
          <w:lang w:val="es-ES_tradnl"/>
        </w:rPr>
        <w:t>educativa</w:t>
      </w:r>
      <w:r w:rsidR="0092284B">
        <w:rPr>
          <w:rFonts w:ascii="Arial" w:eastAsia="Arial" w:hAnsi="Arial" w:cs="Arial"/>
          <w:sz w:val="22"/>
          <w:szCs w:val="22"/>
          <w:lang w:val="es-ES_tradnl"/>
        </w:rPr>
        <w:t xml:space="preserve"> y a su vez a</w:t>
      </w:r>
      <w:r w:rsidR="00A55BF9" w:rsidRPr="00C708B9">
        <w:rPr>
          <w:rFonts w:ascii="Arial" w:eastAsia="Arial" w:hAnsi="Arial" w:cs="Arial"/>
          <w:sz w:val="22"/>
          <w:szCs w:val="22"/>
          <w:lang w:val="es-ES_tradnl"/>
        </w:rPr>
        <w:t xml:space="preserve"> </w:t>
      </w:r>
      <w:r w:rsidR="004F514C">
        <w:rPr>
          <w:rFonts w:ascii="Arial" w:eastAsia="Arial" w:hAnsi="Arial" w:cs="Arial"/>
          <w:sz w:val="22"/>
          <w:szCs w:val="22"/>
          <w:lang w:val="es-ES_tradnl"/>
        </w:rPr>
        <w:t xml:space="preserve">la productividad laboral </w:t>
      </w:r>
      <w:r w:rsidR="0092284B">
        <w:rPr>
          <w:rFonts w:ascii="Arial" w:eastAsia="Arial" w:hAnsi="Arial" w:cs="Arial"/>
          <w:sz w:val="22"/>
          <w:szCs w:val="22"/>
          <w:lang w:val="es-ES_tradnl"/>
        </w:rPr>
        <w:t>e</w:t>
      </w:r>
      <w:r w:rsidR="004F514C">
        <w:rPr>
          <w:rFonts w:ascii="Arial" w:eastAsia="Arial" w:hAnsi="Arial" w:cs="Arial"/>
          <w:sz w:val="22"/>
          <w:szCs w:val="22"/>
          <w:lang w:val="es-ES_tradnl"/>
        </w:rPr>
        <w:t xml:space="preserve"> </w:t>
      </w:r>
      <w:r w:rsidR="00D503A4" w:rsidRPr="00C708B9">
        <w:rPr>
          <w:rFonts w:ascii="Arial" w:eastAsia="Arial" w:hAnsi="Arial" w:cs="Arial"/>
          <w:sz w:val="22"/>
          <w:szCs w:val="22"/>
          <w:lang w:val="es-ES_tradnl"/>
        </w:rPr>
        <w:t xml:space="preserve">ingresos de los egresados de universidades e </w:t>
      </w:r>
      <w:r w:rsidR="00274642">
        <w:rPr>
          <w:rFonts w:ascii="Arial" w:eastAsia="Arial" w:hAnsi="Arial" w:cs="Arial"/>
          <w:sz w:val="22"/>
          <w:szCs w:val="22"/>
          <w:lang w:val="es-ES_tradnl"/>
        </w:rPr>
        <w:t>IEST</w:t>
      </w:r>
      <w:r>
        <w:rPr>
          <w:rFonts w:ascii="Arial" w:eastAsia="Arial" w:hAnsi="Arial" w:cs="Arial"/>
          <w:sz w:val="22"/>
          <w:szCs w:val="22"/>
          <w:lang w:val="es-ES_tradnl"/>
        </w:rPr>
        <w:t xml:space="preserve"> son</w:t>
      </w:r>
      <w:r w:rsidR="00D503A4" w:rsidRPr="00C708B9">
        <w:rPr>
          <w:rFonts w:ascii="Arial" w:eastAsia="Arial" w:hAnsi="Arial" w:cs="Arial"/>
          <w:sz w:val="22"/>
          <w:szCs w:val="22"/>
          <w:lang w:val="es-ES_tradnl"/>
        </w:rPr>
        <w:t xml:space="preserve"> la informalidad</w:t>
      </w:r>
      <w:r>
        <w:rPr>
          <w:rFonts w:ascii="Arial" w:eastAsia="Arial" w:hAnsi="Arial" w:cs="Arial"/>
          <w:sz w:val="22"/>
          <w:szCs w:val="22"/>
          <w:lang w:val="es-ES_tradnl"/>
        </w:rPr>
        <w:t xml:space="preserve"> y el desempleo</w:t>
      </w:r>
      <w:r w:rsidR="00D503A4" w:rsidRPr="00C708B9">
        <w:rPr>
          <w:rFonts w:eastAsia="Arial"/>
          <w:vertAlign w:val="superscript"/>
        </w:rPr>
        <w:footnoteReference w:id="10"/>
      </w:r>
      <w:r w:rsidR="0092284B">
        <w:rPr>
          <w:rFonts w:ascii="Arial" w:eastAsia="Arial" w:hAnsi="Arial" w:cs="Arial"/>
          <w:sz w:val="22"/>
          <w:szCs w:val="22"/>
          <w:lang w:val="es-ES_tradnl"/>
        </w:rPr>
        <w:t>.</w:t>
      </w:r>
    </w:p>
    <w:p w14:paraId="322FCEFD" w14:textId="77777777" w:rsidR="0092284B" w:rsidRDefault="0092284B" w:rsidP="0092284B">
      <w:pPr>
        <w:pStyle w:val="ListParagraph"/>
        <w:rPr>
          <w:rFonts w:ascii="Arial" w:eastAsia="Arial" w:hAnsi="Arial" w:cs="Arial"/>
          <w:sz w:val="22"/>
          <w:szCs w:val="22"/>
        </w:rPr>
      </w:pPr>
    </w:p>
    <w:p w14:paraId="6F249540" w14:textId="3AC8732D" w:rsidR="00C708B9" w:rsidRDefault="0092284B" w:rsidP="0092284B">
      <w:pPr>
        <w:numPr>
          <w:ilvl w:val="0"/>
          <w:numId w:val="2"/>
        </w:numPr>
        <w:ind w:left="0"/>
        <w:contextualSpacing/>
        <w:jc w:val="both"/>
        <w:rPr>
          <w:rFonts w:ascii="Arial" w:eastAsia="Arial" w:hAnsi="Arial" w:cs="Arial"/>
          <w:sz w:val="22"/>
          <w:szCs w:val="22"/>
          <w:lang w:val="es-ES_tradnl"/>
        </w:rPr>
      </w:pPr>
      <w:r>
        <w:rPr>
          <w:rFonts w:ascii="Arial" w:eastAsia="Arial" w:hAnsi="Arial" w:cs="Arial"/>
          <w:sz w:val="22"/>
          <w:szCs w:val="22"/>
          <w:lang w:val="es-ES_tradnl"/>
        </w:rPr>
        <w:t>Por un lado, e</w:t>
      </w:r>
      <w:r w:rsidR="00C708B9">
        <w:rPr>
          <w:rFonts w:ascii="Arial" w:eastAsia="Arial" w:hAnsi="Arial" w:cs="Arial"/>
          <w:sz w:val="22"/>
          <w:szCs w:val="22"/>
          <w:lang w:val="es-ES_tradnl"/>
        </w:rPr>
        <w:t>xisten</w:t>
      </w:r>
      <w:r w:rsidR="00A55BF9" w:rsidRPr="00C708B9">
        <w:rPr>
          <w:rFonts w:ascii="Arial" w:eastAsia="Arial" w:hAnsi="Arial" w:cs="Arial"/>
          <w:sz w:val="22"/>
          <w:szCs w:val="22"/>
          <w:lang w:val="es-ES_tradnl"/>
        </w:rPr>
        <w:t xml:space="preserve"> múltiples explicaciones</w:t>
      </w:r>
      <w:r w:rsidR="00C63565" w:rsidRPr="00C708B9">
        <w:rPr>
          <w:rFonts w:ascii="Arial" w:eastAsia="Arial" w:hAnsi="Arial" w:cs="Arial"/>
          <w:sz w:val="22"/>
          <w:szCs w:val="22"/>
          <w:lang w:val="es-ES_tradnl"/>
        </w:rPr>
        <w:t xml:space="preserve"> sobre las razones por las cuales los trabajadores con un bajo nivel de capital humano (porque recibieron una </w:t>
      </w:r>
      <w:r w:rsidR="0097514A">
        <w:rPr>
          <w:rFonts w:ascii="Arial" w:eastAsia="Arial" w:hAnsi="Arial" w:cs="Arial"/>
          <w:sz w:val="22"/>
          <w:szCs w:val="22"/>
          <w:lang w:val="es-ES_tradnl"/>
        </w:rPr>
        <w:t>ES</w:t>
      </w:r>
      <w:r w:rsidR="00C63565" w:rsidRPr="00C708B9">
        <w:rPr>
          <w:rFonts w:ascii="Arial" w:eastAsia="Arial" w:hAnsi="Arial" w:cs="Arial"/>
          <w:sz w:val="22"/>
          <w:szCs w:val="22"/>
          <w:lang w:val="es-ES_tradnl"/>
        </w:rPr>
        <w:t xml:space="preserve"> de baja calidad) </w:t>
      </w:r>
      <w:r w:rsidR="00A55BF9" w:rsidRPr="00C708B9">
        <w:rPr>
          <w:rFonts w:ascii="Arial" w:eastAsia="Arial" w:hAnsi="Arial" w:cs="Arial"/>
          <w:sz w:val="22"/>
          <w:szCs w:val="22"/>
          <w:lang w:val="es-ES_tradnl"/>
        </w:rPr>
        <w:t xml:space="preserve">optan por ingresar al mercado informal. </w:t>
      </w:r>
      <w:r w:rsidR="002E612F" w:rsidRPr="00C708B9">
        <w:rPr>
          <w:rFonts w:ascii="Arial" w:eastAsia="Arial" w:hAnsi="Arial" w:cs="Arial"/>
          <w:sz w:val="22"/>
          <w:szCs w:val="22"/>
          <w:lang w:val="es-ES_tradnl"/>
        </w:rPr>
        <w:t xml:space="preserve">Maloney (1999) introduce un punto de vista en el que los trabajadores pueden encontrar </w:t>
      </w:r>
      <w:r w:rsidR="00C708B9">
        <w:rPr>
          <w:rFonts w:ascii="Arial" w:eastAsia="Arial" w:hAnsi="Arial" w:cs="Arial"/>
          <w:sz w:val="22"/>
          <w:szCs w:val="22"/>
          <w:lang w:val="es-ES_tradnl"/>
        </w:rPr>
        <w:t xml:space="preserve">en </w:t>
      </w:r>
      <w:r w:rsidR="002E612F" w:rsidRPr="00C708B9">
        <w:rPr>
          <w:rFonts w:ascii="Arial" w:eastAsia="Arial" w:hAnsi="Arial" w:cs="Arial"/>
          <w:sz w:val="22"/>
          <w:szCs w:val="22"/>
          <w:lang w:val="es-ES_tradnl"/>
        </w:rPr>
        <w:t>el sector in</w:t>
      </w:r>
      <w:r w:rsidR="00C708B9">
        <w:rPr>
          <w:rFonts w:ascii="Arial" w:eastAsia="Arial" w:hAnsi="Arial" w:cs="Arial"/>
          <w:sz w:val="22"/>
          <w:szCs w:val="22"/>
          <w:lang w:val="es-ES_tradnl"/>
        </w:rPr>
        <w:t>formal una alternativa deseable</w:t>
      </w:r>
      <w:r w:rsidR="002E612F" w:rsidRPr="00C708B9">
        <w:rPr>
          <w:rFonts w:ascii="Arial" w:eastAsia="Arial" w:hAnsi="Arial" w:cs="Arial"/>
          <w:sz w:val="22"/>
          <w:szCs w:val="22"/>
          <w:lang w:val="es-ES_tradnl"/>
        </w:rPr>
        <w:t xml:space="preserve"> debido a que su </w:t>
      </w:r>
      <w:r w:rsidR="002E612F" w:rsidRPr="00C708B9">
        <w:rPr>
          <w:rFonts w:ascii="Arial" w:eastAsia="Arial" w:hAnsi="Arial" w:cs="Arial"/>
          <w:sz w:val="22"/>
          <w:szCs w:val="22"/>
          <w:lang w:val="es-ES_tradnl"/>
        </w:rPr>
        <w:lastRenderedPageBreak/>
        <w:t>nivel de capital humano no cumple los requisitos de establecidos para los trabajos formales</w:t>
      </w:r>
      <w:r w:rsidR="00C63565" w:rsidRPr="00C708B9">
        <w:rPr>
          <w:rFonts w:ascii="Arial" w:eastAsia="Arial" w:hAnsi="Arial" w:cs="Arial"/>
          <w:sz w:val="22"/>
          <w:szCs w:val="22"/>
          <w:lang w:val="es-ES_tradnl"/>
        </w:rPr>
        <w:t xml:space="preserve"> (porque recibieron una </w:t>
      </w:r>
      <w:r w:rsidR="0097514A">
        <w:rPr>
          <w:rFonts w:ascii="Arial" w:eastAsia="Arial" w:hAnsi="Arial" w:cs="Arial"/>
          <w:sz w:val="22"/>
          <w:szCs w:val="22"/>
          <w:lang w:val="es-ES_tradnl"/>
        </w:rPr>
        <w:t>ES</w:t>
      </w:r>
      <w:r w:rsidR="00C63565" w:rsidRPr="00C708B9">
        <w:rPr>
          <w:rFonts w:ascii="Arial" w:eastAsia="Arial" w:hAnsi="Arial" w:cs="Arial"/>
          <w:sz w:val="22"/>
          <w:szCs w:val="22"/>
          <w:lang w:val="es-ES_tradnl"/>
        </w:rPr>
        <w:t xml:space="preserve"> de baja calidad)</w:t>
      </w:r>
      <w:r w:rsidR="002E612F" w:rsidRPr="00C708B9">
        <w:rPr>
          <w:rFonts w:ascii="Arial" w:eastAsia="Arial" w:hAnsi="Arial" w:cs="Arial"/>
          <w:sz w:val="22"/>
          <w:szCs w:val="22"/>
          <w:lang w:val="es-ES_tradnl"/>
        </w:rPr>
        <w:t xml:space="preserve">. </w:t>
      </w:r>
      <w:r w:rsidR="00C63565" w:rsidRPr="00C708B9">
        <w:rPr>
          <w:rFonts w:ascii="Arial" w:eastAsia="Arial" w:hAnsi="Arial" w:cs="Arial"/>
          <w:sz w:val="22"/>
          <w:szCs w:val="22"/>
          <w:lang w:val="es-ES_tradnl"/>
        </w:rPr>
        <w:t xml:space="preserve">Loayza, Servén y Sugawara (2010) proponen que la informalidad surge cuando los costos de permanecer en el sector formal exceden los beneficios. </w:t>
      </w:r>
      <w:r w:rsidR="00E73EED">
        <w:rPr>
          <w:rFonts w:ascii="Arial" w:eastAsia="Arial" w:hAnsi="Arial" w:cs="Arial"/>
          <w:sz w:val="22"/>
          <w:szCs w:val="22"/>
          <w:lang w:val="es-ES_tradnl"/>
        </w:rPr>
        <w:t xml:space="preserve">En la misma línea, </w:t>
      </w:r>
      <w:r w:rsidR="00E73EED" w:rsidRPr="00E73EED">
        <w:rPr>
          <w:rFonts w:ascii="Arial" w:eastAsia="Arial" w:hAnsi="Arial" w:cs="Arial"/>
          <w:sz w:val="22"/>
          <w:szCs w:val="22"/>
          <w:lang w:val="es-ES_tradnl"/>
        </w:rPr>
        <w:t>la presencia de instituciones y una regulación estricta de la entrada en el sector formal podría plantear una posible causa</w:t>
      </w:r>
      <w:r w:rsidR="00E73EED">
        <w:rPr>
          <w:rFonts w:ascii="Arial" w:eastAsia="Arial" w:hAnsi="Arial" w:cs="Arial"/>
          <w:sz w:val="22"/>
          <w:szCs w:val="22"/>
          <w:lang w:val="es-ES_tradnl"/>
        </w:rPr>
        <w:t xml:space="preserve"> para acudir al mercado laboral informal</w:t>
      </w:r>
      <w:r w:rsidR="00E73EED" w:rsidRPr="00E73EED">
        <w:rPr>
          <w:rFonts w:ascii="Arial" w:eastAsia="Arial" w:hAnsi="Arial" w:cs="Arial"/>
          <w:sz w:val="22"/>
          <w:szCs w:val="22"/>
          <w:lang w:val="es-ES_tradnl"/>
        </w:rPr>
        <w:t xml:space="preserve">, de modo que algunos trabajadores que no tienen acceso al sector formal se ven obligados a aceptar trabajos del sector informal caracterizados por ingresos inferiores (Fields, 1975). </w:t>
      </w:r>
      <w:r w:rsidR="00C708B9" w:rsidRPr="0092284B">
        <w:rPr>
          <w:rFonts w:ascii="Arial" w:eastAsia="Arial" w:hAnsi="Arial" w:cs="Arial"/>
          <w:sz w:val="22"/>
          <w:szCs w:val="22"/>
          <w:lang w:val="es-ES_tradnl"/>
        </w:rPr>
        <w:t xml:space="preserve">Sin embargo, existe otra corriente importante de investigadores que postula que la informalidad está relacionada con la calidad de la educación impartida a los trabajadores. En particular, desde el punto de vista de la construcción de emprendimientos, Jimenez et al. (2015) muestran que los emprendedores egresados de universidades de alta calidad, basándose en criterios de calidad de enseñanza y conexión con el mercado laboral de la IES, en un 82% de los casos establecen un emprendimiento formal, debido principalmente a un alto nivel de autoconfianza, mientras que </w:t>
      </w:r>
      <w:r w:rsidR="0097514A">
        <w:rPr>
          <w:rFonts w:ascii="Arial" w:eastAsia="Arial" w:hAnsi="Arial" w:cs="Arial"/>
          <w:sz w:val="22"/>
          <w:szCs w:val="22"/>
          <w:lang w:val="es-ES_tradnl"/>
        </w:rPr>
        <w:t xml:space="preserve">en </w:t>
      </w:r>
      <w:r w:rsidR="00C708B9" w:rsidRPr="0092284B">
        <w:rPr>
          <w:rFonts w:ascii="Arial" w:eastAsia="Arial" w:hAnsi="Arial" w:cs="Arial"/>
          <w:sz w:val="22"/>
          <w:szCs w:val="22"/>
          <w:lang w:val="es-ES_tradnl"/>
        </w:rPr>
        <w:t>los emprendedores egresados de universidades de baja calidad, este porcentaje se reduce a 34%, debido principalmente a su alta sensibilidad a repercusiones negativas en el manejo del emprendimiento</w:t>
      </w:r>
      <w:r w:rsidR="0097514A">
        <w:rPr>
          <w:rFonts w:ascii="Arial" w:eastAsia="Arial" w:hAnsi="Arial" w:cs="Arial"/>
          <w:sz w:val="22"/>
          <w:szCs w:val="22"/>
          <w:lang w:val="es-ES_tradnl"/>
        </w:rPr>
        <w:t xml:space="preserve"> ya que son</w:t>
      </w:r>
      <w:r w:rsidR="00C708B9" w:rsidRPr="0092284B">
        <w:rPr>
          <w:rFonts w:ascii="Arial" w:eastAsia="Arial" w:hAnsi="Arial" w:cs="Arial"/>
          <w:sz w:val="22"/>
          <w:szCs w:val="22"/>
          <w:lang w:val="es-ES_tradnl"/>
        </w:rPr>
        <w:t xml:space="preserve"> conscientes que no poseen las capacidades necesarias. Por otro lado, Reimann (2010) evidencia que el nivel de inserción a puestos de trabajo en empresas formales es principalmente abarcado por trabajadores egresados de universidades que están mejor ubicadas en el ranking local, respecto de los egresados de universidades de menor calidad, siendo la relación de aproximadamente </w:t>
      </w:r>
      <w:r w:rsidR="0097514A">
        <w:rPr>
          <w:rFonts w:ascii="Arial" w:eastAsia="Arial" w:hAnsi="Arial" w:cs="Arial"/>
          <w:sz w:val="22"/>
          <w:szCs w:val="22"/>
          <w:lang w:val="es-ES_tradnl"/>
        </w:rPr>
        <w:t xml:space="preserve">de </w:t>
      </w:r>
      <w:r w:rsidR="00C708B9" w:rsidRPr="0092284B">
        <w:rPr>
          <w:rFonts w:ascii="Arial" w:eastAsia="Arial" w:hAnsi="Arial" w:cs="Arial"/>
          <w:sz w:val="22"/>
          <w:szCs w:val="22"/>
          <w:lang w:val="es-ES_tradnl"/>
        </w:rPr>
        <w:t>4 a 1.</w:t>
      </w:r>
    </w:p>
    <w:p w14:paraId="697EB42E" w14:textId="77777777" w:rsidR="0092284B" w:rsidRDefault="0092284B" w:rsidP="0092284B">
      <w:pPr>
        <w:contextualSpacing/>
        <w:jc w:val="both"/>
        <w:rPr>
          <w:rFonts w:ascii="Arial" w:eastAsia="Arial" w:hAnsi="Arial" w:cs="Arial"/>
          <w:sz w:val="22"/>
          <w:szCs w:val="22"/>
          <w:lang w:val="es-ES_tradnl"/>
        </w:rPr>
      </w:pPr>
    </w:p>
    <w:p w14:paraId="3CD33356" w14:textId="5C252D63" w:rsidR="0092284B" w:rsidRDefault="001731C3" w:rsidP="0044514B">
      <w:pPr>
        <w:numPr>
          <w:ilvl w:val="0"/>
          <w:numId w:val="2"/>
        </w:numPr>
        <w:ind w:left="0"/>
        <w:contextualSpacing/>
        <w:jc w:val="both"/>
        <w:rPr>
          <w:rFonts w:ascii="Arial" w:eastAsia="Arial" w:hAnsi="Arial" w:cs="Arial"/>
          <w:sz w:val="22"/>
          <w:szCs w:val="22"/>
          <w:lang w:val="es-ES_tradnl"/>
        </w:rPr>
      </w:pPr>
      <w:r>
        <w:rPr>
          <w:rFonts w:ascii="Arial" w:eastAsia="Arial" w:hAnsi="Arial" w:cs="Arial"/>
          <w:sz w:val="22"/>
          <w:szCs w:val="22"/>
          <w:lang w:val="es-ES_tradnl"/>
        </w:rPr>
        <w:t>Además</w:t>
      </w:r>
      <w:r w:rsidR="0092284B" w:rsidRPr="004D0670">
        <w:rPr>
          <w:rFonts w:ascii="Arial" w:eastAsia="Arial" w:hAnsi="Arial" w:cs="Arial"/>
          <w:sz w:val="22"/>
          <w:szCs w:val="22"/>
          <w:lang w:val="es-ES_tradnl"/>
        </w:rPr>
        <w:t xml:space="preserve">, en el caso particular de América Latina, existe evidencia empírica </w:t>
      </w:r>
      <w:r w:rsidR="004D0670" w:rsidRPr="00A20797">
        <w:rPr>
          <w:rFonts w:ascii="Arial" w:eastAsia="Arial" w:hAnsi="Arial" w:cs="Arial"/>
          <w:sz w:val="22"/>
          <w:szCs w:val="22"/>
          <w:lang w:val="es-ES_tradnl"/>
        </w:rPr>
        <w:t>Gasparini y Tornarolli</w:t>
      </w:r>
      <w:r w:rsidR="00A20797">
        <w:rPr>
          <w:rFonts w:ascii="Arial" w:eastAsia="Arial" w:hAnsi="Arial" w:cs="Arial"/>
          <w:sz w:val="22"/>
          <w:szCs w:val="22"/>
          <w:lang w:val="es-ES_tradnl"/>
        </w:rPr>
        <w:t xml:space="preserve"> (2009)</w:t>
      </w:r>
      <w:r w:rsidR="004D0670" w:rsidRPr="00A20797">
        <w:rPr>
          <w:rFonts w:ascii="Arial" w:eastAsia="Arial" w:hAnsi="Arial" w:cs="Arial"/>
          <w:sz w:val="22"/>
          <w:szCs w:val="22"/>
          <w:lang w:val="es-ES_tradnl"/>
        </w:rPr>
        <w:t xml:space="preserve"> </w:t>
      </w:r>
      <w:r w:rsidR="0092284B" w:rsidRPr="004D0670">
        <w:rPr>
          <w:rFonts w:ascii="Arial" w:eastAsia="Arial" w:hAnsi="Arial" w:cs="Arial"/>
          <w:sz w:val="22"/>
          <w:szCs w:val="22"/>
          <w:lang w:val="es-ES_tradnl"/>
        </w:rPr>
        <w:t>de que la mayor parte de la población que se encuentra en el sector informal carece de habilidades competentes y esto se traduce en un menor salario que sus pares en el sector formal.</w:t>
      </w:r>
    </w:p>
    <w:p w14:paraId="105AB7B5" w14:textId="77777777" w:rsidR="001731C3" w:rsidRDefault="001731C3" w:rsidP="001731C3">
      <w:pPr>
        <w:pStyle w:val="ListParagraph"/>
        <w:rPr>
          <w:rFonts w:ascii="Arial" w:eastAsia="Arial" w:hAnsi="Arial" w:cs="Arial"/>
          <w:sz w:val="22"/>
          <w:szCs w:val="22"/>
        </w:rPr>
      </w:pPr>
    </w:p>
    <w:p w14:paraId="15E00C83" w14:textId="43ACBB83" w:rsidR="00F21D9A" w:rsidRDefault="005A3B88" w:rsidP="00F21D9A">
      <w:pPr>
        <w:numPr>
          <w:ilvl w:val="0"/>
          <w:numId w:val="2"/>
        </w:numPr>
        <w:ind w:left="0"/>
        <w:contextualSpacing/>
        <w:jc w:val="both"/>
        <w:rPr>
          <w:rFonts w:ascii="Arial" w:eastAsia="Arial" w:hAnsi="Arial" w:cs="Arial"/>
          <w:sz w:val="22"/>
          <w:szCs w:val="22"/>
          <w:lang w:val="es-ES_tradnl"/>
        </w:rPr>
      </w:pPr>
      <w:r>
        <w:rPr>
          <w:rFonts w:ascii="Arial" w:eastAsia="Arial" w:hAnsi="Arial" w:cs="Arial"/>
          <w:sz w:val="22"/>
          <w:szCs w:val="22"/>
          <w:lang w:val="es-ES_tradnl"/>
        </w:rPr>
        <w:t>Por otro lado, e</w:t>
      </w:r>
      <w:r w:rsidR="00F21D9A" w:rsidRPr="00F21D9A">
        <w:rPr>
          <w:rFonts w:ascii="Arial" w:eastAsia="Arial" w:hAnsi="Arial" w:cs="Arial"/>
          <w:sz w:val="22"/>
          <w:szCs w:val="22"/>
          <w:lang w:val="es-ES_tradnl"/>
        </w:rPr>
        <w:t>xiste una amplia literatura que relaciona calidad de la educación superior y la incidencia y la duración del desempleo de los egresados. Farber (2004) encuentra que los trabajadores que pierden su trabajo, pero que poseen una educación superior de calidad tienen mayores tasas de empleo después del desplazamiento y tienen más probabilidades de ser re-empleados a tiempo completo. Asimismo, utilizando información Reino Unido, Nickell (1979) analiza la relación entre la calidad de educación superior y la incidencia y duración del desempleo. Concluye que la adquisición de calificaciones y entrenamiento, a niveles ordinarios o superiores, reduce la duración esperada del desempleo en un 12%, en egresados de instituciones de buena calidad, sin embargo, estos porcentajes cambian a 1% en egresados de universidades de baja calidad.</w:t>
      </w:r>
      <w:r w:rsidR="00F21D9A">
        <w:rPr>
          <w:rFonts w:ascii="Arial" w:eastAsia="Arial" w:hAnsi="Arial" w:cs="Arial"/>
          <w:sz w:val="22"/>
          <w:szCs w:val="22"/>
          <w:lang w:val="es-ES_tradnl"/>
        </w:rPr>
        <w:t xml:space="preserve"> </w:t>
      </w:r>
    </w:p>
    <w:p w14:paraId="104EF8B1" w14:textId="77777777" w:rsidR="00F21D9A" w:rsidRDefault="00F21D9A" w:rsidP="00F21D9A">
      <w:pPr>
        <w:pStyle w:val="ListParagraph"/>
        <w:rPr>
          <w:rFonts w:ascii="Arial" w:eastAsia="Arial" w:hAnsi="Arial" w:cs="Arial"/>
          <w:sz w:val="22"/>
          <w:szCs w:val="22"/>
        </w:rPr>
      </w:pPr>
    </w:p>
    <w:p w14:paraId="0D652FEE" w14:textId="511B0D74" w:rsidR="00C63565" w:rsidRDefault="00F21D9A" w:rsidP="00F21D9A">
      <w:pPr>
        <w:numPr>
          <w:ilvl w:val="0"/>
          <w:numId w:val="2"/>
        </w:numPr>
        <w:ind w:left="0"/>
        <w:contextualSpacing/>
        <w:jc w:val="both"/>
        <w:rPr>
          <w:rFonts w:ascii="Arial" w:eastAsia="Arial" w:hAnsi="Arial" w:cs="Arial"/>
          <w:sz w:val="22"/>
          <w:szCs w:val="22"/>
          <w:lang w:val="es-ES_tradnl"/>
        </w:rPr>
      </w:pPr>
      <w:r>
        <w:rPr>
          <w:rFonts w:ascii="Arial" w:eastAsia="Arial" w:hAnsi="Arial" w:cs="Arial"/>
          <w:sz w:val="22"/>
          <w:szCs w:val="22"/>
          <w:lang w:val="es-ES_tradnl"/>
        </w:rPr>
        <w:t xml:space="preserve">Por su parte, Yamada (2015) </w:t>
      </w:r>
      <w:r w:rsidRPr="00F21D9A">
        <w:rPr>
          <w:rFonts w:ascii="Arial" w:eastAsia="Arial" w:hAnsi="Arial" w:cs="Arial"/>
          <w:sz w:val="22"/>
          <w:szCs w:val="22"/>
          <w:lang w:val="es-ES_tradnl"/>
        </w:rPr>
        <w:t xml:space="preserve">menciona que, si la demanda por trabajadores calificados no crece al mismo ritmo que el número de profesionales graduados, ello generaría dos resultados extremos. Por un lado, los sueldos de profesionales, y los retornos a la educación relacionados, caerían como reflejo de su mayor abundancia relativa. Por otro lado, se produciría también una mayor tasa de desempleo en los trabajadores calificados. Asimismo, la brecha entre el mercado laboral y educativo puede ampliarse si una gran cantidad de graduados profesionales no cumple con los estándares de calidad y habilidades exigidos por el mercado laboral. Esto conlleva a pensar que, en la práctica, si la calidad de la educación superior en universidades e institutos tecnológicos no mejora, y ésta no es pertinente con las demandas del mercado laboral, entonces la empleabilidad (i.e. inserción de los egresados al mercado laboral) será </w:t>
      </w:r>
      <w:r w:rsidRPr="00F21D9A">
        <w:rPr>
          <w:rFonts w:ascii="Arial" w:eastAsia="Arial" w:hAnsi="Arial" w:cs="Arial"/>
          <w:sz w:val="22"/>
          <w:szCs w:val="22"/>
          <w:lang w:val="es-ES_tradnl"/>
        </w:rPr>
        <w:lastRenderedPageBreak/>
        <w:t>baja, y, en términos generales, menor en instituciones de baja calidad que la observada en las de alta calidad (Lavado, Martinez, Yamada (2014).</w:t>
      </w:r>
    </w:p>
    <w:p w14:paraId="755DD9D3" w14:textId="77777777" w:rsidR="00F21D9A" w:rsidRPr="00C63565" w:rsidRDefault="00F21D9A" w:rsidP="00C63565">
      <w:pPr>
        <w:widowControl w:val="0"/>
        <w:autoSpaceDE w:val="0"/>
        <w:autoSpaceDN w:val="0"/>
        <w:adjustRightInd w:val="0"/>
        <w:jc w:val="both"/>
        <w:rPr>
          <w:rFonts w:ascii="Arial" w:eastAsia="Arial" w:hAnsi="Arial" w:cs="Arial"/>
          <w:sz w:val="22"/>
          <w:szCs w:val="22"/>
          <w:lang w:val="es-ES_tradnl"/>
        </w:rPr>
      </w:pPr>
    </w:p>
    <w:p w14:paraId="53EAF2A0" w14:textId="5B6ACF99" w:rsidR="00E449F8" w:rsidRDefault="002E612F" w:rsidP="002E612F">
      <w:pPr>
        <w:numPr>
          <w:ilvl w:val="0"/>
          <w:numId w:val="2"/>
        </w:numPr>
        <w:ind w:left="0"/>
        <w:contextualSpacing/>
        <w:jc w:val="both"/>
        <w:rPr>
          <w:rFonts w:ascii="Arial" w:eastAsia="Arial" w:hAnsi="Arial" w:cs="Arial"/>
          <w:sz w:val="22"/>
          <w:szCs w:val="22"/>
          <w:lang w:val="es-ES_tradnl"/>
        </w:rPr>
      </w:pPr>
      <w:r w:rsidRPr="00CE7AB7">
        <w:rPr>
          <w:rFonts w:ascii="Arial" w:eastAsia="Arial" w:hAnsi="Arial" w:cs="Arial"/>
          <w:sz w:val="22"/>
          <w:szCs w:val="22"/>
          <w:lang w:val="es-ES_tradnl"/>
        </w:rPr>
        <w:t xml:space="preserve">En base a esta literatura, </w:t>
      </w:r>
      <w:r w:rsidR="005F4A61">
        <w:rPr>
          <w:rFonts w:ascii="Arial" w:eastAsia="Arial" w:hAnsi="Arial" w:cs="Arial"/>
          <w:sz w:val="22"/>
          <w:szCs w:val="22"/>
          <w:lang w:val="es-ES_tradnl"/>
        </w:rPr>
        <w:t xml:space="preserve">en el presente análisis </w:t>
      </w:r>
      <w:r w:rsidRPr="00CE7AB7">
        <w:rPr>
          <w:rFonts w:ascii="Arial" w:eastAsia="Arial" w:hAnsi="Arial" w:cs="Arial"/>
          <w:sz w:val="22"/>
          <w:szCs w:val="22"/>
          <w:lang w:val="es-ES_tradnl"/>
        </w:rPr>
        <w:t>s</w:t>
      </w:r>
      <w:r w:rsidR="00FF5CFD">
        <w:rPr>
          <w:rFonts w:ascii="Arial" w:eastAsia="Arial" w:hAnsi="Arial" w:cs="Arial"/>
          <w:sz w:val="22"/>
          <w:szCs w:val="22"/>
          <w:lang w:val="es-ES_tradnl"/>
        </w:rPr>
        <w:t xml:space="preserve">e considera que el beneficio de este componente del </w:t>
      </w:r>
      <w:r w:rsidR="00A631AC">
        <w:rPr>
          <w:rFonts w:ascii="Arial" w:eastAsia="Arial" w:hAnsi="Arial" w:cs="Arial"/>
          <w:sz w:val="22"/>
          <w:szCs w:val="22"/>
          <w:lang w:val="es-ES_tradnl"/>
        </w:rPr>
        <w:t xml:space="preserve">programa </w:t>
      </w:r>
      <w:r w:rsidR="00A631AC" w:rsidRPr="00CE7AB7">
        <w:rPr>
          <w:rFonts w:ascii="Arial" w:eastAsia="Arial" w:hAnsi="Arial" w:cs="Arial"/>
          <w:sz w:val="22"/>
          <w:szCs w:val="22"/>
          <w:lang w:val="es-ES_tradnl"/>
        </w:rPr>
        <w:t>viene</w:t>
      </w:r>
      <w:r w:rsidRPr="00CE7AB7">
        <w:rPr>
          <w:rFonts w:ascii="Arial" w:eastAsia="Arial" w:hAnsi="Arial" w:cs="Arial"/>
          <w:sz w:val="22"/>
          <w:szCs w:val="22"/>
          <w:lang w:val="es-ES_tradnl"/>
        </w:rPr>
        <w:t xml:space="preserve"> dado porque los beneficiarios del programa (estudiantes que reciben una mejor calidad educativa) </w:t>
      </w:r>
      <w:r>
        <w:rPr>
          <w:rFonts w:ascii="Arial" w:eastAsia="Arial" w:hAnsi="Arial" w:cs="Arial"/>
          <w:sz w:val="22"/>
          <w:szCs w:val="22"/>
          <w:lang w:val="es-ES_tradnl"/>
        </w:rPr>
        <w:t>aumenta</w:t>
      </w:r>
      <w:r w:rsidR="00FF5CFD">
        <w:rPr>
          <w:rFonts w:ascii="Arial" w:eastAsia="Arial" w:hAnsi="Arial" w:cs="Arial"/>
          <w:sz w:val="22"/>
          <w:szCs w:val="22"/>
          <w:lang w:val="es-ES_tradnl"/>
        </w:rPr>
        <w:t>n</w:t>
      </w:r>
      <w:r>
        <w:rPr>
          <w:rFonts w:ascii="Arial" w:eastAsia="Arial" w:hAnsi="Arial" w:cs="Arial"/>
          <w:sz w:val="22"/>
          <w:szCs w:val="22"/>
          <w:lang w:val="es-ES_tradnl"/>
        </w:rPr>
        <w:t xml:space="preserve"> su productividad (</w:t>
      </w:r>
      <w:r w:rsidRPr="00733CBA">
        <w:rPr>
          <w:rFonts w:ascii="Arial" w:eastAsia="Arial" w:hAnsi="Arial" w:cs="Arial"/>
          <w:sz w:val="22"/>
          <w:szCs w:val="22"/>
          <w:lang w:val="es-ES_tradnl"/>
        </w:rPr>
        <w:t>Benos y Karagiannis (2016),</w:t>
      </w:r>
      <w:r>
        <w:rPr>
          <w:rFonts w:ascii="Arial" w:eastAsia="Arial" w:hAnsi="Arial" w:cs="Arial"/>
          <w:sz w:val="22"/>
          <w:szCs w:val="22"/>
          <w:lang w:val="es-ES_tradnl"/>
        </w:rPr>
        <w:t xml:space="preserve"> Banco Mundial (2017) y BID (2017)) y </w:t>
      </w:r>
      <w:r w:rsidR="00DA3988">
        <w:rPr>
          <w:rFonts w:ascii="Arial" w:eastAsia="Arial" w:hAnsi="Arial" w:cs="Arial"/>
          <w:sz w:val="22"/>
          <w:szCs w:val="22"/>
          <w:lang w:val="es-ES_tradnl"/>
        </w:rPr>
        <w:t xml:space="preserve">por ende </w:t>
      </w:r>
      <w:r w:rsidR="00515088">
        <w:rPr>
          <w:rFonts w:ascii="Arial" w:eastAsia="Arial" w:hAnsi="Arial" w:cs="Arial"/>
          <w:sz w:val="22"/>
          <w:szCs w:val="22"/>
          <w:lang w:val="es-ES_tradnl"/>
        </w:rPr>
        <w:t xml:space="preserve">(i) </w:t>
      </w:r>
      <w:r w:rsidRPr="00CE7AB7">
        <w:rPr>
          <w:rFonts w:ascii="Arial" w:eastAsia="Arial" w:hAnsi="Arial" w:cs="Arial"/>
          <w:sz w:val="22"/>
          <w:szCs w:val="22"/>
          <w:lang w:val="es-ES_tradnl"/>
        </w:rPr>
        <w:t xml:space="preserve">reducen su probabilidad de entrar </w:t>
      </w:r>
      <w:r w:rsidR="0097514A">
        <w:rPr>
          <w:rFonts w:ascii="Arial" w:eastAsia="Arial" w:hAnsi="Arial" w:cs="Arial"/>
          <w:sz w:val="22"/>
          <w:szCs w:val="22"/>
          <w:lang w:val="es-ES_tradnl"/>
        </w:rPr>
        <w:t xml:space="preserve">(o permanecer en) </w:t>
      </w:r>
      <w:r w:rsidRPr="00CE7AB7">
        <w:rPr>
          <w:rFonts w:ascii="Arial" w:eastAsia="Arial" w:hAnsi="Arial" w:cs="Arial"/>
          <w:sz w:val="22"/>
          <w:szCs w:val="22"/>
          <w:lang w:val="es-ES_tradnl"/>
        </w:rPr>
        <w:t>al mercado informal</w:t>
      </w:r>
      <w:r w:rsidR="00515088">
        <w:rPr>
          <w:rFonts w:ascii="Arial" w:eastAsia="Arial" w:hAnsi="Arial" w:cs="Arial"/>
          <w:sz w:val="22"/>
          <w:szCs w:val="22"/>
          <w:lang w:val="es-ES_tradnl"/>
        </w:rPr>
        <w:t xml:space="preserve"> y (ii) reducen su probabilidad de estar desempleados</w:t>
      </w:r>
      <w:r w:rsidRPr="00CE7AB7">
        <w:rPr>
          <w:rFonts w:ascii="Arial" w:eastAsia="Arial" w:hAnsi="Arial" w:cs="Arial"/>
          <w:sz w:val="22"/>
          <w:szCs w:val="22"/>
          <w:lang w:val="es-ES_tradnl"/>
        </w:rPr>
        <w:t xml:space="preserve">. </w:t>
      </w:r>
      <w:r w:rsidR="00164112">
        <w:rPr>
          <w:rFonts w:ascii="Arial" w:eastAsia="Arial" w:hAnsi="Arial" w:cs="Arial"/>
          <w:sz w:val="22"/>
          <w:szCs w:val="22"/>
          <w:lang w:val="es-ES_tradnl"/>
        </w:rPr>
        <w:t>Es decir, los beneficios serán la suma de los beneficios del programa (en términos de mayores ingresos) producto de la menor probabilidad de que los egresados c</w:t>
      </w:r>
      <w:r w:rsidR="00F21D9A">
        <w:rPr>
          <w:rFonts w:ascii="Arial" w:eastAsia="Arial" w:hAnsi="Arial" w:cs="Arial"/>
          <w:sz w:val="22"/>
          <w:szCs w:val="22"/>
          <w:lang w:val="es-ES_tradnl"/>
        </w:rPr>
        <w:t xml:space="preserve">aigan en el mercado informal o </w:t>
      </w:r>
      <w:r w:rsidR="00164112">
        <w:rPr>
          <w:rFonts w:ascii="Arial" w:eastAsia="Arial" w:hAnsi="Arial" w:cs="Arial"/>
          <w:sz w:val="22"/>
          <w:szCs w:val="22"/>
          <w:lang w:val="es-ES_tradnl"/>
        </w:rPr>
        <w:t>que estén desempleados.</w:t>
      </w:r>
    </w:p>
    <w:p w14:paraId="21C18CED" w14:textId="77777777" w:rsidR="00E449F8" w:rsidRDefault="00E449F8" w:rsidP="00E449F8">
      <w:pPr>
        <w:pStyle w:val="ListParagraph"/>
        <w:rPr>
          <w:rFonts w:ascii="Arial" w:eastAsia="Arial" w:hAnsi="Arial" w:cs="Arial"/>
          <w:sz w:val="22"/>
          <w:szCs w:val="22"/>
        </w:rPr>
      </w:pPr>
    </w:p>
    <w:p w14:paraId="7DEC6E16" w14:textId="6D0768E1" w:rsidR="00DA3988" w:rsidRDefault="00FA187D" w:rsidP="002E612F">
      <w:pPr>
        <w:numPr>
          <w:ilvl w:val="0"/>
          <w:numId w:val="2"/>
        </w:numPr>
        <w:ind w:left="0"/>
        <w:contextualSpacing/>
        <w:jc w:val="both"/>
        <w:rPr>
          <w:rFonts w:ascii="Arial" w:eastAsia="Arial" w:hAnsi="Arial" w:cs="Arial"/>
          <w:sz w:val="22"/>
          <w:szCs w:val="22"/>
          <w:lang w:val="es-ES_tradnl"/>
        </w:rPr>
      </w:pPr>
      <w:r>
        <w:rPr>
          <w:rFonts w:ascii="Arial" w:eastAsia="Arial" w:hAnsi="Arial" w:cs="Arial"/>
          <w:sz w:val="22"/>
          <w:szCs w:val="22"/>
          <w:lang w:val="es-ES_tradnl"/>
        </w:rPr>
        <w:t>En términos del impacto de este componente a través de la reducción en la probabilidad de caer en el sector informal, c</w:t>
      </w:r>
      <w:r w:rsidR="002E612F" w:rsidRPr="00CE7AB7">
        <w:rPr>
          <w:rFonts w:ascii="Arial" w:eastAsia="Arial" w:hAnsi="Arial" w:cs="Arial"/>
          <w:sz w:val="22"/>
          <w:szCs w:val="22"/>
          <w:lang w:val="es-ES_tradnl"/>
        </w:rPr>
        <w:t xml:space="preserve">onsiderando las probabilidades como proporciones de alumnos, se calcula el número de alumnos que pasaría a una mejor situación (con una </w:t>
      </w:r>
      <w:r w:rsidR="007E19AB">
        <w:rPr>
          <w:rFonts w:ascii="Arial" w:eastAsia="Arial" w:hAnsi="Arial" w:cs="Arial"/>
          <w:sz w:val="22"/>
          <w:szCs w:val="22"/>
          <w:lang w:val="es-ES_tradnl"/>
        </w:rPr>
        <w:t xml:space="preserve">menor </w:t>
      </w:r>
      <w:r w:rsidR="002E612F" w:rsidRPr="00CE7AB7">
        <w:rPr>
          <w:rFonts w:ascii="Arial" w:eastAsia="Arial" w:hAnsi="Arial" w:cs="Arial"/>
          <w:sz w:val="22"/>
          <w:szCs w:val="22"/>
          <w:lang w:val="es-ES_tradnl"/>
        </w:rPr>
        <w:t>probabilidad de entrar al mercado informal)</w:t>
      </w:r>
      <w:r w:rsidR="0097514A">
        <w:rPr>
          <w:rFonts w:ascii="Arial" w:eastAsia="Arial" w:hAnsi="Arial" w:cs="Arial"/>
          <w:sz w:val="22"/>
          <w:szCs w:val="22"/>
          <w:lang w:val="es-ES_tradnl"/>
        </w:rPr>
        <w:t>, es decir el</w:t>
      </w:r>
      <w:r w:rsidR="002E612F" w:rsidRPr="00CE7AB7">
        <w:rPr>
          <w:rFonts w:ascii="Arial" w:eastAsia="Arial" w:hAnsi="Arial" w:cs="Arial"/>
          <w:sz w:val="22"/>
          <w:szCs w:val="22"/>
          <w:lang w:val="es-ES_tradnl"/>
        </w:rPr>
        <w:t xml:space="preserve"> número de alumnos </w:t>
      </w:r>
      <w:r w:rsidR="0097514A">
        <w:rPr>
          <w:rFonts w:ascii="Arial" w:eastAsia="Arial" w:hAnsi="Arial" w:cs="Arial"/>
          <w:sz w:val="22"/>
          <w:szCs w:val="22"/>
          <w:lang w:val="es-ES_tradnl"/>
        </w:rPr>
        <w:t xml:space="preserve">que </w:t>
      </w:r>
      <w:r w:rsidR="002E612F" w:rsidRPr="00CE7AB7">
        <w:rPr>
          <w:rFonts w:ascii="Arial" w:eastAsia="Arial" w:hAnsi="Arial" w:cs="Arial"/>
          <w:sz w:val="22"/>
          <w:szCs w:val="22"/>
          <w:lang w:val="es-ES_tradnl"/>
        </w:rPr>
        <w:t>estaría “escapando” de la informalidad, lo que representaría un beneficio medido en número de personas. En términos monetarios, se calcula el diferencial de</w:t>
      </w:r>
      <w:r w:rsidR="00DA3988">
        <w:rPr>
          <w:rFonts w:ascii="Arial" w:eastAsia="Arial" w:hAnsi="Arial" w:cs="Arial"/>
          <w:sz w:val="22"/>
          <w:szCs w:val="22"/>
          <w:lang w:val="es-ES_tradnl"/>
        </w:rPr>
        <w:t xml:space="preserve"> ingresos </w:t>
      </w:r>
      <w:r w:rsidR="0097514A">
        <w:rPr>
          <w:rFonts w:ascii="Arial" w:eastAsia="Arial" w:hAnsi="Arial" w:cs="Arial"/>
          <w:sz w:val="22"/>
          <w:szCs w:val="22"/>
          <w:lang w:val="es-ES_tradnl"/>
        </w:rPr>
        <w:t xml:space="preserve">entre </w:t>
      </w:r>
      <w:r w:rsidR="00DA3988">
        <w:rPr>
          <w:rFonts w:ascii="Arial" w:eastAsia="Arial" w:hAnsi="Arial" w:cs="Arial"/>
          <w:sz w:val="22"/>
          <w:szCs w:val="22"/>
          <w:lang w:val="es-ES_tradnl"/>
        </w:rPr>
        <w:t>los grupos formal e informal</w:t>
      </w:r>
      <w:r w:rsidR="00A631AC">
        <w:rPr>
          <w:rFonts w:ascii="Arial" w:eastAsia="Arial" w:hAnsi="Arial" w:cs="Arial"/>
          <w:sz w:val="22"/>
          <w:szCs w:val="22"/>
          <w:lang w:val="es-ES_tradnl"/>
        </w:rPr>
        <w:t xml:space="preserve"> y se multiplica</w:t>
      </w:r>
      <w:r w:rsidR="002E612F" w:rsidRPr="00CE7AB7">
        <w:rPr>
          <w:rFonts w:ascii="Arial" w:eastAsia="Arial" w:hAnsi="Arial" w:cs="Arial"/>
          <w:sz w:val="22"/>
          <w:szCs w:val="22"/>
          <w:lang w:val="es-ES_tradnl"/>
        </w:rPr>
        <w:t xml:space="preserve"> por el número de alumnos beneficiados</w:t>
      </w:r>
      <w:r w:rsidR="0096055F">
        <w:rPr>
          <w:rFonts w:ascii="Arial" w:eastAsia="Arial" w:hAnsi="Arial" w:cs="Arial"/>
          <w:sz w:val="22"/>
          <w:szCs w:val="22"/>
          <w:lang w:val="es-ES_tradnl"/>
        </w:rPr>
        <w:t xml:space="preserve"> (i.e. los egresados que actualmente laboran en el sector informal pero que por intervención del programa pasarían a trabajar en el sector formal)</w:t>
      </w:r>
      <w:r w:rsidR="002E612F" w:rsidRPr="00CE7AB7">
        <w:rPr>
          <w:rFonts w:ascii="Arial" w:eastAsia="Arial" w:hAnsi="Arial" w:cs="Arial"/>
          <w:sz w:val="22"/>
          <w:szCs w:val="22"/>
          <w:lang w:val="es-ES_tradnl"/>
        </w:rPr>
        <w:t xml:space="preserve">. Ello da una aproximación en términos de mejora salarial al reducir la probabilidad </w:t>
      </w:r>
      <w:r w:rsidR="001E542A">
        <w:rPr>
          <w:rFonts w:ascii="Arial" w:eastAsia="Arial" w:hAnsi="Arial" w:cs="Arial"/>
          <w:sz w:val="22"/>
          <w:szCs w:val="22"/>
          <w:lang w:val="es-ES_tradnl"/>
        </w:rPr>
        <w:t xml:space="preserve">de pertenecer al sector </w:t>
      </w:r>
      <w:r w:rsidR="00A631AC">
        <w:rPr>
          <w:rFonts w:ascii="Arial" w:eastAsia="Arial" w:hAnsi="Arial" w:cs="Arial"/>
          <w:sz w:val="22"/>
          <w:szCs w:val="22"/>
          <w:lang w:val="es-ES_tradnl"/>
        </w:rPr>
        <w:t>in</w:t>
      </w:r>
      <w:r w:rsidR="001E542A">
        <w:rPr>
          <w:rFonts w:ascii="Arial" w:eastAsia="Arial" w:hAnsi="Arial" w:cs="Arial"/>
          <w:sz w:val="22"/>
          <w:szCs w:val="22"/>
          <w:lang w:val="es-ES_tradnl"/>
        </w:rPr>
        <w:t>formal (ver</w:t>
      </w:r>
      <w:r w:rsidR="00A631AC">
        <w:rPr>
          <w:rFonts w:ascii="Arial" w:eastAsia="Arial" w:hAnsi="Arial" w:cs="Arial"/>
          <w:sz w:val="22"/>
          <w:szCs w:val="22"/>
          <w:lang w:val="es-ES_tradnl"/>
        </w:rPr>
        <w:t xml:space="preserve"> Cuadro A7</w:t>
      </w:r>
      <w:r w:rsidR="001E542A">
        <w:rPr>
          <w:rFonts w:ascii="Arial" w:eastAsia="Arial" w:hAnsi="Arial" w:cs="Arial"/>
          <w:sz w:val="22"/>
          <w:szCs w:val="22"/>
          <w:lang w:val="es-ES_tradnl"/>
        </w:rPr>
        <w:t>)</w:t>
      </w:r>
      <w:r>
        <w:rPr>
          <w:rFonts w:ascii="Arial" w:eastAsia="Arial" w:hAnsi="Arial" w:cs="Arial"/>
          <w:sz w:val="22"/>
          <w:szCs w:val="22"/>
          <w:lang w:val="es-ES_tradnl"/>
        </w:rPr>
        <w:t>.</w:t>
      </w:r>
    </w:p>
    <w:p w14:paraId="72483DC5" w14:textId="77777777" w:rsidR="00DA3988" w:rsidRDefault="00DA3988" w:rsidP="00DA3988">
      <w:pPr>
        <w:pStyle w:val="ListParagraph"/>
        <w:rPr>
          <w:rFonts w:ascii="Arial" w:eastAsia="Arial" w:hAnsi="Arial" w:cs="Arial"/>
          <w:sz w:val="22"/>
          <w:szCs w:val="22"/>
        </w:rPr>
      </w:pPr>
    </w:p>
    <w:p w14:paraId="5876B177" w14:textId="1DA09506" w:rsidR="00B83732" w:rsidRDefault="007A73EB" w:rsidP="00B83732">
      <w:pPr>
        <w:pStyle w:val="ListParagraph"/>
        <w:numPr>
          <w:ilvl w:val="0"/>
          <w:numId w:val="2"/>
        </w:numPr>
        <w:tabs>
          <w:tab w:val="left" w:pos="360"/>
        </w:tabs>
        <w:ind w:left="0" w:hanging="450"/>
        <w:jc w:val="both"/>
        <w:rPr>
          <w:rFonts w:ascii="Arial" w:eastAsia="Arial" w:hAnsi="Arial" w:cs="Arial"/>
          <w:sz w:val="22"/>
          <w:szCs w:val="22"/>
        </w:rPr>
      </w:pPr>
      <w:r w:rsidRPr="007A73EB">
        <w:rPr>
          <w:rFonts w:ascii="Arial" w:eastAsia="Arial" w:hAnsi="Arial" w:cs="Arial"/>
          <w:sz w:val="22"/>
          <w:szCs w:val="22"/>
        </w:rPr>
        <w:t xml:space="preserve">Entonces, para cuantificar el impacto </w:t>
      </w:r>
      <w:r w:rsidR="00487FCB">
        <w:rPr>
          <w:rFonts w:ascii="Arial" w:eastAsia="Arial" w:hAnsi="Arial" w:cs="Arial"/>
          <w:sz w:val="22"/>
          <w:szCs w:val="22"/>
        </w:rPr>
        <w:t xml:space="preserve">de este </w:t>
      </w:r>
      <w:r w:rsidRPr="007A73EB">
        <w:rPr>
          <w:rFonts w:ascii="Arial" w:eastAsia="Arial" w:hAnsi="Arial" w:cs="Arial"/>
          <w:sz w:val="22"/>
          <w:szCs w:val="22"/>
        </w:rPr>
        <w:t xml:space="preserve">componente </w:t>
      </w:r>
      <w:r w:rsidR="00487FCB">
        <w:rPr>
          <w:rFonts w:ascii="Arial" w:eastAsia="Arial" w:hAnsi="Arial" w:cs="Arial"/>
          <w:sz w:val="22"/>
          <w:szCs w:val="22"/>
        </w:rPr>
        <w:t xml:space="preserve">del programa </w:t>
      </w:r>
      <w:r w:rsidRPr="007A73EB">
        <w:rPr>
          <w:rFonts w:ascii="Arial" w:eastAsia="Arial" w:hAnsi="Arial" w:cs="Arial"/>
          <w:sz w:val="22"/>
          <w:szCs w:val="22"/>
        </w:rPr>
        <w:t xml:space="preserve">en los ingresos de los beneficiados, se evalúa primero la magnitud del impacto de las intervenciones de este componente </w:t>
      </w:r>
      <w:r>
        <w:rPr>
          <w:rFonts w:ascii="Arial" w:eastAsia="Arial" w:hAnsi="Arial" w:cs="Arial"/>
          <w:sz w:val="22"/>
          <w:szCs w:val="22"/>
        </w:rPr>
        <w:t>en la informalidad. P</w:t>
      </w:r>
      <w:r w:rsidR="002E612F" w:rsidRPr="007A73EB">
        <w:rPr>
          <w:rFonts w:ascii="Arial" w:eastAsia="Arial" w:hAnsi="Arial" w:cs="Arial"/>
          <w:sz w:val="22"/>
          <w:szCs w:val="22"/>
        </w:rPr>
        <w:t xml:space="preserve">ara este caso particular, </w:t>
      </w:r>
      <w:r>
        <w:rPr>
          <w:rFonts w:ascii="Arial" w:eastAsia="Arial" w:hAnsi="Arial" w:cs="Arial"/>
          <w:sz w:val="22"/>
          <w:szCs w:val="22"/>
        </w:rPr>
        <w:t xml:space="preserve">como </w:t>
      </w:r>
      <w:r w:rsidR="002E612F" w:rsidRPr="007A73EB">
        <w:rPr>
          <w:rFonts w:ascii="Arial" w:eastAsia="Arial" w:hAnsi="Arial" w:cs="Arial"/>
          <w:sz w:val="22"/>
          <w:szCs w:val="22"/>
        </w:rPr>
        <w:t xml:space="preserve">la evidencia sugiere que la reducción en los niveles de informalidad de egresados de programas de mejora de la calidad educativa está </w:t>
      </w:r>
      <w:r w:rsidR="00B83732">
        <w:rPr>
          <w:rFonts w:ascii="Arial" w:eastAsia="Arial" w:hAnsi="Arial" w:cs="Arial"/>
          <w:sz w:val="22"/>
          <w:szCs w:val="22"/>
        </w:rPr>
        <w:t>estimada</w:t>
      </w:r>
      <w:r w:rsidR="002E612F" w:rsidRPr="007A73EB">
        <w:rPr>
          <w:rFonts w:ascii="Arial" w:eastAsia="Arial" w:hAnsi="Arial" w:cs="Arial"/>
          <w:sz w:val="22"/>
          <w:szCs w:val="22"/>
        </w:rPr>
        <w:t xml:space="preserve"> entre 10% a 15% (Reimann, 2010; Jimenez et al,</w:t>
      </w:r>
      <w:r>
        <w:rPr>
          <w:rFonts w:ascii="Arial" w:eastAsia="Arial" w:hAnsi="Arial" w:cs="Arial"/>
          <w:sz w:val="22"/>
          <w:szCs w:val="22"/>
        </w:rPr>
        <w:t xml:space="preserve"> 2015), se tomará un efecto promedio de 12.5% tanto para universidades como para </w:t>
      </w:r>
      <w:r w:rsidR="00274642">
        <w:rPr>
          <w:rFonts w:ascii="Arial" w:eastAsia="Arial" w:hAnsi="Arial" w:cs="Arial"/>
          <w:sz w:val="22"/>
          <w:szCs w:val="22"/>
        </w:rPr>
        <w:t>IEST.</w:t>
      </w:r>
      <w:r>
        <w:rPr>
          <w:rFonts w:ascii="Arial" w:eastAsia="Arial" w:hAnsi="Arial" w:cs="Arial"/>
          <w:sz w:val="22"/>
          <w:szCs w:val="22"/>
        </w:rPr>
        <w:t xml:space="preserve"> </w:t>
      </w:r>
    </w:p>
    <w:p w14:paraId="5C8308A8" w14:textId="77777777" w:rsidR="00B83732" w:rsidRPr="000C5C3B" w:rsidRDefault="00B83732" w:rsidP="000628AB">
      <w:pPr>
        <w:rPr>
          <w:rFonts w:ascii="Arial" w:eastAsia="Arial" w:hAnsi="Arial" w:cs="Arial"/>
          <w:sz w:val="22"/>
          <w:szCs w:val="22"/>
          <w:lang w:val="es-ES_tradnl"/>
        </w:rPr>
      </w:pPr>
    </w:p>
    <w:p w14:paraId="008BCB90" w14:textId="12A9AA73" w:rsidR="00236859" w:rsidRDefault="00741721" w:rsidP="00236859">
      <w:pPr>
        <w:pStyle w:val="ListParagraph"/>
        <w:numPr>
          <w:ilvl w:val="0"/>
          <w:numId w:val="2"/>
        </w:numPr>
        <w:tabs>
          <w:tab w:val="left" w:pos="360"/>
        </w:tabs>
        <w:ind w:left="0" w:hanging="450"/>
        <w:jc w:val="both"/>
        <w:rPr>
          <w:rFonts w:ascii="Arial" w:eastAsia="Arial" w:hAnsi="Arial" w:cs="Arial"/>
          <w:sz w:val="22"/>
          <w:szCs w:val="22"/>
        </w:rPr>
      </w:pPr>
      <w:r>
        <w:rPr>
          <w:rFonts w:ascii="Arial" w:eastAsia="Arial" w:hAnsi="Arial" w:cs="Arial"/>
          <w:sz w:val="22"/>
          <w:szCs w:val="22"/>
        </w:rPr>
        <w:t>Segundo, es necesario contar con la información del número de egresados de universidades e IEST públicos</w:t>
      </w:r>
      <w:r w:rsidR="000628AB">
        <w:rPr>
          <w:rFonts w:ascii="Arial" w:eastAsia="Arial" w:hAnsi="Arial" w:cs="Arial"/>
          <w:sz w:val="22"/>
          <w:szCs w:val="22"/>
        </w:rPr>
        <w:t xml:space="preserve"> y la tasa de crecimiento promedio de este indicador</w:t>
      </w:r>
      <w:r>
        <w:rPr>
          <w:rFonts w:ascii="Arial" w:eastAsia="Arial" w:hAnsi="Arial" w:cs="Arial"/>
          <w:sz w:val="22"/>
          <w:szCs w:val="22"/>
        </w:rPr>
        <w:t xml:space="preserve">. </w:t>
      </w:r>
      <w:r w:rsidR="000C35F9" w:rsidRPr="00B83732">
        <w:rPr>
          <w:rFonts w:ascii="Arial" w:eastAsia="Arial" w:hAnsi="Arial" w:cs="Arial"/>
          <w:sz w:val="22"/>
          <w:szCs w:val="22"/>
        </w:rPr>
        <w:t>Según la Superintendencia Nacional de Educación Superior</w:t>
      </w:r>
      <w:r w:rsidR="0097514A">
        <w:rPr>
          <w:rFonts w:ascii="Arial" w:eastAsia="Arial" w:hAnsi="Arial" w:cs="Arial"/>
          <w:sz w:val="22"/>
          <w:szCs w:val="22"/>
        </w:rPr>
        <w:t xml:space="preserve"> (SUNEDU)</w:t>
      </w:r>
      <w:r w:rsidR="000C35F9" w:rsidRPr="00B83732">
        <w:rPr>
          <w:rFonts w:ascii="Arial" w:eastAsia="Arial" w:hAnsi="Arial" w:cs="Arial"/>
          <w:sz w:val="22"/>
          <w:szCs w:val="22"/>
        </w:rPr>
        <w:t>, los egresados de universidades públicas ascendieron a un total de 242,691 en el 2016. Asimismo, la tasa de crecimiento promedio en el número de egresados para el periodo 2001-2016 f</w:t>
      </w:r>
      <w:r w:rsidR="00D76306">
        <w:rPr>
          <w:rFonts w:ascii="Arial" w:eastAsia="Arial" w:hAnsi="Arial" w:cs="Arial"/>
          <w:sz w:val="22"/>
          <w:szCs w:val="22"/>
        </w:rPr>
        <w:t>ue 7</w:t>
      </w:r>
      <w:r w:rsidR="000C35F9" w:rsidRPr="00B83732">
        <w:rPr>
          <w:rFonts w:ascii="Arial" w:eastAsia="Arial" w:hAnsi="Arial" w:cs="Arial"/>
          <w:sz w:val="22"/>
          <w:szCs w:val="22"/>
        </w:rPr>
        <w:t>%, por lo que se asumirá esta tasa constante para el horizonte de evaluación. Por otro lado, según el Censo Escolar del Ministerio de Educación</w:t>
      </w:r>
      <w:r w:rsidR="0097514A">
        <w:rPr>
          <w:rFonts w:ascii="Arial" w:eastAsia="Arial" w:hAnsi="Arial" w:cs="Arial"/>
          <w:sz w:val="22"/>
          <w:szCs w:val="22"/>
        </w:rPr>
        <w:t xml:space="preserve"> (MINEDU)</w:t>
      </w:r>
      <w:r w:rsidR="000C35F9" w:rsidRPr="00B83732">
        <w:rPr>
          <w:rFonts w:ascii="Arial" w:eastAsia="Arial" w:hAnsi="Arial" w:cs="Arial"/>
          <w:sz w:val="22"/>
          <w:szCs w:val="22"/>
        </w:rPr>
        <w:t>, el número de egresados de IEST fue 77,599 en el 2016 y la tasa de crecimiento promedio del número de egresados para el periodo 2001-2016 fue 7%, por lo que también se asumirá esta tasa constante para el horizonte de evaluación.</w:t>
      </w:r>
    </w:p>
    <w:p w14:paraId="7F46B4F0" w14:textId="77777777" w:rsidR="00236859" w:rsidRPr="00236859" w:rsidRDefault="00236859" w:rsidP="00236859">
      <w:pPr>
        <w:pStyle w:val="ListParagraph"/>
        <w:rPr>
          <w:rFonts w:ascii="Arial" w:eastAsia="Arial" w:hAnsi="Arial" w:cs="Arial"/>
          <w:sz w:val="22"/>
          <w:szCs w:val="22"/>
        </w:rPr>
      </w:pPr>
    </w:p>
    <w:p w14:paraId="53DD6012" w14:textId="2A8A1289" w:rsidR="00236859" w:rsidRDefault="00236859" w:rsidP="00F22036">
      <w:pPr>
        <w:pStyle w:val="ListParagraph"/>
        <w:numPr>
          <w:ilvl w:val="0"/>
          <w:numId w:val="2"/>
        </w:numPr>
        <w:tabs>
          <w:tab w:val="left" w:pos="360"/>
        </w:tabs>
        <w:ind w:left="0" w:hanging="450"/>
        <w:jc w:val="both"/>
        <w:rPr>
          <w:rFonts w:ascii="Arial" w:eastAsia="Arial" w:hAnsi="Arial" w:cs="Arial"/>
          <w:sz w:val="22"/>
          <w:szCs w:val="22"/>
        </w:rPr>
      </w:pPr>
      <w:r w:rsidRPr="00DC494C">
        <w:rPr>
          <w:rFonts w:ascii="Arial" w:eastAsia="Arial" w:hAnsi="Arial" w:cs="Arial"/>
          <w:sz w:val="22"/>
          <w:szCs w:val="22"/>
        </w:rPr>
        <w:t xml:space="preserve">Tercero, se necesita utilizar información sobre los niveles de informalidad de los egresados de </w:t>
      </w:r>
      <w:r w:rsidR="00BA4E5B">
        <w:rPr>
          <w:rFonts w:ascii="Arial" w:eastAsia="Arial" w:hAnsi="Arial" w:cs="Arial"/>
          <w:sz w:val="22"/>
          <w:szCs w:val="22"/>
        </w:rPr>
        <w:t>IES públicas</w:t>
      </w:r>
      <w:r w:rsidRPr="00DC494C">
        <w:rPr>
          <w:rFonts w:ascii="Arial" w:eastAsia="Arial" w:hAnsi="Arial" w:cs="Arial"/>
          <w:sz w:val="22"/>
          <w:szCs w:val="22"/>
        </w:rPr>
        <w:t xml:space="preserve">. Así, según la Encuesta Nacional de Hogares (2016), el nivel de informalidad en egresados de universidades públicas fue </w:t>
      </w:r>
      <w:r w:rsidR="00DC494C" w:rsidRPr="00DC494C">
        <w:rPr>
          <w:rFonts w:ascii="Arial" w:eastAsia="Arial" w:hAnsi="Arial" w:cs="Arial"/>
          <w:sz w:val="22"/>
          <w:szCs w:val="22"/>
        </w:rPr>
        <w:t>57,8</w:t>
      </w:r>
      <w:r w:rsidRPr="00DC494C">
        <w:rPr>
          <w:rFonts w:ascii="Arial" w:eastAsia="Arial" w:hAnsi="Arial" w:cs="Arial"/>
          <w:sz w:val="22"/>
          <w:szCs w:val="22"/>
        </w:rPr>
        <w:t xml:space="preserve">%, </w:t>
      </w:r>
      <w:r w:rsidR="00DC494C" w:rsidRPr="00DC494C">
        <w:rPr>
          <w:rFonts w:ascii="Arial" w:eastAsia="Arial" w:hAnsi="Arial" w:cs="Arial"/>
          <w:sz w:val="22"/>
          <w:szCs w:val="22"/>
        </w:rPr>
        <w:t>y e</w:t>
      </w:r>
      <w:r w:rsidRPr="00DC494C">
        <w:rPr>
          <w:rFonts w:ascii="Arial" w:eastAsia="Arial" w:hAnsi="Arial" w:cs="Arial"/>
          <w:sz w:val="22"/>
          <w:szCs w:val="22"/>
        </w:rPr>
        <w:t>n el caso de los egresados de Institutos de Educación Superior Tecnológica (IEST), la info</w:t>
      </w:r>
      <w:r w:rsidR="00DC494C">
        <w:rPr>
          <w:rFonts w:ascii="Arial" w:eastAsia="Arial" w:hAnsi="Arial" w:cs="Arial"/>
          <w:sz w:val="22"/>
          <w:szCs w:val="22"/>
        </w:rPr>
        <w:t>rmalidad corresponde al 71,22%.</w:t>
      </w:r>
    </w:p>
    <w:p w14:paraId="4A36BFDC" w14:textId="0A928883" w:rsidR="00DC494C" w:rsidRPr="00DC494C" w:rsidRDefault="00DC494C" w:rsidP="00DC494C">
      <w:pPr>
        <w:pStyle w:val="ListParagraph"/>
        <w:tabs>
          <w:tab w:val="left" w:pos="360"/>
        </w:tabs>
        <w:ind w:left="0"/>
        <w:jc w:val="both"/>
        <w:rPr>
          <w:rFonts w:ascii="Arial" w:eastAsia="Arial" w:hAnsi="Arial" w:cs="Arial"/>
          <w:sz w:val="22"/>
          <w:szCs w:val="22"/>
        </w:rPr>
      </w:pPr>
    </w:p>
    <w:p w14:paraId="3C71B545" w14:textId="14DD1C5E" w:rsidR="007D0589" w:rsidRDefault="00236859" w:rsidP="006920D3">
      <w:pPr>
        <w:pStyle w:val="ListParagraph"/>
        <w:numPr>
          <w:ilvl w:val="0"/>
          <w:numId w:val="2"/>
        </w:numPr>
        <w:tabs>
          <w:tab w:val="left" w:pos="360"/>
        </w:tabs>
        <w:ind w:left="0" w:hanging="450"/>
        <w:jc w:val="both"/>
        <w:rPr>
          <w:rFonts w:ascii="Arial" w:eastAsia="Arial" w:hAnsi="Arial" w:cs="Arial"/>
          <w:sz w:val="22"/>
          <w:szCs w:val="22"/>
        </w:rPr>
      </w:pPr>
      <w:r w:rsidRPr="009C1DA2">
        <w:rPr>
          <w:rFonts w:ascii="Arial" w:eastAsia="Arial" w:hAnsi="Arial" w:cs="Arial"/>
          <w:sz w:val="22"/>
          <w:szCs w:val="22"/>
        </w:rPr>
        <w:t>Cuarto</w:t>
      </w:r>
      <w:r w:rsidR="000628AB" w:rsidRPr="009C1DA2">
        <w:rPr>
          <w:rFonts w:ascii="Arial" w:eastAsia="Arial" w:hAnsi="Arial" w:cs="Arial"/>
          <w:sz w:val="22"/>
          <w:szCs w:val="22"/>
        </w:rPr>
        <w:t>, se necesita información sobre los ingresos de los egresados de las universidades e IEST tanto en el sector formal como en el informal. S</w:t>
      </w:r>
      <w:r w:rsidR="000C35F9" w:rsidRPr="009C1DA2">
        <w:rPr>
          <w:rFonts w:ascii="Arial" w:eastAsia="Arial" w:hAnsi="Arial" w:cs="Arial"/>
          <w:sz w:val="22"/>
          <w:szCs w:val="22"/>
        </w:rPr>
        <w:t xml:space="preserve">egún la Encuesta Nacional de Hogares (2016), el ingreso mensual promedio de egresados de universidades públicas que laboran en el sector informal es US$ 141, mientras que en los egresados de las mismas universidades que </w:t>
      </w:r>
      <w:r w:rsidR="000C35F9" w:rsidRPr="009C1DA2">
        <w:rPr>
          <w:rFonts w:ascii="Arial" w:eastAsia="Arial" w:hAnsi="Arial" w:cs="Arial"/>
          <w:sz w:val="22"/>
          <w:szCs w:val="22"/>
        </w:rPr>
        <w:lastRenderedPageBreak/>
        <w:t>laboran en el sector formal, es igual US$ 475. En consecuencia, el diferencial de ingresos entre egresados universitarios atribuibles a la informalidad es US$ 334 nuevos soles, Asimismo, en el caso de egresados de IEST públicos que laboran en el sector informal es US$ 117, mientras que en los egresados de las mismas universidades que laboran en el sector formal, es igual US$ 245. En consecuencia</w:t>
      </w:r>
      <w:r w:rsidR="00487FCB" w:rsidRPr="009C1DA2">
        <w:rPr>
          <w:rFonts w:ascii="Arial" w:eastAsia="Arial" w:hAnsi="Arial" w:cs="Arial"/>
          <w:sz w:val="22"/>
          <w:szCs w:val="22"/>
        </w:rPr>
        <w:t xml:space="preserve">, </w:t>
      </w:r>
      <w:r w:rsidR="000C35F9" w:rsidRPr="009C1DA2">
        <w:rPr>
          <w:rFonts w:ascii="Arial" w:eastAsia="Arial" w:hAnsi="Arial" w:cs="Arial"/>
          <w:sz w:val="22"/>
          <w:szCs w:val="22"/>
        </w:rPr>
        <w:t xml:space="preserve">el diferencial de ingresos entre egresados de </w:t>
      </w:r>
      <w:r w:rsidR="00873353">
        <w:rPr>
          <w:rFonts w:ascii="Arial" w:eastAsia="Arial" w:hAnsi="Arial" w:cs="Arial"/>
          <w:sz w:val="22"/>
          <w:szCs w:val="22"/>
        </w:rPr>
        <w:t>I</w:t>
      </w:r>
      <w:r w:rsidR="00487FCB" w:rsidRPr="009C1DA2">
        <w:rPr>
          <w:rFonts w:ascii="Arial" w:eastAsia="Arial" w:hAnsi="Arial" w:cs="Arial"/>
          <w:sz w:val="22"/>
          <w:szCs w:val="22"/>
        </w:rPr>
        <w:t>EST</w:t>
      </w:r>
      <w:r w:rsidR="000C35F9" w:rsidRPr="009C1DA2">
        <w:rPr>
          <w:rFonts w:ascii="Arial" w:eastAsia="Arial" w:hAnsi="Arial" w:cs="Arial"/>
          <w:sz w:val="22"/>
          <w:szCs w:val="22"/>
        </w:rPr>
        <w:t xml:space="preserve"> atribuibles a la informalidad es US$ 128 nuevos soles.</w:t>
      </w:r>
      <w:r w:rsidR="00B5373A" w:rsidRPr="009C1DA2">
        <w:rPr>
          <w:rFonts w:ascii="Arial" w:eastAsia="Arial" w:hAnsi="Arial" w:cs="Arial"/>
          <w:sz w:val="22"/>
          <w:szCs w:val="22"/>
        </w:rPr>
        <w:t xml:space="preserve"> </w:t>
      </w:r>
    </w:p>
    <w:p w14:paraId="27427496" w14:textId="6BF1EF93" w:rsidR="009C1DA2" w:rsidRPr="009C1DA2" w:rsidRDefault="009C1DA2" w:rsidP="009C1DA2">
      <w:pPr>
        <w:pStyle w:val="ListParagraph"/>
        <w:tabs>
          <w:tab w:val="left" w:pos="360"/>
        </w:tabs>
        <w:ind w:left="0"/>
        <w:jc w:val="both"/>
        <w:rPr>
          <w:rFonts w:ascii="Arial" w:eastAsia="Arial" w:hAnsi="Arial" w:cs="Arial"/>
          <w:sz w:val="22"/>
          <w:szCs w:val="22"/>
        </w:rPr>
      </w:pPr>
    </w:p>
    <w:p w14:paraId="5BBE0502" w14:textId="2582B5E8" w:rsidR="00E4455F" w:rsidRDefault="007D0589" w:rsidP="00E4455F">
      <w:pPr>
        <w:pStyle w:val="ListParagraph"/>
        <w:numPr>
          <w:ilvl w:val="0"/>
          <w:numId w:val="2"/>
        </w:numPr>
        <w:tabs>
          <w:tab w:val="left" w:pos="360"/>
        </w:tabs>
        <w:ind w:left="0" w:hanging="450"/>
        <w:jc w:val="both"/>
        <w:rPr>
          <w:rFonts w:ascii="Arial" w:eastAsia="Arial" w:hAnsi="Arial" w:cs="Arial"/>
          <w:sz w:val="22"/>
          <w:szCs w:val="22"/>
        </w:rPr>
      </w:pPr>
      <w:r>
        <w:rPr>
          <w:rFonts w:ascii="Arial" w:eastAsia="Arial" w:hAnsi="Arial" w:cs="Arial"/>
          <w:sz w:val="22"/>
          <w:szCs w:val="22"/>
        </w:rPr>
        <w:t xml:space="preserve">Finalmente, </w:t>
      </w:r>
      <w:r w:rsidR="0096055F">
        <w:rPr>
          <w:rFonts w:ascii="Arial" w:eastAsia="Arial" w:hAnsi="Arial" w:cs="Arial"/>
          <w:sz w:val="22"/>
          <w:szCs w:val="22"/>
        </w:rPr>
        <w:t>es importante mencionar que el Estado Peruano se encuentra liderando una serie de reformas que apuntan reducir la informalidad labora</w:t>
      </w:r>
      <w:r w:rsidR="00B23B57">
        <w:rPr>
          <w:rFonts w:ascii="Arial" w:eastAsia="Arial" w:hAnsi="Arial" w:cs="Arial"/>
          <w:sz w:val="22"/>
          <w:szCs w:val="22"/>
        </w:rPr>
        <w:t>l, que incluye intervenciones en el</w:t>
      </w:r>
      <w:r w:rsidR="0096055F">
        <w:rPr>
          <w:rFonts w:ascii="Arial" w:eastAsia="Arial" w:hAnsi="Arial" w:cs="Arial"/>
          <w:sz w:val="22"/>
          <w:szCs w:val="22"/>
        </w:rPr>
        <w:t xml:space="preserve"> mercado laboral, reformas tributarias e incluso reformas del sistema judicial. Aunque las metas establecidas en documentos como el Plan Estratégico de Desarrollo Nacional (PEDN) son bastante ambiciosas (reducir la informalidad en más de 20 puntos en el siguiente lustro), se asumirá que existirá una reducción exógena en el nivel de informalidad, tanto para los egresados de universidades públicas como IEST públicas, de 1% anual, lo cual es más realista dado el comportamiento de la informalidad en los últimos 20 años</w:t>
      </w:r>
      <w:r w:rsidR="0096055F">
        <w:rPr>
          <w:rStyle w:val="FootnoteReference"/>
          <w:rFonts w:ascii="Arial" w:eastAsia="Arial" w:hAnsi="Arial" w:cs="Arial"/>
          <w:sz w:val="22"/>
          <w:szCs w:val="22"/>
        </w:rPr>
        <w:footnoteReference w:id="11"/>
      </w:r>
      <w:r w:rsidR="0096055F">
        <w:rPr>
          <w:rFonts w:ascii="Arial" w:eastAsia="Arial" w:hAnsi="Arial" w:cs="Arial"/>
          <w:sz w:val="22"/>
          <w:szCs w:val="22"/>
        </w:rPr>
        <w:t>.</w:t>
      </w:r>
    </w:p>
    <w:p w14:paraId="3C37BB89" w14:textId="77777777" w:rsidR="00F745A7" w:rsidRPr="00F745A7" w:rsidRDefault="00F745A7" w:rsidP="00F745A7">
      <w:pPr>
        <w:pStyle w:val="ListParagraph"/>
        <w:rPr>
          <w:rFonts w:ascii="Arial" w:eastAsia="Arial" w:hAnsi="Arial" w:cs="Arial"/>
          <w:sz w:val="22"/>
          <w:szCs w:val="22"/>
        </w:rPr>
      </w:pPr>
    </w:p>
    <w:p w14:paraId="05A4D6A9" w14:textId="216F62B2" w:rsidR="00F745A7" w:rsidRPr="009C1DA2" w:rsidRDefault="00F745A7" w:rsidP="009C1DA2">
      <w:pPr>
        <w:pStyle w:val="ListParagraph"/>
        <w:numPr>
          <w:ilvl w:val="0"/>
          <w:numId w:val="2"/>
        </w:numPr>
        <w:tabs>
          <w:tab w:val="left" w:pos="360"/>
        </w:tabs>
        <w:ind w:left="0" w:hanging="450"/>
        <w:jc w:val="both"/>
        <w:rPr>
          <w:rFonts w:ascii="Arial" w:eastAsia="Arial" w:hAnsi="Arial" w:cs="Arial"/>
          <w:sz w:val="22"/>
          <w:szCs w:val="22"/>
        </w:rPr>
      </w:pPr>
      <w:r w:rsidRPr="009C1DA2">
        <w:rPr>
          <w:rFonts w:ascii="Arial" w:eastAsia="Arial" w:hAnsi="Arial" w:cs="Arial"/>
          <w:sz w:val="22"/>
          <w:szCs w:val="22"/>
        </w:rPr>
        <w:t xml:space="preserve">Asimismo, bajo el supuesto que las políticas económicas para reducir la informalidad tengan cierto efecto, y bajo </w:t>
      </w:r>
      <w:r w:rsidR="00BA4E5B" w:rsidRPr="009C1DA2">
        <w:rPr>
          <w:rFonts w:ascii="Arial" w:eastAsia="Arial" w:hAnsi="Arial" w:cs="Arial"/>
          <w:sz w:val="22"/>
          <w:szCs w:val="22"/>
        </w:rPr>
        <w:t>la tipología</w:t>
      </w:r>
      <w:r w:rsidRPr="009C1DA2">
        <w:rPr>
          <w:rFonts w:ascii="Arial" w:eastAsia="Arial" w:hAnsi="Arial" w:cs="Arial"/>
          <w:sz w:val="22"/>
          <w:szCs w:val="22"/>
        </w:rPr>
        <w:t xml:space="preserve"> de los tipos de informalid</w:t>
      </w:r>
      <w:r w:rsidR="009C1DA2" w:rsidRPr="009C1DA2">
        <w:rPr>
          <w:rFonts w:ascii="Arial" w:eastAsia="Arial" w:hAnsi="Arial" w:cs="Arial"/>
          <w:sz w:val="22"/>
          <w:szCs w:val="22"/>
        </w:rPr>
        <w:t xml:space="preserve">ad descritos por Ulyssea (2015), que está sustentada en trabajos previos de </w:t>
      </w:r>
      <w:r w:rsidR="009C1DA2">
        <w:rPr>
          <w:rFonts w:ascii="Arial" w:eastAsia="Arial" w:hAnsi="Arial" w:cs="Arial"/>
          <w:sz w:val="22"/>
          <w:szCs w:val="22"/>
        </w:rPr>
        <w:t>Almeida y Carneiro (</w:t>
      </w:r>
      <w:r w:rsidR="009C1DA2" w:rsidRPr="009C1DA2">
        <w:rPr>
          <w:rFonts w:ascii="Arial" w:eastAsia="Arial" w:hAnsi="Arial" w:cs="Arial"/>
          <w:sz w:val="22"/>
          <w:szCs w:val="22"/>
        </w:rPr>
        <w:t>2012</w:t>
      </w:r>
      <w:r w:rsidR="009C1DA2">
        <w:rPr>
          <w:rFonts w:ascii="Arial" w:eastAsia="Arial" w:hAnsi="Arial" w:cs="Arial"/>
          <w:sz w:val="22"/>
          <w:szCs w:val="22"/>
        </w:rPr>
        <w:t>)</w:t>
      </w:r>
      <w:r w:rsidR="00873353">
        <w:rPr>
          <w:rFonts w:ascii="Arial" w:eastAsia="Arial" w:hAnsi="Arial" w:cs="Arial"/>
          <w:sz w:val="22"/>
          <w:szCs w:val="22"/>
        </w:rPr>
        <w:t xml:space="preserve"> y</w:t>
      </w:r>
      <w:r w:rsidR="009C1DA2" w:rsidRPr="009C1DA2">
        <w:rPr>
          <w:rFonts w:ascii="Arial" w:eastAsia="Arial" w:hAnsi="Arial" w:cs="Arial"/>
          <w:sz w:val="22"/>
          <w:szCs w:val="22"/>
        </w:rPr>
        <w:t xml:space="preserve"> De Paula y</w:t>
      </w:r>
      <w:r w:rsidR="009C1DA2">
        <w:rPr>
          <w:rFonts w:ascii="Arial" w:eastAsia="Arial" w:hAnsi="Arial" w:cs="Arial"/>
          <w:sz w:val="22"/>
          <w:szCs w:val="22"/>
        </w:rPr>
        <w:t xml:space="preserve"> S</w:t>
      </w:r>
      <w:r w:rsidR="009C1DA2" w:rsidRPr="009C1DA2">
        <w:rPr>
          <w:rFonts w:ascii="Arial" w:eastAsia="Arial" w:hAnsi="Arial" w:cs="Arial"/>
          <w:sz w:val="22"/>
          <w:szCs w:val="22"/>
        </w:rPr>
        <w:t xml:space="preserve">cheinkman, </w:t>
      </w:r>
      <w:r w:rsidR="009C1DA2">
        <w:rPr>
          <w:rFonts w:ascii="Arial" w:eastAsia="Arial" w:hAnsi="Arial" w:cs="Arial"/>
          <w:sz w:val="22"/>
          <w:szCs w:val="22"/>
        </w:rPr>
        <w:t>(</w:t>
      </w:r>
      <w:r w:rsidR="009C1DA2" w:rsidRPr="009C1DA2">
        <w:rPr>
          <w:rFonts w:ascii="Arial" w:eastAsia="Arial" w:hAnsi="Arial" w:cs="Arial"/>
          <w:sz w:val="22"/>
          <w:szCs w:val="22"/>
        </w:rPr>
        <w:t>20</w:t>
      </w:r>
      <w:r w:rsidR="009C1DA2">
        <w:rPr>
          <w:rFonts w:ascii="Arial" w:eastAsia="Arial" w:hAnsi="Arial" w:cs="Arial"/>
          <w:sz w:val="22"/>
          <w:szCs w:val="22"/>
        </w:rPr>
        <w:t>11)</w:t>
      </w:r>
      <w:r w:rsidR="000D2190">
        <w:rPr>
          <w:rFonts w:ascii="Arial" w:eastAsia="Arial" w:hAnsi="Arial" w:cs="Arial"/>
          <w:sz w:val="22"/>
          <w:szCs w:val="22"/>
        </w:rPr>
        <w:t xml:space="preserve">, se tiene que, si </w:t>
      </w:r>
      <w:r w:rsidR="009C1DA2">
        <w:rPr>
          <w:rFonts w:ascii="Arial" w:eastAsia="Arial" w:hAnsi="Arial" w:cs="Arial"/>
          <w:sz w:val="22"/>
          <w:szCs w:val="22"/>
        </w:rPr>
        <w:t xml:space="preserve">las políticas económicas que buscan reducir la informalidad tuviesen el efecto esperado, </w:t>
      </w:r>
      <w:r w:rsidR="009C1DA2" w:rsidRPr="009C1DA2">
        <w:rPr>
          <w:rFonts w:ascii="Arial" w:eastAsia="Arial" w:hAnsi="Arial" w:cs="Arial"/>
          <w:sz w:val="22"/>
          <w:szCs w:val="22"/>
        </w:rPr>
        <w:t>lo más probable es que el ingreso promedio</w:t>
      </w:r>
      <w:r w:rsidR="000D2190">
        <w:rPr>
          <w:rFonts w:ascii="Arial" w:eastAsia="Arial" w:hAnsi="Arial" w:cs="Arial"/>
          <w:sz w:val="22"/>
          <w:szCs w:val="22"/>
        </w:rPr>
        <w:t xml:space="preserve"> del sector informal se reduzca. Esto, debido a que l</w:t>
      </w:r>
      <w:r w:rsidR="009C1DA2" w:rsidRPr="009C1DA2">
        <w:rPr>
          <w:rFonts w:ascii="Arial" w:eastAsia="Arial" w:hAnsi="Arial" w:cs="Arial"/>
          <w:sz w:val="22"/>
          <w:szCs w:val="22"/>
        </w:rPr>
        <w:t>os trabajadores con mejores skills saldrían de la informalidad y formarían parte del sector formal, mientras que los que se quedarían en el sector informal serían únicamente aquellos cuyo bajo nivel de capital humano no les permite acce</w:t>
      </w:r>
      <w:r w:rsidR="009C1DA2">
        <w:rPr>
          <w:rFonts w:ascii="Arial" w:eastAsia="Arial" w:hAnsi="Arial" w:cs="Arial"/>
          <w:sz w:val="22"/>
          <w:szCs w:val="22"/>
        </w:rPr>
        <w:t>der a un empleo formal (esto concepto se conoce como</w:t>
      </w:r>
      <w:r w:rsidR="009C1DA2" w:rsidRPr="009C1DA2">
        <w:rPr>
          <w:rFonts w:ascii="Arial" w:eastAsia="Arial" w:hAnsi="Arial" w:cs="Arial"/>
          <w:sz w:val="22"/>
          <w:szCs w:val="22"/>
        </w:rPr>
        <w:t xml:space="preserve"> “informalidad de supervivencia”, </w:t>
      </w:r>
      <w:r w:rsidR="009C1DA2">
        <w:rPr>
          <w:rFonts w:ascii="Arial" w:eastAsia="Arial" w:hAnsi="Arial" w:cs="Arial"/>
          <w:sz w:val="22"/>
          <w:szCs w:val="22"/>
        </w:rPr>
        <w:t xml:space="preserve">el cual aplica para agentes cuyo bajo nivel de capital humano sólo le brinda como opción trabajar en el sector informal). Considerando este marco, se asumirá que </w:t>
      </w:r>
      <w:r w:rsidR="009C1DA2" w:rsidRPr="00236859">
        <w:rPr>
          <w:rFonts w:ascii="Arial" w:eastAsia="Arial" w:hAnsi="Arial" w:cs="Arial"/>
          <w:sz w:val="22"/>
          <w:szCs w:val="22"/>
        </w:rPr>
        <w:t xml:space="preserve">el promedio de la tasa de crecimiento de la brecha de ingresos entre </w:t>
      </w:r>
      <w:r w:rsidR="009C1DA2">
        <w:rPr>
          <w:rFonts w:ascii="Arial" w:eastAsia="Arial" w:hAnsi="Arial" w:cs="Arial"/>
          <w:sz w:val="22"/>
          <w:szCs w:val="22"/>
        </w:rPr>
        <w:t>sector formal e informal es de 8</w:t>
      </w:r>
      <w:r w:rsidR="009C1DA2" w:rsidRPr="00236859">
        <w:rPr>
          <w:rFonts w:ascii="Arial" w:eastAsia="Arial" w:hAnsi="Arial" w:cs="Arial"/>
          <w:sz w:val="22"/>
          <w:szCs w:val="22"/>
        </w:rPr>
        <w:t>% par</w:t>
      </w:r>
      <w:r w:rsidR="009C1DA2">
        <w:rPr>
          <w:rFonts w:ascii="Arial" w:eastAsia="Arial" w:hAnsi="Arial" w:cs="Arial"/>
          <w:sz w:val="22"/>
          <w:szCs w:val="22"/>
        </w:rPr>
        <w:t>a las universidades públicas y 7</w:t>
      </w:r>
      <w:r w:rsidR="009C1DA2" w:rsidRPr="00236859">
        <w:rPr>
          <w:rFonts w:ascii="Arial" w:eastAsia="Arial" w:hAnsi="Arial" w:cs="Arial"/>
          <w:sz w:val="22"/>
          <w:szCs w:val="22"/>
        </w:rPr>
        <w:t>% para IEST públicos.</w:t>
      </w:r>
    </w:p>
    <w:p w14:paraId="1D66D1AB" w14:textId="77777777" w:rsidR="00E4455F" w:rsidRPr="00E4455F" w:rsidRDefault="00E4455F" w:rsidP="00E4455F">
      <w:pPr>
        <w:pStyle w:val="ListParagraph"/>
        <w:rPr>
          <w:rFonts w:ascii="Arial" w:eastAsia="Arial" w:hAnsi="Arial" w:cs="Arial"/>
          <w:sz w:val="22"/>
          <w:szCs w:val="22"/>
        </w:rPr>
      </w:pPr>
    </w:p>
    <w:p w14:paraId="4F106C7B" w14:textId="209BA07B" w:rsidR="00FA187D" w:rsidRDefault="00FA187D" w:rsidP="00E4455F">
      <w:pPr>
        <w:pStyle w:val="ListParagraph"/>
        <w:numPr>
          <w:ilvl w:val="0"/>
          <w:numId w:val="2"/>
        </w:numPr>
        <w:tabs>
          <w:tab w:val="left" w:pos="360"/>
        </w:tabs>
        <w:ind w:left="0" w:hanging="450"/>
        <w:jc w:val="both"/>
        <w:rPr>
          <w:rFonts w:ascii="Arial" w:eastAsia="Arial" w:hAnsi="Arial" w:cs="Arial"/>
          <w:sz w:val="22"/>
          <w:szCs w:val="22"/>
        </w:rPr>
      </w:pPr>
      <w:r w:rsidRPr="00E4455F">
        <w:rPr>
          <w:rFonts w:ascii="Arial" w:eastAsia="Arial" w:hAnsi="Arial" w:cs="Arial"/>
          <w:sz w:val="22"/>
          <w:szCs w:val="22"/>
        </w:rPr>
        <w:t>E</w:t>
      </w:r>
      <w:r w:rsidR="006920D3">
        <w:rPr>
          <w:rFonts w:ascii="Arial" w:eastAsia="Arial" w:hAnsi="Arial" w:cs="Arial"/>
          <w:sz w:val="22"/>
          <w:szCs w:val="22"/>
        </w:rPr>
        <w:t xml:space="preserve">n términos del impacto del componente 2 </w:t>
      </w:r>
      <w:r w:rsidRPr="00E4455F">
        <w:rPr>
          <w:rFonts w:ascii="Arial" w:eastAsia="Arial" w:hAnsi="Arial" w:cs="Arial"/>
          <w:sz w:val="22"/>
          <w:szCs w:val="22"/>
        </w:rPr>
        <w:t xml:space="preserve">a través de la reducción en la probabilidad de estar desempleado, </w:t>
      </w:r>
      <w:r w:rsidR="00E4455F" w:rsidRPr="00E4455F">
        <w:rPr>
          <w:rFonts w:ascii="Arial" w:eastAsia="Arial" w:hAnsi="Arial" w:cs="Arial"/>
          <w:sz w:val="22"/>
          <w:szCs w:val="22"/>
        </w:rPr>
        <w:t xml:space="preserve">considerando las probabilidades como proporciones de alumnos, se calcula el número de alumnos que pasaría a una mejor situación (con una </w:t>
      </w:r>
      <w:r w:rsidR="007E19AB">
        <w:rPr>
          <w:rFonts w:ascii="Arial" w:eastAsia="Arial" w:hAnsi="Arial" w:cs="Arial"/>
          <w:sz w:val="22"/>
          <w:szCs w:val="22"/>
        </w:rPr>
        <w:t xml:space="preserve">menor </w:t>
      </w:r>
      <w:r w:rsidR="00E4455F" w:rsidRPr="00E4455F">
        <w:rPr>
          <w:rFonts w:ascii="Arial" w:eastAsia="Arial" w:hAnsi="Arial" w:cs="Arial"/>
          <w:sz w:val="22"/>
          <w:szCs w:val="22"/>
        </w:rPr>
        <w:t xml:space="preserve">probabilidad de </w:t>
      </w:r>
      <w:r w:rsidR="007E19AB">
        <w:rPr>
          <w:rFonts w:ascii="Arial" w:eastAsia="Arial" w:hAnsi="Arial" w:cs="Arial"/>
          <w:sz w:val="22"/>
          <w:szCs w:val="22"/>
        </w:rPr>
        <w:t>caer en desempleo</w:t>
      </w:r>
      <w:r w:rsidR="00E4455F" w:rsidRPr="00E4455F">
        <w:rPr>
          <w:rFonts w:ascii="Arial" w:eastAsia="Arial" w:hAnsi="Arial" w:cs="Arial"/>
          <w:sz w:val="22"/>
          <w:szCs w:val="22"/>
        </w:rPr>
        <w:t xml:space="preserve">), es decir el número de alumnos que </w:t>
      </w:r>
      <w:r w:rsidR="007E19AB">
        <w:rPr>
          <w:rFonts w:ascii="Arial" w:eastAsia="Arial" w:hAnsi="Arial" w:cs="Arial"/>
          <w:sz w:val="22"/>
          <w:szCs w:val="22"/>
        </w:rPr>
        <w:t>estaría “escapando” del desempleo</w:t>
      </w:r>
      <w:r w:rsidR="00E4455F" w:rsidRPr="00E4455F">
        <w:rPr>
          <w:rFonts w:ascii="Arial" w:eastAsia="Arial" w:hAnsi="Arial" w:cs="Arial"/>
          <w:sz w:val="22"/>
          <w:szCs w:val="22"/>
        </w:rPr>
        <w:t xml:space="preserve">, lo que representaría un beneficio medido en número de personas. En términos monetarios, se calcula el </w:t>
      </w:r>
      <w:r w:rsidR="003C6082">
        <w:rPr>
          <w:rFonts w:ascii="Arial" w:eastAsia="Arial" w:hAnsi="Arial" w:cs="Arial"/>
          <w:sz w:val="22"/>
          <w:szCs w:val="22"/>
        </w:rPr>
        <w:t>ingreso</w:t>
      </w:r>
      <w:r w:rsidR="00E4455F" w:rsidRPr="00E4455F">
        <w:rPr>
          <w:rFonts w:ascii="Arial" w:eastAsia="Arial" w:hAnsi="Arial" w:cs="Arial"/>
          <w:sz w:val="22"/>
          <w:szCs w:val="22"/>
        </w:rPr>
        <w:t xml:space="preserve"> </w:t>
      </w:r>
      <w:r w:rsidR="009C1DA2">
        <w:rPr>
          <w:rFonts w:ascii="Arial" w:eastAsia="Arial" w:hAnsi="Arial" w:cs="Arial"/>
          <w:sz w:val="22"/>
          <w:szCs w:val="22"/>
        </w:rPr>
        <w:t>promedio de los</w:t>
      </w:r>
      <w:r w:rsidR="003C6082">
        <w:rPr>
          <w:rFonts w:ascii="Arial" w:eastAsia="Arial" w:hAnsi="Arial" w:cs="Arial"/>
          <w:sz w:val="22"/>
          <w:szCs w:val="22"/>
        </w:rPr>
        <w:t xml:space="preserve"> egresado</w:t>
      </w:r>
      <w:r w:rsidR="009C1DA2">
        <w:rPr>
          <w:rFonts w:ascii="Arial" w:eastAsia="Arial" w:hAnsi="Arial" w:cs="Arial"/>
          <w:sz w:val="22"/>
          <w:szCs w:val="22"/>
        </w:rPr>
        <w:t>s</w:t>
      </w:r>
      <w:r w:rsidR="003C6082">
        <w:rPr>
          <w:rFonts w:ascii="Arial" w:eastAsia="Arial" w:hAnsi="Arial" w:cs="Arial"/>
          <w:sz w:val="22"/>
          <w:szCs w:val="22"/>
        </w:rPr>
        <w:t xml:space="preserve"> de la IES</w:t>
      </w:r>
      <w:r w:rsidR="009C1DA2">
        <w:rPr>
          <w:rFonts w:ascii="Arial" w:eastAsia="Arial" w:hAnsi="Arial" w:cs="Arial"/>
          <w:sz w:val="22"/>
          <w:szCs w:val="22"/>
        </w:rPr>
        <w:t xml:space="preserve"> públicas </w:t>
      </w:r>
      <w:r w:rsidR="00E4455F" w:rsidRPr="00E4455F">
        <w:rPr>
          <w:rFonts w:ascii="Arial" w:eastAsia="Arial" w:hAnsi="Arial" w:cs="Arial"/>
          <w:sz w:val="22"/>
          <w:szCs w:val="22"/>
        </w:rPr>
        <w:t xml:space="preserve">y se multiplica por el número de alumnos beneficiados. Ello da una aproximación en términos de mejora salarial al reducir la probabilidad de pertenecer </w:t>
      </w:r>
      <w:r w:rsidR="00786407">
        <w:rPr>
          <w:rFonts w:ascii="Arial" w:eastAsia="Arial" w:hAnsi="Arial" w:cs="Arial"/>
          <w:sz w:val="22"/>
          <w:szCs w:val="22"/>
        </w:rPr>
        <w:t>de caer en desempleo</w:t>
      </w:r>
      <w:r w:rsidR="00E4455F" w:rsidRPr="00E4455F">
        <w:rPr>
          <w:rFonts w:ascii="Arial" w:eastAsia="Arial" w:hAnsi="Arial" w:cs="Arial"/>
          <w:sz w:val="22"/>
          <w:szCs w:val="22"/>
        </w:rPr>
        <w:t xml:space="preserve"> (ver Cuadro A7).</w:t>
      </w:r>
    </w:p>
    <w:p w14:paraId="3A2A3092" w14:textId="77777777" w:rsidR="006E0EBD" w:rsidRPr="006E0EBD" w:rsidRDefault="006E0EBD" w:rsidP="006E0EBD">
      <w:pPr>
        <w:pStyle w:val="ListParagraph"/>
        <w:rPr>
          <w:rFonts w:ascii="Arial" w:eastAsia="Arial" w:hAnsi="Arial" w:cs="Arial"/>
          <w:sz w:val="22"/>
          <w:szCs w:val="22"/>
        </w:rPr>
      </w:pPr>
    </w:p>
    <w:p w14:paraId="04E59968" w14:textId="0D8DD54E" w:rsidR="006E0EBD" w:rsidRDefault="00164112" w:rsidP="00873353">
      <w:pPr>
        <w:pStyle w:val="ListParagraph"/>
        <w:numPr>
          <w:ilvl w:val="0"/>
          <w:numId w:val="2"/>
        </w:numPr>
        <w:tabs>
          <w:tab w:val="left" w:pos="360"/>
        </w:tabs>
        <w:ind w:left="0" w:hanging="450"/>
        <w:jc w:val="both"/>
        <w:rPr>
          <w:rFonts w:ascii="Arial" w:eastAsia="Arial" w:hAnsi="Arial" w:cs="Arial"/>
          <w:sz w:val="22"/>
          <w:szCs w:val="22"/>
        </w:rPr>
      </w:pPr>
      <w:r>
        <w:rPr>
          <w:rFonts w:ascii="Arial" w:eastAsia="Arial" w:hAnsi="Arial" w:cs="Arial"/>
          <w:sz w:val="22"/>
          <w:szCs w:val="22"/>
        </w:rPr>
        <w:t>Entonces</w:t>
      </w:r>
      <w:r w:rsidR="006E0EBD">
        <w:rPr>
          <w:rFonts w:ascii="Arial" w:eastAsia="Arial" w:hAnsi="Arial" w:cs="Arial"/>
          <w:sz w:val="22"/>
          <w:szCs w:val="22"/>
        </w:rPr>
        <w:t xml:space="preserve">, </w:t>
      </w:r>
      <w:r w:rsidR="006E0EBD" w:rsidRPr="007A73EB">
        <w:rPr>
          <w:rFonts w:ascii="Arial" w:eastAsia="Arial" w:hAnsi="Arial" w:cs="Arial"/>
          <w:sz w:val="22"/>
          <w:szCs w:val="22"/>
        </w:rPr>
        <w:t xml:space="preserve">para cuantificar el impacto </w:t>
      </w:r>
      <w:r w:rsidR="006E0EBD">
        <w:rPr>
          <w:rFonts w:ascii="Arial" w:eastAsia="Arial" w:hAnsi="Arial" w:cs="Arial"/>
          <w:sz w:val="22"/>
          <w:szCs w:val="22"/>
        </w:rPr>
        <w:t xml:space="preserve">de este </w:t>
      </w:r>
      <w:r w:rsidR="006E0EBD" w:rsidRPr="007A73EB">
        <w:rPr>
          <w:rFonts w:ascii="Arial" w:eastAsia="Arial" w:hAnsi="Arial" w:cs="Arial"/>
          <w:sz w:val="22"/>
          <w:szCs w:val="22"/>
        </w:rPr>
        <w:t xml:space="preserve">componente </w:t>
      </w:r>
      <w:r w:rsidR="006E0EBD">
        <w:rPr>
          <w:rFonts w:ascii="Arial" w:eastAsia="Arial" w:hAnsi="Arial" w:cs="Arial"/>
          <w:sz w:val="22"/>
          <w:szCs w:val="22"/>
        </w:rPr>
        <w:t xml:space="preserve">del programa </w:t>
      </w:r>
      <w:r w:rsidR="006E0EBD" w:rsidRPr="007A73EB">
        <w:rPr>
          <w:rFonts w:ascii="Arial" w:eastAsia="Arial" w:hAnsi="Arial" w:cs="Arial"/>
          <w:sz w:val="22"/>
          <w:szCs w:val="22"/>
        </w:rPr>
        <w:t>en los ingresos de los beneficiados, se evalúa primero</w:t>
      </w:r>
      <w:r w:rsidR="00352639">
        <w:rPr>
          <w:rFonts w:ascii="Arial" w:eastAsia="Arial" w:hAnsi="Arial" w:cs="Arial"/>
          <w:sz w:val="22"/>
          <w:szCs w:val="22"/>
        </w:rPr>
        <w:t xml:space="preserve"> </w:t>
      </w:r>
      <w:r w:rsidR="00873353">
        <w:rPr>
          <w:rFonts w:ascii="Arial" w:eastAsia="Arial" w:hAnsi="Arial" w:cs="Arial"/>
          <w:sz w:val="22"/>
          <w:szCs w:val="22"/>
        </w:rPr>
        <w:t>el impacto de intervenciones que buscan mejorar la calidad educativa sobre el desempleo (</w:t>
      </w:r>
      <w:r w:rsidR="00873353" w:rsidRPr="00873353">
        <w:rPr>
          <w:rFonts w:ascii="Arial" w:eastAsia="Arial" w:hAnsi="Arial" w:cs="Arial"/>
          <w:sz w:val="22"/>
          <w:szCs w:val="22"/>
        </w:rPr>
        <w:t>Nickell, 1979; Mincer, 1991; Farber, 2004; Nichols, Mitchel y Lindner, 2013; Yamada, 2015</w:t>
      </w:r>
      <w:r w:rsidR="00873353">
        <w:rPr>
          <w:rFonts w:ascii="Arial" w:eastAsia="Arial" w:hAnsi="Arial" w:cs="Arial"/>
          <w:sz w:val="22"/>
          <w:szCs w:val="22"/>
        </w:rPr>
        <w:t xml:space="preserve">). En general, los resultados están </w:t>
      </w:r>
      <w:r w:rsidR="000D2190">
        <w:rPr>
          <w:rFonts w:ascii="Arial" w:eastAsia="Arial" w:hAnsi="Arial" w:cs="Arial"/>
          <w:sz w:val="22"/>
          <w:szCs w:val="22"/>
        </w:rPr>
        <w:t>dentro de un intervalo entre 6% y</w:t>
      </w:r>
      <w:r w:rsidR="00873353">
        <w:rPr>
          <w:rFonts w:ascii="Arial" w:eastAsia="Arial" w:hAnsi="Arial" w:cs="Arial"/>
          <w:sz w:val="22"/>
          <w:szCs w:val="22"/>
        </w:rPr>
        <w:t xml:space="preserve"> 10% en la reducción de la tasa de desempleo, por lo que se asumirá un impacto promedio de 8%.</w:t>
      </w:r>
    </w:p>
    <w:p w14:paraId="00751060" w14:textId="77777777" w:rsidR="00012B15" w:rsidRPr="00012B15" w:rsidRDefault="00012B15" w:rsidP="00012B15">
      <w:pPr>
        <w:pStyle w:val="ListParagraph"/>
        <w:rPr>
          <w:rFonts w:ascii="Arial" w:eastAsia="Arial" w:hAnsi="Arial" w:cs="Arial"/>
          <w:sz w:val="22"/>
          <w:szCs w:val="22"/>
        </w:rPr>
      </w:pPr>
    </w:p>
    <w:p w14:paraId="04B739BF" w14:textId="2F536F7B" w:rsidR="00873353" w:rsidRDefault="00873353" w:rsidP="00873353">
      <w:pPr>
        <w:pStyle w:val="ListParagraph"/>
        <w:numPr>
          <w:ilvl w:val="0"/>
          <w:numId w:val="2"/>
        </w:numPr>
        <w:tabs>
          <w:tab w:val="left" w:pos="360"/>
        </w:tabs>
        <w:ind w:left="0" w:hanging="450"/>
        <w:jc w:val="both"/>
        <w:rPr>
          <w:rFonts w:ascii="Arial" w:eastAsia="Arial" w:hAnsi="Arial" w:cs="Arial"/>
          <w:sz w:val="22"/>
          <w:szCs w:val="22"/>
        </w:rPr>
      </w:pPr>
      <w:r>
        <w:rPr>
          <w:rFonts w:ascii="Arial" w:eastAsia="Arial" w:hAnsi="Arial" w:cs="Arial"/>
          <w:sz w:val="22"/>
          <w:szCs w:val="22"/>
        </w:rPr>
        <w:t>Segund</w:t>
      </w:r>
      <w:r w:rsidRPr="00DC494C">
        <w:rPr>
          <w:rFonts w:ascii="Arial" w:eastAsia="Arial" w:hAnsi="Arial" w:cs="Arial"/>
          <w:sz w:val="22"/>
          <w:szCs w:val="22"/>
        </w:rPr>
        <w:t>o, se necesita utilizar in</w:t>
      </w:r>
      <w:r>
        <w:rPr>
          <w:rFonts w:ascii="Arial" w:eastAsia="Arial" w:hAnsi="Arial" w:cs="Arial"/>
          <w:sz w:val="22"/>
          <w:szCs w:val="22"/>
        </w:rPr>
        <w:t xml:space="preserve">formación sobre los niveles de desempleo </w:t>
      </w:r>
      <w:r w:rsidRPr="00DC494C">
        <w:rPr>
          <w:rFonts w:ascii="Arial" w:eastAsia="Arial" w:hAnsi="Arial" w:cs="Arial"/>
          <w:sz w:val="22"/>
          <w:szCs w:val="22"/>
        </w:rPr>
        <w:t xml:space="preserve">de los egresados de </w:t>
      </w:r>
      <w:r>
        <w:rPr>
          <w:rFonts w:ascii="Arial" w:eastAsia="Arial" w:hAnsi="Arial" w:cs="Arial"/>
          <w:sz w:val="22"/>
          <w:szCs w:val="22"/>
        </w:rPr>
        <w:t>IES públicas</w:t>
      </w:r>
      <w:r w:rsidRPr="00DC494C">
        <w:rPr>
          <w:rFonts w:ascii="Arial" w:eastAsia="Arial" w:hAnsi="Arial" w:cs="Arial"/>
          <w:sz w:val="22"/>
          <w:szCs w:val="22"/>
        </w:rPr>
        <w:t xml:space="preserve">. Así, según la Encuesta Nacional </w:t>
      </w:r>
      <w:r>
        <w:rPr>
          <w:rFonts w:ascii="Arial" w:eastAsia="Arial" w:hAnsi="Arial" w:cs="Arial"/>
          <w:sz w:val="22"/>
          <w:szCs w:val="22"/>
        </w:rPr>
        <w:t xml:space="preserve">a Egresados Universitarios </w:t>
      </w:r>
      <w:r w:rsidR="000D2190">
        <w:rPr>
          <w:rFonts w:ascii="Arial" w:eastAsia="Arial" w:hAnsi="Arial" w:cs="Arial"/>
          <w:sz w:val="22"/>
          <w:szCs w:val="22"/>
        </w:rPr>
        <w:t>e IEST</w:t>
      </w:r>
      <w:r>
        <w:rPr>
          <w:rFonts w:ascii="Arial" w:eastAsia="Arial" w:hAnsi="Arial" w:cs="Arial"/>
          <w:sz w:val="22"/>
          <w:szCs w:val="22"/>
        </w:rPr>
        <w:t xml:space="preserve"> (2014</w:t>
      </w:r>
      <w:r w:rsidRPr="00DC494C">
        <w:rPr>
          <w:rFonts w:ascii="Arial" w:eastAsia="Arial" w:hAnsi="Arial" w:cs="Arial"/>
          <w:sz w:val="22"/>
          <w:szCs w:val="22"/>
        </w:rPr>
        <w:t>), el</w:t>
      </w:r>
      <w:r>
        <w:rPr>
          <w:rFonts w:ascii="Arial" w:eastAsia="Arial" w:hAnsi="Arial" w:cs="Arial"/>
          <w:sz w:val="22"/>
          <w:szCs w:val="22"/>
        </w:rPr>
        <w:t xml:space="preserve"> nivel de desempleo</w:t>
      </w:r>
      <w:r w:rsidRPr="00DC494C">
        <w:rPr>
          <w:rFonts w:ascii="Arial" w:eastAsia="Arial" w:hAnsi="Arial" w:cs="Arial"/>
          <w:sz w:val="22"/>
          <w:szCs w:val="22"/>
        </w:rPr>
        <w:t xml:space="preserve"> en egresados de universidades públicas fue </w:t>
      </w:r>
      <w:r>
        <w:rPr>
          <w:rFonts w:ascii="Arial" w:eastAsia="Arial" w:hAnsi="Arial" w:cs="Arial"/>
          <w:sz w:val="22"/>
          <w:szCs w:val="22"/>
        </w:rPr>
        <w:t>6.5</w:t>
      </w:r>
      <w:r w:rsidRPr="00DC494C">
        <w:rPr>
          <w:rFonts w:ascii="Arial" w:eastAsia="Arial" w:hAnsi="Arial" w:cs="Arial"/>
          <w:sz w:val="22"/>
          <w:szCs w:val="22"/>
        </w:rPr>
        <w:t>%, y en el caso de los egresados de Institutos de Educación S</w:t>
      </w:r>
      <w:r>
        <w:rPr>
          <w:rFonts w:ascii="Arial" w:eastAsia="Arial" w:hAnsi="Arial" w:cs="Arial"/>
          <w:sz w:val="22"/>
          <w:szCs w:val="22"/>
        </w:rPr>
        <w:t>uperior Tecnológica (IEST), el desempleo corresponde al 8.5%.</w:t>
      </w:r>
    </w:p>
    <w:p w14:paraId="5A85D6AD" w14:textId="77777777" w:rsidR="00873353" w:rsidRDefault="00873353" w:rsidP="00873353">
      <w:pPr>
        <w:pStyle w:val="ListParagraph"/>
        <w:tabs>
          <w:tab w:val="left" w:pos="360"/>
        </w:tabs>
        <w:ind w:left="0"/>
        <w:jc w:val="both"/>
        <w:rPr>
          <w:rFonts w:ascii="Arial" w:eastAsia="Arial" w:hAnsi="Arial" w:cs="Arial"/>
          <w:sz w:val="22"/>
          <w:szCs w:val="22"/>
        </w:rPr>
      </w:pPr>
    </w:p>
    <w:p w14:paraId="43CB73B5" w14:textId="3DA005DC" w:rsidR="00012B15" w:rsidRPr="00873353" w:rsidRDefault="00873353" w:rsidP="00873353">
      <w:pPr>
        <w:pStyle w:val="ListParagraph"/>
        <w:numPr>
          <w:ilvl w:val="0"/>
          <w:numId w:val="2"/>
        </w:numPr>
        <w:tabs>
          <w:tab w:val="left" w:pos="360"/>
        </w:tabs>
        <w:ind w:left="0" w:hanging="450"/>
        <w:jc w:val="both"/>
        <w:rPr>
          <w:rFonts w:ascii="Arial" w:eastAsia="Arial" w:hAnsi="Arial" w:cs="Arial"/>
          <w:sz w:val="22"/>
          <w:szCs w:val="22"/>
        </w:rPr>
      </w:pPr>
      <w:r>
        <w:rPr>
          <w:rFonts w:ascii="Arial" w:eastAsia="Arial" w:hAnsi="Arial" w:cs="Arial"/>
          <w:sz w:val="22"/>
          <w:szCs w:val="22"/>
        </w:rPr>
        <w:t>Por último, es necesario contar con información sobre los ingresos actuales de los egresados de IES públicas</w:t>
      </w:r>
      <w:r w:rsidRPr="00BF1672">
        <w:rPr>
          <w:rFonts w:ascii="Arial" w:eastAsia="Arial" w:hAnsi="Arial" w:cs="Arial"/>
          <w:sz w:val="22"/>
          <w:szCs w:val="22"/>
        </w:rPr>
        <w:t>. Según el portal Ponte En Carrera del MINEDU (2016), el salario promedio de egresados de las universidades públicas</w:t>
      </w:r>
      <w:r>
        <w:rPr>
          <w:rFonts w:ascii="Arial" w:eastAsia="Arial" w:hAnsi="Arial" w:cs="Arial"/>
          <w:sz w:val="22"/>
          <w:szCs w:val="22"/>
        </w:rPr>
        <w:t xml:space="preserve"> fue US$ 752</w:t>
      </w:r>
      <w:r w:rsidRPr="00BF1672">
        <w:rPr>
          <w:rFonts w:ascii="Arial" w:eastAsia="Arial" w:hAnsi="Arial" w:cs="Arial"/>
          <w:sz w:val="22"/>
          <w:szCs w:val="22"/>
        </w:rPr>
        <w:t>, mientras que en el caso de los egr</w:t>
      </w:r>
      <w:r>
        <w:rPr>
          <w:rFonts w:ascii="Arial" w:eastAsia="Arial" w:hAnsi="Arial" w:cs="Arial"/>
          <w:sz w:val="22"/>
          <w:szCs w:val="22"/>
        </w:rPr>
        <w:t xml:space="preserve">esados de los dos IEST públicos </w:t>
      </w:r>
      <w:r w:rsidRPr="00BF1672">
        <w:rPr>
          <w:rFonts w:ascii="Arial" w:eastAsia="Arial" w:hAnsi="Arial" w:cs="Arial"/>
          <w:sz w:val="22"/>
          <w:szCs w:val="22"/>
        </w:rPr>
        <w:t>fue US$ 586.</w:t>
      </w:r>
      <w:r>
        <w:rPr>
          <w:rFonts w:ascii="Arial" w:eastAsia="Arial" w:hAnsi="Arial" w:cs="Arial"/>
          <w:sz w:val="22"/>
          <w:szCs w:val="22"/>
        </w:rPr>
        <w:t xml:space="preserve"> Asimismo, aunque aún no se dispone de información histórica de los ingresos a partir de esta fuente de información, se considerará que estos ingresos crecen a una tasa promedio de 3% durante todo el horizonte de evaluación, pues </w:t>
      </w:r>
      <w:r w:rsidR="000D2190">
        <w:rPr>
          <w:rFonts w:ascii="Arial" w:eastAsia="Arial" w:hAnsi="Arial" w:cs="Arial"/>
          <w:sz w:val="22"/>
          <w:szCs w:val="22"/>
        </w:rPr>
        <w:t>esta corresponde a</w:t>
      </w:r>
      <w:r>
        <w:rPr>
          <w:rFonts w:ascii="Arial" w:eastAsia="Arial" w:hAnsi="Arial" w:cs="Arial"/>
          <w:sz w:val="22"/>
          <w:szCs w:val="22"/>
        </w:rPr>
        <w:t xml:space="preserve"> la tasa de crecimiento de los ingresos del grupo de edad entre 18 a 35 años, en donde están incluidos más del 90% de los estudiantes de IES públicas en los primeros años de egreso.</w:t>
      </w:r>
    </w:p>
    <w:p w14:paraId="6F7CAD62" w14:textId="77777777" w:rsidR="000C35F9" w:rsidRPr="00185431" w:rsidRDefault="000C35F9" w:rsidP="000C35F9">
      <w:pPr>
        <w:tabs>
          <w:tab w:val="left" w:pos="360"/>
        </w:tabs>
        <w:jc w:val="both"/>
        <w:rPr>
          <w:rFonts w:ascii="Arial" w:eastAsia="Arial" w:hAnsi="Arial" w:cs="Arial"/>
          <w:sz w:val="22"/>
          <w:szCs w:val="22"/>
          <w:lang w:val="es-ES_tradnl"/>
        </w:rPr>
      </w:pPr>
    </w:p>
    <w:p w14:paraId="1D1471F4" w14:textId="77777777" w:rsidR="000C35F9" w:rsidRPr="00DF0E0C" w:rsidRDefault="000C35F9" w:rsidP="000C35F9">
      <w:pPr>
        <w:numPr>
          <w:ilvl w:val="1"/>
          <w:numId w:val="1"/>
        </w:numPr>
        <w:ind w:left="0"/>
        <w:contextualSpacing/>
        <w:jc w:val="both"/>
        <w:rPr>
          <w:rFonts w:ascii="Arial" w:eastAsia="Arial" w:hAnsi="Arial" w:cs="Arial"/>
          <w:b/>
          <w:sz w:val="22"/>
          <w:szCs w:val="22"/>
          <w:lang w:val="es-ES_tradnl"/>
        </w:rPr>
      </w:pPr>
      <w:r>
        <w:rPr>
          <w:rFonts w:ascii="Arial" w:eastAsia="Arial" w:hAnsi="Arial" w:cs="Arial"/>
          <w:b/>
          <w:lang w:val="es-ES_tradnl"/>
        </w:rPr>
        <w:t>Beneficios</w:t>
      </w:r>
      <w:r w:rsidRPr="00CE7AB7">
        <w:rPr>
          <w:rFonts w:ascii="Arial" w:eastAsia="Arial" w:hAnsi="Arial" w:cs="Arial"/>
          <w:b/>
          <w:lang w:val="es-ES_tradnl"/>
        </w:rPr>
        <w:t xml:space="preserve"> del componente de </w:t>
      </w:r>
      <w:r>
        <w:rPr>
          <w:rFonts w:ascii="Arial" w:eastAsia="Arial" w:hAnsi="Arial" w:cs="Arial"/>
          <w:b/>
          <w:lang w:val="es-ES_tradnl"/>
        </w:rPr>
        <w:t xml:space="preserve">Mejora de la infraestructura y equipamiento de las </w:t>
      </w:r>
      <w:r w:rsidR="00DF0E0C">
        <w:rPr>
          <w:rFonts w:ascii="Arial" w:eastAsia="Arial" w:hAnsi="Arial" w:cs="Arial"/>
          <w:b/>
          <w:lang w:val="es-ES_tradnl"/>
        </w:rPr>
        <w:t>IES públicas</w:t>
      </w:r>
    </w:p>
    <w:p w14:paraId="4C9EBCC2" w14:textId="77777777" w:rsidR="00FA187D" w:rsidRDefault="00FA187D" w:rsidP="00FA187D">
      <w:pPr>
        <w:pStyle w:val="ListParagraph"/>
        <w:tabs>
          <w:tab w:val="left" w:pos="360"/>
        </w:tabs>
        <w:ind w:left="0"/>
        <w:jc w:val="both"/>
        <w:rPr>
          <w:rFonts w:ascii="Arial" w:eastAsia="Arial" w:hAnsi="Arial" w:cs="Arial"/>
          <w:b/>
          <w:color w:val="000000"/>
          <w:sz w:val="22"/>
          <w:szCs w:val="22"/>
          <w:lang w:eastAsia="en-US"/>
        </w:rPr>
      </w:pPr>
    </w:p>
    <w:p w14:paraId="09C7A3B5" w14:textId="0F5B5F85" w:rsidR="00BF1672" w:rsidRDefault="00BF1672" w:rsidP="00E4455F">
      <w:pPr>
        <w:pStyle w:val="ListParagraph"/>
        <w:numPr>
          <w:ilvl w:val="0"/>
          <w:numId w:val="2"/>
        </w:numPr>
        <w:tabs>
          <w:tab w:val="left" w:pos="360"/>
        </w:tabs>
        <w:ind w:left="0"/>
        <w:jc w:val="both"/>
        <w:rPr>
          <w:rFonts w:ascii="Arial" w:eastAsia="Arial" w:hAnsi="Arial" w:cs="Arial"/>
          <w:sz w:val="22"/>
          <w:szCs w:val="22"/>
        </w:rPr>
      </w:pPr>
      <w:r w:rsidRPr="007D4A42">
        <w:rPr>
          <w:rFonts w:ascii="Arial" w:eastAsia="Arial" w:hAnsi="Arial" w:cs="Arial"/>
          <w:sz w:val="22"/>
          <w:szCs w:val="22"/>
        </w:rPr>
        <w:t xml:space="preserve">Este componente está orientado a financiar </w:t>
      </w:r>
      <w:r w:rsidR="00487FCB">
        <w:rPr>
          <w:rFonts w:ascii="Arial" w:eastAsia="Arial" w:hAnsi="Arial" w:cs="Arial"/>
          <w:sz w:val="22"/>
          <w:szCs w:val="22"/>
        </w:rPr>
        <w:t xml:space="preserve">diez </w:t>
      </w:r>
      <w:r w:rsidRPr="007D4A42">
        <w:rPr>
          <w:rFonts w:ascii="Arial" w:eastAsia="Arial" w:hAnsi="Arial" w:cs="Arial"/>
          <w:sz w:val="22"/>
          <w:szCs w:val="22"/>
        </w:rPr>
        <w:t>proyectos de infraestructura</w:t>
      </w:r>
      <w:r w:rsidR="00487FCB">
        <w:rPr>
          <w:rFonts w:ascii="Arial" w:eastAsia="Arial" w:hAnsi="Arial" w:cs="Arial"/>
          <w:sz w:val="22"/>
          <w:szCs w:val="22"/>
        </w:rPr>
        <w:t xml:space="preserve">: </w:t>
      </w:r>
      <w:r w:rsidR="004C65B4">
        <w:rPr>
          <w:rFonts w:ascii="Arial" w:eastAsia="Arial" w:hAnsi="Arial" w:cs="Arial"/>
          <w:sz w:val="22"/>
          <w:szCs w:val="22"/>
        </w:rPr>
        <w:t xml:space="preserve">8 </w:t>
      </w:r>
      <w:r w:rsidR="00487FCB">
        <w:rPr>
          <w:rFonts w:ascii="Arial" w:eastAsia="Arial" w:hAnsi="Arial" w:cs="Arial"/>
          <w:sz w:val="22"/>
          <w:szCs w:val="22"/>
        </w:rPr>
        <w:t xml:space="preserve">en </w:t>
      </w:r>
      <w:r w:rsidRPr="007D4A42">
        <w:rPr>
          <w:rFonts w:ascii="Arial" w:eastAsia="Arial" w:hAnsi="Arial" w:cs="Arial"/>
          <w:sz w:val="22"/>
          <w:szCs w:val="22"/>
        </w:rPr>
        <w:t xml:space="preserve">siete universidades </w:t>
      </w:r>
      <w:r w:rsidR="00CF06FE">
        <w:rPr>
          <w:rFonts w:ascii="Arial" w:eastAsia="Arial" w:hAnsi="Arial" w:cs="Arial"/>
          <w:sz w:val="22"/>
          <w:szCs w:val="22"/>
        </w:rPr>
        <w:t xml:space="preserve">públicas </w:t>
      </w:r>
      <w:r w:rsidRPr="007D4A42">
        <w:rPr>
          <w:rFonts w:ascii="Arial" w:eastAsia="Arial" w:hAnsi="Arial" w:cs="Arial"/>
          <w:sz w:val="22"/>
          <w:szCs w:val="22"/>
        </w:rPr>
        <w:t xml:space="preserve">nacionales (Universidad Nacional Mayor de San Marcos, Universidad Nacional de Piura, Universidad Nacional de San Martín, Universidad Nacional Toribio Rodríguez de Mendoza, Universidad Agraria La Molina, Universidad Nacional El Altiplano, Universidad </w:t>
      </w:r>
      <w:r w:rsidR="00274642">
        <w:rPr>
          <w:rFonts w:ascii="Arial" w:eastAsia="Arial" w:hAnsi="Arial" w:cs="Arial"/>
          <w:sz w:val="22"/>
          <w:szCs w:val="22"/>
        </w:rPr>
        <w:t>Nacional de Ingeniería) y en 2 IEST</w:t>
      </w:r>
      <w:r w:rsidRPr="007D4A42">
        <w:rPr>
          <w:rFonts w:ascii="Arial" w:eastAsia="Arial" w:hAnsi="Arial" w:cs="Arial"/>
          <w:sz w:val="22"/>
          <w:szCs w:val="22"/>
        </w:rPr>
        <w:t xml:space="preserve"> públicos (IESTP 4 de Junio de 1821, IESTP Victor Alvarez Huapaya).</w:t>
      </w:r>
    </w:p>
    <w:p w14:paraId="4AE01D90" w14:textId="77777777" w:rsidR="00BF1672" w:rsidRDefault="00BF1672" w:rsidP="00BF1672">
      <w:pPr>
        <w:pStyle w:val="ListParagraph"/>
        <w:tabs>
          <w:tab w:val="left" w:pos="360"/>
        </w:tabs>
        <w:ind w:left="0"/>
        <w:jc w:val="both"/>
        <w:rPr>
          <w:rFonts w:ascii="Arial" w:eastAsia="Arial" w:hAnsi="Arial" w:cs="Arial"/>
          <w:sz w:val="22"/>
          <w:szCs w:val="22"/>
        </w:rPr>
      </w:pPr>
    </w:p>
    <w:p w14:paraId="12DAE9BE" w14:textId="3878742C" w:rsidR="007D4A42" w:rsidRPr="007D4A42" w:rsidRDefault="007D4A42" w:rsidP="00E4455F">
      <w:pPr>
        <w:pStyle w:val="ListParagraph"/>
        <w:numPr>
          <w:ilvl w:val="0"/>
          <w:numId w:val="2"/>
        </w:numPr>
        <w:tabs>
          <w:tab w:val="left" w:pos="360"/>
        </w:tabs>
        <w:ind w:left="0" w:hanging="450"/>
        <w:jc w:val="both"/>
        <w:rPr>
          <w:rFonts w:ascii="Arial" w:eastAsia="Arial" w:hAnsi="Arial" w:cs="Arial"/>
          <w:sz w:val="22"/>
          <w:szCs w:val="22"/>
        </w:rPr>
      </w:pPr>
      <w:r w:rsidRPr="007D4A42">
        <w:rPr>
          <w:rFonts w:ascii="Arial" w:eastAsia="Arial" w:hAnsi="Arial" w:cs="Arial"/>
          <w:sz w:val="22"/>
          <w:szCs w:val="22"/>
        </w:rPr>
        <w:t xml:space="preserve">Para cuantificar el efecto del componente de </w:t>
      </w:r>
      <w:r w:rsidR="00E00C39" w:rsidRPr="007D4A42">
        <w:rPr>
          <w:rFonts w:ascii="Arial" w:eastAsia="Arial" w:hAnsi="Arial" w:cs="Arial"/>
          <w:i/>
          <w:sz w:val="22"/>
          <w:szCs w:val="22"/>
        </w:rPr>
        <w:t xml:space="preserve">Mejora de la infraestructura y equipamiento de las </w:t>
      </w:r>
      <w:r w:rsidR="00DF0E0C">
        <w:rPr>
          <w:rFonts w:ascii="Arial" w:eastAsia="Arial" w:hAnsi="Arial" w:cs="Arial"/>
          <w:i/>
          <w:sz w:val="22"/>
          <w:szCs w:val="22"/>
        </w:rPr>
        <w:t>IES</w:t>
      </w:r>
      <w:r w:rsidR="00E00C39" w:rsidRPr="007D4A42">
        <w:rPr>
          <w:rFonts w:ascii="Arial" w:eastAsia="Arial" w:hAnsi="Arial" w:cs="Arial"/>
          <w:i/>
          <w:sz w:val="22"/>
          <w:szCs w:val="22"/>
        </w:rPr>
        <w:t xml:space="preserve"> pública</w:t>
      </w:r>
      <w:r w:rsidR="00DF0E0C">
        <w:rPr>
          <w:rFonts w:ascii="Arial" w:eastAsia="Arial" w:hAnsi="Arial" w:cs="Arial"/>
          <w:i/>
          <w:sz w:val="22"/>
          <w:szCs w:val="22"/>
        </w:rPr>
        <w:t>s</w:t>
      </w:r>
      <w:r w:rsidR="00E00C39" w:rsidRPr="007D4A42">
        <w:rPr>
          <w:rFonts w:ascii="Arial" w:eastAsia="Arial" w:hAnsi="Arial" w:cs="Arial"/>
          <w:sz w:val="22"/>
          <w:szCs w:val="22"/>
        </w:rPr>
        <w:t xml:space="preserve"> </w:t>
      </w:r>
      <w:r w:rsidRPr="002E612F">
        <w:rPr>
          <w:rFonts w:ascii="Arial" w:eastAsia="Arial" w:hAnsi="Arial" w:cs="Arial"/>
          <w:sz w:val="22"/>
          <w:szCs w:val="22"/>
        </w:rPr>
        <w:t>sobr</w:t>
      </w:r>
      <w:r>
        <w:rPr>
          <w:rFonts w:ascii="Arial" w:eastAsia="Arial" w:hAnsi="Arial" w:cs="Arial"/>
          <w:sz w:val="22"/>
          <w:szCs w:val="22"/>
        </w:rPr>
        <w:t>e los ingresos de los egresados</w:t>
      </w:r>
      <w:r w:rsidRPr="002E612F">
        <w:rPr>
          <w:rFonts w:ascii="Arial" w:eastAsia="Arial" w:hAnsi="Arial" w:cs="Arial"/>
          <w:sz w:val="22"/>
          <w:szCs w:val="22"/>
        </w:rPr>
        <w:t xml:space="preserve"> de las IES públicas</w:t>
      </w:r>
      <w:r>
        <w:rPr>
          <w:rFonts w:ascii="Arial" w:eastAsia="Arial" w:hAnsi="Arial" w:cs="Arial"/>
          <w:sz w:val="22"/>
          <w:szCs w:val="22"/>
        </w:rPr>
        <w:t xml:space="preserve"> beneficiadas, </w:t>
      </w:r>
      <w:r w:rsidRPr="002E612F">
        <w:rPr>
          <w:rFonts w:ascii="Arial" w:eastAsia="Arial" w:hAnsi="Arial" w:cs="Arial"/>
          <w:sz w:val="22"/>
          <w:szCs w:val="22"/>
        </w:rPr>
        <w:t>se asume</w:t>
      </w:r>
      <w:r>
        <w:rPr>
          <w:rFonts w:ascii="Arial" w:eastAsia="Arial" w:hAnsi="Arial" w:cs="Arial"/>
          <w:sz w:val="22"/>
          <w:szCs w:val="22"/>
        </w:rPr>
        <w:t xml:space="preserve"> que este se da</w:t>
      </w:r>
      <w:r w:rsidR="00E00C39" w:rsidRPr="007D4A42">
        <w:rPr>
          <w:rFonts w:ascii="Arial" w:eastAsia="Arial" w:hAnsi="Arial" w:cs="Arial"/>
          <w:sz w:val="22"/>
          <w:szCs w:val="22"/>
        </w:rPr>
        <w:t xml:space="preserve"> </w:t>
      </w:r>
      <w:r w:rsidR="00CF06FE">
        <w:rPr>
          <w:rFonts w:ascii="Arial" w:eastAsia="Arial" w:hAnsi="Arial" w:cs="Arial"/>
          <w:sz w:val="22"/>
          <w:szCs w:val="22"/>
        </w:rPr>
        <w:t xml:space="preserve">directamente </w:t>
      </w:r>
      <w:r w:rsidR="00E00C39" w:rsidRPr="007D4A42">
        <w:rPr>
          <w:rFonts w:ascii="Arial" w:eastAsia="Arial" w:hAnsi="Arial" w:cs="Arial"/>
          <w:sz w:val="22"/>
          <w:szCs w:val="22"/>
        </w:rPr>
        <w:t>a través del impacto positivo en el aprendizaje del estudiante</w:t>
      </w:r>
      <w:r w:rsidR="00964A6A">
        <w:rPr>
          <w:rFonts w:ascii="Arial" w:eastAsia="Arial" w:hAnsi="Arial" w:cs="Arial"/>
          <w:sz w:val="22"/>
          <w:szCs w:val="22"/>
        </w:rPr>
        <w:t xml:space="preserve"> egresado de las IES públicas beneficiadas</w:t>
      </w:r>
      <w:r w:rsidR="00964A6A">
        <w:rPr>
          <w:rStyle w:val="FootnoteReference"/>
          <w:rFonts w:ascii="Arial" w:eastAsia="Arial" w:hAnsi="Arial" w:cs="Arial"/>
          <w:sz w:val="22"/>
          <w:szCs w:val="22"/>
        </w:rPr>
        <w:footnoteReference w:id="12"/>
      </w:r>
      <w:r w:rsidR="00E00C39" w:rsidRPr="007D4A42">
        <w:rPr>
          <w:rFonts w:ascii="Arial" w:eastAsia="Arial" w:hAnsi="Arial" w:cs="Arial"/>
          <w:sz w:val="22"/>
          <w:szCs w:val="22"/>
        </w:rPr>
        <w:t xml:space="preserve">, mayor empleabilidad y posterior mayor ingreso laboral. </w:t>
      </w:r>
    </w:p>
    <w:p w14:paraId="7345DBFD" w14:textId="77777777" w:rsidR="007D4A42" w:rsidRPr="007D4A42" w:rsidRDefault="007D4A42" w:rsidP="007D4A42">
      <w:pPr>
        <w:pStyle w:val="ListParagraph"/>
        <w:rPr>
          <w:rFonts w:ascii="Arial" w:eastAsia="Arial" w:hAnsi="Arial" w:cs="Arial"/>
          <w:sz w:val="22"/>
          <w:szCs w:val="22"/>
        </w:rPr>
      </w:pPr>
    </w:p>
    <w:p w14:paraId="5A155B11" w14:textId="77777777" w:rsidR="003915EC" w:rsidRDefault="001F774D" w:rsidP="00E4455F">
      <w:pPr>
        <w:pStyle w:val="ListParagraph"/>
        <w:numPr>
          <w:ilvl w:val="0"/>
          <w:numId w:val="2"/>
        </w:numPr>
        <w:tabs>
          <w:tab w:val="left" w:pos="360"/>
        </w:tabs>
        <w:ind w:left="0" w:hanging="450"/>
        <w:jc w:val="both"/>
        <w:rPr>
          <w:rFonts w:ascii="Arial" w:eastAsia="Arial" w:hAnsi="Arial" w:cs="Arial"/>
          <w:sz w:val="22"/>
          <w:szCs w:val="22"/>
        </w:rPr>
      </w:pPr>
      <w:r>
        <w:rPr>
          <w:rFonts w:ascii="Arial" w:eastAsia="Arial" w:hAnsi="Arial" w:cs="Arial"/>
          <w:sz w:val="22"/>
          <w:szCs w:val="22"/>
        </w:rPr>
        <w:t>Un</w:t>
      </w:r>
      <w:r w:rsidR="00E00C39" w:rsidRPr="007D4A42">
        <w:rPr>
          <w:rFonts w:ascii="Arial" w:eastAsia="Arial" w:hAnsi="Arial" w:cs="Arial"/>
          <w:sz w:val="22"/>
          <w:szCs w:val="22"/>
        </w:rPr>
        <w:t xml:space="preserve"> importante número de estudios identifican que diversos factores de la infraestructura tienen un efecto positivo en la educación</w:t>
      </w:r>
      <w:r>
        <w:rPr>
          <w:rFonts w:ascii="Arial" w:eastAsia="Arial" w:hAnsi="Arial" w:cs="Arial"/>
          <w:sz w:val="22"/>
          <w:szCs w:val="22"/>
        </w:rPr>
        <w:t xml:space="preserve"> y aprendizaje de los estudiantes</w:t>
      </w:r>
      <w:r w:rsidR="00E00C39" w:rsidRPr="007D4A42">
        <w:rPr>
          <w:rFonts w:ascii="Arial" w:eastAsia="Arial" w:hAnsi="Arial" w:cs="Arial"/>
          <w:sz w:val="22"/>
          <w:szCs w:val="22"/>
        </w:rPr>
        <w:t>, como: iluminación, limpieza, temperatura, densidad de la población de estudiantes, acústica, color de los muros y otros factores. En la misma línea, el Banco de Desarrollo de América Latina (CAF), sostiene que contar con aulas y espacios de aprendizaje en buen estado es determinante en el momento de lograr que los alumnos obtengan los resultados académicos esperados. En otras palabras, el estado de los ambientes educativos incide directamente en el desempeño y capacidades de los alumnos y por ende su productividad y posterior desarrollo económico del país. Por esta razón, las inversiones en infraestructura educativa tienen un papel fundamental para solucionar el problema de acceso a servicios educativos de calidad de los estudiantes y para mejorar su rendimiento y mayor accesibilidad al mercado laboral, ingresos y desarrollo económico.</w:t>
      </w:r>
    </w:p>
    <w:p w14:paraId="00537339" w14:textId="77777777" w:rsidR="003915EC" w:rsidRPr="003915EC" w:rsidRDefault="003915EC" w:rsidP="003915EC">
      <w:pPr>
        <w:pStyle w:val="ListParagraph"/>
        <w:rPr>
          <w:rFonts w:ascii="Arial" w:eastAsia="Arial" w:hAnsi="Arial" w:cs="Arial"/>
          <w:sz w:val="22"/>
          <w:szCs w:val="22"/>
        </w:rPr>
      </w:pPr>
    </w:p>
    <w:p w14:paraId="1C77EF3B" w14:textId="77777777" w:rsidR="00910BE3" w:rsidRDefault="003915EC" w:rsidP="00E4455F">
      <w:pPr>
        <w:pStyle w:val="ListParagraph"/>
        <w:numPr>
          <w:ilvl w:val="0"/>
          <w:numId w:val="2"/>
        </w:numPr>
        <w:tabs>
          <w:tab w:val="left" w:pos="360"/>
        </w:tabs>
        <w:ind w:left="0" w:hanging="450"/>
        <w:jc w:val="both"/>
        <w:rPr>
          <w:rFonts w:ascii="Arial" w:eastAsia="Arial" w:hAnsi="Arial" w:cs="Arial"/>
          <w:sz w:val="22"/>
          <w:szCs w:val="22"/>
        </w:rPr>
      </w:pPr>
      <w:r>
        <w:rPr>
          <w:rFonts w:ascii="Arial" w:eastAsia="Arial" w:hAnsi="Arial" w:cs="Arial"/>
          <w:sz w:val="22"/>
          <w:szCs w:val="22"/>
        </w:rPr>
        <w:lastRenderedPageBreak/>
        <w:t xml:space="preserve">En términos monetarios, se calcula </w:t>
      </w:r>
      <w:r w:rsidR="00910BE3">
        <w:rPr>
          <w:rFonts w:ascii="Arial" w:eastAsia="Arial" w:hAnsi="Arial" w:cs="Arial"/>
          <w:sz w:val="22"/>
          <w:szCs w:val="22"/>
        </w:rPr>
        <w:t xml:space="preserve">el ingreso de los egresados de IES públicas beneficiadas luego del efecto positivo del componente </w:t>
      </w:r>
      <w:r>
        <w:rPr>
          <w:rFonts w:ascii="Arial" w:eastAsia="Arial" w:hAnsi="Arial" w:cs="Arial"/>
          <w:sz w:val="22"/>
          <w:szCs w:val="22"/>
        </w:rPr>
        <w:t>y se multiplica por el número de egresados beneficiados</w:t>
      </w:r>
      <w:r w:rsidR="00910BE3">
        <w:rPr>
          <w:rFonts w:ascii="Arial" w:eastAsia="Arial" w:hAnsi="Arial" w:cs="Arial"/>
          <w:sz w:val="22"/>
          <w:szCs w:val="22"/>
        </w:rPr>
        <w:t xml:space="preserve">. </w:t>
      </w:r>
      <w:r w:rsidRPr="00910BE3">
        <w:rPr>
          <w:rFonts w:ascii="Arial" w:eastAsia="Arial" w:hAnsi="Arial" w:cs="Arial"/>
          <w:sz w:val="22"/>
          <w:szCs w:val="22"/>
        </w:rPr>
        <w:t xml:space="preserve">Ello da una aproximación en términos de mejora salarial </w:t>
      </w:r>
      <w:r w:rsidR="00910BE3">
        <w:rPr>
          <w:rFonts w:ascii="Arial" w:eastAsia="Arial" w:hAnsi="Arial" w:cs="Arial"/>
          <w:sz w:val="22"/>
          <w:szCs w:val="22"/>
        </w:rPr>
        <w:t xml:space="preserve">a través de la implementación de este componente </w:t>
      </w:r>
      <w:r w:rsidRPr="00910BE3">
        <w:rPr>
          <w:rFonts w:ascii="Arial" w:eastAsia="Arial" w:hAnsi="Arial" w:cs="Arial"/>
          <w:sz w:val="22"/>
          <w:szCs w:val="22"/>
        </w:rPr>
        <w:t>(ver Cuadro A7)</w:t>
      </w:r>
      <w:r w:rsidR="00910BE3">
        <w:rPr>
          <w:rFonts w:ascii="Arial" w:eastAsia="Arial" w:hAnsi="Arial" w:cs="Arial"/>
          <w:sz w:val="22"/>
          <w:szCs w:val="22"/>
        </w:rPr>
        <w:t>.</w:t>
      </w:r>
    </w:p>
    <w:p w14:paraId="402173A4" w14:textId="77777777" w:rsidR="00910BE3" w:rsidRPr="00910BE3" w:rsidRDefault="00910BE3" w:rsidP="00910BE3">
      <w:pPr>
        <w:pStyle w:val="ListParagraph"/>
        <w:rPr>
          <w:rFonts w:ascii="Arial" w:eastAsia="Arial" w:hAnsi="Arial" w:cs="Arial"/>
          <w:sz w:val="22"/>
          <w:szCs w:val="22"/>
        </w:rPr>
      </w:pPr>
    </w:p>
    <w:p w14:paraId="5E5E2E32" w14:textId="77777777" w:rsidR="00BF1672" w:rsidRDefault="00910BE3" w:rsidP="00E4455F">
      <w:pPr>
        <w:pStyle w:val="ListParagraph"/>
        <w:numPr>
          <w:ilvl w:val="0"/>
          <w:numId w:val="2"/>
        </w:numPr>
        <w:tabs>
          <w:tab w:val="left" w:pos="360"/>
        </w:tabs>
        <w:ind w:left="0" w:hanging="450"/>
        <w:jc w:val="both"/>
        <w:rPr>
          <w:rFonts w:ascii="Arial" w:eastAsia="Arial" w:hAnsi="Arial" w:cs="Arial"/>
          <w:sz w:val="22"/>
          <w:szCs w:val="22"/>
        </w:rPr>
      </w:pPr>
      <w:r w:rsidRPr="00910BE3">
        <w:rPr>
          <w:rFonts w:ascii="Arial" w:eastAsia="Arial" w:hAnsi="Arial" w:cs="Arial"/>
          <w:sz w:val="22"/>
          <w:szCs w:val="22"/>
        </w:rPr>
        <w:t>Para construir esta aproximación, primero es necesario cuantificar e</w:t>
      </w:r>
      <w:r w:rsidR="00E00C39" w:rsidRPr="00910BE3">
        <w:rPr>
          <w:rFonts w:ascii="Arial" w:eastAsia="Arial" w:hAnsi="Arial" w:cs="Arial"/>
          <w:sz w:val="22"/>
          <w:szCs w:val="22"/>
        </w:rPr>
        <w:t xml:space="preserve">l impacto de la dotación de infraestructura de calidad </w:t>
      </w:r>
      <w:r w:rsidRPr="00910BE3">
        <w:rPr>
          <w:rFonts w:ascii="Arial" w:eastAsia="Arial" w:hAnsi="Arial" w:cs="Arial"/>
          <w:sz w:val="22"/>
          <w:szCs w:val="22"/>
        </w:rPr>
        <w:t xml:space="preserve">sobre los ingresos de los egresados de las IES </w:t>
      </w:r>
      <w:r>
        <w:rPr>
          <w:rFonts w:ascii="Arial" w:eastAsia="Arial" w:hAnsi="Arial" w:cs="Arial"/>
          <w:sz w:val="22"/>
          <w:szCs w:val="22"/>
        </w:rPr>
        <w:t xml:space="preserve">públicas </w:t>
      </w:r>
      <w:r w:rsidRPr="00910BE3">
        <w:rPr>
          <w:rFonts w:ascii="Arial" w:eastAsia="Arial" w:hAnsi="Arial" w:cs="Arial"/>
          <w:sz w:val="22"/>
          <w:szCs w:val="22"/>
        </w:rPr>
        <w:t xml:space="preserve">beneficiadas. Para ello, </w:t>
      </w:r>
      <w:r>
        <w:rPr>
          <w:rFonts w:ascii="Arial" w:eastAsia="Arial" w:hAnsi="Arial" w:cs="Arial"/>
          <w:sz w:val="22"/>
          <w:szCs w:val="22"/>
        </w:rPr>
        <w:t>este efecto s</w:t>
      </w:r>
      <w:r w:rsidR="00BF1672">
        <w:rPr>
          <w:rFonts w:ascii="Arial" w:eastAsia="Arial" w:hAnsi="Arial" w:cs="Arial"/>
          <w:sz w:val="22"/>
          <w:szCs w:val="22"/>
        </w:rPr>
        <w:t>e considera en 15</w:t>
      </w:r>
      <w:r>
        <w:rPr>
          <w:rFonts w:ascii="Arial" w:eastAsia="Arial" w:hAnsi="Arial" w:cs="Arial"/>
          <w:sz w:val="22"/>
          <w:szCs w:val="22"/>
        </w:rPr>
        <w:t xml:space="preserve">%, porcentaje que </w:t>
      </w:r>
      <w:r w:rsidR="00E00C39" w:rsidRPr="00910BE3">
        <w:rPr>
          <w:rFonts w:ascii="Arial" w:eastAsia="Arial" w:hAnsi="Arial" w:cs="Arial"/>
          <w:sz w:val="22"/>
          <w:szCs w:val="22"/>
        </w:rPr>
        <w:t>es un promedio de diversos estudios realizados a programas similares a distintos niveles de educación (Calderón y Servén, 2004; Calderón y Chong, 2004, Esfahan y Ramírez, 2003; De La Fuente y Vives, 2015, entre otros).</w:t>
      </w:r>
    </w:p>
    <w:p w14:paraId="5E1F2947" w14:textId="77777777" w:rsidR="00BF1672" w:rsidRPr="00BF1672" w:rsidRDefault="00BF1672" w:rsidP="00BF1672">
      <w:pPr>
        <w:pStyle w:val="ListParagraph"/>
        <w:rPr>
          <w:rFonts w:ascii="Arial" w:eastAsia="Arial" w:hAnsi="Arial" w:cs="Arial"/>
          <w:sz w:val="22"/>
          <w:szCs w:val="22"/>
        </w:rPr>
      </w:pPr>
    </w:p>
    <w:p w14:paraId="6C7F5EF5" w14:textId="2E4705E3" w:rsidR="00964A6A" w:rsidRDefault="00BF1672" w:rsidP="00E4455F">
      <w:pPr>
        <w:pStyle w:val="ListParagraph"/>
        <w:numPr>
          <w:ilvl w:val="0"/>
          <w:numId w:val="2"/>
        </w:numPr>
        <w:tabs>
          <w:tab w:val="left" w:pos="360"/>
        </w:tabs>
        <w:ind w:left="0" w:hanging="450"/>
        <w:jc w:val="both"/>
        <w:rPr>
          <w:rFonts w:ascii="Arial" w:eastAsia="Arial" w:hAnsi="Arial" w:cs="Arial"/>
          <w:sz w:val="22"/>
          <w:szCs w:val="22"/>
        </w:rPr>
      </w:pPr>
      <w:r>
        <w:rPr>
          <w:rFonts w:ascii="Arial" w:eastAsia="Arial" w:hAnsi="Arial" w:cs="Arial"/>
          <w:sz w:val="22"/>
          <w:szCs w:val="22"/>
        </w:rPr>
        <w:t>Segundo, es necesario contar con información sobre l</w:t>
      </w:r>
      <w:r w:rsidR="00D739CD">
        <w:rPr>
          <w:rFonts w:ascii="Arial" w:eastAsia="Arial" w:hAnsi="Arial" w:cs="Arial"/>
          <w:sz w:val="22"/>
          <w:szCs w:val="22"/>
        </w:rPr>
        <w:t>os ingresos actuales de las IES</w:t>
      </w:r>
      <w:r>
        <w:rPr>
          <w:rFonts w:ascii="Arial" w:eastAsia="Arial" w:hAnsi="Arial" w:cs="Arial"/>
          <w:sz w:val="22"/>
          <w:szCs w:val="22"/>
        </w:rPr>
        <w:t xml:space="preserve"> públicas beneficiadas</w:t>
      </w:r>
      <w:r w:rsidRPr="00BF1672">
        <w:rPr>
          <w:rFonts w:ascii="Arial" w:eastAsia="Arial" w:hAnsi="Arial" w:cs="Arial"/>
          <w:sz w:val="22"/>
          <w:szCs w:val="22"/>
        </w:rPr>
        <w:t>. Según el portal Ponte En Carrera del MINEDU (2016), el salario promedio de egresados de las universidades públicas</w:t>
      </w:r>
      <w:r w:rsidR="00264C53">
        <w:rPr>
          <w:rFonts w:ascii="Arial" w:eastAsia="Arial" w:hAnsi="Arial" w:cs="Arial"/>
          <w:sz w:val="22"/>
          <w:szCs w:val="22"/>
        </w:rPr>
        <w:t xml:space="preserve"> que se intervendrán fue US$ 864</w:t>
      </w:r>
      <w:r w:rsidRPr="00BF1672">
        <w:rPr>
          <w:rFonts w:ascii="Arial" w:eastAsia="Arial" w:hAnsi="Arial" w:cs="Arial"/>
          <w:sz w:val="22"/>
          <w:szCs w:val="22"/>
        </w:rPr>
        <w:t>, mientras que en el caso de los egr</w:t>
      </w:r>
      <w:r w:rsidR="009C1DA2">
        <w:rPr>
          <w:rFonts w:ascii="Arial" w:eastAsia="Arial" w:hAnsi="Arial" w:cs="Arial"/>
          <w:sz w:val="22"/>
          <w:szCs w:val="22"/>
        </w:rPr>
        <w:t xml:space="preserve">esados de los dos IEST públicos, al no disponer información en la fuente mencionada, se asume el promedio del ingreso de egresados de IEST públicos, el cual </w:t>
      </w:r>
      <w:r w:rsidRPr="00BF1672">
        <w:rPr>
          <w:rFonts w:ascii="Arial" w:eastAsia="Arial" w:hAnsi="Arial" w:cs="Arial"/>
          <w:sz w:val="22"/>
          <w:szCs w:val="22"/>
        </w:rPr>
        <w:t>fue US$ 586.</w:t>
      </w:r>
      <w:r w:rsidR="005E2347">
        <w:rPr>
          <w:rFonts w:ascii="Arial" w:eastAsia="Arial" w:hAnsi="Arial" w:cs="Arial"/>
          <w:sz w:val="22"/>
          <w:szCs w:val="22"/>
        </w:rPr>
        <w:t xml:space="preserve"> </w:t>
      </w:r>
      <w:r w:rsidR="00264C53">
        <w:rPr>
          <w:rFonts w:ascii="Arial" w:eastAsia="Arial" w:hAnsi="Arial" w:cs="Arial"/>
          <w:sz w:val="22"/>
          <w:szCs w:val="22"/>
        </w:rPr>
        <w:t>Asimismo,</w:t>
      </w:r>
      <w:r w:rsidR="00873353">
        <w:rPr>
          <w:rFonts w:ascii="Arial" w:eastAsia="Arial" w:hAnsi="Arial" w:cs="Arial"/>
          <w:sz w:val="22"/>
          <w:szCs w:val="22"/>
        </w:rPr>
        <w:t xml:space="preserve"> al igual del cálculo de beneficios en el punto anterior</w:t>
      </w:r>
      <w:r w:rsidR="00D739CD">
        <w:rPr>
          <w:rFonts w:ascii="Arial" w:eastAsia="Arial" w:hAnsi="Arial" w:cs="Arial"/>
          <w:sz w:val="22"/>
          <w:szCs w:val="22"/>
        </w:rPr>
        <w:t xml:space="preserve"> se considerará que estos ingresos crecen a una tasa promedio de 3% durante todo el horizonte de evaluación</w:t>
      </w:r>
      <w:r w:rsidR="00873353">
        <w:rPr>
          <w:rFonts w:ascii="Arial" w:eastAsia="Arial" w:hAnsi="Arial" w:cs="Arial"/>
          <w:sz w:val="22"/>
          <w:szCs w:val="22"/>
        </w:rPr>
        <w:t>.</w:t>
      </w:r>
    </w:p>
    <w:p w14:paraId="6D6AD8DC" w14:textId="77777777" w:rsidR="00964A6A" w:rsidRPr="00964A6A" w:rsidRDefault="00964A6A" w:rsidP="00964A6A">
      <w:pPr>
        <w:pStyle w:val="ListParagraph"/>
        <w:rPr>
          <w:rFonts w:ascii="Arial" w:eastAsia="Arial" w:hAnsi="Arial" w:cs="Arial"/>
          <w:sz w:val="22"/>
          <w:szCs w:val="22"/>
        </w:rPr>
      </w:pPr>
    </w:p>
    <w:p w14:paraId="370E5381" w14:textId="657CBED7" w:rsidR="007D4A42" w:rsidRPr="00964A6A" w:rsidRDefault="00964A6A" w:rsidP="00E4455F">
      <w:pPr>
        <w:pStyle w:val="ListParagraph"/>
        <w:numPr>
          <w:ilvl w:val="0"/>
          <w:numId w:val="2"/>
        </w:numPr>
        <w:tabs>
          <w:tab w:val="left" w:pos="360"/>
        </w:tabs>
        <w:ind w:left="0" w:hanging="450"/>
        <w:jc w:val="both"/>
        <w:rPr>
          <w:rFonts w:ascii="Arial" w:eastAsia="Arial" w:hAnsi="Arial" w:cs="Arial"/>
          <w:sz w:val="22"/>
          <w:szCs w:val="22"/>
        </w:rPr>
      </w:pPr>
      <w:r>
        <w:rPr>
          <w:rFonts w:ascii="Arial" w:eastAsia="Arial" w:hAnsi="Arial" w:cs="Arial"/>
          <w:sz w:val="22"/>
          <w:szCs w:val="22"/>
        </w:rPr>
        <w:t xml:space="preserve">Finalmente, es necesario conocer el número de egresados de las IES públicas beneficiadas. </w:t>
      </w:r>
      <w:r w:rsidR="000C35F9" w:rsidRPr="00964A6A">
        <w:rPr>
          <w:rFonts w:ascii="Arial" w:eastAsia="Arial" w:hAnsi="Arial" w:cs="Arial"/>
          <w:sz w:val="22"/>
          <w:szCs w:val="22"/>
        </w:rPr>
        <w:t xml:space="preserve">Según la </w:t>
      </w:r>
      <w:r w:rsidR="00487FCB">
        <w:rPr>
          <w:rFonts w:ascii="Arial" w:eastAsia="Arial" w:hAnsi="Arial" w:cs="Arial"/>
          <w:sz w:val="22"/>
          <w:szCs w:val="22"/>
        </w:rPr>
        <w:t>SUNEDU</w:t>
      </w:r>
      <w:r w:rsidR="000C35F9" w:rsidRPr="00964A6A">
        <w:rPr>
          <w:rFonts w:ascii="Arial" w:eastAsia="Arial" w:hAnsi="Arial" w:cs="Arial"/>
          <w:sz w:val="22"/>
          <w:szCs w:val="22"/>
        </w:rPr>
        <w:t xml:space="preserve">, el número de egresados de las siete universidades públicas que se intervendrán </w:t>
      </w:r>
      <w:r w:rsidR="00A20458">
        <w:rPr>
          <w:rFonts w:ascii="Arial" w:eastAsia="Arial" w:hAnsi="Arial" w:cs="Arial"/>
          <w:sz w:val="22"/>
          <w:szCs w:val="22"/>
        </w:rPr>
        <w:t xml:space="preserve">a través de ocho proyectos de inversión </w:t>
      </w:r>
      <w:r w:rsidR="000C35F9" w:rsidRPr="00964A6A">
        <w:rPr>
          <w:rFonts w:ascii="Arial" w:eastAsia="Arial" w:hAnsi="Arial" w:cs="Arial"/>
          <w:sz w:val="22"/>
          <w:szCs w:val="22"/>
        </w:rPr>
        <w:t xml:space="preserve">fue 150,469 en el 2016 y para guardar coherencia con la tasa de crecimiento de egresados de universidades públicas a nivel nacional, se asume también una tasa de crecimiento constante de 5% para el horizonte de evaluación. Por otro lado, según el Censo Escolar del </w:t>
      </w:r>
      <w:r w:rsidR="00487FCB">
        <w:rPr>
          <w:rFonts w:ascii="Arial" w:eastAsia="Arial" w:hAnsi="Arial" w:cs="Arial"/>
          <w:sz w:val="22"/>
          <w:szCs w:val="22"/>
        </w:rPr>
        <w:t>MINEDU</w:t>
      </w:r>
      <w:r w:rsidR="000C35F9" w:rsidRPr="00964A6A">
        <w:rPr>
          <w:rFonts w:ascii="Arial" w:eastAsia="Arial" w:hAnsi="Arial" w:cs="Arial"/>
          <w:sz w:val="22"/>
          <w:szCs w:val="22"/>
        </w:rPr>
        <w:t xml:space="preserve">, el número de egresados de las dos </w:t>
      </w:r>
      <w:r w:rsidR="00274642">
        <w:rPr>
          <w:rFonts w:ascii="Arial" w:eastAsia="Arial" w:hAnsi="Arial" w:cs="Arial"/>
          <w:sz w:val="22"/>
          <w:szCs w:val="22"/>
        </w:rPr>
        <w:t>IEST</w:t>
      </w:r>
      <w:r w:rsidR="000C35F9" w:rsidRPr="00964A6A">
        <w:rPr>
          <w:rFonts w:ascii="Arial" w:eastAsia="Arial" w:hAnsi="Arial" w:cs="Arial"/>
          <w:sz w:val="22"/>
          <w:szCs w:val="22"/>
        </w:rPr>
        <w:t xml:space="preserve"> públicas que se intervendrán fue 11,639 el 2016, y así como para el caso de la tasa de crecimiento agregada de egresados de IEST públicos, se asume una tasa de crecimiento constante igual a 7% para el horizonte de evaluación</w:t>
      </w:r>
      <w:r w:rsidR="007D4A42" w:rsidRPr="00964A6A">
        <w:rPr>
          <w:rFonts w:ascii="Arial" w:eastAsia="Arial" w:hAnsi="Arial" w:cs="Arial"/>
          <w:sz w:val="22"/>
          <w:szCs w:val="22"/>
        </w:rPr>
        <w:t>.</w:t>
      </w:r>
    </w:p>
    <w:p w14:paraId="3BA63EC6" w14:textId="77777777" w:rsidR="007D4A42" w:rsidRPr="000C5C3B" w:rsidRDefault="007D4A42" w:rsidP="00964A6A">
      <w:pPr>
        <w:rPr>
          <w:rFonts w:ascii="Arial" w:eastAsia="Arial" w:hAnsi="Arial" w:cs="Arial"/>
          <w:sz w:val="22"/>
          <w:szCs w:val="22"/>
          <w:lang w:val="es-ES_tradnl"/>
        </w:rPr>
      </w:pPr>
    </w:p>
    <w:p w14:paraId="73C313A2" w14:textId="77777777" w:rsidR="008A2A84" w:rsidRPr="001B2BB5" w:rsidRDefault="001B2BB5" w:rsidP="00C440BD">
      <w:pPr>
        <w:numPr>
          <w:ilvl w:val="0"/>
          <w:numId w:val="1"/>
        </w:numPr>
        <w:ind w:left="0"/>
        <w:contextualSpacing/>
        <w:jc w:val="both"/>
        <w:rPr>
          <w:rFonts w:ascii="Arial" w:eastAsia="Arial" w:hAnsi="Arial" w:cs="Arial"/>
          <w:b/>
        </w:rPr>
      </w:pPr>
      <w:r w:rsidRPr="001B2BB5">
        <w:rPr>
          <w:rFonts w:ascii="Arial" w:eastAsia="Arial" w:hAnsi="Arial" w:cs="Arial"/>
          <w:b/>
        </w:rPr>
        <w:t>Costos Económicos</w:t>
      </w:r>
    </w:p>
    <w:p w14:paraId="1DD528A9" w14:textId="77777777" w:rsidR="008A2A84" w:rsidRPr="00CE7AB7" w:rsidRDefault="001B2BB5" w:rsidP="00C440BD">
      <w:pPr>
        <w:jc w:val="both"/>
        <w:rPr>
          <w:rFonts w:ascii="Arial" w:eastAsia="Arial" w:hAnsi="Arial" w:cs="Arial"/>
          <w:b/>
          <w:highlight w:val="yellow"/>
          <w:lang w:val="es-ES_tradnl"/>
        </w:rPr>
      </w:pPr>
      <w:r w:rsidRPr="00CE7AB7">
        <w:rPr>
          <w:rFonts w:ascii="Arial" w:eastAsia="Arial" w:hAnsi="Arial" w:cs="Arial"/>
          <w:b/>
          <w:highlight w:val="yellow"/>
          <w:lang w:val="es-ES_tradnl"/>
        </w:rPr>
        <w:t xml:space="preserve"> </w:t>
      </w:r>
    </w:p>
    <w:p w14:paraId="1585AA26" w14:textId="77777777" w:rsidR="008A2A84" w:rsidRDefault="001B2BB5" w:rsidP="00E4455F">
      <w:pPr>
        <w:pStyle w:val="ListParagraph"/>
        <w:numPr>
          <w:ilvl w:val="0"/>
          <w:numId w:val="2"/>
        </w:numPr>
        <w:tabs>
          <w:tab w:val="left" w:pos="360"/>
        </w:tabs>
        <w:ind w:left="0" w:hanging="450"/>
        <w:jc w:val="both"/>
        <w:rPr>
          <w:rFonts w:ascii="Arial" w:eastAsia="Arial" w:hAnsi="Arial" w:cs="Arial"/>
          <w:sz w:val="22"/>
          <w:szCs w:val="22"/>
        </w:rPr>
      </w:pPr>
      <w:r w:rsidRPr="00C440BD">
        <w:rPr>
          <w:rFonts w:ascii="Arial" w:eastAsia="Arial" w:hAnsi="Arial" w:cs="Arial"/>
          <w:sz w:val="22"/>
          <w:szCs w:val="22"/>
        </w:rPr>
        <w:t xml:space="preserve">Para el análisis de costos del programa se considerarán los costos directos asociados a la operación y los costos </w:t>
      </w:r>
      <w:r w:rsidR="004A7655">
        <w:rPr>
          <w:rFonts w:ascii="Arial" w:eastAsia="Arial" w:hAnsi="Arial" w:cs="Arial"/>
          <w:sz w:val="22"/>
          <w:szCs w:val="22"/>
        </w:rPr>
        <w:t>administrativos</w:t>
      </w:r>
      <w:r w:rsidRPr="00C440BD">
        <w:rPr>
          <w:rFonts w:ascii="Arial" w:eastAsia="Arial" w:hAnsi="Arial" w:cs="Arial"/>
          <w:sz w:val="22"/>
          <w:szCs w:val="22"/>
        </w:rPr>
        <w:t xml:space="preserve"> relacionados con la provisión del programa.</w:t>
      </w:r>
    </w:p>
    <w:p w14:paraId="43DD239C" w14:textId="77777777" w:rsidR="00906191" w:rsidRPr="00C440BD" w:rsidRDefault="00906191" w:rsidP="000C5C3B">
      <w:pPr>
        <w:pStyle w:val="ListParagraph"/>
        <w:tabs>
          <w:tab w:val="left" w:pos="360"/>
        </w:tabs>
        <w:ind w:left="0"/>
        <w:jc w:val="both"/>
        <w:rPr>
          <w:rFonts w:ascii="Arial" w:eastAsia="Arial" w:hAnsi="Arial" w:cs="Arial"/>
          <w:sz w:val="22"/>
          <w:szCs w:val="22"/>
        </w:rPr>
      </w:pPr>
    </w:p>
    <w:p w14:paraId="15ABED2B" w14:textId="14990F00" w:rsidR="008A2A84" w:rsidRPr="00DF0E0C" w:rsidRDefault="001B2BB5" w:rsidP="00E4455F">
      <w:pPr>
        <w:pStyle w:val="ListParagraph"/>
        <w:numPr>
          <w:ilvl w:val="0"/>
          <w:numId w:val="2"/>
        </w:numPr>
        <w:tabs>
          <w:tab w:val="left" w:pos="360"/>
        </w:tabs>
        <w:ind w:left="0" w:hanging="450"/>
        <w:jc w:val="both"/>
        <w:rPr>
          <w:rFonts w:ascii="Arial" w:eastAsia="Arial" w:hAnsi="Arial" w:cs="Arial"/>
          <w:sz w:val="22"/>
          <w:szCs w:val="22"/>
        </w:rPr>
      </w:pPr>
      <w:r w:rsidRPr="00906191">
        <w:rPr>
          <w:rFonts w:ascii="Arial" w:eastAsia="Arial" w:hAnsi="Arial" w:cs="Arial"/>
          <w:sz w:val="22"/>
          <w:szCs w:val="22"/>
        </w:rPr>
        <w:t>En cuanto a los costos directos</w:t>
      </w:r>
      <w:r w:rsidR="007E36BF" w:rsidRPr="00906191">
        <w:rPr>
          <w:rFonts w:ascii="Arial" w:eastAsia="Arial" w:hAnsi="Arial" w:cs="Arial"/>
          <w:sz w:val="22"/>
          <w:szCs w:val="22"/>
        </w:rPr>
        <w:t xml:space="preserve"> de operación</w:t>
      </w:r>
      <w:r w:rsidRPr="00906191">
        <w:rPr>
          <w:rFonts w:ascii="Arial" w:eastAsia="Arial" w:hAnsi="Arial" w:cs="Arial"/>
          <w:sz w:val="22"/>
          <w:szCs w:val="22"/>
        </w:rPr>
        <w:t xml:space="preserve">, se toma en cuenta </w:t>
      </w:r>
      <w:r w:rsidR="0026194B" w:rsidRPr="00906191">
        <w:rPr>
          <w:rFonts w:ascii="Arial" w:eastAsia="Arial" w:hAnsi="Arial" w:cs="Arial"/>
          <w:sz w:val="22"/>
          <w:szCs w:val="22"/>
        </w:rPr>
        <w:t>los costos de operación de U</w:t>
      </w:r>
      <w:r w:rsidR="00D511A6">
        <w:rPr>
          <w:rFonts w:ascii="Arial" w:eastAsia="Arial" w:hAnsi="Arial" w:cs="Arial"/>
          <w:sz w:val="22"/>
          <w:szCs w:val="22"/>
        </w:rPr>
        <w:t>S$18</w:t>
      </w:r>
      <w:r w:rsidR="000C5C3B">
        <w:rPr>
          <w:rFonts w:ascii="Arial" w:eastAsia="Arial" w:hAnsi="Arial" w:cs="Arial"/>
          <w:sz w:val="22"/>
          <w:szCs w:val="22"/>
        </w:rPr>
        <w:t>5</w:t>
      </w:r>
      <w:r w:rsidRPr="00906191">
        <w:rPr>
          <w:rFonts w:ascii="Arial" w:eastAsia="Arial" w:hAnsi="Arial" w:cs="Arial"/>
          <w:sz w:val="22"/>
          <w:szCs w:val="22"/>
        </w:rPr>
        <w:t xml:space="preserve"> millones. </w:t>
      </w:r>
      <w:r w:rsidRPr="00DF0E0C">
        <w:rPr>
          <w:rFonts w:ascii="Arial" w:eastAsia="Arial" w:hAnsi="Arial" w:cs="Arial"/>
          <w:sz w:val="22"/>
          <w:szCs w:val="22"/>
        </w:rPr>
        <w:t xml:space="preserve">Estos costos se dividen en costos relacionados con el componente de </w:t>
      </w:r>
      <w:r w:rsidR="00DF0E0C" w:rsidRPr="00DF0E0C">
        <w:rPr>
          <w:rFonts w:ascii="Arial" w:eastAsia="Arial" w:hAnsi="Arial" w:cs="Arial"/>
          <w:sz w:val="22"/>
          <w:szCs w:val="22"/>
        </w:rPr>
        <w:t xml:space="preserve">Fortalecimiento de la gestión institucional de las IES públicas </w:t>
      </w:r>
      <w:r w:rsidR="0026194B" w:rsidRPr="00DF0E0C">
        <w:rPr>
          <w:rFonts w:ascii="Arial" w:eastAsia="Arial" w:hAnsi="Arial" w:cs="Arial"/>
          <w:sz w:val="22"/>
          <w:szCs w:val="22"/>
        </w:rPr>
        <w:t xml:space="preserve">por US$70 millones, </w:t>
      </w:r>
      <w:r w:rsidRPr="00DF0E0C">
        <w:rPr>
          <w:rFonts w:ascii="Arial" w:eastAsia="Arial" w:hAnsi="Arial" w:cs="Arial"/>
          <w:sz w:val="22"/>
          <w:szCs w:val="22"/>
        </w:rPr>
        <w:t xml:space="preserve">los costos relacionados con el componente de </w:t>
      </w:r>
      <w:r w:rsidR="00DF0E0C" w:rsidRPr="00DF0E0C">
        <w:rPr>
          <w:rFonts w:ascii="Arial" w:eastAsia="Arial" w:hAnsi="Arial" w:cs="Arial"/>
          <w:sz w:val="22"/>
          <w:szCs w:val="22"/>
        </w:rPr>
        <w:t xml:space="preserve">Mejora de la infraestructura y equipamiento de las IES públicas </w:t>
      </w:r>
      <w:r w:rsidR="0026194B" w:rsidRPr="00DF0E0C">
        <w:rPr>
          <w:rFonts w:ascii="Arial" w:eastAsia="Arial" w:hAnsi="Arial" w:cs="Arial"/>
          <w:sz w:val="22"/>
          <w:szCs w:val="22"/>
        </w:rPr>
        <w:t>de US$10</w:t>
      </w:r>
      <w:r w:rsidRPr="00DF0E0C">
        <w:rPr>
          <w:rFonts w:ascii="Arial" w:eastAsia="Arial" w:hAnsi="Arial" w:cs="Arial"/>
          <w:sz w:val="22"/>
          <w:szCs w:val="22"/>
        </w:rPr>
        <w:t>0 millones</w:t>
      </w:r>
      <w:r w:rsidR="0026194B" w:rsidRPr="00DF0E0C">
        <w:rPr>
          <w:rFonts w:ascii="Arial" w:eastAsia="Arial" w:hAnsi="Arial" w:cs="Arial"/>
          <w:sz w:val="22"/>
          <w:szCs w:val="22"/>
        </w:rPr>
        <w:t xml:space="preserve"> y los costos relacionados con el componente de </w:t>
      </w:r>
      <w:r w:rsidR="00DF0E0C" w:rsidRPr="00DF0E0C">
        <w:rPr>
          <w:rFonts w:ascii="Arial" w:eastAsia="Arial" w:hAnsi="Arial" w:cs="Arial"/>
          <w:sz w:val="22"/>
          <w:szCs w:val="22"/>
        </w:rPr>
        <w:t xml:space="preserve">Generación de conocimiento e información para un mejor diseño de las políticas de fomento de la calidad y la pertinencia </w:t>
      </w:r>
      <w:r w:rsidR="0026194B" w:rsidRPr="00DF0E0C">
        <w:rPr>
          <w:rFonts w:ascii="Arial" w:eastAsia="Arial" w:hAnsi="Arial" w:cs="Arial"/>
          <w:sz w:val="22"/>
          <w:szCs w:val="22"/>
        </w:rPr>
        <w:t>de US$</w:t>
      </w:r>
      <w:r w:rsidR="007E36BF" w:rsidRPr="00DF0E0C">
        <w:rPr>
          <w:rFonts w:ascii="Arial" w:eastAsia="Arial" w:hAnsi="Arial" w:cs="Arial"/>
          <w:sz w:val="22"/>
          <w:szCs w:val="22"/>
        </w:rPr>
        <w:t>1</w:t>
      </w:r>
      <w:r w:rsidR="000C5C3B" w:rsidRPr="00DF0E0C">
        <w:rPr>
          <w:rFonts w:ascii="Arial" w:eastAsia="Arial" w:hAnsi="Arial" w:cs="Arial"/>
          <w:sz w:val="22"/>
          <w:szCs w:val="22"/>
        </w:rPr>
        <w:t>5</w:t>
      </w:r>
      <w:r w:rsidR="0026194B" w:rsidRPr="00DF0E0C">
        <w:rPr>
          <w:rFonts w:ascii="Arial" w:eastAsia="Arial" w:hAnsi="Arial" w:cs="Arial"/>
          <w:sz w:val="22"/>
          <w:szCs w:val="22"/>
        </w:rPr>
        <w:t xml:space="preserve"> millones</w:t>
      </w:r>
      <w:r w:rsidR="003A52C9">
        <w:rPr>
          <w:rStyle w:val="FootnoteReference"/>
          <w:rFonts w:ascii="Arial" w:eastAsia="Arial" w:hAnsi="Arial" w:cs="Arial"/>
          <w:sz w:val="22"/>
          <w:szCs w:val="22"/>
        </w:rPr>
        <w:footnoteReference w:id="13"/>
      </w:r>
      <w:r w:rsidR="00AF27DA" w:rsidRPr="00DF0E0C">
        <w:rPr>
          <w:rFonts w:ascii="Arial" w:eastAsia="Arial" w:hAnsi="Arial" w:cs="Arial"/>
          <w:sz w:val="22"/>
          <w:szCs w:val="22"/>
        </w:rPr>
        <w:t>.</w:t>
      </w:r>
    </w:p>
    <w:p w14:paraId="7FB647C2" w14:textId="77777777" w:rsidR="008A2A84" w:rsidRPr="00185431" w:rsidRDefault="008A2A84" w:rsidP="000C5C3B">
      <w:pPr>
        <w:pStyle w:val="ListParagraph"/>
        <w:tabs>
          <w:tab w:val="left" w:pos="360"/>
        </w:tabs>
        <w:ind w:left="0"/>
        <w:jc w:val="both"/>
        <w:rPr>
          <w:rFonts w:ascii="Arial" w:eastAsia="Arial" w:hAnsi="Arial" w:cs="Arial"/>
          <w:sz w:val="22"/>
          <w:szCs w:val="22"/>
        </w:rPr>
      </w:pPr>
    </w:p>
    <w:p w14:paraId="0EEBE613" w14:textId="0463B95F" w:rsidR="008A2A84" w:rsidRPr="009142A9" w:rsidRDefault="009142A9" w:rsidP="00E4455F">
      <w:pPr>
        <w:pStyle w:val="ListParagraph"/>
        <w:numPr>
          <w:ilvl w:val="0"/>
          <w:numId w:val="2"/>
        </w:numPr>
        <w:tabs>
          <w:tab w:val="left" w:pos="360"/>
        </w:tabs>
        <w:ind w:left="0" w:hanging="450"/>
        <w:jc w:val="both"/>
        <w:rPr>
          <w:rFonts w:ascii="Arial" w:eastAsia="Arial" w:hAnsi="Arial" w:cs="Arial"/>
          <w:sz w:val="22"/>
          <w:szCs w:val="22"/>
        </w:rPr>
      </w:pPr>
      <w:r w:rsidRPr="009142A9">
        <w:rPr>
          <w:rFonts w:ascii="Arial" w:eastAsia="Arial" w:hAnsi="Arial" w:cs="Arial"/>
          <w:sz w:val="22"/>
          <w:szCs w:val="22"/>
        </w:rPr>
        <w:lastRenderedPageBreak/>
        <w:t>Respecto a los costos administrativo</w:t>
      </w:r>
      <w:r w:rsidR="000C5C3B">
        <w:rPr>
          <w:rFonts w:ascii="Arial" w:eastAsia="Arial" w:hAnsi="Arial" w:cs="Arial"/>
          <w:sz w:val="22"/>
          <w:szCs w:val="22"/>
        </w:rPr>
        <w:t>s, se considera un costo de US$15</w:t>
      </w:r>
      <w:r w:rsidRPr="009142A9">
        <w:rPr>
          <w:rFonts w:ascii="Arial" w:eastAsia="Arial" w:hAnsi="Arial" w:cs="Arial"/>
          <w:sz w:val="22"/>
          <w:szCs w:val="22"/>
        </w:rPr>
        <w:t xml:space="preserve"> millones</w:t>
      </w:r>
      <w:r w:rsidR="00A07276">
        <w:rPr>
          <w:rFonts w:ascii="Arial" w:eastAsia="Arial" w:hAnsi="Arial" w:cs="Arial"/>
          <w:sz w:val="22"/>
          <w:szCs w:val="22"/>
        </w:rPr>
        <w:t xml:space="preserve"> para </w:t>
      </w:r>
      <w:r w:rsidR="003A52C9">
        <w:rPr>
          <w:rFonts w:ascii="Arial" w:eastAsia="Arial" w:hAnsi="Arial" w:cs="Arial"/>
          <w:sz w:val="22"/>
          <w:szCs w:val="22"/>
        </w:rPr>
        <w:t>el Componente 1 de G</w:t>
      </w:r>
      <w:r w:rsidR="00A07276">
        <w:rPr>
          <w:rFonts w:ascii="Arial" w:eastAsia="Arial" w:hAnsi="Arial" w:cs="Arial"/>
          <w:sz w:val="22"/>
          <w:szCs w:val="22"/>
        </w:rPr>
        <w:t>estión, monitoreo, evaluación y auditoría.</w:t>
      </w:r>
    </w:p>
    <w:p w14:paraId="0AE61F7A" w14:textId="77777777" w:rsidR="00D535D7" w:rsidRPr="00CE7AB7" w:rsidRDefault="00D535D7" w:rsidP="00C440BD">
      <w:pPr>
        <w:jc w:val="both"/>
        <w:rPr>
          <w:rFonts w:ascii="Arial" w:eastAsia="Arial" w:hAnsi="Arial" w:cs="Arial"/>
          <w:b/>
          <w:sz w:val="18"/>
          <w:szCs w:val="18"/>
          <w:highlight w:val="yellow"/>
          <w:lang w:val="es-ES_tradnl"/>
        </w:rPr>
      </w:pPr>
    </w:p>
    <w:p w14:paraId="3952441E" w14:textId="77777777" w:rsidR="008A2A84" w:rsidRPr="007F09DC" w:rsidRDefault="001B2BB5" w:rsidP="007F09DC">
      <w:pPr>
        <w:numPr>
          <w:ilvl w:val="1"/>
          <w:numId w:val="1"/>
        </w:numPr>
        <w:ind w:left="0"/>
        <w:contextualSpacing/>
        <w:jc w:val="both"/>
        <w:rPr>
          <w:rFonts w:ascii="Arial" w:eastAsia="Arial" w:hAnsi="Arial" w:cs="Arial"/>
          <w:b/>
          <w:sz w:val="22"/>
          <w:szCs w:val="22"/>
          <w:lang w:val="es-ES_tradnl"/>
        </w:rPr>
      </w:pPr>
      <w:r w:rsidRPr="00D535D7">
        <w:rPr>
          <w:rFonts w:ascii="Arial" w:eastAsia="Arial" w:hAnsi="Arial" w:cs="Arial"/>
          <w:b/>
          <w:lang w:val="es-ES_tradnl"/>
        </w:rPr>
        <w:t xml:space="preserve">Costos del componente de </w:t>
      </w:r>
      <w:r w:rsidR="007F09DC">
        <w:rPr>
          <w:rFonts w:ascii="Arial" w:eastAsia="Arial" w:hAnsi="Arial" w:cs="Arial"/>
          <w:b/>
          <w:lang w:val="es-ES_tradnl"/>
        </w:rPr>
        <w:t xml:space="preserve">Fortalecimiento de la gestión institucional de las </w:t>
      </w:r>
      <w:r w:rsidR="00D5178C">
        <w:rPr>
          <w:rFonts w:ascii="Arial" w:eastAsia="Arial" w:hAnsi="Arial" w:cs="Arial"/>
          <w:b/>
          <w:lang w:val="es-ES_tradnl"/>
        </w:rPr>
        <w:t>IES</w:t>
      </w:r>
      <w:r w:rsidR="007F09DC">
        <w:rPr>
          <w:rFonts w:ascii="Arial" w:eastAsia="Arial" w:hAnsi="Arial" w:cs="Arial"/>
          <w:b/>
          <w:lang w:val="es-ES_tradnl"/>
        </w:rPr>
        <w:t xml:space="preserve"> públicas </w:t>
      </w:r>
    </w:p>
    <w:p w14:paraId="240C009A" w14:textId="77777777" w:rsidR="008A2A84" w:rsidRPr="00CE7AB7" w:rsidRDefault="008A2A84" w:rsidP="00C440BD">
      <w:pPr>
        <w:jc w:val="both"/>
        <w:rPr>
          <w:rFonts w:ascii="Arial" w:eastAsia="Arial" w:hAnsi="Arial" w:cs="Arial"/>
          <w:b/>
          <w:highlight w:val="yellow"/>
          <w:lang w:val="es-ES_tradnl"/>
        </w:rPr>
      </w:pPr>
    </w:p>
    <w:p w14:paraId="7B7FD548" w14:textId="77777777" w:rsidR="00B85C91" w:rsidRPr="00D71D4F" w:rsidRDefault="00D71D4F" w:rsidP="00E4455F">
      <w:pPr>
        <w:pStyle w:val="ListParagraph"/>
        <w:numPr>
          <w:ilvl w:val="0"/>
          <w:numId w:val="2"/>
        </w:numPr>
        <w:tabs>
          <w:tab w:val="left" w:pos="360"/>
        </w:tabs>
        <w:ind w:left="0" w:hanging="450"/>
        <w:jc w:val="both"/>
        <w:rPr>
          <w:rFonts w:ascii="Arial" w:eastAsia="Arial" w:hAnsi="Arial" w:cs="Arial"/>
          <w:sz w:val="22"/>
          <w:szCs w:val="22"/>
        </w:rPr>
      </w:pPr>
      <w:r w:rsidRPr="00D71D4F">
        <w:rPr>
          <w:rFonts w:ascii="Arial" w:eastAsia="Arial" w:hAnsi="Arial" w:cs="Arial"/>
          <w:sz w:val="22"/>
          <w:szCs w:val="22"/>
        </w:rPr>
        <w:t>Siguiendo la evidencia provista por</w:t>
      </w:r>
      <w:r w:rsidR="00B85C91" w:rsidRPr="00D71D4F">
        <w:rPr>
          <w:rFonts w:ascii="Arial" w:eastAsia="Arial" w:hAnsi="Arial" w:cs="Arial"/>
          <w:sz w:val="22"/>
          <w:szCs w:val="22"/>
        </w:rPr>
        <w:t xml:space="preserve"> Suri, Boozer, Rains y Stewart (2011) y Ekundayo y Ajayi (2009), los tres principales factores que determinan la calidad del capital humano con que cuenta una IES con (i) gestión administrativa</w:t>
      </w:r>
      <w:r>
        <w:rPr>
          <w:rFonts w:ascii="Arial" w:eastAsia="Arial" w:hAnsi="Arial" w:cs="Arial"/>
          <w:sz w:val="22"/>
          <w:szCs w:val="22"/>
        </w:rPr>
        <w:t xml:space="preserve"> (</w:t>
      </w:r>
      <w:r w:rsidR="00B85C91" w:rsidRPr="00D71D4F">
        <w:rPr>
          <w:rFonts w:ascii="Arial" w:eastAsia="Arial" w:hAnsi="Arial" w:cs="Arial"/>
          <w:sz w:val="22"/>
          <w:szCs w:val="22"/>
        </w:rPr>
        <w:t>procesos de soporte transversales a las actividades de la institución: presupuesto, inversiones, recursos humanos), (ii) gestión académica y (iii) gestión de la investigació</w:t>
      </w:r>
      <w:r w:rsidR="00040C44">
        <w:rPr>
          <w:rFonts w:ascii="Arial" w:eastAsia="Arial" w:hAnsi="Arial" w:cs="Arial"/>
          <w:sz w:val="22"/>
          <w:szCs w:val="22"/>
        </w:rPr>
        <w:t xml:space="preserve">n, desarrollo e innovación </w:t>
      </w:r>
      <w:r w:rsidRPr="00D71D4F">
        <w:rPr>
          <w:rFonts w:ascii="Arial" w:eastAsia="Arial" w:hAnsi="Arial" w:cs="Arial"/>
          <w:sz w:val="22"/>
          <w:szCs w:val="22"/>
        </w:rPr>
        <w:t>(dotación de investigadores, correcta conducción de investigaciones pertinentes para el contexto, gestión de proyectos de innovación, entre otros).</w:t>
      </w:r>
    </w:p>
    <w:p w14:paraId="722613FA" w14:textId="77777777" w:rsidR="008A2A84" w:rsidRPr="00185431" w:rsidRDefault="008A2A84" w:rsidP="000C5C3B">
      <w:pPr>
        <w:pStyle w:val="ListParagraph"/>
        <w:tabs>
          <w:tab w:val="left" w:pos="360"/>
        </w:tabs>
        <w:ind w:left="0"/>
        <w:jc w:val="both"/>
        <w:rPr>
          <w:rFonts w:ascii="Arial" w:eastAsia="Arial" w:hAnsi="Arial" w:cs="Arial"/>
          <w:sz w:val="22"/>
          <w:szCs w:val="22"/>
        </w:rPr>
      </w:pPr>
    </w:p>
    <w:p w14:paraId="39D96285" w14:textId="550B5FD8" w:rsidR="00D71D4F" w:rsidRPr="00204967" w:rsidRDefault="00204967" w:rsidP="00E4455F">
      <w:pPr>
        <w:pStyle w:val="ListParagraph"/>
        <w:numPr>
          <w:ilvl w:val="0"/>
          <w:numId w:val="2"/>
        </w:numPr>
        <w:tabs>
          <w:tab w:val="left" w:pos="360"/>
        </w:tabs>
        <w:ind w:left="0" w:hanging="450"/>
        <w:jc w:val="both"/>
        <w:rPr>
          <w:rFonts w:ascii="Arial" w:eastAsia="Arial" w:hAnsi="Arial" w:cs="Arial"/>
          <w:sz w:val="22"/>
          <w:szCs w:val="22"/>
        </w:rPr>
      </w:pPr>
      <w:r>
        <w:rPr>
          <w:rFonts w:ascii="Arial" w:eastAsia="Arial" w:hAnsi="Arial" w:cs="Arial"/>
          <w:sz w:val="22"/>
          <w:szCs w:val="22"/>
        </w:rPr>
        <w:t xml:space="preserve">En particular, </w:t>
      </w:r>
      <w:r w:rsidR="00A42629">
        <w:rPr>
          <w:rFonts w:ascii="Arial" w:eastAsia="Arial" w:hAnsi="Arial" w:cs="Arial"/>
          <w:sz w:val="22"/>
          <w:szCs w:val="22"/>
        </w:rPr>
        <w:t xml:space="preserve">las acciones a realizar para mejorar la gestión administrativa están basadas en la evidencia de </w:t>
      </w:r>
      <w:r w:rsidR="00A42629" w:rsidRPr="00A42629">
        <w:rPr>
          <w:rFonts w:ascii="Arial" w:eastAsia="Arial" w:hAnsi="Arial" w:cs="Arial"/>
          <w:sz w:val="22"/>
          <w:szCs w:val="22"/>
        </w:rPr>
        <w:t>Agarwal (2009) y Dauda (2010) quienes muestran que las universidades que poseen procesos administrativos más largos</w:t>
      </w:r>
      <w:r w:rsidR="00A42629">
        <w:rPr>
          <w:rFonts w:ascii="Arial" w:eastAsia="Arial" w:hAnsi="Arial" w:cs="Arial"/>
          <w:sz w:val="22"/>
          <w:szCs w:val="22"/>
        </w:rPr>
        <w:t xml:space="preserve"> y propen</w:t>
      </w:r>
      <w:r w:rsidR="00A42629" w:rsidRPr="00A42629">
        <w:rPr>
          <w:rFonts w:ascii="Arial" w:eastAsia="Arial" w:hAnsi="Arial" w:cs="Arial"/>
          <w:sz w:val="22"/>
          <w:szCs w:val="22"/>
        </w:rPr>
        <w:t xml:space="preserve">sos a choques que imposibiliten su correcto funcionamiento son </w:t>
      </w:r>
      <w:r w:rsidR="00A42629">
        <w:rPr>
          <w:rFonts w:ascii="Arial" w:eastAsia="Arial" w:hAnsi="Arial" w:cs="Arial"/>
          <w:sz w:val="22"/>
          <w:szCs w:val="22"/>
        </w:rPr>
        <w:t>menos preferidos , Adamolekun (</w:t>
      </w:r>
      <w:r w:rsidR="00A42629" w:rsidRPr="00A42629">
        <w:rPr>
          <w:rFonts w:ascii="Arial" w:eastAsia="Arial" w:hAnsi="Arial" w:cs="Arial"/>
          <w:sz w:val="22"/>
          <w:szCs w:val="22"/>
        </w:rPr>
        <w:t xml:space="preserve">1983) que indican que el costos del tiempo en procesos administrativos innecesarios y discrecionales afecta negativamente el desempeño </w:t>
      </w:r>
      <w:r w:rsidR="00A42629">
        <w:rPr>
          <w:rFonts w:ascii="Arial" w:eastAsia="Arial" w:hAnsi="Arial" w:cs="Arial"/>
          <w:sz w:val="22"/>
          <w:szCs w:val="22"/>
        </w:rPr>
        <w:t>y Ab</w:t>
      </w:r>
      <w:r w:rsidR="00A42629" w:rsidRPr="00A42629">
        <w:rPr>
          <w:rFonts w:ascii="Arial" w:eastAsia="Arial" w:hAnsi="Arial" w:cs="Arial"/>
          <w:sz w:val="22"/>
          <w:szCs w:val="22"/>
        </w:rPr>
        <w:t>dullah y Tarí (2012) que respaldados por el concepto de calidad regulatorio, indican que es necesario eliminar procesos y trámites administrativos que no poseen sustento para su aplicación.</w:t>
      </w:r>
      <w:r w:rsidR="00A42629">
        <w:rPr>
          <w:rFonts w:ascii="Arial" w:eastAsia="Arial" w:hAnsi="Arial" w:cs="Arial"/>
          <w:sz w:val="22"/>
          <w:szCs w:val="22"/>
        </w:rPr>
        <w:t xml:space="preserve"> </w:t>
      </w:r>
      <w:r w:rsidR="00487FCB">
        <w:rPr>
          <w:rFonts w:ascii="Arial" w:eastAsia="Arial" w:hAnsi="Arial" w:cs="Arial"/>
          <w:sz w:val="22"/>
          <w:szCs w:val="22"/>
        </w:rPr>
        <w:t>Asimismo</w:t>
      </w:r>
      <w:r w:rsidR="00A42629">
        <w:rPr>
          <w:rFonts w:ascii="Arial" w:eastAsia="Arial" w:hAnsi="Arial" w:cs="Arial"/>
          <w:sz w:val="22"/>
          <w:szCs w:val="22"/>
        </w:rPr>
        <w:t xml:space="preserve">, </w:t>
      </w:r>
      <w:r>
        <w:rPr>
          <w:rFonts w:ascii="Arial" w:eastAsia="Arial" w:hAnsi="Arial" w:cs="Arial"/>
          <w:sz w:val="22"/>
          <w:szCs w:val="22"/>
        </w:rPr>
        <w:t>para el caso de gestión académica</w:t>
      </w:r>
      <w:r w:rsidR="00A42629">
        <w:rPr>
          <w:rFonts w:ascii="Arial" w:eastAsia="Arial" w:hAnsi="Arial" w:cs="Arial"/>
          <w:sz w:val="22"/>
          <w:szCs w:val="22"/>
        </w:rPr>
        <w:t>, las acciones se sustentan en la evidencia de</w:t>
      </w:r>
      <w:r>
        <w:rPr>
          <w:rFonts w:ascii="Arial" w:eastAsia="Arial" w:hAnsi="Arial" w:cs="Arial"/>
          <w:sz w:val="22"/>
          <w:szCs w:val="22"/>
        </w:rPr>
        <w:t xml:space="preserve"> </w:t>
      </w:r>
      <w:r w:rsidRPr="00204967">
        <w:rPr>
          <w:rFonts w:ascii="Arial" w:eastAsia="Arial" w:hAnsi="Arial" w:cs="Arial"/>
          <w:sz w:val="22"/>
          <w:szCs w:val="22"/>
        </w:rPr>
        <w:t xml:space="preserve">Gibbs y Coffey (2000) </w:t>
      </w:r>
      <w:r w:rsidR="00A42629">
        <w:rPr>
          <w:rFonts w:ascii="Arial" w:eastAsia="Arial" w:hAnsi="Arial" w:cs="Arial"/>
          <w:sz w:val="22"/>
          <w:szCs w:val="22"/>
        </w:rPr>
        <w:t xml:space="preserve">quienes </w:t>
      </w:r>
      <w:r w:rsidRPr="00204967">
        <w:rPr>
          <w:rFonts w:ascii="Arial" w:eastAsia="Arial" w:hAnsi="Arial" w:cs="Arial"/>
          <w:sz w:val="22"/>
          <w:szCs w:val="22"/>
        </w:rPr>
        <w:t xml:space="preserve">sugieren que los programas de capacitación para la gestión de </w:t>
      </w:r>
      <w:r>
        <w:rPr>
          <w:rFonts w:ascii="Arial" w:eastAsia="Arial" w:hAnsi="Arial" w:cs="Arial"/>
          <w:sz w:val="22"/>
          <w:szCs w:val="22"/>
        </w:rPr>
        <w:t>docentes</w:t>
      </w:r>
      <w:r w:rsidRPr="00204967">
        <w:rPr>
          <w:rFonts w:ascii="Arial" w:eastAsia="Arial" w:hAnsi="Arial" w:cs="Arial"/>
          <w:sz w:val="22"/>
          <w:szCs w:val="22"/>
        </w:rPr>
        <w:t xml:space="preserve"> en IES tienen impactos significativ</w:t>
      </w:r>
      <w:r>
        <w:rPr>
          <w:rFonts w:ascii="Arial" w:eastAsia="Arial" w:hAnsi="Arial" w:cs="Arial"/>
          <w:sz w:val="22"/>
          <w:szCs w:val="22"/>
        </w:rPr>
        <w:t>os en la mejora de las habilidades de en</w:t>
      </w:r>
      <w:r w:rsidRPr="00204967">
        <w:rPr>
          <w:rFonts w:ascii="Arial" w:eastAsia="Arial" w:hAnsi="Arial" w:cs="Arial"/>
          <w:sz w:val="22"/>
          <w:szCs w:val="22"/>
        </w:rPr>
        <w:t>señanza de los profes</w:t>
      </w:r>
      <w:r>
        <w:rPr>
          <w:rFonts w:ascii="Arial" w:eastAsia="Arial" w:hAnsi="Arial" w:cs="Arial"/>
          <w:sz w:val="22"/>
          <w:szCs w:val="22"/>
        </w:rPr>
        <w:t xml:space="preserve">ores, el </w:t>
      </w:r>
      <w:r w:rsidRPr="00204967">
        <w:rPr>
          <w:rFonts w:ascii="Arial" w:eastAsia="Arial" w:hAnsi="Arial" w:cs="Arial"/>
          <w:sz w:val="22"/>
          <w:szCs w:val="22"/>
        </w:rPr>
        <w:t xml:space="preserve">aprendizaje de profesores y </w:t>
      </w:r>
      <w:r>
        <w:rPr>
          <w:rFonts w:ascii="Arial" w:eastAsia="Arial" w:hAnsi="Arial" w:cs="Arial"/>
          <w:sz w:val="22"/>
          <w:szCs w:val="22"/>
        </w:rPr>
        <w:t xml:space="preserve">de </w:t>
      </w:r>
      <w:r w:rsidRPr="00204967">
        <w:rPr>
          <w:rFonts w:ascii="Arial" w:eastAsia="Arial" w:hAnsi="Arial" w:cs="Arial"/>
          <w:sz w:val="22"/>
          <w:szCs w:val="22"/>
        </w:rPr>
        <w:t xml:space="preserve">los estudiantes. Asimismo, Trigwell et al. (1999) muestran que la adecuada gestión académica </w:t>
      </w:r>
      <w:r>
        <w:rPr>
          <w:rFonts w:ascii="Arial" w:eastAsia="Arial" w:hAnsi="Arial" w:cs="Arial"/>
          <w:sz w:val="22"/>
          <w:szCs w:val="22"/>
        </w:rPr>
        <w:t xml:space="preserve">tiene efectos positivos </w:t>
      </w:r>
      <w:r w:rsidRPr="00204967">
        <w:rPr>
          <w:rFonts w:ascii="Arial" w:eastAsia="Arial" w:hAnsi="Arial" w:cs="Arial"/>
          <w:sz w:val="22"/>
          <w:szCs w:val="22"/>
        </w:rPr>
        <w:t xml:space="preserve">en la mejora del aprendizaje de los estudiantes, en la medida que permite orientar mejor la distribución de docentes hacia </w:t>
      </w:r>
      <w:r w:rsidR="00A42629" w:rsidRPr="00204967">
        <w:rPr>
          <w:rFonts w:ascii="Arial" w:eastAsia="Arial" w:hAnsi="Arial" w:cs="Arial"/>
          <w:sz w:val="22"/>
          <w:szCs w:val="22"/>
        </w:rPr>
        <w:t>la materia</w:t>
      </w:r>
      <w:r w:rsidRPr="00204967">
        <w:rPr>
          <w:rFonts w:ascii="Arial" w:eastAsia="Arial" w:hAnsi="Arial" w:cs="Arial"/>
          <w:sz w:val="22"/>
          <w:szCs w:val="22"/>
        </w:rPr>
        <w:t xml:space="preserve"> en las que tienen venta</w:t>
      </w:r>
      <w:r>
        <w:rPr>
          <w:rFonts w:ascii="Arial" w:eastAsia="Arial" w:hAnsi="Arial" w:cs="Arial"/>
          <w:sz w:val="22"/>
          <w:szCs w:val="22"/>
        </w:rPr>
        <w:t xml:space="preserve">jas comparativas y experiencia. </w:t>
      </w:r>
      <w:r w:rsidR="00A42629">
        <w:rPr>
          <w:rFonts w:ascii="Arial" w:eastAsia="Arial" w:hAnsi="Arial" w:cs="Arial"/>
          <w:sz w:val="22"/>
          <w:szCs w:val="22"/>
        </w:rPr>
        <w:t>Finalmente, en base al estudio de Harland (2013) quien encuentra que el impacto de aplicar la lógica de</w:t>
      </w:r>
      <w:r w:rsidR="00A42629" w:rsidRPr="00906191">
        <w:rPr>
          <w:rFonts w:ascii="Arial" w:eastAsia="Arial" w:hAnsi="Arial" w:cs="Arial"/>
          <w:sz w:val="22"/>
          <w:szCs w:val="22"/>
        </w:rPr>
        <w:t xml:space="preserve"> </w:t>
      </w:r>
      <w:r w:rsidR="00A42629" w:rsidRPr="00040C44">
        <w:rPr>
          <w:rFonts w:ascii="Arial" w:eastAsia="Arial" w:hAnsi="Arial" w:cs="Arial"/>
          <w:i/>
          <w:sz w:val="22"/>
          <w:szCs w:val="22"/>
        </w:rPr>
        <w:t>Supply Chain Management</w:t>
      </w:r>
      <w:r w:rsidR="00A42629">
        <w:rPr>
          <w:rFonts w:ascii="Arial" w:eastAsia="Arial" w:hAnsi="Arial" w:cs="Arial"/>
          <w:sz w:val="22"/>
          <w:szCs w:val="22"/>
        </w:rPr>
        <w:t xml:space="preserve"> (SCM) en las actividades de investigación </w:t>
      </w:r>
      <w:r w:rsidR="001459AF">
        <w:rPr>
          <w:rFonts w:ascii="Arial" w:eastAsia="Arial" w:hAnsi="Arial" w:cs="Arial"/>
          <w:sz w:val="22"/>
          <w:szCs w:val="22"/>
        </w:rPr>
        <w:t>es muy significativo a nivel de docente y universidad, se diseñan las acciones a tomar para mejorar la gestión de investigación e innovación.</w:t>
      </w:r>
    </w:p>
    <w:p w14:paraId="63A5562A" w14:textId="77777777" w:rsidR="00D71D4F" w:rsidRPr="00906191" w:rsidRDefault="00D71D4F" w:rsidP="000C5C3B">
      <w:pPr>
        <w:pStyle w:val="ListParagraph"/>
        <w:tabs>
          <w:tab w:val="left" w:pos="360"/>
        </w:tabs>
        <w:ind w:left="0"/>
        <w:jc w:val="both"/>
        <w:rPr>
          <w:rFonts w:ascii="Arial" w:eastAsia="Arial" w:hAnsi="Arial" w:cs="Arial"/>
          <w:sz w:val="22"/>
          <w:szCs w:val="22"/>
        </w:rPr>
      </w:pPr>
    </w:p>
    <w:p w14:paraId="58E77EE5" w14:textId="77777777" w:rsidR="00D71D4F" w:rsidRPr="00557421" w:rsidRDefault="008B28DE" w:rsidP="00E4455F">
      <w:pPr>
        <w:pStyle w:val="ListParagraph"/>
        <w:numPr>
          <w:ilvl w:val="0"/>
          <w:numId w:val="2"/>
        </w:numPr>
        <w:tabs>
          <w:tab w:val="left" w:pos="360"/>
        </w:tabs>
        <w:ind w:left="0" w:hanging="450"/>
        <w:jc w:val="both"/>
        <w:rPr>
          <w:rFonts w:ascii="Arial" w:eastAsia="Arial" w:hAnsi="Arial" w:cs="Arial"/>
          <w:sz w:val="22"/>
          <w:szCs w:val="22"/>
        </w:rPr>
      </w:pPr>
      <w:r w:rsidRPr="008B28DE">
        <w:rPr>
          <w:rFonts w:ascii="Arial" w:eastAsia="Arial" w:hAnsi="Arial" w:cs="Arial"/>
          <w:sz w:val="22"/>
          <w:szCs w:val="22"/>
        </w:rPr>
        <w:t xml:space="preserve">En el Cuadro 1, se muestra el costo por cada subcomponente del componente de </w:t>
      </w:r>
      <w:r w:rsidR="00BD424D" w:rsidRPr="00BD424D">
        <w:rPr>
          <w:rFonts w:ascii="Arial" w:eastAsia="Arial" w:hAnsi="Arial" w:cs="Arial"/>
          <w:sz w:val="22"/>
          <w:szCs w:val="22"/>
        </w:rPr>
        <w:t xml:space="preserve">Fortalecimiento de la gestión institucional de las </w:t>
      </w:r>
      <w:r w:rsidR="00D5178C">
        <w:rPr>
          <w:rFonts w:ascii="Arial" w:eastAsia="Arial" w:hAnsi="Arial" w:cs="Arial"/>
          <w:sz w:val="22"/>
          <w:szCs w:val="22"/>
        </w:rPr>
        <w:t>IES</w:t>
      </w:r>
      <w:r w:rsidR="00BD424D" w:rsidRPr="00BD424D">
        <w:rPr>
          <w:rFonts w:ascii="Arial" w:eastAsia="Arial" w:hAnsi="Arial" w:cs="Arial"/>
          <w:sz w:val="22"/>
          <w:szCs w:val="22"/>
        </w:rPr>
        <w:t xml:space="preserve"> públicas</w:t>
      </w:r>
    </w:p>
    <w:p w14:paraId="43FBF7C6" w14:textId="77777777" w:rsidR="007E36BF" w:rsidRDefault="007E36BF" w:rsidP="00C440BD">
      <w:pPr>
        <w:jc w:val="both"/>
        <w:rPr>
          <w:rFonts w:ascii="Arial" w:eastAsia="Arial" w:hAnsi="Arial" w:cs="Arial"/>
          <w:sz w:val="22"/>
          <w:szCs w:val="22"/>
          <w:highlight w:val="yellow"/>
          <w:lang w:val="es-ES_tradnl"/>
        </w:rPr>
      </w:pPr>
    </w:p>
    <w:p w14:paraId="345D45F1" w14:textId="77777777" w:rsidR="008B28DE" w:rsidRPr="00D51DF5" w:rsidRDefault="008B28DE" w:rsidP="008B28DE">
      <w:pPr>
        <w:jc w:val="center"/>
        <w:rPr>
          <w:rFonts w:ascii="Arial" w:hAnsi="Arial" w:cs="Arial"/>
          <w:b/>
          <w:sz w:val="22"/>
          <w:szCs w:val="22"/>
          <w:lang w:val="es-ES_tradnl"/>
        </w:rPr>
      </w:pPr>
      <w:r w:rsidRPr="00D51DF5">
        <w:rPr>
          <w:rFonts w:ascii="Arial" w:hAnsi="Arial" w:cs="Arial"/>
          <w:b/>
          <w:sz w:val="22"/>
          <w:szCs w:val="22"/>
          <w:lang w:val="es-ES_tradnl"/>
        </w:rPr>
        <w:t xml:space="preserve">Cuadro 1: </w:t>
      </w:r>
      <w:r>
        <w:rPr>
          <w:rFonts w:ascii="Arial" w:hAnsi="Arial" w:cs="Arial"/>
          <w:b/>
          <w:sz w:val="22"/>
          <w:szCs w:val="22"/>
          <w:lang w:val="es-ES_tradnl"/>
        </w:rPr>
        <w:t>Distrib</w:t>
      </w:r>
      <w:r w:rsidR="000518F8">
        <w:rPr>
          <w:rFonts w:ascii="Arial" w:hAnsi="Arial" w:cs="Arial"/>
          <w:b/>
          <w:sz w:val="22"/>
          <w:szCs w:val="22"/>
          <w:lang w:val="es-ES_tradnl"/>
        </w:rPr>
        <w:t xml:space="preserve">ución de costos del Componente de </w:t>
      </w:r>
      <w:r w:rsidR="000518F8" w:rsidRPr="000518F8">
        <w:rPr>
          <w:rFonts w:ascii="Arial" w:hAnsi="Arial" w:cs="Arial"/>
          <w:b/>
          <w:sz w:val="22"/>
          <w:szCs w:val="22"/>
          <w:lang w:val="es-ES_tradnl"/>
        </w:rPr>
        <w:t xml:space="preserve">Fortalecimiento de la gestión institucional de las </w:t>
      </w:r>
      <w:r w:rsidR="00D5178C">
        <w:rPr>
          <w:rFonts w:ascii="Arial" w:hAnsi="Arial" w:cs="Arial"/>
          <w:b/>
          <w:sz w:val="22"/>
          <w:szCs w:val="22"/>
          <w:lang w:val="es-ES_tradnl"/>
        </w:rPr>
        <w:t>IES</w:t>
      </w:r>
      <w:r w:rsidR="000518F8" w:rsidRPr="000518F8">
        <w:rPr>
          <w:rFonts w:ascii="Arial" w:hAnsi="Arial" w:cs="Arial"/>
          <w:b/>
          <w:sz w:val="22"/>
          <w:szCs w:val="22"/>
          <w:lang w:val="es-ES_tradnl"/>
        </w:rPr>
        <w:t xml:space="preserve"> públicas</w:t>
      </w:r>
    </w:p>
    <w:p w14:paraId="7950EE50" w14:textId="77777777" w:rsidR="008B28DE" w:rsidRDefault="008B28DE" w:rsidP="00C440BD">
      <w:pPr>
        <w:jc w:val="both"/>
        <w:rPr>
          <w:rFonts w:ascii="Arial" w:eastAsia="Arial" w:hAnsi="Arial" w:cs="Arial"/>
          <w:sz w:val="22"/>
          <w:szCs w:val="22"/>
          <w:highlight w:val="yellow"/>
          <w:lang w:val="es-ES_tradnl"/>
        </w:rPr>
      </w:pPr>
    </w:p>
    <w:tbl>
      <w:tblPr>
        <w:tblStyle w:val="TableGrid"/>
        <w:tblW w:w="999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8"/>
        <w:gridCol w:w="1962"/>
      </w:tblGrid>
      <w:tr w:rsidR="008B28DE" w:rsidRPr="008B28DE" w14:paraId="248E9300" w14:textId="77777777" w:rsidTr="008B28DE">
        <w:tc>
          <w:tcPr>
            <w:tcW w:w="8028" w:type="dxa"/>
            <w:tcBorders>
              <w:bottom w:val="single" w:sz="4" w:space="0" w:color="auto"/>
            </w:tcBorders>
            <w:shd w:val="clear" w:color="auto" w:fill="D9E2F3" w:themeFill="accent1" w:themeFillTint="33"/>
          </w:tcPr>
          <w:p w14:paraId="30D36302" w14:textId="77777777" w:rsidR="00AD53D6" w:rsidRDefault="00AD53D6" w:rsidP="008B28DE">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22"/>
                <w:szCs w:val="22"/>
                <w:lang w:val="es-ES_tradnl"/>
              </w:rPr>
            </w:pPr>
          </w:p>
          <w:p w14:paraId="388A0597" w14:textId="77777777" w:rsidR="008B28DE" w:rsidRDefault="008B28DE" w:rsidP="008B28DE">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22"/>
                <w:szCs w:val="22"/>
                <w:lang w:val="es-ES_tradnl"/>
              </w:rPr>
            </w:pPr>
            <w:r w:rsidRPr="008B28DE">
              <w:rPr>
                <w:rFonts w:ascii="Arial" w:eastAsia="Arial" w:hAnsi="Arial" w:cs="Arial"/>
                <w:sz w:val="22"/>
                <w:szCs w:val="22"/>
                <w:lang w:val="es-ES_tradnl"/>
              </w:rPr>
              <w:t>Subcomponente</w:t>
            </w:r>
          </w:p>
          <w:p w14:paraId="22053EBC" w14:textId="77777777" w:rsidR="00AD53D6" w:rsidRPr="008B28DE" w:rsidRDefault="00AD53D6" w:rsidP="008B28DE">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22"/>
                <w:szCs w:val="22"/>
                <w:lang w:val="es-ES_tradnl"/>
              </w:rPr>
            </w:pPr>
          </w:p>
        </w:tc>
        <w:tc>
          <w:tcPr>
            <w:tcW w:w="1962" w:type="dxa"/>
            <w:tcBorders>
              <w:bottom w:val="single" w:sz="4" w:space="0" w:color="auto"/>
            </w:tcBorders>
            <w:shd w:val="clear" w:color="auto" w:fill="D9E2F3" w:themeFill="accent1" w:themeFillTint="33"/>
          </w:tcPr>
          <w:p w14:paraId="3E4473B6" w14:textId="77777777" w:rsidR="00AD53D6" w:rsidRDefault="00AD53D6" w:rsidP="008B28DE">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22"/>
                <w:szCs w:val="22"/>
                <w:lang w:val="es-ES_tradnl"/>
              </w:rPr>
            </w:pPr>
          </w:p>
          <w:p w14:paraId="6317D68C" w14:textId="77777777" w:rsidR="008B28DE" w:rsidRPr="008B28DE" w:rsidRDefault="008B28DE" w:rsidP="008B28DE">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22"/>
                <w:szCs w:val="22"/>
                <w:lang w:val="es-ES_tradnl"/>
              </w:rPr>
            </w:pPr>
            <w:r w:rsidRPr="008B28DE">
              <w:rPr>
                <w:rFonts w:ascii="Arial" w:eastAsia="Arial" w:hAnsi="Arial" w:cs="Arial"/>
                <w:sz w:val="22"/>
                <w:szCs w:val="22"/>
                <w:lang w:val="es-ES_tradnl"/>
              </w:rPr>
              <w:t>Costo</w:t>
            </w:r>
          </w:p>
        </w:tc>
      </w:tr>
      <w:tr w:rsidR="008B28DE" w:rsidRPr="008B28DE" w14:paraId="4A4C31E8" w14:textId="77777777" w:rsidTr="008B28DE">
        <w:tc>
          <w:tcPr>
            <w:tcW w:w="8028" w:type="dxa"/>
            <w:tcBorders>
              <w:top w:val="single" w:sz="4" w:space="0" w:color="auto"/>
            </w:tcBorders>
            <w:shd w:val="clear" w:color="auto" w:fill="FFFFFF" w:themeFill="background1"/>
          </w:tcPr>
          <w:p w14:paraId="0CAA2E2F" w14:textId="77777777" w:rsidR="008B28DE" w:rsidRPr="008B28DE" w:rsidRDefault="005020D2" w:rsidP="00C440BD">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sz w:val="22"/>
                <w:szCs w:val="22"/>
                <w:lang w:val="es-ES_tradnl"/>
              </w:rPr>
            </w:pPr>
            <w:r>
              <w:rPr>
                <w:rFonts w:ascii="Arial" w:eastAsia="Arial" w:hAnsi="Arial" w:cs="Arial"/>
                <w:sz w:val="22"/>
                <w:szCs w:val="22"/>
                <w:lang w:val="es-ES_tradnl"/>
              </w:rPr>
              <w:t>Subcomponente 1: Mejora de la</w:t>
            </w:r>
            <w:r w:rsidR="008B28DE" w:rsidRPr="008B28DE">
              <w:rPr>
                <w:rFonts w:ascii="Arial" w:eastAsia="Arial" w:hAnsi="Arial" w:cs="Arial"/>
                <w:sz w:val="22"/>
                <w:szCs w:val="22"/>
                <w:lang w:val="es-ES_tradnl"/>
              </w:rPr>
              <w:t xml:space="preserve"> gestión administrativa </w:t>
            </w:r>
            <w:r>
              <w:rPr>
                <w:rFonts w:ascii="Arial" w:eastAsia="Arial" w:hAnsi="Arial" w:cs="Arial"/>
                <w:sz w:val="22"/>
                <w:szCs w:val="22"/>
                <w:lang w:val="es-ES_tradnl"/>
              </w:rPr>
              <w:t>de las IES públicas</w:t>
            </w:r>
          </w:p>
        </w:tc>
        <w:tc>
          <w:tcPr>
            <w:tcW w:w="1962" w:type="dxa"/>
            <w:tcBorders>
              <w:top w:val="single" w:sz="4" w:space="0" w:color="auto"/>
            </w:tcBorders>
            <w:shd w:val="clear" w:color="auto" w:fill="FFFFFF" w:themeFill="background1"/>
          </w:tcPr>
          <w:p w14:paraId="77BA89FA" w14:textId="0CE697E1" w:rsidR="008B28DE" w:rsidRPr="008B28DE" w:rsidRDefault="008B28DE" w:rsidP="008B28DE">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22"/>
                <w:szCs w:val="22"/>
                <w:lang w:val="es-ES_tradnl"/>
              </w:rPr>
            </w:pPr>
            <w:r w:rsidRPr="008B28DE">
              <w:rPr>
                <w:rFonts w:ascii="Arial" w:hAnsi="Arial" w:cs="Arial"/>
                <w:sz w:val="20"/>
                <w:szCs w:val="20"/>
              </w:rPr>
              <w:t xml:space="preserve">$ </w:t>
            </w:r>
            <w:r w:rsidR="0012306D">
              <w:rPr>
                <w:rFonts w:ascii="Arial" w:eastAsia="Arial" w:hAnsi="Arial" w:cs="Arial"/>
                <w:sz w:val="22"/>
                <w:szCs w:val="22"/>
                <w:lang w:val="es-ES_tradnl"/>
              </w:rPr>
              <w:t>9,339,922</w:t>
            </w:r>
          </w:p>
        </w:tc>
      </w:tr>
      <w:tr w:rsidR="008B28DE" w:rsidRPr="008B28DE" w14:paraId="5C42CC58" w14:textId="77777777" w:rsidTr="008B28DE">
        <w:tc>
          <w:tcPr>
            <w:tcW w:w="8028" w:type="dxa"/>
            <w:shd w:val="clear" w:color="auto" w:fill="FFFFFF" w:themeFill="background1"/>
          </w:tcPr>
          <w:p w14:paraId="6823754F" w14:textId="77777777" w:rsidR="008B28DE" w:rsidRPr="008B28DE" w:rsidRDefault="005020D2" w:rsidP="00C440BD">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sz w:val="22"/>
                <w:szCs w:val="22"/>
                <w:lang w:val="es-ES_tradnl"/>
              </w:rPr>
            </w:pPr>
            <w:r>
              <w:rPr>
                <w:rFonts w:ascii="Arial" w:eastAsia="Arial" w:hAnsi="Arial" w:cs="Arial"/>
                <w:sz w:val="22"/>
                <w:szCs w:val="22"/>
                <w:lang w:val="es-ES_tradnl"/>
              </w:rPr>
              <w:t>Subcomponente 2: Mejora</w:t>
            </w:r>
            <w:r w:rsidR="008B28DE" w:rsidRPr="008B28DE">
              <w:rPr>
                <w:rFonts w:ascii="Arial" w:eastAsia="Arial" w:hAnsi="Arial" w:cs="Arial"/>
                <w:sz w:val="22"/>
                <w:szCs w:val="22"/>
                <w:lang w:val="es-ES_tradnl"/>
              </w:rPr>
              <w:t xml:space="preserve"> </w:t>
            </w:r>
            <w:r>
              <w:rPr>
                <w:rFonts w:ascii="Arial" w:eastAsia="Arial" w:hAnsi="Arial" w:cs="Arial"/>
                <w:sz w:val="22"/>
                <w:szCs w:val="22"/>
                <w:lang w:val="es-ES_tradnl"/>
              </w:rPr>
              <w:t>de la</w:t>
            </w:r>
            <w:r w:rsidRPr="008B28DE">
              <w:rPr>
                <w:rFonts w:ascii="Arial" w:eastAsia="Arial" w:hAnsi="Arial" w:cs="Arial"/>
                <w:sz w:val="22"/>
                <w:szCs w:val="22"/>
                <w:lang w:val="es-ES_tradnl"/>
              </w:rPr>
              <w:t xml:space="preserve"> gestión </w:t>
            </w:r>
            <w:r>
              <w:rPr>
                <w:rFonts w:ascii="Arial" w:eastAsia="Arial" w:hAnsi="Arial" w:cs="Arial"/>
                <w:sz w:val="22"/>
                <w:szCs w:val="22"/>
                <w:lang w:val="es-ES_tradnl"/>
              </w:rPr>
              <w:t>académica</w:t>
            </w:r>
            <w:r w:rsidRPr="008B28DE">
              <w:rPr>
                <w:rFonts w:ascii="Arial" w:eastAsia="Arial" w:hAnsi="Arial" w:cs="Arial"/>
                <w:sz w:val="22"/>
                <w:szCs w:val="22"/>
                <w:lang w:val="es-ES_tradnl"/>
              </w:rPr>
              <w:t xml:space="preserve"> </w:t>
            </w:r>
            <w:r>
              <w:rPr>
                <w:rFonts w:ascii="Arial" w:eastAsia="Arial" w:hAnsi="Arial" w:cs="Arial"/>
                <w:sz w:val="22"/>
                <w:szCs w:val="22"/>
                <w:lang w:val="es-ES_tradnl"/>
              </w:rPr>
              <w:t>de las IES públicas</w:t>
            </w:r>
          </w:p>
        </w:tc>
        <w:tc>
          <w:tcPr>
            <w:tcW w:w="1962" w:type="dxa"/>
            <w:shd w:val="clear" w:color="auto" w:fill="FFFFFF" w:themeFill="background1"/>
          </w:tcPr>
          <w:p w14:paraId="33584459" w14:textId="3294D37F" w:rsidR="008B28DE" w:rsidRPr="008B28DE" w:rsidRDefault="008B28DE" w:rsidP="008B28DE">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22"/>
                <w:szCs w:val="22"/>
                <w:lang w:val="es-ES_tradnl"/>
              </w:rPr>
            </w:pPr>
            <w:r w:rsidRPr="008B28DE">
              <w:rPr>
                <w:rFonts w:ascii="Arial" w:hAnsi="Arial" w:cs="Arial"/>
                <w:sz w:val="20"/>
                <w:szCs w:val="20"/>
              </w:rPr>
              <w:t xml:space="preserve">$ </w:t>
            </w:r>
            <w:r w:rsidR="005F54D8">
              <w:rPr>
                <w:rFonts w:ascii="Arial" w:eastAsia="Arial" w:hAnsi="Arial" w:cs="Arial"/>
                <w:sz w:val="22"/>
                <w:szCs w:val="22"/>
                <w:lang w:val="es-ES_tradnl"/>
              </w:rPr>
              <w:t>54,200,877</w:t>
            </w:r>
          </w:p>
        </w:tc>
      </w:tr>
      <w:tr w:rsidR="008B28DE" w:rsidRPr="008B28DE" w14:paraId="6D366FFA" w14:textId="77777777" w:rsidTr="008B28DE">
        <w:tc>
          <w:tcPr>
            <w:tcW w:w="8028" w:type="dxa"/>
            <w:shd w:val="clear" w:color="auto" w:fill="FFFFFF" w:themeFill="background1"/>
          </w:tcPr>
          <w:p w14:paraId="09A626C9" w14:textId="77777777" w:rsidR="008B28DE" w:rsidRPr="008B28DE" w:rsidRDefault="005020D2" w:rsidP="00C440BD">
            <w:pPr>
              <w:pBdr>
                <w:top w:val="none" w:sz="0" w:space="0" w:color="auto"/>
                <w:left w:val="none" w:sz="0" w:space="0" w:color="auto"/>
                <w:bottom w:val="none" w:sz="0" w:space="0" w:color="auto"/>
                <w:right w:val="none" w:sz="0" w:space="0" w:color="auto"/>
                <w:between w:val="none" w:sz="0" w:space="0" w:color="auto"/>
              </w:pBdr>
              <w:jc w:val="both"/>
              <w:rPr>
                <w:rFonts w:ascii="Arial" w:eastAsia="Arial" w:hAnsi="Arial" w:cs="Arial"/>
                <w:sz w:val="22"/>
                <w:szCs w:val="22"/>
                <w:lang w:val="es-ES_tradnl"/>
              </w:rPr>
            </w:pPr>
            <w:r>
              <w:rPr>
                <w:rFonts w:ascii="Arial" w:eastAsia="Arial" w:hAnsi="Arial" w:cs="Arial"/>
                <w:sz w:val="22"/>
                <w:szCs w:val="22"/>
                <w:lang w:val="es-ES_tradnl"/>
              </w:rPr>
              <w:t xml:space="preserve">Subcomponente </w:t>
            </w:r>
            <w:r w:rsidR="008B28DE" w:rsidRPr="008B28DE">
              <w:rPr>
                <w:rFonts w:ascii="Arial" w:eastAsia="Arial" w:hAnsi="Arial" w:cs="Arial"/>
                <w:sz w:val="22"/>
                <w:szCs w:val="22"/>
                <w:lang w:val="es-ES_tradnl"/>
              </w:rPr>
              <w:t xml:space="preserve">3: </w:t>
            </w:r>
            <w:r>
              <w:rPr>
                <w:rFonts w:ascii="Arial" w:eastAsia="Arial" w:hAnsi="Arial" w:cs="Arial"/>
                <w:sz w:val="22"/>
                <w:szCs w:val="22"/>
                <w:lang w:val="es-ES_tradnl"/>
              </w:rPr>
              <w:t>Mejora</w:t>
            </w:r>
            <w:r w:rsidRPr="008B28DE">
              <w:rPr>
                <w:rFonts w:ascii="Arial" w:eastAsia="Arial" w:hAnsi="Arial" w:cs="Arial"/>
                <w:sz w:val="22"/>
                <w:szCs w:val="22"/>
                <w:lang w:val="es-ES_tradnl"/>
              </w:rPr>
              <w:t xml:space="preserve"> </w:t>
            </w:r>
            <w:r>
              <w:rPr>
                <w:rFonts w:ascii="Arial" w:eastAsia="Arial" w:hAnsi="Arial" w:cs="Arial"/>
                <w:sz w:val="22"/>
                <w:szCs w:val="22"/>
                <w:lang w:val="es-ES_tradnl"/>
              </w:rPr>
              <w:t>de la</w:t>
            </w:r>
            <w:r w:rsidRPr="008B28DE">
              <w:rPr>
                <w:rFonts w:ascii="Arial" w:eastAsia="Arial" w:hAnsi="Arial" w:cs="Arial"/>
                <w:sz w:val="22"/>
                <w:szCs w:val="22"/>
                <w:lang w:val="es-ES_tradnl"/>
              </w:rPr>
              <w:t xml:space="preserve"> gestión </w:t>
            </w:r>
            <w:r>
              <w:rPr>
                <w:rFonts w:ascii="Arial" w:eastAsia="Arial" w:hAnsi="Arial" w:cs="Arial"/>
                <w:sz w:val="22"/>
                <w:szCs w:val="22"/>
                <w:lang w:val="es-ES_tradnl"/>
              </w:rPr>
              <w:t>de la investigación, desarrollo e innovación (I+D+I)</w:t>
            </w:r>
            <w:r w:rsidRPr="008B28DE">
              <w:rPr>
                <w:rFonts w:ascii="Arial" w:eastAsia="Arial" w:hAnsi="Arial" w:cs="Arial"/>
                <w:sz w:val="22"/>
                <w:szCs w:val="22"/>
                <w:lang w:val="es-ES_tradnl"/>
              </w:rPr>
              <w:t xml:space="preserve"> </w:t>
            </w:r>
            <w:r>
              <w:rPr>
                <w:rFonts w:ascii="Arial" w:eastAsia="Arial" w:hAnsi="Arial" w:cs="Arial"/>
                <w:sz w:val="22"/>
                <w:szCs w:val="22"/>
                <w:lang w:val="es-ES_tradnl"/>
              </w:rPr>
              <w:t>de las IES públicas</w:t>
            </w:r>
          </w:p>
        </w:tc>
        <w:tc>
          <w:tcPr>
            <w:tcW w:w="1962" w:type="dxa"/>
            <w:shd w:val="clear" w:color="auto" w:fill="FFFFFF" w:themeFill="background1"/>
          </w:tcPr>
          <w:p w14:paraId="462AA631" w14:textId="1A0408CB" w:rsidR="008B28DE" w:rsidRPr="008B28DE" w:rsidRDefault="008B28DE" w:rsidP="008B28DE">
            <w:pPr>
              <w:pBdr>
                <w:top w:val="none" w:sz="0" w:space="0" w:color="auto"/>
                <w:left w:val="none" w:sz="0" w:space="0" w:color="auto"/>
                <w:bottom w:val="none" w:sz="0" w:space="0" w:color="auto"/>
                <w:right w:val="none" w:sz="0" w:space="0" w:color="auto"/>
                <w:between w:val="none" w:sz="0" w:space="0" w:color="auto"/>
              </w:pBdr>
              <w:jc w:val="center"/>
              <w:rPr>
                <w:rFonts w:ascii="Arial" w:eastAsia="Arial" w:hAnsi="Arial" w:cs="Arial"/>
                <w:sz w:val="22"/>
                <w:szCs w:val="22"/>
                <w:lang w:val="es-ES_tradnl"/>
              </w:rPr>
            </w:pPr>
            <w:r w:rsidRPr="008B28DE">
              <w:rPr>
                <w:rFonts w:ascii="Arial" w:hAnsi="Arial" w:cs="Arial"/>
                <w:sz w:val="20"/>
                <w:szCs w:val="20"/>
              </w:rPr>
              <w:t xml:space="preserve">$ </w:t>
            </w:r>
            <w:r w:rsidR="0012306D">
              <w:rPr>
                <w:rFonts w:ascii="Arial" w:eastAsia="Arial" w:hAnsi="Arial" w:cs="Arial"/>
                <w:sz w:val="22"/>
                <w:szCs w:val="22"/>
                <w:lang w:val="es-ES_tradnl"/>
              </w:rPr>
              <w:t>6,459,201</w:t>
            </w:r>
          </w:p>
        </w:tc>
      </w:tr>
    </w:tbl>
    <w:p w14:paraId="5C72C347" w14:textId="77777777" w:rsidR="008B28DE" w:rsidRDefault="008B28DE" w:rsidP="00C440BD">
      <w:pPr>
        <w:jc w:val="both"/>
        <w:rPr>
          <w:rFonts w:ascii="Arial" w:eastAsia="Arial" w:hAnsi="Arial" w:cs="Arial"/>
          <w:sz w:val="22"/>
          <w:szCs w:val="22"/>
          <w:highlight w:val="yellow"/>
          <w:lang w:val="es-ES_tradnl"/>
        </w:rPr>
      </w:pPr>
    </w:p>
    <w:p w14:paraId="39BA6591" w14:textId="77777777" w:rsidR="008A2A84" w:rsidRPr="00CE7AB7" w:rsidRDefault="008A2A84" w:rsidP="00C440BD">
      <w:pPr>
        <w:jc w:val="both"/>
        <w:rPr>
          <w:rFonts w:ascii="Arial" w:eastAsia="Arial" w:hAnsi="Arial" w:cs="Arial"/>
          <w:sz w:val="22"/>
          <w:szCs w:val="22"/>
          <w:highlight w:val="yellow"/>
          <w:lang w:val="es-ES_tradnl"/>
        </w:rPr>
      </w:pPr>
    </w:p>
    <w:p w14:paraId="3ED73F4C" w14:textId="77777777" w:rsidR="008A2A84" w:rsidRPr="00D535D7" w:rsidRDefault="001B2BB5" w:rsidP="00C440BD">
      <w:pPr>
        <w:numPr>
          <w:ilvl w:val="1"/>
          <w:numId w:val="1"/>
        </w:numPr>
        <w:ind w:left="0"/>
        <w:contextualSpacing/>
        <w:jc w:val="both"/>
        <w:rPr>
          <w:rFonts w:ascii="Arial" w:eastAsia="Arial" w:hAnsi="Arial" w:cs="Arial"/>
          <w:b/>
          <w:lang w:val="es-ES_tradnl"/>
        </w:rPr>
      </w:pPr>
      <w:r w:rsidRPr="00D535D7">
        <w:rPr>
          <w:rFonts w:ascii="Arial" w:eastAsia="Arial" w:hAnsi="Arial" w:cs="Arial"/>
          <w:b/>
          <w:lang w:val="es-ES_tradnl"/>
        </w:rPr>
        <w:lastRenderedPageBreak/>
        <w:t xml:space="preserve">Costos del componente de </w:t>
      </w:r>
      <w:r w:rsidR="007F09DC">
        <w:rPr>
          <w:rFonts w:ascii="Arial" w:eastAsia="Arial" w:hAnsi="Arial" w:cs="Arial"/>
          <w:b/>
          <w:lang w:val="es-ES_tradnl"/>
        </w:rPr>
        <w:t xml:space="preserve">Mejora de la infraestructura y equipamiento de las </w:t>
      </w:r>
      <w:r w:rsidR="00D5178C">
        <w:rPr>
          <w:rFonts w:ascii="Arial" w:eastAsia="Arial" w:hAnsi="Arial" w:cs="Arial"/>
          <w:b/>
          <w:lang w:val="es-ES_tradnl"/>
        </w:rPr>
        <w:t>IES</w:t>
      </w:r>
      <w:r w:rsidR="007F09DC">
        <w:rPr>
          <w:rFonts w:ascii="Arial" w:eastAsia="Arial" w:hAnsi="Arial" w:cs="Arial"/>
          <w:b/>
          <w:lang w:val="es-ES_tradnl"/>
        </w:rPr>
        <w:t xml:space="preserve"> pública</w:t>
      </w:r>
      <w:r w:rsidR="00D5178C">
        <w:rPr>
          <w:rFonts w:ascii="Arial" w:eastAsia="Arial" w:hAnsi="Arial" w:cs="Arial"/>
          <w:b/>
          <w:lang w:val="es-ES_tradnl"/>
        </w:rPr>
        <w:t>s</w:t>
      </w:r>
    </w:p>
    <w:p w14:paraId="62A4155B" w14:textId="77777777" w:rsidR="008A2A84" w:rsidRPr="00CE7AB7" w:rsidRDefault="008A2A84" w:rsidP="00C440BD">
      <w:pPr>
        <w:jc w:val="both"/>
        <w:rPr>
          <w:rFonts w:ascii="Arial" w:eastAsia="Arial" w:hAnsi="Arial" w:cs="Arial"/>
          <w:b/>
          <w:highlight w:val="yellow"/>
          <w:lang w:val="es-ES_tradnl"/>
        </w:rPr>
      </w:pPr>
    </w:p>
    <w:p w14:paraId="4BD44097" w14:textId="7288EE36" w:rsidR="00393F95" w:rsidRDefault="0089473D" w:rsidP="00E4455F">
      <w:pPr>
        <w:pStyle w:val="ListParagraph"/>
        <w:numPr>
          <w:ilvl w:val="0"/>
          <w:numId w:val="2"/>
        </w:numPr>
        <w:tabs>
          <w:tab w:val="left" w:pos="360"/>
        </w:tabs>
        <w:ind w:left="0" w:hanging="450"/>
        <w:jc w:val="both"/>
        <w:rPr>
          <w:rFonts w:ascii="Arial" w:eastAsia="Arial" w:hAnsi="Arial" w:cs="Arial"/>
          <w:sz w:val="22"/>
          <w:szCs w:val="22"/>
        </w:rPr>
      </w:pPr>
      <w:r w:rsidRPr="0089473D">
        <w:rPr>
          <w:rFonts w:ascii="Arial" w:eastAsia="Arial" w:hAnsi="Arial" w:cs="Arial"/>
          <w:sz w:val="22"/>
          <w:szCs w:val="22"/>
        </w:rPr>
        <w:t xml:space="preserve">La evidencia empírica </w:t>
      </w:r>
      <w:r w:rsidR="00C41CE2">
        <w:rPr>
          <w:rFonts w:ascii="Arial" w:eastAsia="Arial" w:hAnsi="Arial" w:cs="Arial"/>
          <w:sz w:val="22"/>
          <w:szCs w:val="22"/>
        </w:rPr>
        <w:t>del</w:t>
      </w:r>
      <w:r w:rsidRPr="0089473D">
        <w:rPr>
          <w:rFonts w:ascii="Arial" w:eastAsia="Arial" w:hAnsi="Arial" w:cs="Arial"/>
          <w:sz w:val="22"/>
          <w:szCs w:val="22"/>
        </w:rPr>
        <w:t xml:space="preserve"> impacto de la infraestructura sobre la calidad de la </w:t>
      </w:r>
      <w:r w:rsidR="00487FCB">
        <w:rPr>
          <w:rFonts w:ascii="Arial" w:eastAsia="Arial" w:hAnsi="Arial" w:cs="Arial"/>
          <w:sz w:val="22"/>
          <w:szCs w:val="22"/>
        </w:rPr>
        <w:t>ES</w:t>
      </w:r>
      <w:r w:rsidRPr="0089473D">
        <w:rPr>
          <w:rFonts w:ascii="Arial" w:eastAsia="Arial" w:hAnsi="Arial" w:cs="Arial"/>
          <w:sz w:val="22"/>
          <w:szCs w:val="22"/>
        </w:rPr>
        <w:t xml:space="preserve"> se centra, principalmente, en tres dimensiones: (i) bibliohemerografíca (infraestructura de la biblioteca y hemeroteca), física (salones de clase, auditorio, en general espacios en donde se conduzca el dictado de clases y/o otras actividades educativas) y tecnológica (laboratorios científicos, salas de cómputo, entre otros)</w:t>
      </w:r>
      <w:r w:rsidRPr="00C237AC">
        <w:rPr>
          <w:rFonts w:ascii="Arial" w:eastAsia="Arial" w:hAnsi="Arial" w:cs="Arial"/>
          <w:sz w:val="22"/>
          <w:szCs w:val="22"/>
          <w:vertAlign w:val="superscript"/>
        </w:rPr>
        <w:footnoteReference w:id="14"/>
      </w:r>
      <w:r w:rsidR="00C237AC">
        <w:rPr>
          <w:rFonts w:ascii="Arial" w:eastAsia="Arial" w:hAnsi="Arial" w:cs="Arial"/>
          <w:sz w:val="22"/>
          <w:szCs w:val="22"/>
        </w:rPr>
        <w:t>.</w:t>
      </w:r>
      <w:r w:rsidRPr="0089473D">
        <w:rPr>
          <w:rFonts w:ascii="Arial" w:eastAsia="Arial" w:hAnsi="Arial" w:cs="Arial"/>
          <w:sz w:val="22"/>
          <w:szCs w:val="22"/>
        </w:rPr>
        <w:t xml:space="preserve"> </w:t>
      </w:r>
      <w:r w:rsidR="00393F95">
        <w:rPr>
          <w:rFonts w:ascii="Arial" w:eastAsia="Arial" w:hAnsi="Arial" w:cs="Arial"/>
          <w:sz w:val="22"/>
          <w:szCs w:val="22"/>
        </w:rPr>
        <w:t>En particular,</w:t>
      </w:r>
      <w:r w:rsidR="00C41CE2">
        <w:rPr>
          <w:rFonts w:ascii="Arial" w:eastAsia="Arial" w:hAnsi="Arial" w:cs="Arial"/>
          <w:sz w:val="22"/>
          <w:szCs w:val="22"/>
        </w:rPr>
        <w:t xml:space="preserve"> mientras el Banco Interamericano de Desarrollo (2002)</w:t>
      </w:r>
      <w:r w:rsidR="00C41CE2" w:rsidRPr="00C237AC">
        <w:rPr>
          <w:rFonts w:ascii="Arial" w:eastAsia="Arial" w:hAnsi="Arial" w:cs="Arial"/>
          <w:sz w:val="22"/>
          <w:szCs w:val="22"/>
          <w:vertAlign w:val="superscript"/>
        </w:rPr>
        <w:footnoteReference w:id="15"/>
      </w:r>
      <w:r w:rsidR="00C41CE2">
        <w:rPr>
          <w:rFonts w:ascii="Arial" w:eastAsia="Arial" w:hAnsi="Arial" w:cs="Arial"/>
          <w:sz w:val="22"/>
          <w:szCs w:val="22"/>
        </w:rPr>
        <w:t xml:space="preserve">, luego de analizar diversos estudios de impacto de la infraestructura en la educación, concluye que la infraestructura es un componente importante del proceso de aprendizaje, </w:t>
      </w:r>
      <w:r w:rsidR="00487FCB">
        <w:rPr>
          <w:rFonts w:ascii="Arial" w:eastAsia="Arial" w:hAnsi="Arial" w:cs="Arial"/>
          <w:sz w:val="22"/>
          <w:szCs w:val="22"/>
        </w:rPr>
        <w:t>la CAF</w:t>
      </w:r>
      <w:r w:rsidR="00C41CE2">
        <w:rPr>
          <w:rFonts w:ascii="Arial" w:eastAsia="Arial" w:hAnsi="Arial" w:cs="Arial"/>
          <w:sz w:val="22"/>
          <w:szCs w:val="22"/>
        </w:rPr>
        <w:t xml:space="preserve"> sostiene que contar con aulas y espacios de aprendizaje en buen estado es determinante en el momento de lograr que los alumnos tengan los resultados esperados. Es decir, como el estado de los ambientes educativos incide directamente en el desempeño y capacidades de los alumnos, las inversiones en infraestructura educativa tienen un papel fundamental pata solucionar el problema de acceso a </w:t>
      </w:r>
      <w:r w:rsidR="00487FCB">
        <w:rPr>
          <w:rFonts w:ascii="Arial" w:eastAsia="Arial" w:hAnsi="Arial" w:cs="Arial"/>
          <w:sz w:val="22"/>
          <w:szCs w:val="22"/>
        </w:rPr>
        <w:t xml:space="preserve">ES </w:t>
      </w:r>
      <w:r w:rsidR="00C41CE2">
        <w:rPr>
          <w:rFonts w:ascii="Arial" w:eastAsia="Arial" w:hAnsi="Arial" w:cs="Arial"/>
          <w:sz w:val="22"/>
          <w:szCs w:val="22"/>
        </w:rPr>
        <w:t xml:space="preserve">de calidad de los estudiantes, para mejorar su rendimiento y mayor empleabilidad con mejores ingresos en el mercado laboral. </w:t>
      </w:r>
    </w:p>
    <w:p w14:paraId="28BEB65A" w14:textId="77777777" w:rsidR="008A2A84" w:rsidRPr="00906191" w:rsidRDefault="008A2A84" w:rsidP="000C5C3B">
      <w:pPr>
        <w:pStyle w:val="ListParagraph"/>
        <w:tabs>
          <w:tab w:val="left" w:pos="360"/>
        </w:tabs>
        <w:ind w:left="0"/>
        <w:jc w:val="both"/>
        <w:rPr>
          <w:rFonts w:ascii="Arial" w:eastAsia="Arial" w:hAnsi="Arial" w:cs="Arial"/>
          <w:sz w:val="22"/>
          <w:szCs w:val="22"/>
        </w:rPr>
      </w:pPr>
    </w:p>
    <w:p w14:paraId="376657D6" w14:textId="77777777" w:rsidR="00C41CE2" w:rsidRDefault="00C41CE2" w:rsidP="00E4455F">
      <w:pPr>
        <w:pStyle w:val="ListParagraph"/>
        <w:numPr>
          <w:ilvl w:val="0"/>
          <w:numId w:val="2"/>
        </w:numPr>
        <w:tabs>
          <w:tab w:val="left" w:pos="360"/>
        </w:tabs>
        <w:ind w:left="0" w:hanging="450"/>
        <w:jc w:val="both"/>
        <w:rPr>
          <w:rFonts w:ascii="Arial" w:eastAsia="Arial" w:hAnsi="Arial" w:cs="Arial"/>
          <w:sz w:val="22"/>
          <w:szCs w:val="22"/>
        </w:rPr>
      </w:pPr>
      <w:r w:rsidRPr="00DC3C41">
        <w:rPr>
          <w:rFonts w:ascii="Arial" w:eastAsia="Arial" w:hAnsi="Arial" w:cs="Arial"/>
          <w:sz w:val="22"/>
          <w:szCs w:val="22"/>
        </w:rPr>
        <w:t xml:space="preserve">Considerando las </w:t>
      </w:r>
      <w:r w:rsidR="00A76F5C">
        <w:rPr>
          <w:rFonts w:ascii="Arial" w:eastAsia="Arial" w:hAnsi="Arial" w:cs="Arial"/>
          <w:sz w:val="22"/>
          <w:szCs w:val="22"/>
        </w:rPr>
        <w:t>deficiencias en</w:t>
      </w:r>
      <w:r w:rsidRPr="00DC3C41">
        <w:rPr>
          <w:rFonts w:ascii="Arial" w:eastAsia="Arial" w:hAnsi="Arial" w:cs="Arial"/>
          <w:sz w:val="22"/>
          <w:szCs w:val="22"/>
        </w:rPr>
        <w:t xml:space="preserve"> infraestructura </w:t>
      </w:r>
      <w:r w:rsidR="00A76F5C">
        <w:rPr>
          <w:rFonts w:ascii="Arial" w:eastAsia="Arial" w:hAnsi="Arial" w:cs="Arial"/>
          <w:sz w:val="22"/>
          <w:szCs w:val="22"/>
        </w:rPr>
        <w:t>en las</w:t>
      </w:r>
      <w:r w:rsidRPr="00DC3C41">
        <w:rPr>
          <w:rFonts w:ascii="Arial" w:eastAsia="Arial" w:hAnsi="Arial" w:cs="Arial"/>
          <w:sz w:val="22"/>
          <w:szCs w:val="22"/>
        </w:rPr>
        <w:t xml:space="preserve"> universidades </w:t>
      </w:r>
      <w:r w:rsidR="00A76F5C">
        <w:rPr>
          <w:rFonts w:ascii="Arial" w:eastAsia="Arial" w:hAnsi="Arial" w:cs="Arial"/>
          <w:sz w:val="22"/>
          <w:szCs w:val="22"/>
        </w:rPr>
        <w:t>e IEST público</w:t>
      </w:r>
      <w:r w:rsidRPr="00DC3C41">
        <w:rPr>
          <w:rFonts w:ascii="Arial" w:eastAsia="Arial" w:hAnsi="Arial" w:cs="Arial"/>
          <w:sz w:val="22"/>
          <w:szCs w:val="22"/>
        </w:rPr>
        <w:t xml:space="preserve">s, se utilizan dos criterios de selección que priorizar las siete universidades públicas a intervenir mediante </w:t>
      </w:r>
      <w:r w:rsidR="00A20458">
        <w:rPr>
          <w:rFonts w:ascii="Arial" w:eastAsia="Arial" w:hAnsi="Arial" w:cs="Arial"/>
          <w:sz w:val="22"/>
          <w:szCs w:val="22"/>
        </w:rPr>
        <w:t xml:space="preserve">ocho </w:t>
      </w:r>
      <w:r w:rsidRPr="00DC3C41">
        <w:rPr>
          <w:rFonts w:ascii="Arial" w:eastAsia="Arial" w:hAnsi="Arial" w:cs="Arial"/>
          <w:sz w:val="22"/>
          <w:szCs w:val="22"/>
        </w:rPr>
        <w:t>proyectos de inversi</w:t>
      </w:r>
      <w:r w:rsidR="00DC3C41" w:rsidRPr="00DC3C41">
        <w:rPr>
          <w:rFonts w:ascii="Arial" w:eastAsia="Arial" w:hAnsi="Arial" w:cs="Arial"/>
          <w:sz w:val="22"/>
          <w:szCs w:val="22"/>
        </w:rPr>
        <w:t>ón: (i) que cuenten con un rector reconocido por la SUNEDU y (ii) mayor índice de calidad. Este índice está compuesto por (i) indicadores de egresados, (ii) indicadores de oferta educativa e (iii) indicadores de producción e investigación científica. Adicionalmente, se toma en cuenta para el cálculo, si la universidad está institucionalizada o no</w:t>
      </w:r>
      <w:r w:rsidR="00150D76" w:rsidRPr="00C237AC">
        <w:rPr>
          <w:rFonts w:eastAsia="Arial"/>
          <w:vertAlign w:val="superscript"/>
        </w:rPr>
        <w:footnoteReference w:id="16"/>
      </w:r>
      <w:r w:rsidR="00DC3C41" w:rsidRPr="00DC3C41">
        <w:rPr>
          <w:rFonts w:ascii="Arial" w:eastAsia="Arial" w:hAnsi="Arial" w:cs="Arial"/>
          <w:sz w:val="22"/>
          <w:szCs w:val="22"/>
        </w:rPr>
        <w:t xml:space="preserve">. </w:t>
      </w:r>
      <w:r w:rsidR="00231648">
        <w:rPr>
          <w:rFonts w:ascii="Arial" w:eastAsia="Arial" w:hAnsi="Arial" w:cs="Arial"/>
          <w:sz w:val="22"/>
          <w:szCs w:val="22"/>
        </w:rPr>
        <w:t>Finalmente, en el Cuadro 2</w:t>
      </w:r>
      <w:r w:rsidR="00DC3C41" w:rsidRPr="00DC3C41">
        <w:rPr>
          <w:rFonts w:ascii="Arial" w:eastAsia="Arial" w:hAnsi="Arial" w:cs="Arial"/>
          <w:sz w:val="22"/>
          <w:szCs w:val="22"/>
        </w:rPr>
        <w:t xml:space="preserve"> se muestran las universidades públicas priorizadas, el proyecto de inversión asociado a infraestructura y que está sustentado en la evidencia y el costo </w:t>
      </w:r>
      <w:r w:rsidR="002B51DE">
        <w:rPr>
          <w:rFonts w:ascii="Arial" w:eastAsia="Arial" w:hAnsi="Arial" w:cs="Arial"/>
          <w:sz w:val="22"/>
          <w:szCs w:val="22"/>
        </w:rPr>
        <w:t xml:space="preserve">total </w:t>
      </w:r>
      <w:r w:rsidR="00DC3C41" w:rsidRPr="00DC3C41">
        <w:rPr>
          <w:rFonts w:ascii="Arial" w:eastAsia="Arial" w:hAnsi="Arial" w:cs="Arial"/>
          <w:sz w:val="22"/>
          <w:szCs w:val="22"/>
        </w:rPr>
        <w:t>asociado que su implementación le genera al programa</w:t>
      </w:r>
      <w:r w:rsidR="00D51DF5">
        <w:rPr>
          <w:rFonts w:ascii="Arial" w:eastAsia="Arial" w:hAnsi="Arial" w:cs="Arial"/>
          <w:sz w:val="22"/>
          <w:szCs w:val="22"/>
        </w:rPr>
        <w:t>.</w:t>
      </w:r>
    </w:p>
    <w:p w14:paraId="6C448EF9" w14:textId="77777777" w:rsidR="00892AE4" w:rsidRPr="00906191" w:rsidRDefault="00892AE4" w:rsidP="000C5C3B">
      <w:pPr>
        <w:pStyle w:val="ListParagraph"/>
        <w:tabs>
          <w:tab w:val="left" w:pos="360"/>
        </w:tabs>
        <w:ind w:left="0"/>
        <w:jc w:val="both"/>
        <w:rPr>
          <w:rFonts w:ascii="Arial" w:eastAsia="Arial" w:hAnsi="Arial" w:cs="Arial"/>
          <w:sz w:val="22"/>
          <w:szCs w:val="22"/>
        </w:rPr>
      </w:pPr>
    </w:p>
    <w:p w14:paraId="1D2DC552" w14:textId="2995F4AF" w:rsidR="005F11D9" w:rsidRDefault="005F11D9" w:rsidP="00E4455F">
      <w:pPr>
        <w:pStyle w:val="ListParagraph"/>
        <w:numPr>
          <w:ilvl w:val="0"/>
          <w:numId w:val="2"/>
        </w:numPr>
        <w:tabs>
          <w:tab w:val="left" w:pos="360"/>
        </w:tabs>
        <w:ind w:left="0" w:hanging="450"/>
        <w:jc w:val="both"/>
        <w:rPr>
          <w:rFonts w:ascii="Arial" w:eastAsia="Arial" w:hAnsi="Arial" w:cs="Arial"/>
          <w:sz w:val="22"/>
          <w:szCs w:val="22"/>
        </w:rPr>
      </w:pPr>
      <w:r w:rsidRPr="00D51DF5">
        <w:rPr>
          <w:rFonts w:ascii="Arial" w:eastAsia="Arial" w:hAnsi="Arial" w:cs="Arial"/>
          <w:sz w:val="22"/>
          <w:szCs w:val="22"/>
        </w:rPr>
        <w:t xml:space="preserve">Como para el 2014, el Censo Escolar indica que solo 48 de 353 IEST </w:t>
      </w:r>
      <w:r w:rsidR="00A01AF6">
        <w:rPr>
          <w:rFonts w:ascii="Arial" w:eastAsia="Arial" w:hAnsi="Arial" w:cs="Arial"/>
          <w:sz w:val="22"/>
          <w:szCs w:val="22"/>
        </w:rPr>
        <w:t xml:space="preserve">públicas </w:t>
      </w:r>
      <w:r w:rsidRPr="00D51DF5">
        <w:rPr>
          <w:rFonts w:ascii="Arial" w:eastAsia="Arial" w:hAnsi="Arial" w:cs="Arial"/>
          <w:sz w:val="22"/>
          <w:szCs w:val="22"/>
        </w:rPr>
        <w:t xml:space="preserve">cumplen con las variables mínimas de calidad en infraestructura, oferta pertinente y gestión institucional, existe una evidente necesidad de intervenir en los </w:t>
      </w:r>
      <w:r w:rsidR="00274642">
        <w:rPr>
          <w:rFonts w:ascii="Arial" w:eastAsia="Arial" w:hAnsi="Arial" w:cs="Arial"/>
          <w:sz w:val="22"/>
          <w:szCs w:val="22"/>
        </w:rPr>
        <w:t>IEST</w:t>
      </w:r>
      <w:r w:rsidRPr="00D51DF5">
        <w:rPr>
          <w:rFonts w:ascii="Arial" w:eastAsia="Arial" w:hAnsi="Arial" w:cs="Arial"/>
          <w:sz w:val="22"/>
          <w:szCs w:val="22"/>
        </w:rPr>
        <w:t xml:space="preserve"> </w:t>
      </w:r>
      <w:r w:rsidR="00A01AF6">
        <w:rPr>
          <w:rFonts w:ascii="Arial" w:eastAsia="Arial" w:hAnsi="Arial" w:cs="Arial"/>
          <w:sz w:val="22"/>
          <w:szCs w:val="22"/>
        </w:rPr>
        <w:t xml:space="preserve">públicos </w:t>
      </w:r>
      <w:r w:rsidRPr="00D51DF5">
        <w:rPr>
          <w:rFonts w:ascii="Arial" w:eastAsia="Arial" w:hAnsi="Arial" w:cs="Arial"/>
          <w:sz w:val="22"/>
          <w:szCs w:val="22"/>
        </w:rPr>
        <w:t xml:space="preserve">para una mejora significativa en infraestructura. </w:t>
      </w:r>
      <w:r w:rsidR="00D51DF5" w:rsidRPr="00D51DF5">
        <w:rPr>
          <w:rFonts w:ascii="Arial" w:eastAsia="Arial" w:hAnsi="Arial" w:cs="Arial"/>
          <w:sz w:val="22"/>
          <w:szCs w:val="22"/>
        </w:rPr>
        <w:t xml:space="preserve">Sin embargo, como las urgencias en cada una de las instituciones son distintas, se establecen criterios para seleccionar cuáles son las prioritarias a intervenir. En base al informe de análisis de selección de </w:t>
      </w:r>
      <w:r w:rsidR="00274642">
        <w:rPr>
          <w:rFonts w:ascii="Arial" w:eastAsia="Arial" w:hAnsi="Arial" w:cs="Arial"/>
          <w:sz w:val="22"/>
          <w:szCs w:val="22"/>
        </w:rPr>
        <w:t>IEST</w:t>
      </w:r>
      <w:r w:rsidR="00D51DF5" w:rsidRPr="00D51DF5">
        <w:rPr>
          <w:rFonts w:ascii="Arial" w:eastAsia="Arial" w:hAnsi="Arial" w:cs="Arial"/>
          <w:sz w:val="22"/>
          <w:szCs w:val="22"/>
        </w:rPr>
        <w:t xml:space="preserve"> potenciales de convertirse en </w:t>
      </w:r>
      <w:r w:rsidR="00274642">
        <w:rPr>
          <w:rFonts w:ascii="Arial" w:eastAsia="Arial" w:hAnsi="Arial" w:cs="Arial"/>
          <w:sz w:val="22"/>
          <w:szCs w:val="22"/>
        </w:rPr>
        <w:t>IEST</w:t>
      </w:r>
      <w:r w:rsidR="00D51DF5" w:rsidRPr="00D51DF5">
        <w:rPr>
          <w:rFonts w:ascii="Arial" w:eastAsia="Arial" w:hAnsi="Arial" w:cs="Arial"/>
          <w:sz w:val="22"/>
          <w:szCs w:val="22"/>
        </w:rPr>
        <w:t xml:space="preserve"> de excelencia basado en los componentes de demanda de servicio educativo, capacidad de crecimiento y pertinencia de la Dirección General de Educación Técnico – Productiva y Superior Tecnológica y Artística, se elaboró un indicador sintético y se hizo un ranking de calidad de los IEST. A partir de ello y del diagnóstico de infraestructura en base al Censo Escolar, se priorizaron dos IEST, ta</w:t>
      </w:r>
      <w:r w:rsidR="00231648">
        <w:rPr>
          <w:rFonts w:ascii="Arial" w:eastAsia="Arial" w:hAnsi="Arial" w:cs="Arial"/>
          <w:sz w:val="22"/>
          <w:szCs w:val="22"/>
        </w:rPr>
        <w:t>l como se muestra en el Cuadro 2</w:t>
      </w:r>
      <w:r w:rsidR="00D51DF5" w:rsidRPr="00D51DF5">
        <w:rPr>
          <w:rFonts w:ascii="Arial" w:eastAsia="Arial" w:hAnsi="Arial" w:cs="Arial"/>
          <w:sz w:val="22"/>
          <w:szCs w:val="22"/>
        </w:rPr>
        <w:t>.</w:t>
      </w:r>
      <w:r w:rsidR="00D51DF5">
        <w:rPr>
          <w:rFonts w:ascii="Arial" w:eastAsia="Arial" w:hAnsi="Arial" w:cs="Arial"/>
          <w:sz w:val="22"/>
          <w:szCs w:val="22"/>
        </w:rPr>
        <w:t xml:space="preserve"> </w:t>
      </w:r>
    </w:p>
    <w:p w14:paraId="7FF78CC3" w14:textId="0AB7EA77" w:rsidR="0094716F" w:rsidRDefault="0094716F" w:rsidP="00C440BD">
      <w:pPr>
        <w:jc w:val="both"/>
        <w:rPr>
          <w:rFonts w:ascii="Arial" w:eastAsia="Arial" w:hAnsi="Arial" w:cs="Arial"/>
          <w:sz w:val="22"/>
          <w:szCs w:val="22"/>
          <w:lang w:val="es-ES_tradnl"/>
        </w:rPr>
      </w:pPr>
    </w:p>
    <w:p w14:paraId="56E01AF6" w14:textId="77777777" w:rsidR="00892AE4" w:rsidRPr="00D51DF5" w:rsidRDefault="00231648" w:rsidP="00892AE4">
      <w:pPr>
        <w:jc w:val="center"/>
        <w:rPr>
          <w:rFonts w:ascii="Arial" w:hAnsi="Arial" w:cs="Arial"/>
          <w:b/>
          <w:sz w:val="22"/>
          <w:szCs w:val="22"/>
          <w:lang w:val="es-ES_tradnl"/>
        </w:rPr>
      </w:pPr>
      <w:r>
        <w:rPr>
          <w:rFonts w:ascii="Arial" w:hAnsi="Arial" w:cs="Arial"/>
          <w:b/>
          <w:sz w:val="22"/>
          <w:szCs w:val="22"/>
          <w:lang w:val="es-ES_tradnl"/>
        </w:rPr>
        <w:t>Cuadro 2</w:t>
      </w:r>
      <w:r w:rsidR="00892AE4" w:rsidRPr="00D51DF5">
        <w:rPr>
          <w:rFonts w:ascii="Arial" w:hAnsi="Arial" w:cs="Arial"/>
          <w:b/>
          <w:sz w:val="22"/>
          <w:szCs w:val="22"/>
          <w:lang w:val="es-ES_tradnl"/>
        </w:rPr>
        <w:t xml:space="preserve">: </w:t>
      </w:r>
      <w:r w:rsidR="00D51DF5" w:rsidRPr="00D51DF5">
        <w:rPr>
          <w:rFonts w:ascii="Arial" w:hAnsi="Arial" w:cs="Arial"/>
          <w:b/>
          <w:sz w:val="22"/>
          <w:szCs w:val="22"/>
          <w:lang w:val="es-ES_tradnl"/>
        </w:rPr>
        <w:t xml:space="preserve">IES seleccionadas para el Componente </w:t>
      </w:r>
      <w:r w:rsidR="007A0A49">
        <w:rPr>
          <w:rFonts w:ascii="Arial" w:hAnsi="Arial" w:cs="Arial"/>
          <w:b/>
          <w:sz w:val="22"/>
          <w:szCs w:val="22"/>
          <w:lang w:val="es-ES_tradnl"/>
        </w:rPr>
        <w:t xml:space="preserve">de </w:t>
      </w:r>
      <w:r w:rsidR="007A0A49" w:rsidRPr="007A0A49">
        <w:rPr>
          <w:rFonts w:ascii="Arial" w:hAnsi="Arial" w:cs="Arial"/>
          <w:b/>
          <w:sz w:val="22"/>
          <w:szCs w:val="22"/>
          <w:lang w:val="es-ES_tradnl"/>
        </w:rPr>
        <w:t xml:space="preserve">Mejora de la infraestructura y equipamiento de las </w:t>
      </w:r>
      <w:r w:rsidR="00D5178C">
        <w:rPr>
          <w:rFonts w:ascii="Arial" w:hAnsi="Arial" w:cs="Arial"/>
          <w:b/>
          <w:sz w:val="22"/>
          <w:szCs w:val="22"/>
          <w:lang w:val="es-ES_tradnl"/>
        </w:rPr>
        <w:t>IES</w:t>
      </w:r>
      <w:r w:rsidR="007A0A49" w:rsidRPr="007A0A49">
        <w:rPr>
          <w:rFonts w:ascii="Arial" w:hAnsi="Arial" w:cs="Arial"/>
          <w:b/>
          <w:sz w:val="22"/>
          <w:szCs w:val="22"/>
          <w:lang w:val="es-ES_tradnl"/>
        </w:rPr>
        <w:t xml:space="preserve"> pública</w:t>
      </w:r>
      <w:r w:rsidR="00D5178C">
        <w:rPr>
          <w:rFonts w:ascii="Arial" w:hAnsi="Arial" w:cs="Arial"/>
          <w:b/>
          <w:sz w:val="22"/>
          <w:szCs w:val="22"/>
          <w:lang w:val="es-ES_tradnl"/>
        </w:rPr>
        <w:t>s</w:t>
      </w:r>
    </w:p>
    <w:p w14:paraId="6E772E99" w14:textId="77777777" w:rsidR="0027575A" w:rsidRDefault="0027575A" w:rsidP="00C440BD">
      <w:pPr>
        <w:jc w:val="both"/>
        <w:rPr>
          <w:rFonts w:ascii="Arial" w:eastAsia="Arial" w:hAnsi="Arial" w:cs="Arial"/>
          <w:sz w:val="22"/>
          <w:szCs w:val="22"/>
          <w:lang w:val="es-ES_tradnl"/>
        </w:rPr>
      </w:pPr>
    </w:p>
    <w:tbl>
      <w:tblPr>
        <w:tblW w:w="10170" w:type="dxa"/>
        <w:tblInd w:w="-290" w:type="dxa"/>
        <w:tblCellMar>
          <w:top w:w="15" w:type="dxa"/>
          <w:left w:w="70" w:type="dxa"/>
          <w:bottom w:w="15" w:type="dxa"/>
          <w:right w:w="70" w:type="dxa"/>
        </w:tblCellMar>
        <w:tblLook w:val="04A0" w:firstRow="1" w:lastRow="0" w:firstColumn="1" w:lastColumn="0" w:noHBand="0" w:noVBand="1"/>
      </w:tblPr>
      <w:tblGrid>
        <w:gridCol w:w="3330"/>
        <w:gridCol w:w="4827"/>
        <w:gridCol w:w="2013"/>
      </w:tblGrid>
      <w:tr w:rsidR="007A0A49" w:rsidRPr="008B28DE" w14:paraId="341D8C30" w14:textId="77777777" w:rsidTr="000518F8">
        <w:trPr>
          <w:trHeight w:val="585"/>
        </w:trPr>
        <w:tc>
          <w:tcPr>
            <w:tcW w:w="3330" w:type="dxa"/>
            <w:tcBorders>
              <w:top w:val="nil"/>
              <w:left w:val="nil"/>
              <w:bottom w:val="single" w:sz="8" w:space="0" w:color="auto"/>
              <w:right w:val="nil"/>
            </w:tcBorders>
            <w:shd w:val="clear" w:color="auto" w:fill="D9E2F3" w:themeFill="accent1" w:themeFillTint="33"/>
            <w:noWrap/>
            <w:vAlign w:val="center"/>
            <w:hideMark/>
          </w:tcPr>
          <w:p w14:paraId="6D439E9D" w14:textId="77777777" w:rsidR="007A0A49" w:rsidRPr="008B28DE" w:rsidRDefault="007A0A49" w:rsidP="000518F8">
            <w:pPr>
              <w:jc w:val="center"/>
              <w:rPr>
                <w:rFonts w:ascii="Arial" w:hAnsi="Arial" w:cs="Arial"/>
                <w:b/>
                <w:bCs/>
                <w:sz w:val="22"/>
                <w:szCs w:val="22"/>
                <w:lang w:val="es-ES_tradnl"/>
              </w:rPr>
            </w:pPr>
            <w:r>
              <w:rPr>
                <w:rFonts w:ascii="Arial" w:hAnsi="Arial" w:cs="Arial"/>
                <w:b/>
                <w:bCs/>
                <w:sz w:val="22"/>
                <w:szCs w:val="22"/>
                <w:lang w:val="es-ES_tradnl"/>
              </w:rPr>
              <w:lastRenderedPageBreak/>
              <w:t>IES</w:t>
            </w:r>
          </w:p>
        </w:tc>
        <w:tc>
          <w:tcPr>
            <w:tcW w:w="4827" w:type="dxa"/>
            <w:tcBorders>
              <w:top w:val="nil"/>
              <w:left w:val="nil"/>
              <w:bottom w:val="single" w:sz="8" w:space="0" w:color="auto"/>
              <w:right w:val="nil"/>
            </w:tcBorders>
            <w:shd w:val="clear" w:color="auto" w:fill="D9E2F3" w:themeFill="accent1" w:themeFillTint="33"/>
            <w:noWrap/>
            <w:vAlign w:val="center"/>
            <w:hideMark/>
          </w:tcPr>
          <w:p w14:paraId="5628D0C4" w14:textId="77777777" w:rsidR="007A0A49" w:rsidRPr="008B28DE" w:rsidRDefault="007A0A49" w:rsidP="000518F8">
            <w:pPr>
              <w:jc w:val="center"/>
              <w:rPr>
                <w:rFonts w:ascii="Arial" w:hAnsi="Arial" w:cs="Arial"/>
                <w:b/>
                <w:bCs/>
                <w:sz w:val="22"/>
                <w:szCs w:val="22"/>
              </w:rPr>
            </w:pPr>
            <w:r w:rsidRPr="008B28DE">
              <w:rPr>
                <w:rFonts w:ascii="Arial" w:hAnsi="Arial" w:cs="Arial"/>
                <w:b/>
                <w:bCs/>
                <w:sz w:val="22"/>
                <w:szCs w:val="22"/>
              </w:rPr>
              <w:t>Proyecto de Inversión Pública</w:t>
            </w:r>
          </w:p>
        </w:tc>
        <w:tc>
          <w:tcPr>
            <w:tcW w:w="2013" w:type="dxa"/>
            <w:tcBorders>
              <w:top w:val="nil"/>
              <w:left w:val="nil"/>
              <w:bottom w:val="single" w:sz="8" w:space="0" w:color="auto"/>
              <w:right w:val="nil"/>
            </w:tcBorders>
            <w:shd w:val="clear" w:color="auto" w:fill="D9E2F3" w:themeFill="accent1" w:themeFillTint="33"/>
            <w:vAlign w:val="center"/>
            <w:hideMark/>
          </w:tcPr>
          <w:p w14:paraId="76DDC00C" w14:textId="77777777" w:rsidR="007A0A49" w:rsidRPr="008B28DE" w:rsidRDefault="007A0A49" w:rsidP="000518F8">
            <w:pPr>
              <w:jc w:val="center"/>
              <w:rPr>
                <w:rFonts w:ascii="Arial" w:hAnsi="Arial" w:cs="Arial"/>
                <w:b/>
                <w:bCs/>
                <w:sz w:val="22"/>
                <w:szCs w:val="22"/>
                <w:lang w:val="es-ES_tradnl"/>
              </w:rPr>
            </w:pPr>
            <w:r w:rsidRPr="008B28DE">
              <w:rPr>
                <w:rFonts w:ascii="Arial" w:hAnsi="Arial" w:cs="Arial"/>
                <w:b/>
                <w:bCs/>
                <w:sz w:val="22"/>
                <w:szCs w:val="22"/>
                <w:lang w:val="es-ES_tradnl"/>
              </w:rPr>
              <w:t xml:space="preserve">Costo </w:t>
            </w:r>
          </w:p>
        </w:tc>
      </w:tr>
      <w:tr w:rsidR="007A0A49" w:rsidRPr="001B210E" w14:paraId="4F7C2B90" w14:textId="77777777" w:rsidTr="000518F8">
        <w:trPr>
          <w:trHeight w:val="480"/>
        </w:trPr>
        <w:tc>
          <w:tcPr>
            <w:tcW w:w="3330" w:type="dxa"/>
            <w:tcBorders>
              <w:top w:val="nil"/>
              <w:left w:val="nil"/>
              <w:bottom w:val="nil"/>
              <w:right w:val="nil"/>
            </w:tcBorders>
            <w:shd w:val="clear" w:color="000000" w:fill="FFFFFF"/>
            <w:noWrap/>
            <w:vAlign w:val="center"/>
            <w:hideMark/>
          </w:tcPr>
          <w:p w14:paraId="6C97E2C7" w14:textId="77777777" w:rsidR="007A0A49" w:rsidRPr="0094716F" w:rsidRDefault="007A0A49" w:rsidP="000518F8">
            <w:pPr>
              <w:rPr>
                <w:rFonts w:ascii="Arial" w:hAnsi="Arial" w:cs="Arial"/>
                <w:sz w:val="20"/>
                <w:szCs w:val="20"/>
                <w:lang w:val="es-ES_tradnl"/>
              </w:rPr>
            </w:pPr>
            <w:r w:rsidRPr="0094716F">
              <w:rPr>
                <w:rFonts w:ascii="Arial" w:hAnsi="Arial" w:cs="Arial"/>
                <w:sz w:val="20"/>
                <w:szCs w:val="20"/>
                <w:lang w:val="es-ES_tradnl"/>
              </w:rPr>
              <w:t>U.N. Mayor de San Marcos</w:t>
            </w:r>
          </w:p>
        </w:tc>
        <w:tc>
          <w:tcPr>
            <w:tcW w:w="4827" w:type="dxa"/>
            <w:tcBorders>
              <w:top w:val="nil"/>
              <w:left w:val="nil"/>
              <w:bottom w:val="nil"/>
              <w:right w:val="nil"/>
            </w:tcBorders>
            <w:shd w:val="clear" w:color="000000" w:fill="FFFFFF"/>
            <w:vAlign w:val="center"/>
            <w:hideMark/>
          </w:tcPr>
          <w:p w14:paraId="19E3E83A" w14:textId="77777777" w:rsidR="007A0A49" w:rsidRPr="0094716F" w:rsidRDefault="007A0A49" w:rsidP="000518F8">
            <w:pPr>
              <w:jc w:val="center"/>
              <w:rPr>
                <w:rFonts w:ascii="Arial" w:hAnsi="Arial" w:cs="Arial"/>
                <w:sz w:val="20"/>
                <w:szCs w:val="20"/>
                <w:lang w:val="es-ES_tradnl"/>
              </w:rPr>
            </w:pPr>
            <w:r w:rsidRPr="0094716F">
              <w:rPr>
                <w:rFonts w:ascii="Arial" w:hAnsi="Arial" w:cs="Arial"/>
                <w:sz w:val="20"/>
                <w:szCs w:val="20"/>
                <w:lang w:val="es-ES_tradnl"/>
              </w:rPr>
              <w:t>Mejoramiento y ampliación de los servicios académicos y administrativos de las E.A.P. de tecnología médica y enfermería de la facultad de medicina</w:t>
            </w:r>
          </w:p>
        </w:tc>
        <w:tc>
          <w:tcPr>
            <w:tcW w:w="2013" w:type="dxa"/>
            <w:tcBorders>
              <w:top w:val="nil"/>
              <w:left w:val="nil"/>
              <w:bottom w:val="nil"/>
              <w:right w:val="nil"/>
            </w:tcBorders>
            <w:shd w:val="clear" w:color="000000" w:fill="FFFFFF"/>
            <w:vAlign w:val="center"/>
            <w:hideMark/>
          </w:tcPr>
          <w:p w14:paraId="5750BD54" w14:textId="77777777" w:rsidR="007A0A49" w:rsidRPr="001B210E" w:rsidRDefault="007A0A49" w:rsidP="000518F8">
            <w:pPr>
              <w:jc w:val="right"/>
              <w:rPr>
                <w:rFonts w:ascii="Arial" w:hAnsi="Arial" w:cs="Arial"/>
                <w:sz w:val="20"/>
                <w:szCs w:val="20"/>
                <w:lang w:val="es-ES_tradnl"/>
              </w:rPr>
            </w:pPr>
            <w:r>
              <w:rPr>
                <w:rFonts w:ascii="Arial" w:hAnsi="Arial" w:cs="Arial"/>
                <w:sz w:val="20"/>
                <w:szCs w:val="20"/>
                <w:lang w:val="es-ES_tradnl"/>
              </w:rPr>
              <w:t xml:space="preserve"> $ </w:t>
            </w:r>
            <w:r w:rsidRPr="001B210E">
              <w:rPr>
                <w:rFonts w:ascii="Arial" w:hAnsi="Arial" w:cs="Arial"/>
                <w:sz w:val="20"/>
                <w:szCs w:val="20"/>
                <w:lang w:val="es-ES_tradnl"/>
              </w:rPr>
              <w:t xml:space="preserve">18,509,583 </w:t>
            </w:r>
          </w:p>
        </w:tc>
      </w:tr>
      <w:tr w:rsidR="007A0A49" w:rsidRPr="001B210E" w14:paraId="1E650DA9" w14:textId="77777777" w:rsidTr="000518F8">
        <w:trPr>
          <w:trHeight w:val="285"/>
        </w:trPr>
        <w:tc>
          <w:tcPr>
            <w:tcW w:w="3330" w:type="dxa"/>
            <w:tcBorders>
              <w:top w:val="nil"/>
              <w:left w:val="nil"/>
              <w:bottom w:val="nil"/>
              <w:right w:val="nil"/>
            </w:tcBorders>
            <w:shd w:val="clear" w:color="000000" w:fill="FFFFFF"/>
            <w:noWrap/>
            <w:vAlign w:val="center"/>
            <w:hideMark/>
          </w:tcPr>
          <w:p w14:paraId="69A00A4D" w14:textId="77777777" w:rsidR="007A0A49" w:rsidRPr="0094716F" w:rsidRDefault="007A0A49" w:rsidP="000518F8">
            <w:pPr>
              <w:rPr>
                <w:rFonts w:ascii="Arial" w:hAnsi="Arial" w:cs="Arial"/>
                <w:sz w:val="20"/>
                <w:szCs w:val="20"/>
                <w:lang w:val="es-ES_tradnl"/>
              </w:rPr>
            </w:pPr>
            <w:r w:rsidRPr="0094716F">
              <w:rPr>
                <w:rFonts w:ascii="Arial" w:hAnsi="Arial" w:cs="Arial"/>
                <w:sz w:val="20"/>
                <w:szCs w:val="20"/>
                <w:lang w:val="es-ES_tradnl"/>
              </w:rPr>
              <w:t>U.N. Agraria La Molina</w:t>
            </w:r>
          </w:p>
        </w:tc>
        <w:tc>
          <w:tcPr>
            <w:tcW w:w="4827" w:type="dxa"/>
            <w:tcBorders>
              <w:top w:val="nil"/>
              <w:left w:val="nil"/>
              <w:bottom w:val="nil"/>
              <w:right w:val="nil"/>
            </w:tcBorders>
            <w:shd w:val="clear" w:color="000000" w:fill="FFFFFF"/>
            <w:noWrap/>
            <w:vAlign w:val="center"/>
            <w:hideMark/>
          </w:tcPr>
          <w:p w14:paraId="3BB827C1" w14:textId="77777777" w:rsidR="007A0A49" w:rsidRPr="0094716F" w:rsidRDefault="007A0A49" w:rsidP="000518F8">
            <w:pPr>
              <w:jc w:val="center"/>
              <w:rPr>
                <w:rFonts w:ascii="Arial" w:hAnsi="Arial" w:cs="Arial"/>
                <w:sz w:val="20"/>
                <w:szCs w:val="20"/>
                <w:lang w:val="es-ES_tradnl"/>
              </w:rPr>
            </w:pPr>
            <w:r w:rsidRPr="0094716F">
              <w:rPr>
                <w:rFonts w:ascii="Arial" w:hAnsi="Arial" w:cs="Arial"/>
                <w:sz w:val="20"/>
                <w:szCs w:val="20"/>
                <w:lang w:val="es-ES_tradnl"/>
              </w:rPr>
              <w:t>Creación del Centro de Innovación y Tecnología para el Agro</w:t>
            </w:r>
          </w:p>
        </w:tc>
        <w:tc>
          <w:tcPr>
            <w:tcW w:w="2013" w:type="dxa"/>
            <w:tcBorders>
              <w:top w:val="nil"/>
              <w:left w:val="nil"/>
              <w:bottom w:val="nil"/>
              <w:right w:val="nil"/>
            </w:tcBorders>
            <w:shd w:val="clear" w:color="000000" w:fill="FFFFFF"/>
            <w:noWrap/>
            <w:vAlign w:val="center"/>
            <w:hideMark/>
          </w:tcPr>
          <w:p w14:paraId="22D9F3A7" w14:textId="77777777" w:rsidR="007A0A49" w:rsidRPr="001B210E" w:rsidRDefault="007A0A49" w:rsidP="000518F8">
            <w:pPr>
              <w:jc w:val="right"/>
              <w:rPr>
                <w:rFonts w:ascii="Arial" w:hAnsi="Arial" w:cs="Arial"/>
                <w:sz w:val="20"/>
                <w:szCs w:val="20"/>
                <w:lang w:val="es-ES_tradnl"/>
              </w:rPr>
            </w:pPr>
            <w:r>
              <w:rPr>
                <w:rFonts w:ascii="Arial" w:hAnsi="Arial" w:cs="Arial"/>
                <w:sz w:val="20"/>
                <w:szCs w:val="20"/>
                <w:lang w:val="es-ES_tradnl"/>
              </w:rPr>
              <w:t xml:space="preserve"> $ </w:t>
            </w:r>
            <w:r w:rsidRPr="001B210E">
              <w:rPr>
                <w:rFonts w:ascii="Arial" w:hAnsi="Arial" w:cs="Arial"/>
                <w:sz w:val="20"/>
                <w:szCs w:val="20"/>
                <w:lang w:val="es-ES_tradnl"/>
              </w:rPr>
              <w:t xml:space="preserve">14,057,259 </w:t>
            </w:r>
          </w:p>
        </w:tc>
      </w:tr>
      <w:tr w:rsidR="007A0A49" w:rsidRPr="001B210E" w14:paraId="164C9F88" w14:textId="77777777" w:rsidTr="000518F8">
        <w:trPr>
          <w:trHeight w:val="285"/>
        </w:trPr>
        <w:tc>
          <w:tcPr>
            <w:tcW w:w="3330" w:type="dxa"/>
            <w:tcBorders>
              <w:top w:val="nil"/>
              <w:left w:val="nil"/>
              <w:bottom w:val="nil"/>
              <w:right w:val="nil"/>
            </w:tcBorders>
            <w:shd w:val="clear" w:color="000000" w:fill="FFFFFF"/>
            <w:vAlign w:val="center"/>
            <w:hideMark/>
          </w:tcPr>
          <w:p w14:paraId="25C9C485" w14:textId="77777777" w:rsidR="007A0A49" w:rsidRPr="0094716F" w:rsidRDefault="007A0A49" w:rsidP="000518F8">
            <w:pPr>
              <w:rPr>
                <w:rFonts w:ascii="Arial" w:hAnsi="Arial" w:cs="Arial"/>
                <w:sz w:val="20"/>
                <w:szCs w:val="20"/>
              </w:rPr>
            </w:pPr>
            <w:r w:rsidRPr="0094716F">
              <w:rPr>
                <w:rFonts w:ascii="Arial" w:hAnsi="Arial" w:cs="Arial"/>
                <w:sz w:val="20"/>
                <w:szCs w:val="20"/>
              </w:rPr>
              <w:t>U.N. De Ingeniería</w:t>
            </w:r>
          </w:p>
        </w:tc>
        <w:tc>
          <w:tcPr>
            <w:tcW w:w="4827" w:type="dxa"/>
            <w:tcBorders>
              <w:top w:val="nil"/>
              <w:left w:val="nil"/>
              <w:bottom w:val="nil"/>
              <w:right w:val="nil"/>
            </w:tcBorders>
            <w:shd w:val="clear" w:color="000000" w:fill="FFFFFF"/>
            <w:noWrap/>
            <w:vAlign w:val="center"/>
            <w:hideMark/>
          </w:tcPr>
          <w:p w14:paraId="4884D7AA" w14:textId="5E124930" w:rsidR="007A0A49" w:rsidRPr="0094716F" w:rsidRDefault="008474C3" w:rsidP="000518F8">
            <w:pPr>
              <w:jc w:val="center"/>
              <w:rPr>
                <w:rFonts w:ascii="Arial" w:hAnsi="Arial" w:cs="Arial"/>
                <w:sz w:val="20"/>
                <w:szCs w:val="20"/>
                <w:lang w:val="es-ES_tradnl"/>
              </w:rPr>
            </w:pPr>
            <w:r>
              <w:rPr>
                <w:rFonts w:ascii="Arial" w:hAnsi="Arial" w:cs="Arial"/>
                <w:sz w:val="20"/>
                <w:szCs w:val="20"/>
                <w:lang w:val="es-ES_tradnl"/>
              </w:rPr>
              <w:t xml:space="preserve">Instalación de los servicios académicos de laboratorio de pruebas avanzadas de máquinas eléctricas para las especialidades de ingeniería eléctrica y electrónica de la FIEE </w:t>
            </w:r>
          </w:p>
        </w:tc>
        <w:tc>
          <w:tcPr>
            <w:tcW w:w="2013" w:type="dxa"/>
            <w:tcBorders>
              <w:top w:val="nil"/>
              <w:left w:val="nil"/>
              <w:bottom w:val="nil"/>
              <w:right w:val="nil"/>
            </w:tcBorders>
            <w:shd w:val="clear" w:color="000000" w:fill="FFFFFF"/>
            <w:noWrap/>
            <w:vAlign w:val="center"/>
            <w:hideMark/>
          </w:tcPr>
          <w:p w14:paraId="2B527B30" w14:textId="77777777" w:rsidR="007A0A49" w:rsidRPr="0094716F" w:rsidRDefault="007A0A49" w:rsidP="000518F8">
            <w:pPr>
              <w:jc w:val="right"/>
              <w:rPr>
                <w:rFonts w:ascii="Arial" w:hAnsi="Arial" w:cs="Arial"/>
                <w:sz w:val="20"/>
                <w:szCs w:val="20"/>
                <w:lang w:val="es-ES_tradnl"/>
              </w:rPr>
            </w:pPr>
            <w:r w:rsidRPr="001B210E">
              <w:rPr>
                <w:rFonts w:ascii="Arial" w:hAnsi="Arial" w:cs="Arial"/>
                <w:sz w:val="20"/>
                <w:szCs w:val="20"/>
                <w:lang w:val="es-ES_tradnl"/>
              </w:rPr>
              <w:t xml:space="preserve"> $</w:t>
            </w:r>
            <w:r>
              <w:rPr>
                <w:rFonts w:ascii="Arial" w:hAnsi="Arial" w:cs="Arial"/>
                <w:sz w:val="20"/>
                <w:szCs w:val="20"/>
                <w:lang w:val="es-ES_tradnl"/>
              </w:rPr>
              <w:t xml:space="preserve"> </w:t>
            </w:r>
            <w:r w:rsidRPr="001B210E">
              <w:rPr>
                <w:rFonts w:ascii="Arial" w:hAnsi="Arial" w:cs="Arial"/>
                <w:sz w:val="20"/>
                <w:szCs w:val="20"/>
                <w:lang w:val="es-ES_tradnl"/>
              </w:rPr>
              <w:t xml:space="preserve">6,571,798 </w:t>
            </w:r>
          </w:p>
        </w:tc>
      </w:tr>
      <w:tr w:rsidR="007A0A49" w:rsidRPr="001B210E" w14:paraId="09FE9CEF" w14:textId="77777777" w:rsidTr="000518F8">
        <w:trPr>
          <w:trHeight w:val="285"/>
        </w:trPr>
        <w:tc>
          <w:tcPr>
            <w:tcW w:w="3330" w:type="dxa"/>
            <w:tcBorders>
              <w:top w:val="nil"/>
              <w:left w:val="nil"/>
              <w:bottom w:val="nil"/>
              <w:right w:val="nil"/>
            </w:tcBorders>
            <w:shd w:val="clear" w:color="000000" w:fill="FFFFFF"/>
            <w:noWrap/>
            <w:vAlign w:val="center"/>
            <w:hideMark/>
          </w:tcPr>
          <w:p w14:paraId="1490D5A3" w14:textId="77777777" w:rsidR="007A0A49" w:rsidRPr="0094716F" w:rsidRDefault="007A0A49" w:rsidP="000518F8">
            <w:pPr>
              <w:rPr>
                <w:rFonts w:ascii="Arial" w:hAnsi="Arial" w:cs="Arial"/>
                <w:sz w:val="20"/>
                <w:szCs w:val="20"/>
                <w:lang w:val="es-ES_tradnl"/>
              </w:rPr>
            </w:pPr>
            <w:r w:rsidRPr="0094716F">
              <w:rPr>
                <w:rFonts w:ascii="Arial" w:hAnsi="Arial" w:cs="Arial"/>
                <w:sz w:val="20"/>
                <w:szCs w:val="20"/>
                <w:lang w:val="es-ES_tradnl"/>
              </w:rPr>
              <w:t>U.N. De San Martín</w:t>
            </w:r>
          </w:p>
        </w:tc>
        <w:tc>
          <w:tcPr>
            <w:tcW w:w="4827" w:type="dxa"/>
            <w:tcBorders>
              <w:top w:val="nil"/>
              <w:left w:val="nil"/>
              <w:bottom w:val="nil"/>
              <w:right w:val="nil"/>
            </w:tcBorders>
            <w:shd w:val="clear" w:color="000000" w:fill="FFFFFF"/>
            <w:noWrap/>
            <w:vAlign w:val="center"/>
            <w:hideMark/>
          </w:tcPr>
          <w:p w14:paraId="13608EA8" w14:textId="77777777" w:rsidR="007A0A49" w:rsidRPr="0094716F" w:rsidRDefault="007A0A49" w:rsidP="000518F8">
            <w:pPr>
              <w:jc w:val="center"/>
              <w:rPr>
                <w:rFonts w:ascii="Arial" w:hAnsi="Arial" w:cs="Arial"/>
                <w:sz w:val="20"/>
                <w:szCs w:val="20"/>
                <w:lang w:val="es-ES_tradnl"/>
              </w:rPr>
            </w:pPr>
            <w:r w:rsidRPr="0094716F">
              <w:rPr>
                <w:rFonts w:ascii="Arial" w:hAnsi="Arial" w:cs="Arial"/>
                <w:sz w:val="20"/>
                <w:szCs w:val="20"/>
                <w:lang w:val="es-ES_tradnl"/>
              </w:rPr>
              <w:t>Mejoramiento y equipamiento de ocho laboratorios de la Facultad de Ingeniería Agroindustrial</w:t>
            </w:r>
          </w:p>
        </w:tc>
        <w:tc>
          <w:tcPr>
            <w:tcW w:w="2013" w:type="dxa"/>
            <w:tcBorders>
              <w:top w:val="nil"/>
              <w:left w:val="nil"/>
              <w:bottom w:val="nil"/>
              <w:right w:val="nil"/>
            </w:tcBorders>
            <w:shd w:val="clear" w:color="000000" w:fill="FFFFFF"/>
            <w:noWrap/>
            <w:vAlign w:val="center"/>
            <w:hideMark/>
          </w:tcPr>
          <w:p w14:paraId="7A4D7E99" w14:textId="08936E60" w:rsidR="007A0A49" w:rsidRPr="001B210E" w:rsidRDefault="007A0A49" w:rsidP="000518F8">
            <w:pPr>
              <w:jc w:val="right"/>
              <w:rPr>
                <w:rFonts w:ascii="Arial" w:hAnsi="Arial" w:cs="Arial"/>
                <w:sz w:val="20"/>
                <w:szCs w:val="20"/>
                <w:lang w:val="es-ES_tradnl"/>
              </w:rPr>
            </w:pPr>
            <w:r w:rsidRPr="001B210E">
              <w:rPr>
                <w:rFonts w:ascii="Arial" w:hAnsi="Arial" w:cs="Arial"/>
                <w:sz w:val="20"/>
                <w:szCs w:val="20"/>
                <w:lang w:val="es-ES_tradnl"/>
              </w:rPr>
              <w:t xml:space="preserve"> $</w:t>
            </w:r>
            <w:r>
              <w:rPr>
                <w:rFonts w:ascii="Arial" w:hAnsi="Arial" w:cs="Arial"/>
                <w:sz w:val="20"/>
                <w:szCs w:val="20"/>
                <w:lang w:val="es-ES_tradnl"/>
              </w:rPr>
              <w:t xml:space="preserve"> </w:t>
            </w:r>
            <w:r w:rsidR="005F54D8" w:rsidRPr="001B210E">
              <w:rPr>
                <w:rFonts w:ascii="Arial" w:hAnsi="Arial" w:cs="Arial"/>
                <w:sz w:val="20"/>
                <w:szCs w:val="20"/>
                <w:lang w:val="es-ES_tradnl"/>
              </w:rPr>
              <w:t xml:space="preserve">3,288,457 </w:t>
            </w:r>
          </w:p>
        </w:tc>
      </w:tr>
      <w:tr w:rsidR="007A0A49" w:rsidRPr="0094716F" w14:paraId="1A32FDA9" w14:textId="77777777" w:rsidTr="000518F8">
        <w:trPr>
          <w:trHeight w:val="285"/>
        </w:trPr>
        <w:tc>
          <w:tcPr>
            <w:tcW w:w="3330" w:type="dxa"/>
            <w:tcBorders>
              <w:top w:val="nil"/>
              <w:left w:val="nil"/>
              <w:bottom w:val="nil"/>
              <w:right w:val="nil"/>
            </w:tcBorders>
            <w:shd w:val="clear" w:color="000000" w:fill="FFFFFF"/>
            <w:noWrap/>
            <w:vAlign w:val="center"/>
            <w:hideMark/>
          </w:tcPr>
          <w:p w14:paraId="07D73F4A" w14:textId="77777777" w:rsidR="007A0A49" w:rsidRPr="0094716F" w:rsidRDefault="007A0A49" w:rsidP="000518F8">
            <w:pPr>
              <w:rPr>
                <w:rFonts w:ascii="Arial" w:hAnsi="Arial" w:cs="Arial"/>
                <w:sz w:val="20"/>
                <w:szCs w:val="20"/>
                <w:lang w:val="es-ES_tradnl"/>
              </w:rPr>
            </w:pPr>
            <w:r w:rsidRPr="0094716F">
              <w:rPr>
                <w:rFonts w:ascii="Arial" w:hAnsi="Arial" w:cs="Arial"/>
                <w:sz w:val="20"/>
                <w:szCs w:val="20"/>
                <w:lang w:val="es-ES_tradnl"/>
              </w:rPr>
              <w:t>U.N. De Piura</w:t>
            </w:r>
          </w:p>
        </w:tc>
        <w:tc>
          <w:tcPr>
            <w:tcW w:w="4827" w:type="dxa"/>
            <w:tcBorders>
              <w:top w:val="nil"/>
              <w:left w:val="nil"/>
              <w:bottom w:val="nil"/>
              <w:right w:val="nil"/>
            </w:tcBorders>
            <w:noWrap/>
            <w:vAlign w:val="center"/>
            <w:hideMark/>
          </w:tcPr>
          <w:p w14:paraId="67A3B1C7" w14:textId="77777777" w:rsidR="007A0A49" w:rsidRPr="0094716F" w:rsidRDefault="007A0A49" w:rsidP="000518F8">
            <w:pPr>
              <w:jc w:val="center"/>
              <w:rPr>
                <w:rFonts w:ascii="Arial" w:hAnsi="Arial" w:cs="Arial"/>
                <w:sz w:val="20"/>
                <w:szCs w:val="20"/>
                <w:lang w:val="es-ES_tradnl"/>
              </w:rPr>
            </w:pPr>
            <w:r w:rsidRPr="0094716F">
              <w:rPr>
                <w:rFonts w:ascii="Arial" w:hAnsi="Arial" w:cs="Arial"/>
                <w:sz w:val="20"/>
                <w:szCs w:val="20"/>
                <w:lang w:val="es-ES_tradnl"/>
              </w:rPr>
              <w:t>Creación del pabellón de laboratorios para el mejoramiento del servicio educativo de la Facultad de Ingeniería Industrial</w:t>
            </w:r>
          </w:p>
        </w:tc>
        <w:tc>
          <w:tcPr>
            <w:tcW w:w="2013" w:type="dxa"/>
            <w:tcBorders>
              <w:top w:val="nil"/>
              <w:left w:val="nil"/>
              <w:bottom w:val="nil"/>
              <w:right w:val="nil"/>
            </w:tcBorders>
            <w:shd w:val="clear" w:color="000000" w:fill="FFFFFF"/>
            <w:noWrap/>
            <w:vAlign w:val="center"/>
            <w:hideMark/>
          </w:tcPr>
          <w:p w14:paraId="0DE80C78" w14:textId="74E6F1CB" w:rsidR="007A0A49" w:rsidRPr="0094716F" w:rsidRDefault="007A0A49" w:rsidP="000518F8">
            <w:pPr>
              <w:jc w:val="right"/>
              <w:rPr>
                <w:rFonts w:ascii="Arial" w:hAnsi="Arial" w:cs="Arial"/>
                <w:sz w:val="20"/>
                <w:szCs w:val="20"/>
                <w:lang w:val="es-ES_tradnl"/>
              </w:rPr>
            </w:pPr>
            <w:r w:rsidRPr="001B210E">
              <w:rPr>
                <w:rFonts w:ascii="Arial" w:hAnsi="Arial" w:cs="Arial"/>
                <w:sz w:val="20"/>
                <w:szCs w:val="20"/>
                <w:lang w:val="es-ES_tradnl"/>
              </w:rPr>
              <w:t xml:space="preserve"> $</w:t>
            </w:r>
            <w:r w:rsidR="005F54D8">
              <w:rPr>
                <w:rFonts w:ascii="Arial" w:hAnsi="Arial" w:cs="Arial"/>
                <w:sz w:val="20"/>
                <w:szCs w:val="20"/>
                <w:lang w:val="es-ES_tradnl"/>
              </w:rPr>
              <w:t xml:space="preserve"> </w:t>
            </w:r>
            <w:r w:rsidR="005F54D8" w:rsidRPr="001B210E">
              <w:rPr>
                <w:rFonts w:ascii="Arial" w:hAnsi="Arial" w:cs="Arial"/>
                <w:sz w:val="20"/>
                <w:szCs w:val="20"/>
                <w:lang w:val="es-ES_tradnl"/>
              </w:rPr>
              <w:t xml:space="preserve">9,038,689 </w:t>
            </w:r>
            <w:r>
              <w:rPr>
                <w:rFonts w:ascii="Arial" w:hAnsi="Arial" w:cs="Arial"/>
                <w:sz w:val="20"/>
                <w:szCs w:val="20"/>
                <w:lang w:val="es-ES_tradnl"/>
              </w:rPr>
              <w:t xml:space="preserve"> </w:t>
            </w:r>
          </w:p>
        </w:tc>
      </w:tr>
      <w:tr w:rsidR="007A0A49" w:rsidRPr="0094716F" w14:paraId="063DFF59" w14:textId="77777777" w:rsidTr="000518F8">
        <w:trPr>
          <w:trHeight w:val="285"/>
        </w:trPr>
        <w:tc>
          <w:tcPr>
            <w:tcW w:w="3330" w:type="dxa"/>
            <w:tcBorders>
              <w:top w:val="nil"/>
              <w:left w:val="nil"/>
              <w:bottom w:val="nil"/>
              <w:right w:val="nil"/>
            </w:tcBorders>
            <w:shd w:val="clear" w:color="000000" w:fill="FFFFFF"/>
            <w:noWrap/>
            <w:vAlign w:val="center"/>
            <w:hideMark/>
          </w:tcPr>
          <w:p w14:paraId="3139FA5D" w14:textId="77777777" w:rsidR="007A0A49" w:rsidRPr="0094716F" w:rsidRDefault="007A0A49" w:rsidP="000518F8">
            <w:pPr>
              <w:rPr>
                <w:rFonts w:ascii="Arial" w:hAnsi="Arial" w:cs="Arial"/>
                <w:sz w:val="20"/>
                <w:szCs w:val="20"/>
                <w:lang w:val="es-ES_tradnl"/>
              </w:rPr>
            </w:pPr>
            <w:r w:rsidRPr="0094716F">
              <w:rPr>
                <w:rFonts w:ascii="Arial" w:hAnsi="Arial" w:cs="Arial"/>
                <w:sz w:val="20"/>
                <w:szCs w:val="20"/>
                <w:lang w:val="es-ES_tradnl"/>
              </w:rPr>
              <w:t>U.N. Toribio Rodríguez de Mendoza de Amazonas</w:t>
            </w:r>
          </w:p>
        </w:tc>
        <w:tc>
          <w:tcPr>
            <w:tcW w:w="4827" w:type="dxa"/>
            <w:tcBorders>
              <w:top w:val="nil"/>
              <w:left w:val="nil"/>
              <w:bottom w:val="nil"/>
              <w:right w:val="nil"/>
            </w:tcBorders>
            <w:shd w:val="clear" w:color="000000" w:fill="FFFFFF"/>
            <w:noWrap/>
            <w:vAlign w:val="center"/>
            <w:hideMark/>
          </w:tcPr>
          <w:p w14:paraId="18467D95" w14:textId="77777777" w:rsidR="007A0A49" w:rsidRPr="0094716F" w:rsidRDefault="007A0A49" w:rsidP="000518F8">
            <w:pPr>
              <w:jc w:val="center"/>
              <w:rPr>
                <w:rFonts w:ascii="Arial" w:hAnsi="Arial" w:cs="Arial"/>
                <w:sz w:val="20"/>
                <w:szCs w:val="20"/>
                <w:lang w:val="es-ES_tradnl"/>
              </w:rPr>
            </w:pPr>
            <w:r w:rsidRPr="0094716F">
              <w:rPr>
                <w:rFonts w:ascii="Arial" w:hAnsi="Arial" w:cs="Arial"/>
                <w:sz w:val="20"/>
                <w:szCs w:val="20"/>
                <w:lang w:val="es-ES_tradnl"/>
              </w:rPr>
              <w:t>Creación de los servicios de investigación y enseñanza en ovinos y caprinos</w:t>
            </w:r>
          </w:p>
        </w:tc>
        <w:tc>
          <w:tcPr>
            <w:tcW w:w="2013" w:type="dxa"/>
            <w:tcBorders>
              <w:top w:val="nil"/>
              <w:left w:val="nil"/>
              <w:bottom w:val="nil"/>
              <w:right w:val="nil"/>
            </w:tcBorders>
            <w:shd w:val="clear" w:color="000000" w:fill="FFFFFF"/>
            <w:noWrap/>
            <w:vAlign w:val="center"/>
            <w:hideMark/>
          </w:tcPr>
          <w:p w14:paraId="634C6EA8" w14:textId="77777777" w:rsidR="007A0A49" w:rsidRPr="001B210E" w:rsidRDefault="007A0A49" w:rsidP="000518F8">
            <w:pPr>
              <w:jc w:val="right"/>
              <w:rPr>
                <w:rFonts w:ascii="Arial" w:hAnsi="Arial" w:cs="Arial"/>
                <w:sz w:val="20"/>
                <w:szCs w:val="20"/>
                <w:lang w:val="es-ES_tradnl"/>
              </w:rPr>
            </w:pPr>
            <w:r w:rsidRPr="001B210E">
              <w:rPr>
                <w:rFonts w:ascii="Arial" w:hAnsi="Arial" w:cs="Arial"/>
                <w:sz w:val="20"/>
                <w:szCs w:val="20"/>
                <w:lang w:val="es-ES_tradnl"/>
              </w:rPr>
              <w:t xml:space="preserve"> $ 2,982,070 </w:t>
            </w:r>
          </w:p>
        </w:tc>
      </w:tr>
      <w:tr w:rsidR="004857CE" w:rsidRPr="0094716F" w14:paraId="77C93CEE" w14:textId="77777777" w:rsidTr="000518F8">
        <w:trPr>
          <w:trHeight w:val="285"/>
        </w:trPr>
        <w:tc>
          <w:tcPr>
            <w:tcW w:w="3330" w:type="dxa"/>
            <w:tcBorders>
              <w:top w:val="nil"/>
              <w:left w:val="nil"/>
              <w:bottom w:val="nil"/>
              <w:right w:val="nil"/>
            </w:tcBorders>
            <w:shd w:val="clear" w:color="000000" w:fill="FFFFFF"/>
            <w:noWrap/>
            <w:vAlign w:val="center"/>
          </w:tcPr>
          <w:p w14:paraId="1379A46B" w14:textId="77777777" w:rsidR="004857CE" w:rsidRPr="0094716F" w:rsidRDefault="004857CE" w:rsidP="000518F8">
            <w:pPr>
              <w:rPr>
                <w:rFonts w:ascii="Arial" w:hAnsi="Arial" w:cs="Arial"/>
                <w:sz w:val="20"/>
                <w:szCs w:val="20"/>
                <w:lang w:val="es-ES_tradnl"/>
              </w:rPr>
            </w:pPr>
            <w:r w:rsidRPr="0094716F">
              <w:rPr>
                <w:rFonts w:ascii="Arial" w:hAnsi="Arial" w:cs="Arial"/>
                <w:sz w:val="20"/>
                <w:szCs w:val="20"/>
                <w:lang w:val="es-ES_tradnl"/>
              </w:rPr>
              <w:t>U.N. Toribio Rodríguez de Mendoza de Amazonas</w:t>
            </w:r>
          </w:p>
        </w:tc>
        <w:tc>
          <w:tcPr>
            <w:tcW w:w="4827" w:type="dxa"/>
            <w:tcBorders>
              <w:top w:val="nil"/>
              <w:left w:val="nil"/>
              <w:bottom w:val="nil"/>
              <w:right w:val="nil"/>
            </w:tcBorders>
            <w:shd w:val="clear" w:color="000000" w:fill="FFFFFF"/>
            <w:noWrap/>
            <w:vAlign w:val="center"/>
          </w:tcPr>
          <w:p w14:paraId="3CA5615B" w14:textId="77777777" w:rsidR="004857CE" w:rsidRPr="00A20458" w:rsidRDefault="00A20458" w:rsidP="000518F8">
            <w:pPr>
              <w:jc w:val="center"/>
              <w:rPr>
                <w:rFonts w:ascii="Arial" w:hAnsi="Arial" w:cs="Arial"/>
                <w:sz w:val="20"/>
                <w:szCs w:val="20"/>
                <w:lang w:val="es-ES_tradnl"/>
              </w:rPr>
            </w:pPr>
            <w:r>
              <w:rPr>
                <w:rFonts w:ascii="Arial" w:hAnsi="Arial" w:cs="Arial"/>
                <w:sz w:val="20"/>
                <w:szCs w:val="20"/>
                <w:lang w:val="es-ES_tradnl"/>
              </w:rPr>
              <w:t>Construcción y equipamiento del Instituto de Medicina T</w:t>
            </w:r>
            <w:r w:rsidRPr="00A20458">
              <w:rPr>
                <w:rFonts w:ascii="Arial" w:hAnsi="Arial" w:cs="Arial"/>
                <w:sz w:val="20"/>
                <w:szCs w:val="20"/>
                <w:lang w:val="es-ES_tradnl"/>
              </w:rPr>
              <w:t>ropical</w:t>
            </w:r>
          </w:p>
        </w:tc>
        <w:tc>
          <w:tcPr>
            <w:tcW w:w="2013" w:type="dxa"/>
            <w:tcBorders>
              <w:top w:val="nil"/>
              <w:left w:val="nil"/>
              <w:bottom w:val="nil"/>
              <w:right w:val="nil"/>
            </w:tcBorders>
            <w:shd w:val="clear" w:color="000000" w:fill="FFFFFF"/>
            <w:noWrap/>
            <w:vAlign w:val="center"/>
          </w:tcPr>
          <w:p w14:paraId="2F94BAA6" w14:textId="77777777" w:rsidR="004857CE" w:rsidRPr="001B210E" w:rsidRDefault="004857CE" w:rsidP="000518F8">
            <w:pPr>
              <w:jc w:val="right"/>
              <w:rPr>
                <w:rFonts w:ascii="Arial" w:hAnsi="Arial" w:cs="Arial"/>
                <w:sz w:val="20"/>
                <w:szCs w:val="20"/>
                <w:lang w:val="es-ES_tradnl"/>
              </w:rPr>
            </w:pPr>
            <w:r w:rsidRPr="001B210E">
              <w:rPr>
                <w:rFonts w:ascii="Arial" w:hAnsi="Arial" w:cs="Arial"/>
                <w:sz w:val="20"/>
                <w:szCs w:val="20"/>
                <w:lang w:val="es-ES_tradnl"/>
              </w:rPr>
              <w:t xml:space="preserve">$ </w:t>
            </w:r>
            <w:r w:rsidRPr="004857CE">
              <w:rPr>
                <w:rFonts w:ascii="Arial" w:hAnsi="Arial" w:cs="Arial"/>
                <w:sz w:val="20"/>
                <w:szCs w:val="20"/>
                <w:lang w:val="es-ES_tradnl"/>
              </w:rPr>
              <w:t>3</w:t>
            </w:r>
            <w:r>
              <w:rPr>
                <w:rFonts w:ascii="Arial" w:hAnsi="Arial" w:cs="Arial"/>
                <w:sz w:val="20"/>
                <w:szCs w:val="20"/>
                <w:lang w:val="es-ES_tradnl"/>
              </w:rPr>
              <w:t>,</w:t>
            </w:r>
            <w:r w:rsidRPr="004857CE">
              <w:rPr>
                <w:rFonts w:ascii="Arial" w:hAnsi="Arial" w:cs="Arial"/>
                <w:sz w:val="20"/>
                <w:szCs w:val="20"/>
                <w:lang w:val="es-ES_tradnl"/>
              </w:rPr>
              <w:t>518</w:t>
            </w:r>
            <w:r>
              <w:rPr>
                <w:rFonts w:ascii="Arial" w:hAnsi="Arial" w:cs="Arial"/>
                <w:sz w:val="20"/>
                <w:szCs w:val="20"/>
                <w:lang w:val="es-ES_tradnl"/>
              </w:rPr>
              <w:t>,</w:t>
            </w:r>
            <w:r w:rsidRPr="004857CE">
              <w:rPr>
                <w:rFonts w:ascii="Arial" w:hAnsi="Arial" w:cs="Arial"/>
                <w:sz w:val="20"/>
                <w:szCs w:val="20"/>
                <w:lang w:val="es-ES_tradnl"/>
              </w:rPr>
              <w:t>158</w:t>
            </w:r>
          </w:p>
        </w:tc>
      </w:tr>
      <w:tr w:rsidR="007A0A49" w:rsidRPr="0094716F" w14:paraId="252CDDC3" w14:textId="77777777" w:rsidTr="000518F8">
        <w:trPr>
          <w:trHeight w:val="285"/>
        </w:trPr>
        <w:tc>
          <w:tcPr>
            <w:tcW w:w="3330" w:type="dxa"/>
            <w:tcBorders>
              <w:top w:val="nil"/>
              <w:left w:val="nil"/>
              <w:bottom w:val="nil"/>
              <w:right w:val="nil"/>
            </w:tcBorders>
            <w:shd w:val="clear" w:color="000000" w:fill="FFFFFF"/>
            <w:vAlign w:val="center"/>
            <w:hideMark/>
          </w:tcPr>
          <w:p w14:paraId="7E33735D" w14:textId="77777777" w:rsidR="007A0A49" w:rsidRPr="0094716F" w:rsidRDefault="007A0A49" w:rsidP="000518F8">
            <w:pPr>
              <w:rPr>
                <w:rFonts w:ascii="Arial" w:hAnsi="Arial" w:cs="Arial"/>
                <w:sz w:val="20"/>
                <w:szCs w:val="20"/>
                <w:lang w:val="es-ES_tradnl"/>
              </w:rPr>
            </w:pPr>
            <w:r w:rsidRPr="0094716F">
              <w:rPr>
                <w:rFonts w:ascii="Arial" w:hAnsi="Arial" w:cs="Arial"/>
                <w:sz w:val="20"/>
                <w:szCs w:val="20"/>
                <w:lang w:val="es-ES_tradnl"/>
              </w:rPr>
              <w:t>U.N. Del Altiplano</w:t>
            </w:r>
          </w:p>
        </w:tc>
        <w:tc>
          <w:tcPr>
            <w:tcW w:w="4827" w:type="dxa"/>
            <w:tcBorders>
              <w:top w:val="nil"/>
              <w:left w:val="nil"/>
              <w:bottom w:val="nil"/>
              <w:right w:val="nil"/>
            </w:tcBorders>
            <w:shd w:val="clear" w:color="000000" w:fill="FFFFFF"/>
            <w:noWrap/>
            <w:vAlign w:val="center"/>
            <w:hideMark/>
          </w:tcPr>
          <w:p w14:paraId="16DDAF33" w14:textId="77777777" w:rsidR="007A0A49" w:rsidRPr="0094716F" w:rsidRDefault="007A0A49" w:rsidP="000518F8">
            <w:pPr>
              <w:jc w:val="center"/>
              <w:rPr>
                <w:rFonts w:ascii="Arial" w:hAnsi="Arial" w:cs="Arial"/>
                <w:sz w:val="20"/>
                <w:szCs w:val="20"/>
                <w:lang w:val="es-ES_tradnl"/>
              </w:rPr>
            </w:pPr>
            <w:r w:rsidRPr="0094716F">
              <w:rPr>
                <w:rFonts w:ascii="Arial" w:hAnsi="Arial" w:cs="Arial"/>
                <w:sz w:val="20"/>
                <w:szCs w:val="20"/>
                <w:lang w:val="es-ES_tradnl"/>
              </w:rPr>
              <w:t>Creación del Servicio de Laboratorio de Biotecnología en Camélidos Sudamericanos para la Investigación Científica y Formación Profesional en el CIPBS La Raya</w:t>
            </w:r>
          </w:p>
        </w:tc>
        <w:tc>
          <w:tcPr>
            <w:tcW w:w="2013" w:type="dxa"/>
            <w:tcBorders>
              <w:top w:val="nil"/>
              <w:left w:val="nil"/>
              <w:bottom w:val="nil"/>
              <w:right w:val="nil"/>
            </w:tcBorders>
            <w:shd w:val="clear" w:color="000000" w:fill="FFFFFF"/>
            <w:noWrap/>
            <w:vAlign w:val="center"/>
            <w:hideMark/>
          </w:tcPr>
          <w:p w14:paraId="5196E71B" w14:textId="77777777" w:rsidR="007A0A49" w:rsidRPr="0094716F" w:rsidRDefault="007A0A49" w:rsidP="000518F8">
            <w:pPr>
              <w:jc w:val="right"/>
              <w:rPr>
                <w:rFonts w:ascii="Arial" w:hAnsi="Arial" w:cs="Arial"/>
                <w:sz w:val="20"/>
                <w:szCs w:val="20"/>
                <w:lang w:val="es-ES_tradnl"/>
              </w:rPr>
            </w:pPr>
            <w:r w:rsidRPr="001B210E">
              <w:rPr>
                <w:rFonts w:ascii="Arial" w:hAnsi="Arial" w:cs="Arial"/>
                <w:sz w:val="20"/>
                <w:szCs w:val="20"/>
                <w:lang w:val="es-ES_tradnl"/>
              </w:rPr>
              <w:t xml:space="preserve"> $ 12,033,986 </w:t>
            </w:r>
          </w:p>
        </w:tc>
      </w:tr>
      <w:tr w:rsidR="007A0A49" w:rsidRPr="0094716F" w14:paraId="0190A9CD" w14:textId="77777777" w:rsidTr="000518F8">
        <w:trPr>
          <w:trHeight w:val="300"/>
        </w:trPr>
        <w:tc>
          <w:tcPr>
            <w:tcW w:w="3330" w:type="dxa"/>
            <w:tcBorders>
              <w:top w:val="nil"/>
              <w:left w:val="nil"/>
              <w:bottom w:val="nil"/>
              <w:right w:val="nil"/>
            </w:tcBorders>
            <w:shd w:val="clear" w:color="000000" w:fill="FFFFFF"/>
            <w:noWrap/>
            <w:vAlign w:val="center"/>
            <w:hideMark/>
          </w:tcPr>
          <w:p w14:paraId="45444B58" w14:textId="77777777" w:rsidR="007A0A49" w:rsidRPr="0094716F" w:rsidRDefault="007A0A49" w:rsidP="000518F8">
            <w:pPr>
              <w:rPr>
                <w:rFonts w:ascii="Arial" w:hAnsi="Arial" w:cs="Arial"/>
                <w:sz w:val="20"/>
                <w:szCs w:val="20"/>
                <w:lang w:val="es-ES_tradnl"/>
              </w:rPr>
            </w:pPr>
            <w:r>
              <w:rPr>
                <w:rFonts w:ascii="Arial" w:hAnsi="Arial" w:cs="Arial"/>
                <w:sz w:val="20"/>
                <w:szCs w:val="20"/>
                <w:lang w:val="es-ES_tradnl"/>
              </w:rPr>
              <w:t>IEST Víctor Álvarez Huapaya</w:t>
            </w:r>
          </w:p>
        </w:tc>
        <w:tc>
          <w:tcPr>
            <w:tcW w:w="4827" w:type="dxa"/>
            <w:tcBorders>
              <w:top w:val="nil"/>
              <w:left w:val="nil"/>
              <w:bottom w:val="nil"/>
              <w:right w:val="nil"/>
            </w:tcBorders>
            <w:shd w:val="clear" w:color="000000" w:fill="FFFFFF"/>
            <w:noWrap/>
            <w:vAlign w:val="center"/>
            <w:hideMark/>
          </w:tcPr>
          <w:p w14:paraId="680B5013" w14:textId="13FCD9E4" w:rsidR="007A0A49" w:rsidRPr="0094716F" w:rsidRDefault="008474C3" w:rsidP="000518F8">
            <w:pPr>
              <w:jc w:val="center"/>
              <w:rPr>
                <w:rFonts w:ascii="Arial" w:hAnsi="Arial" w:cs="Arial"/>
                <w:sz w:val="20"/>
                <w:szCs w:val="20"/>
                <w:lang w:val="es-ES_tradnl"/>
              </w:rPr>
            </w:pPr>
            <w:r>
              <w:rPr>
                <w:rFonts w:ascii="Arial" w:hAnsi="Arial" w:cs="Arial"/>
                <w:sz w:val="20"/>
                <w:szCs w:val="20"/>
                <w:lang w:val="es-ES_tradnl"/>
              </w:rPr>
              <w:t>Mejoramiento del servicio educativo</w:t>
            </w:r>
          </w:p>
        </w:tc>
        <w:tc>
          <w:tcPr>
            <w:tcW w:w="2013" w:type="dxa"/>
            <w:tcBorders>
              <w:top w:val="nil"/>
              <w:left w:val="nil"/>
              <w:bottom w:val="nil"/>
              <w:right w:val="nil"/>
            </w:tcBorders>
            <w:shd w:val="clear" w:color="000000" w:fill="FFFFFF"/>
            <w:noWrap/>
            <w:vAlign w:val="center"/>
            <w:hideMark/>
          </w:tcPr>
          <w:p w14:paraId="150BD254" w14:textId="77777777" w:rsidR="007A0A49" w:rsidRPr="0094716F" w:rsidRDefault="007A0A49" w:rsidP="000518F8">
            <w:pPr>
              <w:jc w:val="right"/>
              <w:rPr>
                <w:rFonts w:ascii="Arial" w:hAnsi="Arial" w:cs="Arial"/>
                <w:sz w:val="20"/>
                <w:szCs w:val="20"/>
                <w:lang w:val="es-ES_tradnl"/>
              </w:rPr>
            </w:pPr>
            <w:r w:rsidRPr="001B210E">
              <w:rPr>
                <w:rFonts w:ascii="Arial" w:hAnsi="Arial" w:cs="Arial"/>
                <w:sz w:val="20"/>
                <w:szCs w:val="20"/>
                <w:lang w:val="es-ES_tradnl"/>
              </w:rPr>
              <w:t xml:space="preserve"> $</w:t>
            </w:r>
            <w:r>
              <w:rPr>
                <w:rFonts w:ascii="Arial" w:hAnsi="Arial" w:cs="Arial"/>
                <w:sz w:val="20"/>
                <w:szCs w:val="20"/>
                <w:lang w:val="es-ES_tradnl"/>
              </w:rPr>
              <w:t xml:space="preserve"> </w:t>
            </w:r>
            <w:r w:rsidRPr="001B210E">
              <w:rPr>
                <w:rFonts w:ascii="Arial" w:hAnsi="Arial" w:cs="Arial"/>
                <w:sz w:val="20"/>
                <w:szCs w:val="20"/>
                <w:lang w:val="es-ES_tradnl"/>
              </w:rPr>
              <w:t xml:space="preserve">15,000,000 </w:t>
            </w:r>
          </w:p>
        </w:tc>
      </w:tr>
      <w:tr w:rsidR="007A0A49" w:rsidRPr="0094716F" w14:paraId="6C365F97" w14:textId="77777777" w:rsidTr="000518F8">
        <w:trPr>
          <w:trHeight w:val="300"/>
        </w:trPr>
        <w:tc>
          <w:tcPr>
            <w:tcW w:w="3330" w:type="dxa"/>
            <w:tcBorders>
              <w:top w:val="nil"/>
              <w:left w:val="nil"/>
              <w:bottom w:val="single" w:sz="8" w:space="0" w:color="auto"/>
              <w:right w:val="nil"/>
            </w:tcBorders>
            <w:shd w:val="clear" w:color="000000" w:fill="FFFFFF"/>
            <w:noWrap/>
            <w:vAlign w:val="center"/>
          </w:tcPr>
          <w:p w14:paraId="25CEC350" w14:textId="77777777" w:rsidR="007A0A49" w:rsidRDefault="007A0A49" w:rsidP="000518F8">
            <w:pPr>
              <w:rPr>
                <w:rFonts w:ascii="Arial" w:hAnsi="Arial" w:cs="Arial"/>
                <w:sz w:val="20"/>
                <w:szCs w:val="20"/>
                <w:lang w:val="es-ES_tradnl"/>
              </w:rPr>
            </w:pPr>
            <w:r>
              <w:rPr>
                <w:rFonts w:ascii="Arial" w:hAnsi="Arial" w:cs="Arial"/>
                <w:sz w:val="20"/>
                <w:szCs w:val="20"/>
                <w:lang w:val="es-ES_tradnl"/>
              </w:rPr>
              <w:t>IEST 4 de Junio de 1821</w:t>
            </w:r>
          </w:p>
        </w:tc>
        <w:tc>
          <w:tcPr>
            <w:tcW w:w="4827" w:type="dxa"/>
            <w:tcBorders>
              <w:top w:val="nil"/>
              <w:left w:val="nil"/>
              <w:bottom w:val="single" w:sz="8" w:space="0" w:color="auto"/>
              <w:right w:val="nil"/>
            </w:tcBorders>
            <w:shd w:val="clear" w:color="000000" w:fill="FFFFFF"/>
            <w:noWrap/>
            <w:vAlign w:val="center"/>
          </w:tcPr>
          <w:p w14:paraId="0827A37E" w14:textId="024ED9B5" w:rsidR="007A0A49" w:rsidRPr="0094716F" w:rsidRDefault="008474C3" w:rsidP="000518F8">
            <w:pPr>
              <w:jc w:val="center"/>
              <w:rPr>
                <w:rFonts w:ascii="Arial" w:hAnsi="Arial" w:cs="Arial"/>
                <w:sz w:val="20"/>
                <w:szCs w:val="20"/>
                <w:lang w:val="es-ES_tradnl"/>
              </w:rPr>
            </w:pPr>
            <w:r>
              <w:rPr>
                <w:rFonts w:ascii="Arial" w:hAnsi="Arial" w:cs="Arial"/>
                <w:sz w:val="20"/>
                <w:szCs w:val="20"/>
                <w:lang w:val="es-ES_tradnl"/>
              </w:rPr>
              <w:t>Mejoramiento del servicio educativo</w:t>
            </w:r>
          </w:p>
        </w:tc>
        <w:tc>
          <w:tcPr>
            <w:tcW w:w="2013" w:type="dxa"/>
            <w:tcBorders>
              <w:top w:val="nil"/>
              <w:left w:val="nil"/>
              <w:bottom w:val="single" w:sz="8" w:space="0" w:color="auto"/>
              <w:right w:val="nil"/>
            </w:tcBorders>
            <w:shd w:val="clear" w:color="000000" w:fill="FFFFFF"/>
            <w:noWrap/>
            <w:vAlign w:val="center"/>
          </w:tcPr>
          <w:p w14:paraId="73B7C611" w14:textId="77777777" w:rsidR="007A0A49" w:rsidRPr="0094716F" w:rsidRDefault="007A0A49" w:rsidP="000518F8">
            <w:pPr>
              <w:jc w:val="right"/>
              <w:rPr>
                <w:rFonts w:ascii="Arial" w:hAnsi="Arial" w:cs="Arial"/>
                <w:sz w:val="20"/>
                <w:szCs w:val="20"/>
                <w:lang w:val="es-ES_tradnl"/>
              </w:rPr>
            </w:pPr>
            <w:r w:rsidRPr="001B210E">
              <w:rPr>
                <w:rFonts w:ascii="Arial" w:hAnsi="Arial" w:cs="Arial"/>
                <w:sz w:val="20"/>
                <w:szCs w:val="20"/>
                <w:lang w:val="es-ES_tradnl"/>
              </w:rPr>
              <w:t xml:space="preserve"> $</w:t>
            </w:r>
            <w:r>
              <w:rPr>
                <w:rFonts w:ascii="Arial" w:hAnsi="Arial" w:cs="Arial"/>
                <w:sz w:val="20"/>
                <w:szCs w:val="20"/>
                <w:lang w:val="es-ES_tradnl"/>
              </w:rPr>
              <w:t xml:space="preserve"> </w:t>
            </w:r>
            <w:r w:rsidRPr="001B210E">
              <w:rPr>
                <w:rFonts w:ascii="Arial" w:hAnsi="Arial" w:cs="Arial"/>
                <w:sz w:val="20"/>
                <w:szCs w:val="20"/>
                <w:lang w:val="es-ES_tradnl"/>
              </w:rPr>
              <w:t xml:space="preserve">15,000,000 </w:t>
            </w:r>
          </w:p>
        </w:tc>
      </w:tr>
    </w:tbl>
    <w:p w14:paraId="7CFE0B2E" w14:textId="52CBA932" w:rsidR="0027575A" w:rsidRDefault="0027575A" w:rsidP="00C440BD">
      <w:pPr>
        <w:jc w:val="both"/>
        <w:rPr>
          <w:rFonts w:ascii="Arial" w:eastAsia="Arial" w:hAnsi="Arial" w:cs="Arial"/>
          <w:sz w:val="20"/>
          <w:szCs w:val="20"/>
          <w:lang w:val="es-ES_tradnl"/>
        </w:rPr>
      </w:pPr>
    </w:p>
    <w:p w14:paraId="6A26B236" w14:textId="77777777" w:rsidR="004947DB" w:rsidRPr="0094716F" w:rsidRDefault="004947DB" w:rsidP="00C440BD">
      <w:pPr>
        <w:jc w:val="both"/>
        <w:rPr>
          <w:rFonts w:ascii="Arial" w:eastAsia="Arial" w:hAnsi="Arial" w:cs="Arial"/>
          <w:sz w:val="20"/>
          <w:szCs w:val="20"/>
          <w:lang w:val="es-ES_tradnl"/>
        </w:rPr>
      </w:pPr>
    </w:p>
    <w:p w14:paraId="38FFD022" w14:textId="77777777" w:rsidR="0033355F" w:rsidRPr="001B2BB5" w:rsidRDefault="0033355F" w:rsidP="001B2BB5">
      <w:pPr>
        <w:numPr>
          <w:ilvl w:val="0"/>
          <w:numId w:val="1"/>
        </w:numPr>
        <w:spacing w:before="120"/>
        <w:ind w:left="0"/>
        <w:contextualSpacing/>
        <w:jc w:val="both"/>
        <w:rPr>
          <w:rFonts w:ascii="Arial" w:eastAsia="Arial" w:hAnsi="Arial" w:cs="Arial"/>
          <w:b/>
        </w:rPr>
      </w:pPr>
      <w:r w:rsidRPr="001B2BB5">
        <w:rPr>
          <w:rFonts w:ascii="Arial" w:eastAsia="Arial" w:hAnsi="Arial" w:cs="Arial"/>
          <w:b/>
        </w:rPr>
        <w:t>Retornos Económicos</w:t>
      </w:r>
    </w:p>
    <w:p w14:paraId="48E07BE5" w14:textId="77777777" w:rsidR="0033355F" w:rsidRPr="00A43491" w:rsidRDefault="0033355F" w:rsidP="0033355F">
      <w:pPr>
        <w:pStyle w:val="ListParagraph"/>
        <w:spacing w:before="120"/>
        <w:ind w:left="0"/>
        <w:jc w:val="both"/>
        <w:rPr>
          <w:rFonts w:ascii="Arial" w:hAnsi="Arial" w:cs="Arial"/>
          <w:b/>
        </w:rPr>
      </w:pPr>
    </w:p>
    <w:p w14:paraId="66FDEE55" w14:textId="77777777" w:rsidR="0033355F" w:rsidRPr="00207E1E" w:rsidRDefault="002B51DE" w:rsidP="00E4455F">
      <w:pPr>
        <w:pStyle w:val="ListParagraph"/>
        <w:numPr>
          <w:ilvl w:val="0"/>
          <w:numId w:val="2"/>
        </w:numPr>
        <w:tabs>
          <w:tab w:val="left" w:pos="360"/>
        </w:tabs>
        <w:ind w:left="0" w:hanging="450"/>
        <w:jc w:val="both"/>
        <w:rPr>
          <w:rFonts w:ascii="Arial" w:eastAsia="Arial" w:hAnsi="Arial" w:cs="Arial"/>
          <w:sz w:val="22"/>
          <w:szCs w:val="22"/>
        </w:rPr>
      </w:pPr>
      <w:r>
        <w:rPr>
          <w:rFonts w:ascii="Arial" w:eastAsia="Arial" w:hAnsi="Arial" w:cs="Arial"/>
          <w:sz w:val="22"/>
          <w:szCs w:val="22"/>
        </w:rPr>
        <w:t>En base a</w:t>
      </w:r>
      <w:r w:rsidR="0033355F" w:rsidRPr="00207E1E">
        <w:rPr>
          <w:rFonts w:ascii="Arial" w:eastAsia="Arial" w:hAnsi="Arial" w:cs="Arial"/>
          <w:sz w:val="22"/>
          <w:szCs w:val="22"/>
        </w:rPr>
        <w:t xml:space="preserve"> los supuestos descritos en la sección anterior, se proyecta el flujo de co</w:t>
      </w:r>
      <w:r>
        <w:rPr>
          <w:rFonts w:ascii="Arial" w:eastAsia="Arial" w:hAnsi="Arial" w:cs="Arial"/>
          <w:sz w:val="22"/>
          <w:szCs w:val="22"/>
        </w:rPr>
        <w:t xml:space="preserve">stos y beneficios del proyecto y </w:t>
      </w:r>
      <w:r w:rsidR="0033355F" w:rsidRPr="00207E1E">
        <w:rPr>
          <w:rFonts w:ascii="Arial" w:eastAsia="Arial" w:hAnsi="Arial" w:cs="Arial"/>
          <w:sz w:val="22"/>
          <w:szCs w:val="22"/>
        </w:rPr>
        <w:t xml:space="preserve">con esta información se calcula el Valor Presente Neto (VPN) y la </w:t>
      </w:r>
      <w:r>
        <w:rPr>
          <w:rFonts w:ascii="Arial" w:eastAsia="Arial" w:hAnsi="Arial" w:cs="Arial"/>
          <w:sz w:val="22"/>
          <w:szCs w:val="22"/>
        </w:rPr>
        <w:t>ratio</w:t>
      </w:r>
      <w:r w:rsidR="0033355F" w:rsidRPr="00207E1E">
        <w:rPr>
          <w:rFonts w:ascii="Arial" w:eastAsia="Arial" w:hAnsi="Arial" w:cs="Arial"/>
          <w:sz w:val="22"/>
          <w:szCs w:val="22"/>
        </w:rPr>
        <w:t xml:space="preserve"> Beneficio-Costo</w:t>
      </w:r>
      <w:r w:rsidR="00952EF5">
        <w:rPr>
          <w:rFonts w:ascii="Arial" w:eastAsia="Arial" w:hAnsi="Arial" w:cs="Arial"/>
          <w:sz w:val="22"/>
          <w:szCs w:val="22"/>
        </w:rPr>
        <w:t>.</w:t>
      </w:r>
    </w:p>
    <w:p w14:paraId="36AD3388" w14:textId="77777777" w:rsidR="0033355F" w:rsidRPr="002B5C8B" w:rsidRDefault="0033355F" w:rsidP="0033355F">
      <w:pPr>
        <w:pStyle w:val="ListParagraph"/>
        <w:autoSpaceDE w:val="0"/>
        <w:autoSpaceDN w:val="0"/>
        <w:adjustRightInd w:val="0"/>
        <w:ind w:left="0"/>
        <w:jc w:val="both"/>
        <w:rPr>
          <w:rFonts w:ascii="Arial" w:hAnsi="Arial" w:cs="Arial"/>
          <w:sz w:val="22"/>
          <w:szCs w:val="22"/>
        </w:rPr>
      </w:pPr>
    </w:p>
    <w:p w14:paraId="2D9EBD87" w14:textId="77777777" w:rsidR="0033355F" w:rsidRPr="00207E1E" w:rsidRDefault="0033355F" w:rsidP="00E4455F">
      <w:pPr>
        <w:pStyle w:val="ListParagraph"/>
        <w:numPr>
          <w:ilvl w:val="0"/>
          <w:numId w:val="2"/>
        </w:numPr>
        <w:tabs>
          <w:tab w:val="left" w:pos="360"/>
        </w:tabs>
        <w:ind w:left="0" w:hanging="450"/>
        <w:jc w:val="both"/>
        <w:rPr>
          <w:rFonts w:ascii="Arial" w:eastAsia="Arial" w:hAnsi="Arial" w:cs="Arial"/>
          <w:sz w:val="22"/>
          <w:szCs w:val="22"/>
        </w:rPr>
      </w:pPr>
      <w:r w:rsidRPr="00207E1E">
        <w:rPr>
          <w:rFonts w:ascii="Arial" w:eastAsia="Arial" w:hAnsi="Arial" w:cs="Arial"/>
          <w:sz w:val="22"/>
          <w:szCs w:val="22"/>
        </w:rPr>
        <w:t xml:space="preserve">A modo de resumen se presenta los </w:t>
      </w:r>
      <w:r w:rsidRPr="00A012F4">
        <w:rPr>
          <w:rFonts w:ascii="Arial" w:eastAsia="Arial" w:hAnsi="Arial" w:cs="Arial"/>
          <w:sz w:val="22"/>
          <w:szCs w:val="22"/>
        </w:rPr>
        <w:t>supuestos utilizados para el cálculo de retornos económicos d</w:t>
      </w:r>
      <w:r w:rsidR="00231648" w:rsidRPr="00A012F4">
        <w:rPr>
          <w:rFonts w:ascii="Arial" w:eastAsia="Arial" w:hAnsi="Arial" w:cs="Arial"/>
          <w:sz w:val="22"/>
          <w:szCs w:val="22"/>
        </w:rPr>
        <w:t>e cada componente en el Cuadro 3</w:t>
      </w:r>
      <w:r w:rsidRPr="00A012F4">
        <w:rPr>
          <w:rFonts w:ascii="Arial" w:eastAsia="Arial" w:hAnsi="Arial" w:cs="Arial"/>
          <w:sz w:val="22"/>
          <w:szCs w:val="22"/>
        </w:rPr>
        <w:t>,</w:t>
      </w:r>
      <w:r w:rsidR="00952EF5" w:rsidRPr="00A012F4">
        <w:rPr>
          <w:rFonts w:ascii="Arial" w:eastAsia="Arial" w:hAnsi="Arial" w:cs="Arial"/>
          <w:sz w:val="22"/>
          <w:szCs w:val="22"/>
        </w:rPr>
        <w:t xml:space="preserve"> y </w:t>
      </w:r>
      <w:r w:rsidRPr="00A012F4">
        <w:rPr>
          <w:rFonts w:ascii="Arial" w:eastAsia="Arial" w:hAnsi="Arial" w:cs="Arial"/>
          <w:sz w:val="22"/>
          <w:szCs w:val="22"/>
        </w:rPr>
        <w:t xml:space="preserve">en </w:t>
      </w:r>
      <w:r w:rsidR="00952EF5" w:rsidRPr="00A012F4">
        <w:rPr>
          <w:rFonts w:ascii="Arial" w:eastAsia="Arial" w:hAnsi="Arial" w:cs="Arial"/>
          <w:sz w:val="22"/>
          <w:szCs w:val="22"/>
        </w:rPr>
        <w:t xml:space="preserve">el </w:t>
      </w:r>
      <w:r w:rsidR="00A012F4" w:rsidRPr="00A012F4">
        <w:rPr>
          <w:rFonts w:ascii="Arial" w:eastAsia="Arial" w:hAnsi="Arial" w:cs="Arial"/>
          <w:sz w:val="22"/>
          <w:szCs w:val="22"/>
        </w:rPr>
        <w:t>Anexo en el Cuadro A3</w:t>
      </w:r>
      <w:r w:rsidRPr="00A012F4">
        <w:rPr>
          <w:rFonts w:ascii="Arial" w:eastAsia="Arial" w:hAnsi="Arial" w:cs="Arial"/>
          <w:sz w:val="22"/>
          <w:szCs w:val="22"/>
        </w:rPr>
        <w:t xml:space="preserve"> se presentan el mismo cuadro con los supuestos con las fuentes de las justificaciones utilizadas</w:t>
      </w:r>
    </w:p>
    <w:p w14:paraId="3DD9A4B5" w14:textId="76D90285" w:rsidR="0033355F" w:rsidRDefault="0033355F" w:rsidP="0033355F">
      <w:pPr>
        <w:keepNext/>
        <w:jc w:val="both"/>
        <w:rPr>
          <w:rFonts w:ascii="Arial" w:hAnsi="Arial" w:cs="Arial"/>
          <w:b/>
          <w:sz w:val="22"/>
          <w:szCs w:val="22"/>
          <w:lang w:val="es-ES_tradnl"/>
        </w:rPr>
      </w:pPr>
    </w:p>
    <w:p w14:paraId="7E42B27B" w14:textId="73BFD25F" w:rsidR="002B537A" w:rsidRDefault="002B537A" w:rsidP="0033355F">
      <w:pPr>
        <w:keepNext/>
        <w:jc w:val="both"/>
        <w:rPr>
          <w:rFonts w:ascii="Arial" w:hAnsi="Arial" w:cs="Arial"/>
          <w:b/>
          <w:sz w:val="22"/>
          <w:szCs w:val="22"/>
          <w:lang w:val="es-ES_tradnl"/>
        </w:rPr>
      </w:pPr>
    </w:p>
    <w:p w14:paraId="6190843A" w14:textId="32AF08B2" w:rsidR="0033355F" w:rsidRPr="00906191" w:rsidRDefault="008102D9" w:rsidP="0033355F">
      <w:pPr>
        <w:jc w:val="center"/>
        <w:rPr>
          <w:rFonts w:ascii="Arial" w:hAnsi="Arial" w:cs="Arial"/>
          <w:b/>
          <w:sz w:val="22"/>
          <w:szCs w:val="22"/>
        </w:rPr>
      </w:pPr>
      <w:r w:rsidRPr="00906191">
        <w:rPr>
          <w:rFonts w:ascii="Arial" w:hAnsi="Arial" w:cs="Arial"/>
          <w:b/>
          <w:sz w:val="22"/>
          <w:szCs w:val="22"/>
        </w:rPr>
        <w:t>C</w:t>
      </w:r>
      <w:r w:rsidR="00231648" w:rsidRPr="00906191">
        <w:rPr>
          <w:rFonts w:ascii="Arial" w:hAnsi="Arial" w:cs="Arial"/>
          <w:b/>
          <w:sz w:val="22"/>
          <w:szCs w:val="22"/>
        </w:rPr>
        <w:t>uadro 3</w:t>
      </w:r>
      <w:r w:rsidR="0033355F" w:rsidRPr="00906191">
        <w:rPr>
          <w:rFonts w:ascii="Arial" w:hAnsi="Arial" w:cs="Arial"/>
          <w:b/>
          <w:sz w:val="22"/>
          <w:szCs w:val="22"/>
        </w:rPr>
        <w:t>: Supuestos del análisis</w:t>
      </w:r>
    </w:p>
    <w:p w14:paraId="002D820F" w14:textId="77777777" w:rsidR="0033355F" w:rsidRPr="00906191" w:rsidRDefault="0033355F" w:rsidP="0033355F">
      <w:pPr>
        <w:jc w:val="center"/>
        <w:rPr>
          <w:rFonts w:ascii="Arial" w:hAnsi="Arial" w:cs="Arial"/>
          <w:b/>
        </w:rPr>
      </w:pPr>
    </w:p>
    <w:tbl>
      <w:tblPr>
        <w:tblW w:w="9990" w:type="dxa"/>
        <w:tblInd w:w="-290" w:type="dxa"/>
        <w:tblCellMar>
          <w:top w:w="15" w:type="dxa"/>
          <w:left w:w="70" w:type="dxa"/>
          <w:bottom w:w="15" w:type="dxa"/>
          <w:right w:w="70" w:type="dxa"/>
        </w:tblCellMar>
        <w:tblLook w:val="04A0" w:firstRow="1" w:lastRow="0" w:firstColumn="1" w:lastColumn="0" w:noHBand="0" w:noVBand="1"/>
      </w:tblPr>
      <w:tblGrid>
        <w:gridCol w:w="4050"/>
        <w:gridCol w:w="2540"/>
        <w:gridCol w:w="3400"/>
      </w:tblGrid>
      <w:tr w:rsidR="0033355F" w:rsidRPr="00FB6C97" w14:paraId="55B6C675" w14:textId="77777777" w:rsidTr="005A0D91">
        <w:trPr>
          <w:trHeight w:val="585"/>
        </w:trPr>
        <w:tc>
          <w:tcPr>
            <w:tcW w:w="4050" w:type="dxa"/>
            <w:tcBorders>
              <w:top w:val="nil"/>
              <w:left w:val="nil"/>
              <w:bottom w:val="single" w:sz="8" w:space="0" w:color="auto"/>
              <w:right w:val="nil"/>
            </w:tcBorders>
            <w:shd w:val="clear" w:color="000000" w:fill="DDEBF7"/>
            <w:noWrap/>
            <w:vAlign w:val="center"/>
            <w:hideMark/>
          </w:tcPr>
          <w:p w14:paraId="6CE33CE2" w14:textId="77777777" w:rsidR="0033355F" w:rsidRPr="00906191" w:rsidRDefault="0033355F" w:rsidP="001B2BB5">
            <w:pPr>
              <w:jc w:val="center"/>
              <w:rPr>
                <w:rFonts w:ascii="Arial" w:hAnsi="Arial" w:cs="Arial"/>
                <w:b/>
                <w:bCs/>
                <w:sz w:val="22"/>
                <w:szCs w:val="22"/>
              </w:rPr>
            </w:pPr>
          </w:p>
        </w:tc>
        <w:tc>
          <w:tcPr>
            <w:tcW w:w="2540" w:type="dxa"/>
            <w:tcBorders>
              <w:top w:val="nil"/>
              <w:left w:val="nil"/>
              <w:bottom w:val="single" w:sz="8" w:space="0" w:color="auto"/>
              <w:right w:val="nil"/>
            </w:tcBorders>
            <w:shd w:val="clear" w:color="000000" w:fill="DDEBF7"/>
            <w:noWrap/>
            <w:vAlign w:val="center"/>
            <w:hideMark/>
          </w:tcPr>
          <w:p w14:paraId="64A39639" w14:textId="77777777" w:rsidR="0033355F" w:rsidRPr="00906191" w:rsidRDefault="00DA6FCE" w:rsidP="00AD23CF">
            <w:pPr>
              <w:jc w:val="center"/>
              <w:rPr>
                <w:rFonts w:ascii="Arial" w:hAnsi="Arial" w:cs="Arial"/>
                <w:b/>
                <w:bCs/>
                <w:sz w:val="18"/>
                <w:szCs w:val="20"/>
                <w:lang w:val="es-ES_tradnl"/>
              </w:rPr>
            </w:pPr>
            <w:r w:rsidRPr="00DA6FCE">
              <w:rPr>
                <w:rFonts w:ascii="Arial" w:hAnsi="Arial" w:cs="Arial"/>
                <w:b/>
                <w:sz w:val="18"/>
                <w:szCs w:val="18"/>
                <w:lang w:val="es-ES_tradnl"/>
              </w:rPr>
              <w:t xml:space="preserve">Fortalecimiento de la gestión institucional de las </w:t>
            </w:r>
            <w:r w:rsidR="00D5178C">
              <w:rPr>
                <w:rFonts w:ascii="Arial" w:hAnsi="Arial" w:cs="Arial"/>
                <w:b/>
                <w:sz w:val="18"/>
                <w:szCs w:val="18"/>
                <w:lang w:val="es-ES_tradnl"/>
              </w:rPr>
              <w:t>IES</w:t>
            </w:r>
            <w:r w:rsidRPr="00DA6FCE">
              <w:rPr>
                <w:rFonts w:ascii="Arial" w:hAnsi="Arial" w:cs="Arial"/>
                <w:b/>
                <w:sz w:val="18"/>
                <w:szCs w:val="18"/>
                <w:lang w:val="es-ES_tradnl"/>
              </w:rPr>
              <w:t xml:space="preserve"> públicas</w:t>
            </w:r>
          </w:p>
        </w:tc>
        <w:tc>
          <w:tcPr>
            <w:tcW w:w="3400" w:type="dxa"/>
            <w:tcBorders>
              <w:top w:val="nil"/>
              <w:left w:val="nil"/>
              <w:bottom w:val="single" w:sz="8" w:space="0" w:color="auto"/>
              <w:right w:val="nil"/>
            </w:tcBorders>
            <w:shd w:val="clear" w:color="000000" w:fill="DDEBF7"/>
            <w:vAlign w:val="center"/>
            <w:hideMark/>
          </w:tcPr>
          <w:p w14:paraId="72C6F520" w14:textId="77777777" w:rsidR="0033355F" w:rsidRPr="00DA6FCE" w:rsidRDefault="00DA6FCE" w:rsidP="00DA6FCE">
            <w:pPr>
              <w:jc w:val="center"/>
              <w:rPr>
                <w:rFonts w:ascii="Arial" w:hAnsi="Arial" w:cs="Arial"/>
                <w:b/>
                <w:sz w:val="22"/>
                <w:szCs w:val="22"/>
                <w:lang w:val="es-ES_tradnl"/>
              </w:rPr>
            </w:pPr>
            <w:r w:rsidRPr="00DA6FCE">
              <w:rPr>
                <w:rFonts w:ascii="Arial" w:hAnsi="Arial" w:cs="Arial"/>
                <w:b/>
                <w:sz w:val="18"/>
                <w:szCs w:val="18"/>
                <w:lang w:val="es-ES_tradnl"/>
              </w:rPr>
              <w:t xml:space="preserve">Mejora de la infraestructura y equipamiento de las </w:t>
            </w:r>
            <w:r w:rsidR="00D5178C">
              <w:rPr>
                <w:rFonts w:ascii="Arial" w:hAnsi="Arial" w:cs="Arial"/>
                <w:b/>
                <w:sz w:val="18"/>
                <w:szCs w:val="18"/>
                <w:lang w:val="es-ES_tradnl"/>
              </w:rPr>
              <w:t>IES</w:t>
            </w:r>
            <w:r w:rsidRPr="00DA6FCE">
              <w:rPr>
                <w:rFonts w:ascii="Arial" w:hAnsi="Arial" w:cs="Arial"/>
                <w:b/>
                <w:sz w:val="18"/>
                <w:szCs w:val="18"/>
                <w:lang w:val="es-ES_tradnl"/>
              </w:rPr>
              <w:t xml:space="preserve"> pública</w:t>
            </w:r>
            <w:r w:rsidR="00D5178C">
              <w:rPr>
                <w:rFonts w:ascii="Arial" w:hAnsi="Arial" w:cs="Arial"/>
                <w:b/>
                <w:sz w:val="18"/>
                <w:szCs w:val="18"/>
                <w:lang w:val="es-ES_tradnl"/>
              </w:rPr>
              <w:t>s</w:t>
            </w:r>
          </w:p>
        </w:tc>
      </w:tr>
      <w:tr w:rsidR="0033355F" w:rsidRPr="00906191" w14:paraId="5EABF1E4" w14:textId="77777777" w:rsidTr="005A0D91">
        <w:trPr>
          <w:trHeight w:val="480"/>
        </w:trPr>
        <w:tc>
          <w:tcPr>
            <w:tcW w:w="4050" w:type="dxa"/>
            <w:tcBorders>
              <w:top w:val="nil"/>
              <w:left w:val="nil"/>
              <w:bottom w:val="nil"/>
              <w:right w:val="nil"/>
            </w:tcBorders>
            <w:shd w:val="clear" w:color="000000" w:fill="FFFFFF"/>
            <w:noWrap/>
            <w:vAlign w:val="center"/>
            <w:hideMark/>
          </w:tcPr>
          <w:p w14:paraId="5FE85DD4" w14:textId="77777777" w:rsidR="0033355F" w:rsidRPr="00906191" w:rsidRDefault="00AD23CF" w:rsidP="001B2BB5">
            <w:pPr>
              <w:rPr>
                <w:rFonts w:ascii="Arial" w:hAnsi="Arial" w:cs="Arial"/>
                <w:sz w:val="18"/>
                <w:szCs w:val="20"/>
              </w:rPr>
            </w:pPr>
            <w:r w:rsidRPr="00906191">
              <w:rPr>
                <w:rFonts w:ascii="Arial" w:hAnsi="Arial" w:cs="Arial"/>
                <w:sz w:val="18"/>
                <w:szCs w:val="20"/>
              </w:rPr>
              <w:t>Número de egresados</w:t>
            </w:r>
          </w:p>
        </w:tc>
        <w:tc>
          <w:tcPr>
            <w:tcW w:w="2540" w:type="dxa"/>
            <w:tcBorders>
              <w:top w:val="nil"/>
              <w:left w:val="nil"/>
              <w:bottom w:val="nil"/>
              <w:right w:val="nil"/>
            </w:tcBorders>
            <w:shd w:val="clear" w:color="000000" w:fill="FFFFFF"/>
            <w:vAlign w:val="center"/>
            <w:hideMark/>
          </w:tcPr>
          <w:p w14:paraId="70647A5C" w14:textId="77777777" w:rsidR="0033355F" w:rsidRPr="00906191" w:rsidRDefault="00E00234" w:rsidP="00E00234">
            <w:pPr>
              <w:jc w:val="right"/>
              <w:rPr>
                <w:rFonts w:ascii="Arial" w:hAnsi="Arial" w:cs="Arial"/>
                <w:sz w:val="18"/>
                <w:szCs w:val="20"/>
              </w:rPr>
            </w:pPr>
            <w:r w:rsidRPr="00906191">
              <w:rPr>
                <w:rFonts w:ascii="Arial" w:hAnsi="Arial" w:cs="Arial"/>
                <w:sz w:val="18"/>
                <w:szCs w:val="20"/>
              </w:rPr>
              <w:t>Universidades: 242,691</w:t>
            </w:r>
            <w:r w:rsidR="0033355F" w:rsidRPr="00906191">
              <w:rPr>
                <w:rFonts w:ascii="Arial" w:hAnsi="Arial" w:cs="Arial"/>
                <w:sz w:val="18"/>
                <w:szCs w:val="20"/>
              </w:rPr>
              <w:br/>
            </w:r>
            <w:r w:rsidR="00274642">
              <w:rPr>
                <w:rFonts w:ascii="Arial" w:hAnsi="Arial" w:cs="Arial"/>
                <w:sz w:val="18"/>
                <w:szCs w:val="20"/>
              </w:rPr>
              <w:t>IEST</w:t>
            </w:r>
            <w:r w:rsidRPr="00906191">
              <w:rPr>
                <w:rFonts w:ascii="Arial" w:hAnsi="Arial" w:cs="Arial"/>
                <w:sz w:val="18"/>
                <w:szCs w:val="20"/>
              </w:rPr>
              <w:t>: 77599</w:t>
            </w:r>
          </w:p>
        </w:tc>
        <w:tc>
          <w:tcPr>
            <w:tcW w:w="3400" w:type="dxa"/>
            <w:tcBorders>
              <w:top w:val="nil"/>
              <w:left w:val="nil"/>
              <w:bottom w:val="nil"/>
              <w:right w:val="nil"/>
            </w:tcBorders>
            <w:shd w:val="clear" w:color="000000" w:fill="FFFFFF"/>
            <w:vAlign w:val="center"/>
            <w:hideMark/>
          </w:tcPr>
          <w:p w14:paraId="59B70E49" w14:textId="77777777" w:rsidR="0033355F" w:rsidRPr="00906191" w:rsidRDefault="00E00234" w:rsidP="00E00234">
            <w:pPr>
              <w:jc w:val="right"/>
              <w:rPr>
                <w:rFonts w:ascii="Arial" w:hAnsi="Arial" w:cs="Arial"/>
                <w:sz w:val="18"/>
                <w:szCs w:val="20"/>
              </w:rPr>
            </w:pPr>
            <w:r w:rsidRPr="00906191">
              <w:rPr>
                <w:rFonts w:ascii="Arial" w:hAnsi="Arial" w:cs="Arial"/>
                <w:sz w:val="18"/>
                <w:szCs w:val="20"/>
              </w:rPr>
              <w:t xml:space="preserve">Universidades: </w:t>
            </w:r>
            <w:r w:rsidR="00527B1A" w:rsidRPr="00906191">
              <w:rPr>
                <w:rFonts w:ascii="Arial" w:hAnsi="Arial" w:cs="Arial"/>
                <w:sz w:val="18"/>
                <w:szCs w:val="20"/>
              </w:rPr>
              <w:t xml:space="preserve"> 150,469</w:t>
            </w:r>
            <w:r w:rsidR="0033355F" w:rsidRPr="00906191">
              <w:rPr>
                <w:rFonts w:ascii="Arial" w:hAnsi="Arial" w:cs="Arial"/>
                <w:sz w:val="18"/>
                <w:szCs w:val="20"/>
              </w:rPr>
              <w:br/>
            </w:r>
            <w:r w:rsidR="00274642">
              <w:rPr>
                <w:rFonts w:ascii="Arial" w:hAnsi="Arial" w:cs="Arial"/>
                <w:sz w:val="18"/>
                <w:szCs w:val="20"/>
              </w:rPr>
              <w:t>IEST</w:t>
            </w:r>
            <w:r w:rsidRPr="00906191">
              <w:rPr>
                <w:rFonts w:ascii="Arial" w:hAnsi="Arial" w:cs="Arial"/>
                <w:sz w:val="18"/>
                <w:szCs w:val="20"/>
              </w:rPr>
              <w:t>:</w:t>
            </w:r>
            <w:r w:rsidR="00527B1A" w:rsidRPr="00906191">
              <w:rPr>
                <w:rFonts w:ascii="Arial" w:hAnsi="Arial" w:cs="Arial"/>
                <w:sz w:val="18"/>
                <w:szCs w:val="20"/>
              </w:rPr>
              <w:t xml:space="preserve"> 11,639</w:t>
            </w:r>
            <w:r w:rsidRPr="00906191">
              <w:rPr>
                <w:rFonts w:ascii="Arial" w:hAnsi="Arial" w:cs="Arial"/>
                <w:sz w:val="18"/>
                <w:szCs w:val="20"/>
              </w:rPr>
              <w:t xml:space="preserve"> </w:t>
            </w:r>
          </w:p>
        </w:tc>
      </w:tr>
      <w:tr w:rsidR="00527B1A" w:rsidRPr="00906191" w14:paraId="71AA555F" w14:textId="77777777" w:rsidTr="005A0D91">
        <w:trPr>
          <w:trHeight w:val="480"/>
        </w:trPr>
        <w:tc>
          <w:tcPr>
            <w:tcW w:w="4050" w:type="dxa"/>
            <w:tcBorders>
              <w:top w:val="nil"/>
              <w:left w:val="nil"/>
              <w:bottom w:val="nil"/>
              <w:right w:val="nil"/>
            </w:tcBorders>
            <w:shd w:val="clear" w:color="000000" w:fill="FFFFFF"/>
            <w:noWrap/>
            <w:vAlign w:val="center"/>
          </w:tcPr>
          <w:p w14:paraId="056B9CD6" w14:textId="77777777" w:rsidR="00527B1A" w:rsidRPr="00906191" w:rsidRDefault="00527B1A" w:rsidP="001B2BB5">
            <w:pPr>
              <w:rPr>
                <w:rFonts w:ascii="Arial" w:hAnsi="Arial" w:cs="Arial"/>
                <w:sz w:val="18"/>
                <w:szCs w:val="20"/>
                <w:lang w:val="es-ES_tradnl"/>
              </w:rPr>
            </w:pPr>
            <w:r w:rsidRPr="00906191">
              <w:rPr>
                <w:rFonts w:ascii="Arial" w:hAnsi="Arial" w:cs="Arial"/>
                <w:sz w:val="18"/>
                <w:szCs w:val="20"/>
                <w:lang w:val="es-ES_tradnl"/>
              </w:rPr>
              <w:lastRenderedPageBreak/>
              <w:t>Tasa de crecimiento del número de egresados</w:t>
            </w:r>
          </w:p>
        </w:tc>
        <w:tc>
          <w:tcPr>
            <w:tcW w:w="2540" w:type="dxa"/>
            <w:tcBorders>
              <w:top w:val="nil"/>
              <w:left w:val="nil"/>
              <w:bottom w:val="nil"/>
              <w:right w:val="nil"/>
            </w:tcBorders>
            <w:shd w:val="clear" w:color="000000" w:fill="FFFFFF"/>
            <w:vAlign w:val="center"/>
          </w:tcPr>
          <w:p w14:paraId="0C6C6B87" w14:textId="46F5D224" w:rsidR="00527B1A" w:rsidRPr="00906191" w:rsidRDefault="00527B1A" w:rsidP="00E00234">
            <w:pPr>
              <w:jc w:val="right"/>
              <w:rPr>
                <w:rFonts w:ascii="Arial" w:hAnsi="Arial" w:cs="Arial"/>
                <w:sz w:val="18"/>
                <w:szCs w:val="20"/>
              </w:rPr>
            </w:pPr>
            <w:r w:rsidRPr="00906191">
              <w:rPr>
                <w:rFonts w:ascii="Arial" w:hAnsi="Arial" w:cs="Arial"/>
                <w:sz w:val="18"/>
                <w:szCs w:val="20"/>
              </w:rPr>
              <w:t xml:space="preserve">Universidades: </w:t>
            </w:r>
            <w:r w:rsidR="00820704">
              <w:rPr>
                <w:rFonts w:ascii="Arial" w:hAnsi="Arial" w:cs="Arial"/>
                <w:sz w:val="18"/>
                <w:szCs w:val="20"/>
              </w:rPr>
              <w:t>7</w:t>
            </w:r>
            <w:r w:rsidRPr="00906191">
              <w:rPr>
                <w:rFonts w:ascii="Arial" w:hAnsi="Arial" w:cs="Arial"/>
                <w:sz w:val="18"/>
                <w:szCs w:val="20"/>
              </w:rPr>
              <w:t>%</w:t>
            </w:r>
          </w:p>
          <w:p w14:paraId="3665CCD8" w14:textId="77777777" w:rsidR="00527B1A" w:rsidRPr="00906191" w:rsidRDefault="00274642" w:rsidP="00E00234">
            <w:pPr>
              <w:jc w:val="right"/>
              <w:rPr>
                <w:rFonts w:ascii="Arial" w:hAnsi="Arial" w:cs="Arial"/>
                <w:sz w:val="18"/>
                <w:szCs w:val="20"/>
              </w:rPr>
            </w:pPr>
            <w:r>
              <w:rPr>
                <w:rFonts w:ascii="Arial" w:hAnsi="Arial" w:cs="Arial"/>
                <w:sz w:val="18"/>
                <w:szCs w:val="20"/>
              </w:rPr>
              <w:t>IEST</w:t>
            </w:r>
            <w:r w:rsidR="00527B1A" w:rsidRPr="00906191">
              <w:rPr>
                <w:rFonts w:ascii="Arial" w:hAnsi="Arial" w:cs="Arial"/>
                <w:sz w:val="18"/>
                <w:szCs w:val="20"/>
              </w:rPr>
              <w:t>: 7%</w:t>
            </w:r>
          </w:p>
        </w:tc>
        <w:tc>
          <w:tcPr>
            <w:tcW w:w="3400" w:type="dxa"/>
            <w:tcBorders>
              <w:top w:val="nil"/>
              <w:left w:val="nil"/>
              <w:bottom w:val="nil"/>
              <w:right w:val="nil"/>
            </w:tcBorders>
            <w:shd w:val="clear" w:color="000000" w:fill="FFFFFF"/>
            <w:vAlign w:val="center"/>
          </w:tcPr>
          <w:p w14:paraId="7A705A26" w14:textId="77777777" w:rsidR="00527B1A" w:rsidRPr="00906191" w:rsidRDefault="00527B1A" w:rsidP="00527B1A">
            <w:pPr>
              <w:jc w:val="right"/>
              <w:rPr>
                <w:rFonts w:ascii="Arial" w:hAnsi="Arial" w:cs="Arial"/>
                <w:sz w:val="18"/>
                <w:szCs w:val="20"/>
              </w:rPr>
            </w:pPr>
            <w:r w:rsidRPr="00906191">
              <w:rPr>
                <w:rFonts w:ascii="Arial" w:hAnsi="Arial" w:cs="Arial"/>
                <w:sz w:val="18"/>
                <w:szCs w:val="20"/>
              </w:rPr>
              <w:t>Universidades: 5%</w:t>
            </w:r>
          </w:p>
          <w:p w14:paraId="433F6249" w14:textId="77777777" w:rsidR="00527B1A" w:rsidRPr="00906191" w:rsidRDefault="00274642" w:rsidP="00527B1A">
            <w:pPr>
              <w:jc w:val="right"/>
              <w:rPr>
                <w:rFonts w:ascii="Arial" w:hAnsi="Arial" w:cs="Arial"/>
                <w:sz w:val="18"/>
                <w:szCs w:val="20"/>
              </w:rPr>
            </w:pPr>
            <w:r>
              <w:rPr>
                <w:rFonts w:ascii="Arial" w:hAnsi="Arial" w:cs="Arial"/>
                <w:sz w:val="18"/>
                <w:szCs w:val="20"/>
              </w:rPr>
              <w:t>IEST</w:t>
            </w:r>
            <w:r w:rsidR="00527B1A" w:rsidRPr="00906191">
              <w:rPr>
                <w:rFonts w:ascii="Arial" w:hAnsi="Arial" w:cs="Arial"/>
                <w:sz w:val="18"/>
                <w:szCs w:val="20"/>
              </w:rPr>
              <w:t>: 7%</w:t>
            </w:r>
          </w:p>
        </w:tc>
      </w:tr>
      <w:tr w:rsidR="0033355F" w:rsidRPr="00906191" w14:paraId="430AC94B" w14:textId="77777777" w:rsidTr="005A0D91">
        <w:trPr>
          <w:trHeight w:val="285"/>
        </w:trPr>
        <w:tc>
          <w:tcPr>
            <w:tcW w:w="4050" w:type="dxa"/>
            <w:tcBorders>
              <w:top w:val="nil"/>
              <w:left w:val="nil"/>
              <w:bottom w:val="nil"/>
              <w:right w:val="nil"/>
            </w:tcBorders>
            <w:shd w:val="clear" w:color="000000" w:fill="FFFFFF"/>
            <w:noWrap/>
            <w:vAlign w:val="center"/>
            <w:hideMark/>
          </w:tcPr>
          <w:p w14:paraId="2E9A08F6" w14:textId="77777777" w:rsidR="0033355F" w:rsidRPr="00906191" w:rsidRDefault="00527B1A" w:rsidP="001B2BB5">
            <w:pPr>
              <w:rPr>
                <w:rFonts w:ascii="Arial" w:hAnsi="Arial" w:cs="Arial"/>
                <w:sz w:val="18"/>
                <w:szCs w:val="20"/>
                <w:lang w:val="es-ES_tradnl"/>
              </w:rPr>
            </w:pPr>
            <w:r w:rsidRPr="00906191">
              <w:rPr>
                <w:rFonts w:ascii="Arial" w:hAnsi="Arial" w:cs="Arial"/>
                <w:sz w:val="18"/>
                <w:szCs w:val="20"/>
                <w:lang w:val="es-ES_tradnl"/>
              </w:rPr>
              <w:t>Ingreso promedio mensual de egresado en el sector informal</w:t>
            </w:r>
          </w:p>
        </w:tc>
        <w:tc>
          <w:tcPr>
            <w:tcW w:w="2540" w:type="dxa"/>
            <w:tcBorders>
              <w:top w:val="nil"/>
              <w:left w:val="nil"/>
              <w:bottom w:val="nil"/>
              <w:right w:val="nil"/>
            </w:tcBorders>
            <w:shd w:val="clear" w:color="000000" w:fill="FFFFFF"/>
            <w:noWrap/>
            <w:vAlign w:val="center"/>
            <w:hideMark/>
          </w:tcPr>
          <w:p w14:paraId="66568B20" w14:textId="77777777" w:rsidR="0033355F" w:rsidRPr="00906191" w:rsidRDefault="00527B1A" w:rsidP="001B2BB5">
            <w:pPr>
              <w:jc w:val="right"/>
              <w:rPr>
                <w:rFonts w:ascii="Arial" w:hAnsi="Arial" w:cs="Arial"/>
                <w:sz w:val="18"/>
                <w:szCs w:val="20"/>
              </w:rPr>
            </w:pPr>
            <w:r w:rsidRPr="00906191">
              <w:rPr>
                <w:rFonts w:ascii="Arial" w:hAnsi="Arial" w:cs="Arial"/>
                <w:sz w:val="18"/>
                <w:szCs w:val="20"/>
              </w:rPr>
              <w:t>Universidades: US$ 141</w:t>
            </w:r>
          </w:p>
          <w:p w14:paraId="21242896" w14:textId="77777777" w:rsidR="00527B1A" w:rsidRPr="00906191" w:rsidRDefault="00274642" w:rsidP="001B2BB5">
            <w:pPr>
              <w:jc w:val="right"/>
              <w:rPr>
                <w:rFonts w:ascii="Arial" w:hAnsi="Arial" w:cs="Arial"/>
                <w:sz w:val="18"/>
                <w:szCs w:val="20"/>
              </w:rPr>
            </w:pPr>
            <w:r>
              <w:rPr>
                <w:rFonts w:ascii="Arial" w:hAnsi="Arial" w:cs="Arial"/>
                <w:sz w:val="18"/>
                <w:szCs w:val="20"/>
              </w:rPr>
              <w:t>IEST</w:t>
            </w:r>
            <w:r w:rsidR="00527B1A" w:rsidRPr="00906191">
              <w:rPr>
                <w:rFonts w:ascii="Arial" w:hAnsi="Arial" w:cs="Arial"/>
                <w:sz w:val="18"/>
                <w:szCs w:val="20"/>
              </w:rPr>
              <w:t>: US$ 117</w:t>
            </w:r>
          </w:p>
        </w:tc>
        <w:tc>
          <w:tcPr>
            <w:tcW w:w="3400" w:type="dxa"/>
            <w:tcBorders>
              <w:top w:val="nil"/>
              <w:left w:val="nil"/>
              <w:bottom w:val="nil"/>
              <w:right w:val="nil"/>
            </w:tcBorders>
            <w:shd w:val="clear" w:color="000000" w:fill="FFFFFF"/>
            <w:noWrap/>
            <w:vAlign w:val="center"/>
            <w:hideMark/>
          </w:tcPr>
          <w:p w14:paraId="0335D3CB" w14:textId="77777777" w:rsidR="0033355F" w:rsidRPr="00906191" w:rsidRDefault="00527B1A" w:rsidP="001B2BB5">
            <w:pPr>
              <w:jc w:val="right"/>
              <w:rPr>
                <w:rFonts w:ascii="Arial" w:hAnsi="Arial" w:cs="Arial"/>
                <w:sz w:val="18"/>
                <w:szCs w:val="20"/>
              </w:rPr>
            </w:pPr>
            <w:r w:rsidRPr="00906191">
              <w:rPr>
                <w:rFonts w:ascii="Arial" w:hAnsi="Arial" w:cs="Arial"/>
                <w:sz w:val="18"/>
                <w:szCs w:val="20"/>
              </w:rPr>
              <w:t>-</w:t>
            </w:r>
          </w:p>
        </w:tc>
      </w:tr>
      <w:tr w:rsidR="0033355F" w:rsidRPr="00906191" w14:paraId="188A3931" w14:textId="77777777" w:rsidTr="005A0D91">
        <w:trPr>
          <w:trHeight w:val="285"/>
        </w:trPr>
        <w:tc>
          <w:tcPr>
            <w:tcW w:w="4050" w:type="dxa"/>
            <w:tcBorders>
              <w:top w:val="nil"/>
              <w:left w:val="nil"/>
              <w:bottom w:val="nil"/>
              <w:right w:val="nil"/>
            </w:tcBorders>
            <w:shd w:val="clear" w:color="000000" w:fill="FFFFFF"/>
            <w:vAlign w:val="center"/>
            <w:hideMark/>
          </w:tcPr>
          <w:p w14:paraId="0FD92515" w14:textId="77777777" w:rsidR="0033355F" w:rsidRPr="00906191" w:rsidRDefault="00527B1A" w:rsidP="001B2BB5">
            <w:pPr>
              <w:rPr>
                <w:rFonts w:ascii="Arial" w:hAnsi="Arial" w:cs="Arial"/>
                <w:sz w:val="18"/>
                <w:szCs w:val="20"/>
                <w:lang w:val="es-ES_tradnl"/>
              </w:rPr>
            </w:pPr>
            <w:r w:rsidRPr="00906191">
              <w:rPr>
                <w:rFonts w:ascii="Arial" w:hAnsi="Arial" w:cs="Arial"/>
                <w:sz w:val="18"/>
                <w:szCs w:val="20"/>
                <w:lang w:val="es-ES_tradnl"/>
              </w:rPr>
              <w:t>Ingreso promedio mensual de egresado en el sector formal</w:t>
            </w:r>
          </w:p>
        </w:tc>
        <w:tc>
          <w:tcPr>
            <w:tcW w:w="2540" w:type="dxa"/>
            <w:tcBorders>
              <w:top w:val="nil"/>
              <w:left w:val="nil"/>
              <w:bottom w:val="nil"/>
              <w:right w:val="nil"/>
            </w:tcBorders>
            <w:shd w:val="clear" w:color="000000" w:fill="FFFFFF"/>
            <w:noWrap/>
            <w:vAlign w:val="center"/>
            <w:hideMark/>
          </w:tcPr>
          <w:p w14:paraId="18705127" w14:textId="77777777" w:rsidR="00527B1A" w:rsidRPr="00906191" w:rsidRDefault="00527B1A" w:rsidP="00527B1A">
            <w:pPr>
              <w:jc w:val="right"/>
              <w:rPr>
                <w:rFonts w:ascii="Arial" w:hAnsi="Arial" w:cs="Arial"/>
                <w:sz w:val="18"/>
                <w:szCs w:val="20"/>
              </w:rPr>
            </w:pPr>
            <w:r w:rsidRPr="00906191">
              <w:rPr>
                <w:rFonts w:ascii="Arial" w:hAnsi="Arial" w:cs="Arial"/>
                <w:sz w:val="18"/>
                <w:szCs w:val="20"/>
              </w:rPr>
              <w:t>Universidades: US$ 475</w:t>
            </w:r>
          </w:p>
          <w:p w14:paraId="27E5F353" w14:textId="77777777" w:rsidR="0033355F" w:rsidRPr="00906191" w:rsidRDefault="00274642" w:rsidP="00527B1A">
            <w:pPr>
              <w:jc w:val="right"/>
              <w:rPr>
                <w:rFonts w:ascii="Arial" w:hAnsi="Arial" w:cs="Arial"/>
                <w:sz w:val="18"/>
                <w:szCs w:val="20"/>
              </w:rPr>
            </w:pPr>
            <w:r>
              <w:rPr>
                <w:rFonts w:ascii="Arial" w:hAnsi="Arial" w:cs="Arial"/>
                <w:sz w:val="18"/>
                <w:szCs w:val="20"/>
              </w:rPr>
              <w:t>IEST</w:t>
            </w:r>
            <w:r w:rsidR="00527B1A" w:rsidRPr="00906191">
              <w:rPr>
                <w:rFonts w:ascii="Arial" w:hAnsi="Arial" w:cs="Arial"/>
                <w:sz w:val="18"/>
                <w:szCs w:val="20"/>
              </w:rPr>
              <w:t>: US$ 24</w:t>
            </w:r>
            <w:r w:rsidR="00F440B3">
              <w:rPr>
                <w:rFonts w:ascii="Arial" w:hAnsi="Arial" w:cs="Arial"/>
                <w:sz w:val="18"/>
                <w:szCs w:val="20"/>
              </w:rPr>
              <w:t>5</w:t>
            </w:r>
          </w:p>
        </w:tc>
        <w:tc>
          <w:tcPr>
            <w:tcW w:w="3400" w:type="dxa"/>
            <w:tcBorders>
              <w:top w:val="nil"/>
              <w:left w:val="nil"/>
              <w:bottom w:val="nil"/>
              <w:right w:val="nil"/>
            </w:tcBorders>
            <w:shd w:val="clear" w:color="000000" w:fill="FFFFFF"/>
            <w:noWrap/>
            <w:vAlign w:val="center"/>
            <w:hideMark/>
          </w:tcPr>
          <w:p w14:paraId="3BB48CCC" w14:textId="77777777" w:rsidR="0033355F" w:rsidRPr="00906191" w:rsidRDefault="00527B1A" w:rsidP="001B2BB5">
            <w:pPr>
              <w:jc w:val="right"/>
              <w:rPr>
                <w:rFonts w:ascii="Arial" w:hAnsi="Arial" w:cs="Arial"/>
                <w:sz w:val="18"/>
                <w:szCs w:val="20"/>
              </w:rPr>
            </w:pPr>
            <w:r w:rsidRPr="00906191">
              <w:rPr>
                <w:rFonts w:ascii="Arial" w:hAnsi="Arial" w:cs="Arial"/>
                <w:sz w:val="18"/>
                <w:szCs w:val="20"/>
              </w:rPr>
              <w:t>-</w:t>
            </w:r>
          </w:p>
        </w:tc>
      </w:tr>
      <w:tr w:rsidR="0033355F" w:rsidRPr="00906191" w14:paraId="05AF8868" w14:textId="77777777" w:rsidTr="005A0D91">
        <w:trPr>
          <w:trHeight w:val="285"/>
        </w:trPr>
        <w:tc>
          <w:tcPr>
            <w:tcW w:w="4050" w:type="dxa"/>
            <w:tcBorders>
              <w:top w:val="nil"/>
              <w:left w:val="nil"/>
              <w:bottom w:val="nil"/>
              <w:right w:val="nil"/>
            </w:tcBorders>
            <w:shd w:val="clear" w:color="000000" w:fill="FFFFFF"/>
            <w:noWrap/>
            <w:vAlign w:val="center"/>
            <w:hideMark/>
          </w:tcPr>
          <w:p w14:paraId="09C0C06E" w14:textId="77777777" w:rsidR="0033355F" w:rsidRPr="00906191" w:rsidRDefault="00527B1A" w:rsidP="001B2BB5">
            <w:pPr>
              <w:rPr>
                <w:rFonts w:ascii="Arial" w:hAnsi="Arial" w:cs="Arial"/>
                <w:sz w:val="18"/>
                <w:szCs w:val="20"/>
                <w:lang w:val="es-ES_tradnl"/>
              </w:rPr>
            </w:pPr>
            <w:r w:rsidRPr="00906191">
              <w:rPr>
                <w:rFonts w:ascii="Arial" w:hAnsi="Arial" w:cs="Arial"/>
                <w:sz w:val="18"/>
                <w:szCs w:val="20"/>
                <w:lang w:val="es-ES_tradnl"/>
              </w:rPr>
              <w:t>Tasa de crecimiento de la brecha de ingresos entre sector informal y formal</w:t>
            </w:r>
          </w:p>
        </w:tc>
        <w:tc>
          <w:tcPr>
            <w:tcW w:w="2540" w:type="dxa"/>
            <w:tcBorders>
              <w:top w:val="nil"/>
              <w:left w:val="nil"/>
              <w:bottom w:val="nil"/>
              <w:right w:val="nil"/>
            </w:tcBorders>
            <w:shd w:val="clear" w:color="000000" w:fill="FFFFFF"/>
            <w:noWrap/>
            <w:vAlign w:val="center"/>
            <w:hideMark/>
          </w:tcPr>
          <w:p w14:paraId="42A2F535" w14:textId="5F8B7C41" w:rsidR="0033355F" w:rsidRPr="00906191" w:rsidRDefault="00527B1A" w:rsidP="001B2BB5">
            <w:pPr>
              <w:jc w:val="right"/>
              <w:rPr>
                <w:rFonts w:ascii="Arial" w:hAnsi="Arial" w:cs="Arial"/>
                <w:sz w:val="18"/>
                <w:szCs w:val="20"/>
              </w:rPr>
            </w:pPr>
            <w:r w:rsidRPr="00906191">
              <w:rPr>
                <w:rFonts w:ascii="Arial" w:hAnsi="Arial" w:cs="Arial"/>
                <w:sz w:val="18"/>
                <w:szCs w:val="20"/>
              </w:rPr>
              <w:t xml:space="preserve">Universidades: </w:t>
            </w:r>
            <w:r w:rsidR="00820704">
              <w:rPr>
                <w:rFonts w:ascii="Arial" w:hAnsi="Arial" w:cs="Arial"/>
                <w:sz w:val="18"/>
                <w:szCs w:val="20"/>
              </w:rPr>
              <w:t>8</w:t>
            </w:r>
            <w:r w:rsidRPr="00906191">
              <w:rPr>
                <w:rFonts w:ascii="Arial" w:hAnsi="Arial" w:cs="Arial"/>
                <w:sz w:val="18"/>
                <w:szCs w:val="20"/>
              </w:rPr>
              <w:t>%</w:t>
            </w:r>
          </w:p>
          <w:p w14:paraId="00A5C368" w14:textId="052AA6E7" w:rsidR="00527B1A" w:rsidRPr="00906191" w:rsidRDefault="00274642" w:rsidP="001B2BB5">
            <w:pPr>
              <w:jc w:val="right"/>
              <w:rPr>
                <w:rFonts w:ascii="Arial" w:hAnsi="Arial" w:cs="Arial"/>
                <w:sz w:val="18"/>
                <w:szCs w:val="20"/>
              </w:rPr>
            </w:pPr>
            <w:r>
              <w:rPr>
                <w:rFonts w:ascii="Arial" w:hAnsi="Arial" w:cs="Arial"/>
                <w:sz w:val="18"/>
                <w:szCs w:val="20"/>
              </w:rPr>
              <w:t xml:space="preserve"> IEST</w:t>
            </w:r>
            <w:r w:rsidR="00527B1A" w:rsidRPr="00906191">
              <w:rPr>
                <w:rFonts w:ascii="Arial" w:hAnsi="Arial" w:cs="Arial"/>
                <w:sz w:val="18"/>
                <w:szCs w:val="20"/>
              </w:rPr>
              <w:t xml:space="preserve">: </w:t>
            </w:r>
            <w:r w:rsidR="00820704">
              <w:rPr>
                <w:rFonts w:ascii="Arial" w:hAnsi="Arial" w:cs="Arial"/>
                <w:sz w:val="18"/>
                <w:szCs w:val="20"/>
              </w:rPr>
              <w:t>7</w:t>
            </w:r>
            <w:r w:rsidR="00527B1A" w:rsidRPr="00906191">
              <w:rPr>
                <w:rFonts w:ascii="Arial" w:hAnsi="Arial" w:cs="Arial"/>
                <w:sz w:val="18"/>
                <w:szCs w:val="20"/>
              </w:rPr>
              <w:t xml:space="preserve">% </w:t>
            </w:r>
          </w:p>
        </w:tc>
        <w:tc>
          <w:tcPr>
            <w:tcW w:w="3400" w:type="dxa"/>
            <w:tcBorders>
              <w:top w:val="nil"/>
              <w:left w:val="nil"/>
              <w:bottom w:val="nil"/>
              <w:right w:val="nil"/>
            </w:tcBorders>
            <w:shd w:val="clear" w:color="000000" w:fill="FFFFFF"/>
            <w:noWrap/>
            <w:vAlign w:val="center"/>
            <w:hideMark/>
          </w:tcPr>
          <w:p w14:paraId="72461564" w14:textId="77777777" w:rsidR="0033355F" w:rsidRPr="00906191" w:rsidRDefault="00527B1A" w:rsidP="001B2BB5">
            <w:pPr>
              <w:jc w:val="right"/>
              <w:rPr>
                <w:rFonts w:ascii="Arial" w:hAnsi="Arial" w:cs="Arial"/>
                <w:sz w:val="18"/>
                <w:szCs w:val="20"/>
              </w:rPr>
            </w:pPr>
            <w:r w:rsidRPr="00906191">
              <w:rPr>
                <w:rFonts w:ascii="Arial" w:hAnsi="Arial" w:cs="Arial"/>
                <w:sz w:val="18"/>
                <w:szCs w:val="20"/>
              </w:rPr>
              <w:t>-</w:t>
            </w:r>
          </w:p>
        </w:tc>
      </w:tr>
      <w:tr w:rsidR="005A0D91" w:rsidRPr="00906191" w14:paraId="75CD5E7C" w14:textId="77777777" w:rsidTr="005A0D91">
        <w:trPr>
          <w:trHeight w:val="285"/>
        </w:trPr>
        <w:tc>
          <w:tcPr>
            <w:tcW w:w="4050" w:type="dxa"/>
            <w:tcBorders>
              <w:top w:val="nil"/>
              <w:left w:val="nil"/>
              <w:bottom w:val="nil"/>
              <w:right w:val="nil"/>
            </w:tcBorders>
            <w:shd w:val="clear" w:color="000000" w:fill="FFFFFF"/>
            <w:noWrap/>
            <w:vAlign w:val="center"/>
          </w:tcPr>
          <w:p w14:paraId="3A10AC2A" w14:textId="77777777" w:rsidR="005A0D91" w:rsidRPr="00906191" w:rsidRDefault="005A0D91" w:rsidP="001B2BB5">
            <w:pPr>
              <w:rPr>
                <w:rFonts w:ascii="Arial" w:hAnsi="Arial" w:cs="Arial"/>
                <w:sz w:val="18"/>
                <w:szCs w:val="20"/>
                <w:lang w:val="es-ES_tradnl"/>
              </w:rPr>
            </w:pPr>
            <w:r w:rsidRPr="00906191">
              <w:rPr>
                <w:rFonts w:ascii="Arial" w:hAnsi="Arial" w:cs="Arial"/>
                <w:sz w:val="18"/>
                <w:szCs w:val="20"/>
                <w:lang w:val="es-ES_tradnl"/>
              </w:rPr>
              <w:t xml:space="preserve">Impacto de la </w:t>
            </w:r>
            <w:r w:rsidR="00255625">
              <w:rPr>
                <w:rFonts w:ascii="Arial" w:hAnsi="Arial" w:cs="Arial"/>
                <w:sz w:val="18"/>
                <w:szCs w:val="20"/>
                <w:lang w:val="es-ES_tradnl"/>
              </w:rPr>
              <w:t xml:space="preserve">mejora en la </w:t>
            </w:r>
            <w:r w:rsidRPr="00906191">
              <w:rPr>
                <w:rFonts w:ascii="Arial" w:hAnsi="Arial" w:cs="Arial"/>
                <w:sz w:val="18"/>
                <w:szCs w:val="20"/>
                <w:lang w:val="es-ES_tradnl"/>
              </w:rPr>
              <w:t>calidad educativa</w:t>
            </w:r>
            <w:r w:rsidR="00255625">
              <w:rPr>
                <w:rFonts w:ascii="Arial" w:hAnsi="Arial" w:cs="Arial"/>
                <w:sz w:val="18"/>
                <w:szCs w:val="20"/>
                <w:lang w:val="es-ES_tradnl"/>
              </w:rPr>
              <w:t xml:space="preserve"> </w:t>
            </w:r>
            <w:r w:rsidR="00255625" w:rsidRPr="00906191">
              <w:rPr>
                <w:rFonts w:ascii="Arial" w:hAnsi="Arial" w:cs="Arial"/>
                <w:sz w:val="18"/>
                <w:szCs w:val="20"/>
                <w:lang w:val="es-ES_tradnl"/>
              </w:rPr>
              <w:t>en la informalidad</w:t>
            </w:r>
          </w:p>
        </w:tc>
        <w:tc>
          <w:tcPr>
            <w:tcW w:w="2540" w:type="dxa"/>
            <w:tcBorders>
              <w:top w:val="nil"/>
              <w:left w:val="nil"/>
              <w:bottom w:val="nil"/>
              <w:right w:val="nil"/>
            </w:tcBorders>
            <w:shd w:val="clear" w:color="000000" w:fill="FFFFFF"/>
            <w:noWrap/>
            <w:vAlign w:val="center"/>
          </w:tcPr>
          <w:p w14:paraId="2CA98B72" w14:textId="77777777" w:rsidR="005A0D91" w:rsidRPr="00906191" w:rsidRDefault="005A0D91" w:rsidP="005A0D91">
            <w:pPr>
              <w:jc w:val="right"/>
              <w:rPr>
                <w:rFonts w:ascii="Arial" w:hAnsi="Arial" w:cs="Arial"/>
                <w:sz w:val="18"/>
                <w:szCs w:val="20"/>
              </w:rPr>
            </w:pPr>
            <w:r w:rsidRPr="00906191">
              <w:rPr>
                <w:rFonts w:ascii="Arial" w:hAnsi="Arial" w:cs="Arial"/>
                <w:sz w:val="18"/>
                <w:szCs w:val="20"/>
              </w:rPr>
              <w:t>Universidades: 12.5%</w:t>
            </w:r>
          </w:p>
          <w:p w14:paraId="7F575320" w14:textId="77777777" w:rsidR="005A0D91" w:rsidRPr="00906191" w:rsidRDefault="00274642" w:rsidP="005A0D91">
            <w:pPr>
              <w:jc w:val="right"/>
              <w:rPr>
                <w:rFonts w:ascii="Arial" w:hAnsi="Arial" w:cs="Arial"/>
                <w:sz w:val="18"/>
                <w:szCs w:val="20"/>
              </w:rPr>
            </w:pPr>
            <w:r>
              <w:rPr>
                <w:rFonts w:ascii="Arial" w:hAnsi="Arial" w:cs="Arial"/>
                <w:sz w:val="18"/>
                <w:szCs w:val="20"/>
              </w:rPr>
              <w:t xml:space="preserve"> IEST</w:t>
            </w:r>
            <w:r w:rsidR="005A0D91" w:rsidRPr="00906191">
              <w:rPr>
                <w:rFonts w:ascii="Arial" w:hAnsi="Arial" w:cs="Arial"/>
                <w:sz w:val="18"/>
                <w:szCs w:val="20"/>
              </w:rPr>
              <w:t>: 12.5%</w:t>
            </w:r>
          </w:p>
        </w:tc>
        <w:tc>
          <w:tcPr>
            <w:tcW w:w="3400" w:type="dxa"/>
            <w:tcBorders>
              <w:top w:val="nil"/>
              <w:left w:val="nil"/>
              <w:bottom w:val="nil"/>
              <w:right w:val="nil"/>
            </w:tcBorders>
            <w:shd w:val="clear" w:color="000000" w:fill="FFFFFF"/>
            <w:noWrap/>
            <w:vAlign w:val="center"/>
          </w:tcPr>
          <w:p w14:paraId="541CF41A" w14:textId="77777777" w:rsidR="005A0D91" w:rsidRPr="00906191" w:rsidRDefault="005A0D91" w:rsidP="001B2BB5">
            <w:pPr>
              <w:jc w:val="right"/>
              <w:rPr>
                <w:rFonts w:ascii="Arial" w:hAnsi="Arial" w:cs="Arial"/>
                <w:sz w:val="18"/>
                <w:szCs w:val="20"/>
              </w:rPr>
            </w:pPr>
            <w:r w:rsidRPr="00906191">
              <w:rPr>
                <w:rFonts w:ascii="Arial" w:hAnsi="Arial" w:cs="Arial"/>
                <w:sz w:val="18"/>
                <w:szCs w:val="20"/>
              </w:rPr>
              <w:t>-</w:t>
            </w:r>
          </w:p>
        </w:tc>
      </w:tr>
      <w:tr w:rsidR="0047474A" w:rsidRPr="0047474A" w14:paraId="4D0F67A1" w14:textId="77777777" w:rsidTr="005A0D91">
        <w:trPr>
          <w:trHeight w:val="285"/>
        </w:trPr>
        <w:tc>
          <w:tcPr>
            <w:tcW w:w="4050" w:type="dxa"/>
            <w:tcBorders>
              <w:top w:val="nil"/>
              <w:left w:val="nil"/>
              <w:bottom w:val="nil"/>
              <w:right w:val="nil"/>
            </w:tcBorders>
            <w:shd w:val="clear" w:color="000000" w:fill="FFFFFF"/>
            <w:noWrap/>
            <w:vAlign w:val="center"/>
          </w:tcPr>
          <w:p w14:paraId="65F5E9BB" w14:textId="564683A4" w:rsidR="0047474A" w:rsidRPr="00906191" w:rsidRDefault="0047474A" w:rsidP="001B2BB5">
            <w:pPr>
              <w:rPr>
                <w:rFonts w:ascii="Arial" w:hAnsi="Arial" w:cs="Arial"/>
                <w:sz w:val="18"/>
                <w:szCs w:val="20"/>
                <w:lang w:val="es-ES_tradnl"/>
              </w:rPr>
            </w:pPr>
            <w:r>
              <w:rPr>
                <w:rFonts w:ascii="Arial" w:hAnsi="Arial" w:cs="Arial"/>
                <w:sz w:val="18"/>
                <w:szCs w:val="20"/>
                <w:lang w:val="es-ES_tradnl"/>
              </w:rPr>
              <w:t>Nivel de informalidad en egresados de IES públicas</w:t>
            </w:r>
          </w:p>
        </w:tc>
        <w:tc>
          <w:tcPr>
            <w:tcW w:w="2540" w:type="dxa"/>
            <w:tcBorders>
              <w:top w:val="nil"/>
              <w:left w:val="nil"/>
              <w:bottom w:val="nil"/>
              <w:right w:val="nil"/>
            </w:tcBorders>
            <w:shd w:val="clear" w:color="000000" w:fill="FFFFFF"/>
            <w:noWrap/>
            <w:vAlign w:val="center"/>
          </w:tcPr>
          <w:p w14:paraId="26149F4D" w14:textId="5B86BF49" w:rsidR="0047474A" w:rsidRPr="002B537A" w:rsidRDefault="0047474A" w:rsidP="005A0D91">
            <w:pPr>
              <w:jc w:val="right"/>
              <w:rPr>
                <w:rFonts w:ascii="Arial" w:hAnsi="Arial" w:cs="Arial"/>
                <w:sz w:val="18"/>
                <w:szCs w:val="20"/>
                <w:lang w:val="es-ES"/>
              </w:rPr>
            </w:pPr>
            <w:r>
              <w:rPr>
                <w:rFonts w:ascii="Arial" w:hAnsi="Arial" w:cs="Arial"/>
                <w:sz w:val="18"/>
                <w:szCs w:val="20"/>
                <w:lang w:val="es-ES"/>
              </w:rPr>
              <w:t>Universidades: 57.8%</w:t>
            </w:r>
            <w:r>
              <w:rPr>
                <w:rFonts w:ascii="Arial" w:hAnsi="Arial" w:cs="Arial"/>
                <w:sz w:val="18"/>
                <w:szCs w:val="20"/>
                <w:lang w:val="es-ES"/>
              </w:rPr>
              <w:br/>
              <w:t xml:space="preserve">IEST: 71.2% </w:t>
            </w:r>
          </w:p>
        </w:tc>
        <w:tc>
          <w:tcPr>
            <w:tcW w:w="3400" w:type="dxa"/>
            <w:tcBorders>
              <w:top w:val="nil"/>
              <w:left w:val="nil"/>
              <w:bottom w:val="nil"/>
              <w:right w:val="nil"/>
            </w:tcBorders>
            <w:shd w:val="clear" w:color="000000" w:fill="FFFFFF"/>
            <w:noWrap/>
            <w:vAlign w:val="center"/>
          </w:tcPr>
          <w:p w14:paraId="003003D3" w14:textId="66E1232F" w:rsidR="0047474A" w:rsidRPr="002B537A" w:rsidRDefault="0047474A" w:rsidP="001B2BB5">
            <w:pPr>
              <w:jc w:val="right"/>
              <w:rPr>
                <w:rFonts w:ascii="Arial" w:hAnsi="Arial" w:cs="Arial"/>
                <w:sz w:val="18"/>
                <w:szCs w:val="20"/>
                <w:lang w:val="es-ES"/>
              </w:rPr>
            </w:pPr>
            <w:r w:rsidRPr="00906191">
              <w:rPr>
                <w:rFonts w:ascii="Arial" w:hAnsi="Arial" w:cs="Arial"/>
                <w:sz w:val="18"/>
                <w:szCs w:val="20"/>
              </w:rPr>
              <w:t>-</w:t>
            </w:r>
          </w:p>
        </w:tc>
      </w:tr>
      <w:tr w:rsidR="00F36CD0" w:rsidRPr="0047474A" w14:paraId="0AB2AFAA" w14:textId="77777777" w:rsidTr="005A0D91">
        <w:trPr>
          <w:trHeight w:val="285"/>
        </w:trPr>
        <w:tc>
          <w:tcPr>
            <w:tcW w:w="4050" w:type="dxa"/>
            <w:tcBorders>
              <w:top w:val="nil"/>
              <w:left w:val="nil"/>
              <w:bottom w:val="nil"/>
              <w:right w:val="nil"/>
            </w:tcBorders>
            <w:shd w:val="clear" w:color="000000" w:fill="FFFFFF"/>
            <w:noWrap/>
            <w:vAlign w:val="center"/>
          </w:tcPr>
          <w:p w14:paraId="080F36B3" w14:textId="1E545DF0" w:rsidR="00F36CD0" w:rsidRDefault="00F36CD0" w:rsidP="00F36CD0">
            <w:pPr>
              <w:rPr>
                <w:rFonts w:ascii="Arial" w:hAnsi="Arial" w:cs="Arial"/>
                <w:sz w:val="18"/>
                <w:szCs w:val="20"/>
                <w:lang w:val="es-ES_tradnl"/>
              </w:rPr>
            </w:pPr>
            <w:r>
              <w:rPr>
                <w:rFonts w:ascii="Arial" w:hAnsi="Arial" w:cs="Arial"/>
                <w:sz w:val="18"/>
                <w:szCs w:val="20"/>
                <w:lang w:val="es-ES_tradnl"/>
              </w:rPr>
              <w:t>Reducción exógena de la informalidad (debido a políticas económicas nacionales)</w:t>
            </w:r>
          </w:p>
        </w:tc>
        <w:tc>
          <w:tcPr>
            <w:tcW w:w="2540" w:type="dxa"/>
            <w:tcBorders>
              <w:top w:val="nil"/>
              <w:left w:val="nil"/>
              <w:bottom w:val="nil"/>
              <w:right w:val="nil"/>
            </w:tcBorders>
            <w:shd w:val="clear" w:color="000000" w:fill="FFFFFF"/>
            <w:noWrap/>
            <w:vAlign w:val="center"/>
          </w:tcPr>
          <w:p w14:paraId="4B518D0A" w14:textId="77777777" w:rsidR="00F36CD0" w:rsidRDefault="00F36CD0" w:rsidP="00F36CD0">
            <w:pPr>
              <w:jc w:val="right"/>
              <w:rPr>
                <w:rFonts w:ascii="Arial" w:hAnsi="Arial" w:cs="Arial"/>
                <w:sz w:val="18"/>
                <w:szCs w:val="20"/>
                <w:lang w:val="es-ES_tradnl"/>
              </w:rPr>
            </w:pPr>
            <w:r>
              <w:rPr>
                <w:rFonts w:ascii="Arial" w:hAnsi="Arial" w:cs="Arial"/>
                <w:sz w:val="18"/>
                <w:szCs w:val="20"/>
                <w:lang w:val="es-ES_tradnl"/>
              </w:rPr>
              <w:t>Universidades: 1.5% anual</w:t>
            </w:r>
          </w:p>
          <w:p w14:paraId="4AB226E7" w14:textId="653B3ADB" w:rsidR="00F36CD0" w:rsidRPr="002B537A" w:rsidRDefault="00F36CD0" w:rsidP="00F36CD0">
            <w:pPr>
              <w:jc w:val="right"/>
              <w:rPr>
                <w:rFonts w:ascii="Arial" w:hAnsi="Arial" w:cs="Arial"/>
                <w:sz w:val="18"/>
                <w:szCs w:val="20"/>
                <w:lang w:val="es-ES_tradnl"/>
              </w:rPr>
            </w:pPr>
            <w:r>
              <w:rPr>
                <w:rFonts w:ascii="Arial" w:hAnsi="Arial" w:cs="Arial"/>
                <w:sz w:val="18"/>
                <w:szCs w:val="20"/>
                <w:lang w:val="es-ES_tradnl"/>
              </w:rPr>
              <w:t>IEST: 1.5% anual</w:t>
            </w:r>
          </w:p>
        </w:tc>
        <w:tc>
          <w:tcPr>
            <w:tcW w:w="3400" w:type="dxa"/>
            <w:tcBorders>
              <w:top w:val="nil"/>
              <w:left w:val="nil"/>
              <w:bottom w:val="nil"/>
              <w:right w:val="nil"/>
            </w:tcBorders>
            <w:shd w:val="clear" w:color="000000" w:fill="FFFFFF"/>
            <w:noWrap/>
            <w:vAlign w:val="center"/>
          </w:tcPr>
          <w:p w14:paraId="2F8B3666" w14:textId="2845F9FE" w:rsidR="00F36CD0" w:rsidRPr="002B537A" w:rsidRDefault="00F36CD0" w:rsidP="00F36CD0">
            <w:pPr>
              <w:jc w:val="right"/>
              <w:rPr>
                <w:rFonts w:ascii="Arial" w:hAnsi="Arial" w:cs="Arial"/>
                <w:sz w:val="18"/>
                <w:szCs w:val="20"/>
                <w:lang w:val="es-ES"/>
              </w:rPr>
            </w:pPr>
            <w:r w:rsidRPr="001821B3">
              <w:rPr>
                <w:rFonts w:ascii="Arial" w:hAnsi="Arial" w:cs="Arial"/>
                <w:sz w:val="18"/>
                <w:szCs w:val="20"/>
                <w:lang w:val="es-ES"/>
              </w:rPr>
              <w:t>-</w:t>
            </w:r>
          </w:p>
        </w:tc>
      </w:tr>
      <w:tr w:rsidR="00F36CD0" w:rsidRPr="0047474A" w14:paraId="3A140144" w14:textId="77777777" w:rsidTr="005A0D91">
        <w:trPr>
          <w:trHeight w:val="285"/>
        </w:trPr>
        <w:tc>
          <w:tcPr>
            <w:tcW w:w="4050" w:type="dxa"/>
            <w:tcBorders>
              <w:top w:val="nil"/>
              <w:left w:val="nil"/>
              <w:bottom w:val="nil"/>
              <w:right w:val="nil"/>
            </w:tcBorders>
            <w:shd w:val="clear" w:color="000000" w:fill="FFFFFF"/>
            <w:noWrap/>
            <w:vAlign w:val="center"/>
          </w:tcPr>
          <w:p w14:paraId="63076B3F" w14:textId="59CECF3A" w:rsidR="00F36CD0" w:rsidRPr="00906191" w:rsidRDefault="00F36CD0" w:rsidP="00F36CD0">
            <w:pPr>
              <w:rPr>
                <w:rFonts w:ascii="Arial" w:hAnsi="Arial" w:cs="Arial"/>
                <w:sz w:val="18"/>
                <w:szCs w:val="20"/>
                <w:lang w:val="es-ES_tradnl"/>
              </w:rPr>
            </w:pPr>
            <w:r>
              <w:rPr>
                <w:rFonts w:ascii="Arial" w:hAnsi="Arial" w:cs="Arial"/>
                <w:sz w:val="18"/>
                <w:szCs w:val="20"/>
                <w:lang w:val="es-ES_tradnl"/>
              </w:rPr>
              <w:t>Nivel de desempleo en egresados de IES públicas</w:t>
            </w:r>
          </w:p>
        </w:tc>
        <w:tc>
          <w:tcPr>
            <w:tcW w:w="2540" w:type="dxa"/>
            <w:tcBorders>
              <w:top w:val="nil"/>
              <w:left w:val="nil"/>
              <w:bottom w:val="nil"/>
              <w:right w:val="nil"/>
            </w:tcBorders>
            <w:shd w:val="clear" w:color="000000" w:fill="FFFFFF"/>
            <w:noWrap/>
            <w:vAlign w:val="center"/>
          </w:tcPr>
          <w:p w14:paraId="151E3A1C" w14:textId="77777777" w:rsidR="00F36CD0" w:rsidRDefault="00F36CD0" w:rsidP="00F36CD0">
            <w:pPr>
              <w:jc w:val="right"/>
              <w:rPr>
                <w:rFonts w:ascii="Arial" w:hAnsi="Arial" w:cs="Arial"/>
                <w:sz w:val="18"/>
                <w:szCs w:val="20"/>
                <w:lang w:val="es-ES_tradnl"/>
              </w:rPr>
            </w:pPr>
            <w:r>
              <w:rPr>
                <w:rFonts w:ascii="Arial" w:hAnsi="Arial" w:cs="Arial"/>
                <w:sz w:val="18"/>
                <w:szCs w:val="20"/>
                <w:lang w:val="es-ES_tradnl"/>
              </w:rPr>
              <w:t>Universidades: 6.5%</w:t>
            </w:r>
          </w:p>
          <w:p w14:paraId="2EAA3D5C" w14:textId="7FBB18C5" w:rsidR="00F36CD0" w:rsidRPr="002B537A" w:rsidRDefault="00F36CD0" w:rsidP="00F36CD0">
            <w:pPr>
              <w:jc w:val="right"/>
              <w:rPr>
                <w:rFonts w:ascii="Arial" w:hAnsi="Arial" w:cs="Arial"/>
                <w:sz w:val="18"/>
                <w:szCs w:val="20"/>
                <w:lang w:val="es-ES_tradnl"/>
              </w:rPr>
            </w:pPr>
            <w:r>
              <w:rPr>
                <w:rFonts w:ascii="Arial" w:hAnsi="Arial" w:cs="Arial"/>
                <w:sz w:val="18"/>
                <w:szCs w:val="20"/>
                <w:lang w:val="es-ES_tradnl"/>
              </w:rPr>
              <w:t>IEST: 8.5%</w:t>
            </w:r>
          </w:p>
        </w:tc>
        <w:tc>
          <w:tcPr>
            <w:tcW w:w="3400" w:type="dxa"/>
            <w:tcBorders>
              <w:top w:val="nil"/>
              <w:left w:val="nil"/>
              <w:bottom w:val="nil"/>
              <w:right w:val="nil"/>
            </w:tcBorders>
            <w:shd w:val="clear" w:color="000000" w:fill="FFFFFF"/>
            <w:noWrap/>
            <w:vAlign w:val="center"/>
          </w:tcPr>
          <w:p w14:paraId="5400B45C" w14:textId="1F945D9E" w:rsidR="00F36CD0" w:rsidRPr="002B537A" w:rsidRDefault="00F36CD0" w:rsidP="00F36CD0">
            <w:pPr>
              <w:jc w:val="right"/>
              <w:rPr>
                <w:rFonts w:ascii="Arial" w:hAnsi="Arial" w:cs="Arial"/>
                <w:sz w:val="18"/>
                <w:szCs w:val="20"/>
                <w:lang w:val="es-ES"/>
              </w:rPr>
            </w:pPr>
            <w:r w:rsidRPr="00906191">
              <w:rPr>
                <w:rFonts w:ascii="Arial" w:hAnsi="Arial" w:cs="Arial"/>
                <w:sz w:val="18"/>
                <w:szCs w:val="20"/>
              </w:rPr>
              <w:t>-</w:t>
            </w:r>
          </w:p>
        </w:tc>
      </w:tr>
      <w:tr w:rsidR="00820704" w:rsidRPr="0047474A" w14:paraId="11299125" w14:textId="77777777" w:rsidTr="005A0D91">
        <w:trPr>
          <w:trHeight w:val="285"/>
        </w:trPr>
        <w:tc>
          <w:tcPr>
            <w:tcW w:w="4050" w:type="dxa"/>
            <w:tcBorders>
              <w:top w:val="nil"/>
              <w:left w:val="nil"/>
              <w:bottom w:val="nil"/>
              <w:right w:val="nil"/>
            </w:tcBorders>
            <w:shd w:val="clear" w:color="000000" w:fill="FFFFFF"/>
            <w:noWrap/>
            <w:vAlign w:val="center"/>
          </w:tcPr>
          <w:p w14:paraId="1CE7E6EF" w14:textId="4B15171B" w:rsidR="00820704" w:rsidRDefault="00820704" w:rsidP="00820704">
            <w:pPr>
              <w:rPr>
                <w:rFonts w:ascii="Arial" w:hAnsi="Arial" w:cs="Arial"/>
                <w:sz w:val="18"/>
                <w:szCs w:val="20"/>
                <w:lang w:val="es-ES_tradnl"/>
              </w:rPr>
            </w:pPr>
            <w:r>
              <w:rPr>
                <w:rFonts w:ascii="Arial" w:hAnsi="Arial" w:cs="Arial"/>
                <w:sz w:val="18"/>
                <w:szCs w:val="20"/>
                <w:lang w:val="es-ES_tradnl"/>
              </w:rPr>
              <w:t>Impacto de la mejora en la calidad educativa sobre el desempleo</w:t>
            </w:r>
          </w:p>
        </w:tc>
        <w:tc>
          <w:tcPr>
            <w:tcW w:w="2540" w:type="dxa"/>
            <w:tcBorders>
              <w:top w:val="nil"/>
              <w:left w:val="nil"/>
              <w:bottom w:val="nil"/>
              <w:right w:val="nil"/>
            </w:tcBorders>
            <w:shd w:val="clear" w:color="000000" w:fill="FFFFFF"/>
            <w:noWrap/>
            <w:vAlign w:val="center"/>
          </w:tcPr>
          <w:p w14:paraId="3F0F0E96" w14:textId="34DF7F5F" w:rsidR="00820704" w:rsidRDefault="00820704" w:rsidP="00820704">
            <w:pPr>
              <w:jc w:val="right"/>
              <w:rPr>
                <w:rFonts w:ascii="Arial" w:hAnsi="Arial" w:cs="Arial"/>
                <w:sz w:val="18"/>
                <w:szCs w:val="20"/>
                <w:lang w:val="es-ES_tradnl"/>
              </w:rPr>
            </w:pPr>
            <w:r>
              <w:rPr>
                <w:rFonts w:ascii="Arial" w:hAnsi="Arial" w:cs="Arial"/>
                <w:sz w:val="18"/>
                <w:szCs w:val="20"/>
                <w:lang w:val="es-ES_tradnl"/>
              </w:rPr>
              <w:t>Universidades: 8.0%</w:t>
            </w:r>
          </w:p>
          <w:p w14:paraId="07930F02" w14:textId="568D4839" w:rsidR="00820704" w:rsidRDefault="00820704" w:rsidP="00820704">
            <w:pPr>
              <w:jc w:val="right"/>
              <w:rPr>
                <w:rFonts w:ascii="Arial" w:hAnsi="Arial" w:cs="Arial"/>
                <w:sz w:val="18"/>
                <w:szCs w:val="20"/>
                <w:lang w:val="es-ES_tradnl"/>
              </w:rPr>
            </w:pPr>
            <w:r>
              <w:rPr>
                <w:rFonts w:ascii="Arial" w:hAnsi="Arial" w:cs="Arial"/>
                <w:sz w:val="18"/>
                <w:szCs w:val="20"/>
                <w:lang w:val="es-ES_tradnl"/>
              </w:rPr>
              <w:t>IEST:8.0%</w:t>
            </w:r>
          </w:p>
        </w:tc>
        <w:tc>
          <w:tcPr>
            <w:tcW w:w="3400" w:type="dxa"/>
            <w:tcBorders>
              <w:top w:val="nil"/>
              <w:left w:val="nil"/>
              <w:bottom w:val="nil"/>
              <w:right w:val="nil"/>
            </w:tcBorders>
            <w:shd w:val="clear" w:color="000000" w:fill="FFFFFF"/>
            <w:noWrap/>
            <w:vAlign w:val="center"/>
          </w:tcPr>
          <w:p w14:paraId="2FB36B56" w14:textId="4835C90D" w:rsidR="00820704" w:rsidRPr="002B537A" w:rsidRDefault="00820704" w:rsidP="00820704">
            <w:pPr>
              <w:jc w:val="right"/>
              <w:rPr>
                <w:rFonts w:ascii="Arial" w:hAnsi="Arial" w:cs="Arial"/>
                <w:sz w:val="18"/>
                <w:szCs w:val="20"/>
                <w:lang w:val="es-ES"/>
              </w:rPr>
            </w:pPr>
            <w:r w:rsidRPr="00906191">
              <w:rPr>
                <w:rFonts w:ascii="Arial" w:hAnsi="Arial" w:cs="Arial"/>
                <w:sz w:val="18"/>
                <w:szCs w:val="20"/>
              </w:rPr>
              <w:t>-</w:t>
            </w:r>
          </w:p>
        </w:tc>
      </w:tr>
      <w:tr w:rsidR="00820704" w:rsidRPr="0047474A" w14:paraId="331061FB" w14:textId="77777777" w:rsidTr="005A0D91">
        <w:trPr>
          <w:trHeight w:val="285"/>
        </w:trPr>
        <w:tc>
          <w:tcPr>
            <w:tcW w:w="4050" w:type="dxa"/>
            <w:tcBorders>
              <w:top w:val="nil"/>
              <w:left w:val="nil"/>
              <w:bottom w:val="nil"/>
              <w:right w:val="nil"/>
            </w:tcBorders>
            <w:shd w:val="clear" w:color="000000" w:fill="FFFFFF"/>
            <w:noWrap/>
            <w:vAlign w:val="center"/>
          </w:tcPr>
          <w:p w14:paraId="62AEC177" w14:textId="78E32A36" w:rsidR="00820704" w:rsidRPr="00906191" w:rsidRDefault="00820704" w:rsidP="00820704">
            <w:pPr>
              <w:rPr>
                <w:rFonts w:ascii="Arial" w:hAnsi="Arial" w:cs="Arial"/>
                <w:sz w:val="18"/>
                <w:szCs w:val="20"/>
                <w:lang w:val="es-ES_tradnl"/>
              </w:rPr>
            </w:pPr>
            <w:r w:rsidRPr="00906191">
              <w:rPr>
                <w:rFonts w:ascii="Arial" w:hAnsi="Arial" w:cs="Arial"/>
                <w:sz w:val="18"/>
                <w:szCs w:val="20"/>
                <w:lang w:val="es-ES_tradnl"/>
              </w:rPr>
              <w:t>Ingreso promedio mensual del egresado</w:t>
            </w:r>
          </w:p>
        </w:tc>
        <w:tc>
          <w:tcPr>
            <w:tcW w:w="2540" w:type="dxa"/>
            <w:tcBorders>
              <w:top w:val="nil"/>
              <w:left w:val="nil"/>
              <w:bottom w:val="nil"/>
              <w:right w:val="nil"/>
            </w:tcBorders>
            <w:shd w:val="clear" w:color="000000" w:fill="FFFFFF"/>
            <w:noWrap/>
            <w:vAlign w:val="center"/>
          </w:tcPr>
          <w:p w14:paraId="40645169" w14:textId="0037233A" w:rsidR="00820704" w:rsidRPr="001821B3" w:rsidRDefault="009C1DA2" w:rsidP="00820704">
            <w:pPr>
              <w:jc w:val="right"/>
              <w:rPr>
                <w:rFonts w:ascii="Arial" w:hAnsi="Arial" w:cs="Arial"/>
                <w:sz w:val="18"/>
                <w:szCs w:val="20"/>
                <w:lang w:val="es-ES"/>
              </w:rPr>
            </w:pPr>
            <w:r>
              <w:rPr>
                <w:rFonts w:ascii="Arial" w:hAnsi="Arial" w:cs="Arial"/>
                <w:sz w:val="18"/>
                <w:szCs w:val="20"/>
                <w:lang w:val="es-ES"/>
              </w:rPr>
              <w:t>Universidades: US$ 752</w:t>
            </w:r>
          </w:p>
          <w:p w14:paraId="6540ED56" w14:textId="5051A4DD" w:rsidR="00820704" w:rsidRPr="002B537A" w:rsidRDefault="00820704" w:rsidP="00820704">
            <w:pPr>
              <w:jc w:val="right"/>
              <w:rPr>
                <w:rFonts w:ascii="Arial" w:hAnsi="Arial" w:cs="Arial"/>
                <w:sz w:val="18"/>
                <w:szCs w:val="20"/>
                <w:lang w:val="es-ES"/>
              </w:rPr>
            </w:pPr>
            <w:r w:rsidRPr="001821B3">
              <w:rPr>
                <w:rFonts w:ascii="Arial" w:hAnsi="Arial" w:cs="Arial"/>
                <w:sz w:val="18"/>
                <w:szCs w:val="20"/>
                <w:lang w:val="es-ES"/>
              </w:rPr>
              <w:t xml:space="preserve"> IEST: US$ 586</w:t>
            </w:r>
          </w:p>
        </w:tc>
        <w:tc>
          <w:tcPr>
            <w:tcW w:w="3400" w:type="dxa"/>
            <w:tcBorders>
              <w:top w:val="nil"/>
              <w:left w:val="nil"/>
              <w:bottom w:val="nil"/>
              <w:right w:val="nil"/>
            </w:tcBorders>
            <w:shd w:val="clear" w:color="000000" w:fill="FFFFFF"/>
            <w:noWrap/>
            <w:vAlign w:val="center"/>
          </w:tcPr>
          <w:p w14:paraId="06DDE6CB" w14:textId="77777777" w:rsidR="00820704" w:rsidRPr="002B537A" w:rsidRDefault="00820704" w:rsidP="00820704">
            <w:pPr>
              <w:jc w:val="right"/>
              <w:rPr>
                <w:rFonts w:ascii="Arial" w:hAnsi="Arial" w:cs="Arial"/>
                <w:sz w:val="18"/>
                <w:szCs w:val="20"/>
                <w:lang w:val="es-ES"/>
              </w:rPr>
            </w:pPr>
            <w:r w:rsidRPr="002B537A">
              <w:rPr>
                <w:rFonts w:ascii="Arial" w:hAnsi="Arial" w:cs="Arial"/>
                <w:sz w:val="18"/>
                <w:szCs w:val="20"/>
                <w:lang w:val="es-ES"/>
              </w:rPr>
              <w:t>Universidades: US$ 864</w:t>
            </w:r>
          </w:p>
          <w:p w14:paraId="09EBB877" w14:textId="77777777" w:rsidR="00820704" w:rsidRPr="002B537A" w:rsidRDefault="00820704" w:rsidP="00820704">
            <w:pPr>
              <w:jc w:val="right"/>
              <w:rPr>
                <w:rFonts w:ascii="Arial" w:hAnsi="Arial" w:cs="Arial"/>
                <w:sz w:val="18"/>
                <w:szCs w:val="20"/>
                <w:lang w:val="es-ES"/>
              </w:rPr>
            </w:pPr>
            <w:r w:rsidRPr="002B537A">
              <w:rPr>
                <w:rFonts w:ascii="Arial" w:hAnsi="Arial" w:cs="Arial"/>
                <w:sz w:val="18"/>
                <w:szCs w:val="20"/>
                <w:lang w:val="es-ES"/>
              </w:rPr>
              <w:t xml:space="preserve"> IEST: US$ 586</w:t>
            </w:r>
          </w:p>
        </w:tc>
      </w:tr>
      <w:tr w:rsidR="00820704" w:rsidRPr="00906191" w14:paraId="295AD9FB" w14:textId="77777777" w:rsidTr="005A0D91">
        <w:trPr>
          <w:trHeight w:val="285"/>
        </w:trPr>
        <w:tc>
          <w:tcPr>
            <w:tcW w:w="4050" w:type="dxa"/>
            <w:tcBorders>
              <w:top w:val="nil"/>
              <w:left w:val="nil"/>
              <w:bottom w:val="nil"/>
              <w:right w:val="nil"/>
            </w:tcBorders>
            <w:shd w:val="clear" w:color="000000" w:fill="FFFFFF"/>
            <w:noWrap/>
            <w:vAlign w:val="center"/>
          </w:tcPr>
          <w:p w14:paraId="168BAF3B" w14:textId="77777777" w:rsidR="00820704" w:rsidRPr="00906191" w:rsidRDefault="00820704" w:rsidP="00820704">
            <w:pPr>
              <w:rPr>
                <w:rFonts w:ascii="Arial" w:hAnsi="Arial" w:cs="Arial"/>
                <w:sz w:val="18"/>
                <w:szCs w:val="20"/>
                <w:lang w:val="es-ES_tradnl"/>
              </w:rPr>
            </w:pPr>
            <w:r w:rsidRPr="00906191">
              <w:rPr>
                <w:rFonts w:ascii="Arial" w:hAnsi="Arial" w:cs="Arial"/>
                <w:sz w:val="18"/>
                <w:szCs w:val="20"/>
                <w:lang w:val="es-ES_tradnl"/>
              </w:rPr>
              <w:t>Tasa de crecimiento del ingreso</w:t>
            </w:r>
          </w:p>
        </w:tc>
        <w:tc>
          <w:tcPr>
            <w:tcW w:w="2540" w:type="dxa"/>
            <w:tcBorders>
              <w:top w:val="nil"/>
              <w:left w:val="nil"/>
              <w:bottom w:val="nil"/>
              <w:right w:val="nil"/>
            </w:tcBorders>
            <w:shd w:val="clear" w:color="000000" w:fill="FFFFFF"/>
            <w:noWrap/>
            <w:vAlign w:val="center"/>
          </w:tcPr>
          <w:p w14:paraId="07CE2422" w14:textId="77777777" w:rsidR="00820704" w:rsidRPr="002B537A" w:rsidRDefault="00820704" w:rsidP="00820704">
            <w:pPr>
              <w:jc w:val="right"/>
              <w:rPr>
                <w:rFonts w:ascii="Arial" w:hAnsi="Arial" w:cs="Arial"/>
                <w:sz w:val="18"/>
                <w:szCs w:val="20"/>
                <w:lang w:val="es-ES"/>
              </w:rPr>
            </w:pPr>
            <w:r w:rsidRPr="002B537A">
              <w:rPr>
                <w:rFonts w:ascii="Arial" w:hAnsi="Arial" w:cs="Arial"/>
                <w:sz w:val="18"/>
                <w:szCs w:val="20"/>
                <w:lang w:val="es-ES"/>
              </w:rPr>
              <w:t>-</w:t>
            </w:r>
          </w:p>
        </w:tc>
        <w:tc>
          <w:tcPr>
            <w:tcW w:w="3400" w:type="dxa"/>
            <w:tcBorders>
              <w:top w:val="nil"/>
              <w:left w:val="nil"/>
              <w:bottom w:val="nil"/>
              <w:right w:val="nil"/>
            </w:tcBorders>
            <w:shd w:val="clear" w:color="000000" w:fill="FFFFFF"/>
            <w:noWrap/>
            <w:vAlign w:val="center"/>
          </w:tcPr>
          <w:p w14:paraId="0A4CDA96" w14:textId="77777777" w:rsidR="00820704" w:rsidRPr="00906191" w:rsidRDefault="00820704" w:rsidP="00820704">
            <w:pPr>
              <w:jc w:val="right"/>
              <w:rPr>
                <w:rFonts w:ascii="Arial" w:hAnsi="Arial" w:cs="Arial"/>
                <w:sz w:val="18"/>
                <w:szCs w:val="20"/>
              </w:rPr>
            </w:pPr>
            <w:r w:rsidRPr="002B537A">
              <w:rPr>
                <w:rFonts w:ascii="Arial" w:hAnsi="Arial" w:cs="Arial"/>
                <w:sz w:val="18"/>
                <w:szCs w:val="20"/>
                <w:lang w:val="es-ES"/>
              </w:rPr>
              <w:t>Unive</w:t>
            </w:r>
            <w:r w:rsidRPr="00906191">
              <w:rPr>
                <w:rFonts w:ascii="Arial" w:hAnsi="Arial" w:cs="Arial"/>
                <w:sz w:val="18"/>
                <w:szCs w:val="20"/>
              </w:rPr>
              <w:t>rsidades: 3%</w:t>
            </w:r>
          </w:p>
          <w:p w14:paraId="416A62BE" w14:textId="77777777" w:rsidR="00820704" w:rsidRPr="00906191" w:rsidRDefault="00820704" w:rsidP="00820704">
            <w:pPr>
              <w:jc w:val="right"/>
              <w:rPr>
                <w:rFonts w:ascii="Arial" w:hAnsi="Arial" w:cs="Arial"/>
                <w:sz w:val="18"/>
                <w:szCs w:val="20"/>
              </w:rPr>
            </w:pPr>
            <w:r>
              <w:rPr>
                <w:rFonts w:ascii="Arial" w:hAnsi="Arial" w:cs="Arial"/>
                <w:sz w:val="18"/>
                <w:szCs w:val="20"/>
              </w:rPr>
              <w:t xml:space="preserve"> IEST</w:t>
            </w:r>
            <w:r w:rsidRPr="00906191">
              <w:rPr>
                <w:rFonts w:ascii="Arial" w:hAnsi="Arial" w:cs="Arial"/>
                <w:sz w:val="18"/>
                <w:szCs w:val="20"/>
              </w:rPr>
              <w:t>: 3%</w:t>
            </w:r>
          </w:p>
        </w:tc>
      </w:tr>
      <w:tr w:rsidR="00820704" w:rsidRPr="00906191" w14:paraId="4307AD2E" w14:textId="77777777" w:rsidTr="005A0D91">
        <w:trPr>
          <w:trHeight w:val="285"/>
        </w:trPr>
        <w:tc>
          <w:tcPr>
            <w:tcW w:w="4050" w:type="dxa"/>
            <w:tcBorders>
              <w:top w:val="nil"/>
              <w:left w:val="nil"/>
              <w:bottom w:val="nil"/>
              <w:right w:val="nil"/>
            </w:tcBorders>
            <w:shd w:val="clear" w:color="000000" w:fill="FFFFFF"/>
            <w:noWrap/>
            <w:vAlign w:val="center"/>
          </w:tcPr>
          <w:p w14:paraId="1D694C8D" w14:textId="77777777" w:rsidR="00820704" w:rsidRPr="00906191" w:rsidRDefault="00820704" w:rsidP="00820704">
            <w:pPr>
              <w:rPr>
                <w:rFonts w:ascii="Arial" w:hAnsi="Arial" w:cs="Arial"/>
                <w:sz w:val="18"/>
                <w:szCs w:val="20"/>
                <w:lang w:val="es-ES_tradnl"/>
              </w:rPr>
            </w:pPr>
            <w:r w:rsidRPr="00906191">
              <w:rPr>
                <w:rFonts w:ascii="Arial" w:hAnsi="Arial" w:cs="Arial"/>
                <w:sz w:val="18"/>
                <w:szCs w:val="20"/>
                <w:lang w:val="es-ES_tradnl"/>
              </w:rPr>
              <w:t>Impacto de la infraestructura sobre ingresos</w:t>
            </w:r>
          </w:p>
        </w:tc>
        <w:tc>
          <w:tcPr>
            <w:tcW w:w="2540" w:type="dxa"/>
            <w:tcBorders>
              <w:top w:val="nil"/>
              <w:left w:val="nil"/>
              <w:bottom w:val="nil"/>
              <w:right w:val="nil"/>
            </w:tcBorders>
            <w:shd w:val="clear" w:color="000000" w:fill="FFFFFF"/>
            <w:noWrap/>
            <w:vAlign w:val="center"/>
          </w:tcPr>
          <w:p w14:paraId="6BAA72F2" w14:textId="77777777" w:rsidR="00820704" w:rsidRPr="00906191" w:rsidRDefault="00820704" w:rsidP="00820704">
            <w:pPr>
              <w:jc w:val="right"/>
              <w:rPr>
                <w:rFonts w:ascii="Arial" w:hAnsi="Arial" w:cs="Arial"/>
                <w:sz w:val="18"/>
                <w:szCs w:val="20"/>
              </w:rPr>
            </w:pPr>
            <w:r w:rsidRPr="00906191">
              <w:rPr>
                <w:rFonts w:ascii="Arial" w:hAnsi="Arial" w:cs="Arial"/>
                <w:sz w:val="18"/>
                <w:szCs w:val="20"/>
              </w:rPr>
              <w:t>-</w:t>
            </w:r>
          </w:p>
        </w:tc>
        <w:tc>
          <w:tcPr>
            <w:tcW w:w="3400" w:type="dxa"/>
            <w:tcBorders>
              <w:top w:val="nil"/>
              <w:left w:val="nil"/>
              <w:bottom w:val="nil"/>
              <w:right w:val="nil"/>
            </w:tcBorders>
            <w:shd w:val="clear" w:color="000000" w:fill="FFFFFF"/>
            <w:noWrap/>
            <w:vAlign w:val="center"/>
          </w:tcPr>
          <w:p w14:paraId="050890D3" w14:textId="77777777" w:rsidR="00820704" w:rsidRPr="00906191" w:rsidRDefault="00820704" w:rsidP="00820704">
            <w:pPr>
              <w:jc w:val="right"/>
              <w:rPr>
                <w:rFonts w:ascii="Arial" w:hAnsi="Arial" w:cs="Arial"/>
                <w:sz w:val="18"/>
                <w:szCs w:val="20"/>
              </w:rPr>
            </w:pPr>
            <w:r w:rsidRPr="00906191">
              <w:rPr>
                <w:rFonts w:ascii="Arial" w:hAnsi="Arial" w:cs="Arial"/>
                <w:sz w:val="18"/>
                <w:szCs w:val="20"/>
              </w:rPr>
              <w:t>Universidades: 15%</w:t>
            </w:r>
          </w:p>
          <w:p w14:paraId="34A89923" w14:textId="77777777" w:rsidR="00820704" w:rsidRPr="00906191" w:rsidRDefault="00820704" w:rsidP="00820704">
            <w:pPr>
              <w:jc w:val="right"/>
              <w:rPr>
                <w:rFonts w:ascii="Arial" w:hAnsi="Arial" w:cs="Arial"/>
                <w:sz w:val="18"/>
                <w:szCs w:val="20"/>
              </w:rPr>
            </w:pPr>
            <w:r>
              <w:rPr>
                <w:rFonts w:ascii="Arial" w:hAnsi="Arial" w:cs="Arial"/>
                <w:sz w:val="18"/>
                <w:szCs w:val="20"/>
              </w:rPr>
              <w:t xml:space="preserve"> IEST</w:t>
            </w:r>
            <w:r w:rsidRPr="00906191">
              <w:rPr>
                <w:rFonts w:ascii="Arial" w:hAnsi="Arial" w:cs="Arial"/>
                <w:sz w:val="18"/>
                <w:szCs w:val="20"/>
              </w:rPr>
              <w:t>: 15%</w:t>
            </w:r>
          </w:p>
        </w:tc>
      </w:tr>
    </w:tbl>
    <w:p w14:paraId="188B92E8" w14:textId="77777777" w:rsidR="0033355F" w:rsidRPr="00906191" w:rsidRDefault="0033355F" w:rsidP="0033355F">
      <w:pPr>
        <w:rPr>
          <w:rFonts w:ascii="Arial" w:hAnsi="Arial" w:cs="Arial"/>
        </w:rPr>
      </w:pPr>
    </w:p>
    <w:p w14:paraId="3D8F95EA" w14:textId="77777777" w:rsidR="0033355F" w:rsidRPr="005D4945" w:rsidRDefault="0033355F" w:rsidP="00E4455F">
      <w:pPr>
        <w:pStyle w:val="ListParagraph"/>
        <w:numPr>
          <w:ilvl w:val="0"/>
          <w:numId w:val="2"/>
        </w:numPr>
        <w:tabs>
          <w:tab w:val="left" w:pos="360"/>
        </w:tabs>
        <w:ind w:left="0" w:hanging="450"/>
        <w:jc w:val="both"/>
        <w:rPr>
          <w:rFonts w:ascii="Arial" w:eastAsia="Arial" w:hAnsi="Arial" w:cs="Arial"/>
          <w:sz w:val="22"/>
          <w:szCs w:val="22"/>
        </w:rPr>
      </w:pPr>
      <w:r w:rsidRPr="005D4945">
        <w:rPr>
          <w:rFonts w:ascii="Arial" w:eastAsia="Arial" w:hAnsi="Arial" w:cs="Arial"/>
          <w:sz w:val="22"/>
          <w:szCs w:val="22"/>
        </w:rPr>
        <w:t xml:space="preserve">Adicionalmente, se presentan la forma de cálculo de beneficios y costos para los </w:t>
      </w:r>
      <w:r w:rsidR="005D4945" w:rsidRPr="005D4945">
        <w:rPr>
          <w:rFonts w:ascii="Arial" w:eastAsia="Arial" w:hAnsi="Arial" w:cs="Arial"/>
          <w:sz w:val="22"/>
          <w:szCs w:val="22"/>
        </w:rPr>
        <w:t>egresados</w:t>
      </w:r>
      <w:r w:rsidRPr="005D4945">
        <w:rPr>
          <w:rFonts w:ascii="Arial" w:eastAsia="Arial" w:hAnsi="Arial" w:cs="Arial"/>
          <w:sz w:val="22"/>
          <w:szCs w:val="22"/>
        </w:rPr>
        <w:t xml:space="preserve"> atendidos por el programa en </w:t>
      </w:r>
      <w:r w:rsidR="005D4945" w:rsidRPr="005D4945">
        <w:rPr>
          <w:rFonts w:ascii="Arial" w:eastAsia="Arial" w:hAnsi="Arial" w:cs="Arial"/>
          <w:sz w:val="22"/>
          <w:szCs w:val="22"/>
        </w:rPr>
        <w:t>los</w:t>
      </w:r>
      <w:r w:rsidRPr="005D4945">
        <w:rPr>
          <w:rFonts w:ascii="Arial" w:eastAsia="Arial" w:hAnsi="Arial" w:cs="Arial"/>
          <w:sz w:val="22"/>
          <w:szCs w:val="22"/>
        </w:rPr>
        <w:t xml:space="preserve"> componentes </w:t>
      </w:r>
      <w:r w:rsidR="005D4945" w:rsidRPr="005D4945">
        <w:rPr>
          <w:rFonts w:ascii="Arial" w:eastAsia="Arial" w:hAnsi="Arial" w:cs="Arial"/>
          <w:sz w:val="22"/>
          <w:szCs w:val="22"/>
        </w:rPr>
        <w:t xml:space="preserve">de </w:t>
      </w:r>
      <w:r w:rsidR="002B51DE" w:rsidRPr="002B51DE">
        <w:rPr>
          <w:rFonts w:ascii="Arial" w:eastAsia="Arial" w:hAnsi="Arial" w:cs="Arial"/>
          <w:sz w:val="22"/>
          <w:szCs w:val="22"/>
        </w:rPr>
        <w:t xml:space="preserve">Fortalecimiento de la gestión institucional de las </w:t>
      </w:r>
      <w:r w:rsidR="00D5178C">
        <w:rPr>
          <w:rFonts w:ascii="Arial" w:eastAsia="Arial" w:hAnsi="Arial" w:cs="Arial"/>
          <w:sz w:val="22"/>
          <w:szCs w:val="22"/>
        </w:rPr>
        <w:t>IES</w:t>
      </w:r>
      <w:r w:rsidR="002B51DE" w:rsidRPr="002B51DE">
        <w:rPr>
          <w:rFonts w:ascii="Arial" w:eastAsia="Arial" w:hAnsi="Arial" w:cs="Arial"/>
          <w:sz w:val="22"/>
          <w:szCs w:val="22"/>
        </w:rPr>
        <w:t xml:space="preserve"> públicas</w:t>
      </w:r>
      <w:r w:rsidR="002B51DE" w:rsidRPr="005D4945">
        <w:rPr>
          <w:rFonts w:ascii="Arial" w:eastAsia="Arial" w:hAnsi="Arial" w:cs="Arial"/>
          <w:sz w:val="22"/>
          <w:szCs w:val="22"/>
        </w:rPr>
        <w:t xml:space="preserve"> </w:t>
      </w:r>
      <w:r w:rsidR="005D4945" w:rsidRPr="005D4945">
        <w:rPr>
          <w:rFonts w:ascii="Arial" w:eastAsia="Arial" w:hAnsi="Arial" w:cs="Arial"/>
          <w:sz w:val="22"/>
          <w:szCs w:val="22"/>
        </w:rPr>
        <w:t xml:space="preserve">y </w:t>
      </w:r>
      <w:r w:rsidR="002B51DE" w:rsidRPr="002B51DE">
        <w:rPr>
          <w:rFonts w:ascii="Arial" w:eastAsia="Arial" w:hAnsi="Arial" w:cs="Arial"/>
          <w:sz w:val="22"/>
          <w:szCs w:val="22"/>
        </w:rPr>
        <w:t xml:space="preserve">Mejora de la infraestructura y equipamiento de las </w:t>
      </w:r>
      <w:r w:rsidR="00274642">
        <w:rPr>
          <w:rFonts w:ascii="Arial" w:eastAsia="Arial" w:hAnsi="Arial" w:cs="Arial"/>
          <w:sz w:val="22"/>
          <w:szCs w:val="22"/>
        </w:rPr>
        <w:t>IES</w:t>
      </w:r>
      <w:r w:rsidR="002B51DE" w:rsidRPr="002B51DE">
        <w:rPr>
          <w:rFonts w:ascii="Arial" w:eastAsia="Arial" w:hAnsi="Arial" w:cs="Arial"/>
          <w:sz w:val="22"/>
          <w:szCs w:val="22"/>
        </w:rPr>
        <w:t xml:space="preserve"> pública</w:t>
      </w:r>
      <w:r w:rsidR="002B51DE" w:rsidRPr="005D4945">
        <w:rPr>
          <w:rFonts w:ascii="Arial" w:eastAsia="Arial" w:hAnsi="Arial" w:cs="Arial"/>
          <w:sz w:val="22"/>
          <w:szCs w:val="22"/>
        </w:rPr>
        <w:t xml:space="preserve"> </w:t>
      </w:r>
      <w:r w:rsidR="005D4945" w:rsidRPr="005D4945">
        <w:rPr>
          <w:rFonts w:ascii="Arial" w:eastAsia="Arial" w:hAnsi="Arial" w:cs="Arial"/>
          <w:sz w:val="22"/>
          <w:szCs w:val="22"/>
        </w:rPr>
        <w:t>en el Anexo en el Cuadro A7</w:t>
      </w:r>
      <w:r w:rsidRPr="005D4945">
        <w:rPr>
          <w:rFonts w:ascii="Arial" w:eastAsia="Arial" w:hAnsi="Arial" w:cs="Arial"/>
          <w:sz w:val="22"/>
          <w:szCs w:val="22"/>
        </w:rPr>
        <w:t>.</w:t>
      </w:r>
    </w:p>
    <w:p w14:paraId="4876FE5C" w14:textId="77777777" w:rsidR="005D5D4B" w:rsidRPr="00906191" w:rsidRDefault="005D5D4B" w:rsidP="0033355F">
      <w:pPr>
        <w:jc w:val="both"/>
        <w:rPr>
          <w:rFonts w:ascii="Arial" w:hAnsi="Arial" w:cs="Arial"/>
          <w:sz w:val="22"/>
          <w:szCs w:val="22"/>
          <w:lang w:val="es-ES_tradnl"/>
        </w:rPr>
      </w:pPr>
    </w:p>
    <w:p w14:paraId="1808ECC9" w14:textId="77777777" w:rsidR="0033355F" w:rsidRPr="00865D08" w:rsidRDefault="0033355F" w:rsidP="007F09DC">
      <w:pPr>
        <w:numPr>
          <w:ilvl w:val="1"/>
          <w:numId w:val="1"/>
        </w:numPr>
        <w:ind w:left="0"/>
        <w:contextualSpacing/>
        <w:jc w:val="both"/>
        <w:rPr>
          <w:rFonts w:ascii="Arial" w:eastAsia="Arial" w:hAnsi="Arial" w:cs="Arial"/>
          <w:b/>
          <w:sz w:val="22"/>
          <w:szCs w:val="22"/>
          <w:lang w:val="es-ES_tradnl"/>
        </w:rPr>
      </w:pPr>
      <w:r w:rsidRPr="00D535D7">
        <w:rPr>
          <w:rFonts w:ascii="Arial" w:eastAsia="Arial" w:hAnsi="Arial" w:cs="Arial"/>
          <w:b/>
          <w:lang w:val="es-ES_tradnl"/>
        </w:rPr>
        <w:t xml:space="preserve">Retornos Económicos del componente de </w:t>
      </w:r>
      <w:r w:rsidR="007F09DC">
        <w:rPr>
          <w:rFonts w:ascii="Arial" w:eastAsia="Arial" w:hAnsi="Arial" w:cs="Arial"/>
          <w:b/>
          <w:lang w:val="es-ES_tradnl"/>
        </w:rPr>
        <w:t xml:space="preserve">Fortalecimiento de la gestión institucional de las </w:t>
      </w:r>
      <w:r w:rsidR="00D5178C">
        <w:rPr>
          <w:rFonts w:ascii="Arial" w:eastAsia="Arial" w:hAnsi="Arial" w:cs="Arial"/>
          <w:b/>
          <w:lang w:val="es-ES_tradnl"/>
        </w:rPr>
        <w:t>IES</w:t>
      </w:r>
      <w:r w:rsidR="007F09DC">
        <w:rPr>
          <w:rFonts w:ascii="Arial" w:eastAsia="Arial" w:hAnsi="Arial" w:cs="Arial"/>
          <w:b/>
          <w:lang w:val="es-ES_tradnl"/>
        </w:rPr>
        <w:t xml:space="preserve"> públicas </w:t>
      </w:r>
    </w:p>
    <w:p w14:paraId="29709AEF" w14:textId="77777777" w:rsidR="0033355F" w:rsidRDefault="0033355F" w:rsidP="0033355F">
      <w:pPr>
        <w:pStyle w:val="ListParagraph"/>
        <w:autoSpaceDE w:val="0"/>
        <w:autoSpaceDN w:val="0"/>
        <w:adjustRightInd w:val="0"/>
        <w:ind w:left="0"/>
        <w:jc w:val="both"/>
        <w:rPr>
          <w:rFonts w:ascii="Arial" w:hAnsi="Arial" w:cs="Arial"/>
        </w:rPr>
      </w:pPr>
    </w:p>
    <w:p w14:paraId="5FF49A57" w14:textId="6F85949A" w:rsidR="0033355F" w:rsidRPr="004E3F83" w:rsidRDefault="00231648" w:rsidP="00E4455F">
      <w:pPr>
        <w:pStyle w:val="ListParagraph"/>
        <w:numPr>
          <w:ilvl w:val="0"/>
          <w:numId w:val="2"/>
        </w:numPr>
        <w:tabs>
          <w:tab w:val="left" w:pos="360"/>
        </w:tabs>
        <w:ind w:left="0" w:hanging="450"/>
        <w:jc w:val="both"/>
        <w:rPr>
          <w:rFonts w:ascii="Arial" w:eastAsia="Arial" w:hAnsi="Arial" w:cs="Arial"/>
          <w:sz w:val="22"/>
          <w:szCs w:val="22"/>
        </w:rPr>
      </w:pPr>
      <w:r w:rsidRPr="004E3F83">
        <w:rPr>
          <w:rFonts w:ascii="Arial" w:eastAsia="Arial" w:hAnsi="Arial" w:cs="Arial"/>
          <w:sz w:val="22"/>
          <w:szCs w:val="22"/>
        </w:rPr>
        <w:t>El Cuadro</w:t>
      </w:r>
      <w:r w:rsidR="00A01AF6">
        <w:rPr>
          <w:rFonts w:ascii="Arial" w:eastAsia="Arial" w:hAnsi="Arial" w:cs="Arial"/>
          <w:sz w:val="22"/>
          <w:szCs w:val="22"/>
        </w:rPr>
        <w:t xml:space="preserve"> </w:t>
      </w:r>
      <w:r w:rsidRPr="004E3F83">
        <w:rPr>
          <w:rFonts w:ascii="Arial" w:eastAsia="Arial" w:hAnsi="Arial" w:cs="Arial"/>
          <w:sz w:val="22"/>
          <w:szCs w:val="22"/>
        </w:rPr>
        <w:t>4</w:t>
      </w:r>
      <w:r w:rsidR="0033355F" w:rsidRPr="004E3F83">
        <w:rPr>
          <w:rFonts w:ascii="Arial" w:eastAsia="Arial" w:hAnsi="Arial" w:cs="Arial"/>
          <w:sz w:val="22"/>
          <w:szCs w:val="22"/>
        </w:rPr>
        <w:t xml:space="preserve"> presenta el resultado del análisis costo-beneficio del componente de </w:t>
      </w:r>
      <w:r w:rsidR="004E3F83" w:rsidRPr="004E3F83">
        <w:rPr>
          <w:rFonts w:ascii="Arial" w:eastAsia="Arial" w:hAnsi="Arial" w:cs="Arial"/>
          <w:sz w:val="22"/>
          <w:szCs w:val="22"/>
        </w:rPr>
        <w:t xml:space="preserve">Fortalecimiento de la gestión institucional de las </w:t>
      </w:r>
      <w:r w:rsidR="00D5178C">
        <w:rPr>
          <w:rFonts w:ascii="Arial" w:eastAsia="Arial" w:hAnsi="Arial" w:cs="Arial"/>
          <w:sz w:val="22"/>
          <w:szCs w:val="22"/>
        </w:rPr>
        <w:t>IES</w:t>
      </w:r>
      <w:r w:rsidR="004E3F83">
        <w:rPr>
          <w:rFonts w:ascii="Arial" w:eastAsia="Arial" w:hAnsi="Arial" w:cs="Arial"/>
          <w:sz w:val="22"/>
          <w:szCs w:val="22"/>
        </w:rPr>
        <w:t xml:space="preserve"> públicas. </w:t>
      </w:r>
      <w:r w:rsidR="0033355F" w:rsidRPr="004E3F83">
        <w:rPr>
          <w:rFonts w:ascii="Arial" w:eastAsia="Arial" w:hAnsi="Arial" w:cs="Arial"/>
          <w:sz w:val="22"/>
          <w:szCs w:val="22"/>
        </w:rPr>
        <w:t>La desagregación del flujo de beneficios y costos por año se present</w:t>
      </w:r>
      <w:r w:rsidR="00344772" w:rsidRPr="004E3F83">
        <w:rPr>
          <w:rFonts w:ascii="Arial" w:eastAsia="Arial" w:hAnsi="Arial" w:cs="Arial"/>
          <w:sz w:val="22"/>
          <w:szCs w:val="22"/>
        </w:rPr>
        <w:t>a en el Anexo en el Cuadro A4</w:t>
      </w:r>
      <w:r w:rsidR="0033355F" w:rsidRPr="004E3F83">
        <w:rPr>
          <w:rFonts w:ascii="Arial" w:eastAsia="Arial" w:hAnsi="Arial" w:cs="Arial"/>
          <w:sz w:val="22"/>
          <w:szCs w:val="22"/>
        </w:rPr>
        <w:t xml:space="preserve">. </w:t>
      </w:r>
    </w:p>
    <w:p w14:paraId="45D1DB70" w14:textId="77777777" w:rsidR="008451AA" w:rsidRPr="002B5C8B" w:rsidRDefault="008451AA" w:rsidP="008451AA">
      <w:pPr>
        <w:pStyle w:val="ListParagraph"/>
        <w:autoSpaceDE w:val="0"/>
        <w:autoSpaceDN w:val="0"/>
        <w:adjustRightInd w:val="0"/>
        <w:ind w:left="0"/>
        <w:jc w:val="both"/>
        <w:rPr>
          <w:rFonts w:ascii="Arial" w:hAnsi="Arial" w:cs="Arial"/>
          <w:sz w:val="22"/>
          <w:szCs w:val="22"/>
        </w:rPr>
      </w:pPr>
    </w:p>
    <w:p w14:paraId="1EDC3DBE" w14:textId="77777777" w:rsidR="008451AA" w:rsidRPr="002B5C8B" w:rsidRDefault="008451AA" w:rsidP="008451AA">
      <w:pPr>
        <w:jc w:val="center"/>
        <w:rPr>
          <w:rFonts w:ascii="Arial" w:hAnsi="Arial" w:cs="Arial"/>
          <w:sz w:val="22"/>
          <w:szCs w:val="22"/>
        </w:rPr>
      </w:pPr>
      <w:r w:rsidRPr="002B5C8B">
        <w:rPr>
          <w:rFonts w:ascii="Arial" w:hAnsi="Arial" w:cs="Arial"/>
          <w:b/>
          <w:sz w:val="22"/>
          <w:szCs w:val="22"/>
        </w:rPr>
        <w:t>Cuadro </w:t>
      </w:r>
      <w:r w:rsidR="00231648">
        <w:rPr>
          <w:rFonts w:ascii="Arial" w:hAnsi="Arial" w:cs="Arial"/>
          <w:b/>
          <w:sz w:val="22"/>
          <w:szCs w:val="22"/>
        </w:rPr>
        <w:t>4</w:t>
      </w:r>
      <w:r w:rsidRPr="002B5C8B">
        <w:rPr>
          <w:rFonts w:ascii="Arial" w:hAnsi="Arial" w:cs="Arial"/>
          <w:b/>
          <w:sz w:val="22"/>
          <w:szCs w:val="22"/>
        </w:rPr>
        <w:t xml:space="preserve">: Valor Presente Neto </w:t>
      </w:r>
    </w:p>
    <w:tbl>
      <w:tblPr>
        <w:tblW w:w="5818" w:type="dxa"/>
        <w:jc w:val="center"/>
        <w:tblCellMar>
          <w:left w:w="70" w:type="dxa"/>
          <w:right w:w="70" w:type="dxa"/>
        </w:tblCellMar>
        <w:tblLook w:val="04A0" w:firstRow="1" w:lastRow="0" w:firstColumn="1" w:lastColumn="0" w:noHBand="0" w:noVBand="1"/>
      </w:tblPr>
      <w:tblGrid>
        <w:gridCol w:w="4234"/>
        <w:gridCol w:w="1584"/>
      </w:tblGrid>
      <w:tr w:rsidR="000518F8" w:rsidRPr="004857CE" w14:paraId="3707BC4A" w14:textId="77777777" w:rsidTr="000518F8">
        <w:trPr>
          <w:trHeight w:val="360"/>
          <w:jc w:val="center"/>
        </w:trPr>
        <w:tc>
          <w:tcPr>
            <w:tcW w:w="5818" w:type="dxa"/>
            <w:gridSpan w:val="2"/>
            <w:tcBorders>
              <w:top w:val="nil"/>
              <w:left w:val="nil"/>
              <w:bottom w:val="single" w:sz="4" w:space="0" w:color="auto"/>
              <w:right w:val="nil"/>
            </w:tcBorders>
            <w:shd w:val="clear" w:color="000000" w:fill="DDEBF7"/>
            <w:vAlign w:val="bottom"/>
            <w:hideMark/>
          </w:tcPr>
          <w:p w14:paraId="023964A4" w14:textId="77777777" w:rsidR="004E3F83" w:rsidRPr="004E3F83" w:rsidRDefault="004E3F83" w:rsidP="004E3F83">
            <w:pPr>
              <w:ind w:left="-36"/>
              <w:contextualSpacing/>
              <w:jc w:val="center"/>
              <w:rPr>
                <w:rFonts w:ascii="Arial" w:hAnsi="Arial" w:cs="Arial"/>
                <w:b/>
                <w:bCs/>
                <w:sz w:val="20"/>
                <w:szCs w:val="20"/>
                <w:lang w:val="es-ES_tradnl" w:eastAsia="es-ES"/>
              </w:rPr>
            </w:pPr>
            <w:r w:rsidRPr="004E3F83">
              <w:rPr>
                <w:rFonts w:ascii="Arial" w:hAnsi="Arial" w:cs="Arial"/>
                <w:b/>
                <w:bCs/>
                <w:sz w:val="20"/>
                <w:szCs w:val="20"/>
                <w:lang w:val="es-ES_tradnl" w:eastAsia="es-ES"/>
              </w:rPr>
              <w:t xml:space="preserve">Fortalecimiento de la gestión institucional de las </w:t>
            </w:r>
            <w:r w:rsidR="00D5178C">
              <w:rPr>
                <w:rFonts w:ascii="Arial" w:hAnsi="Arial" w:cs="Arial"/>
                <w:b/>
                <w:bCs/>
                <w:sz w:val="20"/>
                <w:szCs w:val="20"/>
                <w:lang w:val="es-ES_tradnl" w:eastAsia="es-ES"/>
              </w:rPr>
              <w:t>IES</w:t>
            </w:r>
            <w:r w:rsidRPr="004E3F83">
              <w:rPr>
                <w:rFonts w:ascii="Arial" w:hAnsi="Arial" w:cs="Arial"/>
                <w:b/>
                <w:bCs/>
                <w:sz w:val="20"/>
                <w:szCs w:val="20"/>
                <w:lang w:val="es-ES_tradnl" w:eastAsia="es-ES"/>
              </w:rPr>
              <w:t xml:space="preserve"> públicas</w:t>
            </w:r>
          </w:p>
          <w:p w14:paraId="6ED6870C" w14:textId="77777777" w:rsidR="000518F8" w:rsidRPr="008451AA" w:rsidRDefault="004E3F83" w:rsidP="004E3F83">
            <w:pPr>
              <w:jc w:val="center"/>
              <w:rPr>
                <w:rFonts w:ascii="Arial" w:hAnsi="Arial" w:cs="Arial"/>
                <w:b/>
                <w:sz w:val="20"/>
                <w:szCs w:val="20"/>
                <w:lang w:val="es-ES_tradnl"/>
              </w:rPr>
            </w:pPr>
            <w:r w:rsidRPr="008451AA">
              <w:rPr>
                <w:rFonts w:ascii="Arial" w:hAnsi="Arial" w:cs="Arial"/>
                <w:b/>
                <w:bCs/>
                <w:sz w:val="20"/>
                <w:szCs w:val="20"/>
                <w:lang w:val="es-ES_tradnl" w:eastAsia="es-ES"/>
              </w:rPr>
              <w:t xml:space="preserve"> </w:t>
            </w:r>
            <w:r w:rsidR="000518F8" w:rsidRPr="008451AA">
              <w:rPr>
                <w:rFonts w:ascii="Arial" w:hAnsi="Arial" w:cs="Arial"/>
                <w:b/>
                <w:bCs/>
                <w:sz w:val="20"/>
                <w:szCs w:val="20"/>
                <w:lang w:val="es-ES_tradnl" w:eastAsia="es-ES"/>
              </w:rPr>
              <w:t>(Millones de US$)</w:t>
            </w:r>
          </w:p>
        </w:tc>
      </w:tr>
      <w:tr w:rsidR="000518F8" w:rsidRPr="002B5C8B" w14:paraId="035BE40B" w14:textId="77777777" w:rsidTr="000518F8">
        <w:trPr>
          <w:trHeight w:val="300"/>
          <w:jc w:val="center"/>
        </w:trPr>
        <w:tc>
          <w:tcPr>
            <w:tcW w:w="4234" w:type="dxa"/>
            <w:tcBorders>
              <w:top w:val="nil"/>
              <w:left w:val="nil"/>
              <w:bottom w:val="nil"/>
              <w:right w:val="nil"/>
            </w:tcBorders>
            <w:shd w:val="clear" w:color="000000" w:fill="FFFFFF"/>
            <w:noWrap/>
            <w:vAlign w:val="bottom"/>
            <w:hideMark/>
          </w:tcPr>
          <w:p w14:paraId="3ECF4710" w14:textId="77777777" w:rsidR="000518F8" w:rsidRPr="008451AA" w:rsidRDefault="000518F8" w:rsidP="000518F8">
            <w:pPr>
              <w:rPr>
                <w:rFonts w:ascii="Arial" w:hAnsi="Arial" w:cs="Arial"/>
                <w:sz w:val="20"/>
                <w:szCs w:val="20"/>
                <w:lang w:val="es-ES_tradnl"/>
              </w:rPr>
            </w:pPr>
            <w:r w:rsidRPr="008451AA">
              <w:rPr>
                <w:rFonts w:ascii="Arial" w:hAnsi="Arial" w:cs="Arial"/>
                <w:sz w:val="20"/>
                <w:szCs w:val="20"/>
                <w:lang w:val="es-ES_tradnl"/>
              </w:rPr>
              <w:t>Valor Presente de los Beneficios</w:t>
            </w:r>
          </w:p>
        </w:tc>
        <w:tc>
          <w:tcPr>
            <w:tcW w:w="1584" w:type="dxa"/>
            <w:tcBorders>
              <w:top w:val="single" w:sz="4" w:space="0" w:color="auto"/>
              <w:left w:val="nil"/>
              <w:bottom w:val="nil"/>
              <w:right w:val="nil"/>
            </w:tcBorders>
            <w:shd w:val="clear" w:color="000000" w:fill="FFFFFF"/>
            <w:noWrap/>
            <w:hideMark/>
          </w:tcPr>
          <w:p w14:paraId="30E60508" w14:textId="737CD1F4" w:rsidR="000518F8" w:rsidRPr="009D5A93" w:rsidRDefault="000518F8" w:rsidP="00136D35">
            <w:pPr>
              <w:jc w:val="right"/>
              <w:rPr>
                <w:rFonts w:ascii="Arial" w:hAnsi="Arial" w:cs="Arial"/>
                <w:sz w:val="20"/>
                <w:szCs w:val="20"/>
              </w:rPr>
            </w:pPr>
            <w:r w:rsidRPr="008451AA">
              <w:rPr>
                <w:rFonts w:ascii="Arial" w:hAnsi="Arial" w:cs="Arial"/>
                <w:sz w:val="20"/>
                <w:szCs w:val="20"/>
                <w:lang w:val="es-ES_tradnl"/>
              </w:rPr>
              <w:t xml:space="preserve"> </w:t>
            </w:r>
            <w:r w:rsidRPr="009D5A93">
              <w:rPr>
                <w:rFonts w:ascii="Arial" w:hAnsi="Arial" w:cs="Arial"/>
                <w:sz w:val="20"/>
                <w:szCs w:val="20"/>
              </w:rPr>
              <w:t>$</w:t>
            </w:r>
            <w:r w:rsidR="00B23FC7">
              <w:rPr>
                <w:rFonts w:ascii="Arial" w:hAnsi="Arial" w:cs="Arial"/>
                <w:sz w:val="20"/>
                <w:szCs w:val="20"/>
              </w:rPr>
              <w:t>127,9</w:t>
            </w:r>
            <w:r w:rsidR="004079A8">
              <w:rPr>
                <w:rFonts w:ascii="Arial" w:hAnsi="Arial" w:cs="Arial"/>
                <w:sz w:val="20"/>
                <w:szCs w:val="20"/>
              </w:rPr>
              <w:t>9</w:t>
            </w:r>
            <w:r w:rsidRPr="009D5A93">
              <w:rPr>
                <w:rFonts w:ascii="Arial" w:hAnsi="Arial" w:cs="Arial"/>
                <w:sz w:val="20"/>
                <w:szCs w:val="20"/>
              </w:rPr>
              <w:t xml:space="preserve"> </w:t>
            </w:r>
          </w:p>
        </w:tc>
      </w:tr>
      <w:tr w:rsidR="000518F8" w:rsidRPr="00611B13" w14:paraId="79AD196F" w14:textId="77777777" w:rsidTr="000518F8">
        <w:trPr>
          <w:trHeight w:val="300"/>
          <w:jc w:val="center"/>
        </w:trPr>
        <w:tc>
          <w:tcPr>
            <w:tcW w:w="4234" w:type="dxa"/>
            <w:tcBorders>
              <w:top w:val="nil"/>
              <w:left w:val="nil"/>
              <w:bottom w:val="nil"/>
              <w:right w:val="nil"/>
            </w:tcBorders>
            <w:shd w:val="clear" w:color="000000" w:fill="FFFFFF"/>
            <w:noWrap/>
            <w:vAlign w:val="bottom"/>
            <w:hideMark/>
          </w:tcPr>
          <w:p w14:paraId="77482F31" w14:textId="77777777" w:rsidR="000518F8" w:rsidRPr="008451AA" w:rsidRDefault="000518F8" w:rsidP="000518F8">
            <w:pPr>
              <w:rPr>
                <w:rFonts w:ascii="Arial" w:hAnsi="Arial" w:cs="Arial"/>
                <w:sz w:val="20"/>
                <w:szCs w:val="20"/>
                <w:lang w:val="es-ES_tradnl"/>
              </w:rPr>
            </w:pPr>
            <w:r w:rsidRPr="008451AA">
              <w:rPr>
                <w:rFonts w:ascii="Arial" w:hAnsi="Arial" w:cs="Arial"/>
                <w:sz w:val="20"/>
                <w:szCs w:val="20"/>
                <w:lang w:val="es-ES_tradnl"/>
              </w:rPr>
              <w:t>Valor Presente de los Costos</w:t>
            </w:r>
          </w:p>
        </w:tc>
        <w:tc>
          <w:tcPr>
            <w:tcW w:w="1584" w:type="dxa"/>
            <w:tcBorders>
              <w:top w:val="nil"/>
              <w:left w:val="nil"/>
              <w:bottom w:val="nil"/>
              <w:right w:val="nil"/>
            </w:tcBorders>
            <w:shd w:val="clear" w:color="000000" w:fill="FFFFFF"/>
            <w:noWrap/>
            <w:hideMark/>
          </w:tcPr>
          <w:p w14:paraId="274769A8" w14:textId="17F8AEF2" w:rsidR="000518F8" w:rsidRPr="00611B13" w:rsidRDefault="000518F8" w:rsidP="000518F8">
            <w:pPr>
              <w:jc w:val="right"/>
              <w:rPr>
                <w:rFonts w:ascii="Arial" w:hAnsi="Arial" w:cs="Arial"/>
                <w:sz w:val="20"/>
                <w:szCs w:val="20"/>
                <w:lang w:val="es-ES"/>
              </w:rPr>
            </w:pPr>
            <w:r w:rsidRPr="008451AA">
              <w:rPr>
                <w:rFonts w:ascii="Arial" w:hAnsi="Arial" w:cs="Arial"/>
                <w:sz w:val="20"/>
                <w:szCs w:val="20"/>
                <w:lang w:val="es-ES_tradnl"/>
              </w:rPr>
              <w:t xml:space="preserve"> </w:t>
            </w:r>
            <w:r w:rsidRPr="00611B13">
              <w:rPr>
                <w:rFonts w:ascii="Arial" w:hAnsi="Arial" w:cs="Arial"/>
                <w:sz w:val="20"/>
                <w:szCs w:val="20"/>
                <w:lang w:val="es-ES"/>
              </w:rPr>
              <w:t>$</w:t>
            </w:r>
            <w:r w:rsidR="00EB7BDC">
              <w:rPr>
                <w:rFonts w:ascii="Arial" w:hAnsi="Arial" w:cs="Arial"/>
                <w:sz w:val="20"/>
                <w:szCs w:val="20"/>
                <w:lang w:val="es-ES"/>
              </w:rPr>
              <w:t>57,44</w:t>
            </w:r>
            <w:r w:rsidRPr="00611B13">
              <w:rPr>
                <w:rFonts w:ascii="Arial" w:hAnsi="Arial" w:cs="Arial"/>
                <w:sz w:val="20"/>
                <w:szCs w:val="20"/>
                <w:lang w:val="es-ES"/>
              </w:rPr>
              <w:t xml:space="preserve"> </w:t>
            </w:r>
          </w:p>
        </w:tc>
      </w:tr>
      <w:tr w:rsidR="000518F8" w:rsidRPr="00611B13" w14:paraId="724D3D13" w14:textId="77777777" w:rsidTr="000518F8">
        <w:trPr>
          <w:trHeight w:val="300"/>
          <w:jc w:val="center"/>
        </w:trPr>
        <w:tc>
          <w:tcPr>
            <w:tcW w:w="4234" w:type="dxa"/>
            <w:tcBorders>
              <w:top w:val="nil"/>
              <w:left w:val="nil"/>
              <w:bottom w:val="nil"/>
              <w:right w:val="nil"/>
            </w:tcBorders>
            <w:shd w:val="clear" w:color="000000" w:fill="FFFFFF"/>
            <w:noWrap/>
            <w:vAlign w:val="bottom"/>
            <w:hideMark/>
          </w:tcPr>
          <w:p w14:paraId="00B5BB80" w14:textId="77777777" w:rsidR="000518F8" w:rsidRPr="00611B13" w:rsidRDefault="000518F8" w:rsidP="000518F8">
            <w:pPr>
              <w:rPr>
                <w:rFonts w:ascii="Arial" w:hAnsi="Arial" w:cs="Arial"/>
                <w:sz w:val="20"/>
                <w:szCs w:val="20"/>
                <w:lang w:val="es-ES"/>
              </w:rPr>
            </w:pPr>
            <w:r w:rsidRPr="00611B13">
              <w:rPr>
                <w:rFonts w:ascii="Arial" w:hAnsi="Arial" w:cs="Arial"/>
                <w:sz w:val="20"/>
                <w:szCs w:val="20"/>
                <w:lang w:val="es-ES"/>
              </w:rPr>
              <w:t>Valor Presente Neto</w:t>
            </w:r>
          </w:p>
        </w:tc>
        <w:tc>
          <w:tcPr>
            <w:tcW w:w="1584" w:type="dxa"/>
            <w:tcBorders>
              <w:top w:val="nil"/>
              <w:left w:val="nil"/>
              <w:bottom w:val="nil"/>
              <w:right w:val="nil"/>
            </w:tcBorders>
            <w:shd w:val="clear" w:color="000000" w:fill="FFFFFF"/>
            <w:noWrap/>
            <w:hideMark/>
          </w:tcPr>
          <w:p w14:paraId="56E6E0DC" w14:textId="3A5C35B5" w:rsidR="000518F8" w:rsidRPr="00611B13" w:rsidRDefault="000518F8" w:rsidP="000518F8">
            <w:pPr>
              <w:jc w:val="right"/>
              <w:rPr>
                <w:rFonts w:ascii="Arial" w:hAnsi="Arial" w:cs="Arial"/>
                <w:sz w:val="20"/>
                <w:szCs w:val="20"/>
                <w:lang w:val="es-ES"/>
              </w:rPr>
            </w:pPr>
            <w:r w:rsidRPr="00611B13">
              <w:rPr>
                <w:rFonts w:ascii="Arial" w:hAnsi="Arial" w:cs="Arial"/>
                <w:sz w:val="20"/>
                <w:szCs w:val="20"/>
                <w:lang w:val="es-ES"/>
              </w:rPr>
              <w:t xml:space="preserve"> $</w:t>
            </w:r>
            <w:r w:rsidR="004079A8">
              <w:rPr>
                <w:rFonts w:ascii="Arial" w:hAnsi="Arial" w:cs="Arial"/>
                <w:sz w:val="20"/>
                <w:szCs w:val="20"/>
                <w:lang w:val="es-ES"/>
              </w:rPr>
              <w:t>70,55</w:t>
            </w:r>
            <w:r w:rsidRPr="00611B13">
              <w:rPr>
                <w:rFonts w:ascii="Arial" w:hAnsi="Arial" w:cs="Arial"/>
                <w:sz w:val="20"/>
                <w:szCs w:val="20"/>
                <w:lang w:val="es-ES"/>
              </w:rPr>
              <w:t xml:space="preserve"> </w:t>
            </w:r>
          </w:p>
        </w:tc>
      </w:tr>
      <w:tr w:rsidR="000518F8" w:rsidRPr="00611B13" w14:paraId="6266E40A" w14:textId="77777777" w:rsidTr="000518F8">
        <w:trPr>
          <w:trHeight w:val="300"/>
          <w:jc w:val="center"/>
        </w:trPr>
        <w:tc>
          <w:tcPr>
            <w:tcW w:w="4234" w:type="dxa"/>
            <w:tcBorders>
              <w:top w:val="nil"/>
              <w:left w:val="nil"/>
              <w:bottom w:val="nil"/>
              <w:right w:val="nil"/>
            </w:tcBorders>
            <w:shd w:val="clear" w:color="000000" w:fill="FFFFFF"/>
            <w:noWrap/>
            <w:vAlign w:val="bottom"/>
            <w:hideMark/>
          </w:tcPr>
          <w:p w14:paraId="182CEF73" w14:textId="77777777" w:rsidR="000518F8" w:rsidRPr="00611B13" w:rsidRDefault="000518F8" w:rsidP="000518F8">
            <w:pPr>
              <w:rPr>
                <w:rFonts w:ascii="Arial" w:hAnsi="Arial" w:cs="Arial"/>
                <w:sz w:val="20"/>
                <w:szCs w:val="20"/>
                <w:lang w:val="es-ES" w:eastAsia="es-ES"/>
              </w:rPr>
            </w:pPr>
            <w:r w:rsidRPr="00611B13">
              <w:rPr>
                <w:rFonts w:ascii="Arial" w:hAnsi="Arial" w:cs="Arial"/>
                <w:sz w:val="20"/>
                <w:szCs w:val="20"/>
                <w:lang w:val="es-ES" w:eastAsia="es-ES"/>
              </w:rPr>
              <w:t xml:space="preserve">Tasa de Retorno </w:t>
            </w:r>
          </w:p>
        </w:tc>
        <w:tc>
          <w:tcPr>
            <w:tcW w:w="1584" w:type="dxa"/>
            <w:tcBorders>
              <w:top w:val="nil"/>
              <w:left w:val="nil"/>
              <w:bottom w:val="nil"/>
              <w:right w:val="nil"/>
            </w:tcBorders>
            <w:shd w:val="clear" w:color="000000" w:fill="FFFFFF"/>
            <w:noWrap/>
            <w:hideMark/>
          </w:tcPr>
          <w:p w14:paraId="0EEAD7D6" w14:textId="0BB8434B" w:rsidR="000518F8" w:rsidRPr="00611B13" w:rsidRDefault="004079A8" w:rsidP="000518F8">
            <w:pPr>
              <w:jc w:val="right"/>
              <w:rPr>
                <w:rFonts w:ascii="Arial" w:hAnsi="Arial" w:cs="Arial"/>
                <w:sz w:val="20"/>
                <w:szCs w:val="20"/>
                <w:lang w:val="es-ES" w:eastAsia="es-ES"/>
              </w:rPr>
            </w:pPr>
            <w:r>
              <w:rPr>
                <w:rFonts w:ascii="Arial" w:hAnsi="Arial" w:cs="Arial"/>
                <w:sz w:val="20"/>
                <w:szCs w:val="20"/>
                <w:lang w:val="es-ES"/>
              </w:rPr>
              <w:t>24.65</w:t>
            </w:r>
            <w:r w:rsidR="000518F8" w:rsidRPr="00611B13">
              <w:rPr>
                <w:rFonts w:ascii="Arial" w:hAnsi="Arial" w:cs="Arial"/>
                <w:sz w:val="20"/>
                <w:szCs w:val="20"/>
                <w:lang w:val="es-ES"/>
              </w:rPr>
              <w:t>%</w:t>
            </w:r>
          </w:p>
        </w:tc>
      </w:tr>
      <w:tr w:rsidR="000518F8" w:rsidRPr="00611B13" w14:paraId="37B75709" w14:textId="77777777" w:rsidTr="000518F8">
        <w:trPr>
          <w:trHeight w:val="297"/>
          <w:jc w:val="center"/>
        </w:trPr>
        <w:tc>
          <w:tcPr>
            <w:tcW w:w="4234" w:type="dxa"/>
            <w:tcBorders>
              <w:top w:val="nil"/>
              <w:left w:val="nil"/>
              <w:bottom w:val="single" w:sz="4" w:space="0" w:color="auto"/>
              <w:right w:val="nil"/>
            </w:tcBorders>
            <w:shd w:val="clear" w:color="000000" w:fill="FFFFFF"/>
            <w:noWrap/>
            <w:vAlign w:val="bottom"/>
            <w:hideMark/>
          </w:tcPr>
          <w:p w14:paraId="20472F6C" w14:textId="77777777" w:rsidR="000518F8" w:rsidRPr="00611B13" w:rsidRDefault="000518F8" w:rsidP="000518F8">
            <w:pPr>
              <w:rPr>
                <w:rFonts w:ascii="Arial" w:hAnsi="Arial" w:cs="Arial"/>
                <w:sz w:val="20"/>
                <w:szCs w:val="20"/>
                <w:lang w:val="es-ES"/>
              </w:rPr>
            </w:pPr>
            <w:r w:rsidRPr="00611B13">
              <w:rPr>
                <w:rFonts w:ascii="Arial" w:hAnsi="Arial" w:cs="Arial"/>
                <w:sz w:val="20"/>
                <w:szCs w:val="20"/>
                <w:lang w:val="es-ES"/>
              </w:rPr>
              <w:t>Ratio Beneficio – Costo</w:t>
            </w:r>
          </w:p>
        </w:tc>
        <w:tc>
          <w:tcPr>
            <w:tcW w:w="1584" w:type="dxa"/>
            <w:tcBorders>
              <w:top w:val="nil"/>
              <w:left w:val="nil"/>
              <w:bottom w:val="single" w:sz="4" w:space="0" w:color="auto"/>
              <w:right w:val="nil"/>
            </w:tcBorders>
            <w:shd w:val="clear" w:color="000000" w:fill="FFFFFF"/>
            <w:noWrap/>
            <w:hideMark/>
          </w:tcPr>
          <w:p w14:paraId="65F30944" w14:textId="36FA5E20" w:rsidR="000518F8" w:rsidRPr="00611B13" w:rsidRDefault="000518F8" w:rsidP="000518F8">
            <w:pPr>
              <w:jc w:val="right"/>
              <w:rPr>
                <w:rFonts w:ascii="Arial" w:hAnsi="Arial" w:cs="Arial"/>
                <w:sz w:val="20"/>
                <w:szCs w:val="20"/>
                <w:lang w:val="es-ES"/>
              </w:rPr>
            </w:pPr>
            <w:r w:rsidRPr="00611B13">
              <w:rPr>
                <w:rFonts w:ascii="Arial" w:hAnsi="Arial" w:cs="Arial"/>
                <w:sz w:val="20"/>
                <w:szCs w:val="20"/>
                <w:lang w:val="es-ES"/>
              </w:rPr>
              <w:t xml:space="preserve"> </w:t>
            </w:r>
            <w:r w:rsidR="00FC709C">
              <w:rPr>
                <w:rFonts w:ascii="Arial" w:hAnsi="Arial" w:cs="Arial"/>
                <w:sz w:val="20"/>
                <w:szCs w:val="20"/>
                <w:lang w:val="es-ES"/>
              </w:rPr>
              <w:t>2,</w:t>
            </w:r>
            <w:r w:rsidR="004079A8">
              <w:rPr>
                <w:rFonts w:ascii="Arial" w:hAnsi="Arial" w:cs="Arial"/>
                <w:sz w:val="20"/>
                <w:szCs w:val="20"/>
                <w:lang w:val="es-ES"/>
              </w:rPr>
              <w:t>23</w:t>
            </w:r>
            <w:r w:rsidRPr="00611B13">
              <w:rPr>
                <w:rFonts w:ascii="Arial" w:hAnsi="Arial" w:cs="Arial"/>
                <w:sz w:val="20"/>
                <w:szCs w:val="20"/>
                <w:lang w:val="es-ES"/>
              </w:rPr>
              <w:t xml:space="preserve"> </w:t>
            </w:r>
          </w:p>
        </w:tc>
      </w:tr>
    </w:tbl>
    <w:p w14:paraId="0F92CC3D" w14:textId="77777777" w:rsidR="002A5498" w:rsidRPr="002B5C8B" w:rsidRDefault="002A5498" w:rsidP="0033355F">
      <w:pPr>
        <w:pStyle w:val="ListParagraph"/>
        <w:autoSpaceDE w:val="0"/>
        <w:autoSpaceDN w:val="0"/>
        <w:adjustRightInd w:val="0"/>
        <w:ind w:left="0"/>
        <w:jc w:val="both"/>
        <w:rPr>
          <w:rFonts w:ascii="Arial" w:hAnsi="Arial" w:cs="Arial"/>
          <w:sz w:val="22"/>
          <w:szCs w:val="22"/>
        </w:rPr>
      </w:pPr>
    </w:p>
    <w:p w14:paraId="0DB1FD15" w14:textId="77777777" w:rsidR="0033355F" w:rsidRPr="00207E1E" w:rsidRDefault="0033355F" w:rsidP="00207E1E">
      <w:pPr>
        <w:jc w:val="both"/>
        <w:rPr>
          <w:rFonts w:ascii="Arial" w:eastAsia="Arial" w:hAnsi="Arial" w:cs="Arial"/>
          <w:sz w:val="22"/>
          <w:szCs w:val="22"/>
          <w:lang w:val="es-ES_tradnl"/>
        </w:rPr>
      </w:pPr>
    </w:p>
    <w:p w14:paraId="0046B599" w14:textId="2F6BDB83" w:rsidR="0033355F" w:rsidRPr="002A5498" w:rsidRDefault="0033355F" w:rsidP="00E4455F">
      <w:pPr>
        <w:pStyle w:val="ListParagraph"/>
        <w:numPr>
          <w:ilvl w:val="0"/>
          <w:numId w:val="2"/>
        </w:numPr>
        <w:tabs>
          <w:tab w:val="left" w:pos="360"/>
        </w:tabs>
        <w:ind w:left="0" w:hanging="450"/>
        <w:jc w:val="both"/>
        <w:rPr>
          <w:rFonts w:ascii="Arial" w:eastAsia="Arial" w:hAnsi="Arial" w:cs="Arial"/>
          <w:sz w:val="22"/>
          <w:szCs w:val="22"/>
        </w:rPr>
      </w:pPr>
      <w:r w:rsidRPr="00207E1E">
        <w:rPr>
          <w:rFonts w:ascii="Arial" w:eastAsia="Arial" w:hAnsi="Arial" w:cs="Arial"/>
          <w:sz w:val="22"/>
          <w:szCs w:val="22"/>
        </w:rPr>
        <w:t>E</w:t>
      </w:r>
      <w:r w:rsidR="004E3F83">
        <w:rPr>
          <w:rFonts w:ascii="Arial" w:eastAsia="Arial" w:hAnsi="Arial" w:cs="Arial"/>
          <w:sz w:val="22"/>
          <w:szCs w:val="22"/>
        </w:rPr>
        <w:t xml:space="preserve">n términos de los beneficios de este componente, </w:t>
      </w:r>
      <w:r w:rsidRPr="00207E1E">
        <w:rPr>
          <w:rFonts w:ascii="Arial" w:eastAsia="Arial" w:hAnsi="Arial" w:cs="Arial"/>
          <w:sz w:val="22"/>
          <w:szCs w:val="22"/>
        </w:rPr>
        <w:t>se calculan be</w:t>
      </w:r>
      <w:r w:rsidR="004E3F83">
        <w:rPr>
          <w:rFonts w:ascii="Arial" w:eastAsia="Arial" w:hAnsi="Arial" w:cs="Arial"/>
          <w:sz w:val="22"/>
          <w:szCs w:val="22"/>
        </w:rPr>
        <w:t>neficios esperados por US$</w:t>
      </w:r>
      <w:r w:rsidR="004079A8">
        <w:rPr>
          <w:rFonts w:ascii="Arial" w:eastAsia="Arial" w:hAnsi="Arial" w:cs="Arial"/>
          <w:sz w:val="22"/>
          <w:szCs w:val="22"/>
        </w:rPr>
        <w:t>127,99</w:t>
      </w:r>
      <w:r w:rsidRPr="00207E1E">
        <w:rPr>
          <w:rFonts w:ascii="Arial" w:eastAsia="Arial" w:hAnsi="Arial" w:cs="Arial"/>
          <w:sz w:val="22"/>
          <w:szCs w:val="22"/>
        </w:rPr>
        <w:t xml:space="preserve"> millones de dólares, lo que significa un beneficio ne</w:t>
      </w:r>
      <w:r w:rsidR="002A5498">
        <w:rPr>
          <w:rFonts w:ascii="Arial" w:eastAsia="Arial" w:hAnsi="Arial" w:cs="Arial"/>
          <w:sz w:val="22"/>
          <w:szCs w:val="22"/>
        </w:rPr>
        <w:t>t</w:t>
      </w:r>
      <w:r w:rsidR="004E3F83">
        <w:rPr>
          <w:rFonts w:ascii="Arial" w:eastAsia="Arial" w:hAnsi="Arial" w:cs="Arial"/>
          <w:sz w:val="22"/>
          <w:szCs w:val="22"/>
        </w:rPr>
        <w:t xml:space="preserve">o en valor presente de </w:t>
      </w:r>
      <w:r w:rsidR="004E3F83">
        <w:rPr>
          <w:rFonts w:ascii="Arial" w:eastAsia="Arial" w:hAnsi="Arial" w:cs="Arial"/>
          <w:sz w:val="22"/>
          <w:szCs w:val="22"/>
        </w:rPr>
        <w:lastRenderedPageBreak/>
        <w:t>US$</w:t>
      </w:r>
      <w:r w:rsidR="004079A8">
        <w:rPr>
          <w:rFonts w:ascii="Arial" w:eastAsia="Arial" w:hAnsi="Arial" w:cs="Arial"/>
          <w:sz w:val="22"/>
          <w:szCs w:val="22"/>
        </w:rPr>
        <w:t>70,55</w:t>
      </w:r>
      <w:r w:rsidRPr="00207E1E">
        <w:rPr>
          <w:rFonts w:ascii="Arial" w:eastAsia="Arial" w:hAnsi="Arial" w:cs="Arial"/>
          <w:sz w:val="22"/>
          <w:szCs w:val="22"/>
        </w:rPr>
        <w:t xml:space="preserve"> millones. </w:t>
      </w:r>
      <w:r w:rsidRPr="002A5498">
        <w:rPr>
          <w:rFonts w:ascii="Arial" w:eastAsia="Arial" w:hAnsi="Arial" w:cs="Arial"/>
          <w:sz w:val="22"/>
          <w:szCs w:val="22"/>
        </w:rPr>
        <w:t xml:space="preserve">Esto a su vez, se traduce en </w:t>
      </w:r>
      <w:r w:rsidR="00056D61">
        <w:rPr>
          <w:rFonts w:ascii="Arial" w:eastAsia="Arial" w:hAnsi="Arial" w:cs="Arial"/>
          <w:sz w:val="22"/>
          <w:szCs w:val="22"/>
        </w:rPr>
        <w:t>un</w:t>
      </w:r>
      <w:r w:rsidR="00ED5B2A">
        <w:rPr>
          <w:rFonts w:ascii="Arial" w:eastAsia="Arial" w:hAnsi="Arial" w:cs="Arial"/>
          <w:sz w:val="22"/>
          <w:szCs w:val="22"/>
        </w:rPr>
        <w:t xml:space="preserve">a ratio Beneficio - </w:t>
      </w:r>
      <w:r w:rsidR="004E3F83">
        <w:rPr>
          <w:rFonts w:ascii="Arial" w:eastAsia="Arial" w:hAnsi="Arial" w:cs="Arial"/>
          <w:sz w:val="22"/>
          <w:szCs w:val="22"/>
        </w:rPr>
        <w:t xml:space="preserve">Costo de </w:t>
      </w:r>
      <w:r w:rsidR="00FC709C">
        <w:rPr>
          <w:rFonts w:ascii="Arial" w:eastAsia="Arial" w:hAnsi="Arial" w:cs="Arial"/>
          <w:sz w:val="22"/>
          <w:szCs w:val="22"/>
        </w:rPr>
        <w:t>2,</w:t>
      </w:r>
      <w:r w:rsidR="004079A8">
        <w:rPr>
          <w:rFonts w:ascii="Arial" w:eastAsia="Arial" w:hAnsi="Arial" w:cs="Arial"/>
          <w:sz w:val="22"/>
          <w:szCs w:val="22"/>
        </w:rPr>
        <w:t>23</w:t>
      </w:r>
      <w:r w:rsidRPr="002A5498">
        <w:rPr>
          <w:rFonts w:ascii="Arial" w:eastAsia="Arial" w:hAnsi="Arial" w:cs="Arial"/>
          <w:sz w:val="22"/>
          <w:szCs w:val="22"/>
        </w:rPr>
        <w:t xml:space="preserve"> y una Tasa de Retor</w:t>
      </w:r>
      <w:r w:rsidR="00056D61">
        <w:rPr>
          <w:rFonts w:ascii="Arial" w:eastAsia="Arial" w:hAnsi="Arial" w:cs="Arial"/>
          <w:sz w:val="22"/>
          <w:szCs w:val="22"/>
        </w:rPr>
        <w:t>no d</w:t>
      </w:r>
      <w:r w:rsidR="004E3F83">
        <w:rPr>
          <w:rFonts w:ascii="Arial" w:eastAsia="Arial" w:hAnsi="Arial" w:cs="Arial"/>
          <w:sz w:val="22"/>
          <w:szCs w:val="22"/>
        </w:rPr>
        <w:t xml:space="preserve">e </w:t>
      </w:r>
      <w:r w:rsidR="004079A8">
        <w:rPr>
          <w:rFonts w:ascii="Arial" w:eastAsia="Arial" w:hAnsi="Arial" w:cs="Arial"/>
          <w:sz w:val="22"/>
          <w:szCs w:val="22"/>
        </w:rPr>
        <w:t>24.65</w:t>
      </w:r>
      <w:r w:rsidRPr="002A5498">
        <w:rPr>
          <w:rFonts w:ascii="Arial" w:eastAsia="Arial" w:hAnsi="Arial" w:cs="Arial"/>
          <w:sz w:val="22"/>
          <w:szCs w:val="22"/>
        </w:rPr>
        <w:t xml:space="preserve">%. </w:t>
      </w:r>
    </w:p>
    <w:p w14:paraId="33B14D14" w14:textId="77777777" w:rsidR="0033355F" w:rsidRPr="00D535D7" w:rsidRDefault="0033355F" w:rsidP="00D535D7">
      <w:pPr>
        <w:contextualSpacing/>
        <w:jc w:val="both"/>
        <w:rPr>
          <w:rFonts w:ascii="Arial" w:eastAsia="Arial" w:hAnsi="Arial" w:cs="Arial"/>
          <w:b/>
          <w:lang w:val="es-ES_tradnl"/>
        </w:rPr>
      </w:pPr>
    </w:p>
    <w:p w14:paraId="33E6CF56" w14:textId="77777777" w:rsidR="0033355F" w:rsidRPr="00D535D7" w:rsidRDefault="0033355F" w:rsidP="00207E1E">
      <w:pPr>
        <w:numPr>
          <w:ilvl w:val="1"/>
          <w:numId w:val="1"/>
        </w:numPr>
        <w:ind w:left="0"/>
        <w:contextualSpacing/>
        <w:jc w:val="both"/>
        <w:rPr>
          <w:rFonts w:ascii="Arial" w:eastAsia="Arial" w:hAnsi="Arial" w:cs="Arial"/>
          <w:b/>
          <w:lang w:val="es-ES_tradnl"/>
        </w:rPr>
      </w:pPr>
      <w:r w:rsidRPr="00D535D7">
        <w:rPr>
          <w:rFonts w:ascii="Arial" w:eastAsia="Arial" w:hAnsi="Arial" w:cs="Arial"/>
          <w:b/>
          <w:lang w:val="es-ES_tradnl"/>
        </w:rPr>
        <w:t xml:space="preserve">Retornos Económicos del componente de </w:t>
      </w:r>
      <w:r w:rsidR="007F09DC">
        <w:rPr>
          <w:rFonts w:ascii="Arial" w:eastAsia="Arial" w:hAnsi="Arial" w:cs="Arial"/>
          <w:b/>
          <w:lang w:val="es-ES_tradnl"/>
        </w:rPr>
        <w:t xml:space="preserve">Mejora de la infraestructura y equipamiento de las </w:t>
      </w:r>
      <w:r w:rsidR="00D5178C">
        <w:rPr>
          <w:rFonts w:ascii="Arial" w:eastAsia="Arial" w:hAnsi="Arial" w:cs="Arial"/>
          <w:b/>
          <w:lang w:val="es-ES_tradnl"/>
        </w:rPr>
        <w:t>IES</w:t>
      </w:r>
      <w:r w:rsidR="007F09DC">
        <w:rPr>
          <w:rFonts w:ascii="Arial" w:eastAsia="Arial" w:hAnsi="Arial" w:cs="Arial"/>
          <w:b/>
          <w:lang w:val="es-ES_tradnl"/>
        </w:rPr>
        <w:t xml:space="preserve"> pública</w:t>
      </w:r>
      <w:r w:rsidR="00D5178C">
        <w:rPr>
          <w:rFonts w:ascii="Arial" w:eastAsia="Arial" w:hAnsi="Arial" w:cs="Arial"/>
          <w:b/>
          <w:lang w:val="es-ES_tradnl"/>
        </w:rPr>
        <w:t>s</w:t>
      </w:r>
    </w:p>
    <w:p w14:paraId="38ACDAA7" w14:textId="77777777" w:rsidR="0033355F" w:rsidRPr="0033355F" w:rsidRDefault="0033355F" w:rsidP="0033355F">
      <w:pPr>
        <w:spacing w:before="120"/>
        <w:jc w:val="both"/>
        <w:rPr>
          <w:rFonts w:ascii="Arial" w:hAnsi="Arial" w:cs="Arial"/>
          <w:lang w:val="es-ES_tradnl"/>
        </w:rPr>
      </w:pPr>
    </w:p>
    <w:p w14:paraId="5A4D0C49" w14:textId="72A2C1BE" w:rsidR="0033355F" w:rsidRPr="00952EF5" w:rsidRDefault="0033355F" w:rsidP="00E4455F">
      <w:pPr>
        <w:pStyle w:val="ListParagraph"/>
        <w:numPr>
          <w:ilvl w:val="0"/>
          <w:numId w:val="2"/>
        </w:numPr>
        <w:tabs>
          <w:tab w:val="left" w:pos="360"/>
        </w:tabs>
        <w:ind w:left="0" w:hanging="450"/>
        <w:jc w:val="both"/>
        <w:rPr>
          <w:rFonts w:ascii="Arial" w:eastAsia="Arial" w:hAnsi="Arial" w:cs="Arial"/>
          <w:sz w:val="22"/>
          <w:szCs w:val="22"/>
        </w:rPr>
      </w:pPr>
      <w:r w:rsidRPr="00952EF5">
        <w:rPr>
          <w:rFonts w:ascii="Arial" w:eastAsia="Arial" w:hAnsi="Arial" w:cs="Arial"/>
          <w:sz w:val="22"/>
          <w:szCs w:val="22"/>
        </w:rPr>
        <w:t xml:space="preserve">El </w:t>
      </w:r>
      <w:r w:rsidR="00231648" w:rsidRPr="00952EF5">
        <w:rPr>
          <w:rFonts w:ascii="Arial" w:eastAsia="Arial" w:hAnsi="Arial" w:cs="Arial"/>
          <w:sz w:val="22"/>
          <w:szCs w:val="22"/>
        </w:rPr>
        <w:t>Cuadro</w:t>
      </w:r>
      <w:r w:rsidR="00A01AF6">
        <w:rPr>
          <w:rFonts w:ascii="Arial" w:eastAsia="Arial" w:hAnsi="Arial" w:cs="Arial"/>
          <w:sz w:val="22"/>
          <w:szCs w:val="22"/>
        </w:rPr>
        <w:t xml:space="preserve"> </w:t>
      </w:r>
      <w:r w:rsidR="00231648" w:rsidRPr="00952EF5">
        <w:rPr>
          <w:rFonts w:ascii="Arial" w:eastAsia="Arial" w:hAnsi="Arial" w:cs="Arial"/>
          <w:sz w:val="22"/>
          <w:szCs w:val="22"/>
        </w:rPr>
        <w:t>5</w:t>
      </w:r>
      <w:r w:rsidRPr="00952EF5">
        <w:rPr>
          <w:rFonts w:ascii="Arial" w:eastAsia="Arial" w:hAnsi="Arial" w:cs="Arial"/>
          <w:sz w:val="22"/>
          <w:szCs w:val="22"/>
        </w:rPr>
        <w:t xml:space="preserve"> presenta el resultado del análisis costo-beneficio del componente de </w:t>
      </w:r>
      <w:r w:rsidR="00B044D1" w:rsidRPr="00B044D1">
        <w:rPr>
          <w:rFonts w:ascii="Arial" w:eastAsia="Arial" w:hAnsi="Arial" w:cs="Arial"/>
          <w:sz w:val="22"/>
          <w:szCs w:val="22"/>
        </w:rPr>
        <w:t xml:space="preserve">Mejora de la infraestructura y equipamiento de las </w:t>
      </w:r>
      <w:r w:rsidR="00D5178C">
        <w:rPr>
          <w:rFonts w:ascii="Arial" w:eastAsia="Arial" w:hAnsi="Arial" w:cs="Arial"/>
          <w:sz w:val="22"/>
          <w:szCs w:val="22"/>
        </w:rPr>
        <w:t>IES</w:t>
      </w:r>
      <w:r w:rsidR="00B044D1" w:rsidRPr="00B044D1">
        <w:rPr>
          <w:rFonts w:ascii="Arial" w:eastAsia="Arial" w:hAnsi="Arial" w:cs="Arial"/>
          <w:sz w:val="22"/>
          <w:szCs w:val="22"/>
        </w:rPr>
        <w:t xml:space="preserve"> pública</w:t>
      </w:r>
      <w:r w:rsidR="00D5178C">
        <w:rPr>
          <w:rFonts w:ascii="Arial" w:eastAsia="Arial" w:hAnsi="Arial" w:cs="Arial"/>
          <w:sz w:val="22"/>
          <w:szCs w:val="22"/>
        </w:rPr>
        <w:t>s</w:t>
      </w:r>
      <w:r w:rsidR="00B044D1">
        <w:rPr>
          <w:rFonts w:ascii="Arial" w:eastAsia="Arial" w:hAnsi="Arial" w:cs="Arial"/>
          <w:sz w:val="22"/>
          <w:szCs w:val="22"/>
        </w:rPr>
        <w:t xml:space="preserve">. </w:t>
      </w:r>
      <w:r w:rsidRPr="00952EF5">
        <w:rPr>
          <w:rFonts w:ascii="Arial" w:eastAsia="Arial" w:hAnsi="Arial" w:cs="Arial"/>
          <w:sz w:val="22"/>
          <w:szCs w:val="22"/>
        </w:rPr>
        <w:t xml:space="preserve">La </w:t>
      </w:r>
      <w:r w:rsidRPr="00344772">
        <w:rPr>
          <w:rFonts w:ascii="Arial" w:eastAsia="Arial" w:hAnsi="Arial" w:cs="Arial"/>
          <w:sz w:val="22"/>
          <w:szCs w:val="22"/>
        </w:rPr>
        <w:t xml:space="preserve">desagregación del flujo de beneficios y costos por año se presenta en el Anexo en el </w:t>
      </w:r>
      <w:r w:rsidR="00344772" w:rsidRPr="00344772">
        <w:rPr>
          <w:rFonts w:ascii="Arial" w:eastAsia="Arial" w:hAnsi="Arial" w:cs="Arial"/>
          <w:sz w:val="22"/>
          <w:szCs w:val="22"/>
        </w:rPr>
        <w:t>Cuadro A5</w:t>
      </w:r>
      <w:r w:rsidRPr="00344772">
        <w:rPr>
          <w:rFonts w:ascii="Arial" w:eastAsia="Arial" w:hAnsi="Arial" w:cs="Arial"/>
          <w:sz w:val="22"/>
          <w:szCs w:val="22"/>
        </w:rPr>
        <w:t>.</w:t>
      </w:r>
    </w:p>
    <w:p w14:paraId="58DD41A2" w14:textId="77777777" w:rsidR="0033355F" w:rsidRPr="0033355F" w:rsidRDefault="0033355F" w:rsidP="0033355F">
      <w:pPr>
        <w:rPr>
          <w:rFonts w:ascii="Arial" w:hAnsi="Arial" w:cs="Arial"/>
          <w:lang w:val="es-ES_tradnl"/>
        </w:rPr>
      </w:pPr>
    </w:p>
    <w:p w14:paraId="3B2BBA05" w14:textId="77777777" w:rsidR="008451AA" w:rsidRPr="002B5C8B" w:rsidRDefault="008451AA" w:rsidP="008451AA">
      <w:pPr>
        <w:autoSpaceDE w:val="0"/>
        <w:autoSpaceDN w:val="0"/>
        <w:adjustRightInd w:val="0"/>
        <w:jc w:val="center"/>
        <w:rPr>
          <w:rFonts w:ascii="Arial" w:hAnsi="Arial" w:cs="Arial"/>
          <w:b/>
          <w:sz w:val="22"/>
          <w:szCs w:val="22"/>
        </w:rPr>
      </w:pPr>
      <w:r w:rsidRPr="002B5C8B">
        <w:rPr>
          <w:rFonts w:ascii="Arial" w:hAnsi="Arial" w:cs="Arial"/>
          <w:b/>
          <w:sz w:val="22"/>
          <w:szCs w:val="22"/>
        </w:rPr>
        <w:t>Cuadro </w:t>
      </w:r>
      <w:r w:rsidR="00231648">
        <w:rPr>
          <w:rFonts w:ascii="Arial" w:hAnsi="Arial" w:cs="Arial"/>
          <w:b/>
          <w:sz w:val="22"/>
          <w:szCs w:val="22"/>
        </w:rPr>
        <w:t>5</w:t>
      </w:r>
      <w:r w:rsidRPr="002B5C8B">
        <w:rPr>
          <w:rFonts w:ascii="Arial" w:hAnsi="Arial" w:cs="Arial"/>
          <w:b/>
          <w:sz w:val="22"/>
          <w:szCs w:val="22"/>
        </w:rPr>
        <w:t xml:space="preserve">: Valor Presente Neto </w:t>
      </w:r>
    </w:p>
    <w:tbl>
      <w:tblPr>
        <w:tblW w:w="6069" w:type="dxa"/>
        <w:tblInd w:w="1809" w:type="dxa"/>
        <w:tblLook w:val="04A0" w:firstRow="1" w:lastRow="0" w:firstColumn="1" w:lastColumn="0" w:noHBand="0" w:noVBand="1"/>
      </w:tblPr>
      <w:tblGrid>
        <w:gridCol w:w="4536"/>
        <w:gridCol w:w="1533"/>
      </w:tblGrid>
      <w:tr w:rsidR="000518F8" w:rsidRPr="004857CE" w14:paraId="2D81DE20" w14:textId="77777777" w:rsidTr="000518F8">
        <w:trPr>
          <w:trHeight w:val="405"/>
        </w:trPr>
        <w:tc>
          <w:tcPr>
            <w:tcW w:w="6069" w:type="dxa"/>
            <w:gridSpan w:val="2"/>
            <w:tcBorders>
              <w:top w:val="nil"/>
              <w:left w:val="nil"/>
              <w:bottom w:val="single" w:sz="4" w:space="0" w:color="auto"/>
              <w:right w:val="nil"/>
            </w:tcBorders>
            <w:shd w:val="clear" w:color="000000" w:fill="DDEBF7"/>
            <w:vAlign w:val="bottom"/>
            <w:hideMark/>
          </w:tcPr>
          <w:p w14:paraId="178C2750" w14:textId="77777777" w:rsidR="00B044D1" w:rsidRDefault="00B044D1" w:rsidP="000518F8">
            <w:pPr>
              <w:jc w:val="center"/>
              <w:rPr>
                <w:rFonts w:ascii="Arial" w:hAnsi="Arial" w:cs="Arial"/>
                <w:b/>
                <w:bCs/>
                <w:sz w:val="20"/>
                <w:szCs w:val="20"/>
                <w:lang w:val="es-ES_tradnl" w:eastAsia="es-ES"/>
              </w:rPr>
            </w:pPr>
            <w:r w:rsidRPr="00B044D1">
              <w:rPr>
                <w:rFonts w:ascii="Arial" w:hAnsi="Arial" w:cs="Arial"/>
                <w:b/>
                <w:bCs/>
                <w:sz w:val="20"/>
                <w:szCs w:val="20"/>
                <w:lang w:val="es-ES_tradnl" w:eastAsia="es-ES"/>
              </w:rPr>
              <w:t xml:space="preserve">Mejora de la infraestructura y equipamiento de las </w:t>
            </w:r>
            <w:r w:rsidR="00D5178C">
              <w:rPr>
                <w:rFonts w:ascii="Arial" w:hAnsi="Arial" w:cs="Arial"/>
                <w:b/>
                <w:bCs/>
                <w:sz w:val="20"/>
                <w:szCs w:val="20"/>
                <w:lang w:val="es-ES_tradnl" w:eastAsia="es-ES"/>
              </w:rPr>
              <w:t>IES</w:t>
            </w:r>
            <w:r w:rsidRPr="00B044D1">
              <w:rPr>
                <w:rFonts w:ascii="Arial" w:hAnsi="Arial" w:cs="Arial"/>
                <w:b/>
                <w:bCs/>
                <w:sz w:val="20"/>
                <w:szCs w:val="20"/>
                <w:lang w:val="es-ES_tradnl" w:eastAsia="es-ES"/>
              </w:rPr>
              <w:t xml:space="preserve"> pública</w:t>
            </w:r>
            <w:r w:rsidR="00D5178C">
              <w:rPr>
                <w:rFonts w:ascii="Arial" w:hAnsi="Arial" w:cs="Arial"/>
                <w:b/>
                <w:bCs/>
                <w:sz w:val="20"/>
                <w:szCs w:val="20"/>
                <w:lang w:val="es-ES_tradnl" w:eastAsia="es-ES"/>
              </w:rPr>
              <w:t>s</w:t>
            </w:r>
          </w:p>
          <w:p w14:paraId="76CCE533" w14:textId="77777777" w:rsidR="000518F8" w:rsidRPr="008451AA" w:rsidRDefault="000518F8" w:rsidP="000518F8">
            <w:pPr>
              <w:jc w:val="center"/>
              <w:rPr>
                <w:rFonts w:ascii="Arial" w:hAnsi="Arial" w:cs="Arial"/>
                <w:b/>
                <w:sz w:val="20"/>
                <w:szCs w:val="20"/>
                <w:lang w:val="es-ES_tradnl"/>
              </w:rPr>
            </w:pPr>
            <w:r w:rsidRPr="008451AA">
              <w:rPr>
                <w:rFonts w:ascii="Arial" w:hAnsi="Arial" w:cs="Arial"/>
                <w:b/>
                <w:bCs/>
                <w:sz w:val="20"/>
                <w:szCs w:val="20"/>
                <w:lang w:val="es-ES_tradnl" w:eastAsia="es-ES"/>
              </w:rPr>
              <w:t>(Millones de US$)</w:t>
            </w:r>
          </w:p>
        </w:tc>
      </w:tr>
      <w:tr w:rsidR="000518F8" w:rsidRPr="002B5C8B" w14:paraId="757B00DA" w14:textId="77777777" w:rsidTr="000518F8">
        <w:trPr>
          <w:trHeight w:val="300"/>
        </w:trPr>
        <w:tc>
          <w:tcPr>
            <w:tcW w:w="4536" w:type="dxa"/>
            <w:tcBorders>
              <w:top w:val="nil"/>
              <w:left w:val="nil"/>
              <w:bottom w:val="nil"/>
              <w:right w:val="nil"/>
            </w:tcBorders>
            <w:shd w:val="clear" w:color="000000" w:fill="FFFFFF"/>
            <w:noWrap/>
            <w:vAlign w:val="bottom"/>
            <w:hideMark/>
          </w:tcPr>
          <w:p w14:paraId="6A332A32" w14:textId="77777777" w:rsidR="000518F8" w:rsidRPr="008451AA" w:rsidRDefault="000518F8" w:rsidP="000518F8">
            <w:pPr>
              <w:rPr>
                <w:rFonts w:ascii="Arial" w:hAnsi="Arial" w:cs="Arial"/>
                <w:sz w:val="20"/>
                <w:szCs w:val="20"/>
                <w:lang w:val="es-ES_tradnl"/>
              </w:rPr>
            </w:pPr>
            <w:r w:rsidRPr="008451AA">
              <w:rPr>
                <w:rFonts w:ascii="Arial" w:hAnsi="Arial" w:cs="Arial"/>
                <w:sz w:val="20"/>
                <w:szCs w:val="20"/>
                <w:lang w:val="es-ES_tradnl"/>
              </w:rPr>
              <w:t xml:space="preserve">Valor Presente de los Beneficios </w:t>
            </w:r>
          </w:p>
        </w:tc>
        <w:tc>
          <w:tcPr>
            <w:tcW w:w="1533" w:type="dxa"/>
            <w:tcBorders>
              <w:top w:val="single" w:sz="4" w:space="0" w:color="auto"/>
              <w:left w:val="nil"/>
              <w:bottom w:val="nil"/>
              <w:right w:val="nil"/>
            </w:tcBorders>
            <w:shd w:val="clear" w:color="000000" w:fill="FFFFFF"/>
            <w:noWrap/>
            <w:hideMark/>
          </w:tcPr>
          <w:p w14:paraId="47E69F53" w14:textId="24F2BC3B" w:rsidR="000518F8" w:rsidRPr="002B5C8B" w:rsidRDefault="000518F8" w:rsidP="000518F8">
            <w:pPr>
              <w:jc w:val="center"/>
              <w:rPr>
                <w:rFonts w:ascii="Arial" w:hAnsi="Arial" w:cs="Arial"/>
                <w:sz w:val="20"/>
                <w:szCs w:val="20"/>
              </w:rPr>
            </w:pPr>
            <w:r w:rsidRPr="009D5A93">
              <w:rPr>
                <w:rFonts w:ascii="Arial" w:hAnsi="Arial" w:cs="Arial"/>
                <w:sz w:val="20"/>
                <w:szCs w:val="20"/>
              </w:rPr>
              <w:t>$</w:t>
            </w:r>
            <w:r w:rsidR="004079A8">
              <w:rPr>
                <w:rFonts w:ascii="Arial" w:hAnsi="Arial" w:cs="Arial"/>
                <w:sz w:val="20"/>
                <w:szCs w:val="20"/>
              </w:rPr>
              <w:t>251,11</w:t>
            </w:r>
          </w:p>
        </w:tc>
      </w:tr>
      <w:tr w:rsidR="000518F8" w:rsidRPr="002B5C8B" w14:paraId="4ACA2BB6" w14:textId="77777777" w:rsidTr="000518F8">
        <w:trPr>
          <w:trHeight w:val="300"/>
        </w:trPr>
        <w:tc>
          <w:tcPr>
            <w:tcW w:w="4536" w:type="dxa"/>
            <w:tcBorders>
              <w:top w:val="nil"/>
              <w:left w:val="nil"/>
              <w:bottom w:val="nil"/>
              <w:right w:val="nil"/>
            </w:tcBorders>
            <w:shd w:val="clear" w:color="000000" w:fill="FFFFFF"/>
            <w:noWrap/>
            <w:vAlign w:val="bottom"/>
            <w:hideMark/>
          </w:tcPr>
          <w:p w14:paraId="0ADC92E6" w14:textId="77777777" w:rsidR="000518F8" w:rsidRPr="008451AA" w:rsidRDefault="000518F8" w:rsidP="000518F8">
            <w:pPr>
              <w:rPr>
                <w:rFonts w:ascii="Arial" w:hAnsi="Arial" w:cs="Arial"/>
                <w:sz w:val="20"/>
                <w:szCs w:val="20"/>
                <w:lang w:val="es-ES_tradnl"/>
              </w:rPr>
            </w:pPr>
            <w:r w:rsidRPr="008451AA">
              <w:rPr>
                <w:rFonts w:ascii="Arial" w:hAnsi="Arial" w:cs="Arial"/>
                <w:sz w:val="20"/>
                <w:szCs w:val="20"/>
                <w:lang w:val="es-ES_tradnl"/>
              </w:rPr>
              <w:t>Valor Presente de los Costos</w:t>
            </w:r>
          </w:p>
        </w:tc>
        <w:tc>
          <w:tcPr>
            <w:tcW w:w="1533" w:type="dxa"/>
            <w:tcBorders>
              <w:top w:val="nil"/>
              <w:left w:val="nil"/>
              <w:bottom w:val="nil"/>
              <w:right w:val="nil"/>
            </w:tcBorders>
            <w:shd w:val="clear" w:color="000000" w:fill="FFFFFF"/>
            <w:noWrap/>
            <w:hideMark/>
          </w:tcPr>
          <w:p w14:paraId="4AFC4404" w14:textId="0F2BFABA" w:rsidR="000518F8" w:rsidRPr="002B5C8B" w:rsidRDefault="000518F8" w:rsidP="000518F8">
            <w:pPr>
              <w:jc w:val="center"/>
              <w:rPr>
                <w:rFonts w:ascii="Arial" w:hAnsi="Arial" w:cs="Arial"/>
                <w:sz w:val="20"/>
                <w:szCs w:val="20"/>
              </w:rPr>
            </w:pPr>
            <w:r w:rsidRPr="009D5A93">
              <w:rPr>
                <w:rFonts w:ascii="Arial" w:hAnsi="Arial" w:cs="Arial"/>
                <w:sz w:val="20"/>
                <w:szCs w:val="20"/>
              </w:rPr>
              <w:t>$</w:t>
            </w:r>
            <w:r w:rsidR="004079A8">
              <w:rPr>
                <w:rFonts w:ascii="Arial" w:hAnsi="Arial" w:cs="Arial"/>
                <w:sz w:val="20"/>
                <w:szCs w:val="20"/>
              </w:rPr>
              <w:t>91,79</w:t>
            </w:r>
          </w:p>
        </w:tc>
      </w:tr>
      <w:tr w:rsidR="000518F8" w:rsidRPr="002B5C8B" w14:paraId="643A1407" w14:textId="77777777" w:rsidTr="000518F8">
        <w:trPr>
          <w:trHeight w:val="300"/>
        </w:trPr>
        <w:tc>
          <w:tcPr>
            <w:tcW w:w="4536" w:type="dxa"/>
            <w:tcBorders>
              <w:top w:val="nil"/>
              <w:left w:val="nil"/>
              <w:bottom w:val="nil"/>
              <w:right w:val="nil"/>
            </w:tcBorders>
            <w:shd w:val="clear" w:color="000000" w:fill="FFFFFF"/>
            <w:noWrap/>
            <w:vAlign w:val="bottom"/>
            <w:hideMark/>
          </w:tcPr>
          <w:p w14:paraId="48FBD24A" w14:textId="77777777" w:rsidR="000518F8" w:rsidRPr="002B5C8B" w:rsidRDefault="000518F8" w:rsidP="000518F8">
            <w:pPr>
              <w:rPr>
                <w:rFonts w:ascii="Arial" w:hAnsi="Arial" w:cs="Arial"/>
                <w:sz w:val="20"/>
                <w:szCs w:val="20"/>
              </w:rPr>
            </w:pPr>
            <w:r w:rsidRPr="002B5C8B">
              <w:rPr>
                <w:rFonts w:ascii="Arial" w:hAnsi="Arial" w:cs="Arial"/>
                <w:sz w:val="20"/>
                <w:szCs w:val="20"/>
              </w:rPr>
              <w:t>Valor Presente Neto</w:t>
            </w:r>
          </w:p>
        </w:tc>
        <w:tc>
          <w:tcPr>
            <w:tcW w:w="1533" w:type="dxa"/>
            <w:tcBorders>
              <w:top w:val="nil"/>
              <w:left w:val="nil"/>
              <w:bottom w:val="nil"/>
              <w:right w:val="nil"/>
            </w:tcBorders>
            <w:shd w:val="clear" w:color="000000" w:fill="FFFFFF"/>
            <w:noWrap/>
            <w:hideMark/>
          </w:tcPr>
          <w:p w14:paraId="7FBF2D4E" w14:textId="253E7C80" w:rsidR="000518F8" w:rsidRPr="002B5C8B" w:rsidRDefault="000518F8" w:rsidP="000518F8">
            <w:pPr>
              <w:jc w:val="center"/>
              <w:rPr>
                <w:rFonts w:ascii="Arial" w:hAnsi="Arial" w:cs="Arial"/>
                <w:sz w:val="20"/>
                <w:szCs w:val="20"/>
              </w:rPr>
            </w:pPr>
            <w:r w:rsidRPr="009D5A93">
              <w:rPr>
                <w:rFonts w:ascii="Arial" w:hAnsi="Arial" w:cs="Arial"/>
                <w:sz w:val="20"/>
                <w:szCs w:val="20"/>
              </w:rPr>
              <w:t>$</w:t>
            </w:r>
            <w:r w:rsidR="004079A8">
              <w:rPr>
                <w:rFonts w:ascii="Arial" w:hAnsi="Arial" w:cs="Arial"/>
                <w:sz w:val="20"/>
                <w:szCs w:val="20"/>
              </w:rPr>
              <w:t>159,31</w:t>
            </w:r>
          </w:p>
        </w:tc>
      </w:tr>
      <w:tr w:rsidR="000518F8" w:rsidRPr="002B5C8B" w14:paraId="33838193" w14:textId="77777777" w:rsidTr="000518F8">
        <w:trPr>
          <w:trHeight w:val="300"/>
        </w:trPr>
        <w:tc>
          <w:tcPr>
            <w:tcW w:w="4536" w:type="dxa"/>
            <w:tcBorders>
              <w:top w:val="nil"/>
              <w:left w:val="nil"/>
              <w:bottom w:val="nil"/>
              <w:right w:val="nil"/>
            </w:tcBorders>
            <w:shd w:val="clear" w:color="000000" w:fill="FFFFFF"/>
            <w:noWrap/>
            <w:vAlign w:val="bottom"/>
            <w:hideMark/>
          </w:tcPr>
          <w:p w14:paraId="231F32C7" w14:textId="77777777" w:rsidR="000518F8" w:rsidRPr="002B5C8B" w:rsidRDefault="000518F8" w:rsidP="000518F8">
            <w:pPr>
              <w:rPr>
                <w:rFonts w:ascii="Arial" w:hAnsi="Arial" w:cs="Arial"/>
                <w:sz w:val="20"/>
                <w:szCs w:val="20"/>
              </w:rPr>
            </w:pPr>
            <w:r w:rsidRPr="002B5C8B">
              <w:rPr>
                <w:rFonts w:ascii="Arial" w:hAnsi="Arial" w:cs="Arial"/>
                <w:sz w:val="20"/>
                <w:szCs w:val="20"/>
                <w:lang w:eastAsia="es-ES"/>
              </w:rPr>
              <w:t>Tasa de Retorno</w:t>
            </w:r>
          </w:p>
        </w:tc>
        <w:tc>
          <w:tcPr>
            <w:tcW w:w="1533" w:type="dxa"/>
            <w:tcBorders>
              <w:top w:val="nil"/>
              <w:left w:val="nil"/>
              <w:bottom w:val="nil"/>
              <w:right w:val="nil"/>
            </w:tcBorders>
            <w:shd w:val="clear" w:color="000000" w:fill="FFFFFF"/>
            <w:noWrap/>
            <w:hideMark/>
          </w:tcPr>
          <w:p w14:paraId="7EEBB4C9" w14:textId="693B068D" w:rsidR="000518F8" w:rsidRPr="002B5C8B" w:rsidRDefault="004079A8" w:rsidP="000518F8">
            <w:pPr>
              <w:jc w:val="center"/>
              <w:rPr>
                <w:rFonts w:ascii="Arial" w:hAnsi="Arial" w:cs="Arial"/>
                <w:sz w:val="20"/>
                <w:szCs w:val="20"/>
              </w:rPr>
            </w:pPr>
            <w:r>
              <w:rPr>
                <w:rFonts w:ascii="Arial" w:hAnsi="Arial" w:cs="Arial"/>
                <w:sz w:val="20"/>
                <w:szCs w:val="20"/>
              </w:rPr>
              <w:t>28.83</w:t>
            </w:r>
            <w:r w:rsidR="000518F8" w:rsidRPr="009D5A93">
              <w:rPr>
                <w:rFonts w:ascii="Arial" w:hAnsi="Arial" w:cs="Arial"/>
                <w:sz w:val="20"/>
                <w:szCs w:val="20"/>
              </w:rPr>
              <w:t>%</w:t>
            </w:r>
          </w:p>
        </w:tc>
      </w:tr>
      <w:tr w:rsidR="000518F8" w:rsidRPr="002B5C8B" w14:paraId="0FF5D925" w14:textId="77777777" w:rsidTr="000518F8">
        <w:trPr>
          <w:trHeight w:val="300"/>
        </w:trPr>
        <w:tc>
          <w:tcPr>
            <w:tcW w:w="4536" w:type="dxa"/>
            <w:tcBorders>
              <w:top w:val="nil"/>
              <w:left w:val="nil"/>
              <w:bottom w:val="single" w:sz="4" w:space="0" w:color="auto"/>
              <w:right w:val="nil"/>
            </w:tcBorders>
            <w:shd w:val="clear" w:color="000000" w:fill="FFFFFF"/>
            <w:noWrap/>
            <w:vAlign w:val="bottom"/>
            <w:hideMark/>
          </w:tcPr>
          <w:p w14:paraId="570EB64C" w14:textId="77777777" w:rsidR="000518F8" w:rsidRPr="002B5C8B" w:rsidRDefault="000518F8" w:rsidP="000518F8">
            <w:pPr>
              <w:rPr>
                <w:rFonts w:ascii="Arial" w:hAnsi="Arial" w:cs="Arial"/>
                <w:sz w:val="20"/>
                <w:szCs w:val="20"/>
              </w:rPr>
            </w:pPr>
            <w:r w:rsidRPr="002B5C8B">
              <w:rPr>
                <w:rFonts w:ascii="Arial" w:hAnsi="Arial" w:cs="Arial"/>
                <w:sz w:val="20"/>
                <w:szCs w:val="20"/>
              </w:rPr>
              <w:t>Ratio Beneficio – Costo</w:t>
            </w:r>
          </w:p>
        </w:tc>
        <w:tc>
          <w:tcPr>
            <w:tcW w:w="1533" w:type="dxa"/>
            <w:tcBorders>
              <w:top w:val="nil"/>
              <w:left w:val="nil"/>
              <w:bottom w:val="single" w:sz="4" w:space="0" w:color="auto"/>
              <w:right w:val="nil"/>
            </w:tcBorders>
            <w:shd w:val="clear" w:color="000000" w:fill="FFFFFF"/>
            <w:noWrap/>
            <w:hideMark/>
          </w:tcPr>
          <w:p w14:paraId="6A746FE7" w14:textId="3088A44D" w:rsidR="000518F8" w:rsidRPr="002B5C8B" w:rsidRDefault="004079A8" w:rsidP="000518F8">
            <w:pPr>
              <w:jc w:val="center"/>
              <w:rPr>
                <w:rFonts w:ascii="Arial" w:hAnsi="Arial" w:cs="Arial"/>
                <w:sz w:val="20"/>
                <w:szCs w:val="20"/>
              </w:rPr>
            </w:pPr>
            <w:r>
              <w:rPr>
                <w:rFonts w:ascii="Arial" w:hAnsi="Arial" w:cs="Arial"/>
                <w:sz w:val="20"/>
                <w:szCs w:val="20"/>
              </w:rPr>
              <w:t>2,74</w:t>
            </w:r>
          </w:p>
        </w:tc>
      </w:tr>
    </w:tbl>
    <w:p w14:paraId="65982D51" w14:textId="77777777" w:rsidR="008451AA" w:rsidRDefault="008451AA">
      <w:pPr>
        <w:autoSpaceDE w:val="0"/>
        <w:autoSpaceDN w:val="0"/>
        <w:adjustRightInd w:val="0"/>
        <w:jc w:val="center"/>
        <w:rPr>
          <w:rFonts w:ascii="Arial" w:hAnsi="Arial" w:cs="Arial"/>
          <w:b/>
        </w:rPr>
      </w:pPr>
    </w:p>
    <w:p w14:paraId="1A0F6434" w14:textId="77777777" w:rsidR="0033355F" w:rsidRDefault="0033355F">
      <w:pPr>
        <w:autoSpaceDE w:val="0"/>
        <w:autoSpaceDN w:val="0"/>
        <w:adjustRightInd w:val="0"/>
        <w:jc w:val="center"/>
        <w:rPr>
          <w:rFonts w:ascii="Arial" w:hAnsi="Arial" w:cs="Arial"/>
          <w:b/>
        </w:rPr>
      </w:pPr>
    </w:p>
    <w:p w14:paraId="5B83E852" w14:textId="5E0CF3AE" w:rsidR="0033355F" w:rsidRPr="00952EF5" w:rsidRDefault="0033355F" w:rsidP="00E4455F">
      <w:pPr>
        <w:pStyle w:val="ListParagraph"/>
        <w:numPr>
          <w:ilvl w:val="0"/>
          <w:numId w:val="2"/>
        </w:numPr>
        <w:tabs>
          <w:tab w:val="left" w:pos="360"/>
        </w:tabs>
        <w:ind w:left="0" w:hanging="450"/>
        <w:jc w:val="both"/>
        <w:rPr>
          <w:rFonts w:ascii="Arial" w:eastAsia="Arial" w:hAnsi="Arial" w:cs="Arial"/>
          <w:sz w:val="22"/>
          <w:szCs w:val="22"/>
        </w:rPr>
      </w:pPr>
      <w:r w:rsidRPr="00952EF5">
        <w:rPr>
          <w:rFonts w:ascii="Arial" w:eastAsia="Arial" w:hAnsi="Arial" w:cs="Arial"/>
          <w:sz w:val="22"/>
          <w:szCs w:val="22"/>
        </w:rPr>
        <w:t>Para el beneficio de este componente, bajo los supuestos</w:t>
      </w:r>
      <w:r w:rsidR="00B044D1">
        <w:rPr>
          <w:rFonts w:ascii="Arial" w:eastAsia="Arial" w:hAnsi="Arial" w:cs="Arial"/>
          <w:sz w:val="22"/>
          <w:szCs w:val="22"/>
        </w:rPr>
        <w:t xml:space="preserve"> considerados</w:t>
      </w:r>
      <w:r w:rsidRPr="00952EF5">
        <w:rPr>
          <w:rFonts w:ascii="Arial" w:eastAsia="Arial" w:hAnsi="Arial" w:cs="Arial"/>
          <w:sz w:val="22"/>
          <w:szCs w:val="22"/>
        </w:rPr>
        <w:t>, se tiene un beneficio</w:t>
      </w:r>
      <w:r w:rsidR="00B044D1">
        <w:rPr>
          <w:rFonts w:ascii="Arial" w:eastAsia="Arial" w:hAnsi="Arial" w:cs="Arial"/>
          <w:sz w:val="22"/>
          <w:szCs w:val="22"/>
        </w:rPr>
        <w:t xml:space="preserve"> en valor presente por US$</w:t>
      </w:r>
      <w:r w:rsidR="004079A8">
        <w:rPr>
          <w:rFonts w:ascii="Arial" w:eastAsia="Arial" w:hAnsi="Arial" w:cs="Arial"/>
          <w:sz w:val="22"/>
          <w:szCs w:val="22"/>
        </w:rPr>
        <w:t>251,11</w:t>
      </w:r>
      <w:r w:rsidRPr="00952EF5">
        <w:rPr>
          <w:rFonts w:ascii="Arial" w:eastAsia="Arial" w:hAnsi="Arial" w:cs="Arial"/>
          <w:sz w:val="22"/>
          <w:szCs w:val="22"/>
        </w:rPr>
        <w:t xml:space="preserve"> millones, que se traducen en un bene</w:t>
      </w:r>
      <w:r w:rsidR="00B044D1">
        <w:rPr>
          <w:rFonts w:ascii="Arial" w:eastAsia="Arial" w:hAnsi="Arial" w:cs="Arial"/>
          <w:sz w:val="22"/>
          <w:szCs w:val="22"/>
        </w:rPr>
        <w:t>ficio neto económico de US$</w:t>
      </w:r>
      <w:r w:rsidR="004079A8">
        <w:rPr>
          <w:rFonts w:ascii="Arial" w:eastAsia="Arial" w:hAnsi="Arial" w:cs="Arial"/>
          <w:sz w:val="22"/>
          <w:szCs w:val="22"/>
        </w:rPr>
        <w:t xml:space="preserve">159,31 </w:t>
      </w:r>
      <w:r w:rsidRPr="00952EF5">
        <w:rPr>
          <w:rFonts w:ascii="Arial" w:eastAsia="Arial" w:hAnsi="Arial" w:cs="Arial"/>
          <w:sz w:val="22"/>
          <w:szCs w:val="22"/>
        </w:rPr>
        <w:t xml:space="preserve">millones, </w:t>
      </w:r>
      <w:r w:rsidR="00ED5B2A" w:rsidRPr="00952EF5">
        <w:rPr>
          <w:rFonts w:ascii="Arial" w:eastAsia="Arial" w:hAnsi="Arial" w:cs="Arial"/>
          <w:sz w:val="22"/>
          <w:szCs w:val="22"/>
        </w:rPr>
        <w:t>una ratio</w:t>
      </w:r>
      <w:r w:rsidRPr="00952EF5">
        <w:rPr>
          <w:rFonts w:ascii="Arial" w:eastAsia="Arial" w:hAnsi="Arial" w:cs="Arial"/>
          <w:sz w:val="22"/>
          <w:szCs w:val="22"/>
        </w:rPr>
        <w:t xml:space="preserve"> Beneficio</w:t>
      </w:r>
      <w:r w:rsidR="00ED5B2A">
        <w:rPr>
          <w:rFonts w:ascii="Arial" w:eastAsia="Arial" w:hAnsi="Arial" w:cs="Arial"/>
          <w:sz w:val="22"/>
          <w:szCs w:val="22"/>
        </w:rPr>
        <w:t xml:space="preserve"> </w:t>
      </w:r>
      <w:r w:rsidRPr="00952EF5">
        <w:rPr>
          <w:rFonts w:ascii="Arial" w:eastAsia="Arial" w:hAnsi="Arial" w:cs="Arial"/>
          <w:sz w:val="22"/>
          <w:szCs w:val="22"/>
        </w:rPr>
        <w:t>-</w:t>
      </w:r>
      <w:r w:rsidR="00ED5B2A">
        <w:rPr>
          <w:rFonts w:ascii="Arial" w:eastAsia="Arial" w:hAnsi="Arial" w:cs="Arial"/>
          <w:sz w:val="22"/>
          <w:szCs w:val="22"/>
        </w:rPr>
        <w:t xml:space="preserve"> </w:t>
      </w:r>
      <w:r w:rsidR="00B044D1">
        <w:rPr>
          <w:rFonts w:ascii="Arial" w:eastAsia="Arial" w:hAnsi="Arial" w:cs="Arial"/>
          <w:sz w:val="22"/>
          <w:szCs w:val="22"/>
        </w:rPr>
        <w:t xml:space="preserve">Costo de </w:t>
      </w:r>
      <w:r w:rsidR="004079A8">
        <w:rPr>
          <w:rFonts w:ascii="Arial" w:eastAsia="Arial" w:hAnsi="Arial" w:cs="Arial"/>
          <w:sz w:val="22"/>
          <w:szCs w:val="22"/>
        </w:rPr>
        <w:t>2,74</w:t>
      </w:r>
      <w:r w:rsidR="00B044D1">
        <w:rPr>
          <w:rFonts w:ascii="Arial" w:eastAsia="Arial" w:hAnsi="Arial" w:cs="Arial"/>
          <w:sz w:val="22"/>
          <w:szCs w:val="22"/>
        </w:rPr>
        <w:t xml:space="preserve"> y una Tasa de Retorno de </w:t>
      </w:r>
      <w:r w:rsidR="004079A8">
        <w:rPr>
          <w:rFonts w:ascii="Arial" w:eastAsia="Arial" w:hAnsi="Arial" w:cs="Arial"/>
          <w:sz w:val="22"/>
          <w:szCs w:val="22"/>
        </w:rPr>
        <w:t>28.83</w:t>
      </w:r>
      <w:r w:rsidRPr="00952EF5">
        <w:rPr>
          <w:rFonts w:ascii="Arial" w:eastAsia="Arial" w:hAnsi="Arial" w:cs="Arial"/>
          <w:sz w:val="22"/>
          <w:szCs w:val="22"/>
        </w:rPr>
        <w:t xml:space="preserve">%. </w:t>
      </w:r>
    </w:p>
    <w:p w14:paraId="6E746BED" w14:textId="77777777" w:rsidR="008451AA" w:rsidRPr="00621420" w:rsidRDefault="008451AA" w:rsidP="0033355F">
      <w:pPr>
        <w:pStyle w:val="ListParagraph"/>
        <w:autoSpaceDE w:val="0"/>
        <w:autoSpaceDN w:val="0"/>
        <w:adjustRightInd w:val="0"/>
        <w:ind w:left="0"/>
        <w:jc w:val="both"/>
        <w:rPr>
          <w:rFonts w:ascii="Arial" w:hAnsi="Arial" w:cs="Arial"/>
          <w:sz w:val="22"/>
          <w:szCs w:val="22"/>
        </w:rPr>
      </w:pPr>
    </w:p>
    <w:p w14:paraId="035D50A6" w14:textId="77777777" w:rsidR="0033355F" w:rsidRDefault="0033355F" w:rsidP="00207E1E">
      <w:pPr>
        <w:numPr>
          <w:ilvl w:val="1"/>
          <w:numId w:val="1"/>
        </w:numPr>
        <w:ind w:left="0"/>
        <w:contextualSpacing/>
        <w:jc w:val="both"/>
        <w:rPr>
          <w:rFonts w:ascii="Arial" w:eastAsia="Arial" w:hAnsi="Arial" w:cs="Arial"/>
          <w:b/>
          <w:lang w:val="es-ES_tradnl"/>
        </w:rPr>
      </w:pPr>
      <w:r w:rsidRPr="00D535D7">
        <w:rPr>
          <w:rFonts w:ascii="Arial" w:eastAsia="Arial" w:hAnsi="Arial" w:cs="Arial"/>
          <w:b/>
          <w:lang w:val="es-ES_tradnl"/>
        </w:rPr>
        <w:t xml:space="preserve">Retornos Económicos del Programa </w:t>
      </w:r>
    </w:p>
    <w:p w14:paraId="2DEB92FF" w14:textId="77777777" w:rsidR="00231648" w:rsidRDefault="00231648" w:rsidP="00231648">
      <w:pPr>
        <w:contextualSpacing/>
        <w:jc w:val="both"/>
        <w:rPr>
          <w:rFonts w:ascii="Arial" w:eastAsia="Arial" w:hAnsi="Arial" w:cs="Arial"/>
          <w:b/>
          <w:lang w:val="es-ES_tradnl"/>
        </w:rPr>
      </w:pPr>
    </w:p>
    <w:p w14:paraId="41731E4C" w14:textId="1B6D6B59" w:rsidR="008451AA" w:rsidRPr="00E76ECB" w:rsidRDefault="00E63577" w:rsidP="00E4455F">
      <w:pPr>
        <w:pStyle w:val="ListParagraph"/>
        <w:numPr>
          <w:ilvl w:val="0"/>
          <w:numId w:val="2"/>
        </w:numPr>
        <w:tabs>
          <w:tab w:val="left" w:pos="360"/>
        </w:tabs>
        <w:ind w:left="0" w:hanging="450"/>
        <w:jc w:val="both"/>
        <w:rPr>
          <w:rFonts w:ascii="Arial" w:eastAsia="Arial" w:hAnsi="Arial" w:cs="Arial"/>
          <w:sz w:val="22"/>
          <w:szCs w:val="22"/>
        </w:rPr>
      </w:pPr>
      <w:r w:rsidRPr="00E76ECB">
        <w:rPr>
          <w:rFonts w:ascii="Arial" w:eastAsia="Arial" w:hAnsi="Arial" w:cs="Arial"/>
          <w:sz w:val="22"/>
          <w:szCs w:val="22"/>
        </w:rPr>
        <w:t>Para analizar la rentabilidad agregada del proyecto, adicionalmente a los beneficios y</w:t>
      </w:r>
      <w:r w:rsidR="00344772" w:rsidRPr="00E76ECB">
        <w:rPr>
          <w:rFonts w:ascii="Arial" w:eastAsia="Arial" w:hAnsi="Arial" w:cs="Arial"/>
          <w:sz w:val="22"/>
          <w:szCs w:val="22"/>
        </w:rPr>
        <w:t xml:space="preserve"> costos de los componentes de </w:t>
      </w:r>
      <w:r w:rsidR="00E76ECB" w:rsidRPr="00E76ECB">
        <w:rPr>
          <w:rFonts w:ascii="Arial" w:eastAsia="Arial" w:hAnsi="Arial" w:cs="Arial"/>
          <w:sz w:val="22"/>
          <w:szCs w:val="22"/>
        </w:rPr>
        <w:t xml:space="preserve">Fortalecimiento de la gestión institucional de las </w:t>
      </w:r>
      <w:r w:rsidR="00D5178C">
        <w:rPr>
          <w:rFonts w:ascii="Arial" w:eastAsia="Arial" w:hAnsi="Arial" w:cs="Arial"/>
          <w:sz w:val="22"/>
          <w:szCs w:val="22"/>
        </w:rPr>
        <w:t xml:space="preserve">IES </w:t>
      </w:r>
      <w:r w:rsidR="00E76ECB" w:rsidRPr="00E76ECB">
        <w:rPr>
          <w:rFonts w:ascii="Arial" w:eastAsia="Arial" w:hAnsi="Arial" w:cs="Arial"/>
          <w:sz w:val="22"/>
          <w:szCs w:val="22"/>
        </w:rPr>
        <w:t xml:space="preserve">públicas </w:t>
      </w:r>
      <w:r w:rsidR="00A01AF6">
        <w:rPr>
          <w:rFonts w:ascii="Arial" w:eastAsia="Arial" w:hAnsi="Arial" w:cs="Arial"/>
          <w:sz w:val="22"/>
          <w:szCs w:val="22"/>
        </w:rPr>
        <w:t xml:space="preserve">(componente 2) </w:t>
      </w:r>
      <w:r w:rsidR="00344772" w:rsidRPr="00E76ECB">
        <w:rPr>
          <w:rFonts w:ascii="Arial" w:eastAsia="Arial" w:hAnsi="Arial" w:cs="Arial"/>
          <w:sz w:val="22"/>
          <w:szCs w:val="22"/>
        </w:rPr>
        <w:t xml:space="preserve">y de </w:t>
      </w:r>
      <w:r w:rsidR="00E76ECB" w:rsidRPr="00E76ECB">
        <w:rPr>
          <w:rFonts w:ascii="Arial" w:eastAsia="Arial" w:hAnsi="Arial" w:cs="Arial"/>
          <w:sz w:val="22"/>
          <w:szCs w:val="22"/>
        </w:rPr>
        <w:t xml:space="preserve">Mejora de la infraestructura y equipamiento de las </w:t>
      </w:r>
      <w:r w:rsidR="00D5178C">
        <w:rPr>
          <w:rFonts w:ascii="Arial" w:eastAsia="Arial" w:hAnsi="Arial" w:cs="Arial"/>
          <w:sz w:val="22"/>
          <w:szCs w:val="22"/>
        </w:rPr>
        <w:t>IES</w:t>
      </w:r>
      <w:r w:rsidR="00E76ECB" w:rsidRPr="00E76ECB">
        <w:rPr>
          <w:rFonts w:ascii="Arial" w:eastAsia="Arial" w:hAnsi="Arial" w:cs="Arial"/>
          <w:sz w:val="22"/>
          <w:szCs w:val="22"/>
        </w:rPr>
        <w:t xml:space="preserve"> pública</w:t>
      </w:r>
      <w:r w:rsidR="00D5178C">
        <w:rPr>
          <w:rFonts w:ascii="Arial" w:eastAsia="Arial" w:hAnsi="Arial" w:cs="Arial"/>
          <w:sz w:val="22"/>
          <w:szCs w:val="22"/>
        </w:rPr>
        <w:t>s</w:t>
      </w:r>
      <w:r w:rsidR="00A01AF6">
        <w:rPr>
          <w:rFonts w:ascii="Arial" w:eastAsia="Arial" w:hAnsi="Arial" w:cs="Arial"/>
          <w:sz w:val="22"/>
          <w:szCs w:val="22"/>
        </w:rPr>
        <w:t xml:space="preserve"> (componente 3)</w:t>
      </w:r>
      <w:r w:rsidR="00E76ECB">
        <w:rPr>
          <w:rFonts w:ascii="Arial" w:eastAsia="Arial" w:hAnsi="Arial" w:cs="Arial"/>
          <w:sz w:val="22"/>
          <w:szCs w:val="22"/>
        </w:rPr>
        <w:t xml:space="preserve">, </w:t>
      </w:r>
      <w:r w:rsidR="008E4D80">
        <w:rPr>
          <w:rFonts w:ascii="Arial" w:eastAsia="Arial" w:hAnsi="Arial" w:cs="Arial"/>
          <w:sz w:val="22"/>
          <w:szCs w:val="22"/>
        </w:rPr>
        <w:t xml:space="preserve">se consideran los costos del componente transversal </w:t>
      </w:r>
      <w:r w:rsidR="00A01AF6">
        <w:rPr>
          <w:rFonts w:ascii="Arial" w:eastAsia="Arial" w:hAnsi="Arial" w:cs="Arial"/>
          <w:sz w:val="22"/>
          <w:szCs w:val="22"/>
        </w:rPr>
        <w:t xml:space="preserve">(componente 1) </w:t>
      </w:r>
      <w:r w:rsidR="008E4D80">
        <w:rPr>
          <w:rFonts w:ascii="Arial" w:eastAsia="Arial" w:hAnsi="Arial" w:cs="Arial"/>
          <w:sz w:val="22"/>
          <w:szCs w:val="22"/>
        </w:rPr>
        <w:t>de</w:t>
      </w:r>
      <w:r w:rsidR="007E36BF" w:rsidRPr="00E76ECB">
        <w:rPr>
          <w:rFonts w:ascii="Arial" w:eastAsia="Arial" w:hAnsi="Arial" w:cs="Arial"/>
          <w:sz w:val="22"/>
          <w:szCs w:val="22"/>
        </w:rPr>
        <w:t xml:space="preserve"> </w:t>
      </w:r>
      <w:r w:rsidR="00A53535" w:rsidRPr="00A53535">
        <w:rPr>
          <w:rFonts w:ascii="Arial" w:eastAsia="Arial" w:hAnsi="Arial" w:cs="Arial"/>
          <w:sz w:val="22"/>
          <w:szCs w:val="22"/>
        </w:rPr>
        <w:t>Generación de conocimiento e información para un mejor diseño de las políticas de fomento de la calidad y la pertinencia</w:t>
      </w:r>
      <w:r w:rsidR="007E36BF" w:rsidRPr="00E76ECB">
        <w:rPr>
          <w:rFonts w:ascii="Arial" w:eastAsia="Arial" w:hAnsi="Arial" w:cs="Arial"/>
          <w:sz w:val="22"/>
          <w:szCs w:val="22"/>
        </w:rPr>
        <w:t xml:space="preserve"> y </w:t>
      </w:r>
      <w:r w:rsidR="008E4D80">
        <w:rPr>
          <w:rFonts w:ascii="Arial" w:eastAsia="Arial" w:hAnsi="Arial" w:cs="Arial"/>
          <w:sz w:val="22"/>
          <w:szCs w:val="22"/>
        </w:rPr>
        <w:t xml:space="preserve">además otro rubro </w:t>
      </w:r>
      <w:r w:rsidR="007E36BF" w:rsidRPr="00E76ECB">
        <w:rPr>
          <w:rFonts w:ascii="Arial" w:eastAsia="Arial" w:hAnsi="Arial" w:cs="Arial"/>
          <w:sz w:val="22"/>
          <w:szCs w:val="22"/>
        </w:rPr>
        <w:t>de gestión, monitoreo</w:t>
      </w:r>
      <w:r w:rsidR="00A53535">
        <w:rPr>
          <w:rFonts w:ascii="Arial" w:eastAsia="Arial" w:hAnsi="Arial" w:cs="Arial"/>
          <w:sz w:val="22"/>
          <w:szCs w:val="22"/>
        </w:rPr>
        <w:t>, evaluación y auditoría (US$ 15</w:t>
      </w:r>
      <w:r w:rsidR="007E36BF" w:rsidRPr="00E76ECB">
        <w:rPr>
          <w:rFonts w:ascii="Arial" w:eastAsia="Arial" w:hAnsi="Arial" w:cs="Arial"/>
          <w:sz w:val="22"/>
          <w:szCs w:val="22"/>
        </w:rPr>
        <w:t xml:space="preserve"> millones</w:t>
      </w:r>
      <w:r w:rsidR="008123BE" w:rsidRPr="00E76ECB">
        <w:rPr>
          <w:rFonts w:ascii="Arial" w:eastAsia="Arial" w:hAnsi="Arial" w:cs="Arial"/>
          <w:sz w:val="22"/>
          <w:szCs w:val="22"/>
        </w:rPr>
        <w:t>)</w:t>
      </w:r>
      <w:r w:rsidRPr="00E76ECB">
        <w:rPr>
          <w:rFonts w:ascii="Arial" w:eastAsia="Arial" w:hAnsi="Arial" w:cs="Arial"/>
          <w:sz w:val="22"/>
          <w:szCs w:val="22"/>
        </w:rPr>
        <w:t xml:space="preserve">. </w:t>
      </w:r>
    </w:p>
    <w:p w14:paraId="785E2565" w14:textId="77777777" w:rsidR="0033355F" w:rsidRPr="00952EF5" w:rsidRDefault="0033355F" w:rsidP="002B51DE">
      <w:pPr>
        <w:pStyle w:val="ListParagraph"/>
        <w:tabs>
          <w:tab w:val="left" w:pos="360"/>
        </w:tabs>
        <w:ind w:left="0"/>
        <w:jc w:val="both"/>
        <w:rPr>
          <w:rFonts w:ascii="Arial" w:eastAsia="Arial" w:hAnsi="Arial" w:cs="Arial"/>
          <w:sz w:val="22"/>
          <w:szCs w:val="22"/>
        </w:rPr>
      </w:pPr>
    </w:p>
    <w:p w14:paraId="4ECD8116" w14:textId="61BED4D6" w:rsidR="0033355F" w:rsidRPr="0029244D" w:rsidRDefault="0033355F" w:rsidP="00E4455F">
      <w:pPr>
        <w:pStyle w:val="ListParagraph"/>
        <w:numPr>
          <w:ilvl w:val="0"/>
          <w:numId w:val="2"/>
        </w:numPr>
        <w:tabs>
          <w:tab w:val="left" w:pos="360"/>
        </w:tabs>
        <w:ind w:left="0" w:hanging="450"/>
        <w:jc w:val="both"/>
        <w:rPr>
          <w:rFonts w:ascii="Arial" w:eastAsia="Arial" w:hAnsi="Arial" w:cs="Arial"/>
          <w:sz w:val="22"/>
          <w:szCs w:val="22"/>
        </w:rPr>
      </w:pPr>
      <w:r w:rsidRPr="0029244D">
        <w:rPr>
          <w:rFonts w:ascii="Arial" w:eastAsia="Arial" w:hAnsi="Arial" w:cs="Arial"/>
          <w:sz w:val="22"/>
          <w:szCs w:val="22"/>
        </w:rPr>
        <w:t>En conjunto, la rentabilidad del proyecto alcanz</w:t>
      </w:r>
      <w:r w:rsidR="00B43B43" w:rsidRPr="0029244D">
        <w:rPr>
          <w:rFonts w:ascii="Arial" w:eastAsia="Arial" w:hAnsi="Arial" w:cs="Arial"/>
          <w:sz w:val="22"/>
          <w:szCs w:val="22"/>
        </w:rPr>
        <w:t xml:space="preserve">a a un Beneficio Neto en VPN de </w:t>
      </w:r>
      <w:r w:rsidR="00B963FC">
        <w:rPr>
          <w:rFonts w:ascii="Arial" w:eastAsia="Arial" w:hAnsi="Arial" w:cs="Arial"/>
          <w:sz w:val="22"/>
          <w:szCs w:val="22"/>
        </w:rPr>
        <w:t>US$</w:t>
      </w:r>
      <w:r w:rsidR="005C1219">
        <w:rPr>
          <w:rFonts w:ascii="Arial" w:eastAsia="Arial" w:hAnsi="Arial" w:cs="Arial"/>
          <w:sz w:val="22"/>
          <w:szCs w:val="22"/>
        </w:rPr>
        <w:t>205,45</w:t>
      </w:r>
      <w:r w:rsidR="00A01AF6">
        <w:rPr>
          <w:rFonts w:ascii="Arial" w:eastAsia="Arial" w:hAnsi="Arial" w:cs="Arial"/>
          <w:sz w:val="22"/>
          <w:szCs w:val="22"/>
        </w:rPr>
        <w:t xml:space="preserve"> </w:t>
      </w:r>
      <w:r w:rsidRPr="0029244D">
        <w:rPr>
          <w:rFonts w:ascii="Arial" w:eastAsia="Arial" w:hAnsi="Arial" w:cs="Arial"/>
          <w:sz w:val="22"/>
          <w:szCs w:val="22"/>
        </w:rPr>
        <w:t xml:space="preserve">millones, con </w:t>
      </w:r>
      <w:r w:rsidR="00ED5B2A" w:rsidRPr="0029244D">
        <w:rPr>
          <w:rFonts w:ascii="Arial" w:eastAsia="Arial" w:hAnsi="Arial" w:cs="Arial"/>
          <w:sz w:val="22"/>
          <w:szCs w:val="22"/>
        </w:rPr>
        <w:t>una ratio</w:t>
      </w:r>
      <w:r w:rsidR="00E95389">
        <w:rPr>
          <w:rFonts w:ascii="Arial" w:eastAsia="Arial" w:hAnsi="Arial" w:cs="Arial"/>
          <w:sz w:val="22"/>
          <w:szCs w:val="22"/>
        </w:rPr>
        <w:t xml:space="preserve"> Beneficio – Costo de 2,2</w:t>
      </w:r>
      <w:r w:rsidRPr="0029244D">
        <w:rPr>
          <w:rFonts w:ascii="Arial" w:eastAsia="Arial" w:hAnsi="Arial" w:cs="Arial"/>
          <w:sz w:val="22"/>
          <w:szCs w:val="22"/>
        </w:rPr>
        <w:t xml:space="preserve">. Estos resultados son consistentes con </w:t>
      </w:r>
      <w:r w:rsidR="00E96A58" w:rsidRPr="0029244D">
        <w:rPr>
          <w:rFonts w:ascii="Arial" w:eastAsia="Arial" w:hAnsi="Arial" w:cs="Arial"/>
          <w:sz w:val="22"/>
          <w:szCs w:val="22"/>
        </w:rPr>
        <w:t>estudios de programas regionales similares</w:t>
      </w:r>
      <w:r w:rsidR="00B963FC">
        <w:rPr>
          <w:rStyle w:val="FootnoteReference"/>
          <w:rFonts w:ascii="Arial" w:eastAsia="Arial" w:hAnsi="Arial" w:cs="Arial"/>
          <w:sz w:val="22"/>
          <w:szCs w:val="22"/>
        </w:rPr>
        <w:footnoteReference w:id="17"/>
      </w:r>
      <w:r w:rsidR="00B963FC">
        <w:rPr>
          <w:rFonts w:ascii="Arial" w:eastAsia="Arial" w:hAnsi="Arial" w:cs="Arial"/>
          <w:sz w:val="22"/>
          <w:szCs w:val="22"/>
        </w:rPr>
        <w:t xml:space="preserve">. </w:t>
      </w:r>
      <w:r w:rsidR="00B43B43" w:rsidRPr="0029244D">
        <w:rPr>
          <w:rFonts w:ascii="Arial" w:eastAsia="Arial" w:hAnsi="Arial" w:cs="Arial"/>
          <w:sz w:val="22"/>
          <w:szCs w:val="22"/>
        </w:rPr>
        <w:t xml:space="preserve">La evidencia muestra que </w:t>
      </w:r>
      <w:r w:rsidRPr="0029244D">
        <w:rPr>
          <w:rFonts w:ascii="Arial" w:eastAsia="Arial" w:hAnsi="Arial" w:cs="Arial"/>
          <w:sz w:val="22"/>
          <w:szCs w:val="22"/>
        </w:rPr>
        <w:t>estos programas son altamente costo efectivo</w:t>
      </w:r>
      <w:r w:rsidR="00A01AF6">
        <w:rPr>
          <w:rFonts w:ascii="Arial" w:eastAsia="Arial" w:hAnsi="Arial" w:cs="Arial"/>
          <w:sz w:val="22"/>
          <w:szCs w:val="22"/>
        </w:rPr>
        <w:t>s</w:t>
      </w:r>
      <w:r w:rsidRPr="0029244D">
        <w:rPr>
          <w:rFonts w:ascii="Arial" w:eastAsia="Arial" w:hAnsi="Arial" w:cs="Arial"/>
          <w:sz w:val="22"/>
          <w:szCs w:val="22"/>
        </w:rPr>
        <w:t xml:space="preserve">, incluso ante supuestos restrictivos sobre beneficios del programa como los considerados en el presente documento. El </w:t>
      </w:r>
      <w:r w:rsidR="00231648" w:rsidRPr="0029244D">
        <w:rPr>
          <w:rFonts w:ascii="Arial" w:eastAsia="Arial" w:hAnsi="Arial" w:cs="Arial"/>
          <w:sz w:val="22"/>
          <w:szCs w:val="22"/>
        </w:rPr>
        <w:t>Cuadro</w:t>
      </w:r>
      <w:r w:rsidR="00A01AF6">
        <w:rPr>
          <w:rFonts w:ascii="Arial" w:eastAsia="Arial" w:hAnsi="Arial" w:cs="Arial"/>
          <w:sz w:val="22"/>
          <w:szCs w:val="22"/>
        </w:rPr>
        <w:t xml:space="preserve"> </w:t>
      </w:r>
      <w:r w:rsidR="00231648" w:rsidRPr="0029244D">
        <w:rPr>
          <w:rFonts w:ascii="Arial" w:eastAsia="Arial" w:hAnsi="Arial" w:cs="Arial"/>
          <w:sz w:val="22"/>
          <w:szCs w:val="22"/>
        </w:rPr>
        <w:t>6</w:t>
      </w:r>
      <w:r w:rsidRPr="0029244D">
        <w:rPr>
          <w:rFonts w:ascii="Arial" w:eastAsia="Arial" w:hAnsi="Arial" w:cs="Arial"/>
          <w:sz w:val="22"/>
          <w:szCs w:val="22"/>
        </w:rPr>
        <w:t xml:space="preserve"> presenta los resultados agregados del programa y el </w:t>
      </w:r>
      <w:r w:rsidR="0029244D" w:rsidRPr="0029244D">
        <w:rPr>
          <w:rFonts w:ascii="Arial" w:eastAsia="Arial" w:hAnsi="Arial" w:cs="Arial"/>
          <w:sz w:val="22"/>
          <w:szCs w:val="22"/>
        </w:rPr>
        <w:t>Cuadro</w:t>
      </w:r>
      <w:r w:rsidR="00A01AF6">
        <w:rPr>
          <w:rFonts w:ascii="Arial" w:eastAsia="Arial" w:hAnsi="Arial" w:cs="Arial"/>
          <w:sz w:val="22"/>
          <w:szCs w:val="22"/>
        </w:rPr>
        <w:t xml:space="preserve"> </w:t>
      </w:r>
      <w:r w:rsidR="0029244D" w:rsidRPr="0029244D">
        <w:rPr>
          <w:rFonts w:ascii="Arial" w:eastAsia="Arial" w:hAnsi="Arial" w:cs="Arial"/>
          <w:sz w:val="22"/>
          <w:szCs w:val="22"/>
        </w:rPr>
        <w:t>A6</w:t>
      </w:r>
      <w:r w:rsidRPr="0029244D">
        <w:rPr>
          <w:rFonts w:ascii="Arial" w:eastAsia="Arial" w:hAnsi="Arial" w:cs="Arial"/>
          <w:sz w:val="22"/>
          <w:szCs w:val="22"/>
        </w:rPr>
        <w:t xml:space="preserve"> en Anexos, presentan los flujos desagregados por año. </w:t>
      </w:r>
    </w:p>
    <w:p w14:paraId="3CDE0A53" w14:textId="2119EB92" w:rsidR="007E36BF" w:rsidRDefault="007E36BF" w:rsidP="008451AA">
      <w:pPr>
        <w:autoSpaceDE w:val="0"/>
        <w:autoSpaceDN w:val="0"/>
        <w:adjustRightInd w:val="0"/>
        <w:rPr>
          <w:rFonts w:ascii="Arial" w:hAnsi="Arial" w:cs="Arial"/>
          <w:b/>
          <w:sz w:val="22"/>
          <w:szCs w:val="22"/>
          <w:lang w:val="es-ES_tradnl"/>
        </w:rPr>
      </w:pPr>
    </w:p>
    <w:p w14:paraId="7A6F0E56" w14:textId="05FCFD9F" w:rsidR="00684A7D" w:rsidRDefault="00684A7D" w:rsidP="008451AA">
      <w:pPr>
        <w:autoSpaceDE w:val="0"/>
        <w:autoSpaceDN w:val="0"/>
        <w:adjustRightInd w:val="0"/>
        <w:rPr>
          <w:rFonts w:ascii="Arial" w:hAnsi="Arial" w:cs="Arial"/>
          <w:b/>
          <w:sz w:val="22"/>
          <w:szCs w:val="22"/>
          <w:lang w:val="es-ES_tradnl"/>
        </w:rPr>
      </w:pPr>
    </w:p>
    <w:p w14:paraId="559A7F5F" w14:textId="3ABC089B" w:rsidR="00684A7D" w:rsidRDefault="00684A7D" w:rsidP="008451AA">
      <w:pPr>
        <w:autoSpaceDE w:val="0"/>
        <w:autoSpaceDN w:val="0"/>
        <w:adjustRightInd w:val="0"/>
        <w:rPr>
          <w:rFonts w:ascii="Arial" w:hAnsi="Arial" w:cs="Arial"/>
          <w:b/>
          <w:sz w:val="22"/>
          <w:szCs w:val="22"/>
          <w:lang w:val="es-ES_tradnl"/>
        </w:rPr>
      </w:pPr>
    </w:p>
    <w:p w14:paraId="5AA2E66B" w14:textId="77777777" w:rsidR="00684A7D" w:rsidRPr="0033355F" w:rsidRDefault="00684A7D" w:rsidP="008451AA">
      <w:pPr>
        <w:autoSpaceDE w:val="0"/>
        <w:autoSpaceDN w:val="0"/>
        <w:adjustRightInd w:val="0"/>
        <w:rPr>
          <w:rFonts w:ascii="Arial" w:hAnsi="Arial" w:cs="Arial"/>
          <w:b/>
          <w:sz w:val="22"/>
          <w:szCs w:val="22"/>
          <w:lang w:val="es-ES_tradnl"/>
        </w:rPr>
      </w:pPr>
    </w:p>
    <w:p w14:paraId="2D3EEA1F" w14:textId="77777777" w:rsidR="008451AA" w:rsidRPr="008451AA" w:rsidRDefault="00231648" w:rsidP="008451AA">
      <w:pPr>
        <w:autoSpaceDE w:val="0"/>
        <w:autoSpaceDN w:val="0"/>
        <w:adjustRightInd w:val="0"/>
        <w:jc w:val="center"/>
        <w:rPr>
          <w:rFonts w:ascii="Arial" w:hAnsi="Arial" w:cs="Arial"/>
          <w:b/>
          <w:sz w:val="22"/>
          <w:szCs w:val="22"/>
          <w:lang w:val="es-ES_tradnl"/>
        </w:rPr>
      </w:pPr>
      <w:r>
        <w:rPr>
          <w:rFonts w:ascii="Arial" w:hAnsi="Arial" w:cs="Arial"/>
          <w:b/>
          <w:sz w:val="22"/>
          <w:szCs w:val="22"/>
          <w:lang w:val="es-ES_tradnl"/>
        </w:rPr>
        <w:lastRenderedPageBreak/>
        <w:t>Cuadro 6</w:t>
      </w:r>
      <w:r w:rsidR="008451AA" w:rsidRPr="008451AA">
        <w:rPr>
          <w:rFonts w:ascii="Arial" w:hAnsi="Arial" w:cs="Arial"/>
          <w:b/>
          <w:sz w:val="22"/>
          <w:szCs w:val="22"/>
          <w:lang w:val="es-ES_tradnl"/>
        </w:rPr>
        <w:t>: Valor Presente Neto y Ratio Beneficio/Costo del Programa</w:t>
      </w:r>
    </w:p>
    <w:tbl>
      <w:tblPr>
        <w:tblW w:w="5823" w:type="dxa"/>
        <w:jc w:val="center"/>
        <w:tblLook w:val="04A0" w:firstRow="1" w:lastRow="0" w:firstColumn="1" w:lastColumn="0" w:noHBand="0" w:noVBand="1"/>
      </w:tblPr>
      <w:tblGrid>
        <w:gridCol w:w="3902"/>
        <w:gridCol w:w="1921"/>
      </w:tblGrid>
      <w:tr w:rsidR="000518F8" w:rsidRPr="004857CE" w14:paraId="78AC727D" w14:textId="77777777" w:rsidTr="000518F8">
        <w:trPr>
          <w:trHeight w:val="300"/>
          <w:jc w:val="center"/>
        </w:trPr>
        <w:tc>
          <w:tcPr>
            <w:tcW w:w="5823" w:type="dxa"/>
            <w:gridSpan w:val="2"/>
            <w:tcBorders>
              <w:top w:val="nil"/>
              <w:left w:val="nil"/>
              <w:bottom w:val="single" w:sz="4" w:space="0" w:color="auto"/>
              <w:right w:val="nil"/>
            </w:tcBorders>
            <w:shd w:val="clear" w:color="000000" w:fill="DDEBF7"/>
            <w:vAlign w:val="bottom"/>
            <w:hideMark/>
          </w:tcPr>
          <w:p w14:paraId="61A8642D" w14:textId="77777777" w:rsidR="000518F8" w:rsidRPr="008451AA" w:rsidRDefault="000518F8" w:rsidP="000518F8">
            <w:pPr>
              <w:jc w:val="center"/>
              <w:rPr>
                <w:rFonts w:ascii="Arial" w:hAnsi="Arial" w:cs="Arial"/>
                <w:b/>
                <w:bCs/>
                <w:sz w:val="20"/>
                <w:szCs w:val="22"/>
                <w:lang w:val="es-ES_tradnl"/>
              </w:rPr>
            </w:pPr>
            <w:r w:rsidRPr="008451AA">
              <w:rPr>
                <w:rFonts w:ascii="Arial" w:hAnsi="Arial" w:cs="Arial"/>
                <w:b/>
                <w:bCs/>
                <w:sz w:val="20"/>
                <w:szCs w:val="22"/>
                <w:lang w:val="es-ES_tradnl"/>
              </w:rPr>
              <w:t>Total</w:t>
            </w:r>
          </w:p>
          <w:p w14:paraId="1418060A" w14:textId="77777777" w:rsidR="000518F8" w:rsidRPr="008451AA" w:rsidRDefault="00B963FC" w:rsidP="000518F8">
            <w:pPr>
              <w:jc w:val="center"/>
              <w:rPr>
                <w:rFonts w:ascii="Arial" w:hAnsi="Arial" w:cs="Arial"/>
                <w:b/>
                <w:bCs/>
                <w:sz w:val="20"/>
                <w:szCs w:val="22"/>
                <w:lang w:val="es-ES_tradnl"/>
              </w:rPr>
            </w:pPr>
            <w:r w:rsidRPr="008451AA">
              <w:rPr>
                <w:rFonts w:ascii="Arial" w:hAnsi="Arial" w:cs="Arial"/>
                <w:b/>
                <w:bCs/>
                <w:sz w:val="20"/>
                <w:szCs w:val="20"/>
                <w:lang w:val="es-ES_tradnl" w:eastAsia="es-ES"/>
              </w:rPr>
              <w:t>(Millones de US$)</w:t>
            </w:r>
          </w:p>
        </w:tc>
      </w:tr>
      <w:tr w:rsidR="000518F8" w:rsidRPr="002B5C8B" w14:paraId="34AB6FEE" w14:textId="77777777" w:rsidTr="000518F8">
        <w:trPr>
          <w:trHeight w:val="300"/>
          <w:jc w:val="center"/>
        </w:trPr>
        <w:tc>
          <w:tcPr>
            <w:tcW w:w="3902" w:type="dxa"/>
            <w:tcBorders>
              <w:top w:val="nil"/>
              <w:left w:val="nil"/>
              <w:bottom w:val="nil"/>
              <w:right w:val="nil"/>
            </w:tcBorders>
            <w:shd w:val="clear" w:color="000000" w:fill="FFFFFF"/>
            <w:noWrap/>
            <w:vAlign w:val="bottom"/>
            <w:hideMark/>
          </w:tcPr>
          <w:p w14:paraId="0AB122D8" w14:textId="77777777" w:rsidR="000518F8" w:rsidRPr="008451AA" w:rsidRDefault="000518F8" w:rsidP="000518F8">
            <w:pPr>
              <w:rPr>
                <w:rFonts w:ascii="Arial" w:hAnsi="Arial" w:cs="Arial"/>
                <w:sz w:val="20"/>
                <w:szCs w:val="20"/>
                <w:lang w:val="es-ES_tradnl"/>
              </w:rPr>
            </w:pPr>
            <w:r w:rsidRPr="008451AA">
              <w:rPr>
                <w:rFonts w:ascii="Arial" w:hAnsi="Arial" w:cs="Arial"/>
                <w:sz w:val="20"/>
                <w:szCs w:val="20"/>
                <w:lang w:val="es-ES_tradnl"/>
              </w:rPr>
              <w:t>Valor Presente de los Beneficios</w:t>
            </w:r>
          </w:p>
        </w:tc>
        <w:tc>
          <w:tcPr>
            <w:tcW w:w="1921" w:type="dxa"/>
            <w:tcBorders>
              <w:top w:val="nil"/>
              <w:left w:val="nil"/>
              <w:bottom w:val="nil"/>
              <w:right w:val="nil"/>
            </w:tcBorders>
            <w:shd w:val="clear" w:color="000000" w:fill="FFFFFF"/>
            <w:noWrap/>
            <w:hideMark/>
          </w:tcPr>
          <w:p w14:paraId="48926EA4" w14:textId="258F21B0" w:rsidR="000518F8" w:rsidRPr="009D5A93" w:rsidRDefault="000518F8" w:rsidP="000518F8">
            <w:pPr>
              <w:jc w:val="right"/>
              <w:rPr>
                <w:rFonts w:ascii="Arial" w:hAnsi="Arial" w:cs="Arial"/>
                <w:sz w:val="20"/>
                <w:szCs w:val="20"/>
              </w:rPr>
            </w:pPr>
            <w:r w:rsidRPr="008451AA">
              <w:rPr>
                <w:rFonts w:ascii="Arial" w:hAnsi="Arial" w:cs="Arial"/>
                <w:sz w:val="20"/>
                <w:szCs w:val="20"/>
                <w:lang w:val="es-ES_tradnl"/>
              </w:rPr>
              <w:t xml:space="preserve"> </w:t>
            </w:r>
            <w:r w:rsidRPr="009D5A93">
              <w:rPr>
                <w:rFonts w:ascii="Arial" w:hAnsi="Arial" w:cs="Arial"/>
                <w:sz w:val="20"/>
                <w:szCs w:val="20"/>
              </w:rPr>
              <w:t>$</w:t>
            </w:r>
            <w:r w:rsidR="004079A8">
              <w:rPr>
                <w:rFonts w:ascii="Arial" w:hAnsi="Arial" w:cs="Arial"/>
                <w:sz w:val="20"/>
                <w:szCs w:val="20"/>
              </w:rPr>
              <w:t>379,10</w:t>
            </w:r>
            <w:r w:rsidRPr="009D5A93">
              <w:rPr>
                <w:rFonts w:ascii="Arial" w:hAnsi="Arial" w:cs="Arial"/>
                <w:sz w:val="20"/>
                <w:szCs w:val="20"/>
              </w:rPr>
              <w:t xml:space="preserve"> </w:t>
            </w:r>
          </w:p>
        </w:tc>
      </w:tr>
      <w:tr w:rsidR="000518F8" w:rsidRPr="002B5C8B" w14:paraId="5F2B168D" w14:textId="77777777" w:rsidTr="000518F8">
        <w:trPr>
          <w:trHeight w:val="300"/>
          <w:jc w:val="center"/>
        </w:trPr>
        <w:tc>
          <w:tcPr>
            <w:tcW w:w="3902" w:type="dxa"/>
            <w:tcBorders>
              <w:top w:val="nil"/>
              <w:left w:val="nil"/>
              <w:bottom w:val="nil"/>
              <w:right w:val="nil"/>
            </w:tcBorders>
            <w:shd w:val="clear" w:color="000000" w:fill="FFFFFF"/>
            <w:noWrap/>
            <w:vAlign w:val="bottom"/>
            <w:hideMark/>
          </w:tcPr>
          <w:p w14:paraId="2FF1DBF2" w14:textId="77777777" w:rsidR="000518F8" w:rsidRPr="008451AA" w:rsidRDefault="000518F8" w:rsidP="000518F8">
            <w:pPr>
              <w:rPr>
                <w:rFonts w:ascii="Arial" w:hAnsi="Arial" w:cs="Arial"/>
                <w:sz w:val="20"/>
                <w:szCs w:val="20"/>
                <w:lang w:val="es-ES_tradnl"/>
              </w:rPr>
            </w:pPr>
            <w:r w:rsidRPr="008451AA">
              <w:rPr>
                <w:rFonts w:ascii="Arial" w:hAnsi="Arial" w:cs="Arial"/>
                <w:sz w:val="20"/>
                <w:szCs w:val="20"/>
                <w:lang w:val="es-ES_tradnl"/>
              </w:rPr>
              <w:t>Valor Presente de los Costos</w:t>
            </w:r>
          </w:p>
        </w:tc>
        <w:tc>
          <w:tcPr>
            <w:tcW w:w="1921" w:type="dxa"/>
            <w:tcBorders>
              <w:top w:val="nil"/>
              <w:left w:val="nil"/>
              <w:bottom w:val="nil"/>
              <w:right w:val="nil"/>
            </w:tcBorders>
            <w:shd w:val="clear" w:color="000000" w:fill="FFFFFF"/>
            <w:noWrap/>
            <w:hideMark/>
          </w:tcPr>
          <w:p w14:paraId="6C8FAEA0" w14:textId="7F0C21F1" w:rsidR="000518F8" w:rsidRPr="009D5A93" w:rsidRDefault="000518F8" w:rsidP="000518F8">
            <w:pPr>
              <w:jc w:val="right"/>
              <w:rPr>
                <w:rFonts w:ascii="Arial" w:hAnsi="Arial" w:cs="Arial"/>
                <w:sz w:val="20"/>
                <w:szCs w:val="20"/>
              </w:rPr>
            </w:pPr>
            <w:r w:rsidRPr="008451AA">
              <w:rPr>
                <w:rFonts w:ascii="Arial" w:hAnsi="Arial" w:cs="Arial"/>
                <w:sz w:val="20"/>
                <w:szCs w:val="20"/>
                <w:lang w:val="es-ES_tradnl"/>
              </w:rPr>
              <w:t xml:space="preserve"> </w:t>
            </w:r>
            <w:r w:rsidRPr="009D5A93">
              <w:rPr>
                <w:rFonts w:ascii="Arial" w:hAnsi="Arial" w:cs="Arial"/>
                <w:sz w:val="20"/>
                <w:szCs w:val="20"/>
              </w:rPr>
              <w:t>$</w:t>
            </w:r>
            <w:r w:rsidR="004079A8">
              <w:rPr>
                <w:rFonts w:ascii="Arial" w:hAnsi="Arial" w:cs="Arial"/>
                <w:sz w:val="20"/>
                <w:szCs w:val="20"/>
              </w:rPr>
              <w:t>173,65</w:t>
            </w:r>
            <w:r w:rsidRPr="009D5A93">
              <w:rPr>
                <w:rFonts w:ascii="Arial" w:hAnsi="Arial" w:cs="Arial"/>
                <w:sz w:val="20"/>
                <w:szCs w:val="20"/>
              </w:rPr>
              <w:t xml:space="preserve"> </w:t>
            </w:r>
          </w:p>
        </w:tc>
      </w:tr>
      <w:tr w:rsidR="000518F8" w:rsidRPr="002B5C8B" w14:paraId="34BD7161" w14:textId="77777777" w:rsidTr="000518F8">
        <w:trPr>
          <w:trHeight w:val="300"/>
          <w:jc w:val="center"/>
        </w:trPr>
        <w:tc>
          <w:tcPr>
            <w:tcW w:w="3902" w:type="dxa"/>
            <w:tcBorders>
              <w:top w:val="nil"/>
              <w:left w:val="nil"/>
              <w:bottom w:val="nil"/>
              <w:right w:val="nil"/>
            </w:tcBorders>
            <w:shd w:val="clear" w:color="000000" w:fill="FFFFFF"/>
            <w:noWrap/>
            <w:vAlign w:val="bottom"/>
            <w:hideMark/>
          </w:tcPr>
          <w:p w14:paraId="130D04C1" w14:textId="77777777" w:rsidR="000518F8" w:rsidRPr="009D5A93" w:rsidRDefault="000518F8" w:rsidP="000518F8">
            <w:pPr>
              <w:rPr>
                <w:rFonts w:ascii="Arial" w:hAnsi="Arial" w:cs="Arial"/>
                <w:sz w:val="20"/>
                <w:szCs w:val="20"/>
              </w:rPr>
            </w:pPr>
            <w:r w:rsidRPr="009D5A93">
              <w:rPr>
                <w:rFonts w:ascii="Arial" w:hAnsi="Arial" w:cs="Arial"/>
                <w:sz w:val="20"/>
                <w:szCs w:val="20"/>
              </w:rPr>
              <w:t>Valor Presente Neto</w:t>
            </w:r>
          </w:p>
        </w:tc>
        <w:tc>
          <w:tcPr>
            <w:tcW w:w="1921" w:type="dxa"/>
            <w:tcBorders>
              <w:top w:val="nil"/>
              <w:left w:val="nil"/>
              <w:bottom w:val="nil"/>
              <w:right w:val="nil"/>
            </w:tcBorders>
            <w:shd w:val="clear" w:color="000000" w:fill="FFFFFF"/>
            <w:noWrap/>
            <w:hideMark/>
          </w:tcPr>
          <w:p w14:paraId="757C184E" w14:textId="0F7F25EC" w:rsidR="000518F8" w:rsidRPr="009D5A93" w:rsidRDefault="000518F8" w:rsidP="000518F8">
            <w:pPr>
              <w:jc w:val="right"/>
              <w:rPr>
                <w:rFonts w:ascii="Arial" w:hAnsi="Arial" w:cs="Arial"/>
                <w:sz w:val="20"/>
                <w:szCs w:val="20"/>
              </w:rPr>
            </w:pPr>
            <w:r w:rsidRPr="009D5A93">
              <w:rPr>
                <w:rFonts w:ascii="Arial" w:hAnsi="Arial" w:cs="Arial"/>
                <w:sz w:val="20"/>
                <w:szCs w:val="20"/>
              </w:rPr>
              <w:t xml:space="preserve"> $</w:t>
            </w:r>
            <w:r w:rsidR="004079A8">
              <w:rPr>
                <w:rFonts w:ascii="Arial" w:hAnsi="Arial" w:cs="Arial"/>
                <w:sz w:val="20"/>
                <w:szCs w:val="20"/>
              </w:rPr>
              <w:t>205,45</w:t>
            </w:r>
            <w:r w:rsidRPr="009D5A93">
              <w:rPr>
                <w:rFonts w:ascii="Arial" w:hAnsi="Arial" w:cs="Arial"/>
                <w:sz w:val="20"/>
                <w:szCs w:val="20"/>
              </w:rPr>
              <w:t xml:space="preserve"> </w:t>
            </w:r>
          </w:p>
        </w:tc>
      </w:tr>
      <w:tr w:rsidR="000518F8" w:rsidRPr="002B5C8B" w14:paraId="6CBD781C" w14:textId="77777777" w:rsidTr="000518F8">
        <w:trPr>
          <w:trHeight w:val="300"/>
          <w:jc w:val="center"/>
        </w:trPr>
        <w:tc>
          <w:tcPr>
            <w:tcW w:w="3902" w:type="dxa"/>
            <w:tcBorders>
              <w:top w:val="nil"/>
              <w:left w:val="nil"/>
              <w:bottom w:val="nil"/>
              <w:right w:val="nil"/>
            </w:tcBorders>
            <w:shd w:val="clear" w:color="000000" w:fill="FFFFFF"/>
            <w:noWrap/>
            <w:vAlign w:val="bottom"/>
          </w:tcPr>
          <w:p w14:paraId="62B3789E" w14:textId="77777777" w:rsidR="000518F8" w:rsidRPr="009D5A93" w:rsidRDefault="000518F8" w:rsidP="000518F8">
            <w:pPr>
              <w:rPr>
                <w:rFonts w:ascii="Arial" w:hAnsi="Arial" w:cs="Arial"/>
                <w:sz w:val="20"/>
                <w:szCs w:val="20"/>
              </w:rPr>
            </w:pPr>
            <w:r>
              <w:rPr>
                <w:rFonts w:ascii="Arial" w:hAnsi="Arial" w:cs="Arial"/>
                <w:sz w:val="20"/>
                <w:szCs w:val="20"/>
              </w:rPr>
              <w:t>Tasa de Retorno</w:t>
            </w:r>
          </w:p>
        </w:tc>
        <w:tc>
          <w:tcPr>
            <w:tcW w:w="1921" w:type="dxa"/>
            <w:tcBorders>
              <w:top w:val="nil"/>
              <w:left w:val="nil"/>
              <w:bottom w:val="nil"/>
              <w:right w:val="nil"/>
            </w:tcBorders>
            <w:shd w:val="clear" w:color="000000" w:fill="FFFFFF"/>
            <w:noWrap/>
          </w:tcPr>
          <w:p w14:paraId="1A273232" w14:textId="1BDE7C85" w:rsidR="000518F8" w:rsidRPr="009D5A93" w:rsidRDefault="005C1219" w:rsidP="00136D35">
            <w:pPr>
              <w:jc w:val="right"/>
              <w:rPr>
                <w:rFonts w:ascii="Arial" w:hAnsi="Arial" w:cs="Arial"/>
                <w:sz w:val="20"/>
                <w:szCs w:val="20"/>
              </w:rPr>
            </w:pPr>
            <w:r>
              <w:rPr>
                <w:rFonts w:ascii="Arial" w:hAnsi="Arial" w:cs="Arial"/>
                <w:sz w:val="20"/>
                <w:szCs w:val="20"/>
              </w:rPr>
              <w:t>24.54</w:t>
            </w:r>
            <w:r w:rsidR="000518F8">
              <w:rPr>
                <w:rFonts w:ascii="Arial" w:hAnsi="Arial" w:cs="Arial"/>
                <w:sz w:val="20"/>
                <w:szCs w:val="20"/>
              </w:rPr>
              <w:t>%</w:t>
            </w:r>
          </w:p>
        </w:tc>
      </w:tr>
      <w:tr w:rsidR="000518F8" w:rsidRPr="00A43491" w14:paraId="02F0F29A" w14:textId="77777777" w:rsidTr="000518F8">
        <w:trPr>
          <w:trHeight w:val="73"/>
          <w:jc w:val="center"/>
        </w:trPr>
        <w:tc>
          <w:tcPr>
            <w:tcW w:w="3902" w:type="dxa"/>
            <w:tcBorders>
              <w:top w:val="nil"/>
              <w:left w:val="nil"/>
              <w:bottom w:val="single" w:sz="4" w:space="0" w:color="auto"/>
              <w:right w:val="nil"/>
            </w:tcBorders>
            <w:shd w:val="clear" w:color="000000" w:fill="FFFFFF"/>
            <w:noWrap/>
            <w:vAlign w:val="bottom"/>
            <w:hideMark/>
          </w:tcPr>
          <w:p w14:paraId="3BB5C31B" w14:textId="77777777" w:rsidR="000518F8" w:rsidRPr="009D5A93" w:rsidRDefault="000518F8" w:rsidP="000518F8">
            <w:pPr>
              <w:rPr>
                <w:rFonts w:ascii="Arial" w:hAnsi="Arial" w:cs="Arial"/>
                <w:sz w:val="20"/>
                <w:szCs w:val="20"/>
              </w:rPr>
            </w:pPr>
            <w:r w:rsidRPr="009D5A93">
              <w:rPr>
                <w:rFonts w:ascii="Arial" w:hAnsi="Arial" w:cs="Arial"/>
                <w:sz w:val="20"/>
                <w:szCs w:val="20"/>
              </w:rPr>
              <w:t>Ratio Beneficio – Costo</w:t>
            </w:r>
          </w:p>
        </w:tc>
        <w:tc>
          <w:tcPr>
            <w:tcW w:w="1921" w:type="dxa"/>
            <w:tcBorders>
              <w:top w:val="nil"/>
              <w:left w:val="nil"/>
              <w:bottom w:val="single" w:sz="4" w:space="0" w:color="auto"/>
              <w:right w:val="nil"/>
            </w:tcBorders>
            <w:shd w:val="clear" w:color="000000" w:fill="FFFFFF"/>
            <w:noWrap/>
            <w:hideMark/>
          </w:tcPr>
          <w:p w14:paraId="470AC33E" w14:textId="750D3794" w:rsidR="000518F8" w:rsidRPr="009D5A93" w:rsidRDefault="00136D35" w:rsidP="000518F8">
            <w:pPr>
              <w:jc w:val="right"/>
              <w:rPr>
                <w:rFonts w:ascii="Arial" w:hAnsi="Arial" w:cs="Arial"/>
                <w:sz w:val="20"/>
                <w:szCs w:val="20"/>
              </w:rPr>
            </w:pPr>
            <w:r>
              <w:rPr>
                <w:rFonts w:ascii="Arial" w:hAnsi="Arial" w:cs="Arial"/>
                <w:sz w:val="20"/>
                <w:szCs w:val="20"/>
              </w:rPr>
              <w:t>2,18</w:t>
            </w:r>
            <w:r w:rsidR="000518F8" w:rsidRPr="009D5A93">
              <w:rPr>
                <w:rFonts w:ascii="Arial" w:hAnsi="Arial" w:cs="Arial"/>
                <w:sz w:val="20"/>
                <w:szCs w:val="20"/>
              </w:rPr>
              <w:t xml:space="preserve"> </w:t>
            </w:r>
          </w:p>
        </w:tc>
      </w:tr>
    </w:tbl>
    <w:p w14:paraId="70979F96" w14:textId="77777777" w:rsidR="001246A2" w:rsidRDefault="001246A2">
      <w:pPr>
        <w:spacing w:before="120"/>
        <w:contextualSpacing/>
        <w:jc w:val="both"/>
        <w:rPr>
          <w:rFonts w:ascii="Arial" w:eastAsia="Arial" w:hAnsi="Arial" w:cs="Arial"/>
          <w:b/>
        </w:rPr>
      </w:pPr>
    </w:p>
    <w:p w14:paraId="03D22CB1" w14:textId="77777777" w:rsidR="0033355F" w:rsidRPr="001B2BB5" w:rsidRDefault="0033355F" w:rsidP="00207E1E">
      <w:pPr>
        <w:numPr>
          <w:ilvl w:val="0"/>
          <w:numId w:val="1"/>
        </w:numPr>
        <w:spacing w:before="120"/>
        <w:ind w:left="0"/>
        <w:contextualSpacing/>
        <w:jc w:val="both"/>
        <w:rPr>
          <w:rFonts w:ascii="Arial" w:eastAsia="Arial" w:hAnsi="Arial" w:cs="Arial"/>
          <w:b/>
        </w:rPr>
      </w:pPr>
      <w:r w:rsidRPr="001B2BB5">
        <w:rPr>
          <w:rFonts w:ascii="Arial" w:eastAsia="Arial" w:hAnsi="Arial" w:cs="Arial"/>
          <w:b/>
        </w:rPr>
        <w:t>Análisis de Sensibilidad</w:t>
      </w:r>
    </w:p>
    <w:p w14:paraId="31093BC6" w14:textId="77777777" w:rsidR="0033355F" w:rsidRDefault="0033355F" w:rsidP="0033355F">
      <w:pPr>
        <w:autoSpaceDE w:val="0"/>
        <w:autoSpaceDN w:val="0"/>
        <w:adjustRightInd w:val="0"/>
        <w:rPr>
          <w:rFonts w:ascii="Arial" w:hAnsi="Arial" w:cs="Arial"/>
          <w:b/>
          <w:sz w:val="20"/>
          <w:szCs w:val="18"/>
        </w:rPr>
      </w:pPr>
    </w:p>
    <w:p w14:paraId="4A46DA9E" w14:textId="77777777" w:rsidR="0033355F" w:rsidRPr="00331035" w:rsidRDefault="0033355F" w:rsidP="00E4455F">
      <w:pPr>
        <w:pStyle w:val="ListParagraph"/>
        <w:numPr>
          <w:ilvl w:val="0"/>
          <w:numId w:val="2"/>
        </w:numPr>
        <w:tabs>
          <w:tab w:val="left" w:pos="360"/>
        </w:tabs>
        <w:ind w:left="0" w:hanging="450"/>
        <w:jc w:val="both"/>
        <w:rPr>
          <w:rFonts w:ascii="Arial" w:eastAsia="Arial" w:hAnsi="Arial" w:cs="Arial"/>
          <w:sz w:val="22"/>
          <w:szCs w:val="22"/>
        </w:rPr>
      </w:pPr>
      <w:r w:rsidRPr="00331035">
        <w:rPr>
          <w:rFonts w:ascii="Arial" w:eastAsia="Arial" w:hAnsi="Arial" w:cs="Arial"/>
          <w:sz w:val="22"/>
          <w:szCs w:val="22"/>
        </w:rPr>
        <w:t xml:space="preserve">En la presente sección se presenta el análisis de sensibilidad del programa, cuyo objetivo es cuantificar la variación en los resultados obtenidos previamente ante cambios en las variables y supuestos fundamentales del presente análisis. Esta parte del análisis de sensibilidad se realiza mediante un análisis </w:t>
      </w:r>
      <w:r w:rsidRPr="007C212B">
        <w:rPr>
          <w:rFonts w:ascii="Arial" w:eastAsia="Arial" w:hAnsi="Arial" w:cs="Arial"/>
          <w:i/>
          <w:sz w:val="22"/>
          <w:szCs w:val="22"/>
        </w:rPr>
        <w:t>ceteris paribus</w:t>
      </w:r>
      <w:r w:rsidRPr="00331035">
        <w:rPr>
          <w:rFonts w:ascii="Arial" w:eastAsia="Arial" w:hAnsi="Arial" w:cs="Arial"/>
          <w:sz w:val="22"/>
          <w:szCs w:val="22"/>
        </w:rPr>
        <w:t xml:space="preserve"> de sensibilidad en el que se modifica un solo parámetro a la vez. </w:t>
      </w:r>
    </w:p>
    <w:p w14:paraId="1B3DC860" w14:textId="77777777" w:rsidR="0033355F" w:rsidRPr="00331035" w:rsidRDefault="0033355F" w:rsidP="007C212B">
      <w:pPr>
        <w:pStyle w:val="ListParagraph"/>
        <w:tabs>
          <w:tab w:val="left" w:pos="360"/>
        </w:tabs>
        <w:ind w:left="0"/>
        <w:jc w:val="both"/>
        <w:rPr>
          <w:rFonts w:ascii="Arial" w:eastAsia="Arial" w:hAnsi="Arial" w:cs="Arial"/>
          <w:sz w:val="22"/>
          <w:szCs w:val="22"/>
        </w:rPr>
      </w:pPr>
    </w:p>
    <w:p w14:paraId="2C3CD0B6" w14:textId="4760A37A" w:rsidR="0033355F" w:rsidRPr="00331035" w:rsidRDefault="0033355F" w:rsidP="00E4455F">
      <w:pPr>
        <w:pStyle w:val="ListParagraph"/>
        <w:numPr>
          <w:ilvl w:val="0"/>
          <w:numId w:val="2"/>
        </w:numPr>
        <w:tabs>
          <w:tab w:val="left" w:pos="360"/>
        </w:tabs>
        <w:ind w:left="0" w:hanging="450"/>
        <w:jc w:val="both"/>
        <w:rPr>
          <w:rFonts w:ascii="Arial" w:eastAsia="Arial" w:hAnsi="Arial" w:cs="Arial"/>
          <w:sz w:val="22"/>
          <w:szCs w:val="22"/>
        </w:rPr>
      </w:pPr>
      <w:r w:rsidRPr="00331035">
        <w:rPr>
          <w:rFonts w:ascii="Arial" w:eastAsia="Arial" w:hAnsi="Arial" w:cs="Arial"/>
          <w:sz w:val="22"/>
          <w:szCs w:val="22"/>
        </w:rPr>
        <w:t>El Cuadro</w:t>
      </w:r>
      <w:r w:rsidR="00A01AF6">
        <w:rPr>
          <w:rFonts w:ascii="Arial" w:eastAsia="Arial" w:hAnsi="Arial" w:cs="Arial"/>
          <w:sz w:val="22"/>
          <w:szCs w:val="22"/>
        </w:rPr>
        <w:t xml:space="preserve"> </w:t>
      </w:r>
      <w:r w:rsidR="00087E8C" w:rsidRPr="00331035">
        <w:rPr>
          <w:rFonts w:ascii="Arial" w:eastAsia="Arial" w:hAnsi="Arial" w:cs="Arial"/>
          <w:sz w:val="22"/>
          <w:szCs w:val="22"/>
        </w:rPr>
        <w:t>7</w:t>
      </w:r>
      <w:r w:rsidRPr="00331035">
        <w:rPr>
          <w:rFonts w:ascii="Arial" w:eastAsia="Arial" w:hAnsi="Arial" w:cs="Arial"/>
          <w:sz w:val="22"/>
          <w:szCs w:val="22"/>
        </w:rPr>
        <w:t xml:space="preserve"> describe los resultados del VPN usando nuevos supuestos para el impacto sobre </w:t>
      </w:r>
      <w:r w:rsidR="007C212B">
        <w:rPr>
          <w:rFonts w:ascii="Arial" w:eastAsia="Arial" w:hAnsi="Arial" w:cs="Arial"/>
          <w:sz w:val="22"/>
          <w:szCs w:val="22"/>
        </w:rPr>
        <w:t>los ingresos de los egresados de las IES públicas beneficiarias</w:t>
      </w:r>
      <w:r w:rsidRPr="00331035">
        <w:rPr>
          <w:rFonts w:ascii="Arial" w:eastAsia="Arial" w:hAnsi="Arial" w:cs="Arial"/>
          <w:sz w:val="22"/>
          <w:szCs w:val="22"/>
        </w:rPr>
        <w:t xml:space="preserve">. Para esto se plantea un escenario optimista con mejoras en los resultados esperados y un escenario pesimista con supuestos aún más conservadores. </w:t>
      </w:r>
    </w:p>
    <w:p w14:paraId="341F94AF" w14:textId="77777777" w:rsidR="0033355F" w:rsidRPr="00331035" w:rsidRDefault="0033355F" w:rsidP="007C212B">
      <w:pPr>
        <w:pStyle w:val="ListParagraph"/>
        <w:tabs>
          <w:tab w:val="left" w:pos="360"/>
        </w:tabs>
        <w:ind w:left="0"/>
        <w:jc w:val="both"/>
        <w:rPr>
          <w:rFonts w:ascii="Arial" w:eastAsia="Arial" w:hAnsi="Arial" w:cs="Arial"/>
          <w:sz w:val="22"/>
          <w:szCs w:val="22"/>
        </w:rPr>
      </w:pPr>
    </w:p>
    <w:p w14:paraId="3A97CAC0" w14:textId="616C5796" w:rsidR="0033355F" w:rsidRPr="00331035" w:rsidRDefault="0033355F" w:rsidP="00E4455F">
      <w:pPr>
        <w:pStyle w:val="ListParagraph"/>
        <w:numPr>
          <w:ilvl w:val="0"/>
          <w:numId w:val="2"/>
        </w:numPr>
        <w:tabs>
          <w:tab w:val="left" w:pos="360"/>
        </w:tabs>
        <w:ind w:left="0" w:hanging="450"/>
        <w:jc w:val="both"/>
        <w:rPr>
          <w:rFonts w:ascii="Arial" w:eastAsia="Arial" w:hAnsi="Arial" w:cs="Arial"/>
          <w:sz w:val="22"/>
          <w:szCs w:val="22"/>
        </w:rPr>
      </w:pPr>
      <w:r w:rsidRPr="00331035">
        <w:rPr>
          <w:rFonts w:ascii="Arial" w:eastAsia="Arial" w:hAnsi="Arial" w:cs="Arial"/>
          <w:sz w:val="22"/>
          <w:szCs w:val="22"/>
        </w:rPr>
        <w:t>Las úl</w:t>
      </w:r>
      <w:r w:rsidR="00CD4CB6" w:rsidRPr="00331035">
        <w:rPr>
          <w:rFonts w:ascii="Arial" w:eastAsia="Arial" w:hAnsi="Arial" w:cs="Arial"/>
          <w:sz w:val="22"/>
          <w:szCs w:val="22"/>
        </w:rPr>
        <w:t>timas tres columnas del Cuadro</w:t>
      </w:r>
      <w:r w:rsidR="00A01AF6">
        <w:rPr>
          <w:rFonts w:ascii="Arial" w:eastAsia="Arial" w:hAnsi="Arial" w:cs="Arial"/>
          <w:sz w:val="22"/>
          <w:szCs w:val="22"/>
        </w:rPr>
        <w:t xml:space="preserve"> </w:t>
      </w:r>
      <w:r w:rsidR="00CD4CB6" w:rsidRPr="00331035">
        <w:rPr>
          <w:rFonts w:ascii="Arial" w:eastAsia="Arial" w:hAnsi="Arial" w:cs="Arial"/>
          <w:sz w:val="22"/>
          <w:szCs w:val="22"/>
        </w:rPr>
        <w:t>7</w:t>
      </w:r>
      <w:r w:rsidRPr="00331035">
        <w:rPr>
          <w:rFonts w:ascii="Arial" w:eastAsia="Arial" w:hAnsi="Arial" w:cs="Arial"/>
          <w:sz w:val="22"/>
          <w:szCs w:val="22"/>
        </w:rPr>
        <w:t xml:space="preserve"> muestran el VPN (en millones de dólares) de los beneficios netos de c</w:t>
      </w:r>
      <w:r w:rsidR="007C212B">
        <w:rPr>
          <w:rFonts w:ascii="Arial" w:eastAsia="Arial" w:hAnsi="Arial" w:cs="Arial"/>
          <w:sz w:val="22"/>
          <w:szCs w:val="22"/>
        </w:rPr>
        <w:t>ostos. En todos los escenarios</w:t>
      </w:r>
      <w:r w:rsidR="00B43B43" w:rsidRPr="00331035">
        <w:rPr>
          <w:rFonts w:ascii="Arial" w:eastAsia="Arial" w:hAnsi="Arial" w:cs="Arial"/>
          <w:sz w:val="22"/>
          <w:szCs w:val="22"/>
        </w:rPr>
        <w:t>, los resultados sugieren que</w:t>
      </w:r>
      <w:r w:rsidRPr="00331035">
        <w:rPr>
          <w:rFonts w:ascii="Arial" w:eastAsia="Arial" w:hAnsi="Arial" w:cs="Arial"/>
          <w:sz w:val="22"/>
          <w:szCs w:val="22"/>
        </w:rPr>
        <w:t xml:space="preserve"> el proyecto es rentable. </w:t>
      </w:r>
    </w:p>
    <w:p w14:paraId="6C4A0509" w14:textId="77777777" w:rsidR="0033355F" w:rsidRDefault="0033355F" w:rsidP="0033355F">
      <w:pPr>
        <w:pStyle w:val="ListParagraph"/>
        <w:ind w:left="0"/>
        <w:jc w:val="both"/>
        <w:rPr>
          <w:rFonts w:ascii="Arial" w:hAnsi="Arial" w:cs="Arial"/>
          <w:sz w:val="22"/>
          <w:szCs w:val="22"/>
          <w:highlight w:val="yellow"/>
        </w:rPr>
      </w:pPr>
    </w:p>
    <w:p w14:paraId="6EB00993" w14:textId="77777777" w:rsidR="001246A2" w:rsidRDefault="001246A2" w:rsidP="0033355F">
      <w:pPr>
        <w:pStyle w:val="ListParagraph"/>
        <w:ind w:left="0"/>
        <w:jc w:val="both"/>
        <w:rPr>
          <w:rFonts w:ascii="Arial" w:hAnsi="Arial" w:cs="Arial"/>
          <w:sz w:val="22"/>
          <w:szCs w:val="22"/>
          <w:highlight w:val="yellow"/>
        </w:rPr>
      </w:pPr>
    </w:p>
    <w:p w14:paraId="726C4E66" w14:textId="77777777" w:rsidR="008451AA" w:rsidRPr="008451AA" w:rsidRDefault="00087E8C" w:rsidP="008451AA">
      <w:pPr>
        <w:autoSpaceDE w:val="0"/>
        <w:autoSpaceDN w:val="0"/>
        <w:adjustRightInd w:val="0"/>
        <w:jc w:val="center"/>
        <w:rPr>
          <w:rFonts w:ascii="Arial" w:hAnsi="Arial" w:cs="Arial"/>
          <w:b/>
          <w:sz w:val="20"/>
          <w:szCs w:val="18"/>
          <w:lang w:val="es-ES_tradnl"/>
        </w:rPr>
      </w:pPr>
      <w:r>
        <w:rPr>
          <w:rFonts w:ascii="Arial" w:hAnsi="Arial" w:cs="Arial"/>
          <w:b/>
          <w:sz w:val="20"/>
          <w:szCs w:val="18"/>
          <w:lang w:val="es-ES_tradnl"/>
        </w:rPr>
        <w:t xml:space="preserve">Cuadro 7: </w:t>
      </w:r>
      <w:r w:rsidR="008451AA" w:rsidRPr="008451AA">
        <w:rPr>
          <w:rFonts w:ascii="Arial" w:hAnsi="Arial" w:cs="Arial"/>
          <w:b/>
          <w:sz w:val="20"/>
          <w:szCs w:val="18"/>
          <w:lang w:val="es-ES_tradnl"/>
        </w:rPr>
        <w:t>Análisis de Sensibilidad (Impactos en VPN total)</w:t>
      </w:r>
    </w:p>
    <w:p w14:paraId="4008A4F4" w14:textId="77777777" w:rsidR="008451AA" w:rsidRPr="008451AA" w:rsidRDefault="008451AA" w:rsidP="008451AA">
      <w:pPr>
        <w:autoSpaceDE w:val="0"/>
        <w:autoSpaceDN w:val="0"/>
        <w:adjustRightInd w:val="0"/>
        <w:jc w:val="center"/>
        <w:rPr>
          <w:rFonts w:ascii="Arial" w:hAnsi="Arial" w:cs="Arial"/>
          <w:b/>
          <w:sz w:val="18"/>
          <w:szCs w:val="18"/>
          <w:lang w:val="es-ES_tradnl"/>
        </w:rPr>
      </w:pPr>
      <w:bookmarkStart w:id="1" w:name="Analisis_de_Sensibilidad__solo1!A1:F7"/>
      <w:bookmarkEnd w:id="1"/>
    </w:p>
    <w:tbl>
      <w:tblPr>
        <w:tblW w:w="10798" w:type="dxa"/>
        <w:tblInd w:w="-650" w:type="dxa"/>
        <w:tblCellMar>
          <w:top w:w="15" w:type="dxa"/>
          <w:left w:w="70" w:type="dxa"/>
          <w:bottom w:w="15" w:type="dxa"/>
          <w:right w:w="70" w:type="dxa"/>
        </w:tblCellMar>
        <w:tblLook w:val="04A0" w:firstRow="1" w:lastRow="0" w:firstColumn="1" w:lastColumn="0" w:noHBand="0" w:noVBand="1"/>
      </w:tblPr>
      <w:tblGrid>
        <w:gridCol w:w="1530"/>
        <w:gridCol w:w="2260"/>
        <w:gridCol w:w="1210"/>
        <w:gridCol w:w="1072"/>
        <w:gridCol w:w="1178"/>
        <w:gridCol w:w="1204"/>
        <w:gridCol w:w="1141"/>
        <w:gridCol w:w="1203"/>
      </w:tblGrid>
      <w:tr w:rsidR="000518F8" w:rsidRPr="00FB6C97" w14:paraId="0024915E" w14:textId="77777777" w:rsidTr="00136D35">
        <w:trPr>
          <w:trHeight w:val="285"/>
        </w:trPr>
        <w:tc>
          <w:tcPr>
            <w:tcW w:w="1530" w:type="dxa"/>
            <w:tcBorders>
              <w:top w:val="single" w:sz="4" w:space="0" w:color="auto"/>
              <w:left w:val="single" w:sz="4" w:space="0" w:color="auto"/>
              <w:bottom w:val="nil"/>
              <w:right w:val="nil"/>
            </w:tcBorders>
            <w:shd w:val="clear" w:color="000000" w:fill="DDEBF7"/>
            <w:noWrap/>
            <w:vAlign w:val="center"/>
            <w:hideMark/>
          </w:tcPr>
          <w:p w14:paraId="26ACEEE5" w14:textId="77777777" w:rsidR="000518F8" w:rsidRPr="008451AA" w:rsidRDefault="000518F8" w:rsidP="000518F8">
            <w:pPr>
              <w:rPr>
                <w:rFonts w:ascii="Arial" w:hAnsi="Arial" w:cs="Arial"/>
                <w:sz w:val="18"/>
                <w:szCs w:val="18"/>
                <w:lang w:val="es-ES_tradnl"/>
              </w:rPr>
            </w:pPr>
            <w:bookmarkStart w:id="2" w:name="Analisis_de_Sensibilidad__!A1:H7"/>
            <w:bookmarkStart w:id="3" w:name="Analisis_de_Sensibilidad__!A1:F8"/>
            <w:bookmarkStart w:id="4" w:name="Analisis_de_Sensibilidad__!A1:F10"/>
            <w:bookmarkEnd w:id="2"/>
            <w:bookmarkEnd w:id="3"/>
            <w:bookmarkEnd w:id="4"/>
          </w:p>
        </w:tc>
        <w:tc>
          <w:tcPr>
            <w:tcW w:w="2260" w:type="dxa"/>
            <w:vMerge w:val="restart"/>
            <w:tcBorders>
              <w:top w:val="single" w:sz="4" w:space="0" w:color="auto"/>
              <w:left w:val="nil"/>
              <w:bottom w:val="single" w:sz="4" w:space="0" w:color="auto"/>
              <w:right w:val="single" w:sz="8" w:space="0" w:color="auto"/>
            </w:tcBorders>
            <w:shd w:val="clear" w:color="000000" w:fill="DDEBF7"/>
            <w:noWrap/>
            <w:vAlign w:val="center"/>
            <w:hideMark/>
          </w:tcPr>
          <w:p w14:paraId="5355A141"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Variable</w:t>
            </w:r>
          </w:p>
        </w:tc>
        <w:tc>
          <w:tcPr>
            <w:tcW w:w="3460" w:type="dxa"/>
            <w:gridSpan w:val="3"/>
            <w:tcBorders>
              <w:top w:val="single" w:sz="4" w:space="0" w:color="auto"/>
              <w:left w:val="single" w:sz="8" w:space="0" w:color="auto"/>
              <w:bottom w:val="single" w:sz="4" w:space="0" w:color="auto"/>
              <w:right w:val="nil"/>
            </w:tcBorders>
            <w:shd w:val="clear" w:color="000000" w:fill="DDEBF7"/>
            <w:noWrap/>
            <w:vAlign w:val="center"/>
            <w:hideMark/>
          </w:tcPr>
          <w:p w14:paraId="17182131"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Escenario</w:t>
            </w:r>
          </w:p>
        </w:tc>
        <w:tc>
          <w:tcPr>
            <w:tcW w:w="3548" w:type="dxa"/>
            <w:gridSpan w:val="3"/>
            <w:tcBorders>
              <w:top w:val="single" w:sz="4" w:space="0" w:color="auto"/>
              <w:left w:val="single" w:sz="8" w:space="0" w:color="000000"/>
              <w:bottom w:val="single" w:sz="4" w:space="0" w:color="auto"/>
              <w:right w:val="single" w:sz="4" w:space="0" w:color="auto"/>
            </w:tcBorders>
            <w:shd w:val="clear" w:color="000000" w:fill="DDEBF7"/>
            <w:noWrap/>
            <w:vAlign w:val="center"/>
            <w:hideMark/>
          </w:tcPr>
          <w:p w14:paraId="13BE21D5" w14:textId="77777777" w:rsidR="000518F8" w:rsidRPr="008451AA" w:rsidRDefault="000518F8" w:rsidP="000518F8">
            <w:pPr>
              <w:jc w:val="center"/>
              <w:rPr>
                <w:rFonts w:ascii="Arial" w:hAnsi="Arial" w:cs="Arial"/>
                <w:b/>
                <w:bCs/>
                <w:sz w:val="18"/>
                <w:szCs w:val="18"/>
                <w:lang w:val="es-ES_tradnl"/>
              </w:rPr>
            </w:pPr>
            <w:r w:rsidRPr="008451AA">
              <w:rPr>
                <w:rFonts w:ascii="Arial" w:hAnsi="Arial" w:cs="Arial"/>
                <w:b/>
                <w:bCs/>
                <w:sz w:val="18"/>
                <w:szCs w:val="18"/>
                <w:lang w:val="es-ES_tradnl"/>
              </w:rPr>
              <w:t>VPN (en millones de $US)</w:t>
            </w:r>
          </w:p>
        </w:tc>
      </w:tr>
      <w:tr w:rsidR="000518F8" w:rsidRPr="0050256C" w14:paraId="196EF654" w14:textId="77777777" w:rsidTr="00136D35">
        <w:trPr>
          <w:trHeight w:val="300"/>
        </w:trPr>
        <w:tc>
          <w:tcPr>
            <w:tcW w:w="1530" w:type="dxa"/>
            <w:tcBorders>
              <w:top w:val="nil"/>
              <w:left w:val="single" w:sz="4" w:space="0" w:color="auto"/>
              <w:bottom w:val="single" w:sz="8" w:space="0" w:color="auto"/>
              <w:right w:val="nil"/>
            </w:tcBorders>
            <w:shd w:val="clear" w:color="000000" w:fill="DDEBF7"/>
            <w:noWrap/>
            <w:vAlign w:val="center"/>
            <w:hideMark/>
          </w:tcPr>
          <w:p w14:paraId="15E98457" w14:textId="77777777" w:rsidR="000518F8" w:rsidRPr="008451AA" w:rsidRDefault="000518F8" w:rsidP="000518F8">
            <w:pPr>
              <w:jc w:val="center"/>
              <w:rPr>
                <w:rFonts w:ascii="Arial" w:hAnsi="Arial" w:cs="Arial"/>
                <w:b/>
                <w:bCs/>
                <w:sz w:val="18"/>
                <w:szCs w:val="18"/>
                <w:lang w:val="es-ES_tradnl"/>
              </w:rPr>
            </w:pPr>
          </w:p>
        </w:tc>
        <w:tc>
          <w:tcPr>
            <w:tcW w:w="2260" w:type="dxa"/>
            <w:vMerge/>
            <w:tcBorders>
              <w:top w:val="single" w:sz="8" w:space="0" w:color="auto"/>
              <w:left w:val="nil"/>
              <w:bottom w:val="single" w:sz="4" w:space="0" w:color="auto"/>
              <w:right w:val="single" w:sz="8" w:space="0" w:color="auto"/>
            </w:tcBorders>
            <w:vAlign w:val="center"/>
            <w:hideMark/>
          </w:tcPr>
          <w:p w14:paraId="3A86B222" w14:textId="77777777" w:rsidR="000518F8" w:rsidRPr="008451AA" w:rsidRDefault="000518F8" w:rsidP="000518F8">
            <w:pPr>
              <w:rPr>
                <w:rFonts w:ascii="Arial" w:hAnsi="Arial" w:cs="Arial"/>
                <w:b/>
                <w:bCs/>
                <w:sz w:val="18"/>
                <w:szCs w:val="18"/>
                <w:lang w:val="es-ES_tradnl"/>
              </w:rPr>
            </w:pPr>
          </w:p>
        </w:tc>
        <w:tc>
          <w:tcPr>
            <w:tcW w:w="1210" w:type="dxa"/>
            <w:tcBorders>
              <w:top w:val="nil"/>
              <w:left w:val="nil"/>
              <w:bottom w:val="single" w:sz="8" w:space="0" w:color="auto"/>
              <w:right w:val="nil"/>
            </w:tcBorders>
            <w:shd w:val="clear" w:color="000000" w:fill="DDEBF7"/>
            <w:noWrap/>
            <w:vAlign w:val="center"/>
            <w:hideMark/>
          </w:tcPr>
          <w:p w14:paraId="5C6C90DB"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 xml:space="preserve">Pesimista </w:t>
            </w:r>
          </w:p>
        </w:tc>
        <w:tc>
          <w:tcPr>
            <w:tcW w:w="1072" w:type="dxa"/>
            <w:tcBorders>
              <w:top w:val="nil"/>
              <w:left w:val="nil"/>
              <w:bottom w:val="single" w:sz="8" w:space="0" w:color="auto"/>
              <w:right w:val="nil"/>
            </w:tcBorders>
            <w:shd w:val="clear" w:color="000000" w:fill="DDEBF7"/>
            <w:noWrap/>
            <w:vAlign w:val="center"/>
            <w:hideMark/>
          </w:tcPr>
          <w:p w14:paraId="4BFE110D"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 xml:space="preserve">Base </w:t>
            </w:r>
          </w:p>
        </w:tc>
        <w:tc>
          <w:tcPr>
            <w:tcW w:w="1178" w:type="dxa"/>
            <w:tcBorders>
              <w:top w:val="nil"/>
              <w:left w:val="nil"/>
              <w:bottom w:val="single" w:sz="8" w:space="0" w:color="auto"/>
              <w:right w:val="single" w:sz="8" w:space="0" w:color="auto"/>
            </w:tcBorders>
            <w:shd w:val="clear" w:color="000000" w:fill="DDEBF7"/>
            <w:noWrap/>
            <w:vAlign w:val="center"/>
            <w:hideMark/>
          </w:tcPr>
          <w:p w14:paraId="6CE10459"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Optimista</w:t>
            </w:r>
          </w:p>
        </w:tc>
        <w:tc>
          <w:tcPr>
            <w:tcW w:w="1204" w:type="dxa"/>
            <w:tcBorders>
              <w:top w:val="nil"/>
              <w:left w:val="nil"/>
              <w:bottom w:val="single" w:sz="8" w:space="0" w:color="auto"/>
              <w:right w:val="nil"/>
            </w:tcBorders>
            <w:shd w:val="clear" w:color="000000" w:fill="DDEBF7"/>
            <w:noWrap/>
            <w:vAlign w:val="center"/>
            <w:hideMark/>
          </w:tcPr>
          <w:p w14:paraId="0F70C85D"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 xml:space="preserve">Pesimista </w:t>
            </w:r>
          </w:p>
        </w:tc>
        <w:tc>
          <w:tcPr>
            <w:tcW w:w="1141" w:type="dxa"/>
            <w:tcBorders>
              <w:top w:val="nil"/>
              <w:left w:val="nil"/>
              <w:bottom w:val="single" w:sz="8" w:space="0" w:color="auto"/>
              <w:right w:val="nil"/>
            </w:tcBorders>
            <w:shd w:val="clear" w:color="000000" w:fill="DDEBF7"/>
            <w:noWrap/>
            <w:vAlign w:val="center"/>
            <w:hideMark/>
          </w:tcPr>
          <w:p w14:paraId="74C35F57"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 xml:space="preserve">Base </w:t>
            </w:r>
          </w:p>
        </w:tc>
        <w:tc>
          <w:tcPr>
            <w:tcW w:w="1203" w:type="dxa"/>
            <w:tcBorders>
              <w:top w:val="nil"/>
              <w:left w:val="nil"/>
              <w:bottom w:val="single" w:sz="8" w:space="0" w:color="auto"/>
              <w:right w:val="single" w:sz="4" w:space="0" w:color="auto"/>
            </w:tcBorders>
            <w:shd w:val="clear" w:color="000000" w:fill="DDEBF7"/>
            <w:noWrap/>
            <w:vAlign w:val="center"/>
            <w:hideMark/>
          </w:tcPr>
          <w:p w14:paraId="062D785B"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Optimista</w:t>
            </w:r>
          </w:p>
        </w:tc>
      </w:tr>
      <w:tr w:rsidR="00136D35" w:rsidRPr="0050256C" w14:paraId="2FD83704" w14:textId="77777777" w:rsidTr="00E95389">
        <w:trPr>
          <w:trHeight w:val="77"/>
        </w:trPr>
        <w:tc>
          <w:tcPr>
            <w:tcW w:w="1530" w:type="dxa"/>
            <w:vMerge w:val="restart"/>
            <w:tcBorders>
              <w:top w:val="single" w:sz="8" w:space="0" w:color="auto"/>
              <w:left w:val="single" w:sz="4" w:space="0" w:color="auto"/>
              <w:right w:val="single" w:sz="8" w:space="0" w:color="auto"/>
            </w:tcBorders>
            <w:shd w:val="clear" w:color="000000" w:fill="FFFFFF"/>
            <w:vAlign w:val="center"/>
            <w:hideMark/>
          </w:tcPr>
          <w:p w14:paraId="50ECC1FE" w14:textId="77777777" w:rsidR="00136D35" w:rsidRPr="007C212B" w:rsidRDefault="00136D35" w:rsidP="00136D35">
            <w:pPr>
              <w:jc w:val="center"/>
              <w:rPr>
                <w:rFonts w:ascii="Arial" w:hAnsi="Arial" w:cs="Arial"/>
                <w:b/>
                <w:sz w:val="18"/>
                <w:szCs w:val="18"/>
                <w:lang w:val="es-ES_tradnl"/>
              </w:rPr>
            </w:pPr>
            <w:r w:rsidRPr="007C212B">
              <w:rPr>
                <w:rFonts w:ascii="Arial" w:hAnsi="Arial" w:cs="Arial"/>
                <w:b/>
                <w:sz w:val="18"/>
                <w:szCs w:val="18"/>
                <w:lang w:val="es-ES_tradnl"/>
              </w:rPr>
              <w:t xml:space="preserve">Fortalecimiento de la gestión institucional de las </w:t>
            </w:r>
            <w:r>
              <w:rPr>
                <w:rFonts w:ascii="Arial" w:hAnsi="Arial" w:cs="Arial"/>
                <w:b/>
                <w:sz w:val="18"/>
                <w:szCs w:val="18"/>
                <w:lang w:val="es-ES_tradnl"/>
              </w:rPr>
              <w:t>IES</w:t>
            </w:r>
            <w:r w:rsidRPr="007C212B">
              <w:rPr>
                <w:rFonts w:ascii="Arial" w:hAnsi="Arial" w:cs="Arial"/>
                <w:b/>
                <w:sz w:val="18"/>
                <w:szCs w:val="18"/>
                <w:lang w:val="es-ES_tradnl"/>
              </w:rPr>
              <w:t xml:space="preserve"> públicas</w:t>
            </w:r>
          </w:p>
        </w:tc>
        <w:tc>
          <w:tcPr>
            <w:tcW w:w="2260" w:type="dxa"/>
            <w:tcBorders>
              <w:top w:val="single" w:sz="4" w:space="0" w:color="auto"/>
              <w:left w:val="nil"/>
              <w:bottom w:val="single" w:sz="8" w:space="0" w:color="auto"/>
              <w:right w:val="single" w:sz="8" w:space="0" w:color="auto"/>
            </w:tcBorders>
            <w:shd w:val="clear" w:color="000000" w:fill="FFFFFF"/>
            <w:vAlign w:val="center"/>
            <w:hideMark/>
          </w:tcPr>
          <w:p w14:paraId="25DB0012" w14:textId="77777777" w:rsidR="00136D35" w:rsidRPr="0050256C" w:rsidRDefault="00136D35" w:rsidP="00136D35">
            <w:pPr>
              <w:rPr>
                <w:rFonts w:ascii="Arial" w:hAnsi="Arial" w:cs="Arial"/>
                <w:sz w:val="18"/>
                <w:szCs w:val="18"/>
              </w:rPr>
            </w:pPr>
            <w:r w:rsidRPr="0050256C">
              <w:rPr>
                <w:rFonts w:ascii="Arial" w:hAnsi="Arial" w:cs="Arial"/>
                <w:sz w:val="18"/>
                <w:szCs w:val="18"/>
              </w:rPr>
              <w:t>Impacto en formalidad</w:t>
            </w:r>
          </w:p>
        </w:tc>
        <w:tc>
          <w:tcPr>
            <w:tcW w:w="1210" w:type="dxa"/>
            <w:tcBorders>
              <w:top w:val="nil"/>
              <w:left w:val="nil"/>
              <w:bottom w:val="single" w:sz="8" w:space="0" w:color="auto"/>
              <w:right w:val="single" w:sz="8" w:space="0" w:color="auto"/>
            </w:tcBorders>
            <w:shd w:val="clear" w:color="000000" w:fill="FFF2CC"/>
            <w:noWrap/>
            <w:vAlign w:val="center"/>
            <w:hideMark/>
          </w:tcPr>
          <w:p w14:paraId="5D9E815D" w14:textId="77777777" w:rsidR="00136D35" w:rsidRPr="0050256C" w:rsidRDefault="00136D35" w:rsidP="00136D35">
            <w:pPr>
              <w:jc w:val="center"/>
              <w:rPr>
                <w:rFonts w:ascii="Arial" w:hAnsi="Arial" w:cs="Arial"/>
                <w:sz w:val="18"/>
                <w:szCs w:val="18"/>
              </w:rPr>
            </w:pPr>
            <w:r>
              <w:rPr>
                <w:rFonts w:ascii="Arial" w:hAnsi="Arial" w:cs="Arial"/>
                <w:sz w:val="18"/>
                <w:szCs w:val="18"/>
              </w:rPr>
              <w:t>10%</w:t>
            </w:r>
          </w:p>
        </w:tc>
        <w:tc>
          <w:tcPr>
            <w:tcW w:w="1072" w:type="dxa"/>
            <w:tcBorders>
              <w:top w:val="nil"/>
              <w:left w:val="nil"/>
              <w:bottom w:val="single" w:sz="8" w:space="0" w:color="auto"/>
              <w:right w:val="single" w:sz="8" w:space="0" w:color="auto"/>
            </w:tcBorders>
            <w:shd w:val="clear" w:color="000000" w:fill="FFFFFF"/>
            <w:noWrap/>
            <w:vAlign w:val="center"/>
            <w:hideMark/>
          </w:tcPr>
          <w:p w14:paraId="24D5A9EC" w14:textId="77777777" w:rsidR="00136D35" w:rsidRPr="0050256C" w:rsidRDefault="00136D35" w:rsidP="00136D35">
            <w:pPr>
              <w:jc w:val="center"/>
              <w:rPr>
                <w:rFonts w:ascii="Arial" w:hAnsi="Arial" w:cs="Arial"/>
                <w:sz w:val="18"/>
                <w:szCs w:val="18"/>
              </w:rPr>
            </w:pPr>
            <w:r>
              <w:rPr>
                <w:rFonts w:ascii="Arial" w:hAnsi="Arial" w:cs="Arial"/>
                <w:sz w:val="18"/>
                <w:szCs w:val="18"/>
              </w:rPr>
              <w:t>12,5%</w:t>
            </w:r>
          </w:p>
        </w:tc>
        <w:tc>
          <w:tcPr>
            <w:tcW w:w="1178" w:type="dxa"/>
            <w:tcBorders>
              <w:top w:val="nil"/>
              <w:left w:val="nil"/>
              <w:bottom w:val="single" w:sz="8" w:space="0" w:color="auto"/>
              <w:right w:val="single" w:sz="8" w:space="0" w:color="auto"/>
            </w:tcBorders>
            <w:shd w:val="clear" w:color="000000" w:fill="FFF2CC"/>
            <w:noWrap/>
            <w:vAlign w:val="center"/>
            <w:hideMark/>
          </w:tcPr>
          <w:p w14:paraId="33E4941C" w14:textId="77777777" w:rsidR="00136D35" w:rsidRPr="0050256C" w:rsidRDefault="00136D35" w:rsidP="00136D35">
            <w:pPr>
              <w:jc w:val="center"/>
              <w:rPr>
                <w:rFonts w:ascii="Arial" w:hAnsi="Arial" w:cs="Arial"/>
                <w:sz w:val="18"/>
                <w:szCs w:val="18"/>
              </w:rPr>
            </w:pPr>
            <w:r>
              <w:rPr>
                <w:rFonts w:ascii="Arial" w:hAnsi="Arial" w:cs="Arial"/>
                <w:sz w:val="18"/>
                <w:szCs w:val="18"/>
              </w:rPr>
              <w:t>15%</w:t>
            </w:r>
          </w:p>
        </w:tc>
        <w:tc>
          <w:tcPr>
            <w:tcW w:w="1204" w:type="dxa"/>
            <w:tcBorders>
              <w:top w:val="nil"/>
              <w:left w:val="nil"/>
              <w:bottom w:val="single" w:sz="8" w:space="0" w:color="auto"/>
              <w:right w:val="single" w:sz="8" w:space="0" w:color="auto"/>
            </w:tcBorders>
            <w:shd w:val="clear" w:color="000000" w:fill="FFF2CC"/>
            <w:noWrap/>
            <w:vAlign w:val="center"/>
            <w:hideMark/>
          </w:tcPr>
          <w:p w14:paraId="6312B3B0" w14:textId="1FED93E2" w:rsidR="00136D35" w:rsidRPr="001F3A78" w:rsidRDefault="00136D35" w:rsidP="00136D35">
            <w:pPr>
              <w:jc w:val="center"/>
              <w:rPr>
                <w:rFonts w:ascii="Arial" w:hAnsi="Arial" w:cs="Arial"/>
                <w:sz w:val="18"/>
                <w:szCs w:val="18"/>
              </w:rPr>
            </w:pPr>
            <w:r w:rsidRPr="00E95389">
              <w:rPr>
                <w:rFonts w:ascii="Arial" w:hAnsi="Arial" w:cs="Arial"/>
                <w:sz w:val="18"/>
                <w:szCs w:val="18"/>
              </w:rPr>
              <w:t>155</w:t>
            </w:r>
            <w:r>
              <w:rPr>
                <w:rFonts w:ascii="Arial" w:hAnsi="Arial" w:cs="Arial"/>
                <w:sz w:val="18"/>
                <w:szCs w:val="18"/>
              </w:rPr>
              <w:t>,</w:t>
            </w:r>
            <w:r w:rsidRPr="00E95389">
              <w:rPr>
                <w:rFonts w:ascii="Arial" w:hAnsi="Arial" w:cs="Arial"/>
                <w:sz w:val="18"/>
                <w:szCs w:val="18"/>
              </w:rPr>
              <w:t>98</w:t>
            </w:r>
          </w:p>
        </w:tc>
        <w:tc>
          <w:tcPr>
            <w:tcW w:w="1141" w:type="dxa"/>
            <w:tcBorders>
              <w:top w:val="nil"/>
              <w:left w:val="nil"/>
              <w:bottom w:val="single" w:sz="8" w:space="0" w:color="auto"/>
              <w:right w:val="single" w:sz="8" w:space="0" w:color="auto"/>
            </w:tcBorders>
            <w:shd w:val="clear" w:color="000000" w:fill="FFFFFF"/>
            <w:noWrap/>
            <w:vAlign w:val="center"/>
            <w:hideMark/>
          </w:tcPr>
          <w:p w14:paraId="5F8445A5" w14:textId="784F0C0E" w:rsidR="00136D35" w:rsidRPr="00F117C8" w:rsidRDefault="00136D35" w:rsidP="00136D35">
            <w:pPr>
              <w:jc w:val="center"/>
              <w:rPr>
                <w:rFonts w:ascii="Arial" w:hAnsi="Arial" w:cs="Arial"/>
                <w:sz w:val="18"/>
                <w:szCs w:val="18"/>
              </w:rPr>
            </w:pPr>
            <w:r w:rsidRPr="00E95389">
              <w:rPr>
                <w:rFonts w:ascii="Arial" w:hAnsi="Arial" w:cs="Arial"/>
                <w:sz w:val="18"/>
                <w:szCs w:val="18"/>
              </w:rPr>
              <w:t>205,45</w:t>
            </w:r>
          </w:p>
        </w:tc>
        <w:tc>
          <w:tcPr>
            <w:tcW w:w="1203" w:type="dxa"/>
            <w:tcBorders>
              <w:top w:val="nil"/>
              <w:left w:val="nil"/>
              <w:bottom w:val="single" w:sz="8" w:space="0" w:color="auto"/>
              <w:right w:val="single" w:sz="4" w:space="0" w:color="auto"/>
            </w:tcBorders>
            <w:shd w:val="clear" w:color="000000" w:fill="FFF2CC"/>
            <w:noWrap/>
            <w:vAlign w:val="center"/>
            <w:hideMark/>
          </w:tcPr>
          <w:p w14:paraId="7070BB8E" w14:textId="0B8E75D1" w:rsidR="00136D35" w:rsidRPr="001F3A78" w:rsidRDefault="00136D35" w:rsidP="00136D35">
            <w:pPr>
              <w:jc w:val="center"/>
              <w:rPr>
                <w:rFonts w:ascii="Arial" w:hAnsi="Arial" w:cs="Arial"/>
                <w:sz w:val="18"/>
                <w:szCs w:val="18"/>
              </w:rPr>
            </w:pPr>
            <w:r w:rsidRPr="00E95389">
              <w:rPr>
                <w:rFonts w:ascii="Arial" w:hAnsi="Arial" w:cs="Arial"/>
                <w:sz w:val="18"/>
                <w:szCs w:val="18"/>
              </w:rPr>
              <w:t>259</w:t>
            </w:r>
            <w:r>
              <w:rPr>
                <w:rFonts w:ascii="Arial" w:hAnsi="Arial" w:cs="Arial"/>
                <w:sz w:val="18"/>
                <w:szCs w:val="18"/>
              </w:rPr>
              <w:t>,</w:t>
            </w:r>
            <w:r w:rsidRPr="00E95389">
              <w:rPr>
                <w:rFonts w:ascii="Arial" w:hAnsi="Arial" w:cs="Arial"/>
                <w:sz w:val="18"/>
                <w:szCs w:val="18"/>
              </w:rPr>
              <w:t>29</w:t>
            </w:r>
          </w:p>
        </w:tc>
      </w:tr>
      <w:tr w:rsidR="00136D35" w:rsidRPr="0050256C" w14:paraId="77064646" w14:textId="77777777" w:rsidTr="00E95389">
        <w:trPr>
          <w:trHeight w:val="300"/>
        </w:trPr>
        <w:tc>
          <w:tcPr>
            <w:tcW w:w="1530" w:type="dxa"/>
            <w:vMerge/>
            <w:tcBorders>
              <w:left w:val="single" w:sz="4" w:space="0" w:color="auto"/>
              <w:right w:val="single" w:sz="8" w:space="0" w:color="auto"/>
            </w:tcBorders>
            <w:shd w:val="clear" w:color="000000" w:fill="FFFFFF"/>
            <w:vAlign w:val="center"/>
          </w:tcPr>
          <w:p w14:paraId="14C354D2" w14:textId="77777777" w:rsidR="00136D35" w:rsidRPr="0050256C" w:rsidRDefault="00136D35" w:rsidP="00136D35">
            <w:pPr>
              <w:jc w:val="center"/>
              <w:rPr>
                <w:rFonts w:ascii="Arial" w:hAnsi="Arial" w:cs="Arial"/>
                <w:b/>
                <w:bCs/>
                <w:sz w:val="18"/>
                <w:szCs w:val="18"/>
              </w:rPr>
            </w:pPr>
          </w:p>
        </w:tc>
        <w:tc>
          <w:tcPr>
            <w:tcW w:w="2260" w:type="dxa"/>
            <w:tcBorders>
              <w:top w:val="single" w:sz="4" w:space="0" w:color="auto"/>
              <w:left w:val="nil"/>
              <w:bottom w:val="single" w:sz="8" w:space="0" w:color="auto"/>
              <w:right w:val="single" w:sz="8" w:space="0" w:color="auto"/>
            </w:tcBorders>
            <w:shd w:val="clear" w:color="000000" w:fill="FFFFFF"/>
            <w:vAlign w:val="center"/>
          </w:tcPr>
          <w:p w14:paraId="2499B0E4" w14:textId="77777777" w:rsidR="00136D35" w:rsidRPr="008451AA" w:rsidRDefault="00136D35" w:rsidP="00136D35">
            <w:pPr>
              <w:rPr>
                <w:rFonts w:ascii="Arial" w:hAnsi="Arial" w:cs="Arial"/>
                <w:sz w:val="18"/>
                <w:szCs w:val="18"/>
                <w:lang w:val="es-ES_tradnl"/>
              </w:rPr>
            </w:pPr>
            <w:r w:rsidRPr="008451AA">
              <w:rPr>
                <w:rFonts w:ascii="Arial" w:hAnsi="Arial" w:cs="Arial"/>
                <w:sz w:val="18"/>
                <w:szCs w:val="18"/>
                <w:lang w:val="es-ES_tradnl"/>
              </w:rPr>
              <w:t xml:space="preserve">Tasa de crecimiento de egresados de universidades </w:t>
            </w:r>
          </w:p>
        </w:tc>
        <w:tc>
          <w:tcPr>
            <w:tcW w:w="1210" w:type="dxa"/>
            <w:tcBorders>
              <w:top w:val="nil"/>
              <w:left w:val="nil"/>
              <w:bottom w:val="single" w:sz="8" w:space="0" w:color="auto"/>
              <w:right w:val="single" w:sz="8" w:space="0" w:color="auto"/>
            </w:tcBorders>
            <w:shd w:val="clear" w:color="000000" w:fill="FFF2CC"/>
            <w:noWrap/>
            <w:vAlign w:val="center"/>
          </w:tcPr>
          <w:p w14:paraId="3723E1F0" w14:textId="734A88CC" w:rsidR="00136D35" w:rsidRPr="0050256C" w:rsidRDefault="00136D35" w:rsidP="00136D35">
            <w:pPr>
              <w:jc w:val="center"/>
              <w:rPr>
                <w:rFonts w:ascii="Arial" w:hAnsi="Arial" w:cs="Arial"/>
                <w:sz w:val="18"/>
                <w:szCs w:val="18"/>
              </w:rPr>
            </w:pPr>
            <w:r>
              <w:rPr>
                <w:rFonts w:ascii="Arial" w:hAnsi="Arial" w:cs="Arial"/>
                <w:sz w:val="18"/>
                <w:szCs w:val="18"/>
              </w:rPr>
              <w:t>5%</w:t>
            </w:r>
          </w:p>
        </w:tc>
        <w:tc>
          <w:tcPr>
            <w:tcW w:w="1072" w:type="dxa"/>
            <w:tcBorders>
              <w:top w:val="nil"/>
              <w:left w:val="nil"/>
              <w:bottom w:val="single" w:sz="8" w:space="0" w:color="auto"/>
              <w:right w:val="single" w:sz="8" w:space="0" w:color="auto"/>
            </w:tcBorders>
            <w:shd w:val="clear" w:color="000000" w:fill="FFFFFF"/>
            <w:noWrap/>
            <w:vAlign w:val="center"/>
          </w:tcPr>
          <w:p w14:paraId="769F761F" w14:textId="0D6EEAF4" w:rsidR="00136D35" w:rsidRPr="0050256C" w:rsidRDefault="00136D35" w:rsidP="00136D35">
            <w:pPr>
              <w:jc w:val="center"/>
              <w:rPr>
                <w:rFonts w:ascii="Arial" w:hAnsi="Arial" w:cs="Arial"/>
                <w:sz w:val="18"/>
                <w:szCs w:val="18"/>
              </w:rPr>
            </w:pPr>
            <w:r>
              <w:rPr>
                <w:rFonts w:ascii="Arial" w:hAnsi="Arial" w:cs="Arial"/>
                <w:sz w:val="18"/>
                <w:szCs w:val="18"/>
              </w:rPr>
              <w:t>7%</w:t>
            </w:r>
          </w:p>
        </w:tc>
        <w:tc>
          <w:tcPr>
            <w:tcW w:w="1178" w:type="dxa"/>
            <w:tcBorders>
              <w:top w:val="nil"/>
              <w:left w:val="nil"/>
              <w:bottom w:val="single" w:sz="8" w:space="0" w:color="auto"/>
              <w:right w:val="single" w:sz="8" w:space="0" w:color="auto"/>
            </w:tcBorders>
            <w:shd w:val="clear" w:color="000000" w:fill="FFF2CC"/>
            <w:noWrap/>
            <w:vAlign w:val="center"/>
          </w:tcPr>
          <w:p w14:paraId="5E837D78" w14:textId="73385B65" w:rsidR="00136D35" w:rsidRPr="0050256C" w:rsidRDefault="00136D35" w:rsidP="00136D35">
            <w:pPr>
              <w:jc w:val="center"/>
              <w:rPr>
                <w:rFonts w:ascii="Arial" w:hAnsi="Arial" w:cs="Arial"/>
                <w:sz w:val="18"/>
                <w:szCs w:val="18"/>
              </w:rPr>
            </w:pPr>
            <w:r>
              <w:rPr>
                <w:rFonts w:ascii="Arial" w:hAnsi="Arial" w:cs="Arial"/>
                <w:sz w:val="18"/>
                <w:szCs w:val="18"/>
              </w:rPr>
              <w:t>10%</w:t>
            </w:r>
          </w:p>
        </w:tc>
        <w:tc>
          <w:tcPr>
            <w:tcW w:w="1204" w:type="dxa"/>
            <w:tcBorders>
              <w:top w:val="nil"/>
              <w:left w:val="nil"/>
              <w:bottom w:val="single" w:sz="8" w:space="0" w:color="auto"/>
              <w:right w:val="single" w:sz="8" w:space="0" w:color="auto"/>
            </w:tcBorders>
            <w:shd w:val="clear" w:color="000000" w:fill="FFF2CC"/>
            <w:noWrap/>
            <w:vAlign w:val="center"/>
          </w:tcPr>
          <w:p w14:paraId="75714852" w14:textId="541719D7" w:rsidR="00136D35" w:rsidRPr="001F3A78" w:rsidRDefault="00136D35" w:rsidP="00136D35">
            <w:pPr>
              <w:jc w:val="center"/>
              <w:rPr>
                <w:rFonts w:ascii="Arial" w:hAnsi="Arial" w:cs="Arial"/>
                <w:sz w:val="18"/>
                <w:szCs w:val="18"/>
              </w:rPr>
            </w:pPr>
            <w:r w:rsidRPr="00E95389">
              <w:rPr>
                <w:rFonts w:ascii="Arial" w:hAnsi="Arial" w:cs="Arial"/>
                <w:sz w:val="18"/>
                <w:szCs w:val="18"/>
              </w:rPr>
              <w:t>169</w:t>
            </w:r>
            <w:r>
              <w:rPr>
                <w:rFonts w:ascii="Arial" w:hAnsi="Arial" w:cs="Arial"/>
                <w:sz w:val="18"/>
                <w:szCs w:val="18"/>
              </w:rPr>
              <w:t>,</w:t>
            </w:r>
            <w:r w:rsidRPr="00E95389">
              <w:rPr>
                <w:rFonts w:ascii="Arial" w:hAnsi="Arial" w:cs="Arial"/>
                <w:sz w:val="18"/>
                <w:szCs w:val="18"/>
              </w:rPr>
              <w:t>96</w:t>
            </w:r>
          </w:p>
        </w:tc>
        <w:tc>
          <w:tcPr>
            <w:tcW w:w="1141" w:type="dxa"/>
            <w:tcBorders>
              <w:top w:val="nil"/>
              <w:left w:val="nil"/>
              <w:bottom w:val="single" w:sz="8" w:space="0" w:color="auto"/>
              <w:right w:val="single" w:sz="8" w:space="0" w:color="auto"/>
            </w:tcBorders>
            <w:shd w:val="clear" w:color="000000" w:fill="FFFFFF"/>
            <w:noWrap/>
            <w:vAlign w:val="center"/>
          </w:tcPr>
          <w:p w14:paraId="15F068EE" w14:textId="15473988" w:rsidR="00136D35" w:rsidRPr="001F3A78" w:rsidRDefault="00136D35" w:rsidP="00136D35">
            <w:pPr>
              <w:jc w:val="center"/>
              <w:rPr>
                <w:rFonts w:ascii="Arial" w:hAnsi="Arial" w:cs="Arial"/>
                <w:sz w:val="18"/>
                <w:szCs w:val="18"/>
              </w:rPr>
            </w:pPr>
            <w:r w:rsidRPr="00E95389">
              <w:rPr>
                <w:rFonts w:ascii="Arial" w:hAnsi="Arial" w:cs="Arial"/>
                <w:sz w:val="18"/>
                <w:szCs w:val="18"/>
              </w:rPr>
              <w:t>205,45</w:t>
            </w:r>
          </w:p>
        </w:tc>
        <w:tc>
          <w:tcPr>
            <w:tcW w:w="1203" w:type="dxa"/>
            <w:tcBorders>
              <w:top w:val="nil"/>
              <w:left w:val="nil"/>
              <w:bottom w:val="single" w:sz="8" w:space="0" w:color="auto"/>
              <w:right w:val="single" w:sz="4" w:space="0" w:color="auto"/>
            </w:tcBorders>
            <w:shd w:val="clear" w:color="000000" w:fill="FFF2CC"/>
            <w:noWrap/>
            <w:vAlign w:val="center"/>
          </w:tcPr>
          <w:p w14:paraId="42F61EBE" w14:textId="6876C383" w:rsidR="00136D35" w:rsidRPr="001F3A78" w:rsidRDefault="00136D35" w:rsidP="00136D35">
            <w:pPr>
              <w:jc w:val="center"/>
              <w:rPr>
                <w:rFonts w:ascii="Arial" w:hAnsi="Arial" w:cs="Arial"/>
                <w:sz w:val="18"/>
                <w:szCs w:val="18"/>
              </w:rPr>
            </w:pPr>
            <w:r w:rsidRPr="00E95389">
              <w:rPr>
                <w:rFonts w:ascii="Arial" w:hAnsi="Arial" w:cs="Arial"/>
                <w:sz w:val="18"/>
                <w:szCs w:val="18"/>
              </w:rPr>
              <w:t>252</w:t>
            </w:r>
            <w:r>
              <w:rPr>
                <w:rFonts w:ascii="Arial" w:hAnsi="Arial" w:cs="Arial"/>
                <w:sz w:val="18"/>
                <w:szCs w:val="18"/>
              </w:rPr>
              <w:t>,</w:t>
            </w:r>
            <w:r w:rsidRPr="00E95389">
              <w:rPr>
                <w:rFonts w:ascii="Arial" w:hAnsi="Arial" w:cs="Arial"/>
                <w:sz w:val="18"/>
                <w:szCs w:val="18"/>
              </w:rPr>
              <w:t>54</w:t>
            </w:r>
          </w:p>
        </w:tc>
      </w:tr>
      <w:tr w:rsidR="00136D35" w:rsidRPr="0050256C" w14:paraId="27E9F69C" w14:textId="77777777" w:rsidTr="00E95389">
        <w:trPr>
          <w:trHeight w:val="300"/>
        </w:trPr>
        <w:tc>
          <w:tcPr>
            <w:tcW w:w="1530" w:type="dxa"/>
            <w:vMerge/>
            <w:tcBorders>
              <w:left w:val="single" w:sz="4" w:space="0" w:color="auto"/>
              <w:right w:val="single" w:sz="8" w:space="0" w:color="auto"/>
            </w:tcBorders>
            <w:shd w:val="clear" w:color="000000" w:fill="FFFFFF"/>
            <w:vAlign w:val="center"/>
          </w:tcPr>
          <w:p w14:paraId="46C2D0CF" w14:textId="77777777" w:rsidR="00136D35" w:rsidRPr="0050256C" w:rsidRDefault="00136D35" w:rsidP="00136D35">
            <w:pPr>
              <w:jc w:val="center"/>
              <w:rPr>
                <w:rFonts w:ascii="Arial" w:hAnsi="Arial" w:cs="Arial"/>
                <w:b/>
                <w:bCs/>
                <w:sz w:val="18"/>
                <w:szCs w:val="18"/>
              </w:rPr>
            </w:pPr>
          </w:p>
        </w:tc>
        <w:tc>
          <w:tcPr>
            <w:tcW w:w="2260" w:type="dxa"/>
            <w:tcBorders>
              <w:top w:val="single" w:sz="4" w:space="0" w:color="auto"/>
              <w:left w:val="nil"/>
              <w:bottom w:val="single" w:sz="8" w:space="0" w:color="auto"/>
              <w:right w:val="single" w:sz="8" w:space="0" w:color="auto"/>
            </w:tcBorders>
            <w:shd w:val="clear" w:color="000000" w:fill="FFFFFF"/>
            <w:vAlign w:val="center"/>
          </w:tcPr>
          <w:p w14:paraId="3AD165E6" w14:textId="77777777" w:rsidR="00136D35" w:rsidRPr="00CF2CE0" w:rsidRDefault="00136D35" w:rsidP="00136D35">
            <w:pPr>
              <w:rPr>
                <w:rFonts w:ascii="Arial" w:hAnsi="Arial" w:cs="Arial"/>
                <w:sz w:val="18"/>
                <w:szCs w:val="18"/>
                <w:lang w:val="es-ES"/>
              </w:rPr>
            </w:pPr>
            <w:r w:rsidRPr="00CF2CE0">
              <w:rPr>
                <w:rFonts w:ascii="Arial" w:hAnsi="Arial" w:cs="Arial"/>
                <w:sz w:val="18"/>
                <w:szCs w:val="18"/>
                <w:lang w:val="es-ES"/>
              </w:rPr>
              <w:t xml:space="preserve">Tasa de crecimiento de egresados de </w:t>
            </w:r>
            <w:r>
              <w:rPr>
                <w:rFonts w:ascii="Arial" w:hAnsi="Arial" w:cs="Arial"/>
                <w:sz w:val="18"/>
                <w:szCs w:val="18"/>
                <w:lang w:val="es-ES"/>
              </w:rPr>
              <w:t>IEST</w:t>
            </w:r>
          </w:p>
        </w:tc>
        <w:tc>
          <w:tcPr>
            <w:tcW w:w="1210" w:type="dxa"/>
            <w:tcBorders>
              <w:top w:val="nil"/>
              <w:left w:val="nil"/>
              <w:bottom w:val="single" w:sz="8" w:space="0" w:color="auto"/>
              <w:right w:val="single" w:sz="8" w:space="0" w:color="auto"/>
            </w:tcBorders>
            <w:shd w:val="clear" w:color="000000" w:fill="FFF2CC"/>
            <w:noWrap/>
            <w:vAlign w:val="center"/>
          </w:tcPr>
          <w:p w14:paraId="0E3EF416" w14:textId="2F375FC4" w:rsidR="00136D35" w:rsidRPr="0050256C" w:rsidRDefault="00136D35" w:rsidP="00136D35">
            <w:pPr>
              <w:jc w:val="center"/>
              <w:rPr>
                <w:rFonts w:ascii="Arial" w:hAnsi="Arial" w:cs="Arial"/>
                <w:sz w:val="18"/>
                <w:szCs w:val="18"/>
              </w:rPr>
            </w:pPr>
            <w:r>
              <w:rPr>
                <w:rFonts w:ascii="Arial" w:hAnsi="Arial" w:cs="Arial"/>
                <w:sz w:val="18"/>
                <w:szCs w:val="18"/>
              </w:rPr>
              <w:t>5%</w:t>
            </w:r>
          </w:p>
        </w:tc>
        <w:tc>
          <w:tcPr>
            <w:tcW w:w="1072" w:type="dxa"/>
            <w:tcBorders>
              <w:top w:val="nil"/>
              <w:left w:val="nil"/>
              <w:bottom w:val="single" w:sz="8" w:space="0" w:color="auto"/>
              <w:right w:val="single" w:sz="8" w:space="0" w:color="auto"/>
            </w:tcBorders>
            <w:shd w:val="clear" w:color="000000" w:fill="FFFFFF"/>
            <w:noWrap/>
            <w:vAlign w:val="center"/>
          </w:tcPr>
          <w:p w14:paraId="2026A711" w14:textId="77777777" w:rsidR="00136D35" w:rsidRPr="0050256C" w:rsidRDefault="00136D35" w:rsidP="00136D35">
            <w:pPr>
              <w:jc w:val="center"/>
              <w:rPr>
                <w:rFonts w:ascii="Arial" w:hAnsi="Arial" w:cs="Arial"/>
                <w:sz w:val="18"/>
                <w:szCs w:val="18"/>
              </w:rPr>
            </w:pPr>
            <w:r>
              <w:rPr>
                <w:rFonts w:ascii="Arial" w:hAnsi="Arial" w:cs="Arial"/>
                <w:sz w:val="18"/>
                <w:szCs w:val="18"/>
              </w:rPr>
              <w:t>7%</w:t>
            </w:r>
          </w:p>
        </w:tc>
        <w:tc>
          <w:tcPr>
            <w:tcW w:w="1178" w:type="dxa"/>
            <w:tcBorders>
              <w:top w:val="nil"/>
              <w:left w:val="nil"/>
              <w:bottom w:val="single" w:sz="8" w:space="0" w:color="auto"/>
              <w:right w:val="single" w:sz="8" w:space="0" w:color="auto"/>
            </w:tcBorders>
            <w:shd w:val="clear" w:color="000000" w:fill="FFF2CC"/>
            <w:noWrap/>
            <w:vAlign w:val="center"/>
          </w:tcPr>
          <w:p w14:paraId="05E3FE10" w14:textId="7A61C09C" w:rsidR="00136D35" w:rsidRPr="0050256C" w:rsidRDefault="00136D35" w:rsidP="00136D35">
            <w:pPr>
              <w:jc w:val="center"/>
              <w:rPr>
                <w:rFonts w:ascii="Arial" w:hAnsi="Arial" w:cs="Arial"/>
                <w:sz w:val="18"/>
                <w:szCs w:val="18"/>
              </w:rPr>
            </w:pPr>
            <w:r>
              <w:rPr>
                <w:rFonts w:ascii="Arial" w:hAnsi="Arial" w:cs="Arial"/>
                <w:sz w:val="18"/>
                <w:szCs w:val="18"/>
              </w:rPr>
              <w:t>10%</w:t>
            </w:r>
          </w:p>
        </w:tc>
        <w:tc>
          <w:tcPr>
            <w:tcW w:w="1204" w:type="dxa"/>
            <w:tcBorders>
              <w:top w:val="nil"/>
              <w:left w:val="nil"/>
              <w:bottom w:val="single" w:sz="8" w:space="0" w:color="auto"/>
              <w:right w:val="single" w:sz="8" w:space="0" w:color="auto"/>
            </w:tcBorders>
            <w:shd w:val="clear" w:color="000000" w:fill="FFF2CC"/>
            <w:noWrap/>
            <w:vAlign w:val="center"/>
          </w:tcPr>
          <w:p w14:paraId="169658D9" w14:textId="13271BC8" w:rsidR="00136D35" w:rsidRPr="001F3A78" w:rsidRDefault="00136D35" w:rsidP="00136D35">
            <w:pPr>
              <w:jc w:val="center"/>
              <w:rPr>
                <w:rFonts w:ascii="Arial" w:hAnsi="Arial" w:cs="Arial"/>
                <w:sz w:val="18"/>
                <w:szCs w:val="18"/>
              </w:rPr>
            </w:pPr>
            <w:r w:rsidRPr="00E95389">
              <w:rPr>
                <w:rFonts w:ascii="Arial" w:hAnsi="Arial" w:cs="Arial"/>
                <w:sz w:val="18"/>
                <w:szCs w:val="18"/>
              </w:rPr>
              <w:t>201</w:t>
            </w:r>
            <w:r>
              <w:rPr>
                <w:rFonts w:ascii="Arial" w:hAnsi="Arial" w:cs="Arial"/>
                <w:sz w:val="18"/>
                <w:szCs w:val="18"/>
              </w:rPr>
              <w:t>,</w:t>
            </w:r>
            <w:r w:rsidRPr="00E95389">
              <w:rPr>
                <w:rFonts w:ascii="Arial" w:hAnsi="Arial" w:cs="Arial"/>
                <w:sz w:val="18"/>
                <w:szCs w:val="18"/>
              </w:rPr>
              <w:t>13</w:t>
            </w:r>
          </w:p>
        </w:tc>
        <w:tc>
          <w:tcPr>
            <w:tcW w:w="1141" w:type="dxa"/>
            <w:tcBorders>
              <w:top w:val="nil"/>
              <w:left w:val="nil"/>
              <w:bottom w:val="single" w:sz="8" w:space="0" w:color="auto"/>
              <w:right w:val="single" w:sz="8" w:space="0" w:color="auto"/>
            </w:tcBorders>
            <w:shd w:val="clear" w:color="000000" w:fill="FFFFFF"/>
            <w:noWrap/>
            <w:vAlign w:val="center"/>
          </w:tcPr>
          <w:p w14:paraId="20DB36AE" w14:textId="5E618BEA" w:rsidR="00136D35" w:rsidRPr="001F3A78" w:rsidRDefault="00136D35" w:rsidP="00136D35">
            <w:pPr>
              <w:jc w:val="center"/>
              <w:rPr>
                <w:rFonts w:ascii="Arial" w:hAnsi="Arial" w:cs="Arial"/>
                <w:sz w:val="18"/>
                <w:szCs w:val="18"/>
              </w:rPr>
            </w:pPr>
            <w:r w:rsidRPr="00E95389">
              <w:rPr>
                <w:rFonts w:ascii="Arial" w:hAnsi="Arial" w:cs="Arial"/>
                <w:sz w:val="18"/>
                <w:szCs w:val="18"/>
              </w:rPr>
              <w:t>205,45</w:t>
            </w:r>
          </w:p>
        </w:tc>
        <w:tc>
          <w:tcPr>
            <w:tcW w:w="1203" w:type="dxa"/>
            <w:tcBorders>
              <w:top w:val="nil"/>
              <w:left w:val="nil"/>
              <w:bottom w:val="single" w:sz="8" w:space="0" w:color="auto"/>
              <w:right w:val="single" w:sz="4" w:space="0" w:color="auto"/>
            </w:tcBorders>
            <w:shd w:val="clear" w:color="000000" w:fill="FFF2CC"/>
            <w:noWrap/>
            <w:vAlign w:val="center"/>
          </w:tcPr>
          <w:p w14:paraId="14CD6D62" w14:textId="5F417C0E" w:rsidR="00136D35" w:rsidRPr="001F3A78" w:rsidRDefault="00136D35" w:rsidP="00136D35">
            <w:pPr>
              <w:jc w:val="center"/>
              <w:rPr>
                <w:rFonts w:ascii="Arial" w:hAnsi="Arial" w:cs="Arial"/>
                <w:sz w:val="18"/>
                <w:szCs w:val="18"/>
              </w:rPr>
            </w:pPr>
            <w:r w:rsidRPr="00E95389">
              <w:rPr>
                <w:rFonts w:ascii="Arial" w:hAnsi="Arial" w:cs="Arial"/>
                <w:sz w:val="18"/>
                <w:szCs w:val="18"/>
              </w:rPr>
              <w:t>216</w:t>
            </w:r>
            <w:r>
              <w:rPr>
                <w:rFonts w:ascii="Arial" w:hAnsi="Arial" w:cs="Arial"/>
                <w:sz w:val="18"/>
                <w:szCs w:val="18"/>
              </w:rPr>
              <w:t>,</w:t>
            </w:r>
            <w:r w:rsidRPr="00E95389">
              <w:rPr>
                <w:rFonts w:ascii="Arial" w:hAnsi="Arial" w:cs="Arial"/>
                <w:sz w:val="18"/>
                <w:szCs w:val="18"/>
              </w:rPr>
              <w:t>04</w:t>
            </w:r>
          </w:p>
        </w:tc>
      </w:tr>
      <w:tr w:rsidR="00136D35" w:rsidRPr="0050256C" w14:paraId="7F9F3EA4" w14:textId="77777777" w:rsidTr="00E95389">
        <w:trPr>
          <w:trHeight w:val="300"/>
        </w:trPr>
        <w:tc>
          <w:tcPr>
            <w:tcW w:w="1530" w:type="dxa"/>
            <w:vMerge/>
            <w:tcBorders>
              <w:left w:val="single" w:sz="4" w:space="0" w:color="auto"/>
              <w:right w:val="single" w:sz="8" w:space="0" w:color="auto"/>
            </w:tcBorders>
            <w:shd w:val="clear" w:color="000000" w:fill="FFFFFF"/>
            <w:vAlign w:val="center"/>
          </w:tcPr>
          <w:p w14:paraId="55A68661" w14:textId="77777777" w:rsidR="00136D35" w:rsidRPr="0050256C" w:rsidRDefault="00136D35" w:rsidP="00136D35">
            <w:pPr>
              <w:jc w:val="center"/>
              <w:rPr>
                <w:rFonts w:ascii="Arial" w:hAnsi="Arial" w:cs="Arial"/>
                <w:b/>
                <w:bCs/>
                <w:sz w:val="18"/>
                <w:szCs w:val="18"/>
              </w:rPr>
            </w:pPr>
          </w:p>
        </w:tc>
        <w:tc>
          <w:tcPr>
            <w:tcW w:w="2260" w:type="dxa"/>
            <w:tcBorders>
              <w:top w:val="single" w:sz="8" w:space="0" w:color="auto"/>
              <w:left w:val="nil"/>
              <w:bottom w:val="single" w:sz="8" w:space="0" w:color="auto"/>
              <w:right w:val="single" w:sz="8" w:space="0" w:color="auto"/>
            </w:tcBorders>
            <w:shd w:val="clear" w:color="000000" w:fill="FFFFFF"/>
            <w:vAlign w:val="center"/>
          </w:tcPr>
          <w:p w14:paraId="707E0A8E" w14:textId="77777777" w:rsidR="00136D35" w:rsidRPr="008451AA" w:rsidRDefault="00136D35" w:rsidP="00136D35">
            <w:pPr>
              <w:rPr>
                <w:rFonts w:ascii="Arial" w:hAnsi="Arial" w:cs="Arial"/>
                <w:sz w:val="18"/>
                <w:szCs w:val="18"/>
                <w:lang w:val="es-ES_tradnl"/>
              </w:rPr>
            </w:pPr>
            <w:r w:rsidRPr="008451AA">
              <w:rPr>
                <w:rFonts w:ascii="Arial" w:hAnsi="Arial" w:cs="Arial"/>
                <w:sz w:val="18"/>
                <w:szCs w:val="18"/>
                <w:lang w:val="es-ES_tradnl"/>
              </w:rPr>
              <w:t>Tasa de crecimiento de la brecha de ingresos de egresados de universidades públicas</w:t>
            </w:r>
          </w:p>
        </w:tc>
        <w:tc>
          <w:tcPr>
            <w:tcW w:w="1210" w:type="dxa"/>
            <w:tcBorders>
              <w:top w:val="single" w:sz="8" w:space="0" w:color="auto"/>
              <w:left w:val="nil"/>
              <w:bottom w:val="single" w:sz="8" w:space="0" w:color="auto"/>
              <w:right w:val="single" w:sz="8" w:space="0" w:color="auto"/>
            </w:tcBorders>
            <w:shd w:val="clear" w:color="000000" w:fill="FFF2CC"/>
            <w:noWrap/>
            <w:vAlign w:val="center"/>
          </w:tcPr>
          <w:p w14:paraId="2E67E931" w14:textId="6E40FC13" w:rsidR="00136D35" w:rsidRPr="0050256C" w:rsidRDefault="00136D35" w:rsidP="00136D35">
            <w:pPr>
              <w:jc w:val="center"/>
              <w:rPr>
                <w:rFonts w:ascii="Arial" w:hAnsi="Arial" w:cs="Arial"/>
                <w:sz w:val="18"/>
                <w:szCs w:val="18"/>
              </w:rPr>
            </w:pPr>
            <w:r>
              <w:rPr>
                <w:rFonts w:ascii="Arial" w:hAnsi="Arial" w:cs="Arial"/>
                <w:sz w:val="18"/>
                <w:szCs w:val="18"/>
              </w:rPr>
              <w:t>6%</w:t>
            </w:r>
          </w:p>
        </w:tc>
        <w:tc>
          <w:tcPr>
            <w:tcW w:w="1072" w:type="dxa"/>
            <w:tcBorders>
              <w:top w:val="single" w:sz="8" w:space="0" w:color="auto"/>
              <w:left w:val="nil"/>
              <w:bottom w:val="single" w:sz="8" w:space="0" w:color="auto"/>
              <w:right w:val="single" w:sz="8" w:space="0" w:color="auto"/>
            </w:tcBorders>
            <w:shd w:val="clear" w:color="000000" w:fill="FFFFFF"/>
            <w:noWrap/>
            <w:vAlign w:val="center"/>
          </w:tcPr>
          <w:p w14:paraId="6369BD2A" w14:textId="4E1360AF" w:rsidR="00136D35" w:rsidRPr="0050256C" w:rsidRDefault="00136D35" w:rsidP="00136D35">
            <w:pPr>
              <w:jc w:val="center"/>
              <w:rPr>
                <w:rFonts w:ascii="Arial" w:hAnsi="Arial" w:cs="Arial"/>
                <w:sz w:val="18"/>
                <w:szCs w:val="18"/>
              </w:rPr>
            </w:pPr>
            <w:r>
              <w:rPr>
                <w:rFonts w:ascii="Arial" w:hAnsi="Arial" w:cs="Arial"/>
                <w:sz w:val="18"/>
                <w:szCs w:val="18"/>
              </w:rPr>
              <w:t>8%</w:t>
            </w:r>
          </w:p>
        </w:tc>
        <w:tc>
          <w:tcPr>
            <w:tcW w:w="1178" w:type="dxa"/>
            <w:tcBorders>
              <w:top w:val="single" w:sz="8" w:space="0" w:color="auto"/>
              <w:left w:val="nil"/>
              <w:bottom w:val="single" w:sz="8" w:space="0" w:color="auto"/>
              <w:right w:val="single" w:sz="8" w:space="0" w:color="auto"/>
            </w:tcBorders>
            <w:shd w:val="clear" w:color="000000" w:fill="FFF2CC"/>
            <w:noWrap/>
            <w:vAlign w:val="center"/>
          </w:tcPr>
          <w:p w14:paraId="6A8ACF38" w14:textId="5870F61C" w:rsidR="00136D35" w:rsidRPr="0050256C" w:rsidRDefault="00136D35" w:rsidP="00136D35">
            <w:pPr>
              <w:jc w:val="center"/>
              <w:rPr>
                <w:rFonts w:ascii="Arial" w:hAnsi="Arial" w:cs="Arial"/>
                <w:sz w:val="18"/>
                <w:szCs w:val="18"/>
              </w:rPr>
            </w:pPr>
            <w:r>
              <w:rPr>
                <w:rFonts w:ascii="Arial" w:hAnsi="Arial" w:cs="Arial"/>
                <w:sz w:val="18"/>
                <w:szCs w:val="18"/>
              </w:rPr>
              <w:t>10%</w:t>
            </w:r>
          </w:p>
        </w:tc>
        <w:tc>
          <w:tcPr>
            <w:tcW w:w="1204" w:type="dxa"/>
            <w:tcBorders>
              <w:top w:val="single" w:sz="8" w:space="0" w:color="auto"/>
              <w:left w:val="nil"/>
              <w:bottom w:val="single" w:sz="8" w:space="0" w:color="auto"/>
              <w:right w:val="single" w:sz="8" w:space="0" w:color="auto"/>
            </w:tcBorders>
            <w:shd w:val="clear" w:color="000000" w:fill="FFF2CC"/>
            <w:noWrap/>
            <w:vAlign w:val="center"/>
          </w:tcPr>
          <w:p w14:paraId="6A3C84D0" w14:textId="5A35D12A" w:rsidR="00136D35" w:rsidRPr="001F3A78" w:rsidRDefault="00136D35" w:rsidP="00136D35">
            <w:pPr>
              <w:jc w:val="center"/>
              <w:rPr>
                <w:rFonts w:ascii="Arial" w:hAnsi="Arial" w:cs="Arial"/>
                <w:sz w:val="18"/>
                <w:szCs w:val="18"/>
              </w:rPr>
            </w:pPr>
            <w:r w:rsidRPr="00E95389">
              <w:rPr>
                <w:rFonts w:ascii="Arial" w:hAnsi="Arial" w:cs="Arial"/>
                <w:sz w:val="18"/>
                <w:szCs w:val="18"/>
              </w:rPr>
              <w:t>161</w:t>
            </w:r>
            <w:r>
              <w:rPr>
                <w:rFonts w:ascii="Arial" w:hAnsi="Arial" w:cs="Arial"/>
                <w:sz w:val="18"/>
                <w:szCs w:val="18"/>
              </w:rPr>
              <w:t>,</w:t>
            </w:r>
            <w:r w:rsidRPr="00E95389">
              <w:rPr>
                <w:rFonts w:ascii="Arial" w:hAnsi="Arial" w:cs="Arial"/>
                <w:sz w:val="18"/>
                <w:szCs w:val="18"/>
              </w:rPr>
              <w:t>53</w:t>
            </w:r>
          </w:p>
        </w:tc>
        <w:tc>
          <w:tcPr>
            <w:tcW w:w="1141" w:type="dxa"/>
            <w:tcBorders>
              <w:top w:val="single" w:sz="8" w:space="0" w:color="auto"/>
              <w:left w:val="nil"/>
              <w:bottom w:val="single" w:sz="8" w:space="0" w:color="auto"/>
              <w:right w:val="single" w:sz="8" w:space="0" w:color="auto"/>
            </w:tcBorders>
            <w:shd w:val="clear" w:color="000000" w:fill="FFFFFF"/>
            <w:noWrap/>
            <w:vAlign w:val="center"/>
          </w:tcPr>
          <w:p w14:paraId="2EC007DD" w14:textId="5DA613F8" w:rsidR="00136D35" w:rsidRPr="001F3A78" w:rsidRDefault="00136D35" w:rsidP="00136D35">
            <w:pPr>
              <w:jc w:val="center"/>
              <w:rPr>
                <w:rFonts w:ascii="Arial" w:hAnsi="Arial" w:cs="Arial"/>
                <w:sz w:val="18"/>
                <w:szCs w:val="18"/>
              </w:rPr>
            </w:pPr>
            <w:r w:rsidRPr="00E95389">
              <w:rPr>
                <w:rFonts w:ascii="Arial" w:hAnsi="Arial" w:cs="Arial"/>
                <w:sz w:val="18"/>
                <w:szCs w:val="18"/>
              </w:rPr>
              <w:t>205,45</w:t>
            </w:r>
          </w:p>
        </w:tc>
        <w:tc>
          <w:tcPr>
            <w:tcW w:w="1203" w:type="dxa"/>
            <w:tcBorders>
              <w:top w:val="single" w:sz="8" w:space="0" w:color="auto"/>
              <w:left w:val="nil"/>
              <w:bottom w:val="single" w:sz="8" w:space="0" w:color="auto"/>
              <w:right w:val="single" w:sz="4" w:space="0" w:color="auto"/>
            </w:tcBorders>
            <w:shd w:val="clear" w:color="000000" w:fill="FFF2CC"/>
            <w:noWrap/>
            <w:vAlign w:val="center"/>
          </w:tcPr>
          <w:p w14:paraId="17FA7D22" w14:textId="475902FC" w:rsidR="00136D35" w:rsidRPr="001F3A78" w:rsidRDefault="00136D35" w:rsidP="00136D35">
            <w:pPr>
              <w:jc w:val="center"/>
              <w:rPr>
                <w:rFonts w:ascii="Arial" w:hAnsi="Arial" w:cs="Arial"/>
                <w:sz w:val="18"/>
                <w:szCs w:val="18"/>
              </w:rPr>
            </w:pPr>
            <w:r w:rsidRPr="00E95389">
              <w:rPr>
                <w:rFonts w:ascii="Arial" w:hAnsi="Arial" w:cs="Arial"/>
                <w:sz w:val="18"/>
                <w:szCs w:val="18"/>
              </w:rPr>
              <w:t>265</w:t>
            </w:r>
            <w:r>
              <w:rPr>
                <w:rFonts w:ascii="Arial" w:hAnsi="Arial" w:cs="Arial"/>
                <w:sz w:val="18"/>
                <w:szCs w:val="18"/>
              </w:rPr>
              <w:t>,</w:t>
            </w:r>
            <w:r w:rsidRPr="00E95389">
              <w:rPr>
                <w:rFonts w:ascii="Arial" w:hAnsi="Arial" w:cs="Arial"/>
                <w:sz w:val="18"/>
                <w:szCs w:val="18"/>
              </w:rPr>
              <w:t>08</w:t>
            </w:r>
          </w:p>
        </w:tc>
      </w:tr>
      <w:tr w:rsidR="00136D35" w:rsidRPr="0050256C" w14:paraId="42DE4F65" w14:textId="77777777" w:rsidTr="00E95389">
        <w:trPr>
          <w:trHeight w:val="300"/>
        </w:trPr>
        <w:tc>
          <w:tcPr>
            <w:tcW w:w="1530" w:type="dxa"/>
            <w:vMerge/>
            <w:tcBorders>
              <w:left w:val="single" w:sz="4" w:space="0" w:color="auto"/>
              <w:bottom w:val="nil"/>
              <w:right w:val="single" w:sz="8" w:space="0" w:color="auto"/>
            </w:tcBorders>
            <w:shd w:val="clear" w:color="000000" w:fill="FFFFFF"/>
            <w:vAlign w:val="center"/>
          </w:tcPr>
          <w:p w14:paraId="1B3309C0" w14:textId="77777777" w:rsidR="00136D35" w:rsidRPr="0050256C" w:rsidRDefault="00136D35" w:rsidP="00136D35">
            <w:pPr>
              <w:jc w:val="center"/>
              <w:rPr>
                <w:rFonts w:ascii="Arial" w:hAnsi="Arial" w:cs="Arial"/>
                <w:b/>
                <w:bCs/>
                <w:sz w:val="18"/>
                <w:szCs w:val="18"/>
              </w:rPr>
            </w:pPr>
          </w:p>
        </w:tc>
        <w:tc>
          <w:tcPr>
            <w:tcW w:w="2260" w:type="dxa"/>
            <w:tcBorders>
              <w:top w:val="single" w:sz="8" w:space="0" w:color="auto"/>
              <w:left w:val="nil"/>
              <w:bottom w:val="single" w:sz="8" w:space="0" w:color="auto"/>
              <w:right w:val="single" w:sz="8" w:space="0" w:color="auto"/>
            </w:tcBorders>
            <w:shd w:val="clear" w:color="000000" w:fill="FFFFFF"/>
            <w:vAlign w:val="center"/>
          </w:tcPr>
          <w:p w14:paraId="1009BB15" w14:textId="77777777" w:rsidR="00136D35" w:rsidRPr="008451AA" w:rsidRDefault="00136D35" w:rsidP="00136D35">
            <w:pPr>
              <w:rPr>
                <w:rFonts w:ascii="Arial" w:hAnsi="Arial" w:cs="Arial"/>
                <w:sz w:val="18"/>
                <w:szCs w:val="18"/>
                <w:lang w:val="es-ES_tradnl"/>
              </w:rPr>
            </w:pPr>
            <w:r w:rsidRPr="008451AA">
              <w:rPr>
                <w:rFonts w:ascii="Arial" w:hAnsi="Arial" w:cs="Arial"/>
                <w:sz w:val="18"/>
                <w:szCs w:val="18"/>
                <w:lang w:val="es-ES_tradnl"/>
              </w:rPr>
              <w:t>Tasa de crecimiento de la brecha de ingresos de egresados de IEST públicos</w:t>
            </w:r>
          </w:p>
        </w:tc>
        <w:tc>
          <w:tcPr>
            <w:tcW w:w="1210" w:type="dxa"/>
            <w:tcBorders>
              <w:top w:val="single" w:sz="8" w:space="0" w:color="auto"/>
              <w:left w:val="nil"/>
              <w:bottom w:val="single" w:sz="8" w:space="0" w:color="auto"/>
              <w:right w:val="single" w:sz="8" w:space="0" w:color="auto"/>
            </w:tcBorders>
            <w:shd w:val="clear" w:color="000000" w:fill="FFF2CC"/>
            <w:noWrap/>
            <w:vAlign w:val="center"/>
          </w:tcPr>
          <w:p w14:paraId="605ACE2C" w14:textId="3CD45AFC" w:rsidR="00136D35" w:rsidRPr="0050256C" w:rsidRDefault="00136D35" w:rsidP="00136D35">
            <w:pPr>
              <w:jc w:val="center"/>
              <w:rPr>
                <w:rFonts w:ascii="Arial" w:hAnsi="Arial" w:cs="Arial"/>
                <w:sz w:val="18"/>
                <w:szCs w:val="18"/>
              </w:rPr>
            </w:pPr>
            <w:r>
              <w:rPr>
                <w:rFonts w:ascii="Arial" w:hAnsi="Arial" w:cs="Arial"/>
                <w:sz w:val="18"/>
                <w:szCs w:val="18"/>
              </w:rPr>
              <w:t>5%</w:t>
            </w:r>
          </w:p>
        </w:tc>
        <w:tc>
          <w:tcPr>
            <w:tcW w:w="1072" w:type="dxa"/>
            <w:tcBorders>
              <w:top w:val="single" w:sz="8" w:space="0" w:color="auto"/>
              <w:left w:val="nil"/>
              <w:bottom w:val="single" w:sz="8" w:space="0" w:color="auto"/>
              <w:right w:val="single" w:sz="8" w:space="0" w:color="auto"/>
            </w:tcBorders>
            <w:shd w:val="clear" w:color="000000" w:fill="FFFFFF"/>
            <w:noWrap/>
            <w:vAlign w:val="center"/>
          </w:tcPr>
          <w:p w14:paraId="16A45B02" w14:textId="39B33C6E" w:rsidR="00136D35" w:rsidRPr="0050256C" w:rsidRDefault="00136D35" w:rsidP="00136D35">
            <w:pPr>
              <w:jc w:val="center"/>
              <w:rPr>
                <w:rFonts w:ascii="Arial" w:hAnsi="Arial" w:cs="Arial"/>
                <w:sz w:val="18"/>
                <w:szCs w:val="18"/>
              </w:rPr>
            </w:pPr>
            <w:r>
              <w:rPr>
                <w:rFonts w:ascii="Arial" w:hAnsi="Arial" w:cs="Arial"/>
                <w:sz w:val="18"/>
                <w:szCs w:val="18"/>
              </w:rPr>
              <w:t>7%</w:t>
            </w:r>
          </w:p>
        </w:tc>
        <w:tc>
          <w:tcPr>
            <w:tcW w:w="1178" w:type="dxa"/>
            <w:tcBorders>
              <w:top w:val="single" w:sz="8" w:space="0" w:color="auto"/>
              <w:left w:val="nil"/>
              <w:bottom w:val="single" w:sz="8" w:space="0" w:color="auto"/>
              <w:right w:val="single" w:sz="8" w:space="0" w:color="auto"/>
            </w:tcBorders>
            <w:shd w:val="clear" w:color="000000" w:fill="FFF2CC"/>
            <w:noWrap/>
            <w:vAlign w:val="center"/>
          </w:tcPr>
          <w:p w14:paraId="3A441A38" w14:textId="2C221B5C" w:rsidR="00136D35" w:rsidRPr="0050256C" w:rsidRDefault="00136D35" w:rsidP="00136D35">
            <w:pPr>
              <w:jc w:val="center"/>
              <w:rPr>
                <w:rFonts w:ascii="Arial" w:hAnsi="Arial" w:cs="Arial"/>
                <w:sz w:val="18"/>
                <w:szCs w:val="18"/>
              </w:rPr>
            </w:pPr>
            <w:r>
              <w:rPr>
                <w:rFonts w:ascii="Arial" w:hAnsi="Arial" w:cs="Arial"/>
                <w:sz w:val="18"/>
                <w:szCs w:val="18"/>
              </w:rPr>
              <w:t>9%</w:t>
            </w:r>
          </w:p>
        </w:tc>
        <w:tc>
          <w:tcPr>
            <w:tcW w:w="1204" w:type="dxa"/>
            <w:tcBorders>
              <w:top w:val="single" w:sz="8" w:space="0" w:color="auto"/>
              <w:left w:val="nil"/>
              <w:bottom w:val="single" w:sz="8" w:space="0" w:color="auto"/>
              <w:right w:val="single" w:sz="8" w:space="0" w:color="auto"/>
            </w:tcBorders>
            <w:shd w:val="clear" w:color="000000" w:fill="FFF2CC"/>
            <w:noWrap/>
            <w:vAlign w:val="center"/>
          </w:tcPr>
          <w:p w14:paraId="61AE9C8D" w14:textId="33805245" w:rsidR="00136D35" w:rsidRPr="001F3A78" w:rsidRDefault="00136D35" w:rsidP="00136D35">
            <w:pPr>
              <w:jc w:val="center"/>
              <w:rPr>
                <w:rFonts w:ascii="Arial" w:hAnsi="Arial" w:cs="Arial"/>
                <w:sz w:val="18"/>
                <w:szCs w:val="18"/>
              </w:rPr>
            </w:pPr>
            <w:r w:rsidRPr="00E95389">
              <w:rPr>
                <w:rFonts w:ascii="Arial" w:hAnsi="Arial" w:cs="Arial"/>
                <w:sz w:val="18"/>
                <w:szCs w:val="18"/>
              </w:rPr>
              <w:t>202</w:t>
            </w:r>
            <w:r>
              <w:rPr>
                <w:rFonts w:ascii="Arial" w:hAnsi="Arial" w:cs="Arial"/>
                <w:sz w:val="18"/>
                <w:szCs w:val="18"/>
              </w:rPr>
              <w:t>,</w:t>
            </w:r>
            <w:r w:rsidRPr="00E95389">
              <w:rPr>
                <w:rFonts w:ascii="Arial" w:hAnsi="Arial" w:cs="Arial"/>
                <w:sz w:val="18"/>
                <w:szCs w:val="18"/>
              </w:rPr>
              <w:t>97</w:t>
            </w:r>
          </w:p>
        </w:tc>
        <w:tc>
          <w:tcPr>
            <w:tcW w:w="1141" w:type="dxa"/>
            <w:tcBorders>
              <w:top w:val="single" w:sz="8" w:space="0" w:color="auto"/>
              <w:left w:val="nil"/>
              <w:bottom w:val="single" w:sz="8" w:space="0" w:color="auto"/>
              <w:right w:val="single" w:sz="8" w:space="0" w:color="auto"/>
            </w:tcBorders>
            <w:shd w:val="clear" w:color="000000" w:fill="FFFFFF"/>
            <w:noWrap/>
            <w:vAlign w:val="center"/>
          </w:tcPr>
          <w:p w14:paraId="02B8AEA2" w14:textId="5CE0DD3B" w:rsidR="00136D35" w:rsidRPr="001F3A78" w:rsidRDefault="00136D35" w:rsidP="00136D35">
            <w:pPr>
              <w:jc w:val="center"/>
              <w:rPr>
                <w:rFonts w:ascii="Arial" w:hAnsi="Arial" w:cs="Arial"/>
                <w:sz w:val="18"/>
                <w:szCs w:val="18"/>
              </w:rPr>
            </w:pPr>
            <w:r w:rsidRPr="00E95389">
              <w:rPr>
                <w:rFonts w:ascii="Arial" w:hAnsi="Arial" w:cs="Arial"/>
                <w:sz w:val="18"/>
                <w:szCs w:val="18"/>
              </w:rPr>
              <w:t>205,45</w:t>
            </w:r>
          </w:p>
        </w:tc>
        <w:tc>
          <w:tcPr>
            <w:tcW w:w="1203" w:type="dxa"/>
            <w:tcBorders>
              <w:top w:val="single" w:sz="8" w:space="0" w:color="auto"/>
              <w:left w:val="nil"/>
              <w:bottom w:val="single" w:sz="8" w:space="0" w:color="auto"/>
              <w:right w:val="single" w:sz="4" w:space="0" w:color="auto"/>
            </w:tcBorders>
            <w:shd w:val="clear" w:color="000000" w:fill="FFF2CC"/>
            <w:noWrap/>
            <w:vAlign w:val="center"/>
          </w:tcPr>
          <w:p w14:paraId="0210356D" w14:textId="39941B2B" w:rsidR="00136D35" w:rsidRPr="001F3A78" w:rsidRDefault="00136D35" w:rsidP="00136D35">
            <w:pPr>
              <w:jc w:val="center"/>
              <w:rPr>
                <w:rFonts w:ascii="Arial" w:hAnsi="Arial" w:cs="Arial"/>
                <w:sz w:val="18"/>
                <w:szCs w:val="18"/>
              </w:rPr>
            </w:pPr>
            <w:r w:rsidRPr="00E95389">
              <w:rPr>
                <w:rFonts w:ascii="Arial" w:hAnsi="Arial" w:cs="Arial"/>
                <w:sz w:val="18"/>
                <w:szCs w:val="18"/>
              </w:rPr>
              <w:t>213</w:t>
            </w:r>
            <w:r>
              <w:rPr>
                <w:rFonts w:ascii="Arial" w:hAnsi="Arial" w:cs="Arial"/>
                <w:sz w:val="18"/>
                <w:szCs w:val="18"/>
              </w:rPr>
              <w:t>,</w:t>
            </w:r>
            <w:r w:rsidRPr="00E95389">
              <w:rPr>
                <w:rFonts w:ascii="Arial" w:hAnsi="Arial" w:cs="Arial"/>
                <w:sz w:val="18"/>
                <w:szCs w:val="18"/>
              </w:rPr>
              <w:t>21</w:t>
            </w:r>
          </w:p>
        </w:tc>
      </w:tr>
      <w:tr w:rsidR="00136D35" w:rsidRPr="0050256C" w14:paraId="6A7952DA" w14:textId="77777777" w:rsidTr="00E95389">
        <w:trPr>
          <w:trHeight w:val="107"/>
        </w:trPr>
        <w:tc>
          <w:tcPr>
            <w:tcW w:w="1530" w:type="dxa"/>
            <w:vMerge w:val="restart"/>
            <w:tcBorders>
              <w:top w:val="single" w:sz="8" w:space="0" w:color="auto"/>
              <w:left w:val="single" w:sz="4" w:space="0" w:color="auto"/>
              <w:right w:val="single" w:sz="8" w:space="0" w:color="auto"/>
            </w:tcBorders>
            <w:shd w:val="clear" w:color="000000" w:fill="FFFFFF"/>
            <w:vAlign w:val="center"/>
            <w:hideMark/>
          </w:tcPr>
          <w:p w14:paraId="6598BA63" w14:textId="77777777" w:rsidR="00136D35" w:rsidRPr="007C212B" w:rsidRDefault="00136D35" w:rsidP="00136D35">
            <w:pPr>
              <w:jc w:val="center"/>
              <w:rPr>
                <w:rFonts w:ascii="Arial" w:hAnsi="Arial" w:cs="Arial"/>
                <w:b/>
                <w:bCs/>
                <w:sz w:val="20"/>
                <w:szCs w:val="20"/>
                <w:lang w:val="es-ES_tradnl" w:eastAsia="es-ES"/>
              </w:rPr>
            </w:pPr>
            <w:r w:rsidRPr="007C212B">
              <w:rPr>
                <w:rFonts w:ascii="Arial" w:hAnsi="Arial" w:cs="Arial"/>
                <w:b/>
                <w:sz w:val="18"/>
                <w:szCs w:val="18"/>
                <w:lang w:val="es-ES_tradnl"/>
              </w:rPr>
              <w:t xml:space="preserve">Mejora de la infraestructura y equipamiento de las </w:t>
            </w:r>
            <w:r>
              <w:rPr>
                <w:rFonts w:ascii="Arial" w:hAnsi="Arial" w:cs="Arial"/>
                <w:b/>
                <w:sz w:val="18"/>
                <w:szCs w:val="18"/>
                <w:lang w:val="es-ES_tradnl"/>
              </w:rPr>
              <w:t>IES</w:t>
            </w:r>
            <w:r w:rsidRPr="007C212B">
              <w:rPr>
                <w:rFonts w:ascii="Arial" w:hAnsi="Arial" w:cs="Arial"/>
                <w:b/>
                <w:sz w:val="18"/>
                <w:szCs w:val="18"/>
                <w:lang w:val="es-ES_tradnl"/>
              </w:rPr>
              <w:t xml:space="preserve"> pública</w:t>
            </w:r>
            <w:r>
              <w:rPr>
                <w:rFonts w:ascii="Arial" w:hAnsi="Arial" w:cs="Arial"/>
                <w:b/>
                <w:sz w:val="18"/>
                <w:szCs w:val="18"/>
                <w:lang w:val="es-ES_tradnl"/>
              </w:rPr>
              <w:t>s</w:t>
            </w:r>
          </w:p>
        </w:tc>
        <w:tc>
          <w:tcPr>
            <w:tcW w:w="2260" w:type="dxa"/>
            <w:tcBorders>
              <w:top w:val="single" w:sz="8" w:space="0" w:color="auto"/>
              <w:left w:val="nil"/>
              <w:bottom w:val="single" w:sz="8" w:space="0" w:color="auto"/>
              <w:right w:val="single" w:sz="8" w:space="0" w:color="auto"/>
            </w:tcBorders>
            <w:shd w:val="clear" w:color="000000" w:fill="FFFFFF"/>
            <w:vAlign w:val="center"/>
          </w:tcPr>
          <w:p w14:paraId="2F336552" w14:textId="77777777" w:rsidR="00136D35" w:rsidRPr="0050256C" w:rsidRDefault="00136D35" w:rsidP="00136D35">
            <w:pPr>
              <w:rPr>
                <w:rFonts w:ascii="Arial" w:hAnsi="Arial" w:cs="Arial"/>
                <w:sz w:val="18"/>
                <w:szCs w:val="18"/>
              </w:rPr>
            </w:pPr>
            <w:r>
              <w:rPr>
                <w:rFonts w:ascii="Arial" w:hAnsi="Arial" w:cs="Arial"/>
                <w:sz w:val="18"/>
                <w:szCs w:val="18"/>
              </w:rPr>
              <w:t>Impacto de la infraestructura</w:t>
            </w:r>
          </w:p>
        </w:tc>
        <w:tc>
          <w:tcPr>
            <w:tcW w:w="1210" w:type="dxa"/>
            <w:tcBorders>
              <w:top w:val="single" w:sz="8" w:space="0" w:color="auto"/>
              <w:left w:val="nil"/>
              <w:bottom w:val="single" w:sz="8" w:space="0" w:color="auto"/>
              <w:right w:val="single" w:sz="8" w:space="0" w:color="auto"/>
            </w:tcBorders>
            <w:shd w:val="clear" w:color="000000" w:fill="FFF2CC"/>
            <w:noWrap/>
            <w:vAlign w:val="center"/>
          </w:tcPr>
          <w:p w14:paraId="61C2D035" w14:textId="77777777" w:rsidR="00136D35" w:rsidRPr="0050256C" w:rsidRDefault="00136D35" w:rsidP="00136D35">
            <w:pPr>
              <w:jc w:val="center"/>
              <w:rPr>
                <w:rFonts w:ascii="Arial" w:hAnsi="Arial" w:cs="Arial"/>
                <w:sz w:val="18"/>
                <w:szCs w:val="18"/>
              </w:rPr>
            </w:pPr>
            <w:r>
              <w:rPr>
                <w:rFonts w:ascii="Arial" w:hAnsi="Arial" w:cs="Arial"/>
                <w:sz w:val="18"/>
                <w:szCs w:val="18"/>
              </w:rPr>
              <w:t>10%</w:t>
            </w:r>
          </w:p>
        </w:tc>
        <w:tc>
          <w:tcPr>
            <w:tcW w:w="1072" w:type="dxa"/>
            <w:tcBorders>
              <w:top w:val="single" w:sz="8" w:space="0" w:color="auto"/>
              <w:left w:val="nil"/>
              <w:bottom w:val="single" w:sz="8" w:space="0" w:color="auto"/>
              <w:right w:val="single" w:sz="8" w:space="0" w:color="auto"/>
            </w:tcBorders>
            <w:shd w:val="clear" w:color="000000" w:fill="FFFFFF"/>
            <w:noWrap/>
            <w:vAlign w:val="center"/>
          </w:tcPr>
          <w:p w14:paraId="09BA5DCB" w14:textId="77777777" w:rsidR="00136D35" w:rsidRPr="0050256C" w:rsidRDefault="00136D35" w:rsidP="00136D35">
            <w:pPr>
              <w:jc w:val="center"/>
              <w:rPr>
                <w:rFonts w:ascii="Arial" w:hAnsi="Arial" w:cs="Arial"/>
                <w:sz w:val="18"/>
                <w:szCs w:val="18"/>
              </w:rPr>
            </w:pPr>
            <w:r>
              <w:rPr>
                <w:rFonts w:ascii="Arial" w:hAnsi="Arial" w:cs="Arial"/>
                <w:sz w:val="18"/>
                <w:szCs w:val="18"/>
              </w:rPr>
              <w:t>15%</w:t>
            </w:r>
          </w:p>
        </w:tc>
        <w:tc>
          <w:tcPr>
            <w:tcW w:w="1178" w:type="dxa"/>
            <w:tcBorders>
              <w:top w:val="single" w:sz="8" w:space="0" w:color="auto"/>
              <w:left w:val="nil"/>
              <w:bottom w:val="single" w:sz="8" w:space="0" w:color="auto"/>
              <w:right w:val="single" w:sz="8" w:space="0" w:color="auto"/>
            </w:tcBorders>
            <w:shd w:val="clear" w:color="000000" w:fill="FFF2CC"/>
            <w:noWrap/>
            <w:vAlign w:val="center"/>
          </w:tcPr>
          <w:p w14:paraId="4DACF4BC" w14:textId="77777777" w:rsidR="00136D35" w:rsidRPr="0050256C" w:rsidRDefault="00136D35" w:rsidP="00136D35">
            <w:pPr>
              <w:jc w:val="center"/>
              <w:rPr>
                <w:rFonts w:ascii="Arial" w:hAnsi="Arial" w:cs="Arial"/>
                <w:sz w:val="18"/>
                <w:szCs w:val="18"/>
              </w:rPr>
            </w:pPr>
            <w:r>
              <w:rPr>
                <w:rFonts w:ascii="Arial" w:hAnsi="Arial" w:cs="Arial"/>
                <w:sz w:val="18"/>
                <w:szCs w:val="18"/>
              </w:rPr>
              <w:t>20%</w:t>
            </w:r>
          </w:p>
        </w:tc>
        <w:tc>
          <w:tcPr>
            <w:tcW w:w="1204" w:type="dxa"/>
            <w:tcBorders>
              <w:top w:val="single" w:sz="8" w:space="0" w:color="auto"/>
              <w:left w:val="nil"/>
              <w:bottom w:val="single" w:sz="8" w:space="0" w:color="auto"/>
              <w:right w:val="single" w:sz="8" w:space="0" w:color="auto"/>
            </w:tcBorders>
            <w:shd w:val="clear" w:color="000000" w:fill="FFF2CC"/>
            <w:noWrap/>
            <w:vAlign w:val="center"/>
          </w:tcPr>
          <w:p w14:paraId="7F35AEC7" w14:textId="01E30855" w:rsidR="00136D35" w:rsidRPr="0050256C" w:rsidRDefault="00136D35" w:rsidP="00136D35">
            <w:pPr>
              <w:jc w:val="center"/>
              <w:rPr>
                <w:rFonts w:ascii="Arial" w:hAnsi="Arial" w:cs="Arial"/>
                <w:sz w:val="18"/>
                <w:szCs w:val="18"/>
              </w:rPr>
            </w:pPr>
            <w:r w:rsidRPr="00E95389">
              <w:rPr>
                <w:rFonts w:ascii="Arial" w:hAnsi="Arial" w:cs="Arial"/>
                <w:sz w:val="18"/>
                <w:szCs w:val="18"/>
              </w:rPr>
              <w:t>76</w:t>
            </w:r>
            <w:r>
              <w:rPr>
                <w:rFonts w:ascii="Arial" w:hAnsi="Arial" w:cs="Arial"/>
                <w:sz w:val="18"/>
                <w:szCs w:val="18"/>
              </w:rPr>
              <w:t>,</w:t>
            </w:r>
            <w:r w:rsidRPr="00E95389">
              <w:rPr>
                <w:rFonts w:ascii="Arial" w:hAnsi="Arial" w:cs="Arial"/>
                <w:sz w:val="18"/>
                <w:szCs w:val="18"/>
              </w:rPr>
              <w:t>20</w:t>
            </w:r>
          </w:p>
        </w:tc>
        <w:tc>
          <w:tcPr>
            <w:tcW w:w="1141" w:type="dxa"/>
            <w:tcBorders>
              <w:top w:val="single" w:sz="8" w:space="0" w:color="auto"/>
              <w:left w:val="nil"/>
              <w:bottom w:val="single" w:sz="8" w:space="0" w:color="auto"/>
              <w:right w:val="single" w:sz="8" w:space="0" w:color="auto"/>
            </w:tcBorders>
            <w:shd w:val="clear" w:color="000000" w:fill="FFFFFF"/>
            <w:noWrap/>
            <w:vAlign w:val="center"/>
          </w:tcPr>
          <w:p w14:paraId="497F0A5E" w14:textId="7DC351D5" w:rsidR="00136D35" w:rsidRPr="0050256C" w:rsidRDefault="00136D35" w:rsidP="00136D35">
            <w:pPr>
              <w:jc w:val="center"/>
              <w:rPr>
                <w:rFonts w:ascii="Arial" w:hAnsi="Arial" w:cs="Arial"/>
                <w:sz w:val="18"/>
                <w:szCs w:val="18"/>
              </w:rPr>
            </w:pPr>
            <w:r w:rsidRPr="00E95389">
              <w:rPr>
                <w:rFonts w:ascii="Arial" w:hAnsi="Arial" w:cs="Arial"/>
                <w:sz w:val="18"/>
                <w:szCs w:val="18"/>
              </w:rPr>
              <w:t>205,45</w:t>
            </w:r>
          </w:p>
        </w:tc>
        <w:tc>
          <w:tcPr>
            <w:tcW w:w="1203" w:type="dxa"/>
            <w:tcBorders>
              <w:top w:val="single" w:sz="8" w:space="0" w:color="auto"/>
              <w:left w:val="nil"/>
              <w:bottom w:val="single" w:sz="8" w:space="0" w:color="auto"/>
              <w:right w:val="single" w:sz="4" w:space="0" w:color="auto"/>
            </w:tcBorders>
            <w:shd w:val="clear" w:color="000000" w:fill="FFF2CC"/>
            <w:noWrap/>
            <w:vAlign w:val="center"/>
          </w:tcPr>
          <w:p w14:paraId="29BD9E94" w14:textId="492757FC" w:rsidR="00136D35" w:rsidRPr="0050256C" w:rsidRDefault="00136D35" w:rsidP="00136D35">
            <w:pPr>
              <w:jc w:val="center"/>
              <w:rPr>
                <w:rFonts w:ascii="Arial" w:hAnsi="Arial" w:cs="Arial"/>
                <w:sz w:val="18"/>
                <w:szCs w:val="18"/>
              </w:rPr>
            </w:pPr>
            <w:r w:rsidRPr="00E95389">
              <w:rPr>
                <w:rFonts w:ascii="Arial" w:hAnsi="Arial" w:cs="Arial"/>
                <w:sz w:val="18"/>
                <w:szCs w:val="18"/>
              </w:rPr>
              <w:t>339</w:t>
            </w:r>
            <w:r>
              <w:rPr>
                <w:rFonts w:ascii="Arial" w:hAnsi="Arial" w:cs="Arial"/>
                <w:sz w:val="18"/>
                <w:szCs w:val="18"/>
              </w:rPr>
              <w:t>,</w:t>
            </w:r>
            <w:r w:rsidRPr="00E95389">
              <w:rPr>
                <w:rFonts w:ascii="Arial" w:hAnsi="Arial" w:cs="Arial"/>
                <w:sz w:val="18"/>
                <w:szCs w:val="18"/>
              </w:rPr>
              <w:t>05</w:t>
            </w:r>
          </w:p>
        </w:tc>
      </w:tr>
      <w:tr w:rsidR="00136D35" w:rsidRPr="0050256C" w14:paraId="31F46FC4" w14:textId="77777777" w:rsidTr="00E95389">
        <w:trPr>
          <w:trHeight w:val="107"/>
        </w:trPr>
        <w:tc>
          <w:tcPr>
            <w:tcW w:w="1530" w:type="dxa"/>
            <w:vMerge/>
            <w:tcBorders>
              <w:top w:val="single" w:sz="8" w:space="0" w:color="auto"/>
              <w:left w:val="single" w:sz="4" w:space="0" w:color="auto"/>
              <w:right w:val="single" w:sz="8" w:space="0" w:color="auto"/>
            </w:tcBorders>
            <w:shd w:val="clear" w:color="000000" w:fill="FFFFFF"/>
            <w:vAlign w:val="center"/>
          </w:tcPr>
          <w:p w14:paraId="4B6C7326" w14:textId="77777777" w:rsidR="00136D35" w:rsidRPr="0050256C" w:rsidRDefault="00136D35" w:rsidP="00136D35">
            <w:pPr>
              <w:jc w:val="center"/>
              <w:rPr>
                <w:rFonts w:ascii="Arial" w:hAnsi="Arial" w:cs="Arial"/>
                <w:b/>
                <w:sz w:val="18"/>
                <w:szCs w:val="18"/>
              </w:rPr>
            </w:pPr>
          </w:p>
        </w:tc>
        <w:tc>
          <w:tcPr>
            <w:tcW w:w="2260" w:type="dxa"/>
            <w:tcBorders>
              <w:top w:val="single" w:sz="8" w:space="0" w:color="auto"/>
              <w:left w:val="nil"/>
              <w:bottom w:val="single" w:sz="8" w:space="0" w:color="auto"/>
              <w:right w:val="single" w:sz="8" w:space="0" w:color="auto"/>
            </w:tcBorders>
            <w:shd w:val="clear" w:color="000000" w:fill="FFFFFF"/>
            <w:vAlign w:val="center"/>
          </w:tcPr>
          <w:p w14:paraId="1A8A5F9C" w14:textId="77777777" w:rsidR="00136D35" w:rsidRPr="008451AA" w:rsidRDefault="00136D35" w:rsidP="00136D35">
            <w:pPr>
              <w:rPr>
                <w:rFonts w:ascii="Arial" w:hAnsi="Arial" w:cs="Arial"/>
                <w:sz w:val="18"/>
                <w:szCs w:val="18"/>
                <w:lang w:val="es-ES_tradnl"/>
              </w:rPr>
            </w:pPr>
            <w:r w:rsidRPr="008451AA">
              <w:rPr>
                <w:rFonts w:ascii="Arial" w:hAnsi="Arial" w:cs="Arial"/>
                <w:sz w:val="18"/>
                <w:szCs w:val="18"/>
                <w:lang w:val="es-ES_tradnl"/>
              </w:rPr>
              <w:t xml:space="preserve">Tasa de crecimiento del ingreso promedio de egresados de </w:t>
            </w:r>
            <w:r w:rsidRPr="008451AA">
              <w:rPr>
                <w:rFonts w:ascii="Arial" w:hAnsi="Arial" w:cs="Arial"/>
                <w:sz w:val="18"/>
                <w:szCs w:val="18"/>
                <w:lang w:val="es-ES_tradnl"/>
              </w:rPr>
              <w:lastRenderedPageBreak/>
              <w:t>universidades públicas</w:t>
            </w:r>
          </w:p>
        </w:tc>
        <w:tc>
          <w:tcPr>
            <w:tcW w:w="1210" w:type="dxa"/>
            <w:tcBorders>
              <w:top w:val="single" w:sz="8" w:space="0" w:color="auto"/>
              <w:left w:val="nil"/>
              <w:bottom w:val="single" w:sz="8" w:space="0" w:color="auto"/>
              <w:right w:val="single" w:sz="8" w:space="0" w:color="auto"/>
            </w:tcBorders>
            <w:shd w:val="clear" w:color="000000" w:fill="FFF2CC"/>
            <w:noWrap/>
            <w:vAlign w:val="center"/>
          </w:tcPr>
          <w:p w14:paraId="49829F3D" w14:textId="77777777" w:rsidR="00136D35" w:rsidRDefault="00136D35" w:rsidP="00136D35">
            <w:pPr>
              <w:jc w:val="center"/>
              <w:rPr>
                <w:rFonts w:ascii="Arial" w:hAnsi="Arial" w:cs="Arial"/>
                <w:sz w:val="18"/>
                <w:szCs w:val="18"/>
              </w:rPr>
            </w:pPr>
            <w:r>
              <w:rPr>
                <w:rFonts w:ascii="Arial" w:hAnsi="Arial" w:cs="Arial"/>
                <w:sz w:val="18"/>
                <w:szCs w:val="18"/>
              </w:rPr>
              <w:lastRenderedPageBreak/>
              <w:t>1%</w:t>
            </w:r>
          </w:p>
        </w:tc>
        <w:tc>
          <w:tcPr>
            <w:tcW w:w="1072" w:type="dxa"/>
            <w:tcBorders>
              <w:top w:val="single" w:sz="8" w:space="0" w:color="auto"/>
              <w:left w:val="nil"/>
              <w:bottom w:val="single" w:sz="8" w:space="0" w:color="auto"/>
              <w:right w:val="single" w:sz="8" w:space="0" w:color="auto"/>
            </w:tcBorders>
            <w:shd w:val="clear" w:color="000000" w:fill="FFFFFF"/>
            <w:noWrap/>
            <w:vAlign w:val="center"/>
          </w:tcPr>
          <w:p w14:paraId="3323D083" w14:textId="77777777" w:rsidR="00136D35" w:rsidRDefault="00136D35" w:rsidP="00136D35">
            <w:pPr>
              <w:jc w:val="center"/>
              <w:rPr>
                <w:rFonts w:ascii="Arial" w:hAnsi="Arial" w:cs="Arial"/>
                <w:sz w:val="18"/>
                <w:szCs w:val="18"/>
              </w:rPr>
            </w:pPr>
            <w:r>
              <w:rPr>
                <w:rFonts w:ascii="Arial" w:hAnsi="Arial" w:cs="Arial"/>
                <w:sz w:val="18"/>
                <w:szCs w:val="18"/>
              </w:rPr>
              <w:t>3%</w:t>
            </w:r>
          </w:p>
        </w:tc>
        <w:tc>
          <w:tcPr>
            <w:tcW w:w="1178" w:type="dxa"/>
            <w:tcBorders>
              <w:top w:val="single" w:sz="8" w:space="0" w:color="auto"/>
              <w:left w:val="nil"/>
              <w:bottom w:val="single" w:sz="8" w:space="0" w:color="auto"/>
              <w:right w:val="single" w:sz="8" w:space="0" w:color="auto"/>
            </w:tcBorders>
            <w:shd w:val="clear" w:color="000000" w:fill="FFF2CC"/>
            <w:noWrap/>
            <w:vAlign w:val="center"/>
          </w:tcPr>
          <w:p w14:paraId="0002F3E8" w14:textId="77777777" w:rsidR="00136D35" w:rsidRDefault="00136D35" w:rsidP="00136D35">
            <w:pPr>
              <w:jc w:val="center"/>
              <w:rPr>
                <w:rFonts w:ascii="Arial" w:hAnsi="Arial" w:cs="Arial"/>
                <w:sz w:val="18"/>
                <w:szCs w:val="18"/>
              </w:rPr>
            </w:pPr>
            <w:r>
              <w:rPr>
                <w:rFonts w:ascii="Arial" w:hAnsi="Arial" w:cs="Arial"/>
                <w:sz w:val="18"/>
                <w:szCs w:val="18"/>
              </w:rPr>
              <w:t>5%</w:t>
            </w:r>
          </w:p>
        </w:tc>
        <w:tc>
          <w:tcPr>
            <w:tcW w:w="1204" w:type="dxa"/>
            <w:tcBorders>
              <w:top w:val="single" w:sz="8" w:space="0" w:color="auto"/>
              <w:left w:val="nil"/>
              <w:bottom w:val="single" w:sz="8" w:space="0" w:color="auto"/>
              <w:right w:val="single" w:sz="8" w:space="0" w:color="auto"/>
            </w:tcBorders>
            <w:shd w:val="clear" w:color="000000" w:fill="FFF2CC"/>
            <w:noWrap/>
            <w:vAlign w:val="center"/>
          </w:tcPr>
          <w:p w14:paraId="0C53B53F" w14:textId="056735D8" w:rsidR="00136D35" w:rsidRPr="0050256C" w:rsidRDefault="00136D35" w:rsidP="00136D35">
            <w:pPr>
              <w:jc w:val="center"/>
              <w:rPr>
                <w:rFonts w:ascii="Arial" w:hAnsi="Arial" w:cs="Arial"/>
                <w:sz w:val="18"/>
                <w:szCs w:val="18"/>
              </w:rPr>
            </w:pPr>
            <w:r w:rsidRPr="00E95389">
              <w:rPr>
                <w:rFonts w:ascii="Arial" w:hAnsi="Arial" w:cs="Arial"/>
                <w:sz w:val="18"/>
                <w:szCs w:val="18"/>
              </w:rPr>
              <w:t>146</w:t>
            </w:r>
            <w:r>
              <w:rPr>
                <w:rFonts w:ascii="Arial" w:hAnsi="Arial" w:cs="Arial"/>
                <w:sz w:val="18"/>
                <w:szCs w:val="18"/>
              </w:rPr>
              <w:t>,</w:t>
            </w:r>
            <w:r w:rsidRPr="00E95389">
              <w:rPr>
                <w:rFonts w:ascii="Arial" w:hAnsi="Arial" w:cs="Arial"/>
                <w:sz w:val="18"/>
                <w:szCs w:val="18"/>
              </w:rPr>
              <w:t>80</w:t>
            </w:r>
          </w:p>
        </w:tc>
        <w:tc>
          <w:tcPr>
            <w:tcW w:w="1141" w:type="dxa"/>
            <w:tcBorders>
              <w:top w:val="single" w:sz="8" w:space="0" w:color="auto"/>
              <w:left w:val="nil"/>
              <w:bottom w:val="single" w:sz="8" w:space="0" w:color="auto"/>
              <w:right w:val="single" w:sz="8" w:space="0" w:color="auto"/>
            </w:tcBorders>
            <w:shd w:val="clear" w:color="000000" w:fill="FFFFFF"/>
            <w:noWrap/>
            <w:vAlign w:val="center"/>
          </w:tcPr>
          <w:p w14:paraId="025CDA94" w14:textId="63894408" w:rsidR="00136D35" w:rsidRPr="0050256C" w:rsidRDefault="00136D35" w:rsidP="00136D35">
            <w:pPr>
              <w:jc w:val="center"/>
              <w:rPr>
                <w:rFonts w:ascii="Arial" w:hAnsi="Arial" w:cs="Arial"/>
                <w:sz w:val="18"/>
                <w:szCs w:val="18"/>
              </w:rPr>
            </w:pPr>
            <w:r w:rsidRPr="00E95389">
              <w:rPr>
                <w:rFonts w:ascii="Arial" w:hAnsi="Arial" w:cs="Arial"/>
                <w:sz w:val="18"/>
                <w:szCs w:val="18"/>
              </w:rPr>
              <w:t>205,45</w:t>
            </w:r>
          </w:p>
        </w:tc>
        <w:tc>
          <w:tcPr>
            <w:tcW w:w="1203" w:type="dxa"/>
            <w:tcBorders>
              <w:top w:val="single" w:sz="8" w:space="0" w:color="auto"/>
              <w:left w:val="nil"/>
              <w:bottom w:val="single" w:sz="8" w:space="0" w:color="auto"/>
              <w:right w:val="single" w:sz="4" w:space="0" w:color="auto"/>
            </w:tcBorders>
            <w:shd w:val="clear" w:color="000000" w:fill="FFF2CC"/>
            <w:noWrap/>
            <w:vAlign w:val="center"/>
          </w:tcPr>
          <w:p w14:paraId="3F3A12EA" w14:textId="2403D953" w:rsidR="00136D35" w:rsidRPr="0050256C" w:rsidRDefault="00136D35" w:rsidP="00136D35">
            <w:pPr>
              <w:jc w:val="center"/>
              <w:rPr>
                <w:rFonts w:ascii="Arial" w:hAnsi="Arial" w:cs="Arial"/>
                <w:sz w:val="18"/>
                <w:szCs w:val="18"/>
              </w:rPr>
            </w:pPr>
            <w:r w:rsidRPr="00E95389">
              <w:rPr>
                <w:rFonts w:ascii="Arial" w:hAnsi="Arial" w:cs="Arial"/>
                <w:sz w:val="18"/>
                <w:szCs w:val="18"/>
              </w:rPr>
              <w:t>239</w:t>
            </w:r>
            <w:r>
              <w:rPr>
                <w:rFonts w:ascii="Arial" w:hAnsi="Arial" w:cs="Arial"/>
                <w:sz w:val="18"/>
                <w:szCs w:val="18"/>
              </w:rPr>
              <w:t>,</w:t>
            </w:r>
            <w:r w:rsidRPr="00E95389">
              <w:rPr>
                <w:rFonts w:ascii="Arial" w:hAnsi="Arial" w:cs="Arial"/>
                <w:sz w:val="18"/>
                <w:szCs w:val="18"/>
              </w:rPr>
              <w:t>02</w:t>
            </w:r>
          </w:p>
        </w:tc>
      </w:tr>
      <w:tr w:rsidR="00136D35" w:rsidRPr="0050256C" w14:paraId="3F92CDF9" w14:textId="77777777" w:rsidTr="00E95389">
        <w:trPr>
          <w:trHeight w:val="570"/>
        </w:trPr>
        <w:tc>
          <w:tcPr>
            <w:tcW w:w="1530" w:type="dxa"/>
            <w:vMerge/>
            <w:tcBorders>
              <w:left w:val="single" w:sz="4" w:space="0" w:color="auto"/>
              <w:bottom w:val="single" w:sz="4" w:space="0" w:color="auto"/>
              <w:right w:val="single" w:sz="8" w:space="0" w:color="auto"/>
            </w:tcBorders>
            <w:shd w:val="clear" w:color="000000" w:fill="FFFFFF"/>
            <w:vAlign w:val="center"/>
          </w:tcPr>
          <w:p w14:paraId="09707651" w14:textId="77777777" w:rsidR="00136D35" w:rsidRPr="0050256C" w:rsidRDefault="00136D35" w:rsidP="00136D35">
            <w:pPr>
              <w:jc w:val="center"/>
              <w:rPr>
                <w:rFonts w:ascii="Arial" w:hAnsi="Arial" w:cs="Arial"/>
                <w:b/>
                <w:sz w:val="18"/>
                <w:szCs w:val="18"/>
              </w:rPr>
            </w:pPr>
          </w:p>
        </w:tc>
        <w:tc>
          <w:tcPr>
            <w:tcW w:w="2260" w:type="dxa"/>
            <w:tcBorders>
              <w:top w:val="single" w:sz="8" w:space="0" w:color="auto"/>
              <w:left w:val="nil"/>
              <w:bottom w:val="single" w:sz="4" w:space="0" w:color="auto"/>
              <w:right w:val="single" w:sz="8" w:space="0" w:color="auto"/>
            </w:tcBorders>
            <w:shd w:val="clear" w:color="000000" w:fill="FFFFFF"/>
            <w:vAlign w:val="center"/>
          </w:tcPr>
          <w:p w14:paraId="3A77B92C" w14:textId="77777777" w:rsidR="00136D35" w:rsidRPr="008451AA" w:rsidRDefault="00136D35" w:rsidP="00136D35">
            <w:pPr>
              <w:rPr>
                <w:rFonts w:ascii="Arial" w:hAnsi="Arial" w:cs="Arial"/>
                <w:sz w:val="18"/>
                <w:szCs w:val="18"/>
                <w:lang w:val="es-ES_tradnl"/>
              </w:rPr>
            </w:pPr>
            <w:r w:rsidRPr="008451AA">
              <w:rPr>
                <w:rFonts w:ascii="Arial" w:hAnsi="Arial" w:cs="Arial"/>
                <w:sz w:val="18"/>
                <w:szCs w:val="18"/>
                <w:lang w:val="es-ES_tradnl"/>
              </w:rPr>
              <w:t>Tasa de crecimiento del ingreso promedio de egresados de IEST públicos</w:t>
            </w:r>
          </w:p>
        </w:tc>
        <w:tc>
          <w:tcPr>
            <w:tcW w:w="1210" w:type="dxa"/>
            <w:tcBorders>
              <w:top w:val="single" w:sz="8" w:space="0" w:color="auto"/>
              <w:left w:val="nil"/>
              <w:bottom w:val="single" w:sz="4" w:space="0" w:color="auto"/>
              <w:right w:val="single" w:sz="8" w:space="0" w:color="auto"/>
            </w:tcBorders>
            <w:shd w:val="clear" w:color="000000" w:fill="FFF2CC"/>
            <w:noWrap/>
            <w:vAlign w:val="center"/>
          </w:tcPr>
          <w:p w14:paraId="1E07AC38" w14:textId="77777777" w:rsidR="00136D35" w:rsidRPr="0050256C" w:rsidRDefault="00136D35" w:rsidP="00136D35">
            <w:pPr>
              <w:jc w:val="center"/>
              <w:rPr>
                <w:rFonts w:ascii="Arial" w:hAnsi="Arial" w:cs="Arial"/>
                <w:sz w:val="18"/>
                <w:szCs w:val="18"/>
              </w:rPr>
            </w:pPr>
            <w:r>
              <w:rPr>
                <w:rFonts w:ascii="Arial" w:hAnsi="Arial" w:cs="Arial"/>
                <w:sz w:val="18"/>
                <w:szCs w:val="18"/>
              </w:rPr>
              <w:t>1%</w:t>
            </w:r>
          </w:p>
        </w:tc>
        <w:tc>
          <w:tcPr>
            <w:tcW w:w="1072" w:type="dxa"/>
            <w:tcBorders>
              <w:top w:val="single" w:sz="8" w:space="0" w:color="auto"/>
              <w:left w:val="nil"/>
              <w:bottom w:val="single" w:sz="4" w:space="0" w:color="auto"/>
              <w:right w:val="single" w:sz="8" w:space="0" w:color="auto"/>
            </w:tcBorders>
            <w:shd w:val="clear" w:color="000000" w:fill="FFFFFF"/>
            <w:noWrap/>
            <w:vAlign w:val="center"/>
          </w:tcPr>
          <w:p w14:paraId="2766B504" w14:textId="77777777" w:rsidR="00136D35" w:rsidRPr="0050256C" w:rsidRDefault="00136D35" w:rsidP="00136D35">
            <w:pPr>
              <w:jc w:val="center"/>
              <w:rPr>
                <w:rFonts w:ascii="Arial" w:hAnsi="Arial" w:cs="Arial"/>
                <w:sz w:val="18"/>
                <w:szCs w:val="18"/>
              </w:rPr>
            </w:pPr>
            <w:r>
              <w:rPr>
                <w:rFonts w:ascii="Arial" w:hAnsi="Arial" w:cs="Arial"/>
                <w:sz w:val="18"/>
                <w:szCs w:val="18"/>
              </w:rPr>
              <w:t>3%</w:t>
            </w:r>
          </w:p>
        </w:tc>
        <w:tc>
          <w:tcPr>
            <w:tcW w:w="1178" w:type="dxa"/>
            <w:tcBorders>
              <w:top w:val="single" w:sz="8" w:space="0" w:color="auto"/>
              <w:left w:val="nil"/>
              <w:bottom w:val="single" w:sz="4" w:space="0" w:color="auto"/>
              <w:right w:val="single" w:sz="8" w:space="0" w:color="auto"/>
            </w:tcBorders>
            <w:shd w:val="clear" w:color="000000" w:fill="FFF2CC"/>
            <w:noWrap/>
            <w:vAlign w:val="center"/>
          </w:tcPr>
          <w:p w14:paraId="2A3B17AC" w14:textId="77777777" w:rsidR="00136D35" w:rsidRPr="0050256C" w:rsidRDefault="00136D35" w:rsidP="00136D35">
            <w:pPr>
              <w:jc w:val="center"/>
              <w:rPr>
                <w:rFonts w:ascii="Arial" w:hAnsi="Arial" w:cs="Arial"/>
                <w:sz w:val="18"/>
                <w:szCs w:val="18"/>
              </w:rPr>
            </w:pPr>
            <w:r>
              <w:rPr>
                <w:rFonts w:ascii="Arial" w:hAnsi="Arial" w:cs="Arial"/>
                <w:sz w:val="18"/>
                <w:szCs w:val="18"/>
              </w:rPr>
              <w:t>5%</w:t>
            </w:r>
          </w:p>
        </w:tc>
        <w:tc>
          <w:tcPr>
            <w:tcW w:w="1204" w:type="dxa"/>
            <w:tcBorders>
              <w:top w:val="single" w:sz="8" w:space="0" w:color="auto"/>
              <w:left w:val="nil"/>
              <w:bottom w:val="single" w:sz="4" w:space="0" w:color="auto"/>
              <w:right w:val="single" w:sz="8" w:space="0" w:color="auto"/>
            </w:tcBorders>
            <w:shd w:val="clear" w:color="000000" w:fill="FFF2CC"/>
            <w:noWrap/>
            <w:vAlign w:val="center"/>
          </w:tcPr>
          <w:p w14:paraId="3807E452" w14:textId="35CC91FA" w:rsidR="00136D35" w:rsidRPr="0050256C" w:rsidRDefault="00136D35" w:rsidP="00136D35">
            <w:pPr>
              <w:jc w:val="center"/>
              <w:rPr>
                <w:rFonts w:ascii="Arial" w:hAnsi="Arial" w:cs="Arial"/>
                <w:sz w:val="18"/>
                <w:szCs w:val="18"/>
              </w:rPr>
            </w:pPr>
            <w:r w:rsidRPr="00E95389">
              <w:rPr>
                <w:rFonts w:ascii="Arial" w:hAnsi="Arial" w:cs="Arial"/>
                <w:sz w:val="18"/>
                <w:szCs w:val="18"/>
              </w:rPr>
              <w:t>203</w:t>
            </w:r>
            <w:r>
              <w:rPr>
                <w:rFonts w:ascii="Arial" w:hAnsi="Arial" w:cs="Arial"/>
                <w:sz w:val="18"/>
                <w:szCs w:val="18"/>
              </w:rPr>
              <w:t>,</w:t>
            </w:r>
            <w:r w:rsidRPr="00E95389">
              <w:rPr>
                <w:rFonts w:ascii="Arial" w:hAnsi="Arial" w:cs="Arial"/>
                <w:sz w:val="18"/>
                <w:szCs w:val="18"/>
              </w:rPr>
              <w:t>77</w:t>
            </w:r>
          </w:p>
        </w:tc>
        <w:tc>
          <w:tcPr>
            <w:tcW w:w="1141" w:type="dxa"/>
            <w:tcBorders>
              <w:top w:val="single" w:sz="8" w:space="0" w:color="auto"/>
              <w:left w:val="nil"/>
              <w:bottom w:val="single" w:sz="4" w:space="0" w:color="auto"/>
              <w:right w:val="single" w:sz="8" w:space="0" w:color="auto"/>
            </w:tcBorders>
            <w:shd w:val="clear" w:color="000000" w:fill="FFFFFF"/>
            <w:noWrap/>
            <w:vAlign w:val="center"/>
          </w:tcPr>
          <w:p w14:paraId="21CEF888" w14:textId="0408F9D8" w:rsidR="00136D35" w:rsidRPr="0050256C" w:rsidRDefault="00136D35" w:rsidP="00136D35">
            <w:pPr>
              <w:jc w:val="center"/>
              <w:rPr>
                <w:rFonts w:ascii="Arial" w:hAnsi="Arial" w:cs="Arial"/>
                <w:sz w:val="18"/>
                <w:szCs w:val="18"/>
              </w:rPr>
            </w:pPr>
            <w:r w:rsidRPr="00E95389">
              <w:rPr>
                <w:rFonts w:ascii="Arial" w:hAnsi="Arial" w:cs="Arial"/>
                <w:sz w:val="18"/>
                <w:szCs w:val="18"/>
              </w:rPr>
              <w:t>205,45</w:t>
            </w:r>
          </w:p>
        </w:tc>
        <w:tc>
          <w:tcPr>
            <w:tcW w:w="1203" w:type="dxa"/>
            <w:tcBorders>
              <w:top w:val="single" w:sz="8" w:space="0" w:color="auto"/>
              <w:left w:val="nil"/>
              <w:bottom w:val="single" w:sz="4" w:space="0" w:color="auto"/>
              <w:right w:val="single" w:sz="4" w:space="0" w:color="auto"/>
            </w:tcBorders>
            <w:shd w:val="clear" w:color="000000" w:fill="FFF2CC"/>
            <w:noWrap/>
            <w:vAlign w:val="center"/>
          </w:tcPr>
          <w:p w14:paraId="1C212B9C" w14:textId="676574A9" w:rsidR="00136D35" w:rsidRPr="0050256C" w:rsidRDefault="00136D35" w:rsidP="00136D35">
            <w:pPr>
              <w:jc w:val="center"/>
              <w:rPr>
                <w:rFonts w:ascii="Arial" w:hAnsi="Arial" w:cs="Arial"/>
                <w:sz w:val="18"/>
                <w:szCs w:val="18"/>
              </w:rPr>
            </w:pPr>
            <w:r w:rsidRPr="00E95389">
              <w:rPr>
                <w:rFonts w:ascii="Arial" w:hAnsi="Arial" w:cs="Arial"/>
                <w:sz w:val="18"/>
                <w:szCs w:val="18"/>
              </w:rPr>
              <w:t>212</w:t>
            </w:r>
            <w:r>
              <w:rPr>
                <w:rFonts w:ascii="Arial" w:hAnsi="Arial" w:cs="Arial"/>
                <w:sz w:val="18"/>
                <w:szCs w:val="18"/>
              </w:rPr>
              <w:t>,</w:t>
            </w:r>
            <w:r w:rsidRPr="00E95389">
              <w:rPr>
                <w:rFonts w:ascii="Arial" w:hAnsi="Arial" w:cs="Arial"/>
                <w:sz w:val="18"/>
                <w:szCs w:val="18"/>
              </w:rPr>
              <w:t>25</w:t>
            </w:r>
          </w:p>
        </w:tc>
      </w:tr>
    </w:tbl>
    <w:p w14:paraId="7DF49C2D" w14:textId="77777777" w:rsidR="00AE43EB" w:rsidRDefault="00AE43EB" w:rsidP="00AE43EB">
      <w:pPr>
        <w:keepNext/>
        <w:spacing w:before="120"/>
        <w:jc w:val="both"/>
        <w:rPr>
          <w:rFonts w:ascii="Arial" w:hAnsi="Arial" w:cs="Arial"/>
          <w:b/>
          <w:sz w:val="20"/>
          <w:szCs w:val="18"/>
          <w:lang w:val="es-ES_tradnl"/>
        </w:rPr>
      </w:pPr>
    </w:p>
    <w:p w14:paraId="2C185892" w14:textId="31E56FB0" w:rsidR="00AE43EB" w:rsidRPr="00A34758" w:rsidRDefault="00AE43EB" w:rsidP="00E4455F">
      <w:pPr>
        <w:pStyle w:val="ListParagraph"/>
        <w:numPr>
          <w:ilvl w:val="0"/>
          <w:numId w:val="2"/>
        </w:numPr>
        <w:tabs>
          <w:tab w:val="left" w:pos="360"/>
        </w:tabs>
        <w:ind w:left="0" w:hanging="450"/>
        <w:jc w:val="both"/>
        <w:rPr>
          <w:rFonts w:ascii="Arial" w:eastAsia="Arial" w:hAnsi="Arial" w:cs="Arial"/>
          <w:sz w:val="22"/>
          <w:szCs w:val="22"/>
        </w:rPr>
      </w:pPr>
      <w:r w:rsidRPr="00A34758">
        <w:rPr>
          <w:rFonts w:ascii="Arial" w:eastAsia="Arial" w:hAnsi="Arial" w:cs="Arial"/>
          <w:sz w:val="22"/>
          <w:szCs w:val="22"/>
        </w:rPr>
        <w:t xml:space="preserve">Para el escenario optimista </w:t>
      </w:r>
      <w:r w:rsidR="004F767C">
        <w:rPr>
          <w:rFonts w:ascii="Arial" w:eastAsia="Arial" w:hAnsi="Arial" w:cs="Arial"/>
          <w:sz w:val="22"/>
          <w:szCs w:val="22"/>
        </w:rPr>
        <w:t xml:space="preserve">del componente de </w:t>
      </w:r>
      <w:r w:rsidR="007C212B" w:rsidRPr="007C212B">
        <w:rPr>
          <w:rFonts w:ascii="Arial" w:eastAsia="Arial" w:hAnsi="Arial" w:cs="Arial"/>
          <w:sz w:val="22"/>
          <w:szCs w:val="22"/>
        </w:rPr>
        <w:t xml:space="preserve">Fortalecimiento de la gestión institucional de las </w:t>
      </w:r>
      <w:r w:rsidR="00274642">
        <w:rPr>
          <w:rFonts w:ascii="Arial" w:eastAsia="Arial" w:hAnsi="Arial" w:cs="Arial"/>
          <w:sz w:val="22"/>
          <w:szCs w:val="22"/>
        </w:rPr>
        <w:t>IES</w:t>
      </w:r>
      <w:r w:rsidR="007C212B" w:rsidRPr="007C212B">
        <w:rPr>
          <w:rFonts w:ascii="Arial" w:eastAsia="Arial" w:hAnsi="Arial" w:cs="Arial"/>
          <w:sz w:val="22"/>
          <w:szCs w:val="22"/>
        </w:rPr>
        <w:t xml:space="preserve"> públicas</w:t>
      </w:r>
      <w:r w:rsidR="004F767C">
        <w:rPr>
          <w:rFonts w:ascii="Arial" w:eastAsia="Arial" w:hAnsi="Arial" w:cs="Arial"/>
          <w:sz w:val="22"/>
          <w:szCs w:val="22"/>
        </w:rPr>
        <w:t xml:space="preserve">, </w:t>
      </w:r>
      <w:r w:rsidRPr="00A34758">
        <w:rPr>
          <w:rFonts w:ascii="Arial" w:eastAsia="Arial" w:hAnsi="Arial" w:cs="Arial"/>
          <w:sz w:val="22"/>
          <w:szCs w:val="22"/>
        </w:rPr>
        <w:t xml:space="preserve">se asume el incremento </w:t>
      </w:r>
      <w:r w:rsidR="006C66F6">
        <w:rPr>
          <w:rFonts w:ascii="Arial" w:eastAsia="Arial" w:hAnsi="Arial" w:cs="Arial"/>
          <w:sz w:val="22"/>
          <w:szCs w:val="22"/>
        </w:rPr>
        <w:t>en la formalidad de 2.5 pp (de 12.5% a 15%). Con este efecto</w:t>
      </w:r>
      <w:r w:rsidRPr="00A34758">
        <w:rPr>
          <w:rFonts w:ascii="Arial" w:eastAsia="Arial" w:hAnsi="Arial" w:cs="Arial"/>
          <w:sz w:val="22"/>
          <w:szCs w:val="22"/>
        </w:rPr>
        <w:t xml:space="preserve">, se obtiene que el VPN del </w:t>
      </w:r>
      <w:r w:rsidR="004F767C">
        <w:rPr>
          <w:rFonts w:ascii="Arial" w:eastAsia="Arial" w:hAnsi="Arial" w:cs="Arial"/>
          <w:sz w:val="22"/>
          <w:szCs w:val="22"/>
        </w:rPr>
        <w:t>programa</w:t>
      </w:r>
      <w:r w:rsidR="007C212B">
        <w:rPr>
          <w:rFonts w:ascii="Arial" w:eastAsia="Arial" w:hAnsi="Arial" w:cs="Arial"/>
          <w:sz w:val="22"/>
          <w:szCs w:val="22"/>
        </w:rPr>
        <w:t xml:space="preserve"> se incrementa a US$</w:t>
      </w:r>
      <w:r w:rsidR="00136D35">
        <w:rPr>
          <w:rFonts w:ascii="Arial" w:eastAsia="Arial" w:hAnsi="Arial" w:cs="Arial"/>
          <w:sz w:val="22"/>
          <w:szCs w:val="22"/>
        </w:rPr>
        <w:t>259,29</w:t>
      </w:r>
      <w:r w:rsidRPr="00A34758">
        <w:rPr>
          <w:rFonts w:ascii="Arial" w:eastAsia="Arial" w:hAnsi="Arial" w:cs="Arial"/>
          <w:sz w:val="22"/>
          <w:szCs w:val="22"/>
        </w:rPr>
        <w:t xml:space="preserve"> millones. </w:t>
      </w:r>
      <w:r w:rsidR="006C66F6">
        <w:rPr>
          <w:rFonts w:ascii="Arial" w:eastAsia="Arial" w:hAnsi="Arial" w:cs="Arial"/>
          <w:sz w:val="22"/>
          <w:szCs w:val="22"/>
        </w:rPr>
        <w:t xml:space="preserve">Asimismo, si bajo el escenario optimista de incrementa la proporción de </w:t>
      </w:r>
      <w:r w:rsidR="004F767C">
        <w:rPr>
          <w:rFonts w:ascii="Arial" w:eastAsia="Arial" w:hAnsi="Arial" w:cs="Arial"/>
          <w:sz w:val="22"/>
          <w:szCs w:val="22"/>
        </w:rPr>
        <w:t>egresados</w:t>
      </w:r>
      <w:r w:rsidR="006C66F6">
        <w:rPr>
          <w:rFonts w:ascii="Arial" w:eastAsia="Arial" w:hAnsi="Arial" w:cs="Arial"/>
          <w:sz w:val="22"/>
          <w:szCs w:val="22"/>
        </w:rPr>
        <w:t xml:space="preserve"> de </w:t>
      </w:r>
      <w:r w:rsidR="004F767C">
        <w:rPr>
          <w:rFonts w:ascii="Arial" w:eastAsia="Arial" w:hAnsi="Arial" w:cs="Arial"/>
          <w:sz w:val="22"/>
          <w:szCs w:val="22"/>
        </w:rPr>
        <w:t xml:space="preserve">universidades e </w:t>
      </w:r>
      <w:r w:rsidR="00274642">
        <w:rPr>
          <w:rFonts w:ascii="Arial" w:eastAsia="Arial" w:hAnsi="Arial" w:cs="Arial"/>
          <w:sz w:val="22"/>
          <w:szCs w:val="22"/>
        </w:rPr>
        <w:t>IEST</w:t>
      </w:r>
      <w:r w:rsidR="004F767C">
        <w:rPr>
          <w:rFonts w:ascii="Arial" w:eastAsia="Arial" w:hAnsi="Arial" w:cs="Arial"/>
          <w:sz w:val="22"/>
          <w:szCs w:val="22"/>
        </w:rPr>
        <w:t xml:space="preserve"> de </w:t>
      </w:r>
      <w:r w:rsidR="00136D35">
        <w:rPr>
          <w:rFonts w:ascii="Arial" w:eastAsia="Arial" w:hAnsi="Arial" w:cs="Arial"/>
          <w:sz w:val="22"/>
          <w:szCs w:val="22"/>
        </w:rPr>
        <w:t>7</w:t>
      </w:r>
      <w:r w:rsidR="006C66F6">
        <w:rPr>
          <w:rFonts w:ascii="Arial" w:eastAsia="Arial" w:hAnsi="Arial" w:cs="Arial"/>
          <w:sz w:val="22"/>
          <w:szCs w:val="22"/>
        </w:rPr>
        <w:t xml:space="preserve">% a </w:t>
      </w:r>
      <w:r w:rsidR="00136D35">
        <w:rPr>
          <w:rFonts w:ascii="Arial" w:eastAsia="Arial" w:hAnsi="Arial" w:cs="Arial"/>
          <w:sz w:val="22"/>
          <w:szCs w:val="22"/>
        </w:rPr>
        <w:t>10% en ambos casos</w:t>
      </w:r>
      <w:r w:rsidR="004F767C">
        <w:rPr>
          <w:rFonts w:ascii="Arial" w:eastAsia="Arial" w:hAnsi="Arial" w:cs="Arial"/>
          <w:sz w:val="22"/>
          <w:szCs w:val="22"/>
        </w:rPr>
        <w:t xml:space="preserve">, </w:t>
      </w:r>
      <w:r w:rsidRPr="00A34758">
        <w:rPr>
          <w:rFonts w:ascii="Arial" w:eastAsia="Arial" w:hAnsi="Arial" w:cs="Arial"/>
          <w:sz w:val="22"/>
          <w:szCs w:val="22"/>
        </w:rPr>
        <w:t>se encuentra que el VPN de</w:t>
      </w:r>
      <w:r w:rsidR="004F767C">
        <w:rPr>
          <w:rFonts w:ascii="Arial" w:eastAsia="Arial" w:hAnsi="Arial" w:cs="Arial"/>
          <w:sz w:val="22"/>
          <w:szCs w:val="22"/>
        </w:rPr>
        <w:t xml:space="preserve">l </w:t>
      </w:r>
      <w:r w:rsidR="007C212B">
        <w:rPr>
          <w:rFonts w:ascii="Arial" w:eastAsia="Arial" w:hAnsi="Arial" w:cs="Arial"/>
          <w:sz w:val="22"/>
          <w:szCs w:val="22"/>
        </w:rPr>
        <w:t>programa aumenta hasta US$</w:t>
      </w:r>
      <w:r w:rsidR="00136D35">
        <w:rPr>
          <w:rFonts w:ascii="Arial" w:eastAsia="Arial" w:hAnsi="Arial" w:cs="Arial"/>
          <w:sz w:val="22"/>
          <w:szCs w:val="22"/>
        </w:rPr>
        <w:t>252,54</w:t>
      </w:r>
      <w:r w:rsidR="007C212B">
        <w:rPr>
          <w:rFonts w:ascii="Arial" w:eastAsia="Arial" w:hAnsi="Arial" w:cs="Arial"/>
          <w:sz w:val="22"/>
          <w:szCs w:val="22"/>
        </w:rPr>
        <w:t xml:space="preserve"> y US$</w:t>
      </w:r>
      <w:r w:rsidR="00136D35">
        <w:rPr>
          <w:rFonts w:ascii="Arial" w:eastAsia="Arial" w:hAnsi="Arial" w:cs="Arial"/>
          <w:sz w:val="22"/>
          <w:szCs w:val="22"/>
        </w:rPr>
        <w:t>216,04</w:t>
      </w:r>
      <w:r w:rsidR="004F767C">
        <w:rPr>
          <w:rFonts w:ascii="Arial" w:eastAsia="Arial" w:hAnsi="Arial" w:cs="Arial"/>
          <w:sz w:val="22"/>
          <w:szCs w:val="22"/>
        </w:rPr>
        <w:t xml:space="preserve">, respectivamente. </w:t>
      </w:r>
      <w:r w:rsidRPr="00A34758">
        <w:rPr>
          <w:rFonts w:ascii="Arial" w:eastAsia="Arial" w:hAnsi="Arial" w:cs="Arial"/>
          <w:sz w:val="22"/>
          <w:szCs w:val="22"/>
        </w:rPr>
        <w:t xml:space="preserve">Por último, se presenta el VPN del </w:t>
      </w:r>
      <w:r w:rsidR="004F767C">
        <w:rPr>
          <w:rFonts w:ascii="Arial" w:eastAsia="Arial" w:hAnsi="Arial" w:cs="Arial"/>
          <w:sz w:val="22"/>
          <w:szCs w:val="22"/>
        </w:rPr>
        <w:t>programa</w:t>
      </w:r>
      <w:r w:rsidRPr="00A34758">
        <w:rPr>
          <w:rFonts w:ascii="Arial" w:eastAsia="Arial" w:hAnsi="Arial" w:cs="Arial"/>
          <w:sz w:val="22"/>
          <w:szCs w:val="22"/>
        </w:rPr>
        <w:t xml:space="preserve"> ante un</w:t>
      </w:r>
      <w:r w:rsidR="004F767C">
        <w:rPr>
          <w:rFonts w:ascii="Arial" w:eastAsia="Arial" w:hAnsi="Arial" w:cs="Arial"/>
          <w:sz w:val="22"/>
          <w:szCs w:val="22"/>
        </w:rPr>
        <w:t xml:space="preserve"> incremento de la tasa de crecimiento de la brecha de ingresos (formal vs informal) de los egresados de universidades (de </w:t>
      </w:r>
      <w:r w:rsidR="00136D35">
        <w:rPr>
          <w:rFonts w:ascii="Arial" w:eastAsia="Arial" w:hAnsi="Arial" w:cs="Arial"/>
          <w:sz w:val="22"/>
          <w:szCs w:val="22"/>
        </w:rPr>
        <w:t>8</w:t>
      </w:r>
      <w:r w:rsidR="004F767C">
        <w:rPr>
          <w:rFonts w:ascii="Arial" w:eastAsia="Arial" w:hAnsi="Arial" w:cs="Arial"/>
          <w:sz w:val="22"/>
          <w:szCs w:val="22"/>
        </w:rPr>
        <w:t xml:space="preserve">% a </w:t>
      </w:r>
      <w:r w:rsidR="00136D35">
        <w:rPr>
          <w:rFonts w:ascii="Arial" w:eastAsia="Arial" w:hAnsi="Arial" w:cs="Arial"/>
          <w:sz w:val="22"/>
          <w:szCs w:val="22"/>
        </w:rPr>
        <w:t>10</w:t>
      </w:r>
      <w:r w:rsidR="004F767C">
        <w:rPr>
          <w:rFonts w:ascii="Arial" w:eastAsia="Arial" w:hAnsi="Arial" w:cs="Arial"/>
          <w:sz w:val="22"/>
          <w:szCs w:val="22"/>
        </w:rPr>
        <w:t xml:space="preserve">%) e IEST públicos (de </w:t>
      </w:r>
      <w:r w:rsidR="00136D35">
        <w:rPr>
          <w:rFonts w:ascii="Arial" w:eastAsia="Arial" w:hAnsi="Arial" w:cs="Arial"/>
          <w:sz w:val="22"/>
          <w:szCs w:val="22"/>
        </w:rPr>
        <w:t>7</w:t>
      </w:r>
      <w:r w:rsidR="004F767C">
        <w:rPr>
          <w:rFonts w:ascii="Arial" w:eastAsia="Arial" w:hAnsi="Arial" w:cs="Arial"/>
          <w:sz w:val="22"/>
          <w:szCs w:val="22"/>
        </w:rPr>
        <w:t xml:space="preserve">% a </w:t>
      </w:r>
      <w:r w:rsidR="00136D35">
        <w:rPr>
          <w:rFonts w:ascii="Arial" w:eastAsia="Arial" w:hAnsi="Arial" w:cs="Arial"/>
          <w:sz w:val="22"/>
          <w:szCs w:val="22"/>
        </w:rPr>
        <w:t>9</w:t>
      </w:r>
      <w:r w:rsidR="004F767C">
        <w:rPr>
          <w:rFonts w:ascii="Arial" w:eastAsia="Arial" w:hAnsi="Arial" w:cs="Arial"/>
          <w:sz w:val="22"/>
          <w:szCs w:val="22"/>
        </w:rPr>
        <w:t xml:space="preserve">%). </w:t>
      </w:r>
      <w:r w:rsidRPr="00A34758">
        <w:rPr>
          <w:rFonts w:ascii="Arial" w:eastAsia="Arial" w:hAnsi="Arial" w:cs="Arial"/>
          <w:sz w:val="22"/>
          <w:szCs w:val="22"/>
        </w:rPr>
        <w:t xml:space="preserve"> </w:t>
      </w:r>
      <w:r w:rsidR="004F767C">
        <w:rPr>
          <w:rFonts w:ascii="Arial" w:eastAsia="Arial" w:hAnsi="Arial" w:cs="Arial"/>
          <w:sz w:val="22"/>
          <w:szCs w:val="22"/>
        </w:rPr>
        <w:t>Bajo estos</w:t>
      </w:r>
      <w:r w:rsidRPr="00A34758">
        <w:rPr>
          <w:rFonts w:ascii="Arial" w:eastAsia="Arial" w:hAnsi="Arial" w:cs="Arial"/>
          <w:sz w:val="22"/>
          <w:szCs w:val="22"/>
        </w:rPr>
        <w:t xml:space="preserve"> nuevo</w:t>
      </w:r>
      <w:r w:rsidR="004F767C">
        <w:rPr>
          <w:rFonts w:ascii="Arial" w:eastAsia="Arial" w:hAnsi="Arial" w:cs="Arial"/>
          <w:sz w:val="22"/>
          <w:szCs w:val="22"/>
        </w:rPr>
        <w:t>s</w:t>
      </w:r>
      <w:r w:rsidRPr="00A34758">
        <w:rPr>
          <w:rFonts w:ascii="Arial" w:eastAsia="Arial" w:hAnsi="Arial" w:cs="Arial"/>
          <w:sz w:val="22"/>
          <w:szCs w:val="22"/>
        </w:rPr>
        <w:t xml:space="preserve"> supuesto</w:t>
      </w:r>
      <w:r w:rsidR="004F767C">
        <w:rPr>
          <w:rFonts w:ascii="Arial" w:eastAsia="Arial" w:hAnsi="Arial" w:cs="Arial"/>
          <w:sz w:val="22"/>
          <w:szCs w:val="22"/>
        </w:rPr>
        <w:t>s</w:t>
      </w:r>
      <w:r w:rsidRPr="00A34758">
        <w:rPr>
          <w:rFonts w:ascii="Arial" w:eastAsia="Arial" w:hAnsi="Arial" w:cs="Arial"/>
          <w:sz w:val="22"/>
          <w:szCs w:val="22"/>
        </w:rPr>
        <w:t xml:space="preserve"> el VPN </w:t>
      </w:r>
      <w:r w:rsidR="004F767C">
        <w:rPr>
          <w:rFonts w:ascii="Arial" w:eastAsia="Arial" w:hAnsi="Arial" w:cs="Arial"/>
          <w:sz w:val="22"/>
          <w:szCs w:val="22"/>
        </w:rPr>
        <w:t>del pr</w:t>
      </w:r>
      <w:r w:rsidR="007C212B">
        <w:rPr>
          <w:rFonts w:ascii="Arial" w:eastAsia="Arial" w:hAnsi="Arial" w:cs="Arial"/>
          <w:sz w:val="22"/>
          <w:szCs w:val="22"/>
        </w:rPr>
        <w:t>ograma se incrementa a US$</w:t>
      </w:r>
      <w:r w:rsidR="00136D35">
        <w:rPr>
          <w:rFonts w:ascii="Arial" w:eastAsia="Arial" w:hAnsi="Arial" w:cs="Arial"/>
          <w:sz w:val="22"/>
          <w:szCs w:val="22"/>
        </w:rPr>
        <w:t>265,08</w:t>
      </w:r>
      <w:r w:rsidRPr="00A34758">
        <w:rPr>
          <w:rFonts w:ascii="Arial" w:eastAsia="Arial" w:hAnsi="Arial" w:cs="Arial"/>
          <w:sz w:val="22"/>
          <w:szCs w:val="22"/>
        </w:rPr>
        <w:t xml:space="preserve"> millones</w:t>
      </w:r>
      <w:r w:rsidR="007C212B">
        <w:rPr>
          <w:rFonts w:ascii="Arial" w:eastAsia="Arial" w:hAnsi="Arial" w:cs="Arial"/>
          <w:sz w:val="22"/>
          <w:szCs w:val="22"/>
        </w:rPr>
        <w:t xml:space="preserve"> y US$</w:t>
      </w:r>
      <w:r w:rsidR="00136D35">
        <w:rPr>
          <w:rFonts w:ascii="Arial" w:eastAsia="Arial" w:hAnsi="Arial" w:cs="Arial"/>
          <w:sz w:val="22"/>
          <w:szCs w:val="22"/>
        </w:rPr>
        <w:t>213,21</w:t>
      </w:r>
      <w:r w:rsidR="004F767C">
        <w:rPr>
          <w:rFonts w:ascii="Arial" w:eastAsia="Arial" w:hAnsi="Arial" w:cs="Arial"/>
          <w:sz w:val="22"/>
          <w:szCs w:val="22"/>
        </w:rPr>
        <w:t xml:space="preserve"> millones</w:t>
      </w:r>
      <w:r w:rsidRPr="00A34758">
        <w:rPr>
          <w:rFonts w:ascii="Arial" w:eastAsia="Arial" w:hAnsi="Arial" w:cs="Arial"/>
          <w:sz w:val="22"/>
          <w:szCs w:val="22"/>
        </w:rPr>
        <w:t xml:space="preserve">. </w:t>
      </w:r>
    </w:p>
    <w:p w14:paraId="3D0A9402" w14:textId="77777777" w:rsidR="00AE43EB" w:rsidRPr="00A34758" w:rsidRDefault="00AE43EB" w:rsidP="007C212B">
      <w:pPr>
        <w:pStyle w:val="ListParagraph"/>
        <w:tabs>
          <w:tab w:val="left" w:pos="360"/>
        </w:tabs>
        <w:ind w:left="0"/>
        <w:jc w:val="both"/>
        <w:rPr>
          <w:rFonts w:ascii="Arial" w:eastAsia="Arial" w:hAnsi="Arial" w:cs="Arial"/>
          <w:sz w:val="22"/>
          <w:szCs w:val="22"/>
        </w:rPr>
      </w:pPr>
    </w:p>
    <w:p w14:paraId="59DCE8B1" w14:textId="2E4DC4C8" w:rsidR="00DE52D4" w:rsidRDefault="004F767C" w:rsidP="00E4455F">
      <w:pPr>
        <w:pStyle w:val="ListParagraph"/>
        <w:numPr>
          <w:ilvl w:val="0"/>
          <w:numId w:val="2"/>
        </w:numPr>
        <w:tabs>
          <w:tab w:val="left" w:pos="360"/>
        </w:tabs>
        <w:ind w:left="0" w:hanging="450"/>
        <w:jc w:val="both"/>
        <w:rPr>
          <w:rFonts w:ascii="Arial" w:eastAsia="Arial" w:hAnsi="Arial" w:cs="Arial"/>
          <w:sz w:val="22"/>
          <w:szCs w:val="22"/>
        </w:rPr>
      </w:pPr>
      <w:r>
        <w:rPr>
          <w:rFonts w:ascii="Arial" w:eastAsia="Arial" w:hAnsi="Arial" w:cs="Arial"/>
          <w:sz w:val="22"/>
          <w:szCs w:val="22"/>
        </w:rPr>
        <w:t xml:space="preserve">Asimismo, </w:t>
      </w:r>
      <w:r w:rsidR="00B629C5">
        <w:rPr>
          <w:rFonts w:ascii="Arial" w:eastAsia="Arial" w:hAnsi="Arial" w:cs="Arial"/>
          <w:sz w:val="22"/>
          <w:szCs w:val="22"/>
        </w:rPr>
        <w:t>cuando se asume bajo</w:t>
      </w:r>
      <w:r w:rsidR="00AE43EB" w:rsidRPr="00A34758">
        <w:rPr>
          <w:rFonts w:ascii="Arial" w:eastAsia="Arial" w:hAnsi="Arial" w:cs="Arial"/>
          <w:sz w:val="22"/>
          <w:szCs w:val="22"/>
        </w:rPr>
        <w:t xml:space="preserve"> los escenarios pesimistas un decrecimiento en </w:t>
      </w:r>
      <w:r w:rsidR="00B629C5">
        <w:rPr>
          <w:rFonts w:ascii="Arial" w:eastAsia="Arial" w:hAnsi="Arial" w:cs="Arial"/>
          <w:sz w:val="22"/>
          <w:szCs w:val="22"/>
        </w:rPr>
        <w:t>la formalidad de 2,5</w:t>
      </w:r>
      <w:r w:rsidR="00AE43EB" w:rsidRPr="00A34758">
        <w:rPr>
          <w:rFonts w:ascii="Arial" w:eastAsia="Arial" w:hAnsi="Arial" w:cs="Arial"/>
          <w:sz w:val="22"/>
          <w:szCs w:val="22"/>
        </w:rPr>
        <w:t xml:space="preserve"> pp. </w:t>
      </w:r>
      <w:r w:rsidR="00B629C5">
        <w:rPr>
          <w:rFonts w:ascii="Arial" w:eastAsia="Arial" w:hAnsi="Arial" w:cs="Arial"/>
          <w:sz w:val="22"/>
          <w:szCs w:val="22"/>
        </w:rPr>
        <w:t xml:space="preserve">(de 12,5% a 10,0%), el VPN del programa aún se muestra </w:t>
      </w:r>
      <w:r w:rsidR="00AE43EB" w:rsidRPr="00A34758">
        <w:rPr>
          <w:rFonts w:ascii="Arial" w:eastAsia="Arial" w:hAnsi="Arial" w:cs="Arial"/>
          <w:sz w:val="22"/>
          <w:szCs w:val="22"/>
        </w:rPr>
        <w:t xml:space="preserve">positivo </w:t>
      </w:r>
      <w:r w:rsidR="00B629C5">
        <w:rPr>
          <w:rFonts w:ascii="Arial" w:eastAsia="Arial" w:hAnsi="Arial" w:cs="Arial"/>
          <w:sz w:val="22"/>
          <w:szCs w:val="22"/>
        </w:rPr>
        <w:t xml:space="preserve">y alto en </w:t>
      </w:r>
      <w:bookmarkStart w:id="5" w:name="_Hlk491359591"/>
      <w:r w:rsidR="00B629C5">
        <w:rPr>
          <w:rFonts w:ascii="Arial" w:eastAsia="Arial" w:hAnsi="Arial" w:cs="Arial"/>
          <w:sz w:val="22"/>
          <w:szCs w:val="22"/>
        </w:rPr>
        <w:t>US$</w:t>
      </w:r>
      <w:bookmarkEnd w:id="5"/>
      <w:r w:rsidR="00136D35">
        <w:rPr>
          <w:rFonts w:ascii="Arial" w:eastAsia="Arial" w:hAnsi="Arial" w:cs="Arial"/>
          <w:sz w:val="22"/>
          <w:szCs w:val="22"/>
        </w:rPr>
        <w:t>155,98</w:t>
      </w:r>
      <w:r w:rsidR="00AE43EB" w:rsidRPr="00A34758">
        <w:rPr>
          <w:rFonts w:ascii="Arial" w:eastAsia="Arial" w:hAnsi="Arial" w:cs="Arial"/>
          <w:sz w:val="22"/>
          <w:szCs w:val="22"/>
        </w:rPr>
        <w:t xml:space="preserve"> millones. </w:t>
      </w:r>
      <w:r w:rsidR="00B629C5">
        <w:rPr>
          <w:rFonts w:ascii="Arial" w:eastAsia="Arial" w:hAnsi="Arial" w:cs="Arial"/>
          <w:sz w:val="22"/>
          <w:szCs w:val="22"/>
        </w:rPr>
        <w:t>Al</w:t>
      </w:r>
      <w:r w:rsidR="00AE43EB" w:rsidRPr="00A34758">
        <w:rPr>
          <w:rFonts w:ascii="Arial" w:eastAsia="Arial" w:hAnsi="Arial" w:cs="Arial"/>
          <w:sz w:val="22"/>
          <w:szCs w:val="22"/>
        </w:rPr>
        <w:t xml:space="preserve"> analiza</w:t>
      </w:r>
      <w:r w:rsidR="00B629C5">
        <w:rPr>
          <w:rFonts w:ascii="Arial" w:eastAsia="Arial" w:hAnsi="Arial" w:cs="Arial"/>
          <w:sz w:val="22"/>
          <w:szCs w:val="22"/>
        </w:rPr>
        <w:t>r</w:t>
      </w:r>
      <w:r w:rsidR="00AE43EB" w:rsidRPr="00A34758">
        <w:rPr>
          <w:rFonts w:ascii="Arial" w:eastAsia="Arial" w:hAnsi="Arial" w:cs="Arial"/>
          <w:sz w:val="22"/>
          <w:szCs w:val="22"/>
        </w:rPr>
        <w:t xml:space="preserve"> </w:t>
      </w:r>
      <w:r w:rsidR="00B629C5">
        <w:rPr>
          <w:rFonts w:ascii="Arial" w:eastAsia="Arial" w:hAnsi="Arial" w:cs="Arial"/>
          <w:sz w:val="22"/>
          <w:szCs w:val="22"/>
        </w:rPr>
        <w:t>en impacto en el VPN de disminuir la tasa de egresados beneficiarios del programa para universidades e IEST</w:t>
      </w:r>
      <w:r w:rsidR="00136D35">
        <w:rPr>
          <w:rFonts w:ascii="Arial" w:eastAsia="Arial" w:hAnsi="Arial" w:cs="Arial"/>
          <w:sz w:val="22"/>
          <w:szCs w:val="22"/>
        </w:rPr>
        <w:t xml:space="preserve">, </w:t>
      </w:r>
      <w:r w:rsidR="00B629C5">
        <w:rPr>
          <w:rFonts w:ascii="Arial" w:eastAsia="Arial" w:hAnsi="Arial" w:cs="Arial"/>
          <w:sz w:val="22"/>
          <w:szCs w:val="22"/>
        </w:rPr>
        <w:t xml:space="preserve">de 7% a </w:t>
      </w:r>
      <w:r w:rsidR="00136D35">
        <w:rPr>
          <w:rFonts w:ascii="Arial" w:eastAsia="Arial" w:hAnsi="Arial" w:cs="Arial"/>
          <w:sz w:val="22"/>
          <w:szCs w:val="22"/>
        </w:rPr>
        <w:t>5</w:t>
      </w:r>
      <w:r w:rsidR="00B629C5">
        <w:rPr>
          <w:rFonts w:ascii="Arial" w:eastAsia="Arial" w:hAnsi="Arial" w:cs="Arial"/>
          <w:sz w:val="22"/>
          <w:szCs w:val="22"/>
        </w:rPr>
        <w:t>%</w:t>
      </w:r>
      <w:r w:rsidR="00136D35">
        <w:rPr>
          <w:rFonts w:ascii="Arial" w:eastAsia="Arial" w:hAnsi="Arial" w:cs="Arial"/>
          <w:sz w:val="22"/>
          <w:szCs w:val="22"/>
        </w:rPr>
        <w:t xml:space="preserve"> en ambos casos</w:t>
      </w:r>
      <w:r w:rsidR="00B629C5">
        <w:rPr>
          <w:rFonts w:ascii="Arial" w:eastAsia="Arial" w:hAnsi="Arial" w:cs="Arial"/>
          <w:sz w:val="22"/>
          <w:szCs w:val="22"/>
        </w:rPr>
        <w:t xml:space="preserve">, se tiene asimismo que </w:t>
      </w:r>
      <w:r w:rsidR="00AE43EB" w:rsidRPr="00A34758">
        <w:rPr>
          <w:rFonts w:ascii="Arial" w:eastAsia="Arial" w:hAnsi="Arial" w:cs="Arial"/>
          <w:sz w:val="22"/>
          <w:szCs w:val="22"/>
        </w:rPr>
        <w:t xml:space="preserve">el VPN del </w:t>
      </w:r>
      <w:r w:rsidR="007C212B">
        <w:rPr>
          <w:rFonts w:ascii="Arial" w:eastAsia="Arial" w:hAnsi="Arial" w:cs="Arial"/>
          <w:sz w:val="22"/>
          <w:szCs w:val="22"/>
        </w:rPr>
        <w:t>programa es US$</w:t>
      </w:r>
      <w:r w:rsidR="00136D35">
        <w:rPr>
          <w:rFonts w:ascii="Arial" w:eastAsia="Arial" w:hAnsi="Arial" w:cs="Arial"/>
          <w:sz w:val="22"/>
          <w:szCs w:val="22"/>
        </w:rPr>
        <w:t>169</w:t>
      </w:r>
      <w:r w:rsidR="007C212B">
        <w:rPr>
          <w:rFonts w:ascii="Arial" w:eastAsia="Arial" w:hAnsi="Arial" w:cs="Arial"/>
          <w:sz w:val="22"/>
          <w:szCs w:val="22"/>
        </w:rPr>
        <w:t>,</w:t>
      </w:r>
      <w:r w:rsidR="00136D35">
        <w:rPr>
          <w:rFonts w:ascii="Arial" w:eastAsia="Arial" w:hAnsi="Arial" w:cs="Arial"/>
          <w:sz w:val="22"/>
          <w:szCs w:val="22"/>
        </w:rPr>
        <w:t>96</w:t>
      </w:r>
      <w:r w:rsidR="007C212B">
        <w:rPr>
          <w:rFonts w:ascii="Arial" w:eastAsia="Arial" w:hAnsi="Arial" w:cs="Arial"/>
          <w:sz w:val="22"/>
          <w:szCs w:val="22"/>
        </w:rPr>
        <w:t xml:space="preserve"> y US$</w:t>
      </w:r>
      <w:r w:rsidR="00136D35">
        <w:rPr>
          <w:rFonts w:ascii="Arial" w:eastAsia="Arial" w:hAnsi="Arial" w:cs="Arial"/>
          <w:sz w:val="22"/>
          <w:szCs w:val="22"/>
        </w:rPr>
        <w:t xml:space="preserve">201,13 </w:t>
      </w:r>
      <w:r w:rsidR="00B629C5">
        <w:rPr>
          <w:rFonts w:ascii="Arial" w:eastAsia="Arial" w:hAnsi="Arial" w:cs="Arial"/>
          <w:sz w:val="22"/>
          <w:szCs w:val="22"/>
        </w:rPr>
        <w:t xml:space="preserve">millones respectivamente. </w:t>
      </w:r>
      <w:r w:rsidR="00AE43EB" w:rsidRPr="00B629C5">
        <w:rPr>
          <w:rFonts w:ascii="Arial" w:eastAsia="Arial" w:hAnsi="Arial" w:cs="Arial"/>
          <w:sz w:val="22"/>
          <w:szCs w:val="22"/>
        </w:rPr>
        <w:t xml:space="preserve">Por último, se analiza el VPN del </w:t>
      </w:r>
      <w:r w:rsidR="00B629C5">
        <w:rPr>
          <w:rFonts w:ascii="Arial" w:eastAsia="Arial" w:hAnsi="Arial" w:cs="Arial"/>
          <w:sz w:val="22"/>
          <w:szCs w:val="22"/>
        </w:rPr>
        <w:t>programa</w:t>
      </w:r>
      <w:r w:rsidR="00AE43EB" w:rsidRPr="00B629C5">
        <w:rPr>
          <w:rFonts w:ascii="Arial" w:eastAsia="Arial" w:hAnsi="Arial" w:cs="Arial"/>
          <w:sz w:val="22"/>
          <w:szCs w:val="22"/>
        </w:rPr>
        <w:t xml:space="preserve"> ante la </w:t>
      </w:r>
      <w:r w:rsidR="00B629C5">
        <w:rPr>
          <w:rFonts w:ascii="Arial" w:eastAsia="Arial" w:hAnsi="Arial" w:cs="Arial"/>
          <w:sz w:val="22"/>
          <w:szCs w:val="22"/>
        </w:rPr>
        <w:t xml:space="preserve">reducción en la tasa de crecimiento de la brecha de ingresos (formal vs informal) de egresados de universidades (de </w:t>
      </w:r>
      <w:r w:rsidR="00136D35">
        <w:rPr>
          <w:rFonts w:ascii="Arial" w:eastAsia="Arial" w:hAnsi="Arial" w:cs="Arial"/>
          <w:sz w:val="22"/>
          <w:szCs w:val="22"/>
        </w:rPr>
        <w:t>8</w:t>
      </w:r>
      <w:r w:rsidR="00B629C5">
        <w:rPr>
          <w:rFonts w:ascii="Arial" w:eastAsia="Arial" w:hAnsi="Arial" w:cs="Arial"/>
          <w:sz w:val="22"/>
          <w:szCs w:val="22"/>
        </w:rPr>
        <w:t xml:space="preserve">% a </w:t>
      </w:r>
      <w:r w:rsidR="00136D35">
        <w:rPr>
          <w:rFonts w:ascii="Arial" w:eastAsia="Arial" w:hAnsi="Arial" w:cs="Arial"/>
          <w:sz w:val="22"/>
          <w:szCs w:val="22"/>
        </w:rPr>
        <w:t>6</w:t>
      </w:r>
      <w:r w:rsidR="00B629C5">
        <w:rPr>
          <w:rFonts w:ascii="Arial" w:eastAsia="Arial" w:hAnsi="Arial" w:cs="Arial"/>
          <w:sz w:val="22"/>
          <w:szCs w:val="22"/>
        </w:rPr>
        <w:t xml:space="preserve">%) e IEST (de </w:t>
      </w:r>
      <w:r w:rsidR="00136D35">
        <w:rPr>
          <w:rFonts w:ascii="Arial" w:eastAsia="Arial" w:hAnsi="Arial" w:cs="Arial"/>
          <w:sz w:val="22"/>
          <w:szCs w:val="22"/>
        </w:rPr>
        <w:t>7</w:t>
      </w:r>
      <w:r w:rsidR="00B629C5">
        <w:rPr>
          <w:rFonts w:ascii="Arial" w:eastAsia="Arial" w:hAnsi="Arial" w:cs="Arial"/>
          <w:sz w:val="22"/>
          <w:szCs w:val="22"/>
        </w:rPr>
        <w:t xml:space="preserve">% a </w:t>
      </w:r>
      <w:r w:rsidR="00136D35">
        <w:rPr>
          <w:rFonts w:ascii="Arial" w:eastAsia="Arial" w:hAnsi="Arial" w:cs="Arial"/>
          <w:sz w:val="22"/>
          <w:szCs w:val="22"/>
        </w:rPr>
        <w:t>5</w:t>
      </w:r>
      <w:r w:rsidR="00B629C5">
        <w:rPr>
          <w:rFonts w:ascii="Arial" w:eastAsia="Arial" w:hAnsi="Arial" w:cs="Arial"/>
          <w:sz w:val="22"/>
          <w:szCs w:val="22"/>
        </w:rPr>
        <w:t>%). L</w:t>
      </w:r>
      <w:r w:rsidR="00AE43EB" w:rsidRPr="00B629C5">
        <w:rPr>
          <w:rFonts w:ascii="Arial" w:eastAsia="Arial" w:hAnsi="Arial" w:cs="Arial"/>
          <w:sz w:val="22"/>
          <w:szCs w:val="22"/>
        </w:rPr>
        <w:t xml:space="preserve">os resultados </w:t>
      </w:r>
      <w:r w:rsidR="00B629C5">
        <w:rPr>
          <w:rFonts w:ascii="Arial" w:eastAsia="Arial" w:hAnsi="Arial" w:cs="Arial"/>
          <w:sz w:val="22"/>
          <w:szCs w:val="22"/>
        </w:rPr>
        <w:t xml:space="preserve">sobre el VPN muestran </w:t>
      </w:r>
      <w:r w:rsidR="009068E7">
        <w:rPr>
          <w:rFonts w:ascii="Arial" w:eastAsia="Arial" w:hAnsi="Arial" w:cs="Arial"/>
          <w:sz w:val="22"/>
          <w:szCs w:val="22"/>
        </w:rPr>
        <w:t>que,</w:t>
      </w:r>
      <w:r w:rsidR="00B629C5">
        <w:rPr>
          <w:rFonts w:ascii="Arial" w:eastAsia="Arial" w:hAnsi="Arial" w:cs="Arial"/>
          <w:sz w:val="22"/>
          <w:szCs w:val="22"/>
        </w:rPr>
        <w:t xml:space="preserve"> a pesar de ese escenario pesimista, el proyecto aún esta valorizado en </w:t>
      </w:r>
      <w:r w:rsidR="007C212B">
        <w:rPr>
          <w:rFonts w:ascii="Arial" w:eastAsia="Arial" w:hAnsi="Arial" w:cs="Arial"/>
          <w:sz w:val="22"/>
          <w:szCs w:val="22"/>
        </w:rPr>
        <w:t>US$</w:t>
      </w:r>
      <w:r w:rsidR="00136D35">
        <w:rPr>
          <w:rFonts w:ascii="Arial" w:eastAsia="Arial" w:hAnsi="Arial" w:cs="Arial"/>
          <w:sz w:val="22"/>
          <w:szCs w:val="22"/>
        </w:rPr>
        <w:t xml:space="preserve">161,53 </w:t>
      </w:r>
      <w:r w:rsidR="007C212B">
        <w:rPr>
          <w:rFonts w:ascii="Arial" w:eastAsia="Arial" w:hAnsi="Arial" w:cs="Arial"/>
          <w:sz w:val="22"/>
          <w:szCs w:val="22"/>
        </w:rPr>
        <w:t>y US</w:t>
      </w:r>
      <w:r w:rsidR="00136D35">
        <w:rPr>
          <w:rFonts w:ascii="Arial" w:eastAsia="Arial" w:hAnsi="Arial" w:cs="Arial"/>
          <w:sz w:val="22"/>
          <w:szCs w:val="22"/>
        </w:rPr>
        <w:t>$202,97</w:t>
      </w:r>
      <w:r w:rsidR="002D2505">
        <w:rPr>
          <w:rFonts w:ascii="Arial" w:eastAsia="Arial" w:hAnsi="Arial" w:cs="Arial"/>
          <w:sz w:val="22"/>
          <w:szCs w:val="22"/>
        </w:rPr>
        <w:t xml:space="preserve"> millones, respectivamente. </w:t>
      </w:r>
    </w:p>
    <w:p w14:paraId="0AD7B196" w14:textId="77777777" w:rsidR="00DE52D4" w:rsidRPr="00DE52D4" w:rsidRDefault="00DE52D4" w:rsidP="007C212B">
      <w:pPr>
        <w:pStyle w:val="ListParagraph"/>
        <w:tabs>
          <w:tab w:val="left" w:pos="360"/>
        </w:tabs>
        <w:ind w:left="0"/>
        <w:jc w:val="both"/>
        <w:rPr>
          <w:rFonts w:ascii="Arial" w:eastAsia="Arial" w:hAnsi="Arial" w:cs="Arial"/>
          <w:sz w:val="22"/>
          <w:szCs w:val="22"/>
        </w:rPr>
      </w:pPr>
    </w:p>
    <w:p w14:paraId="0FC46E75" w14:textId="69B394A1" w:rsidR="00AE43EB" w:rsidRPr="00DE52D4" w:rsidRDefault="00DE52D4" w:rsidP="00E4455F">
      <w:pPr>
        <w:pStyle w:val="ListParagraph"/>
        <w:numPr>
          <w:ilvl w:val="0"/>
          <w:numId w:val="2"/>
        </w:numPr>
        <w:tabs>
          <w:tab w:val="left" w:pos="360"/>
        </w:tabs>
        <w:ind w:left="0" w:hanging="450"/>
        <w:jc w:val="both"/>
        <w:rPr>
          <w:rFonts w:ascii="Arial" w:eastAsia="Arial" w:hAnsi="Arial" w:cs="Arial"/>
          <w:sz w:val="22"/>
          <w:szCs w:val="22"/>
        </w:rPr>
      </w:pPr>
      <w:r w:rsidRPr="00DE52D4">
        <w:rPr>
          <w:rFonts w:ascii="Arial" w:eastAsia="Arial" w:hAnsi="Arial" w:cs="Arial"/>
          <w:sz w:val="22"/>
          <w:szCs w:val="22"/>
        </w:rPr>
        <w:t xml:space="preserve">En el caso del escenario optimista del componente de </w:t>
      </w:r>
      <w:r w:rsidR="007C212B" w:rsidRPr="007C212B">
        <w:rPr>
          <w:rFonts w:ascii="Arial" w:eastAsia="Arial" w:hAnsi="Arial" w:cs="Arial"/>
          <w:sz w:val="22"/>
          <w:szCs w:val="22"/>
        </w:rPr>
        <w:t xml:space="preserve">Mejora de la infraestructura y equipamiento de las </w:t>
      </w:r>
      <w:r w:rsidR="00274642">
        <w:rPr>
          <w:rFonts w:ascii="Arial" w:eastAsia="Arial" w:hAnsi="Arial" w:cs="Arial"/>
          <w:sz w:val="22"/>
          <w:szCs w:val="22"/>
        </w:rPr>
        <w:t>IES</w:t>
      </w:r>
      <w:r w:rsidR="007C212B" w:rsidRPr="007C212B">
        <w:rPr>
          <w:rFonts w:ascii="Arial" w:eastAsia="Arial" w:hAnsi="Arial" w:cs="Arial"/>
          <w:sz w:val="22"/>
          <w:szCs w:val="22"/>
        </w:rPr>
        <w:t xml:space="preserve"> pública</w:t>
      </w:r>
      <w:r w:rsidR="007C212B">
        <w:rPr>
          <w:rFonts w:ascii="Arial" w:eastAsia="Arial" w:hAnsi="Arial" w:cs="Arial"/>
          <w:sz w:val="22"/>
          <w:szCs w:val="22"/>
        </w:rPr>
        <w:t xml:space="preserve"> </w:t>
      </w:r>
      <w:r>
        <w:rPr>
          <w:rFonts w:ascii="Arial" w:eastAsia="Arial" w:hAnsi="Arial" w:cs="Arial"/>
          <w:sz w:val="22"/>
          <w:szCs w:val="22"/>
        </w:rPr>
        <w:t xml:space="preserve">primero </w:t>
      </w:r>
      <w:r w:rsidR="007C212B">
        <w:rPr>
          <w:rFonts w:ascii="Arial" w:eastAsia="Arial" w:hAnsi="Arial" w:cs="Arial"/>
          <w:sz w:val="22"/>
          <w:szCs w:val="22"/>
        </w:rPr>
        <w:t xml:space="preserve">se asume </w:t>
      </w:r>
      <w:r w:rsidR="00AE43EB" w:rsidRPr="00DE52D4">
        <w:rPr>
          <w:rFonts w:ascii="Arial" w:eastAsia="Arial" w:hAnsi="Arial" w:cs="Arial"/>
          <w:sz w:val="22"/>
          <w:szCs w:val="22"/>
        </w:rPr>
        <w:t xml:space="preserve">un incremento en el impacto de </w:t>
      </w:r>
      <w:r w:rsidR="00FE1CC5">
        <w:rPr>
          <w:rFonts w:ascii="Arial" w:eastAsia="Arial" w:hAnsi="Arial" w:cs="Arial"/>
          <w:sz w:val="22"/>
          <w:szCs w:val="22"/>
        </w:rPr>
        <w:t xml:space="preserve">la infraestructura de 15% a 20 % y </w:t>
      </w:r>
      <w:r w:rsidR="00AE43EB" w:rsidRPr="00DE52D4">
        <w:rPr>
          <w:rFonts w:ascii="Arial" w:eastAsia="Arial" w:hAnsi="Arial" w:cs="Arial"/>
          <w:sz w:val="22"/>
          <w:szCs w:val="22"/>
        </w:rPr>
        <w:t>se obtiene que el VPN del pr</w:t>
      </w:r>
      <w:r w:rsidR="00FE1CC5">
        <w:rPr>
          <w:rFonts w:ascii="Arial" w:eastAsia="Arial" w:hAnsi="Arial" w:cs="Arial"/>
          <w:sz w:val="22"/>
          <w:szCs w:val="22"/>
        </w:rPr>
        <w:t>ogra</w:t>
      </w:r>
      <w:r w:rsidR="009068E7">
        <w:rPr>
          <w:rFonts w:ascii="Arial" w:eastAsia="Arial" w:hAnsi="Arial" w:cs="Arial"/>
          <w:sz w:val="22"/>
          <w:szCs w:val="22"/>
        </w:rPr>
        <w:t>ma se incremente hasta US$</w:t>
      </w:r>
      <w:r w:rsidR="00971FFF">
        <w:rPr>
          <w:rFonts w:ascii="Arial" w:eastAsia="Arial" w:hAnsi="Arial" w:cs="Arial"/>
          <w:sz w:val="22"/>
          <w:szCs w:val="22"/>
        </w:rPr>
        <w:t>339,05</w:t>
      </w:r>
      <w:r w:rsidR="00FE1CC5">
        <w:rPr>
          <w:rFonts w:ascii="Arial" w:eastAsia="Arial" w:hAnsi="Arial" w:cs="Arial"/>
          <w:sz w:val="22"/>
          <w:szCs w:val="22"/>
        </w:rPr>
        <w:t xml:space="preserve"> millones. Adicionalmente, si la tasa de crecimiento del ingreso promedio de los egresados de universidades públicas e IEST públicos se incrementa de 3% a 5% en ambos casos, </w:t>
      </w:r>
      <w:r w:rsidR="009E4C52">
        <w:rPr>
          <w:rFonts w:ascii="Arial" w:eastAsia="Arial" w:hAnsi="Arial" w:cs="Arial"/>
          <w:sz w:val="22"/>
          <w:szCs w:val="22"/>
        </w:rPr>
        <w:t>el VP</w:t>
      </w:r>
      <w:r w:rsidR="009068E7">
        <w:rPr>
          <w:rFonts w:ascii="Arial" w:eastAsia="Arial" w:hAnsi="Arial" w:cs="Arial"/>
          <w:sz w:val="22"/>
          <w:szCs w:val="22"/>
        </w:rPr>
        <w:t>N del programa alcanza US$</w:t>
      </w:r>
      <w:r w:rsidR="00971FFF">
        <w:rPr>
          <w:rFonts w:ascii="Arial" w:eastAsia="Arial" w:hAnsi="Arial" w:cs="Arial"/>
          <w:sz w:val="22"/>
          <w:szCs w:val="22"/>
        </w:rPr>
        <w:t>239,02</w:t>
      </w:r>
      <w:r w:rsidR="00AE43EB" w:rsidRPr="00DE52D4">
        <w:rPr>
          <w:rFonts w:ascii="Arial" w:eastAsia="Arial" w:hAnsi="Arial" w:cs="Arial"/>
          <w:sz w:val="22"/>
          <w:szCs w:val="22"/>
        </w:rPr>
        <w:t> millones</w:t>
      </w:r>
      <w:r w:rsidR="009E4C52">
        <w:rPr>
          <w:rFonts w:ascii="Arial" w:eastAsia="Arial" w:hAnsi="Arial" w:cs="Arial"/>
          <w:sz w:val="22"/>
          <w:szCs w:val="22"/>
        </w:rPr>
        <w:t xml:space="preserve"> y US$</w:t>
      </w:r>
      <w:r w:rsidR="00971FFF">
        <w:rPr>
          <w:rFonts w:ascii="Arial" w:eastAsia="Arial" w:hAnsi="Arial" w:cs="Arial"/>
          <w:sz w:val="22"/>
          <w:szCs w:val="22"/>
        </w:rPr>
        <w:t>212,25</w:t>
      </w:r>
      <w:r w:rsidR="009E4C52">
        <w:rPr>
          <w:rFonts w:ascii="Arial" w:eastAsia="Arial" w:hAnsi="Arial" w:cs="Arial"/>
          <w:sz w:val="22"/>
          <w:szCs w:val="22"/>
        </w:rPr>
        <w:t xml:space="preserve"> millones respectivamente</w:t>
      </w:r>
      <w:r w:rsidR="00AE43EB" w:rsidRPr="00DE52D4">
        <w:rPr>
          <w:rFonts w:ascii="Arial" w:eastAsia="Arial" w:hAnsi="Arial" w:cs="Arial"/>
          <w:sz w:val="22"/>
          <w:szCs w:val="22"/>
        </w:rPr>
        <w:t>.</w:t>
      </w:r>
    </w:p>
    <w:p w14:paraId="7DCE435C" w14:textId="77777777" w:rsidR="00AE43EB" w:rsidRPr="00A34758" w:rsidRDefault="00AE43EB" w:rsidP="007C212B">
      <w:pPr>
        <w:pStyle w:val="ListParagraph"/>
        <w:tabs>
          <w:tab w:val="left" w:pos="360"/>
        </w:tabs>
        <w:ind w:left="0"/>
        <w:jc w:val="both"/>
        <w:rPr>
          <w:rFonts w:ascii="Arial" w:eastAsia="Arial" w:hAnsi="Arial" w:cs="Arial"/>
          <w:sz w:val="22"/>
          <w:szCs w:val="22"/>
        </w:rPr>
      </w:pPr>
    </w:p>
    <w:p w14:paraId="6CFB1DD9" w14:textId="7F3C2067" w:rsidR="00AE43EB" w:rsidRPr="009E4C52" w:rsidRDefault="00AE43EB" w:rsidP="00E4455F">
      <w:pPr>
        <w:pStyle w:val="ListParagraph"/>
        <w:numPr>
          <w:ilvl w:val="0"/>
          <w:numId w:val="2"/>
        </w:numPr>
        <w:tabs>
          <w:tab w:val="left" w:pos="360"/>
        </w:tabs>
        <w:ind w:left="0" w:hanging="450"/>
        <w:jc w:val="both"/>
        <w:rPr>
          <w:rFonts w:ascii="Arial" w:eastAsia="Arial" w:hAnsi="Arial" w:cs="Arial"/>
          <w:sz w:val="22"/>
          <w:szCs w:val="22"/>
        </w:rPr>
      </w:pPr>
      <w:r w:rsidRPr="009E4C52">
        <w:rPr>
          <w:rFonts w:ascii="Arial" w:eastAsia="Arial" w:hAnsi="Arial" w:cs="Arial"/>
          <w:sz w:val="22"/>
          <w:szCs w:val="22"/>
        </w:rPr>
        <w:t xml:space="preserve">Para los escenarios pesimistas </w:t>
      </w:r>
      <w:r w:rsidR="00962A59">
        <w:rPr>
          <w:rFonts w:ascii="Arial" w:eastAsia="Arial" w:hAnsi="Arial" w:cs="Arial"/>
          <w:sz w:val="22"/>
          <w:szCs w:val="22"/>
        </w:rPr>
        <w:t>del</w:t>
      </w:r>
      <w:r w:rsidR="009E4C52" w:rsidRPr="009E4C52">
        <w:rPr>
          <w:rFonts w:ascii="Arial" w:eastAsia="Arial" w:hAnsi="Arial" w:cs="Arial"/>
          <w:sz w:val="22"/>
          <w:szCs w:val="22"/>
        </w:rPr>
        <w:t xml:space="preserve"> mismo componente, </w:t>
      </w:r>
      <w:r w:rsidR="00962A59">
        <w:rPr>
          <w:rFonts w:ascii="Arial" w:eastAsia="Arial" w:hAnsi="Arial" w:cs="Arial"/>
          <w:sz w:val="22"/>
          <w:szCs w:val="22"/>
        </w:rPr>
        <w:t>se asume primero una caída</w:t>
      </w:r>
      <w:r w:rsidRPr="009E4C52">
        <w:rPr>
          <w:rFonts w:ascii="Arial" w:eastAsia="Arial" w:hAnsi="Arial" w:cs="Arial"/>
          <w:sz w:val="22"/>
          <w:szCs w:val="22"/>
        </w:rPr>
        <w:t xml:space="preserve"> en el impacto </w:t>
      </w:r>
      <w:r w:rsidR="009E4C52" w:rsidRPr="009E4C52">
        <w:rPr>
          <w:rFonts w:ascii="Arial" w:eastAsia="Arial" w:hAnsi="Arial" w:cs="Arial"/>
          <w:sz w:val="22"/>
          <w:szCs w:val="22"/>
        </w:rPr>
        <w:t xml:space="preserve">de la infraestructura de 15% a </w:t>
      </w:r>
      <w:r w:rsidR="00FD150B">
        <w:rPr>
          <w:rFonts w:ascii="Arial" w:eastAsia="Arial" w:hAnsi="Arial" w:cs="Arial"/>
          <w:sz w:val="22"/>
          <w:szCs w:val="22"/>
        </w:rPr>
        <w:t>1</w:t>
      </w:r>
      <w:r w:rsidR="009E4C52" w:rsidRPr="009E4C52">
        <w:rPr>
          <w:rFonts w:ascii="Arial" w:eastAsia="Arial" w:hAnsi="Arial" w:cs="Arial"/>
          <w:sz w:val="22"/>
          <w:szCs w:val="22"/>
        </w:rPr>
        <w:t>0%</w:t>
      </w:r>
      <w:r w:rsidRPr="009E4C52">
        <w:rPr>
          <w:rFonts w:ascii="Arial" w:eastAsia="Arial" w:hAnsi="Arial" w:cs="Arial"/>
          <w:sz w:val="22"/>
          <w:szCs w:val="22"/>
        </w:rPr>
        <w:t>, los resultados muestran un impacto todavía positivo del componente de US$</w:t>
      </w:r>
      <w:r w:rsidR="008D3B11">
        <w:rPr>
          <w:rFonts w:ascii="Arial" w:eastAsia="Arial" w:hAnsi="Arial" w:cs="Arial"/>
          <w:sz w:val="22"/>
          <w:szCs w:val="22"/>
        </w:rPr>
        <w:t>76,2</w:t>
      </w:r>
      <w:r w:rsidRPr="009E4C52">
        <w:rPr>
          <w:rFonts w:ascii="Arial" w:eastAsia="Arial" w:hAnsi="Arial" w:cs="Arial"/>
          <w:sz w:val="22"/>
          <w:szCs w:val="22"/>
        </w:rPr>
        <w:t xml:space="preserve"> millones. Seguidamente se presenta un escenario en el cual </w:t>
      </w:r>
      <w:r w:rsidR="009E4C52" w:rsidRPr="009E4C52">
        <w:rPr>
          <w:rFonts w:ascii="Arial" w:eastAsia="Arial" w:hAnsi="Arial" w:cs="Arial"/>
          <w:sz w:val="22"/>
          <w:szCs w:val="22"/>
        </w:rPr>
        <w:t>la tasa de crecimiento del ingreso promedio de los egresados de universidades públicas e IEST públicos se reduce de 3% a 1</w:t>
      </w:r>
      <w:r w:rsidR="009E4C52">
        <w:rPr>
          <w:rFonts w:ascii="Arial" w:eastAsia="Arial" w:hAnsi="Arial" w:cs="Arial"/>
          <w:sz w:val="22"/>
          <w:szCs w:val="22"/>
        </w:rPr>
        <w:t xml:space="preserve">% en ambos casos. Ante ello, </w:t>
      </w:r>
      <w:r w:rsidRPr="009E4C52">
        <w:rPr>
          <w:rFonts w:ascii="Arial" w:eastAsia="Arial" w:hAnsi="Arial" w:cs="Arial"/>
          <w:sz w:val="22"/>
          <w:szCs w:val="22"/>
        </w:rPr>
        <w:t>los resultados implican una reducción del VPN del componente, aunque todaví</w:t>
      </w:r>
      <w:r w:rsidR="00962A59">
        <w:rPr>
          <w:rFonts w:ascii="Arial" w:eastAsia="Arial" w:hAnsi="Arial" w:cs="Arial"/>
          <w:sz w:val="22"/>
          <w:szCs w:val="22"/>
        </w:rPr>
        <w:t>a permanece positivo en US$</w:t>
      </w:r>
      <w:r w:rsidR="008D3B11">
        <w:rPr>
          <w:rFonts w:ascii="Arial" w:eastAsia="Arial" w:hAnsi="Arial" w:cs="Arial"/>
          <w:sz w:val="22"/>
          <w:szCs w:val="22"/>
        </w:rPr>
        <w:t xml:space="preserve">146,8 </w:t>
      </w:r>
      <w:r w:rsidRPr="009E4C52">
        <w:rPr>
          <w:rFonts w:ascii="Arial" w:eastAsia="Arial" w:hAnsi="Arial" w:cs="Arial"/>
          <w:sz w:val="22"/>
          <w:szCs w:val="22"/>
        </w:rPr>
        <w:t>millones</w:t>
      </w:r>
      <w:r w:rsidR="00962A59">
        <w:rPr>
          <w:rFonts w:ascii="Arial" w:eastAsia="Arial" w:hAnsi="Arial" w:cs="Arial"/>
          <w:sz w:val="22"/>
          <w:szCs w:val="22"/>
        </w:rPr>
        <w:t xml:space="preserve"> y US$</w:t>
      </w:r>
      <w:r w:rsidR="008D3B11">
        <w:rPr>
          <w:rFonts w:ascii="Arial" w:eastAsia="Arial" w:hAnsi="Arial" w:cs="Arial"/>
          <w:sz w:val="22"/>
          <w:szCs w:val="22"/>
        </w:rPr>
        <w:t>203,77</w:t>
      </w:r>
      <w:r w:rsidR="009E4C52">
        <w:rPr>
          <w:rFonts w:ascii="Arial" w:eastAsia="Arial" w:hAnsi="Arial" w:cs="Arial"/>
          <w:sz w:val="22"/>
          <w:szCs w:val="22"/>
        </w:rPr>
        <w:t xml:space="preserve"> millones respectivamente</w:t>
      </w:r>
      <w:r w:rsidRPr="009E4C52">
        <w:rPr>
          <w:rFonts w:ascii="Arial" w:eastAsia="Arial" w:hAnsi="Arial" w:cs="Arial"/>
          <w:sz w:val="22"/>
          <w:szCs w:val="22"/>
        </w:rPr>
        <w:t xml:space="preserve">. </w:t>
      </w:r>
    </w:p>
    <w:p w14:paraId="78B510BB" w14:textId="77777777" w:rsidR="00AE43EB" w:rsidRPr="007C212B" w:rsidRDefault="00AE43EB" w:rsidP="007C212B">
      <w:pPr>
        <w:pStyle w:val="ListParagraph"/>
        <w:tabs>
          <w:tab w:val="left" w:pos="360"/>
        </w:tabs>
        <w:ind w:left="0"/>
        <w:jc w:val="both"/>
        <w:rPr>
          <w:rFonts w:ascii="Arial" w:eastAsia="Arial" w:hAnsi="Arial" w:cs="Arial"/>
          <w:sz w:val="22"/>
          <w:szCs w:val="22"/>
        </w:rPr>
      </w:pPr>
    </w:p>
    <w:p w14:paraId="554FBC5C" w14:textId="77777777" w:rsidR="00AE43EB" w:rsidRDefault="00AE43EB" w:rsidP="00E4455F">
      <w:pPr>
        <w:pStyle w:val="ListParagraph"/>
        <w:numPr>
          <w:ilvl w:val="0"/>
          <w:numId w:val="2"/>
        </w:numPr>
        <w:tabs>
          <w:tab w:val="left" w:pos="360"/>
        </w:tabs>
        <w:ind w:left="0" w:hanging="450"/>
        <w:jc w:val="both"/>
        <w:rPr>
          <w:rFonts w:ascii="Arial" w:eastAsia="Arial" w:hAnsi="Arial" w:cs="Arial"/>
          <w:sz w:val="22"/>
          <w:szCs w:val="22"/>
        </w:rPr>
      </w:pPr>
      <w:r w:rsidRPr="00A34758">
        <w:rPr>
          <w:rFonts w:ascii="Arial" w:eastAsia="Arial" w:hAnsi="Arial" w:cs="Arial"/>
          <w:sz w:val="22"/>
          <w:szCs w:val="22"/>
        </w:rPr>
        <w:t xml:space="preserve">Para dar mayor sustento al análisis de sensibilidad se calculan </w:t>
      </w:r>
      <w:r w:rsidR="00B96E80">
        <w:rPr>
          <w:rFonts w:ascii="Arial" w:eastAsia="Arial" w:hAnsi="Arial" w:cs="Arial"/>
          <w:sz w:val="22"/>
          <w:szCs w:val="22"/>
        </w:rPr>
        <w:t>dos</w:t>
      </w:r>
      <w:r w:rsidRPr="00A34758">
        <w:rPr>
          <w:rFonts w:ascii="Arial" w:eastAsia="Arial" w:hAnsi="Arial" w:cs="Arial"/>
          <w:sz w:val="22"/>
          <w:szCs w:val="22"/>
        </w:rPr>
        <w:t xml:space="preserve"> escenarios adicionales: (i) el primero es un escenario negativo adicional que contempla el uso de varios supuestos pesimistas a la vez, de</w:t>
      </w:r>
      <w:r w:rsidR="00B96E80">
        <w:rPr>
          <w:rFonts w:ascii="Arial" w:eastAsia="Arial" w:hAnsi="Arial" w:cs="Arial"/>
          <w:sz w:val="22"/>
          <w:szCs w:val="22"/>
        </w:rPr>
        <w:t xml:space="preserve">finido como escenario pesimista </w:t>
      </w:r>
      <w:r w:rsidR="0086114E">
        <w:rPr>
          <w:rFonts w:ascii="Arial" w:eastAsia="Arial" w:hAnsi="Arial" w:cs="Arial"/>
          <w:sz w:val="22"/>
          <w:szCs w:val="22"/>
        </w:rPr>
        <w:t xml:space="preserve">complejo </w:t>
      </w:r>
      <w:r w:rsidR="00B96E80">
        <w:rPr>
          <w:rFonts w:ascii="Arial" w:eastAsia="Arial" w:hAnsi="Arial" w:cs="Arial"/>
          <w:sz w:val="22"/>
          <w:szCs w:val="22"/>
        </w:rPr>
        <w:t>y</w:t>
      </w:r>
      <w:r w:rsidRPr="00A34758">
        <w:rPr>
          <w:rFonts w:ascii="Arial" w:eastAsia="Arial" w:hAnsi="Arial" w:cs="Arial"/>
          <w:sz w:val="22"/>
          <w:szCs w:val="22"/>
        </w:rPr>
        <w:t xml:space="preserve"> (ii) el segundo escenario es uno en el cual se presentan varios supuestos optimistas ocurriendo al mismo tiempo, definido como escenario optimista</w:t>
      </w:r>
      <w:r w:rsidR="0086114E">
        <w:rPr>
          <w:rFonts w:ascii="Arial" w:eastAsia="Arial" w:hAnsi="Arial" w:cs="Arial"/>
          <w:sz w:val="22"/>
          <w:szCs w:val="22"/>
        </w:rPr>
        <w:t xml:space="preserve"> complejo</w:t>
      </w:r>
      <w:r w:rsidRPr="00A34758">
        <w:rPr>
          <w:rFonts w:ascii="Arial" w:eastAsia="Arial" w:hAnsi="Arial" w:cs="Arial"/>
          <w:sz w:val="22"/>
          <w:szCs w:val="22"/>
        </w:rPr>
        <w:t xml:space="preserve"> (Cuadro 7).</w:t>
      </w:r>
    </w:p>
    <w:p w14:paraId="6EF9FAF2" w14:textId="77777777" w:rsidR="00AE43EB" w:rsidRPr="00A34758" w:rsidRDefault="00AE43EB" w:rsidP="007C212B">
      <w:pPr>
        <w:pStyle w:val="ListParagraph"/>
        <w:tabs>
          <w:tab w:val="left" w:pos="360"/>
        </w:tabs>
        <w:ind w:left="0"/>
        <w:jc w:val="both"/>
        <w:rPr>
          <w:rFonts w:ascii="Arial" w:eastAsia="Arial" w:hAnsi="Arial" w:cs="Arial"/>
          <w:sz w:val="22"/>
          <w:szCs w:val="22"/>
        </w:rPr>
      </w:pPr>
    </w:p>
    <w:p w14:paraId="071D1AD7" w14:textId="0799E78A" w:rsidR="00AE43EB" w:rsidRPr="007E2EF2" w:rsidRDefault="00AE43EB" w:rsidP="00E4455F">
      <w:pPr>
        <w:pStyle w:val="ListParagraph"/>
        <w:numPr>
          <w:ilvl w:val="0"/>
          <w:numId w:val="2"/>
        </w:numPr>
        <w:tabs>
          <w:tab w:val="left" w:pos="360"/>
        </w:tabs>
        <w:ind w:left="0" w:hanging="450"/>
        <w:jc w:val="both"/>
        <w:rPr>
          <w:rFonts w:ascii="Arial" w:eastAsia="Arial" w:hAnsi="Arial" w:cs="Arial"/>
          <w:sz w:val="22"/>
          <w:szCs w:val="22"/>
        </w:rPr>
      </w:pPr>
      <w:r w:rsidRPr="00A34758">
        <w:rPr>
          <w:rFonts w:ascii="Arial" w:eastAsia="Arial" w:hAnsi="Arial" w:cs="Arial"/>
          <w:sz w:val="22"/>
          <w:szCs w:val="22"/>
        </w:rPr>
        <w:lastRenderedPageBreak/>
        <w:t xml:space="preserve">Con respecto al escenario pesimista </w:t>
      </w:r>
      <w:r w:rsidR="007E2EF2">
        <w:rPr>
          <w:rFonts w:ascii="Arial" w:eastAsia="Arial" w:hAnsi="Arial" w:cs="Arial"/>
          <w:sz w:val="22"/>
          <w:szCs w:val="22"/>
        </w:rPr>
        <w:t xml:space="preserve">complejo para el componente </w:t>
      </w:r>
      <w:r w:rsidR="00A01AF6">
        <w:rPr>
          <w:rFonts w:ascii="Arial" w:eastAsia="Arial" w:hAnsi="Arial" w:cs="Arial"/>
          <w:sz w:val="22"/>
          <w:szCs w:val="22"/>
        </w:rPr>
        <w:t xml:space="preserve">2 </w:t>
      </w:r>
      <w:r w:rsidR="007E2EF2">
        <w:rPr>
          <w:rFonts w:ascii="Arial" w:eastAsia="Arial" w:hAnsi="Arial" w:cs="Arial"/>
          <w:sz w:val="22"/>
          <w:szCs w:val="22"/>
        </w:rPr>
        <w:t xml:space="preserve">de </w:t>
      </w:r>
      <w:r w:rsidR="00962A59" w:rsidRPr="00962A59">
        <w:rPr>
          <w:rFonts w:ascii="Arial" w:eastAsia="Arial" w:hAnsi="Arial" w:cs="Arial"/>
          <w:sz w:val="22"/>
          <w:szCs w:val="22"/>
        </w:rPr>
        <w:t xml:space="preserve">Fortalecimiento de la gestión institucional de las </w:t>
      </w:r>
      <w:r w:rsidR="00274642">
        <w:rPr>
          <w:rFonts w:ascii="Arial" w:eastAsia="Arial" w:hAnsi="Arial" w:cs="Arial"/>
          <w:sz w:val="22"/>
          <w:szCs w:val="22"/>
        </w:rPr>
        <w:t>IES</w:t>
      </w:r>
      <w:r w:rsidR="00962A59" w:rsidRPr="00962A59">
        <w:rPr>
          <w:rFonts w:ascii="Arial" w:eastAsia="Arial" w:hAnsi="Arial" w:cs="Arial"/>
          <w:sz w:val="22"/>
          <w:szCs w:val="22"/>
        </w:rPr>
        <w:t xml:space="preserve"> públicas</w:t>
      </w:r>
      <w:r w:rsidRPr="00A34758">
        <w:rPr>
          <w:rFonts w:ascii="Arial" w:eastAsia="Arial" w:hAnsi="Arial" w:cs="Arial"/>
          <w:sz w:val="22"/>
          <w:szCs w:val="22"/>
        </w:rPr>
        <w:t xml:space="preserve">, este asume que </w:t>
      </w:r>
      <w:r w:rsidR="007E2EF2">
        <w:rPr>
          <w:rFonts w:ascii="Arial" w:eastAsia="Arial" w:hAnsi="Arial" w:cs="Arial"/>
          <w:sz w:val="22"/>
          <w:szCs w:val="22"/>
        </w:rPr>
        <w:t>la formalidad se reduce de 12,5% a 10,0%, que la tasa de crecimiento de egresados de universidades</w:t>
      </w:r>
      <w:r w:rsidR="008D3B11">
        <w:rPr>
          <w:rFonts w:ascii="Arial" w:eastAsia="Arial" w:hAnsi="Arial" w:cs="Arial"/>
          <w:sz w:val="22"/>
          <w:szCs w:val="22"/>
        </w:rPr>
        <w:t xml:space="preserve"> e IEST</w:t>
      </w:r>
      <w:r w:rsidR="007E2EF2">
        <w:rPr>
          <w:rFonts w:ascii="Arial" w:eastAsia="Arial" w:hAnsi="Arial" w:cs="Arial"/>
          <w:sz w:val="22"/>
          <w:szCs w:val="22"/>
        </w:rPr>
        <w:t xml:space="preserve"> se reduce de </w:t>
      </w:r>
      <w:r w:rsidR="008D3B11">
        <w:rPr>
          <w:rFonts w:ascii="Arial" w:eastAsia="Arial" w:hAnsi="Arial" w:cs="Arial"/>
          <w:sz w:val="22"/>
          <w:szCs w:val="22"/>
        </w:rPr>
        <w:t>7</w:t>
      </w:r>
      <w:r w:rsidR="007E2EF2">
        <w:rPr>
          <w:rFonts w:ascii="Arial" w:eastAsia="Arial" w:hAnsi="Arial" w:cs="Arial"/>
          <w:sz w:val="22"/>
          <w:szCs w:val="22"/>
        </w:rPr>
        <w:t xml:space="preserve">% a </w:t>
      </w:r>
      <w:r w:rsidR="008D3B11">
        <w:rPr>
          <w:rFonts w:ascii="Arial" w:eastAsia="Arial" w:hAnsi="Arial" w:cs="Arial"/>
          <w:sz w:val="22"/>
          <w:szCs w:val="22"/>
        </w:rPr>
        <w:t>5</w:t>
      </w:r>
      <w:r w:rsidR="007E2EF2">
        <w:rPr>
          <w:rFonts w:ascii="Arial" w:eastAsia="Arial" w:hAnsi="Arial" w:cs="Arial"/>
          <w:sz w:val="22"/>
          <w:szCs w:val="22"/>
        </w:rPr>
        <w:t xml:space="preserve">% y la tasa de crecimiento de la brecha de ingresos (formal vs informal) de egresados de universidades e IEST pasa de </w:t>
      </w:r>
      <w:r w:rsidR="008D3B11">
        <w:rPr>
          <w:rFonts w:ascii="Arial" w:eastAsia="Arial" w:hAnsi="Arial" w:cs="Arial"/>
          <w:sz w:val="22"/>
          <w:szCs w:val="22"/>
        </w:rPr>
        <w:t>8</w:t>
      </w:r>
      <w:r w:rsidR="007E2EF2">
        <w:rPr>
          <w:rFonts w:ascii="Arial" w:eastAsia="Arial" w:hAnsi="Arial" w:cs="Arial"/>
          <w:sz w:val="22"/>
          <w:szCs w:val="22"/>
        </w:rPr>
        <w:t xml:space="preserve">% a </w:t>
      </w:r>
      <w:r w:rsidR="008D3B11">
        <w:rPr>
          <w:rFonts w:ascii="Arial" w:eastAsia="Arial" w:hAnsi="Arial" w:cs="Arial"/>
          <w:sz w:val="22"/>
          <w:szCs w:val="22"/>
        </w:rPr>
        <w:t>6</w:t>
      </w:r>
      <w:r w:rsidR="007E2EF2">
        <w:rPr>
          <w:rFonts w:ascii="Arial" w:eastAsia="Arial" w:hAnsi="Arial" w:cs="Arial"/>
          <w:sz w:val="22"/>
          <w:szCs w:val="22"/>
        </w:rPr>
        <w:t xml:space="preserve">% y de </w:t>
      </w:r>
      <w:r w:rsidR="008D3B11">
        <w:rPr>
          <w:rFonts w:ascii="Arial" w:eastAsia="Arial" w:hAnsi="Arial" w:cs="Arial"/>
          <w:sz w:val="22"/>
          <w:szCs w:val="22"/>
        </w:rPr>
        <w:t>7</w:t>
      </w:r>
      <w:r w:rsidR="007E2EF2">
        <w:rPr>
          <w:rFonts w:ascii="Arial" w:eastAsia="Arial" w:hAnsi="Arial" w:cs="Arial"/>
          <w:sz w:val="22"/>
          <w:szCs w:val="22"/>
        </w:rPr>
        <w:t xml:space="preserve">% a </w:t>
      </w:r>
      <w:r w:rsidR="008D3B11">
        <w:rPr>
          <w:rFonts w:ascii="Arial" w:eastAsia="Arial" w:hAnsi="Arial" w:cs="Arial"/>
          <w:sz w:val="22"/>
          <w:szCs w:val="22"/>
        </w:rPr>
        <w:t>5</w:t>
      </w:r>
      <w:r w:rsidR="007E2EF2">
        <w:rPr>
          <w:rFonts w:ascii="Arial" w:eastAsia="Arial" w:hAnsi="Arial" w:cs="Arial"/>
          <w:sz w:val="22"/>
          <w:szCs w:val="22"/>
        </w:rPr>
        <w:t xml:space="preserve">%, respectivamente. </w:t>
      </w:r>
      <w:r w:rsidRPr="007E2EF2">
        <w:rPr>
          <w:rFonts w:ascii="Arial" w:eastAsia="Arial" w:hAnsi="Arial" w:cs="Arial"/>
          <w:sz w:val="22"/>
          <w:szCs w:val="22"/>
        </w:rPr>
        <w:t xml:space="preserve">En este escenario, el VPN del </w:t>
      </w:r>
      <w:r w:rsidR="007E2EF2">
        <w:rPr>
          <w:rFonts w:ascii="Arial" w:eastAsia="Arial" w:hAnsi="Arial" w:cs="Arial"/>
          <w:sz w:val="22"/>
          <w:szCs w:val="22"/>
        </w:rPr>
        <w:t>programa</w:t>
      </w:r>
      <w:r w:rsidRPr="007E2EF2">
        <w:rPr>
          <w:rFonts w:ascii="Arial" w:eastAsia="Arial" w:hAnsi="Arial" w:cs="Arial"/>
          <w:sz w:val="22"/>
          <w:szCs w:val="22"/>
        </w:rPr>
        <w:t xml:space="preserve"> es todavía</w:t>
      </w:r>
      <w:r w:rsidR="00962A59">
        <w:rPr>
          <w:rFonts w:ascii="Arial" w:eastAsia="Arial" w:hAnsi="Arial" w:cs="Arial"/>
          <w:sz w:val="22"/>
          <w:szCs w:val="22"/>
        </w:rPr>
        <w:t xml:space="preserve"> positivo con un VPN de US$</w:t>
      </w:r>
      <w:r w:rsidR="008D3B11">
        <w:rPr>
          <w:rFonts w:ascii="Arial" w:eastAsia="Arial" w:hAnsi="Arial" w:cs="Arial"/>
          <w:sz w:val="22"/>
          <w:szCs w:val="22"/>
        </w:rPr>
        <w:t>87,46</w:t>
      </w:r>
      <w:r w:rsidRPr="007E2EF2">
        <w:rPr>
          <w:rFonts w:ascii="Arial" w:eastAsia="Arial" w:hAnsi="Arial" w:cs="Arial"/>
          <w:sz w:val="22"/>
          <w:szCs w:val="22"/>
        </w:rPr>
        <w:t xml:space="preserve"> millones. Para el escenario pesimista complejo del componente </w:t>
      </w:r>
      <w:r w:rsidR="00A01AF6">
        <w:rPr>
          <w:rFonts w:ascii="Arial" w:eastAsia="Arial" w:hAnsi="Arial" w:cs="Arial"/>
          <w:sz w:val="22"/>
          <w:szCs w:val="22"/>
        </w:rPr>
        <w:t xml:space="preserve">3 </w:t>
      </w:r>
      <w:r w:rsidRPr="007E2EF2">
        <w:rPr>
          <w:rFonts w:ascii="Arial" w:eastAsia="Arial" w:hAnsi="Arial" w:cs="Arial"/>
          <w:sz w:val="22"/>
          <w:szCs w:val="22"/>
        </w:rPr>
        <w:t xml:space="preserve">de </w:t>
      </w:r>
      <w:r w:rsidR="00962A59" w:rsidRPr="00962A59">
        <w:rPr>
          <w:rFonts w:ascii="Arial" w:eastAsia="Arial" w:hAnsi="Arial" w:cs="Arial"/>
          <w:sz w:val="22"/>
          <w:szCs w:val="22"/>
        </w:rPr>
        <w:t xml:space="preserve">Mejora de la infraestructura y equipamiento de las </w:t>
      </w:r>
      <w:r w:rsidR="00274642">
        <w:rPr>
          <w:rFonts w:ascii="Arial" w:eastAsia="Arial" w:hAnsi="Arial" w:cs="Arial"/>
          <w:sz w:val="22"/>
          <w:szCs w:val="22"/>
        </w:rPr>
        <w:t>IES</w:t>
      </w:r>
      <w:r w:rsidR="00962A59" w:rsidRPr="00962A59">
        <w:rPr>
          <w:rFonts w:ascii="Arial" w:eastAsia="Arial" w:hAnsi="Arial" w:cs="Arial"/>
          <w:sz w:val="22"/>
          <w:szCs w:val="22"/>
        </w:rPr>
        <w:t xml:space="preserve"> pública</w:t>
      </w:r>
      <w:r w:rsidR="00962A59" w:rsidRPr="007E2EF2">
        <w:rPr>
          <w:rFonts w:ascii="Arial" w:eastAsia="Arial" w:hAnsi="Arial" w:cs="Arial"/>
          <w:sz w:val="22"/>
          <w:szCs w:val="22"/>
        </w:rPr>
        <w:t xml:space="preserve"> </w:t>
      </w:r>
      <w:r w:rsidRPr="007E2EF2">
        <w:rPr>
          <w:rFonts w:ascii="Arial" w:eastAsia="Arial" w:hAnsi="Arial" w:cs="Arial"/>
          <w:sz w:val="22"/>
          <w:szCs w:val="22"/>
        </w:rPr>
        <w:t xml:space="preserve">se asume una reducción en el impacto en </w:t>
      </w:r>
      <w:r w:rsidR="007E2EF2">
        <w:rPr>
          <w:rFonts w:ascii="Arial" w:eastAsia="Arial" w:hAnsi="Arial" w:cs="Arial"/>
          <w:sz w:val="22"/>
          <w:szCs w:val="22"/>
        </w:rPr>
        <w:t>infraestructura de 1</w:t>
      </w:r>
      <w:r w:rsidR="00FD150B">
        <w:rPr>
          <w:rFonts w:ascii="Arial" w:eastAsia="Arial" w:hAnsi="Arial" w:cs="Arial"/>
          <w:sz w:val="22"/>
          <w:szCs w:val="22"/>
        </w:rPr>
        <w:t>5% a 10</w:t>
      </w:r>
      <w:r w:rsidR="007E2EF2">
        <w:rPr>
          <w:rFonts w:ascii="Arial" w:eastAsia="Arial" w:hAnsi="Arial" w:cs="Arial"/>
          <w:sz w:val="22"/>
          <w:szCs w:val="22"/>
        </w:rPr>
        <w:t>% y con una reducción de la tasa de crecimiento del ingreso promedio de los egresados de universidades e IEST públicos de 3% a 1% para ambos. E</w:t>
      </w:r>
      <w:r w:rsidRPr="007E2EF2">
        <w:rPr>
          <w:rFonts w:ascii="Arial" w:eastAsia="Arial" w:hAnsi="Arial" w:cs="Arial"/>
          <w:sz w:val="22"/>
          <w:szCs w:val="22"/>
        </w:rPr>
        <w:t xml:space="preserve">l resultado del VPN del </w:t>
      </w:r>
      <w:r w:rsidR="007E2EF2">
        <w:rPr>
          <w:rFonts w:ascii="Arial" w:eastAsia="Arial" w:hAnsi="Arial" w:cs="Arial"/>
          <w:sz w:val="22"/>
          <w:szCs w:val="22"/>
        </w:rPr>
        <w:t xml:space="preserve">programa ante este caso </w:t>
      </w:r>
      <w:r w:rsidRPr="007E2EF2">
        <w:rPr>
          <w:rFonts w:ascii="Arial" w:eastAsia="Arial" w:hAnsi="Arial" w:cs="Arial"/>
          <w:sz w:val="22"/>
          <w:szCs w:val="22"/>
        </w:rPr>
        <w:t>es US$</w:t>
      </w:r>
      <w:r w:rsidR="008D3B11">
        <w:rPr>
          <w:rFonts w:ascii="Arial" w:eastAsia="Arial" w:hAnsi="Arial" w:cs="Arial"/>
          <w:sz w:val="22"/>
          <w:szCs w:val="22"/>
        </w:rPr>
        <w:t>33,9</w:t>
      </w:r>
      <w:r w:rsidRPr="007E2EF2">
        <w:rPr>
          <w:rFonts w:ascii="Arial" w:eastAsia="Arial" w:hAnsi="Arial" w:cs="Arial"/>
          <w:sz w:val="22"/>
          <w:szCs w:val="22"/>
        </w:rPr>
        <w:t xml:space="preserve"> millones. </w:t>
      </w:r>
    </w:p>
    <w:p w14:paraId="029B6694" w14:textId="77777777" w:rsidR="00AE43EB" w:rsidRPr="00CD3120" w:rsidRDefault="00AE43EB" w:rsidP="007C212B">
      <w:pPr>
        <w:pStyle w:val="ListParagraph"/>
        <w:tabs>
          <w:tab w:val="left" w:pos="360"/>
        </w:tabs>
        <w:ind w:left="0"/>
        <w:jc w:val="both"/>
        <w:rPr>
          <w:rFonts w:ascii="Arial" w:eastAsia="Arial" w:hAnsi="Arial" w:cs="Arial"/>
          <w:sz w:val="22"/>
          <w:szCs w:val="22"/>
        </w:rPr>
      </w:pPr>
    </w:p>
    <w:p w14:paraId="1EBADF49" w14:textId="5F14CCE5" w:rsidR="00AE43EB" w:rsidRPr="00962A59" w:rsidRDefault="00AE43EB" w:rsidP="00E4455F">
      <w:pPr>
        <w:pStyle w:val="ListParagraph"/>
        <w:numPr>
          <w:ilvl w:val="0"/>
          <w:numId w:val="2"/>
        </w:numPr>
        <w:tabs>
          <w:tab w:val="left" w:pos="360"/>
        </w:tabs>
        <w:ind w:left="0" w:hanging="450"/>
        <w:jc w:val="both"/>
        <w:rPr>
          <w:rFonts w:ascii="Arial" w:eastAsia="Arial" w:hAnsi="Arial" w:cs="Arial"/>
          <w:sz w:val="22"/>
          <w:szCs w:val="22"/>
        </w:rPr>
      </w:pPr>
      <w:r w:rsidRPr="00A34758">
        <w:rPr>
          <w:rFonts w:ascii="Arial" w:eastAsia="Arial" w:hAnsi="Arial" w:cs="Arial"/>
          <w:sz w:val="22"/>
          <w:szCs w:val="22"/>
        </w:rPr>
        <w:t xml:space="preserve">Por último, se presentan un escenario optimista complejo, donde las variables relevantes para el análisis se mueven en conjunto. </w:t>
      </w:r>
      <w:r w:rsidRPr="00962A59">
        <w:rPr>
          <w:rFonts w:ascii="Arial" w:eastAsia="Arial" w:hAnsi="Arial" w:cs="Arial"/>
          <w:sz w:val="22"/>
          <w:szCs w:val="22"/>
        </w:rPr>
        <w:t>Siguiendo los impactos descritos en el Cuadro</w:t>
      </w:r>
      <w:r w:rsidR="00A01AF6">
        <w:rPr>
          <w:rFonts w:ascii="Arial" w:eastAsia="Arial" w:hAnsi="Arial" w:cs="Arial"/>
          <w:sz w:val="22"/>
          <w:szCs w:val="22"/>
        </w:rPr>
        <w:t xml:space="preserve"> </w:t>
      </w:r>
      <w:r w:rsidRPr="00962A59">
        <w:rPr>
          <w:rFonts w:ascii="Arial" w:eastAsia="Arial" w:hAnsi="Arial" w:cs="Arial"/>
          <w:sz w:val="22"/>
          <w:szCs w:val="22"/>
        </w:rPr>
        <w:t xml:space="preserve">7, se obtiene que el VPN </w:t>
      </w:r>
      <w:r w:rsidR="007E2EF2" w:rsidRPr="00962A59">
        <w:rPr>
          <w:rFonts w:ascii="Arial" w:eastAsia="Arial" w:hAnsi="Arial" w:cs="Arial"/>
          <w:sz w:val="22"/>
          <w:szCs w:val="22"/>
        </w:rPr>
        <w:t>del programa cuando se afectan positivamente todas las variables d</w:t>
      </w:r>
      <w:r w:rsidRPr="00962A59">
        <w:rPr>
          <w:rFonts w:ascii="Arial" w:eastAsia="Arial" w:hAnsi="Arial" w:cs="Arial"/>
          <w:sz w:val="22"/>
          <w:szCs w:val="22"/>
        </w:rPr>
        <w:t xml:space="preserve">el componente de </w:t>
      </w:r>
      <w:r w:rsidR="00962A59" w:rsidRPr="00962A59">
        <w:rPr>
          <w:rFonts w:ascii="Arial" w:eastAsia="Arial" w:hAnsi="Arial" w:cs="Arial"/>
          <w:sz w:val="22"/>
          <w:szCs w:val="22"/>
        </w:rPr>
        <w:t xml:space="preserve">Fortalecimiento de la gestión institucional de las </w:t>
      </w:r>
      <w:r w:rsidR="00274642">
        <w:rPr>
          <w:rFonts w:ascii="Arial" w:eastAsia="Arial" w:hAnsi="Arial" w:cs="Arial"/>
          <w:sz w:val="22"/>
          <w:szCs w:val="22"/>
        </w:rPr>
        <w:t>IES</w:t>
      </w:r>
      <w:r w:rsidR="00962A59" w:rsidRPr="00962A59">
        <w:rPr>
          <w:rFonts w:ascii="Arial" w:eastAsia="Arial" w:hAnsi="Arial" w:cs="Arial"/>
          <w:sz w:val="22"/>
          <w:szCs w:val="22"/>
        </w:rPr>
        <w:t xml:space="preserve"> públicas</w:t>
      </w:r>
      <w:r w:rsidR="006570C9" w:rsidRPr="00962A59">
        <w:rPr>
          <w:rFonts w:ascii="Arial" w:eastAsia="Arial" w:hAnsi="Arial" w:cs="Arial"/>
          <w:sz w:val="22"/>
          <w:szCs w:val="22"/>
        </w:rPr>
        <w:t xml:space="preserve"> </w:t>
      </w:r>
      <w:r w:rsidR="00962A59">
        <w:rPr>
          <w:rFonts w:ascii="Arial" w:eastAsia="Arial" w:hAnsi="Arial" w:cs="Arial"/>
          <w:sz w:val="22"/>
          <w:szCs w:val="22"/>
        </w:rPr>
        <w:t>sería de US$</w:t>
      </w:r>
      <w:r w:rsidR="008D3B11">
        <w:rPr>
          <w:rFonts w:ascii="Arial" w:eastAsia="Arial" w:hAnsi="Arial" w:cs="Arial"/>
          <w:sz w:val="22"/>
          <w:szCs w:val="22"/>
        </w:rPr>
        <w:t>416,16</w:t>
      </w:r>
      <w:r w:rsidRPr="00962A59">
        <w:rPr>
          <w:rFonts w:ascii="Arial" w:eastAsia="Arial" w:hAnsi="Arial" w:cs="Arial"/>
          <w:sz w:val="22"/>
          <w:szCs w:val="22"/>
        </w:rPr>
        <w:t xml:space="preserve"> millones y </w:t>
      </w:r>
      <w:r w:rsidR="006570C9" w:rsidRPr="00962A59">
        <w:rPr>
          <w:rFonts w:ascii="Arial" w:eastAsia="Arial" w:hAnsi="Arial" w:cs="Arial"/>
          <w:sz w:val="22"/>
          <w:szCs w:val="22"/>
        </w:rPr>
        <w:t>cuando se afectan positivamente todas las variables del</w:t>
      </w:r>
      <w:r w:rsidRPr="00962A59">
        <w:rPr>
          <w:rFonts w:ascii="Arial" w:eastAsia="Arial" w:hAnsi="Arial" w:cs="Arial"/>
          <w:sz w:val="22"/>
          <w:szCs w:val="22"/>
        </w:rPr>
        <w:t xml:space="preserve"> componente de </w:t>
      </w:r>
      <w:r w:rsidR="00962A59" w:rsidRPr="00962A59">
        <w:rPr>
          <w:rFonts w:ascii="Arial" w:eastAsia="Arial" w:hAnsi="Arial" w:cs="Arial"/>
          <w:sz w:val="22"/>
          <w:szCs w:val="22"/>
        </w:rPr>
        <w:t xml:space="preserve">Mejora de la infraestructura y equipamiento de las </w:t>
      </w:r>
      <w:r w:rsidR="00274642">
        <w:rPr>
          <w:rFonts w:ascii="Arial" w:eastAsia="Arial" w:hAnsi="Arial" w:cs="Arial"/>
          <w:sz w:val="22"/>
          <w:szCs w:val="22"/>
        </w:rPr>
        <w:t xml:space="preserve">IES </w:t>
      </w:r>
      <w:r w:rsidR="00962A59" w:rsidRPr="00962A59">
        <w:rPr>
          <w:rFonts w:ascii="Arial" w:eastAsia="Arial" w:hAnsi="Arial" w:cs="Arial"/>
          <w:sz w:val="22"/>
          <w:szCs w:val="22"/>
        </w:rPr>
        <w:t>pública</w:t>
      </w:r>
      <w:r w:rsidR="00274642">
        <w:rPr>
          <w:rFonts w:ascii="Arial" w:eastAsia="Arial" w:hAnsi="Arial" w:cs="Arial"/>
          <w:sz w:val="22"/>
          <w:szCs w:val="22"/>
        </w:rPr>
        <w:t>s</w:t>
      </w:r>
      <w:r w:rsidR="00962A59">
        <w:rPr>
          <w:rFonts w:ascii="Arial" w:eastAsia="Arial" w:hAnsi="Arial" w:cs="Arial"/>
          <w:sz w:val="22"/>
          <w:szCs w:val="22"/>
        </w:rPr>
        <w:t>, se obtiene un VPN de US$</w:t>
      </w:r>
      <w:r w:rsidR="008D3B11">
        <w:rPr>
          <w:rFonts w:ascii="Arial" w:eastAsia="Arial" w:hAnsi="Arial" w:cs="Arial"/>
          <w:sz w:val="22"/>
          <w:szCs w:val="22"/>
        </w:rPr>
        <w:t>441,98</w:t>
      </w:r>
      <w:r w:rsidR="006570C9" w:rsidRPr="00962A59">
        <w:rPr>
          <w:rFonts w:ascii="Arial" w:eastAsia="Arial" w:hAnsi="Arial" w:cs="Arial"/>
          <w:sz w:val="22"/>
          <w:szCs w:val="22"/>
        </w:rPr>
        <w:t xml:space="preserve"> </w:t>
      </w:r>
      <w:r w:rsidRPr="00962A59">
        <w:rPr>
          <w:rFonts w:ascii="Arial" w:eastAsia="Arial" w:hAnsi="Arial" w:cs="Arial"/>
          <w:sz w:val="22"/>
          <w:szCs w:val="22"/>
        </w:rPr>
        <w:t>millones.</w:t>
      </w:r>
    </w:p>
    <w:p w14:paraId="0214AAC0" w14:textId="77777777" w:rsidR="00AE43EB" w:rsidRPr="00453232" w:rsidRDefault="00AE43EB" w:rsidP="00AE43EB">
      <w:pPr>
        <w:pStyle w:val="ListParagraph"/>
        <w:rPr>
          <w:rFonts w:ascii="Arial" w:hAnsi="Arial" w:cs="Arial"/>
          <w:sz w:val="22"/>
          <w:szCs w:val="22"/>
          <w:highlight w:val="yellow"/>
        </w:rPr>
      </w:pPr>
    </w:p>
    <w:p w14:paraId="6DE726D8" w14:textId="77777777" w:rsidR="00AE43EB" w:rsidRPr="0050256C" w:rsidRDefault="00AE43EB" w:rsidP="00AE43EB">
      <w:pPr>
        <w:autoSpaceDE w:val="0"/>
        <w:autoSpaceDN w:val="0"/>
        <w:adjustRightInd w:val="0"/>
        <w:jc w:val="center"/>
        <w:rPr>
          <w:rFonts w:ascii="Arial" w:hAnsi="Arial" w:cs="Arial"/>
          <w:b/>
          <w:sz w:val="20"/>
          <w:szCs w:val="18"/>
        </w:rPr>
      </w:pPr>
      <w:r>
        <w:rPr>
          <w:rFonts w:ascii="Arial" w:hAnsi="Arial" w:cs="Arial"/>
          <w:b/>
          <w:sz w:val="20"/>
          <w:szCs w:val="18"/>
        </w:rPr>
        <w:t>Cuadro 7</w:t>
      </w:r>
      <w:r w:rsidRPr="0050256C">
        <w:rPr>
          <w:rFonts w:ascii="Arial" w:hAnsi="Arial" w:cs="Arial"/>
          <w:b/>
          <w:sz w:val="20"/>
          <w:szCs w:val="18"/>
        </w:rPr>
        <w:t xml:space="preserve">: Análisis de Sensibilidad </w:t>
      </w:r>
      <w:r>
        <w:rPr>
          <w:rFonts w:ascii="Arial" w:hAnsi="Arial" w:cs="Arial"/>
          <w:b/>
          <w:sz w:val="20"/>
          <w:szCs w:val="18"/>
        </w:rPr>
        <w:t>complejo</w:t>
      </w:r>
    </w:p>
    <w:p w14:paraId="57CA14EC" w14:textId="77777777" w:rsidR="00AE43EB" w:rsidRPr="0050256C" w:rsidRDefault="00AE43EB" w:rsidP="00AE43EB">
      <w:pPr>
        <w:autoSpaceDE w:val="0"/>
        <w:autoSpaceDN w:val="0"/>
        <w:adjustRightInd w:val="0"/>
        <w:jc w:val="center"/>
        <w:rPr>
          <w:rFonts w:ascii="Arial" w:hAnsi="Arial" w:cs="Arial"/>
          <w:b/>
          <w:sz w:val="18"/>
          <w:szCs w:val="18"/>
        </w:rPr>
      </w:pPr>
    </w:p>
    <w:tbl>
      <w:tblPr>
        <w:tblW w:w="10769" w:type="dxa"/>
        <w:tblInd w:w="-650" w:type="dxa"/>
        <w:tblCellMar>
          <w:top w:w="15" w:type="dxa"/>
          <w:left w:w="70" w:type="dxa"/>
          <w:bottom w:w="15" w:type="dxa"/>
          <w:right w:w="70" w:type="dxa"/>
        </w:tblCellMar>
        <w:tblLook w:val="04A0" w:firstRow="1" w:lastRow="0" w:firstColumn="1" w:lastColumn="0" w:noHBand="0" w:noVBand="1"/>
      </w:tblPr>
      <w:tblGrid>
        <w:gridCol w:w="1530"/>
        <w:gridCol w:w="2260"/>
        <w:gridCol w:w="1210"/>
        <w:gridCol w:w="1072"/>
        <w:gridCol w:w="1178"/>
        <w:gridCol w:w="1170"/>
        <w:gridCol w:w="1141"/>
        <w:gridCol w:w="1208"/>
      </w:tblGrid>
      <w:tr w:rsidR="000518F8" w:rsidRPr="00FB6C97" w14:paraId="781FE4B2" w14:textId="77777777" w:rsidTr="00136D35">
        <w:trPr>
          <w:trHeight w:val="285"/>
        </w:trPr>
        <w:tc>
          <w:tcPr>
            <w:tcW w:w="1530" w:type="dxa"/>
            <w:tcBorders>
              <w:top w:val="single" w:sz="8" w:space="0" w:color="auto"/>
              <w:left w:val="single" w:sz="8" w:space="0" w:color="auto"/>
              <w:bottom w:val="nil"/>
              <w:right w:val="nil"/>
            </w:tcBorders>
            <w:shd w:val="clear" w:color="000000" w:fill="DDEBF7"/>
            <w:noWrap/>
            <w:vAlign w:val="center"/>
            <w:hideMark/>
          </w:tcPr>
          <w:p w14:paraId="7E91743A" w14:textId="77777777" w:rsidR="000518F8" w:rsidRPr="00CF2CE0" w:rsidRDefault="000518F8" w:rsidP="000518F8">
            <w:pPr>
              <w:rPr>
                <w:rFonts w:ascii="Arial" w:hAnsi="Arial" w:cs="Arial"/>
                <w:sz w:val="18"/>
                <w:szCs w:val="18"/>
                <w:lang w:val="es-ES"/>
              </w:rPr>
            </w:pPr>
          </w:p>
        </w:tc>
        <w:tc>
          <w:tcPr>
            <w:tcW w:w="2260" w:type="dxa"/>
            <w:vMerge w:val="restart"/>
            <w:tcBorders>
              <w:top w:val="single" w:sz="8" w:space="0" w:color="auto"/>
              <w:left w:val="nil"/>
              <w:bottom w:val="single" w:sz="4" w:space="0" w:color="auto"/>
              <w:right w:val="single" w:sz="8" w:space="0" w:color="auto"/>
            </w:tcBorders>
            <w:shd w:val="clear" w:color="000000" w:fill="DDEBF7"/>
            <w:noWrap/>
            <w:vAlign w:val="center"/>
            <w:hideMark/>
          </w:tcPr>
          <w:p w14:paraId="2D24D4C0"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Variable</w:t>
            </w:r>
          </w:p>
        </w:tc>
        <w:tc>
          <w:tcPr>
            <w:tcW w:w="3460" w:type="dxa"/>
            <w:gridSpan w:val="3"/>
            <w:tcBorders>
              <w:top w:val="single" w:sz="8" w:space="0" w:color="auto"/>
              <w:left w:val="single" w:sz="8" w:space="0" w:color="auto"/>
              <w:bottom w:val="single" w:sz="4" w:space="0" w:color="auto"/>
              <w:right w:val="nil"/>
            </w:tcBorders>
            <w:shd w:val="clear" w:color="000000" w:fill="DDEBF7"/>
            <w:noWrap/>
            <w:vAlign w:val="center"/>
            <w:hideMark/>
          </w:tcPr>
          <w:p w14:paraId="79029101"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Escenario</w:t>
            </w:r>
          </w:p>
        </w:tc>
        <w:tc>
          <w:tcPr>
            <w:tcW w:w="3519" w:type="dxa"/>
            <w:gridSpan w:val="3"/>
            <w:tcBorders>
              <w:top w:val="single" w:sz="8" w:space="0" w:color="auto"/>
              <w:left w:val="single" w:sz="8" w:space="0" w:color="000000"/>
              <w:bottom w:val="single" w:sz="4" w:space="0" w:color="auto"/>
              <w:right w:val="nil"/>
            </w:tcBorders>
            <w:shd w:val="clear" w:color="000000" w:fill="DDEBF7"/>
            <w:noWrap/>
            <w:vAlign w:val="center"/>
            <w:hideMark/>
          </w:tcPr>
          <w:p w14:paraId="7281C999" w14:textId="77777777" w:rsidR="000518F8" w:rsidRPr="008451AA" w:rsidRDefault="000518F8" w:rsidP="000518F8">
            <w:pPr>
              <w:jc w:val="center"/>
              <w:rPr>
                <w:rFonts w:ascii="Arial" w:hAnsi="Arial" w:cs="Arial"/>
                <w:b/>
                <w:bCs/>
                <w:sz w:val="18"/>
                <w:szCs w:val="18"/>
                <w:lang w:val="es-ES_tradnl"/>
              </w:rPr>
            </w:pPr>
            <w:r w:rsidRPr="008451AA">
              <w:rPr>
                <w:rFonts w:ascii="Arial" w:hAnsi="Arial" w:cs="Arial"/>
                <w:b/>
                <w:bCs/>
                <w:sz w:val="18"/>
                <w:szCs w:val="18"/>
                <w:lang w:val="es-ES_tradnl"/>
              </w:rPr>
              <w:t>VPN (en millones de $US)</w:t>
            </w:r>
          </w:p>
        </w:tc>
      </w:tr>
      <w:tr w:rsidR="000518F8" w:rsidRPr="0050256C" w14:paraId="1D596252" w14:textId="77777777" w:rsidTr="00136D35">
        <w:trPr>
          <w:trHeight w:val="300"/>
        </w:trPr>
        <w:tc>
          <w:tcPr>
            <w:tcW w:w="1530" w:type="dxa"/>
            <w:tcBorders>
              <w:top w:val="nil"/>
              <w:left w:val="single" w:sz="8" w:space="0" w:color="auto"/>
              <w:bottom w:val="single" w:sz="8" w:space="0" w:color="auto"/>
              <w:right w:val="nil"/>
            </w:tcBorders>
            <w:shd w:val="clear" w:color="000000" w:fill="DDEBF7"/>
            <w:noWrap/>
            <w:vAlign w:val="center"/>
            <w:hideMark/>
          </w:tcPr>
          <w:p w14:paraId="7A957314" w14:textId="77777777" w:rsidR="000518F8" w:rsidRPr="008451AA" w:rsidRDefault="000518F8" w:rsidP="000518F8">
            <w:pPr>
              <w:jc w:val="center"/>
              <w:rPr>
                <w:rFonts w:ascii="Arial" w:hAnsi="Arial" w:cs="Arial"/>
                <w:b/>
                <w:bCs/>
                <w:sz w:val="18"/>
                <w:szCs w:val="18"/>
                <w:lang w:val="es-ES_tradnl"/>
              </w:rPr>
            </w:pPr>
          </w:p>
        </w:tc>
        <w:tc>
          <w:tcPr>
            <w:tcW w:w="2260" w:type="dxa"/>
            <w:vMerge/>
            <w:tcBorders>
              <w:top w:val="single" w:sz="8" w:space="0" w:color="auto"/>
              <w:left w:val="nil"/>
              <w:bottom w:val="single" w:sz="8" w:space="0" w:color="auto"/>
              <w:right w:val="single" w:sz="8" w:space="0" w:color="auto"/>
            </w:tcBorders>
            <w:vAlign w:val="center"/>
            <w:hideMark/>
          </w:tcPr>
          <w:p w14:paraId="526CAE31" w14:textId="77777777" w:rsidR="000518F8" w:rsidRPr="008451AA" w:rsidRDefault="000518F8" w:rsidP="000518F8">
            <w:pPr>
              <w:rPr>
                <w:rFonts w:ascii="Arial" w:hAnsi="Arial" w:cs="Arial"/>
                <w:b/>
                <w:bCs/>
                <w:sz w:val="18"/>
                <w:szCs w:val="18"/>
                <w:lang w:val="es-ES_tradnl"/>
              </w:rPr>
            </w:pPr>
          </w:p>
        </w:tc>
        <w:tc>
          <w:tcPr>
            <w:tcW w:w="1210" w:type="dxa"/>
            <w:tcBorders>
              <w:top w:val="nil"/>
              <w:left w:val="nil"/>
              <w:bottom w:val="single" w:sz="8" w:space="0" w:color="auto"/>
              <w:right w:val="nil"/>
            </w:tcBorders>
            <w:shd w:val="clear" w:color="000000" w:fill="DDEBF7"/>
            <w:noWrap/>
            <w:vAlign w:val="center"/>
            <w:hideMark/>
          </w:tcPr>
          <w:p w14:paraId="2E63653E"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 xml:space="preserve">Pesimista </w:t>
            </w:r>
          </w:p>
        </w:tc>
        <w:tc>
          <w:tcPr>
            <w:tcW w:w="1072" w:type="dxa"/>
            <w:tcBorders>
              <w:top w:val="nil"/>
              <w:left w:val="nil"/>
              <w:bottom w:val="single" w:sz="8" w:space="0" w:color="auto"/>
              <w:right w:val="nil"/>
            </w:tcBorders>
            <w:shd w:val="clear" w:color="000000" w:fill="DDEBF7"/>
            <w:noWrap/>
            <w:vAlign w:val="center"/>
            <w:hideMark/>
          </w:tcPr>
          <w:p w14:paraId="362FD464"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 xml:space="preserve">Base </w:t>
            </w:r>
          </w:p>
        </w:tc>
        <w:tc>
          <w:tcPr>
            <w:tcW w:w="1178" w:type="dxa"/>
            <w:tcBorders>
              <w:top w:val="nil"/>
              <w:left w:val="nil"/>
              <w:bottom w:val="single" w:sz="8" w:space="0" w:color="auto"/>
              <w:right w:val="single" w:sz="8" w:space="0" w:color="auto"/>
            </w:tcBorders>
            <w:shd w:val="clear" w:color="000000" w:fill="DDEBF7"/>
            <w:noWrap/>
            <w:vAlign w:val="center"/>
            <w:hideMark/>
          </w:tcPr>
          <w:p w14:paraId="63F3C423"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Optimista</w:t>
            </w:r>
          </w:p>
        </w:tc>
        <w:tc>
          <w:tcPr>
            <w:tcW w:w="1170" w:type="dxa"/>
            <w:tcBorders>
              <w:top w:val="nil"/>
              <w:left w:val="nil"/>
              <w:bottom w:val="single" w:sz="8" w:space="0" w:color="auto"/>
              <w:right w:val="nil"/>
            </w:tcBorders>
            <w:shd w:val="clear" w:color="000000" w:fill="DDEBF7"/>
            <w:noWrap/>
            <w:vAlign w:val="center"/>
            <w:hideMark/>
          </w:tcPr>
          <w:p w14:paraId="19B85B51"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 xml:space="preserve">Pesimista </w:t>
            </w:r>
            <w:r>
              <w:rPr>
                <w:rFonts w:ascii="Arial" w:hAnsi="Arial" w:cs="Arial"/>
                <w:b/>
                <w:bCs/>
                <w:sz w:val="18"/>
                <w:szCs w:val="18"/>
              </w:rPr>
              <w:t>complejo</w:t>
            </w:r>
          </w:p>
        </w:tc>
        <w:tc>
          <w:tcPr>
            <w:tcW w:w="1141" w:type="dxa"/>
            <w:tcBorders>
              <w:top w:val="nil"/>
              <w:left w:val="nil"/>
              <w:bottom w:val="single" w:sz="8" w:space="0" w:color="auto"/>
              <w:right w:val="nil"/>
            </w:tcBorders>
            <w:shd w:val="clear" w:color="000000" w:fill="DDEBF7"/>
            <w:noWrap/>
            <w:vAlign w:val="center"/>
            <w:hideMark/>
          </w:tcPr>
          <w:p w14:paraId="5093FBC8"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 xml:space="preserve">Base </w:t>
            </w:r>
          </w:p>
        </w:tc>
        <w:tc>
          <w:tcPr>
            <w:tcW w:w="1208" w:type="dxa"/>
            <w:tcBorders>
              <w:top w:val="nil"/>
              <w:left w:val="nil"/>
              <w:bottom w:val="single" w:sz="8" w:space="0" w:color="auto"/>
              <w:right w:val="nil"/>
            </w:tcBorders>
            <w:shd w:val="clear" w:color="000000" w:fill="DDEBF7"/>
            <w:noWrap/>
            <w:vAlign w:val="center"/>
            <w:hideMark/>
          </w:tcPr>
          <w:p w14:paraId="582EFAD3" w14:textId="77777777" w:rsidR="000518F8" w:rsidRPr="0050256C" w:rsidRDefault="000518F8" w:rsidP="000518F8">
            <w:pPr>
              <w:jc w:val="center"/>
              <w:rPr>
                <w:rFonts w:ascii="Arial" w:hAnsi="Arial" w:cs="Arial"/>
                <w:b/>
                <w:bCs/>
                <w:sz w:val="18"/>
                <w:szCs w:val="18"/>
              </w:rPr>
            </w:pPr>
            <w:r w:rsidRPr="0050256C">
              <w:rPr>
                <w:rFonts w:ascii="Arial" w:hAnsi="Arial" w:cs="Arial"/>
                <w:b/>
                <w:bCs/>
                <w:sz w:val="18"/>
                <w:szCs w:val="18"/>
              </w:rPr>
              <w:t>Optimista</w:t>
            </w:r>
            <w:r>
              <w:rPr>
                <w:rFonts w:ascii="Arial" w:hAnsi="Arial" w:cs="Arial"/>
                <w:b/>
                <w:bCs/>
                <w:sz w:val="18"/>
                <w:szCs w:val="18"/>
              </w:rPr>
              <w:t xml:space="preserve"> complejo</w:t>
            </w:r>
          </w:p>
        </w:tc>
      </w:tr>
      <w:tr w:rsidR="00136D35" w:rsidRPr="0050256C" w14:paraId="31E48375" w14:textId="77777777" w:rsidTr="00136D35">
        <w:trPr>
          <w:trHeight w:val="300"/>
        </w:trPr>
        <w:tc>
          <w:tcPr>
            <w:tcW w:w="1530" w:type="dxa"/>
            <w:vMerge w:val="restart"/>
            <w:tcBorders>
              <w:top w:val="single" w:sz="8" w:space="0" w:color="auto"/>
              <w:left w:val="single" w:sz="8" w:space="0" w:color="auto"/>
              <w:bottom w:val="single" w:sz="8" w:space="0" w:color="auto"/>
              <w:right w:val="single" w:sz="8" w:space="0" w:color="auto"/>
            </w:tcBorders>
            <w:shd w:val="clear" w:color="000000" w:fill="FFFFFF"/>
            <w:vAlign w:val="center"/>
          </w:tcPr>
          <w:p w14:paraId="091DAC53" w14:textId="77777777" w:rsidR="00136D35" w:rsidRPr="008451AA" w:rsidRDefault="00136D35" w:rsidP="00136D35">
            <w:pPr>
              <w:jc w:val="center"/>
              <w:rPr>
                <w:rFonts w:ascii="Arial" w:hAnsi="Arial" w:cs="Arial"/>
                <w:b/>
                <w:bCs/>
                <w:sz w:val="18"/>
                <w:szCs w:val="18"/>
                <w:lang w:val="es-ES_tradnl"/>
              </w:rPr>
            </w:pPr>
            <w:r w:rsidRPr="007C212B">
              <w:rPr>
                <w:rFonts w:ascii="Arial" w:hAnsi="Arial" w:cs="Arial"/>
                <w:b/>
                <w:sz w:val="18"/>
                <w:szCs w:val="18"/>
                <w:lang w:val="es-ES_tradnl"/>
              </w:rPr>
              <w:t xml:space="preserve">Fortalecimiento de la gestión institucional de las </w:t>
            </w:r>
            <w:r>
              <w:rPr>
                <w:rFonts w:ascii="Arial" w:hAnsi="Arial" w:cs="Arial"/>
                <w:b/>
                <w:sz w:val="18"/>
                <w:szCs w:val="18"/>
                <w:lang w:val="es-ES_tradnl"/>
              </w:rPr>
              <w:t>IES</w:t>
            </w:r>
            <w:r w:rsidRPr="007C212B">
              <w:rPr>
                <w:rFonts w:ascii="Arial" w:hAnsi="Arial" w:cs="Arial"/>
                <w:b/>
                <w:sz w:val="18"/>
                <w:szCs w:val="18"/>
                <w:lang w:val="es-ES_tradnl"/>
              </w:rPr>
              <w:t xml:space="preserve"> públicas</w:t>
            </w:r>
          </w:p>
        </w:tc>
        <w:tc>
          <w:tcPr>
            <w:tcW w:w="2260" w:type="dxa"/>
            <w:tcBorders>
              <w:top w:val="single" w:sz="8" w:space="0" w:color="auto"/>
              <w:left w:val="nil"/>
              <w:bottom w:val="single" w:sz="8" w:space="0" w:color="auto"/>
              <w:right w:val="single" w:sz="8" w:space="0" w:color="auto"/>
            </w:tcBorders>
            <w:shd w:val="clear" w:color="000000" w:fill="FFFFFF"/>
            <w:vAlign w:val="center"/>
            <w:hideMark/>
          </w:tcPr>
          <w:p w14:paraId="52689909" w14:textId="77777777" w:rsidR="00136D35" w:rsidRPr="0050256C" w:rsidRDefault="00136D35" w:rsidP="00136D35">
            <w:pPr>
              <w:rPr>
                <w:rFonts w:ascii="Arial" w:hAnsi="Arial" w:cs="Arial"/>
                <w:sz w:val="18"/>
                <w:szCs w:val="18"/>
              </w:rPr>
            </w:pPr>
            <w:r w:rsidRPr="0050256C">
              <w:rPr>
                <w:rFonts w:ascii="Arial" w:hAnsi="Arial" w:cs="Arial"/>
                <w:sz w:val="18"/>
                <w:szCs w:val="18"/>
              </w:rPr>
              <w:t>Impacto en formalidad</w:t>
            </w:r>
          </w:p>
        </w:tc>
        <w:tc>
          <w:tcPr>
            <w:tcW w:w="1210" w:type="dxa"/>
            <w:tcBorders>
              <w:top w:val="single" w:sz="8" w:space="0" w:color="auto"/>
              <w:left w:val="nil"/>
              <w:bottom w:val="single" w:sz="8" w:space="0" w:color="auto"/>
              <w:right w:val="single" w:sz="8" w:space="0" w:color="auto"/>
            </w:tcBorders>
            <w:shd w:val="clear" w:color="000000" w:fill="FFF2CC"/>
            <w:noWrap/>
            <w:vAlign w:val="center"/>
            <w:hideMark/>
          </w:tcPr>
          <w:p w14:paraId="11C3C08B" w14:textId="752B2323" w:rsidR="00136D35" w:rsidRPr="0050256C" w:rsidRDefault="00136D35" w:rsidP="00136D35">
            <w:pPr>
              <w:jc w:val="center"/>
              <w:rPr>
                <w:rFonts w:ascii="Arial" w:hAnsi="Arial" w:cs="Arial"/>
                <w:sz w:val="18"/>
                <w:szCs w:val="18"/>
              </w:rPr>
            </w:pPr>
            <w:r>
              <w:rPr>
                <w:rFonts w:ascii="Arial" w:hAnsi="Arial" w:cs="Arial"/>
                <w:sz w:val="18"/>
                <w:szCs w:val="18"/>
              </w:rPr>
              <w:t>10%</w:t>
            </w:r>
          </w:p>
        </w:tc>
        <w:tc>
          <w:tcPr>
            <w:tcW w:w="1072" w:type="dxa"/>
            <w:tcBorders>
              <w:top w:val="single" w:sz="8" w:space="0" w:color="auto"/>
              <w:left w:val="nil"/>
              <w:bottom w:val="single" w:sz="8" w:space="0" w:color="auto"/>
              <w:right w:val="single" w:sz="8" w:space="0" w:color="auto"/>
            </w:tcBorders>
            <w:shd w:val="clear" w:color="000000" w:fill="FFFFFF"/>
            <w:noWrap/>
            <w:vAlign w:val="center"/>
            <w:hideMark/>
          </w:tcPr>
          <w:p w14:paraId="1DBE58E8" w14:textId="12EFF47F" w:rsidR="00136D35" w:rsidRPr="0050256C" w:rsidRDefault="00136D35" w:rsidP="00136D35">
            <w:pPr>
              <w:jc w:val="center"/>
              <w:rPr>
                <w:rFonts w:ascii="Arial" w:hAnsi="Arial" w:cs="Arial"/>
                <w:sz w:val="18"/>
                <w:szCs w:val="18"/>
              </w:rPr>
            </w:pPr>
            <w:r>
              <w:rPr>
                <w:rFonts w:ascii="Arial" w:hAnsi="Arial" w:cs="Arial"/>
                <w:sz w:val="18"/>
                <w:szCs w:val="18"/>
              </w:rPr>
              <w:t>12,5%</w:t>
            </w:r>
          </w:p>
        </w:tc>
        <w:tc>
          <w:tcPr>
            <w:tcW w:w="1178" w:type="dxa"/>
            <w:tcBorders>
              <w:top w:val="single" w:sz="8" w:space="0" w:color="auto"/>
              <w:left w:val="nil"/>
              <w:bottom w:val="single" w:sz="8" w:space="0" w:color="auto"/>
              <w:right w:val="single" w:sz="8" w:space="0" w:color="auto"/>
            </w:tcBorders>
            <w:shd w:val="clear" w:color="000000" w:fill="FFF2CC"/>
            <w:noWrap/>
            <w:vAlign w:val="center"/>
            <w:hideMark/>
          </w:tcPr>
          <w:p w14:paraId="2A658FE7" w14:textId="1A836C81" w:rsidR="00136D35" w:rsidRPr="0050256C" w:rsidRDefault="00136D35" w:rsidP="00136D35">
            <w:pPr>
              <w:jc w:val="center"/>
              <w:rPr>
                <w:rFonts w:ascii="Arial" w:hAnsi="Arial" w:cs="Arial"/>
                <w:sz w:val="18"/>
                <w:szCs w:val="18"/>
              </w:rPr>
            </w:pPr>
            <w:r>
              <w:rPr>
                <w:rFonts w:ascii="Arial" w:hAnsi="Arial" w:cs="Arial"/>
                <w:sz w:val="18"/>
                <w:szCs w:val="18"/>
              </w:rPr>
              <w:t>15%</w:t>
            </w:r>
          </w:p>
        </w:tc>
        <w:tc>
          <w:tcPr>
            <w:tcW w:w="1170" w:type="dxa"/>
            <w:vMerge w:val="restart"/>
            <w:tcBorders>
              <w:top w:val="single" w:sz="8" w:space="0" w:color="auto"/>
              <w:left w:val="nil"/>
              <w:bottom w:val="single" w:sz="8" w:space="0" w:color="auto"/>
              <w:right w:val="single" w:sz="8" w:space="0" w:color="auto"/>
            </w:tcBorders>
            <w:shd w:val="clear" w:color="000000" w:fill="FFF2CC"/>
            <w:noWrap/>
            <w:vAlign w:val="center"/>
            <w:hideMark/>
          </w:tcPr>
          <w:p w14:paraId="154E5FAC" w14:textId="3EE64577" w:rsidR="00136D35" w:rsidRPr="001F3A78" w:rsidRDefault="00136D35" w:rsidP="00136D35">
            <w:pPr>
              <w:jc w:val="center"/>
              <w:rPr>
                <w:rFonts w:ascii="Arial" w:hAnsi="Arial" w:cs="Arial"/>
                <w:sz w:val="18"/>
                <w:szCs w:val="18"/>
              </w:rPr>
            </w:pPr>
            <w:r>
              <w:rPr>
                <w:rFonts w:ascii="Arial" w:hAnsi="Arial" w:cs="Arial"/>
                <w:sz w:val="18"/>
                <w:szCs w:val="18"/>
              </w:rPr>
              <w:t>87,46</w:t>
            </w:r>
          </w:p>
        </w:tc>
        <w:tc>
          <w:tcPr>
            <w:tcW w:w="1141" w:type="dxa"/>
            <w:vMerge w:val="restart"/>
            <w:tcBorders>
              <w:top w:val="single" w:sz="8" w:space="0" w:color="auto"/>
              <w:left w:val="nil"/>
              <w:bottom w:val="single" w:sz="8" w:space="0" w:color="auto"/>
              <w:right w:val="single" w:sz="8" w:space="0" w:color="auto"/>
            </w:tcBorders>
            <w:shd w:val="clear" w:color="000000" w:fill="FFFFFF"/>
            <w:noWrap/>
            <w:vAlign w:val="center"/>
            <w:hideMark/>
          </w:tcPr>
          <w:p w14:paraId="7AB8F949" w14:textId="2303AD57" w:rsidR="00136D35" w:rsidRPr="001F3A78" w:rsidRDefault="00136D35" w:rsidP="00136D35">
            <w:pPr>
              <w:jc w:val="center"/>
              <w:rPr>
                <w:rFonts w:ascii="Arial" w:hAnsi="Arial" w:cs="Arial"/>
                <w:sz w:val="18"/>
                <w:szCs w:val="18"/>
              </w:rPr>
            </w:pPr>
            <w:r w:rsidRPr="001821B3">
              <w:rPr>
                <w:rFonts w:ascii="Arial" w:hAnsi="Arial" w:cs="Arial"/>
                <w:sz w:val="18"/>
                <w:szCs w:val="18"/>
              </w:rPr>
              <w:t>205,45</w:t>
            </w:r>
          </w:p>
        </w:tc>
        <w:tc>
          <w:tcPr>
            <w:tcW w:w="1208" w:type="dxa"/>
            <w:vMerge w:val="restart"/>
            <w:tcBorders>
              <w:top w:val="single" w:sz="8" w:space="0" w:color="auto"/>
              <w:left w:val="nil"/>
              <w:bottom w:val="single" w:sz="8" w:space="0" w:color="auto"/>
              <w:right w:val="single" w:sz="8" w:space="0" w:color="auto"/>
            </w:tcBorders>
            <w:shd w:val="clear" w:color="000000" w:fill="FFF2CC"/>
            <w:noWrap/>
            <w:vAlign w:val="center"/>
            <w:hideMark/>
          </w:tcPr>
          <w:p w14:paraId="25406161" w14:textId="5F1DA48A" w:rsidR="00136D35" w:rsidRPr="001F3A78" w:rsidRDefault="00136D35" w:rsidP="00136D35">
            <w:pPr>
              <w:jc w:val="center"/>
              <w:rPr>
                <w:rFonts w:ascii="Arial" w:hAnsi="Arial" w:cs="Arial"/>
                <w:sz w:val="18"/>
                <w:szCs w:val="18"/>
              </w:rPr>
            </w:pPr>
            <w:r>
              <w:rPr>
                <w:rFonts w:ascii="Arial" w:hAnsi="Arial" w:cs="Arial"/>
                <w:sz w:val="18"/>
                <w:szCs w:val="18"/>
              </w:rPr>
              <w:t>416,16</w:t>
            </w:r>
          </w:p>
        </w:tc>
      </w:tr>
      <w:tr w:rsidR="00136D35" w:rsidRPr="0050256C" w14:paraId="2BAD40D6" w14:textId="77777777" w:rsidTr="00136D35">
        <w:trPr>
          <w:trHeight w:val="300"/>
        </w:trPr>
        <w:tc>
          <w:tcPr>
            <w:tcW w:w="1530" w:type="dxa"/>
            <w:vMerge/>
            <w:tcBorders>
              <w:top w:val="single" w:sz="8" w:space="0" w:color="auto"/>
              <w:left w:val="single" w:sz="8" w:space="0" w:color="auto"/>
              <w:bottom w:val="single" w:sz="8" w:space="0" w:color="auto"/>
              <w:right w:val="single" w:sz="8" w:space="0" w:color="auto"/>
            </w:tcBorders>
            <w:shd w:val="clear" w:color="000000" w:fill="FFFFFF"/>
            <w:vAlign w:val="center"/>
          </w:tcPr>
          <w:p w14:paraId="2693E258" w14:textId="77777777" w:rsidR="00136D35" w:rsidRPr="0050256C" w:rsidRDefault="00136D35" w:rsidP="00136D35">
            <w:pPr>
              <w:jc w:val="center"/>
              <w:rPr>
                <w:rFonts w:ascii="Arial" w:hAnsi="Arial" w:cs="Arial"/>
                <w:b/>
                <w:bCs/>
                <w:sz w:val="18"/>
                <w:szCs w:val="18"/>
              </w:rPr>
            </w:pPr>
          </w:p>
        </w:tc>
        <w:tc>
          <w:tcPr>
            <w:tcW w:w="2260" w:type="dxa"/>
            <w:tcBorders>
              <w:top w:val="single" w:sz="8" w:space="0" w:color="auto"/>
              <w:left w:val="nil"/>
              <w:bottom w:val="single" w:sz="8" w:space="0" w:color="auto"/>
              <w:right w:val="single" w:sz="8" w:space="0" w:color="auto"/>
            </w:tcBorders>
            <w:shd w:val="clear" w:color="000000" w:fill="FFFFFF"/>
            <w:vAlign w:val="center"/>
          </w:tcPr>
          <w:p w14:paraId="125EFE59" w14:textId="77777777" w:rsidR="00136D35" w:rsidRPr="008451AA" w:rsidRDefault="00136D35" w:rsidP="00136D35">
            <w:pPr>
              <w:rPr>
                <w:rFonts w:ascii="Arial" w:hAnsi="Arial" w:cs="Arial"/>
                <w:sz w:val="18"/>
                <w:szCs w:val="18"/>
                <w:lang w:val="es-ES_tradnl"/>
              </w:rPr>
            </w:pPr>
            <w:r w:rsidRPr="008451AA">
              <w:rPr>
                <w:rFonts w:ascii="Arial" w:hAnsi="Arial" w:cs="Arial"/>
                <w:sz w:val="18"/>
                <w:szCs w:val="18"/>
                <w:lang w:val="es-ES_tradnl"/>
              </w:rPr>
              <w:t xml:space="preserve">Tasa de crecimiento de egresados de universidades </w:t>
            </w:r>
          </w:p>
        </w:tc>
        <w:tc>
          <w:tcPr>
            <w:tcW w:w="1210" w:type="dxa"/>
            <w:tcBorders>
              <w:top w:val="single" w:sz="8" w:space="0" w:color="auto"/>
              <w:left w:val="nil"/>
              <w:bottom w:val="single" w:sz="8" w:space="0" w:color="auto"/>
              <w:right w:val="single" w:sz="8" w:space="0" w:color="auto"/>
            </w:tcBorders>
            <w:shd w:val="clear" w:color="000000" w:fill="FFF2CC"/>
            <w:noWrap/>
            <w:vAlign w:val="center"/>
          </w:tcPr>
          <w:p w14:paraId="61504E88" w14:textId="0F3E3C58" w:rsidR="00136D35" w:rsidRPr="0050256C" w:rsidRDefault="00136D35" w:rsidP="00136D35">
            <w:pPr>
              <w:jc w:val="center"/>
              <w:rPr>
                <w:rFonts w:ascii="Arial" w:hAnsi="Arial" w:cs="Arial"/>
                <w:sz w:val="18"/>
                <w:szCs w:val="18"/>
              </w:rPr>
            </w:pPr>
            <w:r>
              <w:rPr>
                <w:rFonts w:ascii="Arial" w:hAnsi="Arial" w:cs="Arial"/>
                <w:sz w:val="18"/>
                <w:szCs w:val="18"/>
              </w:rPr>
              <w:t>5%</w:t>
            </w:r>
          </w:p>
        </w:tc>
        <w:tc>
          <w:tcPr>
            <w:tcW w:w="1072" w:type="dxa"/>
            <w:tcBorders>
              <w:top w:val="single" w:sz="8" w:space="0" w:color="auto"/>
              <w:left w:val="nil"/>
              <w:bottom w:val="single" w:sz="8" w:space="0" w:color="auto"/>
              <w:right w:val="single" w:sz="8" w:space="0" w:color="auto"/>
            </w:tcBorders>
            <w:shd w:val="clear" w:color="000000" w:fill="FFFFFF"/>
            <w:noWrap/>
            <w:vAlign w:val="center"/>
          </w:tcPr>
          <w:p w14:paraId="60E1AC11" w14:textId="619DB942" w:rsidR="00136D35" w:rsidRPr="0050256C" w:rsidRDefault="00136D35" w:rsidP="00136D35">
            <w:pPr>
              <w:jc w:val="center"/>
              <w:rPr>
                <w:rFonts w:ascii="Arial" w:hAnsi="Arial" w:cs="Arial"/>
                <w:sz w:val="18"/>
                <w:szCs w:val="18"/>
              </w:rPr>
            </w:pPr>
            <w:r>
              <w:rPr>
                <w:rFonts w:ascii="Arial" w:hAnsi="Arial" w:cs="Arial"/>
                <w:sz w:val="18"/>
                <w:szCs w:val="18"/>
              </w:rPr>
              <w:t>7%</w:t>
            </w:r>
          </w:p>
        </w:tc>
        <w:tc>
          <w:tcPr>
            <w:tcW w:w="1178" w:type="dxa"/>
            <w:tcBorders>
              <w:top w:val="single" w:sz="8" w:space="0" w:color="auto"/>
              <w:left w:val="nil"/>
              <w:bottom w:val="single" w:sz="8" w:space="0" w:color="auto"/>
              <w:right w:val="single" w:sz="8" w:space="0" w:color="auto"/>
            </w:tcBorders>
            <w:shd w:val="clear" w:color="000000" w:fill="FFF2CC"/>
            <w:noWrap/>
            <w:vAlign w:val="center"/>
          </w:tcPr>
          <w:p w14:paraId="4C930142" w14:textId="7AD90924" w:rsidR="00136D35" w:rsidRPr="0050256C" w:rsidRDefault="00136D35" w:rsidP="00136D35">
            <w:pPr>
              <w:jc w:val="center"/>
              <w:rPr>
                <w:rFonts w:ascii="Arial" w:hAnsi="Arial" w:cs="Arial"/>
                <w:sz w:val="18"/>
                <w:szCs w:val="18"/>
              </w:rPr>
            </w:pPr>
            <w:r>
              <w:rPr>
                <w:rFonts w:ascii="Arial" w:hAnsi="Arial" w:cs="Arial"/>
                <w:sz w:val="18"/>
                <w:szCs w:val="18"/>
              </w:rPr>
              <w:t>9%</w:t>
            </w:r>
          </w:p>
        </w:tc>
        <w:tc>
          <w:tcPr>
            <w:tcW w:w="1170" w:type="dxa"/>
            <w:vMerge/>
            <w:tcBorders>
              <w:top w:val="single" w:sz="8" w:space="0" w:color="auto"/>
              <w:left w:val="nil"/>
              <w:bottom w:val="single" w:sz="8" w:space="0" w:color="auto"/>
              <w:right w:val="single" w:sz="8" w:space="0" w:color="auto"/>
            </w:tcBorders>
            <w:shd w:val="clear" w:color="000000" w:fill="FFF2CC"/>
            <w:noWrap/>
            <w:vAlign w:val="center"/>
          </w:tcPr>
          <w:p w14:paraId="3EA42F32" w14:textId="77777777" w:rsidR="00136D35" w:rsidRPr="001F3A78" w:rsidRDefault="00136D35" w:rsidP="00136D35">
            <w:pPr>
              <w:jc w:val="center"/>
              <w:rPr>
                <w:rFonts w:ascii="Arial" w:hAnsi="Arial" w:cs="Arial"/>
                <w:sz w:val="18"/>
                <w:szCs w:val="18"/>
              </w:rPr>
            </w:pPr>
          </w:p>
        </w:tc>
        <w:tc>
          <w:tcPr>
            <w:tcW w:w="1141" w:type="dxa"/>
            <w:vMerge/>
            <w:tcBorders>
              <w:top w:val="single" w:sz="8" w:space="0" w:color="auto"/>
              <w:left w:val="nil"/>
              <w:bottom w:val="single" w:sz="8" w:space="0" w:color="auto"/>
              <w:right w:val="single" w:sz="8" w:space="0" w:color="auto"/>
            </w:tcBorders>
            <w:shd w:val="clear" w:color="000000" w:fill="FFFFFF"/>
            <w:noWrap/>
            <w:vAlign w:val="center"/>
          </w:tcPr>
          <w:p w14:paraId="3BB3726C" w14:textId="77777777" w:rsidR="00136D35" w:rsidRPr="001F3A78" w:rsidRDefault="00136D35" w:rsidP="00136D35">
            <w:pPr>
              <w:jc w:val="center"/>
              <w:rPr>
                <w:rFonts w:ascii="Arial" w:hAnsi="Arial" w:cs="Arial"/>
                <w:sz w:val="18"/>
                <w:szCs w:val="18"/>
              </w:rPr>
            </w:pPr>
          </w:p>
        </w:tc>
        <w:tc>
          <w:tcPr>
            <w:tcW w:w="1208" w:type="dxa"/>
            <w:vMerge/>
            <w:tcBorders>
              <w:top w:val="single" w:sz="8" w:space="0" w:color="auto"/>
              <w:left w:val="nil"/>
              <w:bottom w:val="single" w:sz="8" w:space="0" w:color="auto"/>
              <w:right w:val="single" w:sz="8" w:space="0" w:color="auto"/>
            </w:tcBorders>
            <w:shd w:val="clear" w:color="000000" w:fill="FFF2CC"/>
            <w:noWrap/>
            <w:vAlign w:val="center"/>
          </w:tcPr>
          <w:p w14:paraId="6E396A3B" w14:textId="77777777" w:rsidR="00136D35" w:rsidRPr="001F3A78" w:rsidRDefault="00136D35" w:rsidP="00136D35">
            <w:pPr>
              <w:jc w:val="center"/>
              <w:rPr>
                <w:rFonts w:ascii="Arial" w:hAnsi="Arial" w:cs="Arial"/>
                <w:sz w:val="18"/>
                <w:szCs w:val="18"/>
              </w:rPr>
            </w:pPr>
          </w:p>
        </w:tc>
      </w:tr>
      <w:tr w:rsidR="00136D35" w:rsidRPr="0050256C" w14:paraId="710B7FE7" w14:textId="77777777" w:rsidTr="00136D35">
        <w:trPr>
          <w:trHeight w:val="300"/>
        </w:trPr>
        <w:tc>
          <w:tcPr>
            <w:tcW w:w="1530" w:type="dxa"/>
            <w:vMerge/>
            <w:tcBorders>
              <w:top w:val="single" w:sz="8" w:space="0" w:color="auto"/>
              <w:left w:val="single" w:sz="8" w:space="0" w:color="auto"/>
              <w:bottom w:val="single" w:sz="8" w:space="0" w:color="auto"/>
              <w:right w:val="single" w:sz="8" w:space="0" w:color="auto"/>
            </w:tcBorders>
            <w:shd w:val="clear" w:color="000000" w:fill="FFFFFF"/>
            <w:vAlign w:val="center"/>
          </w:tcPr>
          <w:p w14:paraId="309D1EB2" w14:textId="77777777" w:rsidR="00136D35" w:rsidRPr="0050256C" w:rsidRDefault="00136D35" w:rsidP="00136D35">
            <w:pPr>
              <w:jc w:val="center"/>
              <w:rPr>
                <w:rFonts w:ascii="Arial" w:hAnsi="Arial" w:cs="Arial"/>
                <w:b/>
                <w:bCs/>
                <w:sz w:val="18"/>
                <w:szCs w:val="18"/>
              </w:rPr>
            </w:pPr>
          </w:p>
        </w:tc>
        <w:tc>
          <w:tcPr>
            <w:tcW w:w="2260" w:type="dxa"/>
            <w:tcBorders>
              <w:top w:val="single" w:sz="8" w:space="0" w:color="auto"/>
              <w:left w:val="nil"/>
              <w:bottom w:val="single" w:sz="8" w:space="0" w:color="auto"/>
              <w:right w:val="single" w:sz="8" w:space="0" w:color="auto"/>
            </w:tcBorders>
            <w:shd w:val="clear" w:color="000000" w:fill="FFFFFF"/>
            <w:vAlign w:val="center"/>
          </w:tcPr>
          <w:p w14:paraId="16AF5B0C" w14:textId="77777777" w:rsidR="00136D35" w:rsidRPr="00CF2CE0" w:rsidRDefault="00136D35" w:rsidP="00136D35">
            <w:pPr>
              <w:rPr>
                <w:rFonts w:ascii="Arial" w:hAnsi="Arial" w:cs="Arial"/>
                <w:sz w:val="18"/>
                <w:szCs w:val="18"/>
                <w:lang w:val="es-ES"/>
              </w:rPr>
            </w:pPr>
            <w:r w:rsidRPr="00CF2CE0">
              <w:rPr>
                <w:rFonts w:ascii="Arial" w:hAnsi="Arial" w:cs="Arial"/>
                <w:sz w:val="18"/>
                <w:szCs w:val="18"/>
                <w:lang w:val="es-ES"/>
              </w:rPr>
              <w:t>Tasa de crecim</w:t>
            </w:r>
            <w:r>
              <w:rPr>
                <w:rFonts w:ascii="Arial" w:hAnsi="Arial" w:cs="Arial"/>
                <w:sz w:val="18"/>
                <w:szCs w:val="18"/>
                <w:lang w:val="es-ES"/>
              </w:rPr>
              <w:t>iento de egresados de IEST</w:t>
            </w:r>
          </w:p>
        </w:tc>
        <w:tc>
          <w:tcPr>
            <w:tcW w:w="1210" w:type="dxa"/>
            <w:tcBorders>
              <w:top w:val="single" w:sz="8" w:space="0" w:color="auto"/>
              <w:left w:val="nil"/>
              <w:bottom w:val="single" w:sz="8" w:space="0" w:color="auto"/>
              <w:right w:val="single" w:sz="8" w:space="0" w:color="auto"/>
            </w:tcBorders>
            <w:shd w:val="clear" w:color="000000" w:fill="FFF2CC"/>
            <w:noWrap/>
            <w:vAlign w:val="center"/>
          </w:tcPr>
          <w:p w14:paraId="6044A0AB" w14:textId="7340A70E" w:rsidR="00136D35" w:rsidRPr="0050256C" w:rsidRDefault="00136D35" w:rsidP="00136D35">
            <w:pPr>
              <w:jc w:val="center"/>
              <w:rPr>
                <w:rFonts w:ascii="Arial" w:hAnsi="Arial" w:cs="Arial"/>
                <w:sz w:val="18"/>
                <w:szCs w:val="18"/>
              </w:rPr>
            </w:pPr>
            <w:r>
              <w:rPr>
                <w:rFonts w:ascii="Arial" w:hAnsi="Arial" w:cs="Arial"/>
                <w:sz w:val="18"/>
                <w:szCs w:val="18"/>
              </w:rPr>
              <w:t>5%</w:t>
            </w:r>
          </w:p>
        </w:tc>
        <w:tc>
          <w:tcPr>
            <w:tcW w:w="1072" w:type="dxa"/>
            <w:tcBorders>
              <w:top w:val="single" w:sz="8" w:space="0" w:color="auto"/>
              <w:left w:val="nil"/>
              <w:bottom w:val="single" w:sz="8" w:space="0" w:color="auto"/>
              <w:right w:val="single" w:sz="8" w:space="0" w:color="auto"/>
            </w:tcBorders>
            <w:shd w:val="clear" w:color="000000" w:fill="FFFFFF"/>
            <w:noWrap/>
            <w:vAlign w:val="center"/>
          </w:tcPr>
          <w:p w14:paraId="43D49AA2" w14:textId="1255C364" w:rsidR="00136D35" w:rsidRPr="0050256C" w:rsidRDefault="00136D35" w:rsidP="00136D35">
            <w:pPr>
              <w:jc w:val="center"/>
              <w:rPr>
                <w:rFonts w:ascii="Arial" w:hAnsi="Arial" w:cs="Arial"/>
                <w:sz w:val="18"/>
                <w:szCs w:val="18"/>
              </w:rPr>
            </w:pPr>
            <w:r>
              <w:rPr>
                <w:rFonts w:ascii="Arial" w:hAnsi="Arial" w:cs="Arial"/>
                <w:sz w:val="18"/>
                <w:szCs w:val="18"/>
              </w:rPr>
              <w:t>7%</w:t>
            </w:r>
          </w:p>
        </w:tc>
        <w:tc>
          <w:tcPr>
            <w:tcW w:w="1178" w:type="dxa"/>
            <w:tcBorders>
              <w:top w:val="single" w:sz="8" w:space="0" w:color="auto"/>
              <w:left w:val="nil"/>
              <w:bottom w:val="single" w:sz="8" w:space="0" w:color="auto"/>
              <w:right w:val="single" w:sz="8" w:space="0" w:color="auto"/>
            </w:tcBorders>
            <w:shd w:val="clear" w:color="000000" w:fill="FFF2CC"/>
            <w:noWrap/>
            <w:vAlign w:val="center"/>
          </w:tcPr>
          <w:p w14:paraId="4E3D22E0" w14:textId="7F359E2E" w:rsidR="00136D35" w:rsidRPr="0050256C" w:rsidRDefault="00136D35" w:rsidP="00136D35">
            <w:pPr>
              <w:jc w:val="center"/>
              <w:rPr>
                <w:rFonts w:ascii="Arial" w:hAnsi="Arial" w:cs="Arial"/>
                <w:sz w:val="18"/>
                <w:szCs w:val="18"/>
              </w:rPr>
            </w:pPr>
            <w:r>
              <w:rPr>
                <w:rFonts w:ascii="Arial" w:hAnsi="Arial" w:cs="Arial"/>
                <w:sz w:val="18"/>
                <w:szCs w:val="18"/>
              </w:rPr>
              <w:t>9%</w:t>
            </w:r>
          </w:p>
        </w:tc>
        <w:tc>
          <w:tcPr>
            <w:tcW w:w="1170" w:type="dxa"/>
            <w:vMerge/>
            <w:tcBorders>
              <w:top w:val="single" w:sz="8" w:space="0" w:color="auto"/>
              <w:left w:val="nil"/>
              <w:bottom w:val="single" w:sz="8" w:space="0" w:color="auto"/>
              <w:right w:val="single" w:sz="8" w:space="0" w:color="auto"/>
            </w:tcBorders>
            <w:shd w:val="clear" w:color="000000" w:fill="FFF2CC"/>
            <w:noWrap/>
            <w:vAlign w:val="center"/>
          </w:tcPr>
          <w:p w14:paraId="1A6FC60A" w14:textId="77777777" w:rsidR="00136D35" w:rsidRPr="001F3A78" w:rsidRDefault="00136D35" w:rsidP="00136D35">
            <w:pPr>
              <w:jc w:val="center"/>
              <w:rPr>
                <w:rFonts w:ascii="Arial" w:hAnsi="Arial" w:cs="Arial"/>
                <w:sz w:val="18"/>
                <w:szCs w:val="18"/>
              </w:rPr>
            </w:pPr>
          </w:p>
        </w:tc>
        <w:tc>
          <w:tcPr>
            <w:tcW w:w="1141" w:type="dxa"/>
            <w:vMerge/>
            <w:tcBorders>
              <w:top w:val="single" w:sz="8" w:space="0" w:color="auto"/>
              <w:left w:val="nil"/>
              <w:bottom w:val="single" w:sz="8" w:space="0" w:color="auto"/>
              <w:right w:val="single" w:sz="8" w:space="0" w:color="auto"/>
            </w:tcBorders>
            <w:shd w:val="clear" w:color="000000" w:fill="FFFFFF"/>
            <w:noWrap/>
            <w:vAlign w:val="center"/>
          </w:tcPr>
          <w:p w14:paraId="4D0D3F3B" w14:textId="77777777" w:rsidR="00136D35" w:rsidRPr="001F3A78" w:rsidRDefault="00136D35" w:rsidP="00136D35">
            <w:pPr>
              <w:jc w:val="center"/>
              <w:rPr>
                <w:rFonts w:ascii="Arial" w:hAnsi="Arial" w:cs="Arial"/>
                <w:sz w:val="18"/>
                <w:szCs w:val="18"/>
              </w:rPr>
            </w:pPr>
          </w:p>
        </w:tc>
        <w:tc>
          <w:tcPr>
            <w:tcW w:w="1208" w:type="dxa"/>
            <w:vMerge/>
            <w:tcBorders>
              <w:top w:val="single" w:sz="8" w:space="0" w:color="auto"/>
              <w:left w:val="nil"/>
              <w:bottom w:val="single" w:sz="8" w:space="0" w:color="auto"/>
              <w:right w:val="single" w:sz="8" w:space="0" w:color="auto"/>
            </w:tcBorders>
            <w:shd w:val="clear" w:color="000000" w:fill="FFF2CC"/>
            <w:noWrap/>
            <w:vAlign w:val="center"/>
          </w:tcPr>
          <w:p w14:paraId="103F8CDC" w14:textId="77777777" w:rsidR="00136D35" w:rsidRPr="001F3A78" w:rsidRDefault="00136D35" w:rsidP="00136D35">
            <w:pPr>
              <w:jc w:val="center"/>
              <w:rPr>
                <w:rFonts w:ascii="Arial" w:hAnsi="Arial" w:cs="Arial"/>
                <w:sz w:val="18"/>
                <w:szCs w:val="18"/>
              </w:rPr>
            </w:pPr>
          </w:p>
        </w:tc>
      </w:tr>
      <w:tr w:rsidR="00136D35" w:rsidRPr="0050256C" w14:paraId="61497BDC" w14:textId="77777777" w:rsidTr="00136D35">
        <w:trPr>
          <w:trHeight w:val="300"/>
        </w:trPr>
        <w:tc>
          <w:tcPr>
            <w:tcW w:w="1530" w:type="dxa"/>
            <w:vMerge/>
            <w:tcBorders>
              <w:top w:val="single" w:sz="8" w:space="0" w:color="auto"/>
              <w:left w:val="single" w:sz="8" w:space="0" w:color="auto"/>
              <w:bottom w:val="single" w:sz="8" w:space="0" w:color="auto"/>
              <w:right w:val="single" w:sz="8" w:space="0" w:color="auto"/>
            </w:tcBorders>
            <w:shd w:val="clear" w:color="000000" w:fill="FFFFFF"/>
            <w:vAlign w:val="center"/>
          </w:tcPr>
          <w:p w14:paraId="6136B2A8" w14:textId="77777777" w:rsidR="00136D35" w:rsidRPr="0050256C" w:rsidRDefault="00136D35" w:rsidP="00136D35">
            <w:pPr>
              <w:jc w:val="center"/>
              <w:rPr>
                <w:rFonts w:ascii="Arial" w:hAnsi="Arial" w:cs="Arial"/>
                <w:b/>
                <w:bCs/>
                <w:sz w:val="18"/>
                <w:szCs w:val="18"/>
              </w:rPr>
            </w:pPr>
          </w:p>
        </w:tc>
        <w:tc>
          <w:tcPr>
            <w:tcW w:w="2260" w:type="dxa"/>
            <w:tcBorders>
              <w:top w:val="single" w:sz="8" w:space="0" w:color="auto"/>
              <w:left w:val="nil"/>
              <w:bottom w:val="single" w:sz="8" w:space="0" w:color="auto"/>
              <w:right w:val="single" w:sz="8" w:space="0" w:color="auto"/>
            </w:tcBorders>
            <w:shd w:val="clear" w:color="000000" w:fill="FFFFFF"/>
            <w:vAlign w:val="center"/>
          </w:tcPr>
          <w:p w14:paraId="0A70CD0C" w14:textId="77777777" w:rsidR="00136D35" w:rsidRPr="008451AA" w:rsidRDefault="00136D35" w:rsidP="00136D35">
            <w:pPr>
              <w:rPr>
                <w:rFonts w:ascii="Arial" w:hAnsi="Arial" w:cs="Arial"/>
                <w:sz w:val="18"/>
                <w:szCs w:val="18"/>
                <w:lang w:val="es-ES_tradnl"/>
              </w:rPr>
            </w:pPr>
            <w:r w:rsidRPr="008451AA">
              <w:rPr>
                <w:rFonts w:ascii="Arial" w:hAnsi="Arial" w:cs="Arial"/>
                <w:sz w:val="18"/>
                <w:szCs w:val="18"/>
                <w:lang w:val="es-ES_tradnl"/>
              </w:rPr>
              <w:t>Tasa de crecimiento de la brecha de ingresos de egresados de universidades públicas</w:t>
            </w:r>
          </w:p>
        </w:tc>
        <w:tc>
          <w:tcPr>
            <w:tcW w:w="1210" w:type="dxa"/>
            <w:tcBorders>
              <w:top w:val="single" w:sz="8" w:space="0" w:color="auto"/>
              <w:left w:val="nil"/>
              <w:bottom w:val="single" w:sz="8" w:space="0" w:color="auto"/>
              <w:right w:val="single" w:sz="8" w:space="0" w:color="auto"/>
            </w:tcBorders>
            <w:shd w:val="clear" w:color="000000" w:fill="FFF2CC"/>
            <w:noWrap/>
            <w:vAlign w:val="center"/>
          </w:tcPr>
          <w:p w14:paraId="2476FC0F" w14:textId="47023628" w:rsidR="00136D35" w:rsidRPr="0050256C" w:rsidRDefault="00136D35" w:rsidP="00136D35">
            <w:pPr>
              <w:jc w:val="center"/>
              <w:rPr>
                <w:rFonts w:ascii="Arial" w:hAnsi="Arial" w:cs="Arial"/>
                <w:sz w:val="18"/>
                <w:szCs w:val="18"/>
              </w:rPr>
            </w:pPr>
            <w:r>
              <w:rPr>
                <w:rFonts w:ascii="Arial" w:hAnsi="Arial" w:cs="Arial"/>
                <w:sz w:val="18"/>
                <w:szCs w:val="18"/>
              </w:rPr>
              <w:t>6%</w:t>
            </w:r>
          </w:p>
        </w:tc>
        <w:tc>
          <w:tcPr>
            <w:tcW w:w="1072" w:type="dxa"/>
            <w:tcBorders>
              <w:top w:val="single" w:sz="8" w:space="0" w:color="auto"/>
              <w:left w:val="nil"/>
              <w:bottom w:val="single" w:sz="8" w:space="0" w:color="auto"/>
              <w:right w:val="single" w:sz="8" w:space="0" w:color="auto"/>
            </w:tcBorders>
            <w:shd w:val="clear" w:color="000000" w:fill="FFFFFF"/>
            <w:noWrap/>
            <w:vAlign w:val="center"/>
          </w:tcPr>
          <w:p w14:paraId="03B095DB" w14:textId="3AE488A7" w:rsidR="00136D35" w:rsidRPr="0050256C" w:rsidRDefault="00136D35" w:rsidP="00136D35">
            <w:pPr>
              <w:jc w:val="center"/>
              <w:rPr>
                <w:rFonts w:ascii="Arial" w:hAnsi="Arial" w:cs="Arial"/>
                <w:sz w:val="18"/>
                <w:szCs w:val="18"/>
              </w:rPr>
            </w:pPr>
            <w:r>
              <w:rPr>
                <w:rFonts w:ascii="Arial" w:hAnsi="Arial" w:cs="Arial"/>
                <w:sz w:val="18"/>
                <w:szCs w:val="18"/>
              </w:rPr>
              <w:t>8%</w:t>
            </w:r>
          </w:p>
        </w:tc>
        <w:tc>
          <w:tcPr>
            <w:tcW w:w="1178" w:type="dxa"/>
            <w:tcBorders>
              <w:top w:val="single" w:sz="8" w:space="0" w:color="auto"/>
              <w:left w:val="nil"/>
              <w:bottom w:val="single" w:sz="8" w:space="0" w:color="auto"/>
              <w:right w:val="single" w:sz="8" w:space="0" w:color="auto"/>
            </w:tcBorders>
            <w:shd w:val="clear" w:color="000000" w:fill="FFF2CC"/>
            <w:noWrap/>
            <w:vAlign w:val="center"/>
          </w:tcPr>
          <w:p w14:paraId="2871B433" w14:textId="6C5B4CA0" w:rsidR="00136D35" w:rsidRPr="0050256C" w:rsidRDefault="00136D35" w:rsidP="00136D35">
            <w:pPr>
              <w:jc w:val="center"/>
              <w:rPr>
                <w:rFonts w:ascii="Arial" w:hAnsi="Arial" w:cs="Arial"/>
                <w:sz w:val="18"/>
                <w:szCs w:val="18"/>
              </w:rPr>
            </w:pPr>
            <w:r>
              <w:rPr>
                <w:rFonts w:ascii="Arial" w:hAnsi="Arial" w:cs="Arial"/>
                <w:sz w:val="18"/>
                <w:szCs w:val="18"/>
              </w:rPr>
              <w:t>10%</w:t>
            </w:r>
          </w:p>
        </w:tc>
        <w:tc>
          <w:tcPr>
            <w:tcW w:w="1170" w:type="dxa"/>
            <w:vMerge/>
            <w:tcBorders>
              <w:top w:val="single" w:sz="8" w:space="0" w:color="auto"/>
              <w:left w:val="nil"/>
              <w:bottom w:val="single" w:sz="8" w:space="0" w:color="auto"/>
              <w:right w:val="single" w:sz="8" w:space="0" w:color="auto"/>
            </w:tcBorders>
            <w:shd w:val="clear" w:color="000000" w:fill="FFF2CC"/>
            <w:noWrap/>
            <w:vAlign w:val="center"/>
          </w:tcPr>
          <w:p w14:paraId="2D1AC080" w14:textId="77777777" w:rsidR="00136D35" w:rsidRPr="001F3A78" w:rsidRDefault="00136D35" w:rsidP="00136D35">
            <w:pPr>
              <w:jc w:val="center"/>
              <w:rPr>
                <w:rFonts w:ascii="Arial" w:hAnsi="Arial" w:cs="Arial"/>
                <w:sz w:val="18"/>
                <w:szCs w:val="18"/>
              </w:rPr>
            </w:pPr>
          </w:p>
        </w:tc>
        <w:tc>
          <w:tcPr>
            <w:tcW w:w="1141" w:type="dxa"/>
            <w:vMerge/>
            <w:tcBorders>
              <w:top w:val="single" w:sz="8" w:space="0" w:color="auto"/>
              <w:left w:val="nil"/>
              <w:bottom w:val="single" w:sz="8" w:space="0" w:color="auto"/>
              <w:right w:val="single" w:sz="8" w:space="0" w:color="auto"/>
            </w:tcBorders>
            <w:shd w:val="clear" w:color="000000" w:fill="FFFFFF"/>
            <w:noWrap/>
            <w:vAlign w:val="center"/>
          </w:tcPr>
          <w:p w14:paraId="7657BC46" w14:textId="77777777" w:rsidR="00136D35" w:rsidRPr="001F3A78" w:rsidRDefault="00136D35" w:rsidP="00136D35">
            <w:pPr>
              <w:jc w:val="center"/>
              <w:rPr>
                <w:rFonts w:ascii="Arial" w:hAnsi="Arial" w:cs="Arial"/>
                <w:sz w:val="18"/>
                <w:szCs w:val="18"/>
              </w:rPr>
            </w:pPr>
          </w:p>
        </w:tc>
        <w:tc>
          <w:tcPr>
            <w:tcW w:w="1208" w:type="dxa"/>
            <w:vMerge/>
            <w:tcBorders>
              <w:top w:val="single" w:sz="8" w:space="0" w:color="auto"/>
              <w:left w:val="nil"/>
              <w:bottom w:val="single" w:sz="8" w:space="0" w:color="auto"/>
              <w:right w:val="single" w:sz="8" w:space="0" w:color="auto"/>
            </w:tcBorders>
            <w:shd w:val="clear" w:color="000000" w:fill="FFF2CC"/>
            <w:noWrap/>
            <w:vAlign w:val="center"/>
          </w:tcPr>
          <w:p w14:paraId="1EDEB81A" w14:textId="77777777" w:rsidR="00136D35" w:rsidRPr="001F3A78" w:rsidRDefault="00136D35" w:rsidP="00136D35">
            <w:pPr>
              <w:jc w:val="center"/>
              <w:rPr>
                <w:rFonts w:ascii="Arial" w:hAnsi="Arial" w:cs="Arial"/>
                <w:sz w:val="18"/>
                <w:szCs w:val="18"/>
              </w:rPr>
            </w:pPr>
          </w:p>
        </w:tc>
      </w:tr>
      <w:tr w:rsidR="00136D35" w:rsidRPr="0050256C" w14:paraId="54853552" w14:textId="77777777" w:rsidTr="00136D35">
        <w:trPr>
          <w:trHeight w:val="300"/>
        </w:trPr>
        <w:tc>
          <w:tcPr>
            <w:tcW w:w="1530" w:type="dxa"/>
            <w:vMerge/>
            <w:tcBorders>
              <w:top w:val="single" w:sz="8" w:space="0" w:color="auto"/>
              <w:left w:val="single" w:sz="8" w:space="0" w:color="auto"/>
              <w:bottom w:val="single" w:sz="8" w:space="0" w:color="auto"/>
              <w:right w:val="single" w:sz="8" w:space="0" w:color="auto"/>
            </w:tcBorders>
            <w:shd w:val="clear" w:color="000000" w:fill="FFFFFF"/>
            <w:vAlign w:val="center"/>
          </w:tcPr>
          <w:p w14:paraId="5B218C86" w14:textId="77777777" w:rsidR="00136D35" w:rsidRPr="0050256C" w:rsidRDefault="00136D35" w:rsidP="00136D35">
            <w:pPr>
              <w:jc w:val="center"/>
              <w:rPr>
                <w:rFonts w:ascii="Arial" w:hAnsi="Arial" w:cs="Arial"/>
                <w:b/>
                <w:bCs/>
                <w:sz w:val="18"/>
                <w:szCs w:val="18"/>
              </w:rPr>
            </w:pPr>
          </w:p>
        </w:tc>
        <w:tc>
          <w:tcPr>
            <w:tcW w:w="2260" w:type="dxa"/>
            <w:tcBorders>
              <w:top w:val="single" w:sz="8" w:space="0" w:color="auto"/>
              <w:left w:val="nil"/>
              <w:bottom w:val="single" w:sz="8" w:space="0" w:color="auto"/>
              <w:right w:val="single" w:sz="8" w:space="0" w:color="auto"/>
            </w:tcBorders>
            <w:shd w:val="clear" w:color="000000" w:fill="FFFFFF"/>
            <w:vAlign w:val="center"/>
          </w:tcPr>
          <w:p w14:paraId="3118D635" w14:textId="77777777" w:rsidR="00136D35" w:rsidRPr="008451AA" w:rsidRDefault="00136D35" w:rsidP="00136D35">
            <w:pPr>
              <w:rPr>
                <w:rFonts w:ascii="Arial" w:hAnsi="Arial" w:cs="Arial"/>
                <w:sz w:val="18"/>
                <w:szCs w:val="18"/>
                <w:lang w:val="es-ES_tradnl"/>
              </w:rPr>
            </w:pPr>
            <w:r w:rsidRPr="008451AA">
              <w:rPr>
                <w:rFonts w:ascii="Arial" w:hAnsi="Arial" w:cs="Arial"/>
                <w:sz w:val="18"/>
                <w:szCs w:val="18"/>
                <w:lang w:val="es-ES_tradnl"/>
              </w:rPr>
              <w:t>Tasa de crecimiento de la brecha de ingresos de egresados de IEST públicos</w:t>
            </w:r>
          </w:p>
        </w:tc>
        <w:tc>
          <w:tcPr>
            <w:tcW w:w="1210" w:type="dxa"/>
            <w:tcBorders>
              <w:top w:val="single" w:sz="8" w:space="0" w:color="auto"/>
              <w:left w:val="nil"/>
              <w:bottom w:val="single" w:sz="8" w:space="0" w:color="auto"/>
              <w:right w:val="single" w:sz="8" w:space="0" w:color="auto"/>
            </w:tcBorders>
            <w:shd w:val="clear" w:color="000000" w:fill="FFF2CC"/>
            <w:noWrap/>
            <w:vAlign w:val="center"/>
          </w:tcPr>
          <w:p w14:paraId="20DE8DD1" w14:textId="05978DCA" w:rsidR="00136D35" w:rsidRPr="0050256C" w:rsidRDefault="00136D35" w:rsidP="00136D35">
            <w:pPr>
              <w:jc w:val="center"/>
              <w:rPr>
                <w:rFonts w:ascii="Arial" w:hAnsi="Arial" w:cs="Arial"/>
                <w:sz w:val="18"/>
                <w:szCs w:val="18"/>
              </w:rPr>
            </w:pPr>
            <w:r>
              <w:rPr>
                <w:rFonts w:ascii="Arial" w:hAnsi="Arial" w:cs="Arial"/>
                <w:sz w:val="18"/>
                <w:szCs w:val="18"/>
              </w:rPr>
              <w:t>5%</w:t>
            </w:r>
          </w:p>
        </w:tc>
        <w:tc>
          <w:tcPr>
            <w:tcW w:w="1072" w:type="dxa"/>
            <w:tcBorders>
              <w:top w:val="single" w:sz="8" w:space="0" w:color="auto"/>
              <w:left w:val="nil"/>
              <w:bottom w:val="single" w:sz="8" w:space="0" w:color="auto"/>
              <w:right w:val="single" w:sz="8" w:space="0" w:color="auto"/>
            </w:tcBorders>
            <w:shd w:val="clear" w:color="000000" w:fill="FFFFFF"/>
            <w:noWrap/>
            <w:vAlign w:val="center"/>
          </w:tcPr>
          <w:p w14:paraId="14F3473F" w14:textId="22273502" w:rsidR="00136D35" w:rsidRPr="0050256C" w:rsidRDefault="00136D35" w:rsidP="00136D35">
            <w:pPr>
              <w:jc w:val="center"/>
              <w:rPr>
                <w:rFonts w:ascii="Arial" w:hAnsi="Arial" w:cs="Arial"/>
                <w:sz w:val="18"/>
                <w:szCs w:val="18"/>
              </w:rPr>
            </w:pPr>
            <w:r>
              <w:rPr>
                <w:rFonts w:ascii="Arial" w:hAnsi="Arial" w:cs="Arial"/>
                <w:sz w:val="18"/>
                <w:szCs w:val="18"/>
              </w:rPr>
              <w:t>7%</w:t>
            </w:r>
          </w:p>
        </w:tc>
        <w:tc>
          <w:tcPr>
            <w:tcW w:w="1178" w:type="dxa"/>
            <w:tcBorders>
              <w:top w:val="single" w:sz="8" w:space="0" w:color="auto"/>
              <w:left w:val="nil"/>
              <w:bottom w:val="single" w:sz="8" w:space="0" w:color="auto"/>
              <w:right w:val="single" w:sz="8" w:space="0" w:color="auto"/>
            </w:tcBorders>
            <w:shd w:val="clear" w:color="000000" w:fill="FFF2CC"/>
            <w:noWrap/>
            <w:vAlign w:val="center"/>
          </w:tcPr>
          <w:p w14:paraId="5400F7D4" w14:textId="55295129" w:rsidR="00136D35" w:rsidRPr="0050256C" w:rsidRDefault="00136D35" w:rsidP="00136D35">
            <w:pPr>
              <w:jc w:val="center"/>
              <w:rPr>
                <w:rFonts w:ascii="Arial" w:hAnsi="Arial" w:cs="Arial"/>
                <w:sz w:val="18"/>
                <w:szCs w:val="18"/>
              </w:rPr>
            </w:pPr>
            <w:r>
              <w:rPr>
                <w:rFonts w:ascii="Arial" w:hAnsi="Arial" w:cs="Arial"/>
                <w:sz w:val="18"/>
                <w:szCs w:val="18"/>
              </w:rPr>
              <w:t>9%</w:t>
            </w:r>
          </w:p>
        </w:tc>
        <w:tc>
          <w:tcPr>
            <w:tcW w:w="1170" w:type="dxa"/>
            <w:vMerge/>
            <w:tcBorders>
              <w:top w:val="single" w:sz="8" w:space="0" w:color="auto"/>
              <w:left w:val="nil"/>
              <w:bottom w:val="single" w:sz="8" w:space="0" w:color="auto"/>
              <w:right w:val="single" w:sz="8" w:space="0" w:color="auto"/>
            </w:tcBorders>
            <w:shd w:val="clear" w:color="000000" w:fill="FFF2CC"/>
            <w:noWrap/>
            <w:vAlign w:val="center"/>
          </w:tcPr>
          <w:p w14:paraId="443065D8" w14:textId="77777777" w:rsidR="00136D35" w:rsidRPr="001F3A78" w:rsidRDefault="00136D35" w:rsidP="00136D35">
            <w:pPr>
              <w:jc w:val="center"/>
              <w:rPr>
                <w:rFonts w:ascii="Arial" w:hAnsi="Arial" w:cs="Arial"/>
                <w:sz w:val="18"/>
                <w:szCs w:val="18"/>
              </w:rPr>
            </w:pPr>
          </w:p>
        </w:tc>
        <w:tc>
          <w:tcPr>
            <w:tcW w:w="1141" w:type="dxa"/>
            <w:vMerge/>
            <w:tcBorders>
              <w:top w:val="single" w:sz="8" w:space="0" w:color="auto"/>
              <w:left w:val="nil"/>
              <w:bottom w:val="single" w:sz="8" w:space="0" w:color="auto"/>
              <w:right w:val="single" w:sz="8" w:space="0" w:color="auto"/>
            </w:tcBorders>
            <w:shd w:val="clear" w:color="000000" w:fill="FFFFFF"/>
            <w:noWrap/>
            <w:vAlign w:val="center"/>
          </w:tcPr>
          <w:p w14:paraId="0FBFE38B" w14:textId="77777777" w:rsidR="00136D35" w:rsidRPr="001F3A78" w:rsidRDefault="00136D35" w:rsidP="00136D35">
            <w:pPr>
              <w:jc w:val="center"/>
              <w:rPr>
                <w:rFonts w:ascii="Arial" w:hAnsi="Arial" w:cs="Arial"/>
                <w:sz w:val="18"/>
                <w:szCs w:val="18"/>
              </w:rPr>
            </w:pPr>
          </w:p>
        </w:tc>
        <w:tc>
          <w:tcPr>
            <w:tcW w:w="1208" w:type="dxa"/>
            <w:vMerge/>
            <w:tcBorders>
              <w:top w:val="single" w:sz="8" w:space="0" w:color="auto"/>
              <w:left w:val="nil"/>
              <w:bottom w:val="single" w:sz="8" w:space="0" w:color="auto"/>
              <w:right w:val="single" w:sz="8" w:space="0" w:color="auto"/>
            </w:tcBorders>
            <w:shd w:val="clear" w:color="000000" w:fill="FFF2CC"/>
            <w:noWrap/>
            <w:vAlign w:val="center"/>
          </w:tcPr>
          <w:p w14:paraId="4F88F754" w14:textId="77777777" w:rsidR="00136D35" w:rsidRPr="001F3A78" w:rsidRDefault="00136D35" w:rsidP="00136D35">
            <w:pPr>
              <w:jc w:val="center"/>
              <w:rPr>
                <w:rFonts w:ascii="Arial" w:hAnsi="Arial" w:cs="Arial"/>
                <w:sz w:val="18"/>
                <w:szCs w:val="18"/>
              </w:rPr>
            </w:pPr>
          </w:p>
        </w:tc>
      </w:tr>
      <w:tr w:rsidR="005C1219" w:rsidRPr="0050256C" w14:paraId="12A30640" w14:textId="77777777" w:rsidTr="00136D35">
        <w:trPr>
          <w:trHeight w:val="107"/>
        </w:trPr>
        <w:tc>
          <w:tcPr>
            <w:tcW w:w="1530" w:type="dxa"/>
            <w:vMerge w:val="restart"/>
            <w:tcBorders>
              <w:top w:val="single" w:sz="8" w:space="0" w:color="auto"/>
              <w:left w:val="single" w:sz="8" w:space="0" w:color="auto"/>
              <w:bottom w:val="single" w:sz="8" w:space="0" w:color="auto"/>
              <w:right w:val="single" w:sz="8" w:space="0" w:color="auto"/>
            </w:tcBorders>
            <w:shd w:val="clear" w:color="000000" w:fill="FFFFFF"/>
            <w:vAlign w:val="center"/>
            <w:hideMark/>
          </w:tcPr>
          <w:p w14:paraId="155B6288" w14:textId="77777777" w:rsidR="005C1219" w:rsidRPr="009D77BE" w:rsidRDefault="005C1219" w:rsidP="005C1219">
            <w:pPr>
              <w:jc w:val="center"/>
              <w:rPr>
                <w:rFonts w:ascii="Arial" w:hAnsi="Arial" w:cs="Arial"/>
                <w:b/>
                <w:bCs/>
                <w:sz w:val="18"/>
                <w:szCs w:val="18"/>
                <w:lang w:val="es-ES_tradnl"/>
              </w:rPr>
            </w:pPr>
            <w:r w:rsidRPr="007C212B">
              <w:rPr>
                <w:rFonts w:ascii="Arial" w:hAnsi="Arial" w:cs="Arial"/>
                <w:b/>
                <w:sz w:val="18"/>
                <w:szCs w:val="18"/>
                <w:lang w:val="es-ES_tradnl"/>
              </w:rPr>
              <w:t xml:space="preserve">Mejora de la infraestructura y equipamiento de las </w:t>
            </w:r>
            <w:r>
              <w:rPr>
                <w:rFonts w:ascii="Arial" w:hAnsi="Arial" w:cs="Arial"/>
                <w:b/>
                <w:sz w:val="18"/>
                <w:szCs w:val="18"/>
                <w:lang w:val="es-ES_tradnl"/>
              </w:rPr>
              <w:t>IES</w:t>
            </w:r>
            <w:r w:rsidRPr="007C212B">
              <w:rPr>
                <w:rFonts w:ascii="Arial" w:hAnsi="Arial" w:cs="Arial"/>
                <w:b/>
                <w:sz w:val="18"/>
                <w:szCs w:val="18"/>
                <w:lang w:val="es-ES_tradnl"/>
              </w:rPr>
              <w:t xml:space="preserve"> pública</w:t>
            </w:r>
            <w:r>
              <w:rPr>
                <w:rFonts w:ascii="Arial" w:hAnsi="Arial" w:cs="Arial"/>
                <w:b/>
                <w:sz w:val="18"/>
                <w:szCs w:val="18"/>
                <w:lang w:val="es-ES_tradnl"/>
              </w:rPr>
              <w:t>s</w:t>
            </w:r>
          </w:p>
        </w:tc>
        <w:tc>
          <w:tcPr>
            <w:tcW w:w="2260" w:type="dxa"/>
            <w:tcBorders>
              <w:top w:val="single" w:sz="8" w:space="0" w:color="auto"/>
              <w:left w:val="nil"/>
              <w:bottom w:val="single" w:sz="8" w:space="0" w:color="auto"/>
              <w:right w:val="single" w:sz="8" w:space="0" w:color="auto"/>
            </w:tcBorders>
            <w:shd w:val="clear" w:color="000000" w:fill="FFFFFF"/>
            <w:vAlign w:val="center"/>
          </w:tcPr>
          <w:p w14:paraId="6DDFC9C7" w14:textId="77777777" w:rsidR="005C1219" w:rsidRPr="0050256C" w:rsidRDefault="005C1219" w:rsidP="005C1219">
            <w:pPr>
              <w:rPr>
                <w:rFonts w:ascii="Arial" w:hAnsi="Arial" w:cs="Arial"/>
                <w:sz w:val="18"/>
                <w:szCs w:val="18"/>
              </w:rPr>
            </w:pPr>
            <w:r>
              <w:rPr>
                <w:rFonts w:ascii="Arial" w:hAnsi="Arial" w:cs="Arial"/>
                <w:sz w:val="18"/>
                <w:szCs w:val="18"/>
              </w:rPr>
              <w:t>Impacto de la infraestructura</w:t>
            </w:r>
          </w:p>
        </w:tc>
        <w:tc>
          <w:tcPr>
            <w:tcW w:w="1210" w:type="dxa"/>
            <w:tcBorders>
              <w:top w:val="single" w:sz="8" w:space="0" w:color="auto"/>
              <w:left w:val="nil"/>
              <w:bottom w:val="single" w:sz="8" w:space="0" w:color="auto"/>
              <w:right w:val="single" w:sz="8" w:space="0" w:color="auto"/>
            </w:tcBorders>
            <w:shd w:val="clear" w:color="000000" w:fill="FFF2CC"/>
            <w:noWrap/>
            <w:vAlign w:val="center"/>
          </w:tcPr>
          <w:p w14:paraId="3D4CD759" w14:textId="77777777" w:rsidR="005C1219" w:rsidRPr="0050256C" w:rsidRDefault="005C1219" w:rsidP="005C1219">
            <w:pPr>
              <w:jc w:val="center"/>
              <w:rPr>
                <w:rFonts w:ascii="Arial" w:hAnsi="Arial" w:cs="Arial"/>
                <w:sz w:val="18"/>
                <w:szCs w:val="18"/>
              </w:rPr>
            </w:pPr>
            <w:r>
              <w:rPr>
                <w:rFonts w:ascii="Arial" w:hAnsi="Arial" w:cs="Arial"/>
                <w:sz w:val="18"/>
                <w:szCs w:val="18"/>
              </w:rPr>
              <w:t>10%</w:t>
            </w:r>
          </w:p>
        </w:tc>
        <w:tc>
          <w:tcPr>
            <w:tcW w:w="1072" w:type="dxa"/>
            <w:tcBorders>
              <w:top w:val="single" w:sz="8" w:space="0" w:color="auto"/>
              <w:left w:val="nil"/>
              <w:bottom w:val="single" w:sz="8" w:space="0" w:color="auto"/>
              <w:right w:val="single" w:sz="8" w:space="0" w:color="auto"/>
            </w:tcBorders>
            <w:shd w:val="clear" w:color="000000" w:fill="FFFFFF"/>
            <w:noWrap/>
            <w:vAlign w:val="center"/>
          </w:tcPr>
          <w:p w14:paraId="47EE3524" w14:textId="77777777" w:rsidR="005C1219" w:rsidRPr="0050256C" w:rsidRDefault="005C1219" w:rsidP="005C1219">
            <w:pPr>
              <w:jc w:val="center"/>
              <w:rPr>
                <w:rFonts w:ascii="Arial" w:hAnsi="Arial" w:cs="Arial"/>
                <w:sz w:val="18"/>
                <w:szCs w:val="18"/>
              </w:rPr>
            </w:pPr>
            <w:r>
              <w:rPr>
                <w:rFonts w:ascii="Arial" w:hAnsi="Arial" w:cs="Arial"/>
                <w:sz w:val="18"/>
                <w:szCs w:val="18"/>
              </w:rPr>
              <w:t>15%</w:t>
            </w:r>
          </w:p>
        </w:tc>
        <w:tc>
          <w:tcPr>
            <w:tcW w:w="1178" w:type="dxa"/>
            <w:tcBorders>
              <w:top w:val="single" w:sz="8" w:space="0" w:color="auto"/>
              <w:left w:val="nil"/>
              <w:bottom w:val="single" w:sz="8" w:space="0" w:color="auto"/>
              <w:right w:val="single" w:sz="8" w:space="0" w:color="auto"/>
            </w:tcBorders>
            <w:shd w:val="clear" w:color="000000" w:fill="FFF2CC"/>
            <w:noWrap/>
            <w:vAlign w:val="center"/>
          </w:tcPr>
          <w:p w14:paraId="18798EAE" w14:textId="77777777" w:rsidR="005C1219" w:rsidRPr="0050256C" w:rsidRDefault="005C1219" w:rsidP="005C1219">
            <w:pPr>
              <w:jc w:val="center"/>
              <w:rPr>
                <w:rFonts w:ascii="Arial" w:hAnsi="Arial" w:cs="Arial"/>
                <w:sz w:val="18"/>
                <w:szCs w:val="18"/>
              </w:rPr>
            </w:pPr>
            <w:r>
              <w:rPr>
                <w:rFonts w:ascii="Arial" w:hAnsi="Arial" w:cs="Arial"/>
                <w:sz w:val="18"/>
                <w:szCs w:val="18"/>
              </w:rPr>
              <w:t>20%</w:t>
            </w:r>
          </w:p>
        </w:tc>
        <w:tc>
          <w:tcPr>
            <w:tcW w:w="1170" w:type="dxa"/>
            <w:vMerge w:val="restart"/>
            <w:tcBorders>
              <w:top w:val="single" w:sz="8" w:space="0" w:color="auto"/>
              <w:left w:val="nil"/>
              <w:bottom w:val="single" w:sz="8" w:space="0" w:color="auto"/>
              <w:right w:val="single" w:sz="8" w:space="0" w:color="auto"/>
            </w:tcBorders>
            <w:shd w:val="clear" w:color="000000" w:fill="FFF2CC"/>
            <w:noWrap/>
            <w:vAlign w:val="center"/>
          </w:tcPr>
          <w:p w14:paraId="0A637292" w14:textId="2D1B7E04" w:rsidR="005C1219" w:rsidRPr="0050256C" w:rsidRDefault="00136D35" w:rsidP="005C1219">
            <w:pPr>
              <w:jc w:val="center"/>
              <w:rPr>
                <w:rFonts w:ascii="Arial" w:hAnsi="Arial" w:cs="Arial"/>
                <w:sz w:val="18"/>
                <w:szCs w:val="18"/>
              </w:rPr>
            </w:pPr>
            <w:r>
              <w:rPr>
                <w:rFonts w:ascii="Arial" w:hAnsi="Arial" w:cs="Arial"/>
                <w:sz w:val="18"/>
                <w:szCs w:val="18"/>
              </w:rPr>
              <w:t>33,09</w:t>
            </w:r>
          </w:p>
        </w:tc>
        <w:tc>
          <w:tcPr>
            <w:tcW w:w="1141" w:type="dxa"/>
            <w:vMerge w:val="restart"/>
            <w:tcBorders>
              <w:top w:val="single" w:sz="8" w:space="0" w:color="auto"/>
              <w:left w:val="nil"/>
              <w:bottom w:val="single" w:sz="8" w:space="0" w:color="auto"/>
              <w:right w:val="single" w:sz="8" w:space="0" w:color="auto"/>
            </w:tcBorders>
            <w:shd w:val="clear" w:color="000000" w:fill="FFFFFF"/>
            <w:noWrap/>
            <w:vAlign w:val="center"/>
          </w:tcPr>
          <w:p w14:paraId="242EF7D9" w14:textId="12BE3D6B" w:rsidR="005C1219" w:rsidRPr="0050256C" w:rsidRDefault="005C1219" w:rsidP="005C1219">
            <w:pPr>
              <w:jc w:val="center"/>
              <w:rPr>
                <w:rFonts w:ascii="Arial" w:hAnsi="Arial" w:cs="Arial"/>
                <w:sz w:val="18"/>
                <w:szCs w:val="18"/>
              </w:rPr>
            </w:pPr>
            <w:r w:rsidRPr="001821B3">
              <w:rPr>
                <w:rFonts w:ascii="Arial" w:hAnsi="Arial" w:cs="Arial"/>
                <w:sz w:val="18"/>
                <w:szCs w:val="18"/>
              </w:rPr>
              <w:t>205,45</w:t>
            </w:r>
          </w:p>
        </w:tc>
        <w:tc>
          <w:tcPr>
            <w:tcW w:w="1208" w:type="dxa"/>
            <w:vMerge w:val="restart"/>
            <w:tcBorders>
              <w:top w:val="single" w:sz="8" w:space="0" w:color="auto"/>
              <w:left w:val="nil"/>
              <w:bottom w:val="single" w:sz="8" w:space="0" w:color="auto"/>
              <w:right w:val="single" w:sz="8" w:space="0" w:color="auto"/>
            </w:tcBorders>
            <w:shd w:val="clear" w:color="000000" w:fill="FFF2CC"/>
            <w:noWrap/>
            <w:vAlign w:val="center"/>
          </w:tcPr>
          <w:p w14:paraId="38E70B23" w14:textId="2746DCCF" w:rsidR="005C1219" w:rsidRPr="0050256C" w:rsidRDefault="00136D35" w:rsidP="005C1219">
            <w:pPr>
              <w:jc w:val="center"/>
              <w:rPr>
                <w:rFonts w:ascii="Arial" w:hAnsi="Arial" w:cs="Arial"/>
                <w:sz w:val="18"/>
                <w:szCs w:val="18"/>
              </w:rPr>
            </w:pPr>
            <w:r>
              <w:rPr>
                <w:rFonts w:ascii="Arial" w:hAnsi="Arial" w:cs="Arial"/>
                <w:sz w:val="18"/>
                <w:szCs w:val="18"/>
              </w:rPr>
              <w:t>441,98</w:t>
            </w:r>
          </w:p>
        </w:tc>
      </w:tr>
      <w:tr w:rsidR="005C1219" w:rsidRPr="0050256C" w14:paraId="0E01A332" w14:textId="77777777" w:rsidTr="00136D35">
        <w:trPr>
          <w:trHeight w:val="107"/>
        </w:trPr>
        <w:tc>
          <w:tcPr>
            <w:tcW w:w="1530" w:type="dxa"/>
            <w:vMerge/>
            <w:tcBorders>
              <w:top w:val="single" w:sz="8" w:space="0" w:color="auto"/>
              <w:left w:val="single" w:sz="8" w:space="0" w:color="auto"/>
              <w:bottom w:val="single" w:sz="8" w:space="0" w:color="auto"/>
              <w:right w:val="single" w:sz="8" w:space="0" w:color="auto"/>
            </w:tcBorders>
            <w:shd w:val="clear" w:color="000000" w:fill="FFFFFF"/>
            <w:vAlign w:val="center"/>
          </w:tcPr>
          <w:p w14:paraId="13337223" w14:textId="77777777" w:rsidR="005C1219" w:rsidRPr="0050256C" w:rsidRDefault="005C1219" w:rsidP="005C1219">
            <w:pPr>
              <w:jc w:val="center"/>
              <w:rPr>
                <w:rFonts w:ascii="Arial" w:hAnsi="Arial" w:cs="Arial"/>
                <w:b/>
                <w:sz w:val="18"/>
                <w:szCs w:val="18"/>
              </w:rPr>
            </w:pPr>
          </w:p>
        </w:tc>
        <w:tc>
          <w:tcPr>
            <w:tcW w:w="2260" w:type="dxa"/>
            <w:tcBorders>
              <w:top w:val="single" w:sz="8" w:space="0" w:color="auto"/>
              <w:left w:val="nil"/>
              <w:bottom w:val="single" w:sz="8" w:space="0" w:color="auto"/>
              <w:right w:val="single" w:sz="8" w:space="0" w:color="auto"/>
            </w:tcBorders>
            <w:shd w:val="clear" w:color="000000" w:fill="FFFFFF"/>
            <w:vAlign w:val="center"/>
          </w:tcPr>
          <w:p w14:paraId="37AE54A0" w14:textId="77777777" w:rsidR="005C1219" w:rsidRPr="009D77BE" w:rsidRDefault="005C1219" w:rsidP="005C1219">
            <w:pPr>
              <w:rPr>
                <w:rFonts w:ascii="Arial" w:hAnsi="Arial" w:cs="Arial"/>
                <w:sz w:val="18"/>
                <w:szCs w:val="18"/>
                <w:lang w:val="es-ES_tradnl"/>
              </w:rPr>
            </w:pPr>
            <w:r w:rsidRPr="009D77BE">
              <w:rPr>
                <w:rFonts w:ascii="Arial" w:hAnsi="Arial" w:cs="Arial"/>
                <w:sz w:val="18"/>
                <w:szCs w:val="18"/>
                <w:lang w:val="es-ES_tradnl"/>
              </w:rPr>
              <w:t>Tasa de crecimiento del ingreso promedio de egresados de universidades públicas</w:t>
            </w:r>
          </w:p>
        </w:tc>
        <w:tc>
          <w:tcPr>
            <w:tcW w:w="1210" w:type="dxa"/>
            <w:tcBorders>
              <w:top w:val="single" w:sz="8" w:space="0" w:color="auto"/>
              <w:left w:val="nil"/>
              <w:bottom w:val="single" w:sz="8" w:space="0" w:color="auto"/>
              <w:right w:val="single" w:sz="8" w:space="0" w:color="auto"/>
            </w:tcBorders>
            <w:shd w:val="clear" w:color="000000" w:fill="FFF2CC"/>
            <w:noWrap/>
            <w:vAlign w:val="center"/>
          </w:tcPr>
          <w:p w14:paraId="35F14289" w14:textId="77777777" w:rsidR="005C1219" w:rsidRDefault="005C1219" w:rsidP="005C1219">
            <w:pPr>
              <w:jc w:val="center"/>
              <w:rPr>
                <w:rFonts w:ascii="Arial" w:hAnsi="Arial" w:cs="Arial"/>
                <w:sz w:val="18"/>
                <w:szCs w:val="18"/>
              </w:rPr>
            </w:pPr>
            <w:r>
              <w:rPr>
                <w:rFonts w:ascii="Arial" w:hAnsi="Arial" w:cs="Arial"/>
                <w:sz w:val="18"/>
                <w:szCs w:val="18"/>
              </w:rPr>
              <w:t>1%</w:t>
            </w:r>
          </w:p>
        </w:tc>
        <w:tc>
          <w:tcPr>
            <w:tcW w:w="1072" w:type="dxa"/>
            <w:tcBorders>
              <w:top w:val="single" w:sz="8" w:space="0" w:color="auto"/>
              <w:left w:val="nil"/>
              <w:bottom w:val="single" w:sz="8" w:space="0" w:color="auto"/>
              <w:right w:val="single" w:sz="8" w:space="0" w:color="auto"/>
            </w:tcBorders>
            <w:shd w:val="clear" w:color="000000" w:fill="FFFFFF"/>
            <w:noWrap/>
            <w:vAlign w:val="center"/>
          </w:tcPr>
          <w:p w14:paraId="03925565" w14:textId="77777777" w:rsidR="005C1219" w:rsidRDefault="005C1219" w:rsidP="005C1219">
            <w:pPr>
              <w:jc w:val="center"/>
              <w:rPr>
                <w:rFonts w:ascii="Arial" w:hAnsi="Arial" w:cs="Arial"/>
                <w:sz w:val="18"/>
                <w:szCs w:val="18"/>
              </w:rPr>
            </w:pPr>
            <w:r>
              <w:rPr>
                <w:rFonts w:ascii="Arial" w:hAnsi="Arial" w:cs="Arial"/>
                <w:sz w:val="18"/>
                <w:szCs w:val="18"/>
              </w:rPr>
              <w:t>3%</w:t>
            </w:r>
          </w:p>
        </w:tc>
        <w:tc>
          <w:tcPr>
            <w:tcW w:w="1178" w:type="dxa"/>
            <w:tcBorders>
              <w:top w:val="single" w:sz="8" w:space="0" w:color="auto"/>
              <w:left w:val="nil"/>
              <w:bottom w:val="single" w:sz="8" w:space="0" w:color="auto"/>
              <w:right w:val="single" w:sz="8" w:space="0" w:color="auto"/>
            </w:tcBorders>
            <w:shd w:val="clear" w:color="000000" w:fill="FFF2CC"/>
            <w:noWrap/>
            <w:vAlign w:val="center"/>
          </w:tcPr>
          <w:p w14:paraId="1FE2AC14" w14:textId="77777777" w:rsidR="005C1219" w:rsidRDefault="005C1219" w:rsidP="005C1219">
            <w:pPr>
              <w:jc w:val="center"/>
              <w:rPr>
                <w:rFonts w:ascii="Arial" w:hAnsi="Arial" w:cs="Arial"/>
                <w:sz w:val="18"/>
                <w:szCs w:val="18"/>
              </w:rPr>
            </w:pPr>
            <w:r>
              <w:rPr>
                <w:rFonts w:ascii="Arial" w:hAnsi="Arial" w:cs="Arial"/>
                <w:sz w:val="18"/>
                <w:szCs w:val="18"/>
              </w:rPr>
              <w:t>5%</w:t>
            </w:r>
          </w:p>
        </w:tc>
        <w:tc>
          <w:tcPr>
            <w:tcW w:w="1170" w:type="dxa"/>
            <w:vMerge/>
            <w:tcBorders>
              <w:top w:val="single" w:sz="8" w:space="0" w:color="auto"/>
              <w:left w:val="nil"/>
              <w:bottom w:val="single" w:sz="8" w:space="0" w:color="auto"/>
              <w:right w:val="single" w:sz="8" w:space="0" w:color="auto"/>
            </w:tcBorders>
            <w:shd w:val="clear" w:color="000000" w:fill="FFF2CC"/>
            <w:noWrap/>
            <w:vAlign w:val="center"/>
          </w:tcPr>
          <w:p w14:paraId="55F0516F" w14:textId="77777777" w:rsidR="005C1219" w:rsidRPr="0050256C" w:rsidRDefault="005C1219" w:rsidP="005C1219">
            <w:pPr>
              <w:jc w:val="center"/>
              <w:rPr>
                <w:rFonts w:ascii="Arial" w:hAnsi="Arial" w:cs="Arial"/>
                <w:sz w:val="18"/>
                <w:szCs w:val="18"/>
              </w:rPr>
            </w:pPr>
          </w:p>
        </w:tc>
        <w:tc>
          <w:tcPr>
            <w:tcW w:w="1141" w:type="dxa"/>
            <w:vMerge/>
            <w:tcBorders>
              <w:top w:val="single" w:sz="8" w:space="0" w:color="auto"/>
              <w:left w:val="nil"/>
              <w:bottom w:val="single" w:sz="8" w:space="0" w:color="auto"/>
              <w:right w:val="single" w:sz="8" w:space="0" w:color="auto"/>
            </w:tcBorders>
            <w:shd w:val="clear" w:color="000000" w:fill="FFFFFF"/>
            <w:noWrap/>
            <w:vAlign w:val="center"/>
          </w:tcPr>
          <w:p w14:paraId="7F70E4D0" w14:textId="77777777" w:rsidR="005C1219" w:rsidRPr="0050256C" w:rsidRDefault="005C1219" w:rsidP="005C1219">
            <w:pPr>
              <w:jc w:val="center"/>
              <w:rPr>
                <w:rFonts w:ascii="Arial" w:hAnsi="Arial" w:cs="Arial"/>
                <w:sz w:val="18"/>
                <w:szCs w:val="18"/>
              </w:rPr>
            </w:pPr>
          </w:p>
        </w:tc>
        <w:tc>
          <w:tcPr>
            <w:tcW w:w="1208" w:type="dxa"/>
            <w:vMerge/>
            <w:tcBorders>
              <w:top w:val="single" w:sz="8" w:space="0" w:color="auto"/>
              <w:left w:val="nil"/>
              <w:bottom w:val="single" w:sz="8" w:space="0" w:color="auto"/>
              <w:right w:val="single" w:sz="8" w:space="0" w:color="auto"/>
            </w:tcBorders>
            <w:shd w:val="clear" w:color="000000" w:fill="FFF2CC"/>
            <w:noWrap/>
            <w:vAlign w:val="center"/>
          </w:tcPr>
          <w:p w14:paraId="2907096F" w14:textId="77777777" w:rsidR="005C1219" w:rsidRPr="0050256C" w:rsidRDefault="005C1219" w:rsidP="005C1219">
            <w:pPr>
              <w:jc w:val="center"/>
              <w:rPr>
                <w:rFonts w:ascii="Arial" w:hAnsi="Arial" w:cs="Arial"/>
                <w:sz w:val="18"/>
                <w:szCs w:val="18"/>
              </w:rPr>
            </w:pPr>
          </w:p>
        </w:tc>
      </w:tr>
      <w:tr w:rsidR="005C1219" w:rsidRPr="0050256C" w14:paraId="0CBCBA5B" w14:textId="77777777" w:rsidTr="00136D35">
        <w:trPr>
          <w:trHeight w:val="570"/>
        </w:trPr>
        <w:tc>
          <w:tcPr>
            <w:tcW w:w="1530" w:type="dxa"/>
            <w:vMerge/>
            <w:tcBorders>
              <w:top w:val="single" w:sz="8" w:space="0" w:color="auto"/>
              <w:left w:val="single" w:sz="8" w:space="0" w:color="auto"/>
              <w:bottom w:val="single" w:sz="8" w:space="0" w:color="auto"/>
              <w:right w:val="single" w:sz="8" w:space="0" w:color="auto"/>
            </w:tcBorders>
            <w:shd w:val="clear" w:color="000000" w:fill="FFFFFF"/>
            <w:vAlign w:val="center"/>
          </w:tcPr>
          <w:p w14:paraId="6FDE6DA8" w14:textId="77777777" w:rsidR="005C1219" w:rsidRPr="0050256C" w:rsidRDefault="005C1219" w:rsidP="005C1219">
            <w:pPr>
              <w:jc w:val="center"/>
              <w:rPr>
                <w:rFonts w:ascii="Arial" w:hAnsi="Arial" w:cs="Arial"/>
                <w:b/>
                <w:sz w:val="18"/>
                <w:szCs w:val="18"/>
              </w:rPr>
            </w:pPr>
          </w:p>
        </w:tc>
        <w:tc>
          <w:tcPr>
            <w:tcW w:w="2260" w:type="dxa"/>
            <w:tcBorders>
              <w:top w:val="single" w:sz="8" w:space="0" w:color="auto"/>
              <w:left w:val="nil"/>
              <w:bottom w:val="single" w:sz="8" w:space="0" w:color="auto"/>
              <w:right w:val="single" w:sz="8" w:space="0" w:color="auto"/>
            </w:tcBorders>
            <w:shd w:val="clear" w:color="000000" w:fill="FFFFFF"/>
            <w:vAlign w:val="center"/>
          </w:tcPr>
          <w:p w14:paraId="4321C496" w14:textId="77777777" w:rsidR="005C1219" w:rsidRPr="009D77BE" w:rsidRDefault="005C1219" w:rsidP="005C1219">
            <w:pPr>
              <w:rPr>
                <w:rFonts w:ascii="Arial" w:hAnsi="Arial" w:cs="Arial"/>
                <w:sz w:val="18"/>
                <w:szCs w:val="18"/>
                <w:lang w:val="es-ES_tradnl"/>
              </w:rPr>
            </w:pPr>
            <w:r w:rsidRPr="009D77BE">
              <w:rPr>
                <w:rFonts w:ascii="Arial" w:hAnsi="Arial" w:cs="Arial"/>
                <w:sz w:val="18"/>
                <w:szCs w:val="18"/>
                <w:lang w:val="es-ES_tradnl"/>
              </w:rPr>
              <w:t>Tasa de crecimiento del ingreso promedio de egresados de IEST públicos</w:t>
            </w:r>
          </w:p>
        </w:tc>
        <w:tc>
          <w:tcPr>
            <w:tcW w:w="1210" w:type="dxa"/>
            <w:tcBorders>
              <w:top w:val="single" w:sz="8" w:space="0" w:color="auto"/>
              <w:left w:val="nil"/>
              <w:bottom w:val="single" w:sz="8" w:space="0" w:color="auto"/>
              <w:right w:val="single" w:sz="8" w:space="0" w:color="auto"/>
            </w:tcBorders>
            <w:shd w:val="clear" w:color="000000" w:fill="FFF2CC"/>
            <w:noWrap/>
            <w:vAlign w:val="center"/>
          </w:tcPr>
          <w:p w14:paraId="017F8065" w14:textId="77777777" w:rsidR="005C1219" w:rsidRPr="0050256C" w:rsidRDefault="005C1219" w:rsidP="005C1219">
            <w:pPr>
              <w:jc w:val="center"/>
              <w:rPr>
                <w:rFonts w:ascii="Arial" w:hAnsi="Arial" w:cs="Arial"/>
                <w:sz w:val="18"/>
                <w:szCs w:val="18"/>
              </w:rPr>
            </w:pPr>
            <w:r>
              <w:rPr>
                <w:rFonts w:ascii="Arial" w:hAnsi="Arial" w:cs="Arial"/>
                <w:sz w:val="18"/>
                <w:szCs w:val="18"/>
              </w:rPr>
              <w:t>1%</w:t>
            </w:r>
          </w:p>
        </w:tc>
        <w:tc>
          <w:tcPr>
            <w:tcW w:w="1072" w:type="dxa"/>
            <w:tcBorders>
              <w:top w:val="single" w:sz="8" w:space="0" w:color="auto"/>
              <w:left w:val="nil"/>
              <w:bottom w:val="single" w:sz="8" w:space="0" w:color="auto"/>
              <w:right w:val="single" w:sz="8" w:space="0" w:color="auto"/>
            </w:tcBorders>
            <w:shd w:val="clear" w:color="000000" w:fill="FFFFFF"/>
            <w:noWrap/>
            <w:vAlign w:val="center"/>
          </w:tcPr>
          <w:p w14:paraId="136D4443" w14:textId="77777777" w:rsidR="005C1219" w:rsidRPr="0050256C" w:rsidRDefault="005C1219" w:rsidP="005C1219">
            <w:pPr>
              <w:jc w:val="center"/>
              <w:rPr>
                <w:rFonts w:ascii="Arial" w:hAnsi="Arial" w:cs="Arial"/>
                <w:sz w:val="18"/>
                <w:szCs w:val="18"/>
              </w:rPr>
            </w:pPr>
            <w:r>
              <w:rPr>
                <w:rFonts w:ascii="Arial" w:hAnsi="Arial" w:cs="Arial"/>
                <w:sz w:val="18"/>
                <w:szCs w:val="18"/>
              </w:rPr>
              <w:t>3%</w:t>
            </w:r>
          </w:p>
        </w:tc>
        <w:tc>
          <w:tcPr>
            <w:tcW w:w="1178" w:type="dxa"/>
            <w:tcBorders>
              <w:top w:val="single" w:sz="8" w:space="0" w:color="auto"/>
              <w:left w:val="nil"/>
              <w:bottom w:val="single" w:sz="8" w:space="0" w:color="auto"/>
              <w:right w:val="single" w:sz="8" w:space="0" w:color="auto"/>
            </w:tcBorders>
            <w:shd w:val="clear" w:color="000000" w:fill="FFF2CC"/>
            <w:noWrap/>
            <w:vAlign w:val="center"/>
          </w:tcPr>
          <w:p w14:paraId="61E08034" w14:textId="77777777" w:rsidR="005C1219" w:rsidRPr="0050256C" w:rsidRDefault="005C1219" w:rsidP="005C1219">
            <w:pPr>
              <w:jc w:val="center"/>
              <w:rPr>
                <w:rFonts w:ascii="Arial" w:hAnsi="Arial" w:cs="Arial"/>
                <w:sz w:val="18"/>
                <w:szCs w:val="18"/>
              </w:rPr>
            </w:pPr>
            <w:r>
              <w:rPr>
                <w:rFonts w:ascii="Arial" w:hAnsi="Arial" w:cs="Arial"/>
                <w:sz w:val="18"/>
                <w:szCs w:val="18"/>
              </w:rPr>
              <w:t>5%</w:t>
            </w:r>
          </w:p>
        </w:tc>
        <w:tc>
          <w:tcPr>
            <w:tcW w:w="1170" w:type="dxa"/>
            <w:vMerge/>
            <w:tcBorders>
              <w:top w:val="single" w:sz="8" w:space="0" w:color="auto"/>
              <w:left w:val="nil"/>
              <w:bottom w:val="single" w:sz="8" w:space="0" w:color="auto"/>
              <w:right w:val="single" w:sz="8" w:space="0" w:color="auto"/>
            </w:tcBorders>
            <w:shd w:val="clear" w:color="000000" w:fill="FFF2CC"/>
            <w:noWrap/>
            <w:vAlign w:val="center"/>
          </w:tcPr>
          <w:p w14:paraId="7CA32344" w14:textId="77777777" w:rsidR="005C1219" w:rsidRPr="0050256C" w:rsidRDefault="005C1219" w:rsidP="005C1219">
            <w:pPr>
              <w:jc w:val="center"/>
              <w:rPr>
                <w:rFonts w:ascii="Arial" w:hAnsi="Arial" w:cs="Arial"/>
                <w:sz w:val="18"/>
                <w:szCs w:val="18"/>
              </w:rPr>
            </w:pPr>
          </w:p>
        </w:tc>
        <w:tc>
          <w:tcPr>
            <w:tcW w:w="1141" w:type="dxa"/>
            <w:vMerge/>
            <w:tcBorders>
              <w:top w:val="single" w:sz="8" w:space="0" w:color="auto"/>
              <w:left w:val="nil"/>
              <w:bottom w:val="single" w:sz="8" w:space="0" w:color="auto"/>
              <w:right w:val="single" w:sz="8" w:space="0" w:color="auto"/>
            </w:tcBorders>
            <w:shd w:val="clear" w:color="000000" w:fill="FFFFFF"/>
            <w:noWrap/>
            <w:vAlign w:val="center"/>
          </w:tcPr>
          <w:p w14:paraId="198CDE18" w14:textId="77777777" w:rsidR="005C1219" w:rsidRPr="0050256C" w:rsidRDefault="005C1219" w:rsidP="005C1219">
            <w:pPr>
              <w:jc w:val="center"/>
              <w:rPr>
                <w:rFonts w:ascii="Arial" w:hAnsi="Arial" w:cs="Arial"/>
                <w:sz w:val="18"/>
                <w:szCs w:val="18"/>
              </w:rPr>
            </w:pPr>
          </w:p>
        </w:tc>
        <w:tc>
          <w:tcPr>
            <w:tcW w:w="1208" w:type="dxa"/>
            <w:vMerge/>
            <w:tcBorders>
              <w:top w:val="single" w:sz="8" w:space="0" w:color="auto"/>
              <w:left w:val="nil"/>
              <w:bottom w:val="single" w:sz="8" w:space="0" w:color="auto"/>
              <w:right w:val="single" w:sz="8" w:space="0" w:color="auto"/>
            </w:tcBorders>
            <w:shd w:val="clear" w:color="000000" w:fill="FFF2CC"/>
            <w:noWrap/>
            <w:vAlign w:val="center"/>
          </w:tcPr>
          <w:p w14:paraId="4C30F1E5" w14:textId="77777777" w:rsidR="005C1219" w:rsidRPr="0050256C" w:rsidRDefault="005C1219" w:rsidP="005C1219">
            <w:pPr>
              <w:jc w:val="center"/>
              <w:rPr>
                <w:rFonts w:ascii="Arial" w:hAnsi="Arial" w:cs="Arial"/>
                <w:sz w:val="18"/>
                <w:szCs w:val="18"/>
              </w:rPr>
            </w:pPr>
          </w:p>
        </w:tc>
      </w:tr>
    </w:tbl>
    <w:p w14:paraId="3F45F892" w14:textId="77777777" w:rsidR="00AE43EB" w:rsidRDefault="00AE43EB" w:rsidP="0051764E">
      <w:pPr>
        <w:pStyle w:val="ListParagraph"/>
        <w:spacing w:before="120"/>
        <w:ind w:left="0"/>
        <w:jc w:val="both"/>
        <w:rPr>
          <w:rFonts w:ascii="Arial" w:hAnsi="Arial" w:cs="Arial"/>
          <w:b/>
          <w:color w:val="000000"/>
          <w:sz w:val="20"/>
          <w:szCs w:val="18"/>
          <w:lang w:val="en-US" w:eastAsia="en-US"/>
        </w:rPr>
      </w:pPr>
    </w:p>
    <w:p w14:paraId="7A5DC5C3" w14:textId="77777777" w:rsidR="000E13EB" w:rsidRPr="00D535D7" w:rsidRDefault="000E13EB" w:rsidP="000E13EB">
      <w:pPr>
        <w:numPr>
          <w:ilvl w:val="0"/>
          <w:numId w:val="1"/>
        </w:numPr>
        <w:spacing w:before="120"/>
        <w:ind w:left="0"/>
        <w:contextualSpacing/>
        <w:jc w:val="both"/>
        <w:rPr>
          <w:rFonts w:ascii="Arial" w:eastAsia="Arial" w:hAnsi="Arial" w:cs="Arial"/>
          <w:b/>
        </w:rPr>
      </w:pPr>
      <w:r w:rsidRPr="00D535D7">
        <w:rPr>
          <w:rFonts w:ascii="Arial" w:eastAsia="Arial" w:hAnsi="Arial" w:cs="Arial"/>
          <w:b/>
        </w:rPr>
        <w:t>Conclusiones</w:t>
      </w:r>
    </w:p>
    <w:p w14:paraId="7A78CA0A" w14:textId="77777777" w:rsidR="000E13EB" w:rsidRPr="00A43491" w:rsidRDefault="000E13EB" w:rsidP="000E13EB">
      <w:pPr>
        <w:pStyle w:val="ListParagraph"/>
        <w:ind w:left="0"/>
        <w:rPr>
          <w:rFonts w:ascii="Arial" w:hAnsi="Arial" w:cs="Arial"/>
        </w:rPr>
      </w:pPr>
    </w:p>
    <w:p w14:paraId="06EBD9BF" w14:textId="77777777" w:rsidR="000E13EB" w:rsidRPr="000E13EB" w:rsidRDefault="000E13EB" w:rsidP="00E4455F">
      <w:pPr>
        <w:pStyle w:val="ListParagraph"/>
        <w:numPr>
          <w:ilvl w:val="0"/>
          <w:numId w:val="2"/>
        </w:numPr>
        <w:tabs>
          <w:tab w:val="left" w:pos="360"/>
        </w:tabs>
        <w:ind w:left="0" w:hanging="450"/>
        <w:jc w:val="both"/>
        <w:rPr>
          <w:rFonts w:ascii="Arial" w:eastAsia="Arial" w:hAnsi="Arial" w:cs="Arial"/>
          <w:sz w:val="22"/>
          <w:szCs w:val="22"/>
        </w:rPr>
      </w:pPr>
      <w:r w:rsidRPr="000E13EB">
        <w:rPr>
          <w:rFonts w:ascii="Arial" w:eastAsia="Arial" w:hAnsi="Arial" w:cs="Arial"/>
          <w:sz w:val="22"/>
          <w:szCs w:val="22"/>
        </w:rPr>
        <w:t>El presente análisis económico de la operación Programa para la Mejora de la Calidad y Pertinencia de los Servicios de Educación Superior Universitaria y Tecnológica a Nivel Nacional</w:t>
      </w:r>
      <w:r w:rsidR="00962A59">
        <w:rPr>
          <w:rFonts w:ascii="Arial" w:eastAsia="Arial" w:hAnsi="Arial" w:cs="Arial"/>
          <w:sz w:val="22"/>
          <w:szCs w:val="22"/>
        </w:rPr>
        <w:t xml:space="preserve"> </w:t>
      </w:r>
      <w:r w:rsidRPr="000E13EB">
        <w:rPr>
          <w:rFonts w:ascii="Arial" w:eastAsia="Arial" w:hAnsi="Arial" w:cs="Arial"/>
          <w:sz w:val="22"/>
          <w:szCs w:val="22"/>
        </w:rPr>
        <w:t>concluye que los beneficios esperados de la implementación del programa superan los costos del mismo, incluso ante el uso de su</w:t>
      </w:r>
      <w:r w:rsidR="00557421">
        <w:rPr>
          <w:rFonts w:ascii="Arial" w:eastAsia="Arial" w:hAnsi="Arial" w:cs="Arial"/>
          <w:sz w:val="22"/>
          <w:szCs w:val="22"/>
        </w:rPr>
        <w:t>puestos sumamente conservadores.</w:t>
      </w:r>
      <w:r w:rsidR="00557421" w:rsidRPr="000E13EB">
        <w:rPr>
          <w:rFonts w:ascii="Arial" w:eastAsia="Arial" w:hAnsi="Arial" w:cs="Arial"/>
          <w:sz w:val="22"/>
          <w:szCs w:val="22"/>
        </w:rPr>
        <w:t xml:space="preserve"> </w:t>
      </w:r>
    </w:p>
    <w:p w14:paraId="210D2E75" w14:textId="77777777" w:rsidR="000E13EB" w:rsidRPr="000E13EB" w:rsidRDefault="000E13EB" w:rsidP="00962A59">
      <w:pPr>
        <w:pStyle w:val="ListParagraph"/>
        <w:tabs>
          <w:tab w:val="left" w:pos="360"/>
        </w:tabs>
        <w:ind w:left="0"/>
        <w:jc w:val="both"/>
        <w:rPr>
          <w:rFonts w:ascii="Arial" w:eastAsia="Arial" w:hAnsi="Arial" w:cs="Arial"/>
          <w:sz w:val="22"/>
          <w:szCs w:val="22"/>
        </w:rPr>
      </w:pPr>
    </w:p>
    <w:p w14:paraId="11BC0F94" w14:textId="74952F57" w:rsidR="000E13EB" w:rsidRPr="00EA564F" w:rsidRDefault="00EA564F" w:rsidP="00E4455F">
      <w:pPr>
        <w:pStyle w:val="ListParagraph"/>
        <w:numPr>
          <w:ilvl w:val="0"/>
          <w:numId w:val="2"/>
        </w:numPr>
        <w:tabs>
          <w:tab w:val="left" w:pos="360"/>
        </w:tabs>
        <w:ind w:left="0" w:hanging="450"/>
        <w:jc w:val="both"/>
        <w:rPr>
          <w:rFonts w:ascii="Arial" w:eastAsia="Arial" w:hAnsi="Arial" w:cs="Arial"/>
          <w:sz w:val="22"/>
          <w:szCs w:val="22"/>
        </w:rPr>
      </w:pPr>
      <w:r w:rsidRPr="00EA564F">
        <w:rPr>
          <w:rFonts w:ascii="Arial" w:eastAsia="Arial" w:hAnsi="Arial" w:cs="Arial"/>
          <w:sz w:val="22"/>
          <w:szCs w:val="22"/>
        </w:rPr>
        <w:t xml:space="preserve">Con la implementación del componente </w:t>
      </w:r>
      <w:r w:rsidR="00A01AF6">
        <w:rPr>
          <w:rFonts w:ascii="Arial" w:eastAsia="Arial" w:hAnsi="Arial" w:cs="Arial"/>
          <w:sz w:val="22"/>
          <w:szCs w:val="22"/>
        </w:rPr>
        <w:t xml:space="preserve">2 </w:t>
      </w:r>
      <w:r w:rsidRPr="00EA564F">
        <w:rPr>
          <w:rFonts w:ascii="Arial" w:eastAsia="Arial" w:hAnsi="Arial" w:cs="Arial"/>
          <w:sz w:val="22"/>
          <w:szCs w:val="22"/>
        </w:rPr>
        <w:t xml:space="preserve">de </w:t>
      </w:r>
      <w:r w:rsidR="00962A59" w:rsidRPr="00962A59">
        <w:rPr>
          <w:rFonts w:ascii="Arial" w:eastAsia="Arial" w:hAnsi="Arial" w:cs="Arial"/>
          <w:sz w:val="22"/>
          <w:szCs w:val="22"/>
        </w:rPr>
        <w:t xml:space="preserve">Fortalecimiento de la gestión institucional de las </w:t>
      </w:r>
      <w:r w:rsidR="00274642">
        <w:rPr>
          <w:rFonts w:ascii="Arial" w:eastAsia="Arial" w:hAnsi="Arial" w:cs="Arial"/>
          <w:sz w:val="22"/>
          <w:szCs w:val="22"/>
        </w:rPr>
        <w:t>IES</w:t>
      </w:r>
      <w:r w:rsidR="00962A59" w:rsidRPr="00962A59">
        <w:rPr>
          <w:rFonts w:ascii="Arial" w:eastAsia="Arial" w:hAnsi="Arial" w:cs="Arial"/>
          <w:sz w:val="22"/>
          <w:szCs w:val="22"/>
        </w:rPr>
        <w:t xml:space="preserve"> públicas</w:t>
      </w:r>
      <w:r>
        <w:rPr>
          <w:rFonts w:ascii="Arial" w:eastAsia="Arial" w:hAnsi="Arial" w:cs="Arial"/>
          <w:sz w:val="22"/>
          <w:szCs w:val="22"/>
        </w:rPr>
        <w:t xml:space="preserve">, </w:t>
      </w:r>
      <w:r w:rsidRPr="00EA564F">
        <w:rPr>
          <w:rFonts w:ascii="Arial" w:eastAsia="Arial" w:hAnsi="Arial" w:cs="Arial"/>
          <w:sz w:val="22"/>
          <w:szCs w:val="22"/>
        </w:rPr>
        <w:t>los</w:t>
      </w:r>
      <w:r w:rsidR="000E13EB" w:rsidRPr="00EA564F">
        <w:rPr>
          <w:rFonts w:ascii="Arial" w:eastAsia="Arial" w:hAnsi="Arial" w:cs="Arial"/>
          <w:sz w:val="22"/>
          <w:szCs w:val="22"/>
        </w:rPr>
        <w:t xml:space="preserve"> egresados de universidades e IEST públicas, tendrían una menor probabilidad de entrar al mercado informal </w:t>
      </w:r>
      <w:r w:rsidR="00634AFD">
        <w:rPr>
          <w:rFonts w:ascii="Arial" w:eastAsia="Arial" w:hAnsi="Arial" w:cs="Arial"/>
          <w:sz w:val="22"/>
          <w:szCs w:val="22"/>
        </w:rPr>
        <w:t>y</w:t>
      </w:r>
      <w:bookmarkStart w:id="6" w:name="_GoBack"/>
      <w:bookmarkEnd w:id="6"/>
      <w:r w:rsidR="00634AFD">
        <w:rPr>
          <w:rFonts w:ascii="Arial" w:eastAsia="Arial" w:hAnsi="Arial" w:cs="Arial"/>
          <w:sz w:val="22"/>
          <w:szCs w:val="22"/>
        </w:rPr>
        <w:t xml:space="preserve"> de quedar desempleados </w:t>
      </w:r>
      <w:r w:rsidR="000E13EB" w:rsidRPr="00EA564F">
        <w:rPr>
          <w:rFonts w:ascii="Arial" w:eastAsia="Arial" w:hAnsi="Arial" w:cs="Arial"/>
          <w:sz w:val="22"/>
          <w:szCs w:val="22"/>
        </w:rPr>
        <w:t>y percibirían mayores ing</w:t>
      </w:r>
      <w:r w:rsidR="0041357C">
        <w:rPr>
          <w:rFonts w:ascii="Arial" w:eastAsia="Arial" w:hAnsi="Arial" w:cs="Arial"/>
          <w:sz w:val="22"/>
          <w:szCs w:val="22"/>
        </w:rPr>
        <w:t>resos</w:t>
      </w:r>
      <w:r w:rsidR="000E13EB" w:rsidRPr="00EA564F">
        <w:rPr>
          <w:rFonts w:ascii="Arial" w:eastAsia="Arial" w:hAnsi="Arial" w:cs="Arial"/>
          <w:sz w:val="22"/>
          <w:szCs w:val="22"/>
        </w:rPr>
        <w:t xml:space="preserve">. Para el componente </w:t>
      </w:r>
      <w:r w:rsidR="00A01AF6">
        <w:rPr>
          <w:rFonts w:ascii="Arial" w:eastAsia="Arial" w:hAnsi="Arial" w:cs="Arial"/>
          <w:sz w:val="22"/>
          <w:szCs w:val="22"/>
        </w:rPr>
        <w:t xml:space="preserve">3 </w:t>
      </w:r>
      <w:r w:rsidR="000E13EB" w:rsidRPr="00EA564F">
        <w:rPr>
          <w:rFonts w:ascii="Arial" w:eastAsia="Arial" w:hAnsi="Arial" w:cs="Arial"/>
          <w:sz w:val="22"/>
          <w:szCs w:val="22"/>
        </w:rPr>
        <w:t xml:space="preserve">de </w:t>
      </w:r>
      <w:r w:rsidR="00962A59" w:rsidRPr="00962A59">
        <w:rPr>
          <w:rFonts w:ascii="Arial" w:eastAsia="Arial" w:hAnsi="Arial" w:cs="Arial"/>
          <w:sz w:val="22"/>
          <w:szCs w:val="22"/>
        </w:rPr>
        <w:t xml:space="preserve">Mejora de la infraestructura y equipamiento de las </w:t>
      </w:r>
      <w:r w:rsidR="00274642">
        <w:rPr>
          <w:rFonts w:ascii="Arial" w:eastAsia="Arial" w:hAnsi="Arial" w:cs="Arial"/>
          <w:sz w:val="22"/>
          <w:szCs w:val="22"/>
        </w:rPr>
        <w:t>IES</w:t>
      </w:r>
      <w:r w:rsidR="00962A59" w:rsidRPr="00962A59">
        <w:rPr>
          <w:rFonts w:ascii="Arial" w:eastAsia="Arial" w:hAnsi="Arial" w:cs="Arial"/>
          <w:sz w:val="22"/>
          <w:szCs w:val="22"/>
        </w:rPr>
        <w:t xml:space="preserve"> pública</w:t>
      </w:r>
      <w:r w:rsidR="00A01AF6">
        <w:rPr>
          <w:rFonts w:ascii="Arial" w:eastAsia="Arial" w:hAnsi="Arial" w:cs="Arial"/>
          <w:sz w:val="22"/>
          <w:szCs w:val="22"/>
        </w:rPr>
        <w:t>s</w:t>
      </w:r>
      <w:r w:rsidR="000E13EB" w:rsidRPr="00EA564F">
        <w:rPr>
          <w:rFonts w:ascii="Arial" w:eastAsia="Arial" w:hAnsi="Arial" w:cs="Arial"/>
          <w:sz w:val="22"/>
          <w:szCs w:val="22"/>
        </w:rPr>
        <w:t xml:space="preserve">, los beneficiarios de las siete universidades y dos IEST </w:t>
      </w:r>
      <w:r w:rsidR="00962A59">
        <w:rPr>
          <w:rFonts w:ascii="Arial" w:eastAsia="Arial" w:hAnsi="Arial" w:cs="Arial"/>
          <w:sz w:val="22"/>
          <w:szCs w:val="22"/>
        </w:rPr>
        <w:t xml:space="preserve">intervenidas </w:t>
      </w:r>
      <w:r w:rsidR="000E13EB" w:rsidRPr="00EA564F">
        <w:rPr>
          <w:rFonts w:ascii="Arial" w:eastAsia="Arial" w:hAnsi="Arial" w:cs="Arial"/>
          <w:sz w:val="22"/>
          <w:szCs w:val="22"/>
        </w:rPr>
        <w:t>tendrían acceso a infraestructura de calidad y pertinente que les permiti</w:t>
      </w:r>
      <w:r w:rsidR="00962A59">
        <w:rPr>
          <w:rFonts w:ascii="Arial" w:eastAsia="Arial" w:hAnsi="Arial" w:cs="Arial"/>
          <w:sz w:val="22"/>
          <w:szCs w:val="22"/>
        </w:rPr>
        <w:t xml:space="preserve">ría potenciar su aprendizaje y </w:t>
      </w:r>
      <w:r w:rsidR="000E13EB" w:rsidRPr="00EA564F">
        <w:rPr>
          <w:rFonts w:ascii="Arial" w:eastAsia="Arial" w:hAnsi="Arial" w:cs="Arial"/>
          <w:sz w:val="22"/>
          <w:szCs w:val="22"/>
        </w:rPr>
        <w:t xml:space="preserve">esto se </w:t>
      </w:r>
      <w:r w:rsidR="00962A59">
        <w:rPr>
          <w:rFonts w:ascii="Arial" w:eastAsia="Arial" w:hAnsi="Arial" w:cs="Arial"/>
          <w:sz w:val="22"/>
          <w:szCs w:val="22"/>
        </w:rPr>
        <w:t>traduciría</w:t>
      </w:r>
      <w:r w:rsidR="000E13EB" w:rsidRPr="00EA564F">
        <w:rPr>
          <w:rFonts w:ascii="Arial" w:eastAsia="Arial" w:hAnsi="Arial" w:cs="Arial"/>
          <w:sz w:val="22"/>
          <w:szCs w:val="22"/>
        </w:rPr>
        <w:t xml:space="preserve"> en una mayor empleabilidad en el mercado laboral y con mayores ingresos. La provisión en conjunto de los dos componentes señalados, el </w:t>
      </w:r>
      <w:r w:rsidR="00A01AF6">
        <w:rPr>
          <w:rFonts w:ascii="Arial" w:eastAsia="Arial" w:hAnsi="Arial" w:cs="Arial"/>
          <w:sz w:val="22"/>
          <w:szCs w:val="22"/>
        </w:rPr>
        <w:t xml:space="preserve">componente 1 </w:t>
      </w:r>
      <w:r w:rsidR="000E13EB" w:rsidRPr="00EA564F">
        <w:rPr>
          <w:rFonts w:ascii="Arial" w:eastAsia="Arial" w:hAnsi="Arial" w:cs="Arial"/>
          <w:sz w:val="22"/>
          <w:szCs w:val="22"/>
        </w:rPr>
        <w:t xml:space="preserve">de </w:t>
      </w:r>
      <w:r w:rsidR="00962A59" w:rsidRPr="00962A59">
        <w:rPr>
          <w:rFonts w:ascii="Arial" w:eastAsia="Arial" w:hAnsi="Arial" w:cs="Arial"/>
          <w:sz w:val="22"/>
          <w:szCs w:val="22"/>
        </w:rPr>
        <w:t>Generación de conocimiento e información para un mejor diseño de las políticas de fomento de la calidad y la pertinencia</w:t>
      </w:r>
      <w:r w:rsidR="00A01AF6">
        <w:rPr>
          <w:rFonts w:ascii="Arial" w:eastAsia="Arial" w:hAnsi="Arial" w:cs="Arial"/>
          <w:sz w:val="22"/>
          <w:szCs w:val="22"/>
        </w:rPr>
        <w:t>,</w:t>
      </w:r>
      <w:r w:rsidR="000E13EB" w:rsidRPr="00EA564F">
        <w:rPr>
          <w:rFonts w:ascii="Arial" w:eastAsia="Arial" w:hAnsi="Arial" w:cs="Arial"/>
          <w:sz w:val="22"/>
          <w:szCs w:val="22"/>
        </w:rPr>
        <w:t xml:space="preserve"> y </w:t>
      </w:r>
      <w:r w:rsidR="00A01AF6">
        <w:rPr>
          <w:rFonts w:ascii="Arial" w:eastAsia="Arial" w:hAnsi="Arial" w:cs="Arial"/>
          <w:sz w:val="22"/>
          <w:szCs w:val="22"/>
        </w:rPr>
        <w:t xml:space="preserve">las actividades </w:t>
      </w:r>
      <w:r w:rsidR="000E13EB" w:rsidRPr="00EA564F">
        <w:rPr>
          <w:rFonts w:ascii="Arial" w:eastAsia="Arial" w:hAnsi="Arial" w:cs="Arial"/>
          <w:sz w:val="22"/>
          <w:szCs w:val="22"/>
        </w:rPr>
        <w:t>de gestión, monitoreo, evaluación y auditoría, permite asegurar la eficiencia en la provisión del programa.</w:t>
      </w:r>
    </w:p>
    <w:p w14:paraId="76AE68C5" w14:textId="77777777" w:rsidR="000E13EB" w:rsidRPr="000E13EB" w:rsidRDefault="000E13EB" w:rsidP="00962A59">
      <w:pPr>
        <w:pStyle w:val="ListParagraph"/>
        <w:tabs>
          <w:tab w:val="left" w:pos="360"/>
        </w:tabs>
        <w:ind w:left="0"/>
        <w:jc w:val="both"/>
        <w:rPr>
          <w:rFonts w:ascii="Arial" w:eastAsia="Arial" w:hAnsi="Arial" w:cs="Arial"/>
          <w:sz w:val="22"/>
          <w:szCs w:val="22"/>
        </w:rPr>
      </w:pPr>
    </w:p>
    <w:p w14:paraId="1BF63CC3" w14:textId="3BA857DB" w:rsidR="000E13EB" w:rsidRPr="000E13EB" w:rsidRDefault="000E13EB" w:rsidP="00E4455F">
      <w:pPr>
        <w:pStyle w:val="ListParagraph"/>
        <w:numPr>
          <w:ilvl w:val="0"/>
          <w:numId w:val="2"/>
        </w:numPr>
        <w:tabs>
          <w:tab w:val="left" w:pos="360"/>
        </w:tabs>
        <w:ind w:left="0" w:hanging="450"/>
        <w:jc w:val="both"/>
        <w:rPr>
          <w:rFonts w:ascii="Arial" w:eastAsia="Arial" w:hAnsi="Arial" w:cs="Arial"/>
          <w:sz w:val="22"/>
          <w:szCs w:val="22"/>
        </w:rPr>
      </w:pPr>
      <w:r w:rsidRPr="000E13EB">
        <w:rPr>
          <w:rFonts w:ascii="Arial" w:eastAsia="Arial" w:hAnsi="Arial" w:cs="Arial"/>
          <w:sz w:val="22"/>
          <w:szCs w:val="22"/>
        </w:rPr>
        <w:t xml:space="preserve">Considerando que los beneficios superan a los costos de la intervención y que según nuestros cálculos el </w:t>
      </w:r>
      <w:r w:rsidRPr="00684A7D">
        <w:rPr>
          <w:rFonts w:ascii="Arial" w:eastAsia="Arial" w:hAnsi="Arial" w:cs="Arial"/>
          <w:sz w:val="22"/>
          <w:szCs w:val="22"/>
        </w:rPr>
        <w:t>pro</w:t>
      </w:r>
      <w:r w:rsidR="006B1119" w:rsidRPr="00684A7D">
        <w:rPr>
          <w:rFonts w:ascii="Arial" w:eastAsia="Arial" w:hAnsi="Arial" w:cs="Arial"/>
          <w:sz w:val="22"/>
          <w:szCs w:val="22"/>
        </w:rPr>
        <w:t>yecto tendría un VPN de US$</w:t>
      </w:r>
      <w:r w:rsidR="0099044A" w:rsidRPr="00684A7D">
        <w:rPr>
          <w:rFonts w:ascii="Arial" w:eastAsia="Arial" w:hAnsi="Arial" w:cs="Arial"/>
          <w:sz w:val="22"/>
          <w:szCs w:val="22"/>
        </w:rPr>
        <w:t>205,</w:t>
      </w:r>
      <w:r w:rsidR="00136D35" w:rsidRPr="00684A7D">
        <w:rPr>
          <w:rFonts w:ascii="Arial" w:eastAsia="Arial" w:hAnsi="Arial" w:cs="Arial"/>
          <w:sz w:val="22"/>
          <w:szCs w:val="22"/>
        </w:rPr>
        <w:t>5</w:t>
      </w:r>
      <w:r w:rsidRPr="00684A7D">
        <w:rPr>
          <w:rFonts w:ascii="Arial" w:eastAsia="Arial" w:hAnsi="Arial" w:cs="Arial"/>
          <w:sz w:val="22"/>
          <w:szCs w:val="22"/>
        </w:rPr>
        <w:t xml:space="preserve"> millones y </w:t>
      </w:r>
      <w:r w:rsidR="00ED5B2A" w:rsidRPr="00684A7D">
        <w:rPr>
          <w:rFonts w:ascii="Arial" w:eastAsia="Arial" w:hAnsi="Arial" w:cs="Arial"/>
          <w:sz w:val="22"/>
          <w:szCs w:val="22"/>
        </w:rPr>
        <w:t>una ratio</w:t>
      </w:r>
      <w:r w:rsidRPr="00684A7D">
        <w:rPr>
          <w:rFonts w:ascii="Arial" w:eastAsia="Arial" w:hAnsi="Arial" w:cs="Arial"/>
          <w:sz w:val="22"/>
          <w:szCs w:val="22"/>
        </w:rPr>
        <w:t xml:space="preserve"> </w:t>
      </w:r>
      <w:r w:rsidR="00ED5B2A" w:rsidRPr="00684A7D">
        <w:rPr>
          <w:rFonts w:ascii="Arial" w:eastAsia="Arial" w:hAnsi="Arial" w:cs="Arial"/>
          <w:sz w:val="22"/>
          <w:szCs w:val="22"/>
        </w:rPr>
        <w:t xml:space="preserve">Beneficio - Costo </w:t>
      </w:r>
      <w:r w:rsidR="006B1119" w:rsidRPr="00684A7D">
        <w:rPr>
          <w:rFonts w:ascii="Arial" w:eastAsia="Arial" w:hAnsi="Arial" w:cs="Arial"/>
          <w:sz w:val="22"/>
          <w:szCs w:val="22"/>
        </w:rPr>
        <w:t xml:space="preserve">de </w:t>
      </w:r>
      <w:r w:rsidR="0099044A" w:rsidRPr="00684A7D">
        <w:rPr>
          <w:rFonts w:ascii="Arial" w:eastAsia="Arial" w:hAnsi="Arial" w:cs="Arial"/>
          <w:sz w:val="22"/>
          <w:szCs w:val="22"/>
        </w:rPr>
        <w:t>2,2</w:t>
      </w:r>
      <w:r w:rsidRPr="00684A7D">
        <w:rPr>
          <w:rFonts w:ascii="Arial" w:eastAsia="Arial" w:hAnsi="Arial" w:cs="Arial"/>
          <w:sz w:val="22"/>
          <w:szCs w:val="22"/>
        </w:rPr>
        <w:t>, desde un punto de vista económico se considera viable la implementación del programa.</w:t>
      </w:r>
    </w:p>
    <w:p w14:paraId="5085CD98" w14:textId="77777777" w:rsidR="00A01AF6" w:rsidRDefault="00A01AF6" w:rsidP="0051764E">
      <w:pPr>
        <w:pStyle w:val="ListParagraph"/>
        <w:spacing w:before="120"/>
        <w:ind w:left="0"/>
        <w:jc w:val="both"/>
        <w:rPr>
          <w:rFonts w:ascii="Arial" w:hAnsi="Arial" w:cs="Arial"/>
          <w:b/>
        </w:rPr>
      </w:pPr>
    </w:p>
    <w:p w14:paraId="382D285F" w14:textId="77777777" w:rsidR="00A01AF6" w:rsidRDefault="00A01AF6" w:rsidP="0051764E">
      <w:pPr>
        <w:pStyle w:val="ListParagraph"/>
        <w:spacing w:before="120"/>
        <w:ind w:left="0"/>
        <w:jc w:val="both"/>
        <w:rPr>
          <w:rFonts w:ascii="Arial" w:hAnsi="Arial" w:cs="Arial"/>
          <w:b/>
        </w:rPr>
      </w:pPr>
    </w:p>
    <w:p w14:paraId="37728A6C" w14:textId="77777777" w:rsidR="0051764E" w:rsidRPr="00A43491" w:rsidRDefault="0051764E" w:rsidP="0051764E">
      <w:pPr>
        <w:pStyle w:val="ListParagraph"/>
        <w:spacing w:before="120"/>
        <w:ind w:left="0"/>
        <w:jc w:val="both"/>
        <w:rPr>
          <w:rFonts w:ascii="Arial" w:hAnsi="Arial" w:cs="Arial"/>
        </w:rPr>
      </w:pPr>
      <w:r w:rsidRPr="00A43491">
        <w:rPr>
          <w:rFonts w:ascii="Arial" w:hAnsi="Arial" w:cs="Arial"/>
          <w:b/>
        </w:rPr>
        <w:t>Referencias</w:t>
      </w:r>
    </w:p>
    <w:p w14:paraId="403516C5" w14:textId="77777777" w:rsidR="0051764E" w:rsidRPr="00FF2ACA" w:rsidRDefault="0051764E" w:rsidP="00FF2ACA">
      <w:pPr>
        <w:pStyle w:val="ListParagraph"/>
        <w:tabs>
          <w:tab w:val="left" w:pos="180"/>
        </w:tabs>
        <w:spacing w:before="120"/>
        <w:ind w:left="180"/>
        <w:jc w:val="both"/>
        <w:rPr>
          <w:rFonts w:ascii="Arial" w:hAnsi="Arial" w:cs="Arial"/>
          <w:sz w:val="22"/>
          <w:szCs w:val="22"/>
          <w:lang w:val="en-US"/>
        </w:rPr>
      </w:pPr>
    </w:p>
    <w:p w14:paraId="4FB74C9F" w14:textId="77777777" w:rsidR="00FF2ACA" w:rsidRP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Abdullah, M. &amp; Tarí, J. (2012) “The Influence of Soft and Hard Quality Management Practices on Performance”. Asia Pacific Management Review 17(2) (2012) 177-193 177</w:t>
      </w:r>
    </w:p>
    <w:p w14:paraId="46034D6C" w14:textId="77777777" w:rsidR="00FF2ACA" w:rsidRPr="00FF2ACA" w:rsidRDefault="00FF2ACA" w:rsidP="00FF2ACA">
      <w:pPr>
        <w:pStyle w:val="ListParagraph"/>
        <w:tabs>
          <w:tab w:val="left" w:pos="180"/>
        </w:tabs>
        <w:spacing w:before="120"/>
        <w:ind w:left="180"/>
        <w:jc w:val="both"/>
        <w:rPr>
          <w:rFonts w:ascii="Arial" w:hAnsi="Arial" w:cs="Arial"/>
          <w:sz w:val="22"/>
          <w:szCs w:val="22"/>
          <w:lang w:val="en-US"/>
        </w:rPr>
      </w:pPr>
    </w:p>
    <w:p w14:paraId="07BE0406" w14:textId="77777777" w:rsidR="00FF2ACA" w:rsidRP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Acemoglu, D., Gallego, F. &amp; Robinson, J. (2014) “Institutions, Human Capital, and Development”. The Annual Review of Economics, vol. 6, 875–912</w:t>
      </w:r>
    </w:p>
    <w:p w14:paraId="1FAD2137" w14:textId="77777777" w:rsidR="00FF2ACA" w:rsidRPr="00FF2ACA" w:rsidRDefault="00FF2ACA" w:rsidP="00FF2ACA">
      <w:pPr>
        <w:pStyle w:val="ListParagraph"/>
        <w:tabs>
          <w:tab w:val="left" w:pos="180"/>
        </w:tabs>
        <w:spacing w:before="120"/>
        <w:ind w:left="180"/>
        <w:jc w:val="both"/>
        <w:rPr>
          <w:rFonts w:ascii="Arial" w:hAnsi="Arial" w:cs="Arial"/>
          <w:sz w:val="22"/>
          <w:szCs w:val="22"/>
          <w:lang w:val="en-US"/>
        </w:rPr>
      </w:pPr>
    </w:p>
    <w:p w14:paraId="4FDFF5F3" w14:textId="77777777" w:rsidR="00FF2ACA" w:rsidRP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Adamolekyn, L. (1983) “Public Administration: A Nigerian and Comparative Perspective”. New York: Longman.</w:t>
      </w:r>
    </w:p>
    <w:p w14:paraId="5DEB433E" w14:textId="77777777" w:rsidR="00FF2ACA" w:rsidRPr="00FF2ACA" w:rsidRDefault="00FF2ACA" w:rsidP="00FF2ACA">
      <w:pPr>
        <w:pStyle w:val="ListParagraph"/>
        <w:tabs>
          <w:tab w:val="left" w:pos="180"/>
        </w:tabs>
        <w:spacing w:before="120"/>
        <w:ind w:left="180"/>
        <w:jc w:val="both"/>
        <w:rPr>
          <w:rFonts w:ascii="Arial" w:hAnsi="Arial" w:cs="Arial"/>
          <w:sz w:val="22"/>
          <w:szCs w:val="22"/>
          <w:lang w:val="en-US"/>
        </w:rPr>
      </w:pPr>
    </w:p>
    <w:p w14:paraId="257F84CE" w14:textId="684E2C62" w:rsid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Agarwal, S., Driscoll, J., Gabaix, X. &amp; Laibson, D. (2009) “The Age of Reason: Financial Decisions over the Lifecycle with Implications for Regulation”. Brookings Papers on Economic Activity. Fall, 51-117.</w:t>
      </w:r>
    </w:p>
    <w:p w14:paraId="39D40CD9" w14:textId="77777777" w:rsidR="00873353" w:rsidRPr="00873353" w:rsidRDefault="00873353" w:rsidP="00873353">
      <w:pPr>
        <w:pStyle w:val="ListParagraph"/>
        <w:rPr>
          <w:rFonts w:ascii="Arial" w:hAnsi="Arial" w:cs="Arial"/>
          <w:sz w:val="22"/>
          <w:szCs w:val="22"/>
          <w:lang w:val="en-US"/>
        </w:rPr>
      </w:pPr>
    </w:p>
    <w:p w14:paraId="2816A02A" w14:textId="27C8B351" w:rsidR="00FF2ACA" w:rsidRPr="00873353" w:rsidRDefault="00873353" w:rsidP="006920D3">
      <w:pPr>
        <w:pStyle w:val="ListParagraph"/>
        <w:numPr>
          <w:ilvl w:val="0"/>
          <w:numId w:val="21"/>
        </w:numPr>
        <w:tabs>
          <w:tab w:val="left" w:pos="180"/>
        </w:tabs>
        <w:spacing w:before="120"/>
        <w:ind w:left="180" w:hanging="540"/>
        <w:jc w:val="both"/>
        <w:rPr>
          <w:rFonts w:ascii="Arial" w:hAnsi="Arial" w:cs="Arial"/>
          <w:sz w:val="22"/>
          <w:szCs w:val="22"/>
          <w:lang w:val="en-US"/>
        </w:rPr>
      </w:pPr>
      <w:r w:rsidRPr="00FB6C97">
        <w:rPr>
          <w:rFonts w:ascii="Arial" w:hAnsi="Arial" w:cs="Arial"/>
          <w:sz w:val="22"/>
          <w:szCs w:val="22"/>
          <w:lang w:val="pt-BR"/>
        </w:rPr>
        <w:t xml:space="preserve">Almeida, R. and P. Carneiro (2009). </w:t>
      </w:r>
      <w:r>
        <w:rPr>
          <w:rFonts w:ascii="Arial" w:hAnsi="Arial" w:cs="Arial"/>
          <w:sz w:val="22"/>
          <w:szCs w:val="22"/>
          <w:lang w:val="en-US"/>
        </w:rPr>
        <w:t>“</w:t>
      </w:r>
      <w:r w:rsidRPr="00873353">
        <w:rPr>
          <w:rFonts w:ascii="Arial" w:hAnsi="Arial" w:cs="Arial"/>
          <w:sz w:val="22"/>
          <w:szCs w:val="22"/>
          <w:lang w:val="en-US"/>
        </w:rPr>
        <w:t>Enforcement of labor regulation and firm size</w:t>
      </w:r>
      <w:r>
        <w:rPr>
          <w:rFonts w:ascii="Arial" w:hAnsi="Arial" w:cs="Arial"/>
          <w:sz w:val="22"/>
          <w:szCs w:val="22"/>
          <w:lang w:val="en-US"/>
        </w:rPr>
        <w:t>”</w:t>
      </w:r>
      <w:r w:rsidRPr="00873353">
        <w:rPr>
          <w:rFonts w:ascii="Arial" w:hAnsi="Arial" w:cs="Arial"/>
          <w:sz w:val="22"/>
          <w:szCs w:val="22"/>
          <w:lang w:val="en-US"/>
        </w:rPr>
        <w:t>. Journal of Comparative Economics 37 (1), 28 – 46.</w:t>
      </w:r>
      <w:r w:rsidRPr="00873353">
        <w:rPr>
          <w:rFonts w:ascii="Arial" w:hAnsi="Arial" w:cs="Arial"/>
          <w:sz w:val="22"/>
          <w:szCs w:val="22"/>
          <w:lang w:val="en-US"/>
        </w:rPr>
        <w:cr/>
      </w:r>
    </w:p>
    <w:p w14:paraId="070B301F" w14:textId="77777777" w:rsid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Amaral, P. &amp; Quintin E. (2006) “A competitive model of the informal sector”. Journal of Monetary Economics, 2006, vol. 53, issue 7, 1541-1553</w:t>
      </w:r>
    </w:p>
    <w:p w14:paraId="5341C5F7" w14:textId="77777777" w:rsidR="00992007" w:rsidRPr="00992007" w:rsidRDefault="00992007" w:rsidP="00992007">
      <w:pPr>
        <w:pStyle w:val="ListParagraph"/>
        <w:rPr>
          <w:rFonts w:ascii="Arial" w:hAnsi="Arial" w:cs="Arial"/>
          <w:sz w:val="22"/>
          <w:szCs w:val="22"/>
          <w:lang w:val="en-US"/>
        </w:rPr>
      </w:pPr>
    </w:p>
    <w:p w14:paraId="1D54711F" w14:textId="77777777" w:rsidR="00992007" w:rsidRDefault="00992007"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Pr>
          <w:rFonts w:ascii="Arial" w:hAnsi="Arial" w:cs="Arial"/>
          <w:sz w:val="22"/>
          <w:szCs w:val="22"/>
          <w:lang w:val="en-US"/>
        </w:rPr>
        <w:t>Banco Mundial (2017) “At a Crossroads: Higher Education in Latin America and The Caribbean”. BM Washington, DC.</w:t>
      </w:r>
    </w:p>
    <w:p w14:paraId="4B846450" w14:textId="77777777" w:rsidR="00733CBA" w:rsidRPr="00733CBA" w:rsidRDefault="00733CBA" w:rsidP="00733CBA">
      <w:pPr>
        <w:pStyle w:val="ListParagraph"/>
        <w:rPr>
          <w:rFonts w:ascii="Arial" w:hAnsi="Arial" w:cs="Arial"/>
          <w:sz w:val="22"/>
          <w:szCs w:val="22"/>
          <w:lang w:val="en-US"/>
        </w:rPr>
      </w:pPr>
    </w:p>
    <w:p w14:paraId="310937CA" w14:textId="77777777" w:rsidR="00733CBA" w:rsidRPr="00FF2ACA" w:rsidRDefault="00733CB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Pr>
          <w:rFonts w:ascii="Arial" w:hAnsi="Arial" w:cs="Arial"/>
          <w:sz w:val="22"/>
          <w:szCs w:val="22"/>
          <w:lang w:val="en-US"/>
        </w:rPr>
        <w:lastRenderedPageBreak/>
        <w:t>Benos, N. &amp; Stelios Karagiannis</w:t>
      </w:r>
      <w:r w:rsidR="00992007">
        <w:rPr>
          <w:rFonts w:ascii="Arial" w:hAnsi="Arial" w:cs="Arial"/>
          <w:sz w:val="22"/>
          <w:szCs w:val="22"/>
          <w:lang w:val="en-US"/>
        </w:rPr>
        <w:t xml:space="preserve"> (2016) “Do education quality and spillovers matter? Evidence on human capital and productivity in Greece”. The International Journal of Theoretical and Applied Papers on Economic Modelling, 2016.</w:t>
      </w:r>
    </w:p>
    <w:p w14:paraId="49AE1B58" w14:textId="77777777" w:rsidR="0051764E" w:rsidRPr="00FF2ACA" w:rsidRDefault="0051764E" w:rsidP="00FF2ACA">
      <w:pPr>
        <w:pStyle w:val="ListParagraph"/>
        <w:tabs>
          <w:tab w:val="left" w:pos="180"/>
        </w:tabs>
        <w:spacing w:before="120"/>
        <w:ind w:left="180"/>
        <w:jc w:val="both"/>
        <w:rPr>
          <w:rFonts w:ascii="Arial" w:hAnsi="Arial" w:cs="Arial"/>
          <w:sz w:val="22"/>
          <w:szCs w:val="22"/>
          <w:lang w:val="en-US"/>
        </w:rPr>
      </w:pPr>
    </w:p>
    <w:p w14:paraId="375BEC71" w14:textId="77777777" w:rsidR="0051764E" w:rsidRPr="00246010" w:rsidRDefault="0051764E" w:rsidP="00246010">
      <w:pPr>
        <w:pStyle w:val="ListParagraph"/>
        <w:numPr>
          <w:ilvl w:val="0"/>
          <w:numId w:val="21"/>
        </w:numPr>
        <w:tabs>
          <w:tab w:val="left" w:pos="180"/>
        </w:tabs>
        <w:spacing w:before="120"/>
        <w:ind w:left="180" w:hanging="540"/>
        <w:jc w:val="both"/>
        <w:rPr>
          <w:rFonts w:ascii="Arial" w:hAnsi="Arial" w:cs="Arial"/>
          <w:sz w:val="22"/>
          <w:szCs w:val="22"/>
          <w:lang w:val="en-US"/>
        </w:rPr>
      </w:pPr>
      <w:r w:rsidRPr="0051764E">
        <w:rPr>
          <w:rFonts w:ascii="Arial" w:hAnsi="Arial" w:cs="Arial"/>
          <w:sz w:val="22"/>
          <w:szCs w:val="22"/>
          <w:lang w:val="en-US"/>
        </w:rPr>
        <w:t>BID (2012). “Guidelines for the Economic Analysis of IDB-Funded Projects”. Office of Strategic Planning and Development Effectiveness. BID Washington, DC.</w:t>
      </w:r>
    </w:p>
    <w:p w14:paraId="5C8A6CFC" w14:textId="77777777" w:rsidR="00270EE4" w:rsidRPr="00FF2ACA" w:rsidRDefault="00270EE4" w:rsidP="00FF2ACA">
      <w:pPr>
        <w:pStyle w:val="ListParagraph"/>
        <w:tabs>
          <w:tab w:val="left" w:pos="180"/>
        </w:tabs>
        <w:spacing w:before="120"/>
        <w:ind w:left="180"/>
        <w:jc w:val="both"/>
        <w:rPr>
          <w:rFonts w:ascii="Arial" w:hAnsi="Arial" w:cs="Arial"/>
          <w:sz w:val="22"/>
          <w:szCs w:val="22"/>
          <w:lang w:val="en-US"/>
        </w:rPr>
      </w:pPr>
    </w:p>
    <w:p w14:paraId="4583F9C1" w14:textId="77777777" w:rsidR="00246010" w:rsidRPr="00FF2ACA" w:rsidRDefault="00246010" w:rsidP="00246010">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 xml:space="preserve">Calderón, C. &amp; Chong, A. (2004) "Volume and Quality of Infrastructure and the Distribution of Income: An Empirical Investigation." Review of Income and Wealth 50, 87-105. </w:t>
      </w:r>
    </w:p>
    <w:p w14:paraId="731144C4" w14:textId="77777777" w:rsidR="00246010" w:rsidRPr="00FF2ACA" w:rsidRDefault="00246010" w:rsidP="001F464F">
      <w:pPr>
        <w:pStyle w:val="ListParagraph"/>
        <w:tabs>
          <w:tab w:val="left" w:pos="180"/>
        </w:tabs>
        <w:spacing w:before="120"/>
        <w:ind w:left="180"/>
        <w:jc w:val="both"/>
        <w:rPr>
          <w:rFonts w:ascii="Arial" w:hAnsi="Arial" w:cs="Arial"/>
          <w:sz w:val="22"/>
          <w:szCs w:val="22"/>
          <w:lang w:val="en-US"/>
        </w:rPr>
      </w:pPr>
    </w:p>
    <w:p w14:paraId="7888035E" w14:textId="77777777" w:rsidR="00C07453" w:rsidRDefault="00270EE4" w:rsidP="00C07453">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Calderón, C., &amp; Servén, L. “</w:t>
      </w:r>
      <w:r w:rsidR="00444728" w:rsidRPr="00FF2ACA">
        <w:rPr>
          <w:rFonts w:ascii="Arial" w:hAnsi="Arial" w:cs="Arial"/>
          <w:sz w:val="22"/>
          <w:szCs w:val="22"/>
          <w:lang w:val="en-US"/>
        </w:rPr>
        <w:t>The Effects of Infrastructure Development on Growth and Income Distribution</w:t>
      </w:r>
      <w:r w:rsidRPr="00FF2ACA">
        <w:rPr>
          <w:rFonts w:ascii="Arial" w:hAnsi="Arial" w:cs="Arial"/>
          <w:sz w:val="22"/>
          <w:szCs w:val="22"/>
          <w:lang w:val="en-US"/>
        </w:rPr>
        <w:t>”</w:t>
      </w:r>
      <w:r w:rsidR="00444728" w:rsidRPr="00FF2ACA">
        <w:rPr>
          <w:rFonts w:ascii="Arial" w:hAnsi="Arial" w:cs="Arial"/>
          <w:sz w:val="22"/>
          <w:szCs w:val="22"/>
          <w:lang w:val="en-US"/>
        </w:rPr>
        <w:t>. Working Pap</w:t>
      </w:r>
      <w:r w:rsidR="00C07453">
        <w:rPr>
          <w:rFonts w:ascii="Arial" w:hAnsi="Arial" w:cs="Arial"/>
          <w:sz w:val="22"/>
          <w:szCs w:val="22"/>
          <w:lang w:val="en-US"/>
        </w:rPr>
        <w:t>ers Series 3400. The World Bank.</w:t>
      </w:r>
    </w:p>
    <w:p w14:paraId="14F62A35" w14:textId="77777777" w:rsidR="00C07453" w:rsidRPr="00C07453" w:rsidRDefault="00C07453" w:rsidP="001F464F">
      <w:pPr>
        <w:pStyle w:val="ListParagraph"/>
        <w:tabs>
          <w:tab w:val="left" w:pos="180"/>
        </w:tabs>
        <w:spacing w:before="120"/>
        <w:ind w:left="180"/>
        <w:jc w:val="both"/>
        <w:rPr>
          <w:rFonts w:ascii="Arial" w:hAnsi="Arial" w:cs="Arial"/>
          <w:sz w:val="22"/>
          <w:szCs w:val="22"/>
          <w:lang w:val="en-US"/>
        </w:rPr>
      </w:pPr>
    </w:p>
    <w:p w14:paraId="6AC04AF0" w14:textId="2ACE362F" w:rsidR="00873353" w:rsidRDefault="00C07453" w:rsidP="00873353">
      <w:pPr>
        <w:pStyle w:val="ListParagraph"/>
        <w:numPr>
          <w:ilvl w:val="0"/>
          <w:numId w:val="21"/>
        </w:numPr>
        <w:tabs>
          <w:tab w:val="left" w:pos="180"/>
        </w:tabs>
        <w:spacing w:before="120"/>
        <w:ind w:left="180" w:hanging="540"/>
        <w:jc w:val="both"/>
        <w:rPr>
          <w:rFonts w:ascii="Arial" w:hAnsi="Arial" w:cs="Arial"/>
          <w:sz w:val="22"/>
          <w:szCs w:val="22"/>
          <w:lang w:val="en-US"/>
        </w:rPr>
      </w:pPr>
      <w:r w:rsidRPr="00C07453">
        <w:rPr>
          <w:rFonts w:ascii="Arial" w:hAnsi="Arial" w:cs="Arial"/>
          <w:sz w:val="22"/>
          <w:szCs w:val="22"/>
          <w:lang w:val="en-US"/>
        </w:rPr>
        <w:t>Caselli, F., Ponticelli, J. &amp; Rossi, F. (2014) “A New Dataset on Mincerian Returns”.</w:t>
      </w:r>
    </w:p>
    <w:p w14:paraId="44017893" w14:textId="77777777" w:rsidR="00570798" w:rsidRPr="00570798" w:rsidRDefault="00570798" w:rsidP="00570798">
      <w:pPr>
        <w:pStyle w:val="ListParagraph"/>
        <w:tabs>
          <w:tab w:val="left" w:pos="180"/>
        </w:tabs>
        <w:spacing w:before="120"/>
        <w:ind w:left="180"/>
        <w:jc w:val="both"/>
        <w:rPr>
          <w:rFonts w:ascii="Arial" w:hAnsi="Arial" w:cs="Arial"/>
          <w:sz w:val="22"/>
          <w:szCs w:val="22"/>
          <w:lang w:val="en-US"/>
        </w:rPr>
      </w:pPr>
    </w:p>
    <w:p w14:paraId="0F59AFBC" w14:textId="77777777" w:rsidR="00FF2ACA" w:rsidRPr="00FF2ACA" w:rsidRDefault="00FF2ACA" w:rsidP="00C07453">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 xml:space="preserve">Cho, E., &amp; McLean, G. N. (2004) “What we discovered about NHRD and what it means for HRD”. Advances in Developing Human Resources, 6(3), 382-393. </w:t>
      </w:r>
    </w:p>
    <w:p w14:paraId="7EB785E0" w14:textId="77777777" w:rsidR="00FF2ACA" w:rsidRPr="00FF2ACA" w:rsidRDefault="00FF2ACA" w:rsidP="001F464F">
      <w:pPr>
        <w:pStyle w:val="ListParagraph"/>
        <w:tabs>
          <w:tab w:val="left" w:pos="180"/>
        </w:tabs>
        <w:spacing w:before="120"/>
        <w:ind w:left="180"/>
        <w:jc w:val="both"/>
        <w:rPr>
          <w:rFonts w:ascii="Arial" w:hAnsi="Arial" w:cs="Arial"/>
          <w:sz w:val="22"/>
          <w:szCs w:val="22"/>
          <w:lang w:val="en-US"/>
        </w:rPr>
      </w:pPr>
    </w:p>
    <w:p w14:paraId="6197E69F" w14:textId="77777777" w:rsidR="00FF2ACA" w:rsidRP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Dauda (2010) “Employee’s Market Orientation and Business Performance in Nigeria: Analysis of Small Business Enterprises in Lagos State”. International Journal of Marketing Studies Vol. 2, No. 2.</w:t>
      </w:r>
    </w:p>
    <w:p w14:paraId="1B775288" w14:textId="77777777" w:rsidR="00270EE4" w:rsidRPr="00FF2ACA" w:rsidRDefault="00270EE4" w:rsidP="001F464F">
      <w:pPr>
        <w:pStyle w:val="ListParagraph"/>
        <w:tabs>
          <w:tab w:val="left" w:pos="180"/>
        </w:tabs>
        <w:spacing w:before="120"/>
        <w:ind w:left="180"/>
        <w:jc w:val="both"/>
        <w:rPr>
          <w:rFonts w:ascii="Arial" w:hAnsi="Arial" w:cs="Arial"/>
          <w:sz w:val="22"/>
          <w:szCs w:val="22"/>
          <w:lang w:val="en-US"/>
        </w:rPr>
      </w:pPr>
    </w:p>
    <w:p w14:paraId="4BA5ED0B" w14:textId="0F427220" w:rsidR="00246010" w:rsidRDefault="00246010" w:rsidP="00246010">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De La Fuente, X., Vives, J. &amp; Dolado, R. (1995) “Infrastructure and Education as Instruments of Regional Policy: Evidence from Spain” Economic Policy, Vol. 10, No. 20, 13-51.</w:t>
      </w:r>
    </w:p>
    <w:p w14:paraId="388C1E76" w14:textId="77777777" w:rsidR="00570798" w:rsidRPr="00570798" w:rsidRDefault="00570798" w:rsidP="00570798">
      <w:pPr>
        <w:pStyle w:val="ListParagraph"/>
        <w:rPr>
          <w:rFonts w:ascii="Arial" w:hAnsi="Arial" w:cs="Arial"/>
          <w:sz w:val="22"/>
          <w:szCs w:val="22"/>
          <w:lang w:val="en-US"/>
        </w:rPr>
      </w:pPr>
    </w:p>
    <w:p w14:paraId="032100D2" w14:textId="6F46A6E1" w:rsidR="00570798" w:rsidRPr="00570798" w:rsidRDefault="00570798" w:rsidP="00570798">
      <w:pPr>
        <w:pStyle w:val="ListParagraph"/>
        <w:numPr>
          <w:ilvl w:val="0"/>
          <w:numId w:val="21"/>
        </w:numPr>
        <w:tabs>
          <w:tab w:val="left" w:pos="180"/>
        </w:tabs>
        <w:spacing w:before="120"/>
        <w:ind w:left="180" w:hanging="540"/>
        <w:jc w:val="both"/>
        <w:rPr>
          <w:rFonts w:ascii="Arial" w:hAnsi="Arial" w:cs="Arial"/>
          <w:sz w:val="22"/>
          <w:szCs w:val="22"/>
        </w:rPr>
      </w:pPr>
      <w:r w:rsidRPr="00570798">
        <w:rPr>
          <w:rFonts w:ascii="Arial" w:hAnsi="Arial" w:cs="Arial"/>
          <w:sz w:val="22"/>
          <w:szCs w:val="22"/>
          <w:lang w:val="en-US"/>
        </w:rPr>
        <w:t>De Paula, A. and J. A. Scheinkman (2010). Value-added taxes, chain effects, and informality. American</w:t>
      </w:r>
      <w:r w:rsidRPr="00570798">
        <w:rPr>
          <w:rFonts w:ascii="Arial" w:hAnsi="Arial" w:cs="Arial"/>
          <w:sz w:val="22"/>
          <w:szCs w:val="22"/>
        </w:rPr>
        <w:t xml:space="preserve"> Economic Journal: M</w:t>
      </w:r>
      <w:r>
        <w:rPr>
          <w:rFonts w:ascii="Arial" w:hAnsi="Arial" w:cs="Arial"/>
          <w:sz w:val="22"/>
          <w:szCs w:val="22"/>
        </w:rPr>
        <w:t>acroeconomics 2 (4), 195–221.</w:t>
      </w:r>
    </w:p>
    <w:p w14:paraId="37839D55" w14:textId="77777777" w:rsidR="00444728" w:rsidRPr="00FF2ACA" w:rsidRDefault="00444728" w:rsidP="001F464F">
      <w:pPr>
        <w:pStyle w:val="ListParagraph"/>
        <w:tabs>
          <w:tab w:val="left" w:pos="180"/>
        </w:tabs>
        <w:spacing w:before="120"/>
        <w:ind w:left="180"/>
        <w:jc w:val="both"/>
        <w:rPr>
          <w:rFonts w:ascii="Arial" w:hAnsi="Arial" w:cs="Arial"/>
          <w:sz w:val="22"/>
          <w:szCs w:val="22"/>
          <w:lang w:val="en-US"/>
        </w:rPr>
      </w:pPr>
    </w:p>
    <w:p w14:paraId="0813048C" w14:textId="1469EEBD" w:rsidR="008354BD" w:rsidRDefault="00246010" w:rsidP="0099044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Esfahani, H. &amp; Ramirez, M. (2003) “Institutions, infrastructure, and economic growth”. Journal of Development Economics, vol. 70, issue 2, 443-477.</w:t>
      </w:r>
    </w:p>
    <w:p w14:paraId="3EF895C3" w14:textId="54D5AB73" w:rsidR="008354BD" w:rsidRPr="0099044A" w:rsidRDefault="008354BD" w:rsidP="0099044A">
      <w:pPr>
        <w:pStyle w:val="ListParagraph"/>
        <w:tabs>
          <w:tab w:val="left" w:pos="180"/>
        </w:tabs>
        <w:spacing w:before="120"/>
        <w:ind w:left="180"/>
        <w:jc w:val="both"/>
        <w:rPr>
          <w:rFonts w:ascii="Arial" w:hAnsi="Arial" w:cs="Arial"/>
          <w:sz w:val="22"/>
          <w:szCs w:val="22"/>
          <w:lang w:val="en-US"/>
        </w:rPr>
      </w:pPr>
    </w:p>
    <w:p w14:paraId="5CA2173F" w14:textId="4651C966" w:rsidR="008354BD" w:rsidRPr="001821B3" w:rsidRDefault="008354BD" w:rsidP="0099044A">
      <w:pPr>
        <w:pStyle w:val="ListParagraph"/>
        <w:numPr>
          <w:ilvl w:val="0"/>
          <w:numId w:val="21"/>
        </w:numPr>
        <w:tabs>
          <w:tab w:val="left" w:pos="180"/>
        </w:tabs>
        <w:spacing w:before="120"/>
        <w:ind w:left="180" w:hanging="540"/>
        <w:jc w:val="both"/>
        <w:rPr>
          <w:rFonts w:ascii="Arial" w:hAnsi="Arial" w:cs="Arial"/>
          <w:sz w:val="22"/>
          <w:szCs w:val="22"/>
          <w:lang w:val="en-US"/>
        </w:rPr>
      </w:pPr>
      <w:r w:rsidRPr="001821B3">
        <w:rPr>
          <w:rFonts w:ascii="Arial" w:hAnsi="Arial" w:cs="Arial"/>
          <w:sz w:val="22"/>
          <w:szCs w:val="22"/>
          <w:lang w:val="en-US"/>
        </w:rPr>
        <w:t xml:space="preserve">Farber, H. (2004) </w:t>
      </w:r>
      <w:r>
        <w:rPr>
          <w:rFonts w:ascii="Arial" w:hAnsi="Arial" w:cs="Arial"/>
          <w:sz w:val="22"/>
          <w:szCs w:val="22"/>
          <w:lang w:val="en-US"/>
        </w:rPr>
        <w:t>“</w:t>
      </w:r>
      <w:r w:rsidRPr="001821B3">
        <w:rPr>
          <w:rFonts w:ascii="Arial" w:hAnsi="Arial" w:cs="Arial"/>
          <w:sz w:val="22"/>
          <w:szCs w:val="22"/>
          <w:lang w:val="en-US"/>
        </w:rPr>
        <w:t>Job Loss in the United States, 1981-2001</w:t>
      </w:r>
      <w:r>
        <w:rPr>
          <w:rFonts w:ascii="Arial" w:hAnsi="Arial" w:cs="Arial"/>
          <w:sz w:val="22"/>
          <w:szCs w:val="22"/>
          <w:lang w:val="en-US"/>
        </w:rPr>
        <w:t>”</w:t>
      </w:r>
      <w:r w:rsidRPr="001821B3">
        <w:rPr>
          <w:rFonts w:ascii="Arial" w:hAnsi="Arial" w:cs="Arial"/>
          <w:sz w:val="22"/>
          <w:szCs w:val="22"/>
          <w:lang w:val="en-US"/>
        </w:rPr>
        <w:t>. Research in Labor Economics 23, pp. 69-117.</w:t>
      </w:r>
    </w:p>
    <w:p w14:paraId="22285C57" w14:textId="77777777" w:rsidR="002D4E05" w:rsidRPr="0099044A" w:rsidRDefault="002D4E05" w:rsidP="0099044A">
      <w:pPr>
        <w:pStyle w:val="ListParagraph"/>
        <w:tabs>
          <w:tab w:val="left" w:pos="180"/>
        </w:tabs>
        <w:spacing w:before="120"/>
        <w:ind w:left="180"/>
        <w:jc w:val="both"/>
        <w:rPr>
          <w:rFonts w:ascii="Arial" w:hAnsi="Arial" w:cs="Arial"/>
          <w:sz w:val="22"/>
          <w:szCs w:val="22"/>
          <w:lang w:val="en-US"/>
        </w:rPr>
      </w:pPr>
    </w:p>
    <w:p w14:paraId="016B33F3" w14:textId="77777777" w:rsidR="002D4E05" w:rsidRPr="002D4E05" w:rsidRDefault="002D4E05" w:rsidP="002D4E05">
      <w:pPr>
        <w:pStyle w:val="ListParagraph"/>
        <w:numPr>
          <w:ilvl w:val="0"/>
          <w:numId w:val="21"/>
        </w:numPr>
        <w:tabs>
          <w:tab w:val="left" w:pos="180"/>
        </w:tabs>
        <w:spacing w:before="120"/>
        <w:ind w:left="180" w:hanging="540"/>
        <w:jc w:val="both"/>
        <w:rPr>
          <w:rFonts w:ascii="Arial" w:hAnsi="Arial" w:cs="Arial"/>
          <w:sz w:val="22"/>
          <w:szCs w:val="22"/>
          <w:lang w:val="en-US"/>
        </w:rPr>
      </w:pPr>
      <w:r w:rsidRPr="002D4E05">
        <w:rPr>
          <w:rFonts w:ascii="Arial" w:hAnsi="Arial" w:cs="Arial"/>
          <w:sz w:val="22"/>
          <w:szCs w:val="22"/>
          <w:lang w:val="en-US"/>
        </w:rPr>
        <w:t>Fields, Garry S. 1975. “Rural-Urban Migration, Urban Unemployment and Underemployment, and Job-Search Activity in LDC’s.” Journal of Development Economics 2 (June): 165-87.</w:t>
      </w:r>
    </w:p>
    <w:p w14:paraId="08B4A98D" w14:textId="77777777" w:rsidR="004D0670" w:rsidRPr="004D0670" w:rsidRDefault="004D0670" w:rsidP="0099044A">
      <w:pPr>
        <w:pStyle w:val="ListParagraph"/>
        <w:tabs>
          <w:tab w:val="left" w:pos="180"/>
        </w:tabs>
        <w:spacing w:before="120"/>
        <w:ind w:left="180"/>
        <w:jc w:val="both"/>
        <w:rPr>
          <w:rFonts w:ascii="Arial" w:hAnsi="Arial" w:cs="Arial"/>
          <w:sz w:val="22"/>
          <w:szCs w:val="22"/>
          <w:lang w:val="en-US"/>
        </w:rPr>
      </w:pPr>
    </w:p>
    <w:p w14:paraId="15D94983" w14:textId="77777777" w:rsidR="004D0670" w:rsidRPr="004D0670" w:rsidRDefault="009D1BE2" w:rsidP="004D0670">
      <w:pPr>
        <w:pStyle w:val="ListParagraph"/>
        <w:numPr>
          <w:ilvl w:val="0"/>
          <w:numId w:val="21"/>
        </w:numPr>
        <w:tabs>
          <w:tab w:val="left" w:pos="180"/>
        </w:tabs>
        <w:spacing w:before="120"/>
        <w:ind w:left="180" w:hanging="540"/>
        <w:jc w:val="both"/>
        <w:rPr>
          <w:rFonts w:ascii="Arial" w:hAnsi="Arial" w:cs="Arial"/>
          <w:sz w:val="22"/>
          <w:szCs w:val="22"/>
          <w:lang w:val="en-US"/>
        </w:rPr>
      </w:pPr>
      <w:r>
        <w:rPr>
          <w:rFonts w:ascii="Arial" w:hAnsi="Arial" w:cs="Arial"/>
          <w:sz w:val="22"/>
          <w:szCs w:val="22"/>
          <w:lang w:val="en-US"/>
        </w:rPr>
        <w:t>Gasparini, L. &amp;</w:t>
      </w:r>
      <w:r w:rsidR="004D0670" w:rsidRPr="004D0670">
        <w:rPr>
          <w:rFonts w:ascii="Arial" w:hAnsi="Arial" w:cs="Arial"/>
          <w:sz w:val="22"/>
          <w:szCs w:val="22"/>
          <w:lang w:val="en-US"/>
        </w:rPr>
        <w:t xml:space="preserve"> Tornarolli, L. (2009). “Labor Informality in Latin America and the Caribbean: Patterns and Trends from Household Survey Microdata”. Desarrollo y Sociedad. Primer Semestre de 2009. pp. 13-80. ISSN 0120-3584.</w:t>
      </w:r>
    </w:p>
    <w:p w14:paraId="4BE5E9EA" w14:textId="77777777" w:rsidR="00246010" w:rsidRPr="00FF2ACA" w:rsidRDefault="00246010" w:rsidP="001F464F">
      <w:pPr>
        <w:pStyle w:val="ListParagraph"/>
        <w:tabs>
          <w:tab w:val="left" w:pos="180"/>
        </w:tabs>
        <w:spacing w:before="120"/>
        <w:ind w:left="180"/>
        <w:jc w:val="both"/>
        <w:rPr>
          <w:rFonts w:ascii="Arial" w:hAnsi="Arial" w:cs="Arial"/>
          <w:sz w:val="22"/>
          <w:szCs w:val="22"/>
          <w:lang w:val="en-US"/>
        </w:rPr>
      </w:pPr>
    </w:p>
    <w:p w14:paraId="4E4B847F" w14:textId="77777777" w:rsidR="00CD4CB6" w:rsidRPr="00CD4CB6" w:rsidRDefault="00CD4CB6"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CD4CB6">
        <w:rPr>
          <w:rFonts w:ascii="Arial" w:hAnsi="Arial" w:cs="Arial"/>
          <w:sz w:val="22"/>
          <w:szCs w:val="22"/>
          <w:lang w:val="en-US"/>
        </w:rPr>
        <w:t>Glaeser, E., La Porta, R., Lopez, F. &amp; Shleifer, A. (2004) “Do Institutions Cause Growth?” Journal of Economic Growth. Vol. 9, </w:t>
      </w:r>
      <w:hyperlink r:id="rId8" w:history="1">
        <w:r w:rsidRPr="00CD4CB6">
          <w:rPr>
            <w:rFonts w:ascii="Arial" w:hAnsi="Arial" w:cs="Arial"/>
            <w:sz w:val="22"/>
            <w:szCs w:val="22"/>
            <w:lang w:val="en-US"/>
          </w:rPr>
          <w:t>Issue 3</w:t>
        </w:r>
      </w:hyperlink>
      <w:r w:rsidRPr="00CD4CB6">
        <w:rPr>
          <w:rFonts w:ascii="Arial" w:hAnsi="Arial" w:cs="Arial"/>
          <w:sz w:val="22"/>
          <w:szCs w:val="22"/>
          <w:lang w:val="en-US"/>
        </w:rPr>
        <w:t>, pp 271-303.</w:t>
      </w:r>
    </w:p>
    <w:p w14:paraId="4226CD0F" w14:textId="77777777" w:rsidR="00CD4CB6" w:rsidRPr="00CD4CB6" w:rsidRDefault="00CD4CB6" w:rsidP="001F464F">
      <w:pPr>
        <w:pStyle w:val="ListParagraph"/>
        <w:tabs>
          <w:tab w:val="left" w:pos="180"/>
        </w:tabs>
        <w:spacing w:before="120"/>
        <w:ind w:left="180"/>
        <w:jc w:val="both"/>
        <w:rPr>
          <w:rFonts w:ascii="Arial" w:hAnsi="Arial" w:cs="Arial"/>
          <w:sz w:val="22"/>
          <w:szCs w:val="22"/>
          <w:lang w:val="en-US"/>
        </w:rPr>
      </w:pPr>
    </w:p>
    <w:p w14:paraId="659598E1" w14:textId="77777777" w:rsidR="00FF2ACA" w:rsidRP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Gibbs, G. &amp; Coffey, D. (2000) “The impact of training of university teachers on their teaching skills, their approach to teaching and the approach to learning of their students”. The Institute for Learning and Teaching in Higher Education and SAGE Publications (London, Thousand Oaks, CA and New Delhi) Vol 5(1): 87–100.</w:t>
      </w:r>
    </w:p>
    <w:p w14:paraId="3716E72D" w14:textId="77777777" w:rsidR="00FF2ACA" w:rsidRPr="00FF2ACA" w:rsidRDefault="00FF2ACA" w:rsidP="001F464F">
      <w:pPr>
        <w:pStyle w:val="ListParagraph"/>
        <w:tabs>
          <w:tab w:val="left" w:pos="180"/>
        </w:tabs>
        <w:spacing w:before="120"/>
        <w:ind w:left="180"/>
        <w:jc w:val="both"/>
        <w:rPr>
          <w:rFonts w:ascii="Arial" w:hAnsi="Arial" w:cs="Arial"/>
          <w:sz w:val="22"/>
          <w:szCs w:val="22"/>
          <w:lang w:val="en-US"/>
        </w:rPr>
      </w:pPr>
    </w:p>
    <w:p w14:paraId="04AF715C" w14:textId="77777777" w:rsidR="00FF2ACA" w:rsidRP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lastRenderedPageBreak/>
        <w:t>Harland, J. (2013) “Facebook versus Blackboard for Supporting the Learning of Programming in a Fully Online Course: The Changing Face of Computing Education”. Learning and Teaching in Computing and Engineering (LaTiCE), 2013</w:t>
      </w:r>
    </w:p>
    <w:p w14:paraId="599C78E3" w14:textId="77777777" w:rsidR="00FF2ACA" w:rsidRPr="00FF2ACA" w:rsidRDefault="00FF2ACA" w:rsidP="001F464F">
      <w:pPr>
        <w:pStyle w:val="ListParagraph"/>
        <w:tabs>
          <w:tab w:val="left" w:pos="180"/>
        </w:tabs>
        <w:spacing w:before="120"/>
        <w:ind w:left="180"/>
        <w:jc w:val="both"/>
        <w:rPr>
          <w:rFonts w:ascii="Arial" w:hAnsi="Arial" w:cs="Arial"/>
          <w:sz w:val="22"/>
          <w:szCs w:val="22"/>
          <w:lang w:val="en-US"/>
        </w:rPr>
      </w:pPr>
    </w:p>
    <w:p w14:paraId="62D68B95" w14:textId="33DDDFDB" w:rsidR="00246010" w:rsidRPr="00FF2ACA" w:rsidRDefault="00246010" w:rsidP="00246010">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J</w:t>
      </w:r>
      <w:r w:rsidR="008354BD">
        <w:rPr>
          <w:rFonts w:ascii="Arial" w:hAnsi="Arial" w:cs="Arial"/>
          <w:sz w:val="22"/>
          <w:szCs w:val="22"/>
          <w:lang w:val="en-US"/>
        </w:rPr>
        <w:t>i</w:t>
      </w:r>
      <w:r w:rsidRPr="00FF2ACA">
        <w:rPr>
          <w:rFonts w:ascii="Arial" w:hAnsi="Arial" w:cs="Arial"/>
          <w:sz w:val="22"/>
          <w:szCs w:val="22"/>
          <w:lang w:val="en-US"/>
        </w:rPr>
        <w:t>ménez, A., Palmero, C., González, M., González, J. &amp; Jiménez, J. (2015) “The impact of educational levels on formal and informal entrepreneurship”. BRQ Business Research Quarterly Volume 18, Issue 3, July-September 2015, pages 204-212.</w:t>
      </w:r>
    </w:p>
    <w:p w14:paraId="5BB5BB47" w14:textId="77777777" w:rsidR="00444728" w:rsidRPr="00FF2ACA" w:rsidRDefault="00444728" w:rsidP="001F464F">
      <w:pPr>
        <w:pStyle w:val="ListParagraph"/>
        <w:tabs>
          <w:tab w:val="left" w:pos="180"/>
        </w:tabs>
        <w:spacing w:before="120"/>
        <w:ind w:left="180"/>
        <w:jc w:val="both"/>
        <w:rPr>
          <w:rFonts w:ascii="Arial" w:hAnsi="Arial" w:cs="Arial"/>
          <w:sz w:val="22"/>
          <w:szCs w:val="22"/>
          <w:lang w:val="en-US"/>
        </w:rPr>
      </w:pPr>
    </w:p>
    <w:p w14:paraId="65DE7F10" w14:textId="77777777" w:rsidR="00246010" w:rsidRPr="00F22036" w:rsidRDefault="00246010" w:rsidP="00246010">
      <w:pPr>
        <w:pStyle w:val="ListParagraph"/>
        <w:numPr>
          <w:ilvl w:val="0"/>
          <w:numId w:val="21"/>
        </w:numPr>
        <w:tabs>
          <w:tab w:val="left" w:pos="180"/>
        </w:tabs>
        <w:spacing w:before="120"/>
        <w:ind w:left="180" w:hanging="540"/>
        <w:jc w:val="both"/>
        <w:rPr>
          <w:rFonts w:ascii="Arial" w:hAnsi="Arial" w:cs="Arial"/>
          <w:sz w:val="22"/>
          <w:szCs w:val="22"/>
          <w:lang w:val="es-ES"/>
        </w:rPr>
      </w:pPr>
      <w:r w:rsidRPr="0099044A">
        <w:rPr>
          <w:rFonts w:ascii="Arial" w:hAnsi="Arial" w:cs="Arial"/>
          <w:sz w:val="22"/>
          <w:szCs w:val="22"/>
          <w:lang w:val="es-ES"/>
        </w:rPr>
        <w:t xml:space="preserve">Lavado, P., Martínez, J. &amp; Yamada, G. (2014) “Una promesa incumplida? </w:t>
      </w:r>
      <w:r w:rsidRPr="0047335D">
        <w:rPr>
          <w:rFonts w:ascii="Arial" w:hAnsi="Arial" w:cs="Arial"/>
          <w:sz w:val="22"/>
          <w:szCs w:val="22"/>
        </w:rPr>
        <w:t xml:space="preserve">La calidad de la educación superior universitaria y el subempleo profesional en el Perú”. </w:t>
      </w:r>
      <w:r w:rsidRPr="00F22036">
        <w:rPr>
          <w:rFonts w:ascii="Arial" w:hAnsi="Arial" w:cs="Arial"/>
          <w:sz w:val="22"/>
          <w:szCs w:val="22"/>
          <w:lang w:val="es-ES"/>
        </w:rPr>
        <w:t>Banco Central de Reserva del Perú, documento de trabajo N° 2014-021.</w:t>
      </w:r>
    </w:p>
    <w:p w14:paraId="23BD74B6" w14:textId="77777777" w:rsidR="002D4E05" w:rsidRPr="00F22036" w:rsidRDefault="002D4E05" w:rsidP="0099044A">
      <w:pPr>
        <w:pStyle w:val="ListParagraph"/>
        <w:tabs>
          <w:tab w:val="left" w:pos="180"/>
        </w:tabs>
        <w:spacing w:before="120"/>
        <w:ind w:left="180"/>
        <w:jc w:val="both"/>
        <w:rPr>
          <w:rFonts w:ascii="Arial" w:hAnsi="Arial" w:cs="Arial"/>
          <w:sz w:val="22"/>
          <w:szCs w:val="22"/>
          <w:lang w:val="es-ES"/>
        </w:rPr>
      </w:pPr>
    </w:p>
    <w:p w14:paraId="3633332C" w14:textId="77777777" w:rsidR="002D4E05" w:rsidRPr="002D4E05" w:rsidRDefault="002D4E05" w:rsidP="002D4E05">
      <w:pPr>
        <w:pStyle w:val="ListParagraph"/>
        <w:numPr>
          <w:ilvl w:val="0"/>
          <w:numId w:val="21"/>
        </w:numPr>
        <w:tabs>
          <w:tab w:val="left" w:pos="180"/>
        </w:tabs>
        <w:spacing w:before="120"/>
        <w:ind w:left="180" w:hanging="540"/>
        <w:jc w:val="both"/>
        <w:rPr>
          <w:rFonts w:ascii="Arial" w:hAnsi="Arial" w:cs="Arial"/>
          <w:sz w:val="22"/>
          <w:szCs w:val="22"/>
          <w:lang w:val="en-US"/>
        </w:rPr>
      </w:pPr>
      <w:r w:rsidRPr="0099044A">
        <w:rPr>
          <w:rFonts w:ascii="Arial" w:hAnsi="Arial" w:cs="Arial"/>
          <w:sz w:val="22"/>
          <w:szCs w:val="22"/>
          <w:lang w:val="es-ES"/>
        </w:rPr>
        <w:t xml:space="preserve">Loayza, N.; Servén, L. &amp; N. Sugawara (2010). </w:t>
      </w:r>
      <w:r w:rsidRPr="002D4E05">
        <w:rPr>
          <w:rFonts w:ascii="Arial" w:hAnsi="Arial" w:cs="Arial"/>
          <w:sz w:val="22"/>
          <w:szCs w:val="22"/>
          <w:lang w:val="en-US"/>
        </w:rPr>
        <w:t xml:space="preserve">“Informality in Latin America and the Caribbean”. </w:t>
      </w:r>
      <w:r>
        <w:rPr>
          <w:rFonts w:ascii="Arial" w:hAnsi="Arial" w:cs="Arial"/>
          <w:sz w:val="22"/>
          <w:szCs w:val="22"/>
          <w:lang w:val="en-US"/>
        </w:rPr>
        <w:t xml:space="preserve">Development Research Group, World Bank </w:t>
      </w:r>
    </w:p>
    <w:p w14:paraId="653EFCA5" w14:textId="77777777" w:rsidR="00FF2ACA" w:rsidRPr="00FF2ACA" w:rsidRDefault="00FF2ACA" w:rsidP="001F464F">
      <w:pPr>
        <w:pStyle w:val="ListParagraph"/>
        <w:tabs>
          <w:tab w:val="left" w:pos="180"/>
        </w:tabs>
        <w:spacing w:before="120"/>
        <w:ind w:left="180"/>
        <w:jc w:val="both"/>
        <w:rPr>
          <w:rFonts w:ascii="Arial" w:hAnsi="Arial" w:cs="Arial"/>
          <w:sz w:val="22"/>
          <w:szCs w:val="22"/>
          <w:lang w:val="en-US"/>
        </w:rPr>
      </w:pPr>
    </w:p>
    <w:p w14:paraId="3C6F21BB" w14:textId="368C29D8" w:rsid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Maloney, W. (1998) “Does informality imply segmentation in urban labor markets? Evidence from sectoral transitions in Mexico”. World Bank Economic Review Vol. 13, 275-302.</w:t>
      </w:r>
    </w:p>
    <w:p w14:paraId="6E41BD67" w14:textId="77777777" w:rsidR="008354BD" w:rsidRPr="0099044A" w:rsidRDefault="008354BD" w:rsidP="0099044A">
      <w:pPr>
        <w:pStyle w:val="ListParagraph"/>
        <w:tabs>
          <w:tab w:val="left" w:pos="180"/>
        </w:tabs>
        <w:spacing w:before="120"/>
        <w:ind w:left="180"/>
        <w:jc w:val="both"/>
        <w:rPr>
          <w:rFonts w:ascii="Arial" w:hAnsi="Arial" w:cs="Arial"/>
          <w:sz w:val="22"/>
          <w:szCs w:val="22"/>
          <w:lang w:val="en-US"/>
        </w:rPr>
      </w:pPr>
    </w:p>
    <w:p w14:paraId="2FC8CECB" w14:textId="28DEC5C3" w:rsidR="008354BD" w:rsidRPr="001821B3" w:rsidRDefault="008354BD" w:rsidP="0099044A">
      <w:pPr>
        <w:pStyle w:val="ListParagraph"/>
        <w:numPr>
          <w:ilvl w:val="0"/>
          <w:numId w:val="21"/>
        </w:numPr>
        <w:tabs>
          <w:tab w:val="left" w:pos="180"/>
        </w:tabs>
        <w:spacing w:before="120"/>
        <w:ind w:left="180" w:hanging="540"/>
        <w:jc w:val="both"/>
        <w:rPr>
          <w:rFonts w:ascii="Arial" w:hAnsi="Arial" w:cs="Arial"/>
          <w:sz w:val="22"/>
          <w:szCs w:val="22"/>
          <w:lang w:val="en-US"/>
        </w:rPr>
      </w:pPr>
      <w:r w:rsidRPr="001821B3">
        <w:rPr>
          <w:rFonts w:ascii="Arial" w:hAnsi="Arial" w:cs="Arial"/>
          <w:sz w:val="22"/>
          <w:szCs w:val="22"/>
          <w:lang w:val="en-US"/>
        </w:rPr>
        <w:t xml:space="preserve">Mincer, J. (1991) </w:t>
      </w:r>
      <w:r>
        <w:rPr>
          <w:rFonts w:ascii="Arial" w:hAnsi="Arial" w:cs="Arial"/>
          <w:sz w:val="22"/>
          <w:szCs w:val="22"/>
          <w:lang w:val="en-US"/>
        </w:rPr>
        <w:t>“</w:t>
      </w:r>
      <w:r w:rsidRPr="001821B3">
        <w:rPr>
          <w:rFonts w:ascii="Arial" w:hAnsi="Arial" w:cs="Arial"/>
          <w:sz w:val="22"/>
          <w:szCs w:val="22"/>
          <w:lang w:val="en-US"/>
        </w:rPr>
        <w:t>Education and Unemployment</w:t>
      </w:r>
      <w:r>
        <w:rPr>
          <w:rFonts w:ascii="Arial" w:hAnsi="Arial" w:cs="Arial"/>
          <w:sz w:val="22"/>
          <w:szCs w:val="22"/>
          <w:lang w:val="en-US"/>
        </w:rPr>
        <w:t>”</w:t>
      </w:r>
      <w:r w:rsidRPr="001821B3">
        <w:rPr>
          <w:rFonts w:ascii="Arial" w:hAnsi="Arial" w:cs="Arial"/>
          <w:sz w:val="22"/>
          <w:szCs w:val="22"/>
          <w:lang w:val="en-US"/>
        </w:rPr>
        <w:t>. NBER Working Paper No. 3838.</w:t>
      </w:r>
    </w:p>
    <w:p w14:paraId="0E6DC9F8" w14:textId="77777777" w:rsidR="00FF2ACA" w:rsidRPr="0099044A" w:rsidRDefault="00FF2ACA" w:rsidP="001F464F">
      <w:pPr>
        <w:pStyle w:val="ListParagraph"/>
        <w:tabs>
          <w:tab w:val="left" w:pos="180"/>
        </w:tabs>
        <w:spacing w:before="120"/>
        <w:ind w:left="180"/>
        <w:jc w:val="both"/>
        <w:rPr>
          <w:rFonts w:ascii="Arial" w:hAnsi="Arial" w:cs="Arial"/>
          <w:sz w:val="22"/>
          <w:szCs w:val="22"/>
          <w:lang w:val="en-US"/>
        </w:rPr>
      </w:pPr>
    </w:p>
    <w:p w14:paraId="24E9EA10" w14:textId="7D5633A3" w:rsid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McLean G.N. (2006) “Defining International Human Resource Development: A Proposal “. University of Minnesota.</w:t>
      </w:r>
    </w:p>
    <w:p w14:paraId="6F07EB93" w14:textId="77777777" w:rsidR="008354BD" w:rsidRDefault="008354BD" w:rsidP="0099044A">
      <w:pPr>
        <w:pStyle w:val="ListParagraph"/>
        <w:tabs>
          <w:tab w:val="left" w:pos="180"/>
        </w:tabs>
        <w:spacing w:before="120"/>
        <w:ind w:left="180"/>
        <w:jc w:val="both"/>
        <w:rPr>
          <w:rFonts w:ascii="Arial" w:hAnsi="Arial" w:cs="Arial"/>
          <w:sz w:val="22"/>
          <w:szCs w:val="22"/>
          <w:lang w:val="en-US"/>
        </w:rPr>
      </w:pPr>
    </w:p>
    <w:p w14:paraId="0FC28E50" w14:textId="16205A8D" w:rsidR="008354BD" w:rsidRPr="0099044A" w:rsidRDefault="008354BD" w:rsidP="001F464F">
      <w:pPr>
        <w:pStyle w:val="ListParagraph"/>
        <w:numPr>
          <w:ilvl w:val="0"/>
          <w:numId w:val="21"/>
        </w:numPr>
        <w:tabs>
          <w:tab w:val="left" w:pos="180"/>
        </w:tabs>
        <w:spacing w:before="120"/>
        <w:ind w:left="180" w:hanging="540"/>
        <w:jc w:val="both"/>
        <w:rPr>
          <w:rFonts w:ascii="Arial" w:hAnsi="Arial" w:cs="Arial"/>
          <w:sz w:val="22"/>
          <w:szCs w:val="22"/>
          <w:lang w:val="en-US"/>
        </w:rPr>
      </w:pPr>
      <w:r w:rsidRPr="001821B3">
        <w:rPr>
          <w:rFonts w:ascii="Arial" w:hAnsi="Arial" w:cs="Arial"/>
          <w:sz w:val="22"/>
          <w:szCs w:val="22"/>
          <w:lang w:val="en-US"/>
        </w:rPr>
        <w:t xml:space="preserve">Nichols, A., Mitchell, J. y Lindner, S. (2013) </w:t>
      </w:r>
      <w:r>
        <w:rPr>
          <w:rFonts w:ascii="Arial" w:hAnsi="Arial" w:cs="Arial"/>
          <w:sz w:val="22"/>
          <w:szCs w:val="22"/>
          <w:lang w:val="en-US"/>
        </w:rPr>
        <w:t>“</w:t>
      </w:r>
      <w:r w:rsidRPr="001821B3">
        <w:rPr>
          <w:rFonts w:ascii="Arial" w:hAnsi="Arial" w:cs="Arial"/>
          <w:sz w:val="22"/>
          <w:szCs w:val="22"/>
          <w:lang w:val="en-US"/>
        </w:rPr>
        <w:t>Consequences of Long-Term Unemployment</w:t>
      </w:r>
      <w:r>
        <w:rPr>
          <w:rFonts w:ascii="Arial" w:hAnsi="Arial" w:cs="Arial"/>
          <w:sz w:val="22"/>
          <w:szCs w:val="22"/>
          <w:lang w:val="en-US"/>
        </w:rPr>
        <w:t>”</w:t>
      </w:r>
      <w:r w:rsidRPr="001821B3">
        <w:rPr>
          <w:rFonts w:ascii="Arial" w:hAnsi="Arial" w:cs="Arial"/>
          <w:sz w:val="22"/>
          <w:szCs w:val="22"/>
          <w:lang w:val="en-US"/>
        </w:rPr>
        <w:t>. Urban Institute.</w:t>
      </w:r>
    </w:p>
    <w:p w14:paraId="46E22F26" w14:textId="77777777" w:rsidR="008354BD" w:rsidRPr="0099044A" w:rsidRDefault="008354BD" w:rsidP="0099044A">
      <w:pPr>
        <w:pStyle w:val="ListParagraph"/>
        <w:tabs>
          <w:tab w:val="left" w:pos="180"/>
        </w:tabs>
        <w:spacing w:before="120"/>
        <w:ind w:left="180"/>
        <w:jc w:val="both"/>
        <w:rPr>
          <w:rFonts w:ascii="Arial" w:hAnsi="Arial" w:cs="Arial"/>
          <w:sz w:val="22"/>
          <w:szCs w:val="22"/>
          <w:lang w:val="en-US"/>
        </w:rPr>
      </w:pPr>
    </w:p>
    <w:p w14:paraId="0C460C02" w14:textId="10391E1C" w:rsidR="008354BD" w:rsidRPr="001821B3" w:rsidRDefault="008354BD" w:rsidP="0099044A">
      <w:pPr>
        <w:pStyle w:val="ListParagraph"/>
        <w:numPr>
          <w:ilvl w:val="0"/>
          <w:numId w:val="21"/>
        </w:numPr>
        <w:tabs>
          <w:tab w:val="left" w:pos="180"/>
        </w:tabs>
        <w:spacing w:before="120"/>
        <w:ind w:left="180" w:hanging="540"/>
        <w:jc w:val="both"/>
        <w:rPr>
          <w:rFonts w:ascii="Arial" w:hAnsi="Arial" w:cs="Arial"/>
          <w:sz w:val="22"/>
          <w:szCs w:val="22"/>
          <w:lang w:val="en-US"/>
        </w:rPr>
      </w:pPr>
      <w:r w:rsidRPr="001821B3">
        <w:rPr>
          <w:rFonts w:ascii="Arial" w:hAnsi="Arial" w:cs="Arial"/>
          <w:sz w:val="22"/>
          <w:szCs w:val="22"/>
          <w:lang w:val="en-US"/>
        </w:rPr>
        <w:t xml:space="preserve">Nickell, S. (1979) </w:t>
      </w:r>
      <w:r w:rsidR="00873353">
        <w:rPr>
          <w:rFonts w:ascii="Arial" w:hAnsi="Arial" w:cs="Arial"/>
          <w:sz w:val="22"/>
          <w:szCs w:val="22"/>
          <w:lang w:val="en-US"/>
        </w:rPr>
        <w:t>“</w:t>
      </w:r>
      <w:r w:rsidRPr="001821B3">
        <w:rPr>
          <w:rFonts w:ascii="Arial" w:hAnsi="Arial" w:cs="Arial"/>
          <w:sz w:val="22"/>
          <w:szCs w:val="22"/>
          <w:lang w:val="en-US"/>
        </w:rPr>
        <w:t>Estimating the Probability of Leaving Unemployment</w:t>
      </w:r>
      <w:r w:rsidR="00873353">
        <w:rPr>
          <w:rFonts w:ascii="Arial" w:hAnsi="Arial" w:cs="Arial"/>
          <w:sz w:val="22"/>
          <w:szCs w:val="22"/>
          <w:lang w:val="en-US"/>
        </w:rPr>
        <w:t>”</w:t>
      </w:r>
      <w:r w:rsidRPr="001821B3">
        <w:rPr>
          <w:rFonts w:ascii="Arial" w:hAnsi="Arial" w:cs="Arial"/>
          <w:sz w:val="22"/>
          <w:szCs w:val="22"/>
          <w:lang w:val="en-US"/>
        </w:rPr>
        <w:t xml:space="preserve">. Econometrica, 1979, vol. 47, issue 5, 1249-66. </w:t>
      </w:r>
    </w:p>
    <w:p w14:paraId="3CC53FC7" w14:textId="77777777" w:rsidR="00FF2ACA" w:rsidRPr="0099044A" w:rsidRDefault="00FF2ACA" w:rsidP="001F464F">
      <w:pPr>
        <w:pStyle w:val="ListParagraph"/>
        <w:tabs>
          <w:tab w:val="left" w:pos="180"/>
        </w:tabs>
        <w:spacing w:before="120"/>
        <w:ind w:left="180"/>
        <w:jc w:val="both"/>
        <w:rPr>
          <w:rFonts w:ascii="Arial" w:hAnsi="Arial" w:cs="Arial"/>
          <w:sz w:val="22"/>
          <w:szCs w:val="22"/>
          <w:lang w:val="en-US"/>
        </w:rPr>
      </w:pPr>
    </w:p>
    <w:p w14:paraId="762C9892" w14:textId="77777777" w:rsidR="00FF2ACA" w:rsidRP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Pr>
          <w:rFonts w:ascii="Arial" w:hAnsi="Arial" w:cs="Arial"/>
          <w:sz w:val="22"/>
          <w:szCs w:val="22"/>
          <w:lang w:val="en-US"/>
        </w:rPr>
        <w:t>North,</w:t>
      </w:r>
      <w:r w:rsidRPr="00FF2ACA">
        <w:rPr>
          <w:rFonts w:ascii="Arial" w:hAnsi="Arial" w:cs="Arial"/>
          <w:sz w:val="22"/>
          <w:szCs w:val="22"/>
          <w:lang w:val="en-US"/>
        </w:rPr>
        <w:t xml:space="preserve"> D. &amp; Thomas, R. (1973) “The rise of the western world: A new economic history”. Cambridge University Press.</w:t>
      </w:r>
    </w:p>
    <w:p w14:paraId="27E60CBB" w14:textId="77777777" w:rsidR="00246010" w:rsidRPr="00FF2ACA" w:rsidRDefault="00246010" w:rsidP="001F464F">
      <w:pPr>
        <w:pStyle w:val="ListParagraph"/>
        <w:tabs>
          <w:tab w:val="left" w:pos="180"/>
        </w:tabs>
        <w:spacing w:before="120"/>
        <w:ind w:left="180"/>
        <w:jc w:val="both"/>
        <w:rPr>
          <w:rFonts w:ascii="Arial" w:hAnsi="Arial" w:cs="Arial"/>
          <w:sz w:val="22"/>
          <w:szCs w:val="22"/>
          <w:lang w:val="en-US"/>
        </w:rPr>
      </w:pPr>
    </w:p>
    <w:p w14:paraId="3F8326CB" w14:textId="77777777" w:rsidR="00FF2ACA" w:rsidRP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Peters (2009) “Education, Enterprise Culture and the Entrepreneurial Self: A Foucauldian Perspective”. Journal of Educational Enquiry, Vol. 2, No. 2.</w:t>
      </w:r>
    </w:p>
    <w:p w14:paraId="257410D1" w14:textId="77777777" w:rsidR="00FF2ACA" w:rsidRPr="00FF2ACA" w:rsidRDefault="00FF2ACA" w:rsidP="001F464F">
      <w:pPr>
        <w:pStyle w:val="ListParagraph"/>
        <w:tabs>
          <w:tab w:val="left" w:pos="180"/>
        </w:tabs>
        <w:spacing w:before="120"/>
        <w:ind w:left="180"/>
        <w:jc w:val="both"/>
        <w:rPr>
          <w:rFonts w:ascii="Arial" w:hAnsi="Arial" w:cs="Arial"/>
          <w:sz w:val="22"/>
          <w:szCs w:val="22"/>
          <w:lang w:val="en-US"/>
        </w:rPr>
      </w:pPr>
    </w:p>
    <w:p w14:paraId="70B5D7F2" w14:textId="77777777" w:rsidR="00246010" w:rsidRPr="00FF2ACA" w:rsidRDefault="00246010" w:rsidP="00246010">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Reimann, N., Harman, K., Wilson, A. &amp; McDowell, L. (2010) “Learning to assess in higher Achievement Matters: External Peer Review of Accounting Learning Standards 61 education: A collaborative exploration of the interplay of formal and informal learning in the academic workplace”. Paper presented at the Higher Education Close Up Conference, Lancaster, UK, 20–22 July.</w:t>
      </w:r>
    </w:p>
    <w:p w14:paraId="0B2A5DB2" w14:textId="77777777" w:rsidR="00FF2ACA" w:rsidRDefault="00FF2ACA" w:rsidP="001F464F">
      <w:pPr>
        <w:pStyle w:val="ListParagraph"/>
        <w:tabs>
          <w:tab w:val="left" w:pos="180"/>
        </w:tabs>
        <w:spacing w:before="120"/>
        <w:ind w:left="180"/>
        <w:jc w:val="both"/>
        <w:rPr>
          <w:rFonts w:ascii="Arial" w:hAnsi="Arial" w:cs="Arial"/>
          <w:sz w:val="22"/>
          <w:szCs w:val="22"/>
          <w:lang w:val="en-US"/>
        </w:rPr>
      </w:pPr>
    </w:p>
    <w:p w14:paraId="73593606" w14:textId="77777777" w:rsidR="001068BC" w:rsidRPr="006643B3" w:rsidRDefault="001068BC" w:rsidP="001068BC">
      <w:pPr>
        <w:pStyle w:val="ListParagraph"/>
        <w:numPr>
          <w:ilvl w:val="0"/>
          <w:numId w:val="21"/>
        </w:numPr>
        <w:tabs>
          <w:tab w:val="left" w:pos="180"/>
        </w:tabs>
        <w:spacing w:before="120"/>
        <w:ind w:left="180" w:hanging="540"/>
        <w:jc w:val="both"/>
        <w:rPr>
          <w:rFonts w:ascii="Arial" w:hAnsi="Arial" w:cs="Arial"/>
          <w:sz w:val="22"/>
          <w:szCs w:val="22"/>
        </w:rPr>
      </w:pPr>
      <w:r w:rsidRPr="0099044A">
        <w:rPr>
          <w:rFonts w:ascii="Arial" w:hAnsi="Arial" w:cs="Arial"/>
          <w:sz w:val="22"/>
          <w:szCs w:val="22"/>
          <w:lang w:val="es-ES"/>
        </w:rPr>
        <w:t xml:space="preserve">Robles C. y González M. (2008) “Arquitectura y medios de información. </w:t>
      </w:r>
      <w:r w:rsidRPr="0047335D">
        <w:rPr>
          <w:rFonts w:ascii="Arial" w:hAnsi="Arial" w:cs="Arial"/>
          <w:sz w:val="22"/>
          <w:szCs w:val="22"/>
        </w:rPr>
        <w:t>Transformación histórica y evolución tipológica de la Biblioteca”. ASINEA, vol. 32.</w:t>
      </w:r>
    </w:p>
    <w:p w14:paraId="407A8582" w14:textId="77777777" w:rsidR="001068BC" w:rsidRPr="006643B3" w:rsidRDefault="001068BC" w:rsidP="001F464F">
      <w:pPr>
        <w:pStyle w:val="ListParagraph"/>
        <w:tabs>
          <w:tab w:val="left" w:pos="180"/>
        </w:tabs>
        <w:spacing w:before="120"/>
        <w:ind w:left="180"/>
        <w:jc w:val="both"/>
        <w:rPr>
          <w:rFonts w:ascii="Arial" w:hAnsi="Arial" w:cs="Arial"/>
          <w:sz w:val="22"/>
          <w:szCs w:val="22"/>
        </w:rPr>
      </w:pPr>
    </w:p>
    <w:p w14:paraId="3760937C" w14:textId="77777777" w:rsidR="001068BC" w:rsidRPr="006643B3" w:rsidRDefault="001068BC" w:rsidP="001068BC">
      <w:pPr>
        <w:pStyle w:val="ListParagraph"/>
        <w:numPr>
          <w:ilvl w:val="0"/>
          <w:numId w:val="21"/>
        </w:numPr>
        <w:tabs>
          <w:tab w:val="left" w:pos="180"/>
        </w:tabs>
        <w:spacing w:before="120"/>
        <w:ind w:left="180" w:hanging="540"/>
        <w:jc w:val="both"/>
        <w:rPr>
          <w:rFonts w:ascii="Arial" w:hAnsi="Arial" w:cs="Arial"/>
          <w:sz w:val="22"/>
          <w:szCs w:val="22"/>
        </w:rPr>
      </w:pPr>
      <w:r w:rsidRPr="0099044A">
        <w:rPr>
          <w:rFonts w:ascii="Arial" w:hAnsi="Arial" w:cs="Arial"/>
          <w:sz w:val="22"/>
          <w:szCs w:val="22"/>
          <w:lang w:val="es-ES"/>
        </w:rPr>
        <w:t xml:space="preserve">Sifuentes, M. &amp; Acosta, A. (2009) “Hacia una estrategia para la evaluación de la historiografía de la arquitectura moderna en las instituciones de educación superior mexicanas”. </w:t>
      </w:r>
      <w:r w:rsidRPr="0047335D">
        <w:rPr>
          <w:rFonts w:ascii="Arial" w:hAnsi="Arial" w:cs="Arial"/>
          <w:sz w:val="22"/>
          <w:szCs w:val="22"/>
        </w:rPr>
        <w:t>Ponencia presentada en el VII Foro de Historia y Crítica de la Arquitectura Me</w:t>
      </w:r>
      <w:r w:rsidRPr="006643B3">
        <w:rPr>
          <w:rFonts w:ascii="Arial" w:hAnsi="Arial" w:cs="Arial"/>
          <w:sz w:val="22"/>
          <w:szCs w:val="22"/>
        </w:rPr>
        <w:t xml:space="preserve">xicana. </w:t>
      </w:r>
    </w:p>
    <w:p w14:paraId="0F06CBEC" w14:textId="77777777" w:rsidR="001068BC" w:rsidRPr="006643B3" w:rsidRDefault="001068BC" w:rsidP="001F464F">
      <w:pPr>
        <w:pStyle w:val="ListParagraph"/>
        <w:tabs>
          <w:tab w:val="left" w:pos="180"/>
        </w:tabs>
        <w:spacing w:before="120"/>
        <w:ind w:left="180"/>
        <w:jc w:val="both"/>
        <w:rPr>
          <w:rFonts w:ascii="Arial" w:hAnsi="Arial" w:cs="Arial"/>
          <w:sz w:val="22"/>
          <w:szCs w:val="22"/>
        </w:rPr>
      </w:pPr>
    </w:p>
    <w:p w14:paraId="12C9E857" w14:textId="77777777" w:rsid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lastRenderedPageBreak/>
        <w:t>Suri, T., Boozer, M., Ranis, G. &amp; Stewart, F. (2011). “Paths to Success: The Relationship Between Human Development and Economic Growth”. World Development, 2011, vol. 39, issue 4, 506-522</w:t>
      </w:r>
    </w:p>
    <w:p w14:paraId="66E30FA5" w14:textId="77777777" w:rsidR="00FF2ACA" w:rsidRPr="00FF2ACA" w:rsidRDefault="00FF2ACA" w:rsidP="001F464F">
      <w:pPr>
        <w:pStyle w:val="ListParagraph"/>
        <w:tabs>
          <w:tab w:val="left" w:pos="180"/>
        </w:tabs>
        <w:spacing w:before="120"/>
        <w:ind w:left="180"/>
        <w:jc w:val="both"/>
        <w:rPr>
          <w:rFonts w:ascii="Arial" w:hAnsi="Arial" w:cs="Arial"/>
          <w:sz w:val="22"/>
          <w:szCs w:val="22"/>
          <w:lang w:val="en-US"/>
        </w:rPr>
      </w:pPr>
    </w:p>
    <w:p w14:paraId="2FDC1611" w14:textId="77777777" w:rsidR="00FF2ACA" w:rsidRDefault="00FF2ACA" w:rsidP="00FF2ACA">
      <w:pPr>
        <w:pStyle w:val="ListParagraph"/>
        <w:numPr>
          <w:ilvl w:val="0"/>
          <w:numId w:val="21"/>
        </w:numPr>
        <w:tabs>
          <w:tab w:val="left" w:pos="180"/>
        </w:tabs>
        <w:spacing w:before="120"/>
        <w:ind w:left="180" w:hanging="540"/>
        <w:jc w:val="both"/>
        <w:rPr>
          <w:rFonts w:ascii="Arial" w:hAnsi="Arial" w:cs="Arial"/>
          <w:sz w:val="22"/>
          <w:szCs w:val="22"/>
          <w:lang w:val="en-US"/>
        </w:rPr>
      </w:pPr>
      <w:r w:rsidRPr="00FF2ACA">
        <w:rPr>
          <w:rFonts w:ascii="Arial" w:hAnsi="Arial" w:cs="Arial"/>
          <w:sz w:val="22"/>
          <w:szCs w:val="22"/>
          <w:lang w:val="en-US"/>
        </w:rPr>
        <w:t>Tokman, V. (1982) “Unequal development and the absorption of labour: Latin America 1950-1980”. Revista CEPAL.</w:t>
      </w:r>
    </w:p>
    <w:p w14:paraId="29475DF3" w14:textId="77777777" w:rsidR="001068BC" w:rsidRPr="001068BC" w:rsidRDefault="001068BC" w:rsidP="001F464F">
      <w:pPr>
        <w:pStyle w:val="ListParagraph"/>
        <w:tabs>
          <w:tab w:val="left" w:pos="180"/>
        </w:tabs>
        <w:spacing w:before="120"/>
        <w:ind w:left="180"/>
        <w:jc w:val="both"/>
        <w:rPr>
          <w:rFonts w:ascii="Arial" w:hAnsi="Arial" w:cs="Arial"/>
          <w:sz w:val="22"/>
          <w:szCs w:val="22"/>
          <w:lang w:val="en-US"/>
        </w:rPr>
      </w:pPr>
    </w:p>
    <w:p w14:paraId="31EBE99A" w14:textId="241E2017" w:rsidR="001068BC" w:rsidRDefault="001068BC" w:rsidP="001068BC">
      <w:pPr>
        <w:pStyle w:val="ListParagraph"/>
        <w:numPr>
          <w:ilvl w:val="0"/>
          <w:numId w:val="21"/>
        </w:numPr>
        <w:tabs>
          <w:tab w:val="left" w:pos="180"/>
        </w:tabs>
        <w:spacing w:before="120"/>
        <w:ind w:left="180" w:hanging="540"/>
        <w:jc w:val="both"/>
        <w:rPr>
          <w:rFonts w:ascii="Arial" w:hAnsi="Arial" w:cs="Arial"/>
          <w:sz w:val="22"/>
          <w:szCs w:val="22"/>
          <w:lang w:val="en-US"/>
        </w:rPr>
      </w:pPr>
      <w:r>
        <w:rPr>
          <w:rFonts w:ascii="Arial" w:hAnsi="Arial" w:cs="Arial"/>
          <w:sz w:val="22"/>
          <w:szCs w:val="22"/>
          <w:lang w:val="en-US"/>
        </w:rPr>
        <w:t>Trigwell, K., Prosser, M. &amp; Waterhouse, F. (1999) “</w:t>
      </w:r>
      <w:r w:rsidRPr="000F7B59">
        <w:rPr>
          <w:rFonts w:ascii="Arial" w:hAnsi="Arial" w:cs="Arial"/>
          <w:sz w:val="22"/>
          <w:szCs w:val="22"/>
          <w:lang w:val="en-US"/>
        </w:rPr>
        <w:t>Relations between teachers' approaches to teaching and students' approaches to learning</w:t>
      </w:r>
      <w:r>
        <w:rPr>
          <w:rFonts w:ascii="Arial" w:hAnsi="Arial" w:cs="Arial"/>
          <w:sz w:val="22"/>
          <w:szCs w:val="22"/>
          <w:lang w:val="en-US"/>
        </w:rPr>
        <w:t xml:space="preserve">”. </w:t>
      </w:r>
      <w:hyperlink r:id="rId9" w:history="1">
        <w:r w:rsidRPr="000F7B59">
          <w:rPr>
            <w:rFonts w:ascii="Arial" w:hAnsi="Arial" w:cs="Arial"/>
            <w:sz w:val="22"/>
            <w:szCs w:val="22"/>
            <w:lang w:val="en-US"/>
          </w:rPr>
          <w:t>Higher Education</w:t>
        </w:r>
      </w:hyperlink>
      <w:r>
        <w:rPr>
          <w:rFonts w:ascii="Arial" w:hAnsi="Arial" w:cs="Arial"/>
          <w:sz w:val="22"/>
          <w:szCs w:val="22"/>
          <w:lang w:val="en-US"/>
        </w:rPr>
        <w:t xml:space="preserve">, Vol. </w:t>
      </w:r>
      <w:r w:rsidRPr="001068BC">
        <w:rPr>
          <w:rFonts w:ascii="Arial" w:hAnsi="Arial" w:cs="Arial"/>
          <w:sz w:val="22"/>
          <w:szCs w:val="22"/>
          <w:lang w:val="en-US"/>
        </w:rPr>
        <w:t>37, </w:t>
      </w:r>
      <w:hyperlink r:id="rId10" w:history="1">
        <w:r w:rsidRPr="001068BC">
          <w:rPr>
            <w:rFonts w:ascii="Arial" w:hAnsi="Arial" w:cs="Arial"/>
            <w:sz w:val="22"/>
            <w:szCs w:val="22"/>
            <w:lang w:val="en-US"/>
          </w:rPr>
          <w:t>Issue 1</w:t>
        </w:r>
      </w:hyperlink>
      <w:r w:rsidRPr="001068BC">
        <w:rPr>
          <w:rFonts w:ascii="Arial" w:hAnsi="Arial" w:cs="Arial"/>
          <w:sz w:val="22"/>
          <w:szCs w:val="22"/>
          <w:lang w:val="en-US"/>
        </w:rPr>
        <w:t>, pp 57–70</w:t>
      </w:r>
      <w:r>
        <w:rPr>
          <w:rFonts w:ascii="Arial" w:hAnsi="Arial" w:cs="Arial"/>
          <w:sz w:val="22"/>
          <w:szCs w:val="22"/>
          <w:lang w:val="en-US"/>
        </w:rPr>
        <w:t>.</w:t>
      </w:r>
    </w:p>
    <w:p w14:paraId="346534BC" w14:textId="77777777" w:rsidR="00873353" w:rsidRPr="00873353" w:rsidRDefault="00873353" w:rsidP="00873353">
      <w:pPr>
        <w:pStyle w:val="ListParagraph"/>
        <w:rPr>
          <w:rFonts w:ascii="Arial" w:hAnsi="Arial" w:cs="Arial"/>
          <w:sz w:val="22"/>
          <w:szCs w:val="22"/>
          <w:lang w:val="en-US"/>
        </w:rPr>
      </w:pPr>
    </w:p>
    <w:p w14:paraId="32C1D62B" w14:textId="5D4C6597" w:rsidR="00873353" w:rsidRPr="00873353" w:rsidRDefault="00873353" w:rsidP="00873353">
      <w:pPr>
        <w:pStyle w:val="ListParagraph"/>
        <w:numPr>
          <w:ilvl w:val="0"/>
          <w:numId w:val="21"/>
        </w:numPr>
        <w:tabs>
          <w:tab w:val="left" w:pos="180"/>
        </w:tabs>
        <w:spacing w:before="120"/>
        <w:ind w:left="180" w:hanging="540"/>
        <w:jc w:val="both"/>
        <w:rPr>
          <w:rFonts w:ascii="Arial" w:hAnsi="Arial" w:cs="Arial"/>
          <w:sz w:val="22"/>
          <w:szCs w:val="22"/>
          <w:lang w:val="en-US"/>
        </w:rPr>
      </w:pPr>
      <w:r w:rsidRPr="00873353">
        <w:rPr>
          <w:rFonts w:ascii="Arial" w:hAnsi="Arial" w:cs="Arial"/>
          <w:sz w:val="22"/>
          <w:szCs w:val="22"/>
          <w:lang w:val="en-US"/>
        </w:rPr>
        <w:t>Ulyssea, G. (2015) “Firms, Informality and Development: Theory and evidence from Brazil</w:t>
      </w:r>
      <w:r>
        <w:rPr>
          <w:rFonts w:ascii="Arial" w:hAnsi="Arial" w:cs="Arial"/>
          <w:sz w:val="22"/>
          <w:szCs w:val="22"/>
          <w:lang w:val="en-US"/>
        </w:rPr>
        <w:t>”</w:t>
      </w:r>
      <w:r w:rsidRPr="00873353">
        <w:rPr>
          <w:rFonts w:ascii="Arial" w:hAnsi="Arial" w:cs="Arial"/>
          <w:sz w:val="22"/>
          <w:szCs w:val="22"/>
          <w:lang w:val="en-US"/>
        </w:rPr>
        <w:t>.</w:t>
      </w:r>
    </w:p>
    <w:p w14:paraId="426D86DF" w14:textId="77777777" w:rsidR="00444728" w:rsidRPr="00FF2ACA" w:rsidRDefault="00444728" w:rsidP="001F464F">
      <w:pPr>
        <w:pStyle w:val="ListParagraph"/>
        <w:tabs>
          <w:tab w:val="left" w:pos="180"/>
        </w:tabs>
        <w:spacing w:before="120"/>
        <w:ind w:left="180"/>
        <w:jc w:val="both"/>
        <w:rPr>
          <w:rFonts w:ascii="Arial" w:hAnsi="Arial" w:cs="Arial"/>
          <w:sz w:val="22"/>
          <w:szCs w:val="22"/>
          <w:lang w:val="en-US"/>
        </w:rPr>
      </w:pPr>
    </w:p>
    <w:p w14:paraId="7EDBEF40" w14:textId="691468A5" w:rsidR="00444728" w:rsidRPr="0099044A" w:rsidRDefault="00444728" w:rsidP="00246010">
      <w:pPr>
        <w:pStyle w:val="ListParagraph"/>
        <w:numPr>
          <w:ilvl w:val="0"/>
          <w:numId w:val="21"/>
        </w:numPr>
        <w:tabs>
          <w:tab w:val="left" w:pos="180"/>
        </w:tabs>
        <w:spacing w:before="120"/>
        <w:ind w:left="180" w:hanging="540"/>
        <w:jc w:val="both"/>
        <w:rPr>
          <w:rFonts w:ascii="Arial" w:hAnsi="Arial" w:cs="Arial"/>
          <w:sz w:val="22"/>
          <w:szCs w:val="22"/>
          <w:lang w:val="es-ES"/>
        </w:rPr>
      </w:pPr>
      <w:r w:rsidRPr="0099044A">
        <w:rPr>
          <w:rFonts w:ascii="Arial" w:hAnsi="Arial" w:cs="Arial"/>
          <w:sz w:val="22"/>
          <w:szCs w:val="22"/>
          <w:lang w:val="es-ES"/>
        </w:rPr>
        <w:t xml:space="preserve">Yamada, </w:t>
      </w:r>
      <w:r w:rsidR="00246010" w:rsidRPr="0099044A">
        <w:rPr>
          <w:rFonts w:ascii="Arial" w:hAnsi="Arial" w:cs="Arial"/>
          <w:sz w:val="22"/>
          <w:szCs w:val="22"/>
          <w:lang w:val="es-ES"/>
        </w:rPr>
        <w:t>G., Lavado, P. Oviedo, N. (2015) “</w:t>
      </w:r>
      <w:r w:rsidRPr="0099044A">
        <w:rPr>
          <w:rFonts w:ascii="Arial" w:hAnsi="Arial" w:cs="Arial"/>
          <w:sz w:val="22"/>
          <w:szCs w:val="22"/>
          <w:lang w:val="es-ES"/>
        </w:rPr>
        <w:t>Valor de la información en educación superior y efecto de la calidad universitaria en remuneraciones en el Perú</w:t>
      </w:r>
      <w:r w:rsidR="00246010" w:rsidRPr="0099044A">
        <w:rPr>
          <w:rFonts w:ascii="Arial" w:hAnsi="Arial" w:cs="Arial"/>
          <w:sz w:val="22"/>
          <w:szCs w:val="22"/>
          <w:lang w:val="es-ES"/>
        </w:rPr>
        <w:t>” As</w:t>
      </w:r>
      <w:r w:rsidR="000F7B59" w:rsidRPr="0099044A">
        <w:rPr>
          <w:rFonts w:ascii="Arial" w:hAnsi="Arial" w:cs="Arial"/>
          <w:sz w:val="22"/>
          <w:szCs w:val="22"/>
          <w:lang w:val="es-ES"/>
        </w:rPr>
        <w:t>ociación Peruana de Economía, d</w:t>
      </w:r>
      <w:r w:rsidR="00246010" w:rsidRPr="0099044A">
        <w:rPr>
          <w:rFonts w:ascii="Arial" w:hAnsi="Arial" w:cs="Arial"/>
          <w:sz w:val="22"/>
          <w:szCs w:val="22"/>
          <w:lang w:val="es-ES"/>
        </w:rPr>
        <w:t>ocumento de Trabajo No. 57.</w:t>
      </w:r>
    </w:p>
    <w:p w14:paraId="0A2B560D" w14:textId="77777777" w:rsidR="008354BD" w:rsidRPr="0099044A" w:rsidRDefault="008354BD" w:rsidP="0099044A">
      <w:pPr>
        <w:pStyle w:val="ListParagraph"/>
        <w:tabs>
          <w:tab w:val="left" w:pos="180"/>
        </w:tabs>
        <w:spacing w:before="120"/>
        <w:ind w:left="180"/>
        <w:jc w:val="both"/>
        <w:rPr>
          <w:rFonts w:ascii="Arial" w:hAnsi="Arial" w:cs="Arial"/>
          <w:sz w:val="22"/>
          <w:szCs w:val="22"/>
          <w:lang w:val="es-ES"/>
        </w:rPr>
      </w:pPr>
    </w:p>
    <w:p w14:paraId="24814A8F" w14:textId="43EF384D" w:rsidR="008354BD" w:rsidRDefault="008354BD" w:rsidP="0099044A">
      <w:pPr>
        <w:pStyle w:val="ListParagraph"/>
        <w:numPr>
          <w:ilvl w:val="0"/>
          <w:numId w:val="21"/>
        </w:numPr>
        <w:tabs>
          <w:tab w:val="left" w:pos="180"/>
        </w:tabs>
        <w:spacing w:before="120"/>
        <w:ind w:left="180" w:hanging="540"/>
        <w:jc w:val="both"/>
        <w:rPr>
          <w:rFonts w:ascii="Arial" w:hAnsi="Arial" w:cs="Arial"/>
          <w:sz w:val="22"/>
          <w:szCs w:val="22"/>
          <w:lang w:val="en-US"/>
        </w:rPr>
      </w:pPr>
      <w:r w:rsidRPr="001821B3">
        <w:rPr>
          <w:rFonts w:ascii="Arial" w:hAnsi="Arial" w:cs="Arial"/>
          <w:sz w:val="22"/>
          <w:szCs w:val="22"/>
          <w:lang w:val="en-US"/>
        </w:rPr>
        <w:t xml:space="preserve">Yamada, G. (2015) </w:t>
      </w:r>
      <w:r>
        <w:rPr>
          <w:rFonts w:ascii="Arial" w:hAnsi="Arial" w:cs="Arial"/>
          <w:sz w:val="22"/>
          <w:szCs w:val="22"/>
          <w:lang w:val="en-US"/>
        </w:rPr>
        <w:t>“</w:t>
      </w:r>
      <w:r w:rsidRPr="001821B3">
        <w:rPr>
          <w:rFonts w:ascii="Arial" w:hAnsi="Arial" w:cs="Arial"/>
          <w:sz w:val="22"/>
          <w:szCs w:val="22"/>
          <w:lang w:val="en-US"/>
        </w:rPr>
        <w:t>The boom in university graduates and the risk of underemployment</w:t>
      </w:r>
      <w:r>
        <w:rPr>
          <w:rFonts w:ascii="Arial" w:hAnsi="Arial" w:cs="Arial"/>
          <w:sz w:val="22"/>
          <w:szCs w:val="22"/>
          <w:lang w:val="en-US"/>
        </w:rPr>
        <w:t>”</w:t>
      </w:r>
      <w:r w:rsidRPr="001821B3">
        <w:rPr>
          <w:rFonts w:ascii="Arial" w:hAnsi="Arial" w:cs="Arial"/>
          <w:sz w:val="22"/>
          <w:szCs w:val="22"/>
          <w:lang w:val="en-US"/>
        </w:rPr>
        <w:t>. IZA World of Labor, Institute for the Study of Labor (IZA), pages 165-165</w:t>
      </w:r>
      <w:r>
        <w:rPr>
          <w:rFonts w:ascii="Arial" w:hAnsi="Arial" w:cs="Arial"/>
          <w:sz w:val="22"/>
          <w:szCs w:val="22"/>
          <w:lang w:val="en-US"/>
        </w:rPr>
        <w:t>.</w:t>
      </w:r>
    </w:p>
    <w:p w14:paraId="3B61BF6C" w14:textId="77777777" w:rsidR="008354BD" w:rsidRPr="0099044A" w:rsidRDefault="008354BD" w:rsidP="0099044A">
      <w:pPr>
        <w:pStyle w:val="ListParagraph"/>
        <w:rPr>
          <w:rFonts w:ascii="Arial" w:hAnsi="Arial" w:cs="Arial"/>
          <w:sz w:val="22"/>
          <w:szCs w:val="22"/>
          <w:lang w:val="en-US"/>
        </w:rPr>
      </w:pPr>
    </w:p>
    <w:p w14:paraId="6900DC38" w14:textId="4096233E" w:rsidR="00873353" w:rsidRPr="00873353" w:rsidRDefault="00873353" w:rsidP="00873353">
      <w:pPr>
        <w:tabs>
          <w:tab w:val="left" w:pos="180"/>
        </w:tabs>
        <w:spacing w:before="120"/>
        <w:jc w:val="both"/>
        <w:rPr>
          <w:rFonts w:ascii="Arial" w:hAnsi="Arial" w:cs="Arial"/>
          <w:sz w:val="22"/>
          <w:szCs w:val="22"/>
        </w:rPr>
      </w:pPr>
    </w:p>
    <w:p w14:paraId="76C878CA" w14:textId="77777777" w:rsidR="00A372F6" w:rsidRPr="00A43491" w:rsidRDefault="00A372F6" w:rsidP="00A372F6">
      <w:pPr>
        <w:pStyle w:val="ListParagraph"/>
        <w:spacing w:before="120"/>
        <w:ind w:left="0"/>
        <w:jc w:val="center"/>
        <w:rPr>
          <w:rFonts w:ascii="Arial" w:hAnsi="Arial" w:cs="Arial"/>
          <w:b/>
        </w:rPr>
      </w:pPr>
      <w:r w:rsidRPr="00A43491">
        <w:rPr>
          <w:rFonts w:ascii="Arial" w:hAnsi="Arial" w:cs="Arial"/>
          <w:b/>
        </w:rPr>
        <w:t xml:space="preserve">Anexo </w:t>
      </w:r>
    </w:p>
    <w:p w14:paraId="03CED98B" w14:textId="77777777" w:rsidR="00A372F6" w:rsidRPr="00A43491" w:rsidRDefault="00A372F6" w:rsidP="00A372F6">
      <w:pPr>
        <w:pStyle w:val="ListParagraph"/>
        <w:spacing w:before="120"/>
        <w:ind w:left="0"/>
        <w:jc w:val="center"/>
        <w:rPr>
          <w:rFonts w:ascii="Arial" w:hAnsi="Arial" w:cs="Arial"/>
          <w:b/>
        </w:rPr>
      </w:pPr>
    </w:p>
    <w:p w14:paraId="317C5C39" w14:textId="77777777" w:rsidR="00A372F6" w:rsidRPr="00EB642B" w:rsidRDefault="00A372F6" w:rsidP="00A372F6">
      <w:pPr>
        <w:jc w:val="center"/>
        <w:rPr>
          <w:rFonts w:ascii="Arial" w:hAnsi="Arial" w:cs="Arial"/>
          <w:b/>
          <w:sz w:val="22"/>
          <w:lang w:val="es-ES_tradnl"/>
        </w:rPr>
      </w:pPr>
      <w:r w:rsidRPr="00EB642B">
        <w:rPr>
          <w:rFonts w:ascii="Arial" w:hAnsi="Arial" w:cs="Arial"/>
          <w:b/>
          <w:sz w:val="22"/>
          <w:lang w:val="es-ES_tradnl"/>
        </w:rPr>
        <w:t xml:space="preserve">Cuadro A1: Número de Beneficiarios del </w:t>
      </w:r>
      <w:r w:rsidR="00052E61">
        <w:rPr>
          <w:rFonts w:ascii="Arial" w:hAnsi="Arial" w:cs="Arial"/>
          <w:b/>
          <w:sz w:val="22"/>
          <w:lang w:val="es-ES_tradnl"/>
        </w:rPr>
        <w:t xml:space="preserve">componente de </w:t>
      </w:r>
      <w:r w:rsidR="00052E61" w:rsidRPr="00052E61">
        <w:rPr>
          <w:rFonts w:ascii="Arial" w:hAnsi="Arial" w:cs="Arial"/>
          <w:b/>
          <w:sz w:val="22"/>
          <w:lang w:val="es-ES_tradnl"/>
        </w:rPr>
        <w:t xml:space="preserve">Fortalecimiento de la gestión institucional de las </w:t>
      </w:r>
      <w:r w:rsidR="00274642">
        <w:rPr>
          <w:rFonts w:ascii="Arial" w:hAnsi="Arial" w:cs="Arial"/>
          <w:b/>
          <w:sz w:val="22"/>
          <w:lang w:val="es-ES_tradnl"/>
        </w:rPr>
        <w:t>IES</w:t>
      </w:r>
      <w:r w:rsidR="00052E61" w:rsidRPr="00052E61">
        <w:rPr>
          <w:rFonts w:ascii="Arial" w:hAnsi="Arial" w:cs="Arial"/>
          <w:b/>
          <w:sz w:val="22"/>
          <w:lang w:val="es-ES_tradnl"/>
        </w:rPr>
        <w:t xml:space="preserve"> públicas</w:t>
      </w:r>
      <w:r w:rsidRPr="00EB642B">
        <w:rPr>
          <w:rFonts w:ascii="Arial" w:hAnsi="Arial" w:cs="Arial"/>
          <w:b/>
          <w:sz w:val="22"/>
          <w:lang w:val="es-ES_tradnl"/>
        </w:rPr>
        <w:t xml:space="preserve"> </w:t>
      </w:r>
    </w:p>
    <w:p w14:paraId="0AEACF6D" w14:textId="77777777" w:rsidR="00A372F6" w:rsidRPr="00EB642B" w:rsidRDefault="00A372F6" w:rsidP="00A372F6">
      <w:pPr>
        <w:jc w:val="center"/>
        <w:rPr>
          <w:rFonts w:ascii="Arial" w:hAnsi="Arial" w:cs="Arial"/>
          <w:b/>
          <w:sz w:val="22"/>
          <w:lang w:val="es-ES_tradnl"/>
        </w:rPr>
      </w:pPr>
    </w:p>
    <w:tbl>
      <w:tblPr>
        <w:tblW w:w="11838" w:type="dxa"/>
        <w:jc w:val="center"/>
        <w:tblLayout w:type="fixed"/>
        <w:tblLook w:val="04A0" w:firstRow="1" w:lastRow="0" w:firstColumn="1" w:lastColumn="0" w:noHBand="0" w:noVBand="1"/>
      </w:tblPr>
      <w:tblGrid>
        <w:gridCol w:w="1064"/>
        <w:gridCol w:w="568"/>
        <w:gridCol w:w="567"/>
        <w:gridCol w:w="567"/>
        <w:gridCol w:w="567"/>
        <w:gridCol w:w="567"/>
        <w:gridCol w:w="708"/>
        <w:gridCol w:w="709"/>
        <w:gridCol w:w="709"/>
        <w:gridCol w:w="709"/>
        <w:gridCol w:w="715"/>
        <w:gridCol w:w="709"/>
        <w:gridCol w:w="709"/>
        <w:gridCol w:w="708"/>
        <w:gridCol w:w="706"/>
        <w:gridCol w:w="709"/>
        <w:gridCol w:w="847"/>
      </w:tblGrid>
      <w:tr w:rsidR="00A372F6" w:rsidRPr="00A43491" w14:paraId="5E7CF555" w14:textId="77777777" w:rsidTr="00374C56">
        <w:trPr>
          <w:trHeight w:val="300"/>
          <w:jc w:val="center"/>
        </w:trPr>
        <w:tc>
          <w:tcPr>
            <w:tcW w:w="1064" w:type="dxa"/>
            <w:tcBorders>
              <w:top w:val="nil"/>
              <w:left w:val="nil"/>
              <w:bottom w:val="single" w:sz="4" w:space="0" w:color="auto"/>
              <w:right w:val="nil"/>
            </w:tcBorders>
            <w:shd w:val="clear" w:color="000000" w:fill="DDEBF7"/>
            <w:noWrap/>
            <w:vAlign w:val="bottom"/>
            <w:hideMark/>
          </w:tcPr>
          <w:p w14:paraId="6D243E78" w14:textId="77777777" w:rsidR="00A372F6" w:rsidRPr="00EB642B" w:rsidRDefault="00A372F6" w:rsidP="00374C56">
            <w:pPr>
              <w:rPr>
                <w:rFonts w:ascii="Arial" w:hAnsi="Arial" w:cs="Arial"/>
                <w:b/>
                <w:bCs/>
                <w:sz w:val="14"/>
                <w:szCs w:val="14"/>
                <w:lang w:val="es-ES_tradnl"/>
              </w:rPr>
            </w:pPr>
            <w:r w:rsidRPr="00EB642B">
              <w:rPr>
                <w:rFonts w:ascii="Arial" w:hAnsi="Arial" w:cs="Arial"/>
                <w:b/>
                <w:bCs/>
                <w:sz w:val="14"/>
                <w:szCs w:val="14"/>
                <w:lang w:val="es-ES_tradnl"/>
              </w:rPr>
              <w:t> </w:t>
            </w:r>
          </w:p>
        </w:tc>
        <w:tc>
          <w:tcPr>
            <w:tcW w:w="568" w:type="dxa"/>
            <w:tcBorders>
              <w:top w:val="nil"/>
              <w:left w:val="nil"/>
              <w:bottom w:val="single" w:sz="4" w:space="0" w:color="auto"/>
              <w:right w:val="nil"/>
            </w:tcBorders>
            <w:shd w:val="clear" w:color="000000" w:fill="DDEBF7"/>
            <w:vAlign w:val="center"/>
          </w:tcPr>
          <w:p w14:paraId="227D7270"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w:t>
            </w:r>
          </w:p>
        </w:tc>
        <w:tc>
          <w:tcPr>
            <w:tcW w:w="567" w:type="dxa"/>
            <w:tcBorders>
              <w:top w:val="nil"/>
              <w:left w:val="nil"/>
              <w:bottom w:val="single" w:sz="4" w:space="0" w:color="auto"/>
              <w:right w:val="nil"/>
            </w:tcBorders>
            <w:shd w:val="clear" w:color="000000" w:fill="DDEBF7"/>
            <w:noWrap/>
            <w:vAlign w:val="center"/>
            <w:hideMark/>
          </w:tcPr>
          <w:p w14:paraId="419BFB71"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Año2</w:t>
            </w:r>
          </w:p>
        </w:tc>
        <w:tc>
          <w:tcPr>
            <w:tcW w:w="567" w:type="dxa"/>
            <w:tcBorders>
              <w:top w:val="nil"/>
              <w:left w:val="nil"/>
              <w:bottom w:val="single" w:sz="4" w:space="0" w:color="auto"/>
              <w:right w:val="nil"/>
            </w:tcBorders>
            <w:shd w:val="clear" w:color="000000" w:fill="DDEBF7"/>
            <w:noWrap/>
            <w:vAlign w:val="center"/>
            <w:hideMark/>
          </w:tcPr>
          <w:p w14:paraId="180A0634"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Año3</w:t>
            </w:r>
          </w:p>
        </w:tc>
        <w:tc>
          <w:tcPr>
            <w:tcW w:w="567" w:type="dxa"/>
            <w:tcBorders>
              <w:top w:val="nil"/>
              <w:left w:val="nil"/>
              <w:bottom w:val="single" w:sz="4" w:space="0" w:color="auto"/>
              <w:right w:val="nil"/>
            </w:tcBorders>
            <w:shd w:val="clear" w:color="000000" w:fill="DDEBF7"/>
            <w:noWrap/>
            <w:vAlign w:val="center"/>
            <w:hideMark/>
          </w:tcPr>
          <w:p w14:paraId="539CBECC"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Año4</w:t>
            </w:r>
          </w:p>
        </w:tc>
        <w:tc>
          <w:tcPr>
            <w:tcW w:w="567" w:type="dxa"/>
            <w:tcBorders>
              <w:top w:val="nil"/>
              <w:left w:val="nil"/>
              <w:bottom w:val="single" w:sz="4" w:space="0" w:color="auto"/>
              <w:right w:val="nil"/>
            </w:tcBorders>
            <w:shd w:val="clear" w:color="000000" w:fill="DDEBF7"/>
            <w:noWrap/>
            <w:vAlign w:val="center"/>
            <w:hideMark/>
          </w:tcPr>
          <w:p w14:paraId="3F508402"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Año5</w:t>
            </w:r>
          </w:p>
        </w:tc>
        <w:tc>
          <w:tcPr>
            <w:tcW w:w="708" w:type="dxa"/>
            <w:tcBorders>
              <w:top w:val="nil"/>
              <w:left w:val="nil"/>
              <w:bottom w:val="single" w:sz="4" w:space="0" w:color="auto"/>
              <w:right w:val="nil"/>
            </w:tcBorders>
            <w:shd w:val="clear" w:color="000000" w:fill="DDEBF7"/>
            <w:noWrap/>
            <w:vAlign w:val="center"/>
            <w:hideMark/>
          </w:tcPr>
          <w:p w14:paraId="0EE509C9"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Año6</w:t>
            </w:r>
          </w:p>
        </w:tc>
        <w:tc>
          <w:tcPr>
            <w:tcW w:w="709" w:type="dxa"/>
            <w:tcBorders>
              <w:top w:val="nil"/>
              <w:left w:val="nil"/>
              <w:bottom w:val="single" w:sz="4" w:space="0" w:color="auto"/>
              <w:right w:val="nil"/>
            </w:tcBorders>
            <w:shd w:val="clear" w:color="000000" w:fill="DDEBF7"/>
            <w:noWrap/>
            <w:vAlign w:val="center"/>
            <w:hideMark/>
          </w:tcPr>
          <w:p w14:paraId="03B51B52"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Año7</w:t>
            </w:r>
          </w:p>
        </w:tc>
        <w:tc>
          <w:tcPr>
            <w:tcW w:w="709" w:type="dxa"/>
            <w:tcBorders>
              <w:top w:val="nil"/>
              <w:left w:val="nil"/>
              <w:bottom w:val="single" w:sz="4" w:space="0" w:color="auto"/>
              <w:right w:val="nil"/>
            </w:tcBorders>
            <w:shd w:val="clear" w:color="000000" w:fill="DDEBF7"/>
            <w:noWrap/>
            <w:vAlign w:val="center"/>
            <w:hideMark/>
          </w:tcPr>
          <w:p w14:paraId="55E5CE36"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Año8</w:t>
            </w:r>
          </w:p>
        </w:tc>
        <w:tc>
          <w:tcPr>
            <w:tcW w:w="709" w:type="dxa"/>
            <w:tcBorders>
              <w:top w:val="nil"/>
              <w:left w:val="nil"/>
              <w:bottom w:val="single" w:sz="4" w:space="0" w:color="auto"/>
              <w:right w:val="nil"/>
            </w:tcBorders>
            <w:shd w:val="clear" w:color="000000" w:fill="DDEBF7"/>
            <w:noWrap/>
            <w:vAlign w:val="center"/>
            <w:hideMark/>
          </w:tcPr>
          <w:p w14:paraId="6C24DB03"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Año9</w:t>
            </w:r>
          </w:p>
        </w:tc>
        <w:tc>
          <w:tcPr>
            <w:tcW w:w="715" w:type="dxa"/>
            <w:tcBorders>
              <w:top w:val="nil"/>
              <w:left w:val="nil"/>
              <w:bottom w:val="single" w:sz="4" w:space="0" w:color="auto"/>
              <w:right w:val="nil"/>
            </w:tcBorders>
            <w:shd w:val="clear" w:color="000000" w:fill="DDEBF7"/>
            <w:noWrap/>
            <w:vAlign w:val="center"/>
            <w:hideMark/>
          </w:tcPr>
          <w:p w14:paraId="5CF2E36C"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Año10</w:t>
            </w:r>
          </w:p>
        </w:tc>
        <w:tc>
          <w:tcPr>
            <w:tcW w:w="709" w:type="dxa"/>
            <w:tcBorders>
              <w:top w:val="nil"/>
              <w:left w:val="nil"/>
              <w:bottom w:val="single" w:sz="4" w:space="0" w:color="auto"/>
              <w:right w:val="nil"/>
            </w:tcBorders>
            <w:shd w:val="clear" w:color="000000" w:fill="DDEBF7"/>
            <w:noWrap/>
            <w:vAlign w:val="center"/>
            <w:hideMark/>
          </w:tcPr>
          <w:p w14:paraId="6D0B7E46"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Año11</w:t>
            </w:r>
          </w:p>
        </w:tc>
        <w:tc>
          <w:tcPr>
            <w:tcW w:w="709" w:type="dxa"/>
            <w:tcBorders>
              <w:top w:val="nil"/>
              <w:left w:val="nil"/>
              <w:bottom w:val="single" w:sz="4" w:space="0" w:color="auto"/>
              <w:right w:val="nil"/>
            </w:tcBorders>
            <w:shd w:val="clear" w:color="000000" w:fill="DDEBF7"/>
            <w:noWrap/>
            <w:vAlign w:val="center"/>
            <w:hideMark/>
          </w:tcPr>
          <w:p w14:paraId="6CF82DAD"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Año12</w:t>
            </w:r>
          </w:p>
        </w:tc>
        <w:tc>
          <w:tcPr>
            <w:tcW w:w="708" w:type="dxa"/>
            <w:tcBorders>
              <w:top w:val="nil"/>
              <w:left w:val="nil"/>
              <w:bottom w:val="single" w:sz="4" w:space="0" w:color="auto"/>
              <w:right w:val="nil"/>
            </w:tcBorders>
            <w:shd w:val="clear" w:color="000000" w:fill="DDEBF7"/>
            <w:noWrap/>
            <w:vAlign w:val="center"/>
            <w:hideMark/>
          </w:tcPr>
          <w:p w14:paraId="07FD3592"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Año13</w:t>
            </w:r>
          </w:p>
        </w:tc>
        <w:tc>
          <w:tcPr>
            <w:tcW w:w="706" w:type="dxa"/>
            <w:tcBorders>
              <w:top w:val="nil"/>
              <w:left w:val="nil"/>
              <w:bottom w:val="single" w:sz="4" w:space="0" w:color="auto"/>
              <w:right w:val="nil"/>
            </w:tcBorders>
            <w:shd w:val="clear" w:color="000000" w:fill="DDEBF7"/>
            <w:noWrap/>
            <w:vAlign w:val="center"/>
            <w:hideMark/>
          </w:tcPr>
          <w:p w14:paraId="17FCCEED"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Año14</w:t>
            </w:r>
          </w:p>
        </w:tc>
        <w:tc>
          <w:tcPr>
            <w:tcW w:w="709" w:type="dxa"/>
            <w:tcBorders>
              <w:top w:val="nil"/>
              <w:left w:val="nil"/>
              <w:bottom w:val="single" w:sz="4" w:space="0" w:color="auto"/>
              <w:right w:val="nil"/>
            </w:tcBorders>
            <w:shd w:val="clear" w:color="000000" w:fill="DDEBF7"/>
            <w:noWrap/>
            <w:vAlign w:val="center"/>
            <w:hideMark/>
          </w:tcPr>
          <w:p w14:paraId="589B0601"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w:t>
            </w:r>
            <w:r>
              <w:rPr>
                <w:rFonts w:ascii="Arial" w:hAnsi="Arial" w:cs="Arial"/>
                <w:b/>
                <w:bCs/>
                <w:sz w:val="14"/>
                <w:szCs w:val="14"/>
              </w:rPr>
              <w:t>5</w:t>
            </w:r>
          </w:p>
        </w:tc>
        <w:tc>
          <w:tcPr>
            <w:tcW w:w="847" w:type="dxa"/>
            <w:tcBorders>
              <w:top w:val="nil"/>
              <w:left w:val="nil"/>
              <w:bottom w:val="single" w:sz="4" w:space="0" w:color="auto"/>
            </w:tcBorders>
            <w:shd w:val="clear" w:color="000000" w:fill="DDEBF7"/>
            <w:noWrap/>
            <w:vAlign w:val="center"/>
            <w:hideMark/>
          </w:tcPr>
          <w:p w14:paraId="4E423F23"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Total</w:t>
            </w:r>
          </w:p>
        </w:tc>
      </w:tr>
      <w:tr w:rsidR="00820704" w:rsidRPr="00A43491" w14:paraId="64ED197E" w14:textId="77777777" w:rsidTr="00017096">
        <w:trPr>
          <w:trHeight w:val="300"/>
          <w:jc w:val="center"/>
        </w:trPr>
        <w:tc>
          <w:tcPr>
            <w:tcW w:w="1064" w:type="dxa"/>
            <w:tcBorders>
              <w:top w:val="single" w:sz="4" w:space="0" w:color="auto"/>
              <w:left w:val="nil"/>
              <w:right w:val="nil"/>
            </w:tcBorders>
            <w:shd w:val="clear" w:color="auto" w:fill="auto"/>
            <w:noWrap/>
            <w:vAlign w:val="center"/>
            <w:hideMark/>
          </w:tcPr>
          <w:p w14:paraId="7ADCB2FD" w14:textId="77777777" w:rsidR="00820704" w:rsidRPr="005B5674" w:rsidRDefault="00820704" w:rsidP="00820704">
            <w:pPr>
              <w:jc w:val="center"/>
              <w:rPr>
                <w:rFonts w:ascii="Arial" w:hAnsi="Arial" w:cs="Arial"/>
                <w:b/>
                <w:sz w:val="14"/>
                <w:szCs w:val="14"/>
              </w:rPr>
            </w:pPr>
            <w:r>
              <w:rPr>
                <w:rFonts w:ascii="Arial" w:hAnsi="Arial" w:cs="Arial"/>
                <w:sz w:val="14"/>
                <w:szCs w:val="14"/>
                <w:lang w:eastAsia="es-ES"/>
              </w:rPr>
              <w:t>Egresados de Univ.</w:t>
            </w:r>
          </w:p>
        </w:tc>
        <w:tc>
          <w:tcPr>
            <w:tcW w:w="568" w:type="dxa"/>
            <w:tcBorders>
              <w:top w:val="single" w:sz="4" w:space="0" w:color="auto"/>
              <w:left w:val="nil"/>
              <w:right w:val="nil"/>
            </w:tcBorders>
            <w:vAlign w:val="center"/>
          </w:tcPr>
          <w:p w14:paraId="7FCB9070" w14:textId="77777777" w:rsidR="00820704" w:rsidRPr="001A13B5" w:rsidRDefault="00820704" w:rsidP="00820704">
            <w:pPr>
              <w:jc w:val="center"/>
              <w:rPr>
                <w:rFonts w:ascii="Arial" w:hAnsi="Arial" w:cs="Arial"/>
                <w:b/>
                <w:sz w:val="14"/>
                <w:szCs w:val="14"/>
              </w:rPr>
            </w:pPr>
            <w:r w:rsidRPr="001A13B5">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3F7114B2" w14:textId="77777777" w:rsidR="00820704" w:rsidRPr="001A13B5" w:rsidRDefault="00820704" w:rsidP="00820704">
            <w:pPr>
              <w:jc w:val="center"/>
              <w:rPr>
                <w:rFonts w:ascii="Arial" w:hAnsi="Arial" w:cs="Arial"/>
                <w:b/>
                <w:sz w:val="14"/>
                <w:szCs w:val="14"/>
              </w:rPr>
            </w:pPr>
            <w:r w:rsidRPr="001A13B5">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7033BBD1" w14:textId="77777777" w:rsidR="00820704" w:rsidRPr="001A13B5" w:rsidRDefault="00820704" w:rsidP="00820704">
            <w:pPr>
              <w:jc w:val="center"/>
              <w:rPr>
                <w:rFonts w:ascii="Arial" w:hAnsi="Arial" w:cs="Arial"/>
                <w:b/>
                <w:sz w:val="14"/>
                <w:szCs w:val="14"/>
              </w:rPr>
            </w:pPr>
            <w:r w:rsidRPr="001A13B5">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0BB921E3" w14:textId="77777777" w:rsidR="00820704" w:rsidRPr="001A13B5" w:rsidRDefault="00820704" w:rsidP="00820704">
            <w:pPr>
              <w:jc w:val="center"/>
              <w:rPr>
                <w:rFonts w:ascii="Arial" w:hAnsi="Arial" w:cs="Arial"/>
                <w:b/>
                <w:sz w:val="14"/>
                <w:szCs w:val="14"/>
              </w:rPr>
            </w:pPr>
            <w:r w:rsidRPr="001A13B5">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5855B6BD" w14:textId="77777777" w:rsidR="00820704" w:rsidRPr="001A13B5" w:rsidRDefault="00820704" w:rsidP="00820704">
            <w:pPr>
              <w:jc w:val="center"/>
              <w:rPr>
                <w:rFonts w:ascii="Arial" w:hAnsi="Arial" w:cs="Arial"/>
                <w:b/>
                <w:sz w:val="14"/>
                <w:szCs w:val="14"/>
              </w:rPr>
            </w:pPr>
            <w:r w:rsidRPr="001A13B5">
              <w:rPr>
                <w:rFonts w:ascii="Arial" w:hAnsi="Arial" w:cs="Arial"/>
                <w:sz w:val="14"/>
                <w:szCs w:val="14"/>
              </w:rPr>
              <w:t>0</w:t>
            </w:r>
          </w:p>
        </w:tc>
        <w:tc>
          <w:tcPr>
            <w:tcW w:w="708" w:type="dxa"/>
            <w:tcBorders>
              <w:top w:val="single" w:sz="4" w:space="0" w:color="auto"/>
              <w:left w:val="nil"/>
              <w:right w:val="nil"/>
            </w:tcBorders>
            <w:shd w:val="clear" w:color="auto" w:fill="auto"/>
            <w:noWrap/>
            <w:vAlign w:val="center"/>
            <w:hideMark/>
          </w:tcPr>
          <w:p w14:paraId="6B50501E" w14:textId="6953FA3C" w:rsidR="00820704" w:rsidRPr="00017096" w:rsidRDefault="00820704" w:rsidP="00820704">
            <w:pPr>
              <w:jc w:val="center"/>
              <w:rPr>
                <w:rFonts w:ascii="Arial" w:hAnsi="Arial" w:cs="Arial"/>
                <w:sz w:val="14"/>
                <w:szCs w:val="14"/>
              </w:rPr>
            </w:pPr>
            <w:r w:rsidRPr="00017096">
              <w:rPr>
                <w:rFonts w:ascii="Arial" w:hAnsi="Arial" w:cs="Arial"/>
                <w:sz w:val="14"/>
                <w:szCs w:val="14"/>
              </w:rPr>
              <w:t>23</w:t>
            </w:r>
            <w:r>
              <w:rPr>
                <w:rFonts w:ascii="Arial" w:hAnsi="Arial" w:cs="Arial"/>
                <w:sz w:val="14"/>
                <w:szCs w:val="14"/>
              </w:rPr>
              <w:t>.</w:t>
            </w:r>
            <w:r w:rsidRPr="00017096">
              <w:rPr>
                <w:rFonts w:ascii="Arial" w:hAnsi="Arial" w:cs="Arial"/>
                <w:sz w:val="14"/>
                <w:szCs w:val="14"/>
              </w:rPr>
              <w:t>973</w:t>
            </w:r>
          </w:p>
        </w:tc>
        <w:tc>
          <w:tcPr>
            <w:tcW w:w="709" w:type="dxa"/>
            <w:tcBorders>
              <w:top w:val="single" w:sz="4" w:space="0" w:color="auto"/>
              <w:left w:val="nil"/>
              <w:right w:val="nil"/>
            </w:tcBorders>
            <w:shd w:val="clear" w:color="auto" w:fill="auto"/>
            <w:noWrap/>
            <w:vAlign w:val="center"/>
            <w:hideMark/>
          </w:tcPr>
          <w:p w14:paraId="031E787A" w14:textId="06F14B74" w:rsidR="00820704" w:rsidRPr="00017096" w:rsidRDefault="00820704" w:rsidP="00820704">
            <w:pPr>
              <w:jc w:val="center"/>
              <w:rPr>
                <w:rFonts w:ascii="Arial" w:hAnsi="Arial" w:cs="Arial"/>
                <w:sz w:val="14"/>
                <w:szCs w:val="14"/>
              </w:rPr>
            </w:pPr>
            <w:r w:rsidRPr="00017096">
              <w:rPr>
                <w:rFonts w:ascii="Arial" w:hAnsi="Arial" w:cs="Arial"/>
                <w:sz w:val="14"/>
                <w:szCs w:val="14"/>
              </w:rPr>
              <w:t>27</w:t>
            </w:r>
            <w:r>
              <w:rPr>
                <w:rFonts w:ascii="Arial" w:hAnsi="Arial" w:cs="Arial"/>
                <w:sz w:val="14"/>
                <w:szCs w:val="14"/>
              </w:rPr>
              <w:t>.</w:t>
            </w:r>
            <w:r w:rsidRPr="00017096">
              <w:rPr>
                <w:rFonts w:ascii="Arial" w:hAnsi="Arial" w:cs="Arial"/>
                <w:sz w:val="14"/>
                <w:szCs w:val="14"/>
              </w:rPr>
              <w:t>650</w:t>
            </w:r>
          </w:p>
        </w:tc>
        <w:tc>
          <w:tcPr>
            <w:tcW w:w="709" w:type="dxa"/>
            <w:tcBorders>
              <w:top w:val="single" w:sz="4" w:space="0" w:color="auto"/>
              <w:left w:val="nil"/>
              <w:right w:val="nil"/>
            </w:tcBorders>
            <w:shd w:val="clear" w:color="auto" w:fill="auto"/>
            <w:noWrap/>
            <w:vAlign w:val="center"/>
            <w:hideMark/>
          </w:tcPr>
          <w:p w14:paraId="43009140" w14:textId="78304AB1" w:rsidR="00820704" w:rsidRPr="00017096" w:rsidRDefault="00820704" w:rsidP="00820704">
            <w:pPr>
              <w:jc w:val="center"/>
              <w:rPr>
                <w:rFonts w:ascii="Arial" w:hAnsi="Arial" w:cs="Arial"/>
                <w:sz w:val="14"/>
                <w:szCs w:val="14"/>
              </w:rPr>
            </w:pPr>
            <w:r w:rsidRPr="00017096">
              <w:rPr>
                <w:rFonts w:ascii="Arial" w:hAnsi="Arial" w:cs="Arial"/>
                <w:sz w:val="14"/>
                <w:szCs w:val="14"/>
              </w:rPr>
              <w:t>31</w:t>
            </w:r>
            <w:r>
              <w:rPr>
                <w:rFonts w:ascii="Arial" w:hAnsi="Arial" w:cs="Arial"/>
                <w:sz w:val="14"/>
                <w:szCs w:val="14"/>
              </w:rPr>
              <w:t>.</w:t>
            </w:r>
            <w:r w:rsidRPr="00017096">
              <w:rPr>
                <w:rFonts w:ascii="Arial" w:hAnsi="Arial" w:cs="Arial"/>
                <w:sz w:val="14"/>
                <w:szCs w:val="14"/>
              </w:rPr>
              <w:t>628</w:t>
            </w:r>
          </w:p>
        </w:tc>
        <w:tc>
          <w:tcPr>
            <w:tcW w:w="709" w:type="dxa"/>
            <w:tcBorders>
              <w:top w:val="single" w:sz="4" w:space="0" w:color="auto"/>
              <w:left w:val="nil"/>
              <w:right w:val="nil"/>
            </w:tcBorders>
            <w:shd w:val="clear" w:color="auto" w:fill="auto"/>
            <w:noWrap/>
            <w:vAlign w:val="center"/>
            <w:hideMark/>
          </w:tcPr>
          <w:p w14:paraId="07D10F2F" w14:textId="6F93C9BA" w:rsidR="00820704" w:rsidRPr="00017096" w:rsidRDefault="00820704" w:rsidP="00820704">
            <w:pPr>
              <w:jc w:val="center"/>
              <w:rPr>
                <w:rFonts w:ascii="Arial" w:hAnsi="Arial" w:cs="Arial"/>
                <w:sz w:val="14"/>
                <w:szCs w:val="14"/>
              </w:rPr>
            </w:pPr>
            <w:r w:rsidRPr="00017096">
              <w:rPr>
                <w:rFonts w:ascii="Arial" w:hAnsi="Arial" w:cs="Arial"/>
                <w:sz w:val="14"/>
                <w:szCs w:val="14"/>
              </w:rPr>
              <w:t>35</w:t>
            </w:r>
            <w:r>
              <w:rPr>
                <w:rFonts w:ascii="Arial" w:hAnsi="Arial" w:cs="Arial"/>
                <w:sz w:val="14"/>
                <w:szCs w:val="14"/>
              </w:rPr>
              <w:t>.</w:t>
            </w:r>
            <w:r w:rsidRPr="00017096">
              <w:rPr>
                <w:rFonts w:ascii="Arial" w:hAnsi="Arial" w:cs="Arial"/>
                <w:sz w:val="14"/>
                <w:szCs w:val="14"/>
              </w:rPr>
              <w:t>927</w:t>
            </w:r>
          </w:p>
        </w:tc>
        <w:tc>
          <w:tcPr>
            <w:tcW w:w="715" w:type="dxa"/>
            <w:tcBorders>
              <w:top w:val="single" w:sz="4" w:space="0" w:color="auto"/>
              <w:left w:val="nil"/>
              <w:right w:val="nil"/>
            </w:tcBorders>
            <w:shd w:val="clear" w:color="auto" w:fill="auto"/>
            <w:noWrap/>
            <w:vAlign w:val="center"/>
            <w:hideMark/>
          </w:tcPr>
          <w:p w14:paraId="7A403AC3" w14:textId="5F9C11FD" w:rsidR="00820704" w:rsidRPr="00017096" w:rsidRDefault="00820704" w:rsidP="00820704">
            <w:pPr>
              <w:jc w:val="center"/>
              <w:rPr>
                <w:rFonts w:ascii="Arial" w:hAnsi="Arial" w:cs="Arial"/>
                <w:sz w:val="14"/>
                <w:szCs w:val="14"/>
              </w:rPr>
            </w:pPr>
            <w:r w:rsidRPr="00017096">
              <w:rPr>
                <w:rFonts w:ascii="Arial" w:hAnsi="Arial" w:cs="Arial"/>
                <w:sz w:val="14"/>
                <w:szCs w:val="14"/>
              </w:rPr>
              <w:t>41</w:t>
            </w:r>
            <w:r>
              <w:rPr>
                <w:rFonts w:ascii="Arial" w:hAnsi="Arial" w:cs="Arial"/>
                <w:sz w:val="14"/>
                <w:szCs w:val="14"/>
              </w:rPr>
              <w:t>.</w:t>
            </w:r>
            <w:r w:rsidRPr="00017096">
              <w:rPr>
                <w:rFonts w:ascii="Arial" w:hAnsi="Arial" w:cs="Arial"/>
                <w:sz w:val="14"/>
                <w:szCs w:val="14"/>
              </w:rPr>
              <w:t>992</w:t>
            </w:r>
          </w:p>
        </w:tc>
        <w:tc>
          <w:tcPr>
            <w:tcW w:w="709" w:type="dxa"/>
            <w:tcBorders>
              <w:top w:val="single" w:sz="4" w:space="0" w:color="auto"/>
              <w:left w:val="nil"/>
              <w:right w:val="nil"/>
            </w:tcBorders>
            <w:shd w:val="clear" w:color="auto" w:fill="auto"/>
            <w:noWrap/>
            <w:vAlign w:val="center"/>
            <w:hideMark/>
          </w:tcPr>
          <w:p w14:paraId="0D1B4FFE" w14:textId="5170E639" w:rsidR="00820704" w:rsidRPr="00017096" w:rsidRDefault="00820704" w:rsidP="00820704">
            <w:pPr>
              <w:jc w:val="center"/>
              <w:rPr>
                <w:rFonts w:ascii="Arial" w:hAnsi="Arial" w:cs="Arial"/>
                <w:sz w:val="14"/>
                <w:szCs w:val="14"/>
              </w:rPr>
            </w:pPr>
            <w:r w:rsidRPr="00017096">
              <w:rPr>
                <w:rFonts w:ascii="Arial" w:hAnsi="Arial" w:cs="Arial"/>
                <w:sz w:val="14"/>
                <w:szCs w:val="14"/>
              </w:rPr>
              <w:t>44</w:t>
            </w:r>
            <w:r>
              <w:rPr>
                <w:rFonts w:ascii="Arial" w:hAnsi="Arial" w:cs="Arial"/>
                <w:sz w:val="14"/>
                <w:szCs w:val="14"/>
              </w:rPr>
              <w:t>.</w:t>
            </w:r>
            <w:r w:rsidRPr="00017096">
              <w:rPr>
                <w:rFonts w:ascii="Arial" w:hAnsi="Arial" w:cs="Arial"/>
                <w:sz w:val="14"/>
                <w:szCs w:val="14"/>
              </w:rPr>
              <w:t>054</w:t>
            </w:r>
          </w:p>
        </w:tc>
        <w:tc>
          <w:tcPr>
            <w:tcW w:w="709" w:type="dxa"/>
            <w:tcBorders>
              <w:top w:val="single" w:sz="4" w:space="0" w:color="auto"/>
              <w:left w:val="nil"/>
              <w:right w:val="nil"/>
            </w:tcBorders>
            <w:shd w:val="clear" w:color="auto" w:fill="auto"/>
            <w:noWrap/>
            <w:vAlign w:val="center"/>
            <w:hideMark/>
          </w:tcPr>
          <w:p w14:paraId="6BD86E34" w14:textId="2FA66DC3" w:rsidR="00820704" w:rsidRPr="00017096" w:rsidRDefault="00820704" w:rsidP="00820704">
            <w:pPr>
              <w:jc w:val="center"/>
              <w:rPr>
                <w:rFonts w:ascii="Arial" w:hAnsi="Arial" w:cs="Arial"/>
                <w:sz w:val="14"/>
                <w:szCs w:val="14"/>
              </w:rPr>
            </w:pPr>
            <w:r w:rsidRPr="00017096">
              <w:rPr>
                <w:rFonts w:ascii="Arial" w:hAnsi="Arial" w:cs="Arial"/>
                <w:sz w:val="14"/>
                <w:szCs w:val="14"/>
              </w:rPr>
              <w:t>41</w:t>
            </w:r>
            <w:r>
              <w:rPr>
                <w:rFonts w:ascii="Arial" w:hAnsi="Arial" w:cs="Arial"/>
                <w:sz w:val="14"/>
                <w:szCs w:val="14"/>
              </w:rPr>
              <w:t>.</w:t>
            </w:r>
            <w:r w:rsidRPr="00017096">
              <w:rPr>
                <w:rFonts w:ascii="Arial" w:hAnsi="Arial" w:cs="Arial"/>
                <w:sz w:val="14"/>
                <w:szCs w:val="14"/>
              </w:rPr>
              <w:t>477</w:t>
            </w:r>
          </w:p>
        </w:tc>
        <w:tc>
          <w:tcPr>
            <w:tcW w:w="708" w:type="dxa"/>
            <w:tcBorders>
              <w:top w:val="single" w:sz="4" w:space="0" w:color="auto"/>
              <w:left w:val="nil"/>
              <w:right w:val="nil"/>
            </w:tcBorders>
            <w:shd w:val="clear" w:color="auto" w:fill="auto"/>
            <w:noWrap/>
            <w:vAlign w:val="center"/>
            <w:hideMark/>
          </w:tcPr>
          <w:p w14:paraId="6908C42A" w14:textId="08C05A96" w:rsidR="00820704" w:rsidRPr="00017096" w:rsidRDefault="00820704" w:rsidP="00820704">
            <w:pPr>
              <w:jc w:val="center"/>
              <w:rPr>
                <w:rFonts w:ascii="Arial" w:hAnsi="Arial" w:cs="Arial"/>
                <w:sz w:val="14"/>
                <w:szCs w:val="14"/>
              </w:rPr>
            </w:pPr>
            <w:r w:rsidRPr="00017096">
              <w:rPr>
                <w:rFonts w:ascii="Arial" w:hAnsi="Arial" w:cs="Arial"/>
                <w:sz w:val="14"/>
                <w:szCs w:val="14"/>
              </w:rPr>
              <w:t>40</w:t>
            </w:r>
            <w:r>
              <w:rPr>
                <w:rFonts w:ascii="Arial" w:hAnsi="Arial" w:cs="Arial"/>
                <w:sz w:val="14"/>
                <w:szCs w:val="14"/>
              </w:rPr>
              <w:t>.</w:t>
            </w:r>
            <w:r w:rsidRPr="00017096">
              <w:rPr>
                <w:rFonts w:ascii="Arial" w:hAnsi="Arial" w:cs="Arial"/>
                <w:sz w:val="14"/>
                <w:szCs w:val="14"/>
              </w:rPr>
              <w:t>176</w:t>
            </w:r>
          </w:p>
        </w:tc>
        <w:tc>
          <w:tcPr>
            <w:tcW w:w="706" w:type="dxa"/>
            <w:tcBorders>
              <w:top w:val="single" w:sz="4" w:space="0" w:color="auto"/>
              <w:left w:val="nil"/>
              <w:right w:val="nil"/>
            </w:tcBorders>
            <w:shd w:val="clear" w:color="auto" w:fill="auto"/>
            <w:noWrap/>
            <w:vAlign w:val="center"/>
            <w:hideMark/>
          </w:tcPr>
          <w:p w14:paraId="105A6217" w14:textId="3FD21955" w:rsidR="00820704" w:rsidRPr="00017096" w:rsidRDefault="00820704" w:rsidP="00820704">
            <w:pPr>
              <w:jc w:val="center"/>
              <w:rPr>
                <w:rFonts w:ascii="Arial" w:hAnsi="Arial" w:cs="Arial"/>
                <w:sz w:val="14"/>
                <w:szCs w:val="14"/>
              </w:rPr>
            </w:pPr>
            <w:r w:rsidRPr="00017096">
              <w:rPr>
                <w:rFonts w:ascii="Arial" w:hAnsi="Arial" w:cs="Arial"/>
                <w:sz w:val="14"/>
                <w:szCs w:val="14"/>
              </w:rPr>
              <w:t>36</w:t>
            </w:r>
            <w:r>
              <w:rPr>
                <w:rFonts w:ascii="Arial" w:hAnsi="Arial" w:cs="Arial"/>
                <w:sz w:val="14"/>
                <w:szCs w:val="14"/>
              </w:rPr>
              <w:t>.</w:t>
            </w:r>
            <w:r w:rsidRPr="00017096">
              <w:rPr>
                <w:rFonts w:ascii="Arial" w:hAnsi="Arial" w:cs="Arial"/>
                <w:sz w:val="14"/>
                <w:szCs w:val="14"/>
              </w:rPr>
              <w:t>901</w:t>
            </w:r>
          </w:p>
        </w:tc>
        <w:tc>
          <w:tcPr>
            <w:tcW w:w="709" w:type="dxa"/>
            <w:tcBorders>
              <w:top w:val="single" w:sz="4" w:space="0" w:color="auto"/>
              <w:left w:val="nil"/>
              <w:right w:val="nil"/>
            </w:tcBorders>
            <w:shd w:val="clear" w:color="auto" w:fill="auto"/>
            <w:noWrap/>
            <w:vAlign w:val="center"/>
            <w:hideMark/>
          </w:tcPr>
          <w:p w14:paraId="7671D63B" w14:textId="104D591D" w:rsidR="00820704" w:rsidRPr="00017096" w:rsidRDefault="00820704" w:rsidP="00820704">
            <w:pPr>
              <w:jc w:val="center"/>
              <w:rPr>
                <w:rFonts w:ascii="Arial" w:hAnsi="Arial" w:cs="Arial"/>
                <w:sz w:val="14"/>
                <w:szCs w:val="14"/>
              </w:rPr>
            </w:pPr>
            <w:r w:rsidRPr="00017096">
              <w:rPr>
                <w:rFonts w:ascii="Arial" w:hAnsi="Arial" w:cs="Arial"/>
                <w:sz w:val="14"/>
                <w:szCs w:val="14"/>
              </w:rPr>
              <w:t>35</w:t>
            </w:r>
            <w:r>
              <w:rPr>
                <w:rFonts w:ascii="Arial" w:hAnsi="Arial" w:cs="Arial"/>
                <w:sz w:val="14"/>
                <w:szCs w:val="14"/>
              </w:rPr>
              <w:t>.</w:t>
            </w:r>
            <w:r w:rsidRPr="00017096">
              <w:rPr>
                <w:rFonts w:ascii="Arial" w:hAnsi="Arial" w:cs="Arial"/>
                <w:sz w:val="14"/>
                <w:szCs w:val="14"/>
              </w:rPr>
              <w:t>015</w:t>
            </w:r>
          </w:p>
        </w:tc>
        <w:tc>
          <w:tcPr>
            <w:tcW w:w="847" w:type="dxa"/>
            <w:tcBorders>
              <w:top w:val="single" w:sz="4" w:space="0" w:color="auto"/>
              <w:left w:val="nil"/>
              <w:right w:val="nil"/>
            </w:tcBorders>
            <w:shd w:val="clear" w:color="auto" w:fill="auto"/>
            <w:noWrap/>
            <w:vAlign w:val="center"/>
            <w:hideMark/>
          </w:tcPr>
          <w:p w14:paraId="08349963" w14:textId="5E80F4FA" w:rsidR="00820704" w:rsidRPr="00017096" w:rsidRDefault="00820704" w:rsidP="00820704">
            <w:pPr>
              <w:jc w:val="center"/>
              <w:rPr>
                <w:rFonts w:ascii="Arial" w:hAnsi="Arial" w:cs="Arial"/>
                <w:sz w:val="14"/>
                <w:szCs w:val="14"/>
              </w:rPr>
            </w:pPr>
            <w:r w:rsidRPr="00017096">
              <w:rPr>
                <w:rFonts w:ascii="Arial" w:hAnsi="Arial" w:cs="Arial"/>
                <w:sz w:val="14"/>
                <w:szCs w:val="14"/>
              </w:rPr>
              <w:t>358</w:t>
            </w:r>
            <w:r>
              <w:rPr>
                <w:rFonts w:ascii="Arial" w:hAnsi="Arial" w:cs="Arial"/>
                <w:sz w:val="14"/>
                <w:szCs w:val="14"/>
              </w:rPr>
              <w:t>.</w:t>
            </w:r>
            <w:r w:rsidRPr="00017096">
              <w:rPr>
                <w:rFonts w:ascii="Arial" w:hAnsi="Arial" w:cs="Arial"/>
                <w:sz w:val="14"/>
                <w:szCs w:val="14"/>
              </w:rPr>
              <w:t>792</w:t>
            </w:r>
          </w:p>
        </w:tc>
      </w:tr>
      <w:tr w:rsidR="00820704" w:rsidRPr="00A43491" w14:paraId="0B659A3F" w14:textId="77777777" w:rsidTr="00017096">
        <w:trPr>
          <w:trHeight w:val="300"/>
          <w:jc w:val="center"/>
        </w:trPr>
        <w:tc>
          <w:tcPr>
            <w:tcW w:w="1064" w:type="dxa"/>
            <w:tcBorders>
              <w:left w:val="nil"/>
              <w:bottom w:val="single" w:sz="4" w:space="0" w:color="auto"/>
              <w:right w:val="nil"/>
            </w:tcBorders>
            <w:shd w:val="clear" w:color="auto" w:fill="auto"/>
            <w:noWrap/>
            <w:vAlign w:val="center"/>
          </w:tcPr>
          <w:p w14:paraId="76F7EF41" w14:textId="77777777" w:rsidR="00820704" w:rsidRPr="005B5674" w:rsidRDefault="00820704" w:rsidP="00820704">
            <w:pPr>
              <w:jc w:val="center"/>
              <w:rPr>
                <w:rFonts w:ascii="Arial" w:hAnsi="Arial" w:cs="Arial"/>
                <w:sz w:val="14"/>
                <w:szCs w:val="14"/>
                <w:lang w:eastAsia="es-ES"/>
              </w:rPr>
            </w:pPr>
            <w:r>
              <w:rPr>
                <w:rFonts w:ascii="Arial" w:hAnsi="Arial" w:cs="Arial"/>
                <w:sz w:val="14"/>
                <w:szCs w:val="14"/>
                <w:lang w:eastAsia="es-ES"/>
              </w:rPr>
              <w:t>Egresados de IEST</w:t>
            </w:r>
          </w:p>
        </w:tc>
        <w:tc>
          <w:tcPr>
            <w:tcW w:w="568" w:type="dxa"/>
            <w:tcBorders>
              <w:left w:val="nil"/>
              <w:bottom w:val="single" w:sz="4" w:space="0" w:color="auto"/>
              <w:right w:val="nil"/>
            </w:tcBorders>
            <w:vAlign w:val="center"/>
          </w:tcPr>
          <w:p w14:paraId="20A293D1" w14:textId="77777777" w:rsidR="00820704" w:rsidRPr="001A13B5" w:rsidRDefault="00820704" w:rsidP="00820704">
            <w:pPr>
              <w:jc w:val="center"/>
              <w:rPr>
                <w:rFonts w:ascii="Arial" w:hAnsi="Arial" w:cs="Arial"/>
                <w:sz w:val="14"/>
                <w:szCs w:val="14"/>
              </w:rPr>
            </w:pPr>
            <w:r w:rsidRPr="001A13B5">
              <w:rPr>
                <w:rFonts w:ascii="Arial" w:hAnsi="Arial" w:cs="Arial"/>
                <w:sz w:val="14"/>
                <w:szCs w:val="14"/>
              </w:rPr>
              <w:t>0</w:t>
            </w:r>
          </w:p>
        </w:tc>
        <w:tc>
          <w:tcPr>
            <w:tcW w:w="567" w:type="dxa"/>
            <w:tcBorders>
              <w:left w:val="nil"/>
              <w:bottom w:val="single" w:sz="4" w:space="0" w:color="auto"/>
              <w:right w:val="nil"/>
            </w:tcBorders>
            <w:shd w:val="clear" w:color="auto" w:fill="auto"/>
            <w:noWrap/>
            <w:vAlign w:val="center"/>
          </w:tcPr>
          <w:p w14:paraId="180D6E81" w14:textId="77777777" w:rsidR="00820704" w:rsidRPr="001A13B5" w:rsidRDefault="00820704" w:rsidP="00820704">
            <w:pPr>
              <w:jc w:val="center"/>
              <w:rPr>
                <w:rFonts w:ascii="Arial" w:hAnsi="Arial" w:cs="Arial"/>
                <w:sz w:val="14"/>
                <w:szCs w:val="14"/>
              </w:rPr>
            </w:pPr>
            <w:r w:rsidRPr="001A13B5">
              <w:rPr>
                <w:rFonts w:ascii="Arial" w:hAnsi="Arial" w:cs="Arial"/>
                <w:sz w:val="14"/>
                <w:szCs w:val="14"/>
              </w:rPr>
              <w:t>0</w:t>
            </w:r>
          </w:p>
        </w:tc>
        <w:tc>
          <w:tcPr>
            <w:tcW w:w="567" w:type="dxa"/>
            <w:tcBorders>
              <w:left w:val="nil"/>
              <w:bottom w:val="single" w:sz="4" w:space="0" w:color="auto"/>
              <w:right w:val="nil"/>
            </w:tcBorders>
            <w:shd w:val="clear" w:color="auto" w:fill="auto"/>
            <w:noWrap/>
            <w:vAlign w:val="center"/>
          </w:tcPr>
          <w:p w14:paraId="5654F978" w14:textId="77777777" w:rsidR="00820704" w:rsidRPr="001A13B5" w:rsidRDefault="00820704" w:rsidP="00820704">
            <w:pPr>
              <w:jc w:val="center"/>
              <w:rPr>
                <w:rFonts w:ascii="Arial" w:hAnsi="Arial" w:cs="Arial"/>
                <w:sz w:val="14"/>
                <w:szCs w:val="14"/>
              </w:rPr>
            </w:pPr>
            <w:r w:rsidRPr="001A13B5">
              <w:rPr>
                <w:rFonts w:ascii="Arial" w:hAnsi="Arial" w:cs="Arial"/>
                <w:sz w:val="14"/>
                <w:szCs w:val="14"/>
              </w:rPr>
              <w:t>0</w:t>
            </w:r>
          </w:p>
        </w:tc>
        <w:tc>
          <w:tcPr>
            <w:tcW w:w="567" w:type="dxa"/>
            <w:tcBorders>
              <w:left w:val="nil"/>
              <w:bottom w:val="single" w:sz="4" w:space="0" w:color="auto"/>
              <w:right w:val="nil"/>
            </w:tcBorders>
            <w:shd w:val="clear" w:color="auto" w:fill="auto"/>
            <w:noWrap/>
            <w:vAlign w:val="center"/>
          </w:tcPr>
          <w:p w14:paraId="14F349B0" w14:textId="77777777" w:rsidR="00820704" w:rsidRPr="001A13B5" w:rsidRDefault="00820704" w:rsidP="00820704">
            <w:pPr>
              <w:jc w:val="center"/>
              <w:rPr>
                <w:rFonts w:ascii="Arial" w:hAnsi="Arial" w:cs="Arial"/>
                <w:sz w:val="14"/>
                <w:szCs w:val="14"/>
              </w:rPr>
            </w:pPr>
            <w:r w:rsidRPr="001A13B5">
              <w:rPr>
                <w:rFonts w:ascii="Arial" w:hAnsi="Arial" w:cs="Arial"/>
                <w:sz w:val="14"/>
                <w:szCs w:val="14"/>
              </w:rPr>
              <w:t>0</w:t>
            </w:r>
          </w:p>
        </w:tc>
        <w:tc>
          <w:tcPr>
            <w:tcW w:w="567" w:type="dxa"/>
            <w:tcBorders>
              <w:left w:val="nil"/>
              <w:bottom w:val="single" w:sz="4" w:space="0" w:color="auto"/>
              <w:right w:val="nil"/>
            </w:tcBorders>
            <w:shd w:val="clear" w:color="auto" w:fill="auto"/>
            <w:noWrap/>
            <w:vAlign w:val="center"/>
          </w:tcPr>
          <w:p w14:paraId="545E974A" w14:textId="77777777" w:rsidR="00820704" w:rsidRPr="001A13B5" w:rsidRDefault="00820704" w:rsidP="00820704">
            <w:pPr>
              <w:jc w:val="center"/>
              <w:rPr>
                <w:rFonts w:ascii="Arial" w:hAnsi="Arial" w:cs="Arial"/>
                <w:sz w:val="14"/>
                <w:szCs w:val="14"/>
              </w:rPr>
            </w:pPr>
            <w:r w:rsidRPr="001A13B5">
              <w:rPr>
                <w:rFonts w:ascii="Arial" w:hAnsi="Arial" w:cs="Arial"/>
                <w:sz w:val="14"/>
                <w:szCs w:val="14"/>
              </w:rPr>
              <w:t>0</w:t>
            </w:r>
          </w:p>
        </w:tc>
        <w:tc>
          <w:tcPr>
            <w:tcW w:w="708" w:type="dxa"/>
            <w:tcBorders>
              <w:left w:val="nil"/>
              <w:bottom w:val="single" w:sz="4" w:space="0" w:color="auto"/>
              <w:right w:val="nil"/>
            </w:tcBorders>
            <w:shd w:val="clear" w:color="auto" w:fill="auto"/>
            <w:noWrap/>
            <w:vAlign w:val="center"/>
          </w:tcPr>
          <w:p w14:paraId="4BDECE1F" w14:textId="37260E9E" w:rsidR="00820704" w:rsidRPr="001A13B5" w:rsidRDefault="00820704" w:rsidP="00820704">
            <w:pPr>
              <w:jc w:val="center"/>
              <w:rPr>
                <w:rFonts w:ascii="Arial" w:hAnsi="Arial" w:cs="Arial"/>
                <w:sz w:val="14"/>
                <w:szCs w:val="14"/>
              </w:rPr>
            </w:pPr>
            <w:r w:rsidRPr="00017096">
              <w:rPr>
                <w:rFonts w:ascii="Arial" w:hAnsi="Arial" w:cs="Arial"/>
                <w:sz w:val="14"/>
                <w:szCs w:val="14"/>
              </w:rPr>
              <w:t>9</w:t>
            </w:r>
            <w:r>
              <w:rPr>
                <w:rFonts w:ascii="Arial" w:hAnsi="Arial" w:cs="Arial"/>
                <w:sz w:val="14"/>
                <w:szCs w:val="14"/>
              </w:rPr>
              <w:t>.</w:t>
            </w:r>
            <w:r w:rsidRPr="00017096">
              <w:rPr>
                <w:rFonts w:ascii="Arial" w:hAnsi="Arial" w:cs="Arial"/>
                <w:sz w:val="14"/>
                <w:szCs w:val="14"/>
              </w:rPr>
              <w:t>757</w:t>
            </w:r>
          </w:p>
        </w:tc>
        <w:tc>
          <w:tcPr>
            <w:tcW w:w="709" w:type="dxa"/>
            <w:tcBorders>
              <w:left w:val="nil"/>
              <w:bottom w:val="single" w:sz="4" w:space="0" w:color="auto"/>
              <w:right w:val="nil"/>
            </w:tcBorders>
            <w:shd w:val="clear" w:color="auto" w:fill="auto"/>
            <w:noWrap/>
            <w:vAlign w:val="center"/>
          </w:tcPr>
          <w:p w14:paraId="3D9645BE" w14:textId="3B3C59F3" w:rsidR="00820704" w:rsidRPr="001A13B5" w:rsidRDefault="00820704" w:rsidP="00820704">
            <w:pPr>
              <w:jc w:val="center"/>
              <w:rPr>
                <w:rFonts w:ascii="Arial" w:hAnsi="Arial" w:cs="Arial"/>
                <w:sz w:val="14"/>
                <w:szCs w:val="14"/>
              </w:rPr>
            </w:pPr>
            <w:r w:rsidRPr="00017096">
              <w:rPr>
                <w:rFonts w:ascii="Arial" w:hAnsi="Arial" w:cs="Arial"/>
                <w:sz w:val="14"/>
                <w:szCs w:val="14"/>
              </w:rPr>
              <w:t>11</w:t>
            </w:r>
            <w:r>
              <w:rPr>
                <w:rFonts w:ascii="Arial" w:hAnsi="Arial" w:cs="Arial"/>
                <w:sz w:val="14"/>
                <w:szCs w:val="14"/>
              </w:rPr>
              <w:t>.</w:t>
            </w:r>
            <w:r w:rsidRPr="00017096">
              <w:rPr>
                <w:rFonts w:ascii="Arial" w:hAnsi="Arial" w:cs="Arial"/>
                <w:sz w:val="14"/>
                <w:szCs w:val="14"/>
              </w:rPr>
              <w:t>299</w:t>
            </w:r>
          </w:p>
        </w:tc>
        <w:tc>
          <w:tcPr>
            <w:tcW w:w="709" w:type="dxa"/>
            <w:tcBorders>
              <w:left w:val="nil"/>
              <w:bottom w:val="single" w:sz="4" w:space="0" w:color="auto"/>
              <w:right w:val="nil"/>
            </w:tcBorders>
            <w:shd w:val="clear" w:color="auto" w:fill="auto"/>
            <w:noWrap/>
            <w:vAlign w:val="center"/>
          </w:tcPr>
          <w:p w14:paraId="48FE52A1" w14:textId="595BEA50" w:rsidR="00820704" w:rsidRPr="001A13B5" w:rsidRDefault="00820704" w:rsidP="00820704">
            <w:pPr>
              <w:jc w:val="center"/>
              <w:rPr>
                <w:rFonts w:ascii="Arial" w:hAnsi="Arial" w:cs="Arial"/>
                <w:sz w:val="14"/>
                <w:szCs w:val="14"/>
              </w:rPr>
            </w:pPr>
            <w:r w:rsidRPr="00017096">
              <w:rPr>
                <w:rFonts w:ascii="Arial" w:hAnsi="Arial" w:cs="Arial"/>
                <w:sz w:val="14"/>
                <w:szCs w:val="14"/>
              </w:rPr>
              <w:t>12</w:t>
            </w:r>
            <w:r>
              <w:rPr>
                <w:rFonts w:ascii="Arial" w:hAnsi="Arial" w:cs="Arial"/>
                <w:sz w:val="14"/>
                <w:szCs w:val="14"/>
              </w:rPr>
              <w:t>.</w:t>
            </w:r>
            <w:r w:rsidRPr="00017096">
              <w:rPr>
                <w:rFonts w:ascii="Arial" w:hAnsi="Arial" w:cs="Arial"/>
                <w:sz w:val="14"/>
                <w:szCs w:val="14"/>
              </w:rPr>
              <w:t>979</w:t>
            </w:r>
          </w:p>
        </w:tc>
        <w:tc>
          <w:tcPr>
            <w:tcW w:w="709" w:type="dxa"/>
            <w:tcBorders>
              <w:left w:val="nil"/>
              <w:bottom w:val="single" w:sz="4" w:space="0" w:color="auto"/>
              <w:right w:val="nil"/>
            </w:tcBorders>
            <w:shd w:val="clear" w:color="auto" w:fill="auto"/>
            <w:noWrap/>
            <w:vAlign w:val="center"/>
          </w:tcPr>
          <w:p w14:paraId="5FB4C4B3" w14:textId="2C4AD2A6" w:rsidR="00820704" w:rsidRPr="001A13B5" w:rsidRDefault="00820704" w:rsidP="00820704">
            <w:pPr>
              <w:jc w:val="center"/>
              <w:rPr>
                <w:rFonts w:ascii="Arial" w:hAnsi="Arial" w:cs="Arial"/>
                <w:sz w:val="14"/>
                <w:szCs w:val="14"/>
              </w:rPr>
            </w:pPr>
            <w:r w:rsidRPr="00017096">
              <w:rPr>
                <w:rFonts w:ascii="Arial" w:hAnsi="Arial" w:cs="Arial"/>
                <w:sz w:val="14"/>
                <w:szCs w:val="14"/>
              </w:rPr>
              <w:t>14</w:t>
            </w:r>
            <w:r>
              <w:rPr>
                <w:rFonts w:ascii="Arial" w:hAnsi="Arial" w:cs="Arial"/>
                <w:sz w:val="14"/>
                <w:szCs w:val="14"/>
              </w:rPr>
              <w:t>.</w:t>
            </w:r>
            <w:r w:rsidRPr="00017096">
              <w:rPr>
                <w:rFonts w:ascii="Arial" w:hAnsi="Arial" w:cs="Arial"/>
                <w:sz w:val="14"/>
                <w:szCs w:val="14"/>
              </w:rPr>
              <w:t>806</w:t>
            </w:r>
          </w:p>
        </w:tc>
        <w:tc>
          <w:tcPr>
            <w:tcW w:w="715" w:type="dxa"/>
            <w:tcBorders>
              <w:left w:val="nil"/>
              <w:bottom w:val="single" w:sz="4" w:space="0" w:color="auto"/>
              <w:right w:val="nil"/>
            </w:tcBorders>
            <w:shd w:val="clear" w:color="auto" w:fill="auto"/>
            <w:noWrap/>
            <w:vAlign w:val="center"/>
          </w:tcPr>
          <w:p w14:paraId="34EAFB8B" w14:textId="10EDECE9" w:rsidR="00820704" w:rsidRPr="001A13B5" w:rsidRDefault="00820704" w:rsidP="00820704">
            <w:pPr>
              <w:jc w:val="center"/>
              <w:rPr>
                <w:rFonts w:ascii="Arial" w:hAnsi="Arial" w:cs="Arial"/>
                <w:sz w:val="14"/>
                <w:szCs w:val="14"/>
              </w:rPr>
            </w:pPr>
            <w:r w:rsidRPr="00017096">
              <w:rPr>
                <w:rFonts w:ascii="Arial" w:hAnsi="Arial" w:cs="Arial"/>
                <w:sz w:val="14"/>
                <w:szCs w:val="14"/>
              </w:rPr>
              <w:t>17</w:t>
            </w:r>
            <w:r>
              <w:rPr>
                <w:rFonts w:ascii="Arial" w:hAnsi="Arial" w:cs="Arial"/>
                <w:sz w:val="14"/>
                <w:szCs w:val="14"/>
              </w:rPr>
              <w:t>.</w:t>
            </w:r>
            <w:r w:rsidRPr="00017096">
              <w:rPr>
                <w:rFonts w:ascii="Arial" w:hAnsi="Arial" w:cs="Arial"/>
                <w:sz w:val="14"/>
                <w:szCs w:val="14"/>
              </w:rPr>
              <w:t>382</w:t>
            </w:r>
          </w:p>
        </w:tc>
        <w:tc>
          <w:tcPr>
            <w:tcW w:w="709" w:type="dxa"/>
            <w:tcBorders>
              <w:left w:val="nil"/>
              <w:bottom w:val="single" w:sz="4" w:space="0" w:color="auto"/>
              <w:right w:val="nil"/>
            </w:tcBorders>
            <w:shd w:val="clear" w:color="auto" w:fill="auto"/>
            <w:noWrap/>
            <w:vAlign w:val="center"/>
          </w:tcPr>
          <w:p w14:paraId="35C0C848" w14:textId="30E7E317" w:rsidR="00820704" w:rsidRPr="001A13B5" w:rsidRDefault="00820704" w:rsidP="00820704">
            <w:pPr>
              <w:jc w:val="center"/>
              <w:rPr>
                <w:rFonts w:ascii="Arial" w:hAnsi="Arial" w:cs="Arial"/>
                <w:sz w:val="14"/>
                <w:szCs w:val="14"/>
              </w:rPr>
            </w:pPr>
            <w:r w:rsidRPr="00017096">
              <w:rPr>
                <w:rFonts w:ascii="Arial" w:hAnsi="Arial" w:cs="Arial"/>
                <w:sz w:val="14"/>
                <w:szCs w:val="14"/>
              </w:rPr>
              <w:t>18</w:t>
            </w:r>
            <w:r>
              <w:rPr>
                <w:rFonts w:ascii="Arial" w:hAnsi="Arial" w:cs="Arial"/>
                <w:sz w:val="14"/>
                <w:szCs w:val="14"/>
              </w:rPr>
              <w:t>.</w:t>
            </w:r>
            <w:r w:rsidRPr="00017096">
              <w:rPr>
                <w:rFonts w:ascii="Arial" w:hAnsi="Arial" w:cs="Arial"/>
                <w:sz w:val="14"/>
                <w:szCs w:val="14"/>
              </w:rPr>
              <w:t>318</w:t>
            </w:r>
          </w:p>
        </w:tc>
        <w:tc>
          <w:tcPr>
            <w:tcW w:w="709" w:type="dxa"/>
            <w:tcBorders>
              <w:left w:val="nil"/>
              <w:bottom w:val="single" w:sz="4" w:space="0" w:color="auto"/>
              <w:right w:val="nil"/>
            </w:tcBorders>
            <w:shd w:val="clear" w:color="auto" w:fill="auto"/>
            <w:noWrap/>
            <w:vAlign w:val="center"/>
          </w:tcPr>
          <w:p w14:paraId="3FD04241" w14:textId="286C1074" w:rsidR="00820704" w:rsidRPr="001A13B5" w:rsidRDefault="00820704" w:rsidP="00820704">
            <w:pPr>
              <w:jc w:val="center"/>
              <w:rPr>
                <w:rFonts w:ascii="Arial" w:hAnsi="Arial" w:cs="Arial"/>
                <w:sz w:val="14"/>
                <w:szCs w:val="14"/>
              </w:rPr>
            </w:pPr>
            <w:r w:rsidRPr="00017096">
              <w:rPr>
                <w:rFonts w:ascii="Arial" w:hAnsi="Arial" w:cs="Arial"/>
                <w:sz w:val="14"/>
                <w:szCs w:val="14"/>
              </w:rPr>
              <w:t>17</w:t>
            </w:r>
            <w:r>
              <w:rPr>
                <w:rFonts w:ascii="Arial" w:hAnsi="Arial" w:cs="Arial"/>
                <w:sz w:val="14"/>
                <w:szCs w:val="14"/>
              </w:rPr>
              <w:t>.</w:t>
            </w:r>
            <w:r w:rsidRPr="00017096">
              <w:rPr>
                <w:rFonts w:ascii="Arial" w:hAnsi="Arial" w:cs="Arial"/>
                <w:sz w:val="14"/>
                <w:szCs w:val="14"/>
              </w:rPr>
              <w:t>327</w:t>
            </w:r>
          </w:p>
        </w:tc>
        <w:tc>
          <w:tcPr>
            <w:tcW w:w="708" w:type="dxa"/>
            <w:tcBorders>
              <w:left w:val="nil"/>
              <w:bottom w:val="single" w:sz="4" w:space="0" w:color="auto"/>
              <w:right w:val="nil"/>
            </w:tcBorders>
            <w:shd w:val="clear" w:color="auto" w:fill="auto"/>
            <w:noWrap/>
            <w:vAlign w:val="center"/>
          </w:tcPr>
          <w:p w14:paraId="338A981F" w14:textId="57936B89" w:rsidR="00820704" w:rsidRPr="001A13B5" w:rsidRDefault="00820704" w:rsidP="00820704">
            <w:pPr>
              <w:jc w:val="center"/>
              <w:rPr>
                <w:rFonts w:ascii="Arial" w:hAnsi="Arial" w:cs="Arial"/>
                <w:sz w:val="14"/>
                <w:szCs w:val="14"/>
              </w:rPr>
            </w:pPr>
            <w:r w:rsidRPr="00017096">
              <w:rPr>
                <w:rFonts w:ascii="Arial" w:hAnsi="Arial" w:cs="Arial"/>
                <w:sz w:val="14"/>
                <w:szCs w:val="14"/>
              </w:rPr>
              <w:t>16</w:t>
            </w:r>
            <w:r>
              <w:rPr>
                <w:rFonts w:ascii="Arial" w:hAnsi="Arial" w:cs="Arial"/>
                <w:sz w:val="14"/>
                <w:szCs w:val="14"/>
              </w:rPr>
              <w:t>.</w:t>
            </w:r>
            <w:r w:rsidRPr="00017096">
              <w:rPr>
                <w:rFonts w:ascii="Arial" w:hAnsi="Arial" w:cs="Arial"/>
                <w:sz w:val="14"/>
                <w:szCs w:val="14"/>
              </w:rPr>
              <w:t>866</w:t>
            </w:r>
          </w:p>
        </w:tc>
        <w:tc>
          <w:tcPr>
            <w:tcW w:w="706" w:type="dxa"/>
            <w:tcBorders>
              <w:left w:val="nil"/>
              <w:bottom w:val="single" w:sz="4" w:space="0" w:color="auto"/>
              <w:right w:val="nil"/>
            </w:tcBorders>
            <w:shd w:val="clear" w:color="auto" w:fill="auto"/>
            <w:noWrap/>
            <w:vAlign w:val="center"/>
          </w:tcPr>
          <w:p w14:paraId="66FAB54D" w14:textId="4135AC4B" w:rsidR="00820704" w:rsidRPr="001A13B5" w:rsidRDefault="00820704" w:rsidP="00820704">
            <w:pPr>
              <w:jc w:val="center"/>
              <w:rPr>
                <w:rFonts w:ascii="Arial" w:hAnsi="Arial" w:cs="Arial"/>
                <w:sz w:val="14"/>
                <w:szCs w:val="14"/>
              </w:rPr>
            </w:pPr>
            <w:r w:rsidRPr="00017096">
              <w:rPr>
                <w:rFonts w:ascii="Arial" w:hAnsi="Arial" w:cs="Arial"/>
                <w:sz w:val="14"/>
                <w:szCs w:val="14"/>
              </w:rPr>
              <w:t>15</w:t>
            </w:r>
            <w:r>
              <w:rPr>
                <w:rFonts w:ascii="Arial" w:hAnsi="Arial" w:cs="Arial"/>
                <w:sz w:val="14"/>
                <w:szCs w:val="14"/>
              </w:rPr>
              <w:t>.</w:t>
            </w:r>
            <w:r w:rsidRPr="00017096">
              <w:rPr>
                <w:rFonts w:ascii="Arial" w:hAnsi="Arial" w:cs="Arial"/>
                <w:sz w:val="14"/>
                <w:szCs w:val="14"/>
              </w:rPr>
              <w:t>570</w:t>
            </w:r>
          </w:p>
        </w:tc>
        <w:tc>
          <w:tcPr>
            <w:tcW w:w="709" w:type="dxa"/>
            <w:tcBorders>
              <w:left w:val="nil"/>
              <w:bottom w:val="single" w:sz="4" w:space="0" w:color="auto"/>
              <w:right w:val="nil"/>
            </w:tcBorders>
            <w:shd w:val="clear" w:color="auto" w:fill="auto"/>
            <w:noWrap/>
            <w:vAlign w:val="center"/>
          </w:tcPr>
          <w:p w14:paraId="3B0A3539" w14:textId="3DB9EEB6" w:rsidR="00820704" w:rsidRPr="001A13B5" w:rsidRDefault="00820704" w:rsidP="00820704">
            <w:pPr>
              <w:jc w:val="center"/>
              <w:rPr>
                <w:rFonts w:ascii="Arial" w:hAnsi="Arial" w:cs="Arial"/>
                <w:sz w:val="14"/>
                <w:szCs w:val="14"/>
              </w:rPr>
            </w:pPr>
            <w:r w:rsidRPr="00017096">
              <w:rPr>
                <w:rFonts w:ascii="Arial" w:hAnsi="Arial" w:cs="Arial"/>
                <w:sz w:val="14"/>
                <w:szCs w:val="14"/>
              </w:rPr>
              <w:t>14</w:t>
            </w:r>
            <w:r>
              <w:rPr>
                <w:rFonts w:ascii="Arial" w:hAnsi="Arial" w:cs="Arial"/>
                <w:sz w:val="14"/>
                <w:szCs w:val="14"/>
              </w:rPr>
              <w:t>.</w:t>
            </w:r>
            <w:r w:rsidRPr="00017096">
              <w:rPr>
                <w:rFonts w:ascii="Arial" w:hAnsi="Arial" w:cs="Arial"/>
                <w:sz w:val="14"/>
                <w:szCs w:val="14"/>
              </w:rPr>
              <w:t>853</w:t>
            </w:r>
          </w:p>
        </w:tc>
        <w:tc>
          <w:tcPr>
            <w:tcW w:w="847" w:type="dxa"/>
            <w:tcBorders>
              <w:left w:val="nil"/>
              <w:bottom w:val="single" w:sz="4" w:space="0" w:color="auto"/>
              <w:right w:val="nil"/>
            </w:tcBorders>
            <w:shd w:val="clear" w:color="auto" w:fill="auto"/>
            <w:noWrap/>
            <w:vAlign w:val="center"/>
          </w:tcPr>
          <w:p w14:paraId="11A894EA" w14:textId="622853FF" w:rsidR="00820704" w:rsidRPr="001A13B5" w:rsidRDefault="00820704" w:rsidP="00820704">
            <w:pPr>
              <w:jc w:val="center"/>
              <w:rPr>
                <w:rFonts w:ascii="Arial" w:hAnsi="Arial" w:cs="Arial"/>
                <w:sz w:val="14"/>
                <w:szCs w:val="14"/>
              </w:rPr>
            </w:pPr>
            <w:r w:rsidRPr="00017096">
              <w:rPr>
                <w:rFonts w:ascii="Arial" w:hAnsi="Arial" w:cs="Arial"/>
                <w:sz w:val="14"/>
                <w:szCs w:val="14"/>
              </w:rPr>
              <w:t>149</w:t>
            </w:r>
            <w:r>
              <w:rPr>
                <w:rFonts w:ascii="Arial" w:hAnsi="Arial" w:cs="Arial"/>
                <w:sz w:val="14"/>
                <w:szCs w:val="14"/>
              </w:rPr>
              <w:t>.</w:t>
            </w:r>
            <w:r w:rsidRPr="00017096">
              <w:rPr>
                <w:rFonts w:ascii="Arial" w:hAnsi="Arial" w:cs="Arial"/>
                <w:sz w:val="14"/>
                <w:szCs w:val="14"/>
              </w:rPr>
              <w:t>157</w:t>
            </w:r>
          </w:p>
        </w:tc>
      </w:tr>
      <w:tr w:rsidR="00820704" w:rsidRPr="00A43491" w14:paraId="62876D9E" w14:textId="77777777" w:rsidTr="00017096">
        <w:trPr>
          <w:trHeight w:val="300"/>
          <w:jc w:val="center"/>
        </w:trPr>
        <w:tc>
          <w:tcPr>
            <w:tcW w:w="1064" w:type="dxa"/>
            <w:tcBorders>
              <w:top w:val="single" w:sz="4" w:space="0" w:color="auto"/>
              <w:left w:val="nil"/>
              <w:bottom w:val="single" w:sz="4" w:space="0" w:color="auto"/>
              <w:right w:val="nil"/>
            </w:tcBorders>
            <w:shd w:val="clear" w:color="auto" w:fill="auto"/>
            <w:noWrap/>
            <w:vAlign w:val="center"/>
          </w:tcPr>
          <w:p w14:paraId="53DB1011" w14:textId="77777777" w:rsidR="00820704" w:rsidRPr="005B5674" w:rsidRDefault="00820704" w:rsidP="00820704">
            <w:pPr>
              <w:jc w:val="center"/>
              <w:rPr>
                <w:rFonts w:ascii="Arial" w:hAnsi="Arial" w:cs="Arial"/>
                <w:sz w:val="14"/>
                <w:szCs w:val="14"/>
                <w:lang w:eastAsia="es-ES"/>
              </w:rPr>
            </w:pPr>
            <w:r>
              <w:rPr>
                <w:rFonts w:ascii="Arial" w:hAnsi="Arial" w:cs="Arial"/>
                <w:sz w:val="14"/>
                <w:szCs w:val="14"/>
                <w:lang w:eastAsia="es-ES"/>
              </w:rPr>
              <w:t>Total</w:t>
            </w:r>
          </w:p>
        </w:tc>
        <w:tc>
          <w:tcPr>
            <w:tcW w:w="568" w:type="dxa"/>
            <w:tcBorders>
              <w:top w:val="single" w:sz="4" w:space="0" w:color="auto"/>
              <w:left w:val="nil"/>
              <w:bottom w:val="single" w:sz="4" w:space="0" w:color="auto"/>
              <w:right w:val="nil"/>
            </w:tcBorders>
            <w:vAlign w:val="center"/>
          </w:tcPr>
          <w:p w14:paraId="16044A53" w14:textId="77777777" w:rsidR="00820704" w:rsidRPr="001A13B5" w:rsidRDefault="00820704" w:rsidP="00820704">
            <w:pPr>
              <w:jc w:val="center"/>
              <w:rPr>
                <w:rFonts w:ascii="Arial" w:hAnsi="Arial" w:cs="Arial"/>
                <w:sz w:val="14"/>
                <w:szCs w:val="14"/>
              </w:rPr>
            </w:pPr>
            <w:r w:rsidRPr="001A13B5">
              <w:rPr>
                <w:rFonts w:ascii="Arial" w:hAnsi="Arial" w:cs="Arial"/>
                <w:sz w:val="14"/>
                <w:szCs w:val="14"/>
              </w:rPr>
              <w:t>0</w:t>
            </w:r>
          </w:p>
        </w:tc>
        <w:tc>
          <w:tcPr>
            <w:tcW w:w="567" w:type="dxa"/>
            <w:tcBorders>
              <w:top w:val="single" w:sz="4" w:space="0" w:color="auto"/>
              <w:left w:val="nil"/>
              <w:bottom w:val="single" w:sz="4" w:space="0" w:color="auto"/>
              <w:right w:val="nil"/>
            </w:tcBorders>
            <w:shd w:val="clear" w:color="auto" w:fill="auto"/>
            <w:noWrap/>
            <w:vAlign w:val="center"/>
          </w:tcPr>
          <w:p w14:paraId="3DA40614" w14:textId="77777777" w:rsidR="00820704" w:rsidRPr="001A13B5" w:rsidRDefault="00820704" w:rsidP="00820704">
            <w:pPr>
              <w:jc w:val="center"/>
              <w:rPr>
                <w:rFonts w:ascii="Arial" w:hAnsi="Arial" w:cs="Arial"/>
                <w:sz w:val="14"/>
                <w:szCs w:val="14"/>
              </w:rPr>
            </w:pPr>
            <w:r w:rsidRPr="001A13B5">
              <w:rPr>
                <w:rFonts w:ascii="Arial" w:hAnsi="Arial" w:cs="Arial"/>
                <w:sz w:val="14"/>
                <w:szCs w:val="14"/>
              </w:rPr>
              <w:t>0</w:t>
            </w:r>
          </w:p>
        </w:tc>
        <w:tc>
          <w:tcPr>
            <w:tcW w:w="567" w:type="dxa"/>
            <w:tcBorders>
              <w:top w:val="single" w:sz="4" w:space="0" w:color="auto"/>
              <w:left w:val="nil"/>
              <w:bottom w:val="single" w:sz="4" w:space="0" w:color="auto"/>
              <w:right w:val="nil"/>
            </w:tcBorders>
            <w:shd w:val="clear" w:color="auto" w:fill="auto"/>
            <w:noWrap/>
            <w:vAlign w:val="center"/>
          </w:tcPr>
          <w:p w14:paraId="588A0262" w14:textId="77777777" w:rsidR="00820704" w:rsidRPr="001A13B5" w:rsidRDefault="00820704" w:rsidP="00820704">
            <w:pPr>
              <w:jc w:val="center"/>
              <w:rPr>
                <w:rFonts w:ascii="Arial" w:hAnsi="Arial" w:cs="Arial"/>
                <w:sz w:val="14"/>
                <w:szCs w:val="14"/>
              </w:rPr>
            </w:pPr>
            <w:r w:rsidRPr="001A13B5">
              <w:rPr>
                <w:rFonts w:ascii="Arial" w:hAnsi="Arial" w:cs="Arial"/>
                <w:sz w:val="14"/>
                <w:szCs w:val="14"/>
              </w:rPr>
              <w:t>0</w:t>
            </w:r>
          </w:p>
        </w:tc>
        <w:tc>
          <w:tcPr>
            <w:tcW w:w="567" w:type="dxa"/>
            <w:tcBorders>
              <w:top w:val="single" w:sz="4" w:space="0" w:color="auto"/>
              <w:left w:val="nil"/>
              <w:bottom w:val="single" w:sz="4" w:space="0" w:color="auto"/>
              <w:right w:val="nil"/>
            </w:tcBorders>
            <w:shd w:val="clear" w:color="auto" w:fill="auto"/>
            <w:noWrap/>
            <w:vAlign w:val="center"/>
          </w:tcPr>
          <w:p w14:paraId="418A50A1" w14:textId="77777777" w:rsidR="00820704" w:rsidRPr="001A13B5" w:rsidRDefault="00820704" w:rsidP="00820704">
            <w:pPr>
              <w:jc w:val="center"/>
              <w:rPr>
                <w:rFonts w:ascii="Arial" w:hAnsi="Arial" w:cs="Arial"/>
                <w:sz w:val="14"/>
                <w:szCs w:val="14"/>
              </w:rPr>
            </w:pPr>
            <w:r w:rsidRPr="001A13B5">
              <w:rPr>
                <w:rFonts w:ascii="Arial" w:hAnsi="Arial" w:cs="Arial"/>
                <w:sz w:val="14"/>
                <w:szCs w:val="14"/>
              </w:rPr>
              <w:t>0</w:t>
            </w:r>
          </w:p>
        </w:tc>
        <w:tc>
          <w:tcPr>
            <w:tcW w:w="567" w:type="dxa"/>
            <w:tcBorders>
              <w:top w:val="single" w:sz="4" w:space="0" w:color="auto"/>
              <w:left w:val="nil"/>
              <w:bottom w:val="single" w:sz="4" w:space="0" w:color="auto"/>
              <w:right w:val="nil"/>
            </w:tcBorders>
            <w:shd w:val="clear" w:color="auto" w:fill="auto"/>
            <w:noWrap/>
            <w:vAlign w:val="center"/>
          </w:tcPr>
          <w:p w14:paraId="724400F5" w14:textId="77777777" w:rsidR="00820704" w:rsidRPr="001A13B5" w:rsidRDefault="00820704" w:rsidP="00820704">
            <w:pPr>
              <w:jc w:val="center"/>
              <w:rPr>
                <w:rFonts w:ascii="Arial" w:hAnsi="Arial" w:cs="Arial"/>
                <w:sz w:val="14"/>
                <w:szCs w:val="14"/>
              </w:rPr>
            </w:pPr>
            <w:r w:rsidRPr="001A13B5">
              <w:rPr>
                <w:rFonts w:ascii="Arial" w:hAnsi="Arial" w:cs="Arial"/>
                <w:sz w:val="14"/>
                <w:szCs w:val="14"/>
              </w:rPr>
              <w:t>0</w:t>
            </w:r>
          </w:p>
        </w:tc>
        <w:tc>
          <w:tcPr>
            <w:tcW w:w="708" w:type="dxa"/>
            <w:tcBorders>
              <w:top w:val="single" w:sz="4" w:space="0" w:color="auto"/>
              <w:left w:val="nil"/>
              <w:bottom w:val="single" w:sz="4" w:space="0" w:color="auto"/>
              <w:right w:val="nil"/>
            </w:tcBorders>
            <w:shd w:val="clear" w:color="auto" w:fill="auto"/>
            <w:noWrap/>
            <w:vAlign w:val="center"/>
          </w:tcPr>
          <w:p w14:paraId="35E5BA5B" w14:textId="771A6C73" w:rsidR="00820704" w:rsidRPr="001A13B5" w:rsidRDefault="00820704" w:rsidP="00820704">
            <w:pPr>
              <w:jc w:val="center"/>
              <w:rPr>
                <w:rFonts w:ascii="Arial" w:hAnsi="Arial" w:cs="Arial"/>
                <w:sz w:val="14"/>
                <w:szCs w:val="14"/>
              </w:rPr>
            </w:pPr>
            <w:r w:rsidRPr="00017096">
              <w:rPr>
                <w:rFonts w:ascii="Arial" w:hAnsi="Arial" w:cs="Arial"/>
                <w:sz w:val="14"/>
                <w:szCs w:val="14"/>
              </w:rPr>
              <w:t>33</w:t>
            </w:r>
            <w:r>
              <w:rPr>
                <w:rFonts w:ascii="Arial" w:hAnsi="Arial" w:cs="Arial"/>
                <w:sz w:val="14"/>
                <w:szCs w:val="14"/>
              </w:rPr>
              <w:t>.</w:t>
            </w:r>
            <w:r w:rsidRPr="00017096">
              <w:rPr>
                <w:rFonts w:ascii="Arial" w:hAnsi="Arial" w:cs="Arial"/>
                <w:sz w:val="14"/>
                <w:szCs w:val="14"/>
              </w:rPr>
              <w:t>730</w:t>
            </w:r>
          </w:p>
        </w:tc>
        <w:tc>
          <w:tcPr>
            <w:tcW w:w="709" w:type="dxa"/>
            <w:tcBorders>
              <w:top w:val="single" w:sz="4" w:space="0" w:color="auto"/>
              <w:left w:val="nil"/>
              <w:bottom w:val="single" w:sz="4" w:space="0" w:color="auto"/>
              <w:right w:val="nil"/>
            </w:tcBorders>
            <w:shd w:val="clear" w:color="auto" w:fill="auto"/>
            <w:noWrap/>
            <w:vAlign w:val="center"/>
          </w:tcPr>
          <w:p w14:paraId="492AF892" w14:textId="0E8C5C8B" w:rsidR="00820704" w:rsidRPr="001A13B5" w:rsidRDefault="00820704" w:rsidP="00820704">
            <w:pPr>
              <w:jc w:val="center"/>
              <w:rPr>
                <w:rFonts w:ascii="Arial" w:hAnsi="Arial" w:cs="Arial"/>
                <w:sz w:val="14"/>
                <w:szCs w:val="14"/>
              </w:rPr>
            </w:pPr>
            <w:r w:rsidRPr="00017096">
              <w:rPr>
                <w:rFonts w:ascii="Arial" w:hAnsi="Arial" w:cs="Arial"/>
                <w:sz w:val="14"/>
                <w:szCs w:val="14"/>
              </w:rPr>
              <w:t>38</w:t>
            </w:r>
            <w:r>
              <w:rPr>
                <w:rFonts w:ascii="Arial" w:hAnsi="Arial" w:cs="Arial"/>
                <w:sz w:val="14"/>
                <w:szCs w:val="14"/>
              </w:rPr>
              <w:t>.</w:t>
            </w:r>
            <w:r w:rsidRPr="00017096">
              <w:rPr>
                <w:rFonts w:ascii="Arial" w:hAnsi="Arial" w:cs="Arial"/>
                <w:sz w:val="14"/>
                <w:szCs w:val="14"/>
              </w:rPr>
              <w:t>949</w:t>
            </w:r>
          </w:p>
        </w:tc>
        <w:tc>
          <w:tcPr>
            <w:tcW w:w="709" w:type="dxa"/>
            <w:tcBorders>
              <w:top w:val="single" w:sz="4" w:space="0" w:color="auto"/>
              <w:left w:val="nil"/>
              <w:bottom w:val="single" w:sz="4" w:space="0" w:color="auto"/>
              <w:right w:val="nil"/>
            </w:tcBorders>
            <w:shd w:val="clear" w:color="auto" w:fill="auto"/>
            <w:noWrap/>
            <w:vAlign w:val="center"/>
          </w:tcPr>
          <w:p w14:paraId="108EC5C5" w14:textId="53196BAB" w:rsidR="00820704" w:rsidRPr="001A13B5" w:rsidRDefault="00820704" w:rsidP="00820704">
            <w:pPr>
              <w:jc w:val="center"/>
              <w:rPr>
                <w:rFonts w:ascii="Arial" w:hAnsi="Arial" w:cs="Arial"/>
                <w:sz w:val="14"/>
                <w:szCs w:val="14"/>
              </w:rPr>
            </w:pPr>
            <w:r w:rsidRPr="00017096">
              <w:rPr>
                <w:rFonts w:ascii="Arial" w:hAnsi="Arial" w:cs="Arial"/>
                <w:sz w:val="14"/>
                <w:szCs w:val="14"/>
              </w:rPr>
              <w:t>44</w:t>
            </w:r>
            <w:r>
              <w:rPr>
                <w:rFonts w:ascii="Arial" w:hAnsi="Arial" w:cs="Arial"/>
                <w:sz w:val="14"/>
                <w:szCs w:val="14"/>
              </w:rPr>
              <w:t>.</w:t>
            </w:r>
            <w:r w:rsidRPr="00017096">
              <w:rPr>
                <w:rFonts w:ascii="Arial" w:hAnsi="Arial" w:cs="Arial"/>
                <w:sz w:val="14"/>
                <w:szCs w:val="14"/>
              </w:rPr>
              <w:t>607</w:t>
            </w:r>
          </w:p>
        </w:tc>
        <w:tc>
          <w:tcPr>
            <w:tcW w:w="709" w:type="dxa"/>
            <w:tcBorders>
              <w:top w:val="single" w:sz="4" w:space="0" w:color="auto"/>
              <w:left w:val="nil"/>
              <w:bottom w:val="single" w:sz="4" w:space="0" w:color="auto"/>
              <w:right w:val="nil"/>
            </w:tcBorders>
            <w:shd w:val="clear" w:color="auto" w:fill="auto"/>
            <w:noWrap/>
            <w:vAlign w:val="center"/>
          </w:tcPr>
          <w:p w14:paraId="5045CA0B" w14:textId="6C3BBF61" w:rsidR="00820704" w:rsidRPr="001A13B5" w:rsidRDefault="00820704" w:rsidP="00820704">
            <w:pPr>
              <w:jc w:val="center"/>
              <w:rPr>
                <w:rFonts w:ascii="Arial" w:hAnsi="Arial" w:cs="Arial"/>
                <w:sz w:val="14"/>
                <w:szCs w:val="14"/>
              </w:rPr>
            </w:pPr>
            <w:r w:rsidRPr="00017096">
              <w:rPr>
                <w:rFonts w:ascii="Arial" w:hAnsi="Arial" w:cs="Arial"/>
                <w:sz w:val="14"/>
                <w:szCs w:val="14"/>
              </w:rPr>
              <w:t>50</w:t>
            </w:r>
            <w:r>
              <w:rPr>
                <w:rFonts w:ascii="Arial" w:hAnsi="Arial" w:cs="Arial"/>
                <w:sz w:val="14"/>
                <w:szCs w:val="14"/>
              </w:rPr>
              <w:t>.</w:t>
            </w:r>
            <w:r w:rsidRPr="00017096">
              <w:rPr>
                <w:rFonts w:ascii="Arial" w:hAnsi="Arial" w:cs="Arial"/>
                <w:sz w:val="14"/>
                <w:szCs w:val="14"/>
              </w:rPr>
              <w:t>732</w:t>
            </w:r>
          </w:p>
        </w:tc>
        <w:tc>
          <w:tcPr>
            <w:tcW w:w="715" w:type="dxa"/>
            <w:tcBorders>
              <w:top w:val="single" w:sz="4" w:space="0" w:color="auto"/>
              <w:left w:val="nil"/>
              <w:bottom w:val="single" w:sz="4" w:space="0" w:color="auto"/>
              <w:right w:val="nil"/>
            </w:tcBorders>
            <w:shd w:val="clear" w:color="auto" w:fill="auto"/>
            <w:noWrap/>
            <w:vAlign w:val="center"/>
          </w:tcPr>
          <w:p w14:paraId="2064D9AC" w14:textId="1C9B0A34" w:rsidR="00820704" w:rsidRPr="001A13B5" w:rsidRDefault="00820704" w:rsidP="00820704">
            <w:pPr>
              <w:jc w:val="center"/>
              <w:rPr>
                <w:rFonts w:ascii="Arial" w:hAnsi="Arial" w:cs="Arial"/>
                <w:sz w:val="14"/>
                <w:szCs w:val="14"/>
              </w:rPr>
            </w:pPr>
            <w:r w:rsidRPr="00017096">
              <w:rPr>
                <w:rFonts w:ascii="Arial" w:hAnsi="Arial" w:cs="Arial"/>
                <w:sz w:val="14"/>
                <w:szCs w:val="14"/>
              </w:rPr>
              <w:t>59</w:t>
            </w:r>
            <w:r>
              <w:rPr>
                <w:rFonts w:ascii="Arial" w:hAnsi="Arial" w:cs="Arial"/>
                <w:sz w:val="14"/>
                <w:szCs w:val="14"/>
              </w:rPr>
              <w:t>.</w:t>
            </w:r>
            <w:r w:rsidRPr="00017096">
              <w:rPr>
                <w:rFonts w:ascii="Arial" w:hAnsi="Arial" w:cs="Arial"/>
                <w:sz w:val="14"/>
                <w:szCs w:val="14"/>
              </w:rPr>
              <w:t>373</w:t>
            </w:r>
          </w:p>
        </w:tc>
        <w:tc>
          <w:tcPr>
            <w:tcW w:w="709" w:type="dxa"/>
            <w:tcBorders>
              <w:top w:val="single" w:sz="4" w:space="0" w:color="auto"/>
              <w:left w:val="nil"/>
              <w:bottom w:val="single" w:sz="4" w:space="0" w:color="auto"/>
              <w:right w:val="nil"/>
            </w:tcBorders>
            <w:shd w:val="clear" w:color="auto" w:fill="auto"/>
            <w:noWrap/>
            <w:vAlign w:val="center"/>
          </w:tcPr>
          <w:p w14:paraId="57FF4E82" w14:textId="0975226B" w:rsidR="00820704" w:rsidRPr="001A13B5" w:rsidRDefault="00820704" w:rsidP="00820704">
            <w:pPr>
              <w:jc w:val="center"/>
              <w:rPr>
                <w:rFonts w:ascii="Arial" w:hAnsi="Arial" w:cs="Arial"/>
                <w:sz w:val="14"/>
                <w:szCs w:val="14"/>
              </w:rPr>
            </w:pPr>
            <w:r w:rsidRPr="00017096">
              <w:rPr>
                <w:rFonts w:ascii="Arial" w:hAnsi="Arial" w:cs="Arial"/>
                <w:sz w:val="14"/>
                <w:szCs w:val="14"/>
              </w:rPr>
              <w:t>62</w:t>
            </w:r>
            <w:r>
              <w:rPr>
                <w:rFonts w:ascii="Arial" w:hAnsi="Arial" w:cs="Arial"/>
                <w:sz w:val="14"/>
                <w:szCs w:val="14"/>
              </w:rPr>
              <w:t>.</w:t>
            </w:r>
            <w:r w:rsidRPr="00017096">
              <w:rPr>
                <w:rFonts w:ascii="Arial" w:hAnsi="Arial" w:cs="Arial"/>
                <w:sz w:val="14"/>
                <w:szCs w:val="14"/>
              </w:rPr>
              <w:t>371</w:t>
            </w:r>
          </w:p>
        </w:tc>
        <w:tc>
          <w:tcPr>
            <w:tcW w:w="709" w:type="dxa"/>
            <w:tcBorders>
              <w:top w:val="single" w:sz="4" w:space="0" w:color="auto"/>
              <w:left w:val="nil"/>
              <w:bottom w:val="single" w:sz="4" w:space="0" w:color="auto"/>
              <w:right w:val="nil"/>
            </w:tcBorders>
            <w:shd w:val="clear" w:color="auto" w:fill="auto"/>
            <w:noWrap/>
            <w:vAlign w:val="center"/>
          </w:tcPr>
          <w:p w14:paraId="7873C5D0" w14:textId="6D8A69B7" w:rsidR="00820704" w:rsidRPr="001A13B5" w:rsidRDefault="00820704" w:rsidP="00820704">
            <w:pPr>
              <w:jc w:val="center"/>
              <w:rPr>
                <w:rFonts w:ascii="Arial" w:hAnsi="Arial" w:cs="Arial"/>
                <w:sz w:val="14"/>
                <w:szCs w:val="14"/>
              </w:rPr>
            </w:pPr>
            <w:r w:rsidRPr="00017096">
              <w:rPr>
                <w:rFonts w:ascii="Arial" w:hAnsi="Arial" w:cs="Arial"/>
                <w:sz w:val="14"/>
                <w:szCs w:val="14"/>
              </w:rPr>
              <w:t>58</w:t>
            </w:r>
            <w:r>
              <w:rPr>
                <w:rFonts w:ascii="Arial" w:hAnsi="Arial" w:cs="Arial"/>
                <w:sz w:val="14"/>
                <w:szCs w:val="14"/>
              </w:rPr>
              <w:t>.</w:t>
            </w:r>
            <w:r w:rsidRPr="00017096">
              <w:rPr>
                <w:rFonts w:ascii="Arial" w:hAnsi="Arial" w:cs="Arial"/>
                <w:sz w:val="14"/>
                <w:szCs w:val="14"/>
              </w:rPr>
              <w:t>805</w:t>
            </w:r>
          </w:p>
        </w:tc>
        <w:tc>
          <w:tcPr>
            <w:tcW w:w="708" w:type="dxa"/>
            <w:tcBorders>
              <w:top w:val="single" w:sz="4" w:space="0" w:color="auto"/>
              <w:left w:val="nil"/>
              <w:bottom w:val="single" w:sz="4" w:space="0" w:color="auto"/>
              <w:right w:val="nil"/>
            </w:tcBorders>
            <w:shd w:val="clear" w:color="auto" w:fill="auto"/>
            <w:noWrap/>
            <w:vAlign w:val="center"/>
          </w:tcPr>
          <w:p w14:paraId="0C78AEAF" w14:textId="14CD22E6" w:rsidR="00820704" w:rsidRPr="001A13B5" w:rsidRDefault="00820704" w:rsidP="00820704">
            <w:pPr>
              <w:jc w:val="center"/>
              <w:rPr>
                <w:rFonts w:ascii="Arial" w:hAnsi="Arial" w:cs="Arial"/>
                <w:sz w:val="14"/>
                <w:szCs w:val="14"/>
              </w:rPr>
            </w:pPr>
            <w:r w:rsidRPr="00017096">
              <w:rPr>
                <w:rFonts w:ascii="Arial" w:hAnsi="Arial" w:cs="Arial"/>
                <w:sz w:val="14"/>
                <w:szCs w:val="14"/>
              </w:rPr>
              <w:t>57</w:t>
            </w:r>
            <w:r>
              <w:rPr>
                <w:rFonts w:ascii="Arial" w:hAnsi="Arial" w:cs="Arial"/>
                <w:sz w:val="14"/>
                <w:szCs w:val="14"/>
              </w:rPr>
              <w:t>.</w:t>
            </w:r>
            <w:r w:rsidRPr="00017096">
              <w:rPr>
                <w:rFonts w:ascii="Arial" w:hAnsi="Arial" w:cs="Arial"/>
                <w:sz w:val="14"/>
                <w:szCs w:val="14"/>
              </w:rPr>
              <w:t>041</w:t>
            </w:r>
          </w:p>
        </w:tc>
        <w:tc>
          <w:tcPr>
            <w:tcW w:w="706" w:type="dxa"/>
            <w:tcBorders>
              <w:top w:val="single" w:sz="4" w:space="0" w:color="auto"/>
              <w:left w:val="nil"/>
              <w:bottom w:val="single" w:sz="4" w:space="0" w:color="auto"/>
              <w:right w:val="nil"/>
            </w:tcBorders>
            <w:shd w:val="clear" w:color="auto" w:fill="auto"/>
            <w:noWrap/>
            <w:vAlign w:val="center"/>
          </w:tcPr>
          <w:p w14:paraId="0CD21544" w14:textId="77F9B048" w:rsidR="00820704" w:rsidRPr="001A13B5" w:rsidRDefault="00820704" w:rsidP="00820704">
            <w:pPr>
              <w:jc w:val="center"/>
              <w:rPr>
                <w:rFonts w:ascii="Arial" w:hAnsi="Arial" w:cs="Arial"/>
                <w:sz w:val="14"/>
                <w:szCs w:val="14"/>
              </w:rPr>
            </w:pPr>
            <w:r w:rsidRPr="00017096">
              <w:rPr>
                <w:rFonts w:ascii="Arial" w:hAnsi="Arial" w:cs="Arial"/>
                <w:sz w:val="14"/>
                <w:szCs w:val="14"/>
              </w:rPr>
              <w:t>52</w:t>
            </w:r>
            <w:r>
              <w:rPr>
                <w:rFonts w:ascii="Arial" w:hAnsi="Arial" w:cs="Arial"/>
                <w:sz w:val="14"/>
                <w:szCs w:val="14"/>
              </w:rPr>
              <w:t>.</w:t>
            </w:r>
            <w:r w:rsidRPr="00017096">
              <w:rPr>
                <w:rFonts w:ascii="Arial" w:hAnsi="Arial" w:cs="Arial"/>
                <w:sz w:val="14"/>
                <w:szCs w:val="14"/>
              </w:rPr>
              <w:t>472</w:t>
            </w:r>
          </w:p>
        </w:tc>
        <w:tc>
          <w:tcPr>
            <w:tcW w:w="709" w:type="dxa"/>
            <w:tcBorders>
              <w:top w:val="single" w:sz="4" w:space="0" w:color="auto"/>
              <w:left w:val="nil"/>
              <w:bottom w:val="single" w:sz="4" w:space="0" w:color="auto"/>
              <w:right w:val="nil"/>
            </w:tcBorders>
            <w:shd w:val="clear" w:color="auto" w:fill="auto"/>
            <w:noWrap/>
            <w:vAlign w:val="center"/>
          </w:tcPr>
          <w:p w14:paraId="72869330" w14:textId="2D7BCEAD" w:rsidR="00820704" w:rsidRPr="001A13B5" w:rsidRDefault="00820704" w:rsidP="00820704">
            <w:pPr>
              <w:jc w:val="center"/>
              <w:rPr>
                <w:rFonts w:ascii="Arial" w:hAnsi="Arial" w:cs="Arial"/>
                <w:sz w:val="14"/>
                <w:szCs w:val="14"/>
              </w:rPr>
            </w:pPr>
            <w:r w:rsidRPr="00017096">
              <w:rPr>
                <w:rFonts w:ascii="Arial" w:hAnsi="Arial" w:cs="Arial"/>
                <w:sz w:val="14"/>
                <w:szCs w:val="14"/>
              </w:rPr>
              <w:t>49</w:t>
            </w:r>
            <w:r>
              <w:rPr>
                <w:rFonts w:ascii="Arial" w:hAnsi="Arial" w:cs="Arial"/>
                <w:sz w:val="14"/>
                <w:szCs w:val="14"/>
              </w:rPr>
              <w:t>.</w:t>
            </w:r>
            <w:r w:rsidRPr="00017096">
              <w:rPr>
                <w:rFonts w:ascii="Arial" w:hAnsi="Arial" w:cs="Arial"/>
                <w:sz w:val="14"/>
                <w:szCs w:val="14"/>
              </w:rPr>
              <w:t>868</w:t>
            </w:r>
          </w:p>
        </w:tc>
        <w:tc>
          <w:tcPr>
            <w:tcW w:w="847" w:type="dxa"/>
            <w:tcBorders>
              <w:top w:val="single" w:sz="4" w:space="0" w:color="auto"/>
              <w:left w:val="nil"/>
              <w:bottom w:val="single" w:sz="4" w:space="0" w:color="auto"/>
              <w:right w:val="nil"/>
            </w:tcBorders>
            <w:shd w:val="clear" w:color="auto" w:fill="auto"/>
            <w:noWrap/>
            <w:vAlign w:val="center"/>
          </w:tcPr>
          <w:p w14:paraId="2FC98F33" w14:textId="0545CFE8" w:rsidR="00820704" w:rsidRPr="001A13B5" w:rsidRDefault="00820704" w:rsidP="00820704">
            <w:pPr>
              <w:jc w:val="center"/>
              <w:rPr>
                <w:rFonts w:ascii="Arial" w:hAnsi="Arial" w:cs="Arial"/>
                <w:sz w:val="14"/>
                <w:szCs w:val="14"/>
              </w:rPr>
            </w:pPr>
            <w:r w:rsidRPr="00017096">
              <w:rPr>
                <w:rFonts w:ascii="Arial" w:hAnsi="Arial" w:cs="Arial"/>
                <w:sz w:val="14"/>
                <w:szCs w:val="14"/>
              </w:rPr>
              <w:t>507</w:t>
            </w:r>
            <w:r>
              <w:rPr>
                <w:rFonts w:ascii="Arial" w:hAnsi="Arial" w:cs="Arial"/>
                <w:sz w:val="14"/>
                <w:szCs w:val="14"/>
              </w:rPr>
              <w:t>.</w:t>
            </w:r>
            <w:r w:rsidRPr="00017096">
              <w:rPr>
                <w:rFonts w:ascii="Arial" w:hAnsi="Arial" w:cs="Arial"/>
                <w:sz w:val="14"/>
                <w:szCs w:val="14"/>
              </w:rPr>
              <w:t>949</w:t>
            </w:r>
          </w:p>
        </w:tc>
      </w:tr>
    </w:tbl>
    <w:p w14:paraId="00853B4A" w14:textId="77777777" w:rsidR="00A372F6" w:rsidRPr="00A43491" w:rsidRDefault="00A372F6" w:rsidP="00A372F6">
      <w:pPr>
        <w:jc w:val="center"/>
        <w:rPr>
          <w:rFonts w:ascii="Arial" w:hAnsi="Arial" w:cs="Arial"/>
          <w:b/>
        </w:rPr>
      </w:pPr>
    </w:p>
    <w:p w14:paraId="12404726" w14:textId="77777777" w:rsidR="00A372F6" w:rsidRPr="008F45BA" w:rsidRDefault="00A372F6" w:rsidP="00A372F6">
      <w:pPr>
        <w:rPr>
          <w:rFonts w:ascii="Arial" w:hAnsi="Arial" w:cs="Arial"/>
          <w:sz w:val="18"/>
          <w:szCs w:val="18"/>
          <w:lang w:val="es-ES_tradnl" w:eastAsia="es-ES"/>
        </w:rPr>
      </w:pPr>
      <w:r w:rsidRPr="008F45BA">
        <w:rPr>
          <w:rFonts w:ascii="Arial" w:hAnsi="Arial" w:cs="Arial"/>
          <w:sz w:val="18"/>
          <w:szCs w:val="18"/>
          <w:lang w:val="es-ES_tradnl" w:eastAsia="es-ES"/>
        </w:rPr>
        <w:t>Fuente: Superintendencia Nacional de Educación Superior (2016)</w:t>
      </w:r>
    </w:p>
    <w:p w14:paraId="46F6384C" w14:textId="77777777" w:rsidR="00A372F6" w:rsidRPr="008F45BA" w:rsidRDefault="00A372F6" w:rsidP="00A372F6">
      <w:pPr>
        <w:rPr>
          <w:rFonts w:ascii="Arial" w:hAnsi="Arial" w:cs="Arial"/>
          <w:sz w:val="18"/>
          <w:szCs w:val="18"/>
          <w:lang w:val="es-ES_tradnl" w:eastAsia="es-ES"/>
        </w:rPr>
      </w:pPr>
      <w:r w:rsidRPr="008F45BA">
        <w:rPr>
          <w:rFonts w:ascii="Arial" w:hAnsi="Arial" w:cs="Arial"/>
          <w:sz w:val="18"/>
          <w:szCs w:val="18"/>
          <w:lang w:val="es-ES_tradnl" w:eastAsia="es-ES"/>
        </w:rPr>
        <w:t>Elaboración propia</w:t>
      </w:r>
    </w:p>
    <w:p w14:paraId="6EDAA97D" w14:textId="77777777" w:rsidR="00A372F6" w:rsidRPr="008F45BA" w:rsidRDefault="00A372F6" w:rsidP="00A372F6">
      <w:pPr>
        <w:rPr>
          <w:rFonts w:ascii="Arial" w:hAnsi="Arial" w:cs="Arial"/>
          <w:b/>
          <w:lang w:val="es-ES_tradnl"/>
        </w:rPr>
      </w:pPr>
    </w:p>
    <w:p w14:paraId="55A51BE4" w14:textId="77777777" w:rsidR="00A372F6" w:rsidRDefault="00A372F6" w:rsidP="00A372F6">
      <w:pPr>
        <w:jc w:val="center"/>
        <w:rPr>
          <w:rFonts w:ascii="Arial" w:hAnsi="Arial" w:cs="Arial"/>
          <w:b/>
          <w:sz w:val="22"/>
          <w:szCs w:val="22"/>
          <w:lang w:val="es-ES_tradnl"/>
        </w:rPr>
      </w:pPr>
      <w:r w:rsidRPr="008F45BA">
        <w:rPr>
          <w:rFonts w:ascii="Arial" w:hAnsi="Arial" w:cs="Arial"/>
          <w:b/>
          <w:sz w:val="22"/>
          <w:szCs w:val="22"/>
          <w:lang w:val="es-ES_tradnl"/>
        </w:rPr>
        <w:t xml:space="preserve">Cuadro A2: Número de Beneficiarios de </w:t>
      </w:r>
      <w:r w:rsidR="00052E61" w:rsidRPr="00052E61">
        <w:rPr>
          <w:rFonts w:ascii="Arial" w:hAnsi="Arial" w:cs="Arial"/>
          <w:b/>
          <w:sz w:val="22"/>
          <w:szCs w:val="22"/>
          <w:lang w:val="es-ES_tradnl"/>
        </w:rPr>
        <w:t xml:space="preserve">Mejora de la infraestructura y equipamiento de las </w:t>
      </w:r>
      <w:r w:rsidR="00274642">
        <w:rPr>
          <w:rFonts w:ascii="Arial" w:hAnsi="Arial" w:cs="Arial"/>
          <w:b/>
          <w:sz w:val="22"/>
          <w:szCs w:val="22"/>
          <w:lang w:val="es-ES_tradnl"/>
        </w:rPr>
        <w:t>IES</w:t>
      </w:r>
      <w:r w:rsidR="00052E61" w:rsidRPr="00052E61">
        <w:rPr>
          <w:rFonts w:ascii="Arial" w:hAnsi="Arial" w:cs="Arial"/>
          <w:b/>
          <w:sz w:val="22"/>
          <w:szCs w:val="22"/>
          <w:lang w:val="es-ES_tradnl"/>
        </w:rPr>
        <w:t xml:space="preserve"> pública</w:t>
      </w:r>
    </w:p>
    <w:p w14:paraId="3A2BE0DB" w14:textId="77777777" w:rsidR="00A372F6" w:rsidRPr="008F45BA" w:rsidRDefault="00A372F6" w:rsidP="00A372F6">
      <w:pPr>
        <w:jc w:val="center"/>
        <w:rPr>
          <w:rFonts w:ascii="Arial" w:hAnsi="Arial" w:cs="Arial"/>
          <w:b/>
          <w:sz w:val="22"/>
          <w:szCs w:val="22"/>
          <w:lang w:val="es-ES_tradnl"/>
        </w:rPr>
      </w:pPr>
    </w:p>
    <w:tbl>
      <w:tblPr>
        <w:tblW w:w="11838" w:type="dxa"/>
        <w:jc w:val="center"/>
        <w:tblLayout w:type="fixed"/>
        <w:tblLook w:val="04A0" w:firstRow="1" w:lastRow="0" w:firstColumn="1" w:lastColumn="0" w:noHBand="0" w:noVBand="1"/>
      </w:tblPr>
      <w:tblGrid>
        <w:gridCol w:w="1064"/>
        <w:gridCol w:w="568"/>
        <w:gridCol w:w="567"/>
        <w:gridCol w:w="567"/>
        <w:gridCol w:w="567"/>
        <w:gridCol w:w="567"/>
        <w:gridCol w:w="708"/>
        <w:gridCol w:w="709"/>
        <w:gridCol w:w="709"/>
        <w:gridCol w:w="709"/>
        <w:gridCol w:w="715"/>
        <w:gridCol w:w="709"/>
        <w:gridCol w:w="709"/>
        <w:gridCol w:w="708"/>
        <w:gridCol w:w="706"/>
        <w:gridCol w:w="709"/>
        <w:gridCol w:w="847"/>
      </w:tblGrid>
      <w:tr w:rsidR="00A372F6" w:rsidRPr="00A43491" w14:paraId="1108F2B7" w14:textId="77777777" w:rsidTr="00374C56">
        <w:trPr>
          <w:trHeight w:val="300"/>
          <w:jc w:val="center"/>
        </w:trPr>
        <w:tc>
          <w:tcPr>
            <w:tcW w:w="1064" w:type="dxa"/>
            <w:tcBorders>
              <w:top w:val="nil"/>
              <w:left w:val="nil"/>
              <w:bottom w:val="single" w:sz="4" w:space="0" w:color="auto"/>
              <w:right w:val="nil"/>
            </w:tcBorders>
            <w:shd w:val="clear" w:color="000000" w:fill="DDEBF7"/>
            <w:noWrap/>
            <w:vAlign w:val="bottom"/>
            <w:hideMark/>
          </w:tcPr>
          <w:p w14:paraId="405E0208" w14:textId="77777777" w:rsidR="00A372F6" w:rsidRPr="008F45BA" w:rsidRDefault="00A372F6" w:rsidP="00374C56">
            <w:pPr>
              <w:rPr>
                <w:rFonts w:ascii="Arial" w:hAnsi="Arial" w:cs="Arial"/>
                <w:b/>
                <w:bCs/>
                <w:sz w:val="14"/>
                <w:szCs w:val="14"/>
                <w:lang w:val="es-ES_tradnl"/>
              </w:rPr>
            </w:pPr>
            <w:r w:rsidRPr="008F45BA">
              <w:rPr>
                <w:rFonts w:ascii="Arial" w:hAnsi="Arial" w:cs="Arial"/>
                <w:b/>
                <w:bCs/>
                <w:sz w:val="14"/>
                <w:szCs w:val="14"/>
                <w:lang w:val="es-ES_tradnl"/>
              </w:rPr>
              <w:t> </w:t>
            </w:r>
          </w:p>
        </w:tc>
        <w:tc>
          <w:tcPr>
            <w:tcW w:w="568" w:type="dxa"/>
            <w:tcBorders>
              <w:top w:val="nil"/>
              <w:left w:val="nil"/>
              <w:bottom w:val="single" w:sz="4" w:space="0" w:color="auto"/>
              <w:right w:val="nil"/>
            </w:tcBorders>
            <w:shd w:val="clear" w:color="000000" w:fill="DDEBF7"/>
            <w:vAlign w:val="center"/>
          </w:tcPr>
          <w:p w14:paraId="7180C9E4"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w:t>
            </w:r>
          </w:p>
        </w:tc>
        <w:tc>
          <w:tcPr>
            <w:tcW w:w="567" w:type="dxa"/>
            <w:tcBorders>
              <w:top w:val="nil"/>
              <w:left w:val="nil"/>
              <w:bottom w:val="single" w:sz="4" w:space="0" w:color="auto"/>
              <w:right w:val="nil"/>
            </w:tcBorders>
            <w:shd w:val="clear" w:color="000000" w:fill="DDEBF7"/>
            <w:noWrap/>
            <w:vAlign w:val="center"/>
            <w:hideMark/>
          </w:tcPr>
          <w:p w14:paraId="74CE19A0"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Año2</w:t>
            </w:r>
          </w:p>
        </w:tc>
        <w:tc>
          <w:tcPr>
            <w:tcW w:w="567" w:type="dxa"/>
            <w:tcBorders>
              <w:top w:val="nil"/>
              <w:left w:val="nil"/>
              <w:bottom w:val="single" w:sz="4" w:space="0" w:color="auto"/>
              <w:right w:val="nil"/>
            </w:tcBorders>
            <w:shd w:val="clear" w:color="000000" w:fill="DDEBF7"/>
            <w:noWrap/>
            <w:vAlign w:val="center"/>
            <w:hideMark/>
          </w:tcPr>
          <w:p w14:paraId="21B9FB40"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Año3</w:t>
            </w:r>
          </w:p>
        </w:tc>
        <w:tc>
          <w:tcPr>
            <w:tcW w:w="567" w:type="dxa"/>
            <w:tcBorders>
              <w:top w:val="nil"/>
              <w:left w:val="nil"/>
              <w:bottom w:val="single" w:sz="4" w:space="0" w:color="auto"/>
              <w:right w:val="nil"/>
            </w:tcBorders>
            <w:shd w:val="clear" w:color="000000" w:fill="DDEBF7"/>
            <w:noWrap/>
            <w:vAlign w:val="center"/>
            <w:hideMark/>
          </w:tcPr>
          <w:p w14:paraId="76E87DEB"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Año4</w:t>
            </w:r>
          </w:p>
        </w:tc>
        <w:tc>
          <w:tcPr>
            <w:tcW w:w="567" w:type="dxa"/>
            <w:tcBorders>
              <w:top w:val="nil"/>
              <w:left w:val="nil"/>
              <w:bottom w:val="single" w:sz="4" w:space="0" w:color="auto"/>
              <w:right w:val="nil"/>
            </w:tcBorders>
            <w:shd w:val="clear" w:color="000000" w:fill="DDEBF7"/>
            <w:noWrap/>
            <w:vAlign w:val="center"/>
            <w:hideMark/>
          </w:tcPr>
          <w:p w14:paraId="50339F00"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Año5</w:t>
            </w:r>
          </w:p>
        </w:tc>
        <w:tc>
          <w:tcPr>
            <w:tcW w:w="708" w:type="dxa"/>
            <w:tcBorders>
              <w:top w:val="nil"/>
              <w:left w:val="nil"/>
              <w:bottom w:val="single" w:sz="4" w:space="0" w:color="auto"/>
              <w:right w:val="nil"/>
            </w:tcBorders>
            <w:shd w:val="clear" w:color="000000" w:fill="DDEBF7"/>
            <w:noWrap/>
            <w:vAlign w:val="center"/>
            <w:hideMark/>
          </w:tcPr>
          <w:p w14:paraId="67679BF0"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Año6</w:t>
            </w:r>
          </w:p>
        </w:tc>
        <w:tc>
          <w:tcPr>
            <w:tcW w:w="709" w:type="dxa"/>
            <w:tcBorders>
              <w:top w:val="nil"/>
              <w:left w:val="nil"/>
              <w:bottom w:val="single" w:sz="4" w:space="0" w:color="auto"/>
              <w:right w:val="nil"/>
            </w:tcBorders>
            <w:shd w:val="clear" w:color="000000" w:fill="DDEBF7"/>
            <w:noWrap/>
            <w:vAlign w:val="center"/>
            <w:hideMark/>
          </w:tcPr>
          <w:p w14:paraId="0CD63755"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Año7</w:t>
            </w:r>
          </w:p>
        </w:tc>
        <w:tc>
          <w:tcPr>
            <w:tcW w:w="709" w:type="dxa"/>
            <w:tcBorders>
              <w:top w:val="nil"/>
              <w:left w:val="nil"/>
              <w:bottom w:val="single" w:sz="4" w:space="0" w:color="auto"/>
              <w:right w:val="nil"/>
            </w:tcBorders>
            <w:shd w:val="clear" w:color="000000" w:fill="DDEBF7"/>
            <w:noWrap/>
            <w:vAlign w:val="center"/>
            <w:hideMark/>
          </w:tcPr>
          <w:p w14:paraId="111575FF"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Año8</w:t>
            </w:r>
          </w:p>
        </w:tc>
        <w:tc>
          <w:tcPr>
            <w:tcW w:w="709" w:type="dxa"/>
            <w:tcBorders>
              <w:top w:val="nil"/>
              <w:left w:val="nil"/>
              <w:bottom w:val="single" w:sz="4" w:space="0" w:color="auto"/>
              <w:right w:val="nil"/>
            </w:tcBorders>
            <w:shd w:val="clear" w:color="000000" w:fill="DDEBF7"/>
            <w:noWrap/>
            <w:vAlign w:val="center"/>
            <w:hideMark/>
          </w:tcPr>
          <w:p w14:paraId="7F5C815D"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Año9</w:t>
            </w:r>
          </w:p>
        </w:tc>
        <w:tc>
          <w:tcPr>
            <w:tcW w:w="715" w:type="dxa"/>
            <w:tcBorders>
              <w:top w:val="nil"/>
              <w:left w:val="nil"/>
              <w:bottom w:val="single" w:sz="4" w:space="0" w:color="auto"/>
              <w:right w:val="nil"/>
            </w:tcBorders>
            <w:shd w:val="clear" w:color="000000" w:fill="DDEBF7"/>
            <w:noWrap/>
            <w:vAlign w:val="center"/>
            <w:hideMark/>
          </w:tcPr>
          <w:p w14:paraId="1ADBC2CD"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Año10</w:t>
            </w:r>
          </w:p>
        </w:tc>
        <w:tc>
          <w:tcPr>
            <w:tcW w:w="709" w:type="dxa"/>
            <w:tcBorders>
              <w:top w:val="nil"/>
              <w:left w:val="nil"/>
              <w:bottom w:val="single" w:sz="4" w:space="0" w:color="auto"/>
              <w:right w:val="nil"/>
            </w:tcBorders>
            <w:shd w:val="clear" w:color="000000" w:fill="DDEBF7"/>
            <w:noWrap/>
            <w:vAlign w:val="center"/>
            <w:hideMark/>
          </w:tcPr>
          <w:p w14:paraId="7BCCE93E"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Año11</w:t>
            </w:r>
          </w:p>
        </w:tc>
        <w:tc>
          <w:tcPr>
            <w:tcW w:w="709" w:type="dxa"/>
            <w:tcBorders>
              <w:top w:val="nil"/>
              <w:left w:val="nil"/>
              <w:bottom w:val="single" w:sz="4" w:space="0" w:color="auto"/>
              <w:right w:val="nil"/>
            </w:tcBorders>
            <w:shd w:val="clear" w:color="000000" w:fill="DDEBF7"/>
            <w:noWrap/>
            <w:vAlign w:val="center"/>
            <w:hideMark/>
          </w:tcPr>
          <w:p w14:paraId="7F1CE741"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Año12</w:t>
            </w:r>
          </w:p>
        </w:tc>
        <w:tc>
          <w:tcPr>
            <w:tcW w:w="708" w:type="dxa"/>
            <w:tcBorders>
              <w:top w:val="nil"/>
              <w:left w:val="nil"/>
              <w:bottom w:val="single" w:sz="4" w:space="0" w:color="auto"/>
              <w:right w:val="nil"/>
            </w:tcBorders>
            <w:shd w:val="clear" w:color="000000" w:fill="DDEBF7"/>
            <w:noWrap/>
            <w:vAlign w:val="center"/>
            <w:hideMark/>
          </w:tcPr>
          <w:p w14:paraId="12E0B302"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Año13</w:t>
            </w:r>
          </w:p>
        </w:tc>
        <w:tc>
          <w:tcPr>
            <w:tcW w:w="706" w:type="dxa"/>
            <w:tcBorders>
              <w:top w:val="nil"/>
              <w:left w:val="nil"/>
              <w:bottom w:val="single" w:sz="4" w:space="0" w:color="auto"/>
              <w:right w:val="nil"/>
            </w:tcBorders>
            <w:shd w:val="clear" w:color="000000" w:fill="DDEBF7"/>
            <w:noWrap/>
            <w:vAlign w:val="center"/>
            <w:hideMark/>
          </w:tcPr>
          <w:p w14:paraId="51401A15"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Año14</w:t>
            </w:r>
          </w:p>
        </w:tc>
        <w:tc>
          <w:tcPr>
            <w:tcW w:w="709" w:type="dxa"/>
            <w:tcBorders>
              <w:top w:val="nil"/>
              <w:left w:val="nil"/>
              <w:bottom w:val="single" w:sz="4" w:space="0" w:color="auto"/>
              <w:right w:val="nil"/>
            </w:tcBorders>
            <w:shd w:val="clear" w:color="000000" w:fill="DDEBF7"/>
            <w:noWrap/>
            <w:vAlign w:val="center"/>
            <w:hideMark/>
          </w:tcPr>
          <w:p w14:paraId="233586F9"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Año1</w:t>
            </w:r>
            <w:r>
              <w:rPr>
                <w:rFonts w:ascii="Arial" w:hAnsi="Arial" w:cs="Arial"/>
                <w:b/>
                <w:bCs/>
                <w:sz w:val="14"/>
                <w:szCs w:val="14"/>
              </w:rPr>
              <w:t>5</w:t>
            </w:r>
          </w:p>
        </w:tc>
        <w:tc>
          <w:tcPr>
            <w:tcW w:w="847" w:type="dxa"/>
            <w:tcBorders>
              <w:top w:val="nil"/>
              <w:left w:val="nil"/>
              <w:bottom w:val="single" w:sz="4" w:space="0" w:color="auto"/>
            </w:tcBorders>
            <w:shd w:val="clear" w:color="000000" w:fill="DDEBF7"/>
            <w:noWrap/>
            <w:vAlign w:val="center"/>
            <w:hideMark/>
          </w:tcPr>
          <w:p w14:paraId="5787D526" w14:textId="77777777" w:rsidR="00A372F6" w:rsidRPr="00A43491" w:rsidRDefault="00A372F6" w:rsidP="00374C56">
            <w:pPr>
              <w:rPr>
                <w:rFonts w:ascii="Arial" w:hAnsi="Arial" w:cs="Arial"/>
                <w:b/>
                <w:bCs/>
                <w:sz w:val="14"/>
                <w:szCs w:val="14"/>
              </w:rPr>
            </w:pPr>
            <w:r w:rsidRPr="00A43491">
              <w:rPr>
                <w:rFonts w:ascii="Arial" w:hAnsi="Arial" w:cs="Arial"/>
                <w:b/>
                <w:bCs/>
                <w:sz w:val="14"/>
                <w:szCs w:val="14"/>
              </w:rPr>
              <w:t>Total</w:t>
            </w:r>
          </w:p>
        </w:tc>
      </w:tr>
      <w:tr w:rsidR="00A372F6" w:rsidRPr="00A43491" w14:paraId="3D791F8F" w14:textId="77777777" w:rsidTr="00374C56">
        <w:trPr>
          <w:trHeight w:val="300"/>
          <w:jc w:val="center"/>
        </w:trPr>
        <w:tc>
          <w:tcPr>
            <w:tcW w:w="1064" w:type="dxa"/>
            <w:tcBorders>
              <w:top w:val="single" w:sz="4" w:space="0" w:color="auto"/>
              <w:left w:val="nil"/>
              <w:right w:val="nil"/>
            </w:tcBorders>
            <w:shd w:val="clear" w:color="auto" w:fill="auto"/>
            <w:noWrap/>
            <w:vAlign w:val="center"/>
            <w:hideMark/>
          </w:tcPr>
          <w:p w14:paraId="1F541D24" w14:textId="77777777" w:rsidR="00A372F6" w:rsidRPr="005B5674" w:rsidRDefault="00A372F6" w:rsidP="00374C56">
            <w:pPr>
              <w:jc w:val="center"/>
              <w:rPr>
                <w:rFonts w:ascii="Arial" w:hAnsi="Arial" w:cs="Arial"/>
                <w:b/>
                <w:sz w:val="14"/>
                <w:szCs w:val="14"/>
              </w:rPr>
            </w:pPr>
            <w:r>
              <w:rPr>
                <w:rFonts w:ascii="Arial" w:hAnsi="Arial" w:cs="Arial"/>
                <w:sz w:val="14"/>
                <w:szCs w:val="14"/>
                <w:lang w:eastAsia="es-ES"/>
              </w:rPr>
              <w:t>Egresados de Univ.</w:t>
            </w:r>
          </w:p>
        </w:tc>
        <w:tc>
          <w:tcPr>
            <w:tcW w:w="568" w:type="dxa"/>
            <w:tcBorders>
              <w:top w:val="single" w:sz="4" w:space="0" w:color="auto"/>
              <w:left w:val="nil"/>
              <w:right w:val="nil"/>
            </w:tcBorders>
            <w:vAlign w:val="center"/>
          </w:tcPr>
          <w:p w14:paraId="78EEAC91"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775F233E"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17D8095F"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55EC4120"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638B4AA1"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0</w:t>
            </w:r>
          </w:p>
        </w:tc>
        <w:tc>
          <w:tcPr>
            <w:tcW w:w="708" w:type="dxa"/>
            <w:tcBorders>
              <w:top w:val="single" w:sz="4" w:space="0" w:color="auto"/>
              <w:left w:val="nil"/>
              <w:right w:val="nil"/>
            </w:tcBorders>
            <w:shd w:val="clear" w:color="auto" w:fill="auto"/>
            <w:noWrap/>
            <w:vAlign w:val="center"/>
            <w:hideMark/>
          </w:tcPr>
          <w:p w14:paraId="71BAF2CE"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24</w:t>
            </w:r>
            <w:r>
              <w:rPr>
                <w:rFonts w:ascii="Arial" w:hAnsi="Arial" w:cs="Arial"/>
                <w:sz w:val="14"/>
                <w:szCs w:val="14"/>
              </w:rPr>
              <w:t>.</w:t>
            </w:r>
            <w:r w:rsidRPr="001A13B5">
              <w:rPr>
                <w:rFonts w:ascii="Arial" w:hAnsi="Arial" w:cs="Arial"/>
                <w:sz w:val="14"/>
                <w:szCs w:val="14"/>
              </w:rPr>
              <w:t>005</w:t>
            </w:r>
          </w:p>
        </w:tc>
        <w:tc>
          <w:tcPr>
            <w:tcW w:w="709" w:type="dxa"/>
            <w:tcBorders>
              <w:top w:val="single" w:sz="4" w:space="0" w:color="auto"/>
              <w:left w:val="nil"/>
              <w:right w:val="nil"/>
            </w:tcBorders>
            <w:shd w:val="clear" w:color="auto" w:fill="auto"/>
            <w:noWrap/>
            <w:vAlign w:val="center"/>
            <w:hideMark/>
          </w:tcPr>
          <w:p w14:paraId="2C01AD64"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25</w:t>
            </w:r>
            <w:r>
              <w:rPr>
                <w:rFonts w:ascii="Arial" w:hAnsi="Arial" w:cs="Arial"/>
                <w:sz w:val="14"/>
                <w:szCs w:val="14"/>
              </w:rPr>
              <w:t>.</w:t>
            </w:r>
            <w:r w:rsidRPr="001A13B5">
              <w:rPr>
                <w:rFonts w:ascii="Arial" w:hAnsi="Arial" w:cs="Arial"/>
                <w:sz w:val="14"/>
                <w:szCs w:val="14"/>
              </w:rPr>
              <w:t>205</w:t>
            </w:r>
          </w:p>
        </w:tc>
        <w:tc>
          <w:tcPr>
            <w:tcW w:w="709" w:type="dxa"/>
            <w:tcBorders>
              <w:top w:val="single" w:sz="4" w:space="0" w:color="auto"/>
              <w:left w:val="nil"/>
              <w:right w:val="nil"/>
            </w:tcBorders>
            <w:shd w:val="clear" w:color="auto" w:fill="auto"/>
            <w:noWrap/>
            <w:vAlign w:val="center"/>
            <w:hideMark/>
          </w:tcPr>
          <w:p w14:paraId="5765A62D"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26</w:t>
            </w:r>
            <w:r>
              <w:rPr>
                <w:rFonts w:ascii="Arial" w:hAnsi="Arial" w:cs="Arial"/>
                <w:sz w:val="14"/>
                <w:szCs w:val="14"/>
              </w:rPr>
              <w:t>.</w:t>
            </w:r>
            <w:r w:rsidRPr="001A13B5">
              <w:rPr>
                <w:rFonts w:ascii="Arial" w:hAnsi="Arial" w:cs="Arial"/>
                <w:sz w:val="14"/>
                <w:szCs w:val="14"/>
              </w:rPr>
              <w:t>466</w:t>
            </w:r>
          </w:p>
        </w:tc>
        <w:tc>
          <w:tcPr>
            <w:tcW w:w="709" w:type="dxa"/>
            <w:tcBorders>
              <w:top w:val="single" w:sz="4" w:space="0" w:color="auto"/>
              <w:left w:val="nil"/>
              <w:right w:val="nil"/>
            </w:tcBorders>
            <w:shd w:val="clear" w:color="auto" w:fill="auto"/>
            <w:noWrap/>
            <w:vAlign w:val="center"/>
            <w:hideMark/>
          </w:tcPr>
          <w:p w14:paraId="71A4E5CF"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27</w:t>
            </w:r>
            <w:r>
              <w:rPr>
                <w:rFonts w:ascii="Arial" w:hAnsi="Arial" w:cs="Arial"/>
                <w:sz w:val="14"/>
                <w:szCs w:val="14"/>
              </w:rPr>
              <w:t>.</w:t>
            </w:r>
            <w:r w:rsidRPr="001A13B5">
              <w:rPr>
                <w:rFonts w:ascii="Arial" w:hAnsi="Arial" w:cs="Arial"/>
                <w:sz w:val="14"/>
                <w:szCs w:val="14"/>
              </w:rPr>
              <w:t>789</w:t>
            </w:r>
          </w:p>
        </w:tc>
        <w:tc>
          <w:tcPr>
            <w:tcW w:w="715" w:type="dxa"/>
            <w:tcBorders>
              <w:top w:val="single" w:sz="4" w:space="0" w:color="auto"/>
              <w:left w:val="nil"/>
              <w:right w:val="nil"/>
            </w:tcBorders>
            <w:shd w:val="clear" w:color="auto" w:fill="auto"/>
            <w:noWrap/>
            <w:vAlign w:val="center"/>
            <w:hideMark/>
          </w:tcPr>
          <w:p w14:paraId="5E1131C1"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29</w:t>
            </w:r>
            <w:r>
              <w:rPr>
                <w:rFonts w:ascii="Arial" w:hAnsi="Arial" w:cs="Arial"/>
                <w:sz w:val="14"/>
                <w:szCs w:val="14"/>
              </w:rPr>
              <w:t>.</w:t>
            </w:r>
            <w:r w:rsidRPr="001A13B5">
              <w:rPr>
                <w:rFonts w:ascii="Arial" w:hAnsi="Arial" w:cs="Arial"/>
                <w:sz w:val="14"/>
                <w:szCs w:val="14"/>
              </w:rPr>
              <w:t>178</w:t>
            </w:r>
          </w:p>
        </w:tc>
        <w:tc>
          <w:tcPr>
            <w:tcW w:w="709" w:type="dxa"/>
            <w:tcBorders>
              <w:top w:val="single" w:sz="4" w:space="0" w:color="auto"/>
              <w:left w:val="nil"/>
              <w:right w:val="nil"/>
            </w:tcBorders>
            <w:shd w:val="clear" w:color="auto" w:fill="auto"/>
            <w:noWrap/>
            <w:vAlign w:val="center"/>
            <w:hideMark/>
          </w:tcPr>
          <w:p w14:paraId="54AEA72F"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30</w:t>
            </w:r>
            <w:r>
              <w:rPr>
                <w:rFonts w:ascii="Arial" w:hAnsi="Arial" w:cs="Arial"/>
                <w:sz w:val="14"/>
                <w:szCs w:val="14"/>
              </w:rPr>
              <w:t>.</w:t>
            </w:r>
            <w:r w:rsidRPr="001A13B5">
              <w:rPr>
                <w:rFonts w:ascii="Arial" w:hAnsi="Arial" w:cs="Arial"/>
                <w:sz w:val="14"/>
                <w:szCs w:val="14"/>
              </w:rPr>
              <w:t>637</w:t>
            </w:r>
          </w:p>
        </w:tc>
        <w:tc>
          <w:tcPr>
            <w:tcW w:w="709" w:type="dxa"/>
            <w:tcBorders>
              <w:top w:val="single" w:sz="4" w:space="0" w:color="auto"/>
              <w:left w:val="nil"/>
              <w:right w:val="nil"/>
            </w:tcBorders>
            <w:shd w:val="clear" w:color="auto" w:fill="auto"/>
            <w:noWrap/>
            <w:vAlign w:val="center"/>
            <w:hideMark/>
          </w:tcPr>
          <w:p w14:paraId="4B508965"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32</w:t>
            </w:r>
            <w:r>
              <w:rPr>
                <w:rFonts w:ascii="Arial" w:hAnsi="Arial" w:cs="Arial"/>
                <w:sz w:val="14"/>
                <w:szCs w:val="14"/>
              </w:rPr>
              <w:t>.</w:t>
            </w:r>
            <w:r w:rsidRPr="001A13B5">
              <w:rPr>
                <w:rFonts w:ascii="Arial" w:hAnsi="Arial" w:cs="Arial"/>
                <w:sz w:val="14"/>
                <w:szCs w:val="14"/>
              </w:rPr>
              <w:t>169</w:t>
            </w:r>
          </w:p>
        </w:tc>
        <w:tc>
          <w:tcPr>
            <w:tcW w:w="708" w:type="dxa"/>
            <w:tcBorders>
              <w:top w:val="single" w:sz="4" w:space="0" w:color="auto"/>
              <w:left w:val="nil"/>
              <w:right w:val="nil"/>
            </w:tcBorders>
            <w:shd w:val="clear" w:color="auto" w:fill="auto"/>
            <w:noWrap/>
            <w:vAlign w:val="center"/>
            <w:hideMark/>
          </w:tcPr>
          <w:p w14:paraId="6BB3C0EE"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33</w:t>
            </w:r>
            <w:r>
              <w:rPr>
                <w:rFonts w:ascii="Arial" w:hAnsi="Arial" w:cs="Arial"/>
                <w:sz w:val="14"/>
                <w:szCs w:val="14"/>
              </w:rPr>
              <w:t>.</w:t>
            </w:r>
            <w:r w:rsidRPr="001A13B5">
              <w:rPr>
                <w:rFonts w:ascii="Arial" w:hAnsi="Arial" w:cs="Arial"/>
                <w:sz w:val="14"/>
                <w:szCs w:val="14"/>
              </w:rPr>
              <w:t>777</w:t>
            </w:r>
          </w:p>
        </w:tc>
        <w:tc>
          <w:tcPr>
            <w:tcW w:w="706" w:type="dxa"/>
            <w:tcBorders>
              <w:top w:val="single" w:sz="4" w:space="0" w:color="auto"/>
              <w:left w:val="nil"/>
              <w:right w:val="nil"/>
            </w:tcBorders>
            <w:shd w:val="clear" w:color="auto" w:fill="auto"/>
            <w:noWrap/>
            <w:vAlign w:val="center"/>
            <w:hideMark/>
          </w:tcPr>
          <w:p w14:paraId="69FD511C"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35</w:t>
            </w:r>
            <w:r>
              <w:rPr>
                <w:rFonts w:ascii="Arial" w:hAnsi="Arial" w:cs="Arial"/>
                <w:sz w:val="14"/>
                <w:szCs w:val="14"/>
              </w:rPr>
              <w:t>.</w:t>
            </w:r>
            <w:r w:rsidRPr="001A13B5">
              <w:rPr>
                <w:rFonts w:ascii="Arial" w:hAnsi="Arial" w:cs="Arial"/>
                <w:sz w:val="14"/>
                <w:szCs w:val="14"/>
              </w:rPr>
              <w:t>466</w:t>
            </w:r>
          </w:p>
        </w:tc>
        <w:tc>
          <w:tcPr>
            <w:tcW w:w="709" w:type="dxa"/>
            <w:tcBorders>
              <w:top w:val="single" w:sz="4" w:space="0" w:color="auto"/>
              <w:left w:val="nil"/>
              <w:right w:val="nil"/>
            </w:tcBorders>
            <w:shd w:val="clear" w:color="auto" w:fill="auto"/>
            <w:noWrap/>
            <w:vAlign w:val="center"/>
            <w:hideMark/>
          </w:tcPr>
          <w:p w14:paraId="361D99AE" w14:textId="77777777" w:rsidR="00A372F6" w:rsidRPr="001A13B5" w:rsidRDefault="00A372F6" w:rsidP="00374C56">
            <w:pPr>
              <w:jc w:val="center"/>
              <w:rPr>
                <w:rFonts w:ascii="Arial" w:hAnsi="Arial" w:cs="Arial"/>
                <w:b/>
                <w:sz w:val="14"/>
                <w:szCs w:val="14"/>
              </w:rPr>
            </w:pPr>
            <w:r w:rsidRPr="001A13B5">
              <w:rPr>
                <w:rFonts w:ascii="Arial" w:hAnsi="Arial" w:cs="Arial"/>
                <w:sz w:val="14"/>
                <w:szCs w:val="14"/>
              </w:rPr>
              <w:t>37</w:t>
            </w:r>
            <w:r>
              <w:rPr>
                <w:rFonts w:ascii="Arial" w:hAnsi="Arial" w:cs="Arial"/>
                <w:sz w:val="14"/>
                <w:szCs w:val="14"/>
              </w:rPr>
              <w:t>.</w:t>
            </w:r>
            <w:r w:rsidRPr="001A13B5">
              <w:rPr>
                <w:rFonts w:ascii="Arial" w:hAnsi="Arial" w:cs="Arial"/>
                <w:sz w:val="14"/>
                <w:szCs w:val="14"/>
              </w:rPr>
              <w:t>240</w:t>
            </w:r>
          </w:p>
        </w:tc>
        <w:tc>
          <w:tcPr>
            <w:tcW w:w="847" w:type="dxa"/>
            <w:tcBorders>
              <w:top w:val="single" w:sz="4" w:space="0" w:color="auto"/>
              <w:left w:val="nil"/>
              <w:right w:val="nil"/>
            </w:tcBorders>
            <w:shd w:val="clear" w:color="auto" w:fill="auto"/>
            <w:noWrap/>
            <w:vAlign w:val="center"/>
            <w:hideMark/>
          </w:tcPr>
          <w:p w14:paraId="289D8161" w14:textId="77777777" w:rsidR="00A372F6" w:rsidRPr="001A13B5" w:rsidRDefault="00A372F6" w:rsidP="00374C56">
            <w:pPr>
              <w:jc w:val="center"/>
              <w:rPr>
                <w:rFonts w:ascii="Arial" w:hAnsi="Arial" w:cs="Arial"/>
                <w:b/>
                <w:bCs/>
                <w:sz w:val="14"/>
                <w:szCs w:val="14"/>
              </w:rPr>
            </w:pPr>
            <w:r w:rsidRPr="001A13B5">
              <w:rPr>
                <w:rFonts w:ascii="Arial" w:hAnsi="Arial" w:cs="Arial"/>
                <w:sz w:val="14"/>
                <w:szCs w:val="14"/>
              </w:rPr>
              <w:t>301</w:t>
            </w:r>
            <w:r>
              <w:rPr>
                <w:rFonts w:ascii="Arial" w:hAnsi="Arial" w:cs="Arial"/>
                <w:sz w:val="14"/>
                <w:szCs w:val="14"/>
              </w:rPr>
              <w:t>.</w:t>
            </w:r>
            <w:r w:rsidRPr="001A13B5">
              <w:rPr>
                <w:rFonts w:ascii="Arial" w:hAnsi="Arial" w:cs="Arial"/>
                <w:sz w:val="14"/>
                <w:szCs w:val="14"/>
              </w:rPr>
              <w:t>933</w:t>
            </w:r>
          </w:p>
        </w:tc>
      </w:tr>
      <w:tr w:rsidR="00A372F6" w:rsidRPr="00A43491" w14:paraId="0A0EA1C9" w14:textId="77777777" w:rsidTr="00374C56">
        <w:trPr>
          <w:trHeight w:val="300"/>
          <w:jc w:val="center"/>
        </w:trPr>
        <w:tc>
          <w:tcPr>
            <w:tcW w:w="1064" w:type="dxa"/>
            <w:tcBorders>
              <w:left w:val="nil"/>
              <w:bottom w:val="single" w:sz="4" w:space="0" w:color="auto"/>
              <w:right w:val="nil"/>
            </w:tcBorders>
            <w:shd w:val="clear" w:color="auto" w:fill="auto"/>
            <w:noWrap/>
            <w:vAlign w:val="center"/>
          </w:tcPr>
          <w:p w14:paraId="6ABC8910" w14:textId="77777777" w:rsidR="00A372F6" w:rsidRPr="005B5674" w:rsidRDefault="00274642" w:rsidP="00374C56">
            <w:pPr>
              <w:jc w:val="center"/>
              <w:rPr>
                <w:rFonts w:ascii="Arial" w:hAnsi="Arial" w:cs="Arial"/>
                <w:sz w:val="14"/>
                <w:szCs w:val="14"/>
                <w:lang w:eastAsia="es-ES"/>
              </w:rPr>
            </w:pPr>
            <w:r>
              <w:rPr>
                <w:rFonts w:ascii="Arial" w:hAnsi="Arial" w:cs="Arial"/>
                <w:sz w:val="14"/>
                <w:szCs w:val="14"/>
                <w:lang w:eastAsia="es-ES"/>
              </w:rPr>
              <w:t>Egresados de IEST</w:t>
            </w:r>
          </w:p>
        </w:tc>
        <w:tc>
          <w:tcPr>
            <w:tcW w:w="568" w:type="dxa"/>
            <w:tcBorders>
              <w:left w:val="nil"/>
              <w:bottom w:val="single" w:sz="4" w:space="0" w:color="auto"/>
              <w:right w:val="nil"/>
            </w:tcBorders>
            <w:vAlign w:val="center"/>
          </w:tcPr>
          <w:p w14:paraId="5DE31C07"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0</w:t>
            </w:r>
          </w:p>
        </w:tc>
        <w:tc>
          <w:tcPr>
            <w:tcW w:w="567" w:type="dxa"/>
            <w:tcBorders>
              <w:left w:val="nil"/>
              <w:bottom w:val="single" w:sz="4" w:space="0" w:color="auto"/>
              <w:right w:val="nil"/>
            </w:tcBorders>
            <w:shd w:val="clear" w:color="auto" w:fill="auto"/>
            <w:noWrap/>
            <w:vAlign w:val="center"/>
          </w:tcPr>
          <w:p w14:paraId="6CB723FD"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0</w:t>
            </w:r>
          </w:p>
        </w:tc>
        <w:tc>
          <w:tcPr>
            <w:tcW w:w="567" w:type="dxa"/>
            <w:tcBorders>
              <w:left w:val="nil"/>
              <w:bottom w:val="single" w:sz="4" w:space="0" w:color="auto"/>
              <w:right w:val="nil"/>
            </w:tcBorders>
            <w:shd w:val="clear" w:color="auto" w:fill="auto"/>
            <w:noWrap/>
            <w:vAlign w:val="center"/>
          </w:tcPr>
          <w:p w14:paraId="48EC8CE2"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0</w:t>
            </w:r>
          </w:p>
        </w:tc>
        <w:tc>
          <w:tcPr>
            <w:tcW w:w="567" w:type="dxa"/>
            <w:tcBorders>
              <w:left w:val="nil"/>
              <w:bottom w:val="single" w:sz="4" w:space="0" w:color="auto"/>
              <w:right w:val="nil"/>
            </w:tcBorders>
            <w:shd w:val="clear" w:color="auto" w:fill="auto"/>
            <w:noWrap/>
            <w:vAlign w:val="center"/>
          </w:tcPr>
          <w:p w14:paraId="35E58A33"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0</w:t>
            </w:r>
          </w:p>
        </w:tc>
        <w:tc>
          <w:tcPr>
            <w:tcW w:w="567" w:type="dxa"/>
            <w:tcBorders>
              <w:left w:val="nil"/>
              <w:bottom w:val="single" w:sz="4" w:space="0" w:color="auto"/>
              <w:right w:val="nil"/>
            </w:tcBorders>
            <w:shd w:val="clear" w:color="auto" w:fill="auto"/>
            <w:noWrap/>
            <w:vAlign w:val="center"/>
          </w:tcPr>
          <w:p w14:paraId="41F3A709"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0</w:t>
            </w:r>
          </w:p>
        </w:tc>
        <w:tc>
          <w:tcPr>
            <w:tcW w:w="708" w:type="dxa"/>
            <w:tcBorders>
              <w:left w:val="nil"/>
              <w:bottom w:val="single" w:sz="4" w:space="0" w:color="auto"/>
              <w:right w:val="nil"/>
            </w:tcBorders>
            <w:shd w:val="clear" w:color="auto" w:fill="auto"/>
            <w:noWrap/>
            <w:vAlign w:val="center"/>
          </w:tcPr>
          <w:p w14:paraId="3B5BDC50"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2</w:t>
            </w:r>
            <w:r>
              <w:rPr>
                <w:rFonts w:ascii="Arial" w:hAnsi="Arial" w:cs="Arial"/>
                <w:sz w:val="14"/>
                <w:szCs w:val="14"/>
              </w:rPr>
              <w:t>.</w:t>
            </w:r>
            <w:r w:rsidRPr="001A13B5">
              <w:rPr>
                <w:rFonts w:ascii="Arial" w:hAnsi="Arial" w:cs="Arial"/>
                <w:sz w:val="14"/>
                <w:szCs w:val="14"/>
              </w:rPr>
              <w:t>041</w:t>
            </w:r>
          </w:p>
        </w:tc>
        <w:tc>
          <w:tcPr>
            <w:tcW w:w="709" w:type="dxa"/>
            <w:tcBorders>
              <w:left w:val="nil"/>
              <w:bottom w:val="single" w:sz="4" w:space="0" w:color="auto"/>
              <w:right w:val="nil"/>
            </w:tcBorders>
            <w:shd w:val="clear" w:color="auto" w:fill="auto"/>
            <w:noWrap/>
            <w:vAlign w:val="center"/>
          </w:tcPr>
          <w:p w14:paraId="4E1FACF2"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2</w:t>
            </w:r>
            <w:r>
              <w:rPr>
                <w:rFonts w:ascii="Arial" w:hAnsi="Arial" w:cs="Arial"/>
                <w:sz w:val="14"/>
                <w:szCs w:val="14"/>
              </w:rPr>
              <w:t>.</w:t>
            </w:r>
            <w:r w:rsidRPr="001A13B5">
              <w:rPr>
                <w:rFonts w:ascii="Arial" w:hAnsi="Arial" w:cs="Arial"/>
                <w:sz w:val="14"/>
                <w:szCs w:val="14"/>
              </w:rPr>
              <w:t>184</w:t>
            </w:r>
          </w:p>
        </w:tc>
        <w:tc>
          <w:tcPr>
            <w:tcW w:w="709" w:type="dxa"/>
            <w:tcBorders>
              <w:left w:val="nil"/>
              <w:bottom w:val="single" w:sz="4" w:space="0" w:color="auto"/>
              <w:right w:val="nil"/>
            </w:tcBorders>
            <w:shd w:val="clear" w:color="auto" w:fill="auto"/>
            <w:noWrap/>
            <w:vAlign w:val="center"/>
          </w:tcPr>
          <w:p w14:paraId="303AAF7C"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2</w:t>
            </w:r>
            <w:r>
              <w:rPr>
                <w:rFonts w:ascii="Arial" w:hAnsi="Arial" w:cs="Arial"/>
                <w:sz w:val="14"/>
                <w:szCs w:val="14"/>
              </w:rPr>
              <w:t>.</w:t>
            </w:r>
            <w:r w:rsidRPr="001A13B5">
              <w:rPr>
                <w:rFonts w:ascii="Arial" w:hAnsi="Arial" w:cs="Arial"/>
                <w:sz w:val="14"/>
                <w:szCs w:val="14"/>
              </w:rPr>
              <w:t>336</w:t>
            </w:r>
          </w:p>
        </w:tc>
        <w:tc>
          <w:tcPr>
            <w:tcW w:w="709" w:type="dxa"/>
            <w:tcBorders>
              <w:left w:val="nil"/>
              <w:bottom w:val="single" w:sz="4" w:space="0" w:color="auto"/>
              <w:right w:val="nil"/>
            </w:tcBorders>
            <w:shd w:val="clear" w:color="auto" w:fill="auto"/>
            <w:noWrap/>
            <w:vAlign w:val="center"/>
          </w:tcPr>
          <w:p w14:paraId="566AED48"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2</w:t>
            </w:r>
            <w:r>
              <w:rPr>
                <w:rFonts w:ascii="Arial" w:hAnsi="Arial" w:cs="Arial"/>
                <w:sz w:val="14"/>
                <w:szCs w:val="14"/>
              </w:rPr>
              <w:t>.</w:t>
            </w:r>
            <w:r w:rsidRPr="001A13B5">
              <w:rPr>
                <w:rFonts w:ascii="Arial" w:hAnsi="Arial" w:cs="Arial"/>
                <w:sz w:val="14"/>
                <w:szCs w:val="14"/>
              </w:rPr>
              <w:t>500</w:t>
            </w:r>
          </w:p>
        </w:tc>
        <w:tc>
          <w:tcPr>
            <w:tcW w:w="715" w:type="dxa"/>
            <w:tcBorders>
              <w:left w:val="nil"/>
              <w:bottom w:val="single" w:sz="4" w:space="0" w:color="auto"/>
              <w:right w:val="nil"/>
            </w:tcBorders>
            <w:shd w:val="clear" w:color="auto" w:fill="auto"/>
            <w:noWrap/>
            <w:vAlign w:val="center"/>
          </w:tcPr>
          <w:p w14:paraId="5F1DB6B3"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2</w:t>
            </w:r>
            <w:r>
              <w:rPr>
                <w:rFonts w:ascii="Arial" w:hAnsi="Arial" w:cs="Arial"/>
                <w:sz w:val="14"/>
                <w:szCs w:val="14"/>
              </w:rPr>
              <w:t>.</w:t>
            </w:r>
            <w:r w:rsidRPr="001A13B5">
              <w:rPr>
                <w:rFonts w:ascii="Arial" w:hAnsi="Arial" w:cs="Arial"/>
                <w:sz w:val="14"/>
                <w:szCs w:val="14"/>
              </w:rPr>
              <w:t>675</w:t>
            </w:r>
          </w:p>
        </w:tc>
        <w:tc>
          <w:tcPr>
            <w:tcW w:w="709" w:type="dxa"/>
            <w:tcBorders>
              <w:left w:val="nil"/>
              <w:bottom w:val="single" w:sz="4" w:space="0" w:color="auto"/>
              <w:right w:val="nil"/>
            </w:tcBorders>
            <w:shd w:val="clear" w:color="auto" w:fill="auto"/>
            <w:noWrap/>
            <w:vAlign w:val="center"/>
          </w:tcPr>
          <w:p w14:paraId="11F6DF2D"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2</w:t>
            </w:r>
            <w:r>
              <w:rPr>
                <w:rFonts w:ascii="Arial" w:hAnsi="Arial" w:cs="Arial"/>
                <w:sz w:val="14"/>
                <w:szCs w:val="14"/>
              </w:rPr>
              <w:t>.</w:t>
            </w:r>
            <w:r w:rsidRPr="001A13B5">
              <w:rPr>
                <w:rFonts w:ascii="Arial" w:hAnsi="Arial" w:cs="Arial"/>
                <w:sz w:val="14"/>
                <w:szCs w:val="14"/>
              </w:rPr>
              <w:t>862</w:t>
            </w:r>
          </w:p>
        </w:tc>
        <w:tc>
          <w:tcPr>
            <w:tcW w:w="709" w:type="dxa"/>
            <w:tcBorders>
              <w:left w:val="nil"/>
              <w:bottom w:val="single" w:sz="4" w:space="0" w:color="auto"/>
              <w:right w:val="nil"/>
            </w:tcBorders>
            <w:shd w:val="clear" w:color="auto" w:fill="auto"/>
            <w:noWrap/>
            <w:vAlign w:val="center"/>
          </w:tcPr>
          <w:p w14:paraId="46DC7546"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3</w:t>
            </w:r>
            <w:r>
              <w:rPr>
                <w:rFonts w:ascii="Arial" w:hAnsi="Arial" w:cs="Arial"/>
                <w:sz w:val="14"/>
                <w:szCs w:val="14"/>
              </w:rPr>
              <w:t>.</w:t>
            </w:r>
            <w:r w:rsidRPr="001A13B5">
              <w:rPr>
                <w:rFonts w:ascii="Arial" w:hAnsi="Arial" w:cs="Arial"/>
                <w:sz w:val="14"/>
                <w:szCs w:val="14"/>
              </w:rPr>
              <w:t>063</w:t>
            </w:r>
          </w:p>
        </w:tc>
        <w:tc>
          <w:tcPr>
            <w:tcW w:w="708" w:type="dxa"/>
            <w:tcBorders>
              <w:left w:val="nil"/>
              <w:bottom w:val="single" w:sz="4" w:space="0" w:color="auto"/>
              <w:right w:val="nil"/>
            </w:tcBorders>
            <w:shd w:val="clear" w:color="auto" w:fill="auto"/>
            <w:noWrap/>
            <w:vAlign w:val="center"/>
          </w:tcPr>
          <w:p w14:paraId="128BD38D"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3</w:t>
            </w:r>
            <w:r>
              <w:rPr>
                <w:rFonts w:ascii="Arial" w:hAnsi="Arial" w:cs="Arial"/>
                <w:sz w:val="14"/>
                <w:szCs w:val="14"/>
              </w:rPr>
              <w:t>.</w:t>
            </w:r>
            <w:r w:rsidRPr="001A13B5">
              <w:rPr>
                <w:rFonts w:ascii="Arial" w:hAnsi="Arial" w:cs="Arial"/>
                <w:sz w:val="14"/>
                <w:szCs w:val="14"/>
              </w:rPr>
              <w:t>277</w:t>
            </w:r>
          </w:p>
        </w:tc>
        <w:tc>
          <w:tcPr>
            <w:tcW w:w="706" w:type="dxa"/>
            <w:tcBorders>
              <w:left w:val="nil"/>
              <w:bottom w:val="single" w:sz="4" w:space="0" w:color="auto"/>
              <w:right w:val="nil"/>
            </w:tcBorders>
            <w:shd w:val="clear" w:color="auto" w:fill="auto"/>
            <w:noWrap/>
            <w:vAlign w:val="center"/>
          </w:tcPr>
          <w:p w14:paraId="193F88E3"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3</w:t>
            </w:r>
            <w:r>
              <w:rPr>
                <w:rFonts w:ascii="Arial" w:hAnsi="Arial" w:cs="Arial"/>
                <w:sz w:val="14"/>
                <w:szCs w:val="14"/>
              </w:rPr>
              <w:t>.</w:t>
            </w:r>
            <w:r w:rsidRPr="001A13B5">
              <w:rPr>
                <w:rFonts w:ascii="Arial" w:hAnsi="Arial" w:cs="Arial"/>
                <w:sz w:val="14"/>
                <w:szCs w:val="14"/>
              </w:rPr>
              <w:t>506</w:t>
            </w:r>
          </w:p>
        </w:tc>
        <w:tc>
          <w:tcPr>
            <w:tcW w:w="709" w:type="dxa"/>
            <w:tcBorders>
              <w:left w:val="nil"/>
              <w:bottom w:val="single" w:sz="4" w:space="0" w:color="auto"/>
              <w:right w:val="nil"/>
            </w:tcBorders>
            <w:shd w:val="clear" w:color="auto" w:fill="auto"/>
            <w:noWrap/>
            <w:vAlign w:val="center"/>
          </w:tcPr>
          <w:p w14:paraId="35733CF0"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3</w:t>
            </w:r>
            <w:r>
              <w:rPr>
                <w:rFonts w:ascii="Arial" w:hAnsi="Arial" w:cs="Arial"/>
                <w:sz w:val="14"/>
                <w:szCs w:val="14"/>
              </w:rPr>
              <w:t>.</w:t>
            </w:r>
            <w:r w:rsidRPr="001A13B5">
              <w:rPr>
                <w:rFonts w:ascii="Arial" w:hAnsi="Arial" w:cs="Arial"/>
                <w:sz w:val="14"/>
                <w:szCs w:val="14"/>
              </w:rPr>
              <w:t>752</w:t>
            </w:r>
          </w:p>
        </w:tc>
        <w:tc>
          <w:tcPr>
            <w:tcW w:w="847" w:type="dxa"/>
            <w:tcBorders>
              <w:left w:val="nil"/>
              <w:bottom w:val="single" w:sz="4" w:space="0" w:color="auto"/>
              <w:right w:val="nil"/>
            </w:tcBorders>
            <w:shd w:val="clear" w:color="auto" w:fill="auto"/>
            <w:noWrap/>
            <w:vAlign w:val="center"/>
          </w:tcPr>
          <w:p w14:paraId="20F5A02D"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28</w:t>
            </w:r>
            <w:r>
              <w:rPr>
                <w:rFonts w:ascii="Arial" w:hAnsi="Arial" w:cs="Arial"/>
                <w:sz w:val="14"/>
                <w:szCs w:val="14"/>
              </w:rPr>
              <w:t>.</w:t>
            </w:r>
            <w:r w:rsidRPr="001A13B5">
              <w:rPr>
                <w:rFonts w:ascii="Arial" w:hAnsi="Arial" w:cs="Arial"/>
                <w:sz w:val="14"/>
                <w:szCs w:val="14"/>
              </w:rPr>
              <w:t>195</w:t>
            </w:r>
          </w:p>
        </w:tc>
      </w:tr>
      <w:tr w:rsidR="00A372F6" w:rsidRPr="00A43491" w14:paraId="4A87436D" w14:textId="77777777" w:rsidTr="00374C56">
        <w:trPr>
          <w:trHeight w:val="300"/>
          <w:jc w:val="center"/>
        </w:trPr>
        <w:tc>
          <w:tcPr>
            <w:tcW w:w="1064" w:type="dxa"/>
            <w:tcBorders>
              <w:top w:val="single" w:sz="4" w:space="0" w:color="auto"/>
              <w:left w:val="nil"/>
              <w:bottom w:val="single" w:sz="4" w:space="0" w:color="auto"/>
              <w:right w:val="nil"/>
            </w:tcBorders>
            <w:shd w:val="clear" w:color="auto" w:fill="auto"/>
            <w:noWrap/>
            <w:vAlign w:val="center"/>
          </w:tcPr>
          <w:p w14:paraId="6E6161C6" w14:textId="77777777" w:rsidR="00A372F6" w:rsidRPr="005B5674" w:rsidRDefault="00A372F6" w:rsidP="00374C56">
            <w:pPr>
              <w:jc w:val="center"/>
              <w:rPr>
                <w:rFonts w:ascii="Arial" w:hAnsi="Arial" w:cs="Arial"/>
                <w:sz w:val="14"/>
                <w:szCs w:val="14"/>
                <w:lang w:eastAsia="es-ES"/>
              </w:rPr>
            </w:pPr>
            <w:r>
              <w:rPr>
                <w:rFonts w:ascii="Arial" w:hAnsi="Arial" w:cs="Arial"/>
                <w:sz w:val="14"/>
                <w:szCs w:val="14"/>
                <w:lang w:eastAsia="es-ES"/>
              </w:rPr>
              <w:t>Total</w:t>
            </w:r>
          </w:p>
        </w:tc>
        <w:tc>
          <w:tcPr>
            <w:tcW w:w="568" w:type="dxa"/>
            <w:tcBorders>
              <w:top w:val="single" w:sz="4" w:space="0" w:color="auto"/>
              <w:left w:val="nil"/>
              <w:bottom w:val="single" w:sz="4" w:space="0" w:color="auto"/>
              <w:right w:val="nil"/>
            </w:tcBorders>
            <w:vAlign w:val="center"/>
          </w:tcPr>
          <w:p w14:paraId="28F0ED41"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0</w:t>
            </w:r>
          </w:p>
        </w:tc>
        <w:tc>
          <w:tcPr>
            <w:tcW w:w="567" w:type="dxa"/>
            <w:tcBorders>
              <w:top w:val="single" w:sz="4" w:space="0" w:color="auto"/>
              <w:left w:val="nil"/>
              <w:bottom w:val="single" w:sz="4" w:space="0" w:color="auto"/>
              <w:right w:val="nil"/>
            </w:tcBorders>
            <w:shd w:val="clear" w:color="auto" w:fill="auto"/>
            <w:noWrap/>
            <w:vAlign w:val="center"/>
          </w:tcPr>
          <w:p w14:paraId="3DCAA810"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0</w:t>
            </w:r>
          </w:p>
        </w:tc>
        <w:tc>
          <w:tcPr>
            <w:tcW w:w="567" w:type="dxa"/>
            <w:tcBorders>
              <w:top w:val="single" w:sz="4" w:space="0" w:color="auto"/>
              <w:left w:val="nil"/>
              <w:bottom w:val="single" w:sz="4" w:space="0" w:color="auto"/>
              <w:right w:val="nil"/>
            </w:tcBorders>
            <w:shd w:val="clear" w:color="auto" w:fill="auto"/>
            <w:noWrap/>
            <w:vAlign w:val="center"/>
          </w:tcPr>
          <w:p w14:paraId="229E324D"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0</w:t>
            </w:r>
          </w:p>
        </w:tc>
        <w:tc>
          <w:tcPr>
            <w:tcW w:w="567" w:type="dxa"/>
            <w:tcBorders>
              <w:top w:val="single" w:sz="4" w:space="0" w:color="auto"/>
              <w:left w:val="nil"/>
              <w:bottom w:val="single" w:sz="4" w:space="0" w:color="auto"/>
              <w:right w:val="nil"/>
            </w:tcBorders>
            <w:shd w:val="clear" w:color="auto" w:fill="auto"/>
            <w:noWrap/>
            <w:vAlign w:val="center"/>
          </w:tcPr>
          <w:p w14:paraId="29FC6833"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0</w:t>
            </w:r>
          </w:p>
        </w:tc>
        <w:tc>
          <w:tcPr>
            <w:tcW w:w="567" w:type="dxa"/>
            <w:tcBorders>
              <w:top w:val="single" w:sz="4" w:space="0" w:color="auto"/>
              <w:left w:val="nil"/>
              <w:bottom w:val="single" w:sz="4" w:space="0" w:color="auto"/>
              <w:right w:val="nil"/>
            </w:tcBorders>
            <w:shd w:val="clear" w:color="auto" w:fill="auto"/>
            <w:noWrap/>
            <w:vAlign w:val="center"/>
          </w:tcPr>
          <w:p w14:paraId="53363728"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0</w:t>
            </w:r>
          </w:p>
        </w:tc>
        <w:tc>
          <w:tcPr>
            <w:tcW w:w="708" w:type="dxa"/>
            <w:tcBorders>
              <w:top w:val="single" w:sz="4" w:space="0" w:color="auto"/>
              <w:left w:val="nil"/>
              <w:bottom w:val="single" w:sz="4" w:space="0" w:color="auto"/>
              <w:right w:val="nil"/>
            </w:tcBorders>
            <w:shd w:val="clear" w:color="auto" w:fill="auto"/>
            <w:noWrap/>
            <w:vAlign w:val="center"/>
          </w:tcPr>
          <w:p w14:paraId="61EED012"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26</w:t>
            </w:r>
            <w:r>
              <w:rPr>
                <w:rFonts w:ascii="Arial" w:hAnsi="Arial" w:cs="Arial"/>
                <w:sz w:val="14"/>
                <w:szCs w:val="14"/>
              </w:rPr>
              <w:t>.</w:t>
            </w:r>
            <w:r w:rsidRPr="001A13B5">
              <w:rPr>
                <w:rFonts w:ascii="Arial" w:hAnsi="Arial" w:cs="Arial"/>
                <w:sz w:val="14"/>
                <w:szCs w:val="14"/>
              </w:rPr>
              <w:t>046</w:t>
            </w:r>
          </w:p>
        </w:tc>
        <w:tc>
          <w:tcPr>
            <w:tcW w:w="709" w:type="dxa"/>
            <w:tcBorders>
              <w:top w:val="single" w:sz="4" w:space="0" w:color="auto"/>
              <w:left w:val="nil"/>
              <w:bottom w:val="single" w:sz="4" w:space="0" w:color="auto"/>
              <w:right w:val="nil"/>
            </w:tcBorders>
            <w:shd w:val="clear" w:color="auto" w:fill="auto"/>
            <w:noWrap/>
            <w:vAlign w:val="center"/>
          </w:tcPr>
          <w:p w14:paraId="21B13AE0"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27</w:t>
            </w:r>
            <w:r>
              <w:rPr>
                <w:rFonts w:ascii="Arial" w:hAnsi="Arial" w:cs="Arial"/>
                <w:sz w:val="14"/>
                <w:szCs w:val="14"/>
              </w:rPr>
              <w:t>.</w:t>
            </w:r>
            <w:r w:rsidRPr="001A13B5">
              <w:rPr>
                <w:rFonts w:ascii="Arial" w:hAnsi="Arial" w:cs="Arial"/>
                <w:sz w:val="14"/>
                <w:szCs w:val="14"/>
              </w:rPr>
              <w:t>389</w:t>
            </w:r>
          </w:p>
        </w:tc>
        <w:tc>
          <w:tcPr>
            <w:tcW w:w="709" w:type="dxa"/>
            <w:tcBorders>
              <w:top w:val="single" w:sz="4" w:space="0" w:color="auto"/>
              <w:left w:val="nil"/>
              <w:bottom w:val="single" w:sz="4" w:space="0" w:color="auto"/>
              <w:right w:val="nil"/>
            </w:tcBorders>
            <w:shd w:val="clear" w:color="auto" w:fill="auto"/>
            <w:noWrap/>
            <w:vAlign w:val="center"/>
          </w:tcPr>
          <w:p w14:paraId="272C7247"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28</w:t>
            </w:r>
            <w:r>
              <w:rPr>
                <w:rFonts w:ascii="Arial" w:hAnsi="Arial" w:cs="Arial"/>
                <w:sz w:val="14"/>
                <w:szCs w:val="14"/>
              </w:rPr>
              <w:t>.</w:t>
            </w:r>
            <w:r w:rsidRPr="001A13B5">
              <w:rPr>
                <w:rFonts w:ascii="Arial" w:hAnsi="Arial" w:cs="Arial"/>
                <w:sz w:val="14"/>
                <w:szCs w:val="14"/>
              </w:rPr>
              <w:t>802</w:t>
            </w:r>
          </w:p>
        </w:tc>
        <w:tc>
          <w:tcPr>
            <w:tcW w:w="709" w:type="dxa"/>
            <w:tcBorders>
              <w:top w:val="single" w:sz="4" w:space="0" w:color="auto"/>
              <w:left w:val="nil"/>
              <w:bottom w:val="single" w:sz="4" w:space="0" w:color="auto"/>
              <w:right w:val="nil"/>
            </w:tcBorders>
            <w:shd w:val="clear" w:color="auto" w:fill="auto"/>
            <w:noWrap/>
            <w:vAlign w:val="center"/>
          </w:tcPr>
          <w:p w14:paraId="6F28CB88"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30</w:t>
            </w:r>
            <w:r>
              <w:rPr>
                <w:rFonts w:ascii="Arial" w:hAnsi="Arial" w:cs="Arial"/>
                <w:sz w:val="14"/>
                <w:szCs w:val="14"/>
              </w:rPr>
              <w:t>.</w:t>
            </w:r>
            <w:r w:rsidRPr="001A13B5">
              <w:rPr>
                <w:rFonts w:ascii="Arial" w:hAnsi="Arial" w:cs="Arial"/>
                <w:sz w:val="14"/>
                <w:szCs w:val="14"/>
              </w:rPr>
              <w:t>289</w:t>
            </w:r>
          </w:p>
        </w:tc>
        <w:tc>
          <w:tcPr>
            <w:tcW w:w="715" w:type="dxa"/>
            <w:tcBorders>
              <w:top w:val="single" w:sz="4" w:space="0" w:color="auto"/>
              <w:left w:val="nil"/>
              <w:bottom w:val="single" w:sz="4" w:space="0" w:color="auto"/>
              <w:right w:val="nil"/>
            </w:tcBorders>
            <w:shd w:val="clear" w:color="auto" w:fill="auto"/>
            <w:noWrap/>
            <w:vAlign w:val="center"/>
          </w:tcPr>
          <w:p w14:paraId="0B151406"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31</w:t>
            </w:r>
            <w:r>
              <w:rPr>
                <w:rFonts w:ascii="Arial" w:hAnsi="Arial" w:cs="Arial"/>
                <w:sz w:val="14"/>
                <w:szCs w:val="14"/>
              </w:rPr>
              <w:t>.</w:t>
            </w:r>
            <w:r w:rsidRPr="001A13B5">
              <w:rPr>
                <w:rFonts w:ascii="Arial" w:hAnsi="Arial" w:cs="Arial"/>
                <w:sz w:val="14"/>
                <w:szCs w:val="14"/>
              </w:rPr>
              <w:t>853</w:t>
            </w:r>
          </w:p>
        </w:tc>
        <w:tc>
          <w:tcPr>
            <w:tcW w:w="709" w:type="dxa"/>
            <w:tcBorders>
              <w:top w:val="single" w:sz="4" w:space="0" w:color="auto"/>
              <w:left w:val="nil"/>
              <w:bottom w:val="single" w:sz="4" w:space="0" w:color="auto"/>
              <w:right w:val="nil"/>
            </w:tcBorders>
            <w:shd w:val="clear" w:color="auto" w:fill="auto"/>
            <w:noWrap/>
            <w:vAlign w:val="center"/>
          </w:tcPr>
          <w:p w14:paraId="42ADE825"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33</w:t>
            </w:r>
            <w:r>
              <w:rPr>
                <w:rFonts w:ascii="Arial" w:hAnsi="Arial" w:cs="Arial"/>
                <w:sz w:val="14"/>
                <w:szCs w:val="14"/>
              </w:rPr>
              <w:t>.</w:t>
            </w:r>
            <w:r w:rsidRPr="001A13B5">
              <w:rPr>
                <w:rFonts w:ascii="Arial" w:hAnsi="Arial" w:cs="Arial"/>
                <w:sz w:val="14"/>
                <w:szCs w:val="14"/>
              </w:rPr>
              <w:t>499</w:t>
            </w:r>
          </w:p>
        </w:tc>
        <w:tc>
          <w:tcPr>
            <w:tcW w:w="709" w:type="dxa"/>
            <w:tcBorders>
              <w:top w:val="single" w:sz="4" w:space="0" w:color="auto"/>
              <w:left w:val="nil"/>
              <w:bottom w:val="single" w:sz="4" w:space="0" w:color="auto"/>
              <w:right w:val="nil"/>
            </w:tcBorders>
            <w:shd w:val="clear" w:color="auto" w:fill="auto"/>
            <w:noWrap/>
            <w:vAlign w:val="center"/>
          </w:tcPr>
          <w:p w14:paraId="24AFB599"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35</w:t>
            </w:r>
            <w:r>
              <w:rPr>
                <w:rFonts w:ascii="Arial" w:hAnsi="Arial" w:cs="Arial"/>
                <w:sz w:val="14"/>
                <w:szCs w:val="14"/>
              </w:rPr>
              <w:t>.</w:t>
            </w:r>
            <w:r w:rsidRPr="001A13B5">
              <w:rPr>
                <w:rFonts w:ascii="Arial" w:hAnsi="Arial" w:cs="Arial"/>
                <w:sz w:val="14"/>
                <w:szCs w:val="14"/>
              </w:rPr>
              <w:t>232</w:t>
            </w:r>
          </w:p>
        </w:tc>
        <w:tc>
          <w:tcPr>
            <w:tcW w:w="708" w:type="dxa"/>
            <w:tcBorders>
              <w:top w:val="single" w:sz="4" w:space="0" w:color="auto"/>
              <w:left w:val="nil"/>
              <w:bottom w:val="single" w:sz="4" w:space="0" w:color="auto"/>
              <w:right w:val="nil"/>
            </w:tcBorders>
            <w:shd w:val="clear" w:color="auto" w:fill="auto"/>
            <w:noWrap/>
            <w:vAlign w:val="center"/>
          </w:tcPr>
          <w:p w14:paraId="03D6867A"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37</w:t>
            </w:r>
            <w:r>
              <w:rPr>
                <w:rFonts w:ascii="Arial" w:hAnsi="Arial" w:cs="Arial"/>
                <w:sz w:val="14"/>
                <w:szCs w:val="14"/>
              </w:rPr>
              <w:t>.</w:t>
            </w:r>
            <w:r w:rsidRPr="001A13B5">
              <w:rPr>
                <w:rFonts w:ascii="Arial" w:hAnsi="Arial" w:cs="Arial"/>
                <w:sz w:val="14"/>
                <w:szCs w:val="14"/>
              </w:rPr>
              <w:t>054</w:t>
            </w:r>
          </w:p>
        </w:tc>
        <w:tc>
          <w:tcPr>
            <w:tcW w:w="706" w:type="dxa"/>
            <w:tcBorders>
              <w:top w:val="single" w:sz="4" w:space="0" w:color="auto"/>
              <w:left w:val="nil"/>
              <w:bottom w:val="single" w:sz="4" w:space="0" w:color="auto"/>
              <w:right w:val="nil"/>
            </w:tcBorders>
            <w:shd w:val="clear" w:color="auto" w:fill="auto"/>
            <w:noWrap/>
            <w:vAlign w:val="center"/>
          </w:tcPr>
          <w:p w14:paraId="57F1AC44"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38</w:t>
            </w:r>
            <w:r>
              <w:rPr>
                <w:rFonts w:ascii="Arial" w:hAnsi="Arial" w:cs="Arial"/>
                <w:sz w:val="14"/>
                <w:szCs w:val="14"/>
              </w:rPr>
              <w:t>.</w:t>
            </w:r>
            <w:r w:rsidRPr="001A13B5">
              <w:rPr>
                <w:rFonts w:ascii="Arial" w:hAnsi="Arial" w:cs="Arial"/>
                <w:sz w:val="14"/>
                <w:szCs w:val="14"/>
              </w:rPr>
              <w:t>973</w:t>
            </w:r>
          </w:p>
        </w:tc>
        <w:tc>
          <w:tcPr>
            <w:tcW w:w="709" w:type="dxa"/>
            <w:tcBorders>
              <w:top w:val="single" w:sz="4" w:space="0" w:color="auto"/>
              <w:left w:val="nil"/>
              <w:bottom w:val="single" w:sz="4" w:space="0" w:color="auto"/>
              <w:right w:val="nil"/>
            </w:tcBorders>
            <w:shd w:val="clear" w:color="auto" w:fill="auto"/>
            <w:noWrap/>
            <w:vAlign w:val="center"/>
          </w:tcPr>
          <w:p w14:paraId="6D6AA483"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40</w:t>
            </w:r>
            <w:r>
              <w:rPr>
                <w:rFonts w:ascii="Arial" w:hAnsi="Arial" w:cs="Arial"/>
                <w:sz w:val="14"/>
                <w:szCs w:val="14"/>
              </w:rPr>
              <w:t>.</w:t>
            </w:r>
            <w:r w:rsidRPr="001A13B5">
              <w:rPr>
                <w:rFonts w:ascii="Arial" w:hAnsi="Arial" w:cs="Arial"/>
                <w:sz w:val="14"/>
                <w:szCs w:val="14"/>
              </w:rPr>
              <w:t>991</w:t>
            </w:r>
          </w:p>
        </w:tc>
        <w:tc>
          <w:tcPr>
            <w:tcW w:w="847" w:type="dxa"/>
            <w:tcBorders>
              <w:top w:val="single" w:sz="4" w:space="0" w:color="auto"/>
              <w:left w:val="nil"/>
              <w:bottom w:val="single" w:sz="4" w:space="0" w:color="auto"/>
              <w:right w:val="nil"/>
            </w:tcBorders>
            <w:shd w:val="clear" w:color="auto" w:fill="auto"/>
            <w:noWrap/>
            <w:vAlign w:val="center"/>
          </w:tcPr>
          <w:p w14:paraId="2F362070" w14:textId="77777777" w:rsidR="00A372F6" w:rsidRPr="001A13B5" w:rsidRDefault="00A372F6" w:rsidP="00374C56">
            <w:pPr>
              <w:jc w:val="center"/>
              <w:rPr>
                <w:rFonts w:ascii="Arial" w:hAnsi="Arial" w:cs="Arial"/>
                <w:sz w:val="14"/>
                <w:szCs w:val="14"/>
              </w:rPr>
            </w:pPr>
            <w:r w:rsidRPr="001A13B5">
              <w:rPr>
                <w:rFonts w:ascii="Arial" w:hAnsi="Arial" w:cs="Arial"/>
                <w:sz w:val="14"/>
                <w:szCs w:val="14"/>
              </w:rPr>
              <w:t>330</w:t>
            </w:r>
            <w:r>
              <w:rPr>
                <w:rFonts w:ascii="Arial" w:hAnsi="Arial" w:cs="Arial"/>
                <w:sz w:val="14"/>
                <w:szCs w:val="14"/>
              </w:rPr>
              <w:t>.</w:t>
            </w:r>
            <w:r w:rsidRPr="001A13B5">
              <w:rPr>
                <w:rFonts w:ascii="Arial" w:hAnsi="Arial" w:cs="Arial"/>
                <w:sz w:val="14"/>
                <w:szCs w:val="14"/>
              </w:rPr>
              <w:t>128</w:t>
            </w:r>
          </w:p>
        </w:tc>
      </w:tr>
    </w:tbl>
    <w:p w14:paraId="4232852A" w14:textId="77777777" w:rsidR="00A372F6" w:rsidRPr="00A43491" w:rsidRDefault="00A372F6" w:rsidP="00A372F6">
      <w:pPr>
        <w:jc w:val="center"/>
        <w:rPr>
          <w:rFonts w:ascii="Arial" w:hAnsi="Arial" w:cs="Arial"/>
          <w:b/>
        </w:rPr>
      </w:pPr>
    </w:p>
    <w:p w14:paraId="272B6A8F" w14:textId="77777777" w:rsidR="00A372F6" w:rsidRDefault="00A372F6" w:rsidP="00A372F6">
      <w:pPr>
        <w:rPr>
          <w:rFonts w:ascii="Arial" w:hAnsi="Arial" w:cs="Arial"/>
          <w:sz w:val="18"/>
          <w:szCs w:val="18"/>
          <w:lang w:eastAsia="es-ES"/>
        </w:rPr>
      </w:pPr>
      <w:r w:rsidRPr="00A43491">
        <w:rPr>
          <w:rFonts w:ascii="Arial" w:hAnsi="Arial" w:cs="Arial"/>
          <w:sz w:val="18"/>
          <w:szCs w:val="18"/>
          <w:lang w:eastAsia="es-ES"/>
        </w:rPr>
        <w:t xml:space="preserve">Fuente: </w:t>
      </w:r>
      <w:r>
        <w:rPr>
          <w:rFonts w:ascii="Arial" w:hAnsi="Arial" w:cs="Arial"/>
          <w:sz w:val="18"/>
          <w:szCs w:val="18"/>
          <w:lang w:eastAsia="es-ES"/>
        </w:rPr>
        <w:t>Censo Escolar (2016)</w:t>
      </w:r>
    </w:p>
    <w:p w14:paraId="47A3C2AB" w14:textId="77777777" w:rsidR="00A372F6" w:rsidRDefault="00A372F6" w:rsidP="00A372F6">
      <w:pPr>
        <w:rPr>
          <w:rFonts w:ascii="Arial" w:hAnsi="Arial" w:cs="Arial"/>
          <w:sz w:val="18"/>
          <w:szCs w:val="18"/>
          <w:lang w:eastAsia="es-ES"/>
        </w:rPr>
      </w:pPr>
      <w:r>
        <w:rPr>
          <w:rFonts w:ascii="Arial" w:hAnsi="Arial" w:cs="Arial"/>
          <w:sz w:val="18"/>
          <w:szCs w:val="18"/>
          <w:lang w:eastAsia="es-ES"/>
        </w:rPr>
        <w:t>Elaboración propia</w:t>
      </w:r>
    </w:p>
    <w:p w14:paraId="70700857" w14:textId="77777777" w:rsidR="00A372F6" w:rsidRPr="00A43491" w:rsidRDefault="00A372F6" w:rsidP="00A372F6">
      <w:pPr>
        <w:rPr>
          <w:rFonts w:ascii="Arial" w:hAnsi="Arial" w:cs="Arial"/>
          <w:lang w:eastAsia="es-ES"/>
        </w:rPr>
      </w:pPr>
    </w:p>
    <w:p w14:paraId="14FCD2DE" w14:textId="77777777" w:rsidR="00A372F6" w:rsidRPr="008F45BA" w:rsidRDefault="00A372F6" w:rsidP="00A372F6">
      <w:pPr>
        <w:jc w:val="center"/>
        <w:outlineLvl w:val="0"/>
        <w:rPr>
          <w:rFonts w:ascii="Arial" w:hAnsi="Arial" w:cs="Arial"/>
          <w:b/>
          <w:sz w:val="22"/>
          <w:lang w:val="es-ES_tradnl"/>
        </w:rPr>
      </w:pPr>
      <w:r w:rsidRPr="008F45BA">
        <w:rPr>
          <w:rFonts w:ascii="Arial" w:hAnsi="Arial" w:cs="Arial"/>
          <w:b/>
          <w:sz w:val="22"/>
          <w:lang w:val="es-ES_tradnl"/>
        </w:rPr>
        <w:t>Cuadro A3: Supuestos Utilizados para el cálculo</w:t>
      </w:r>
      <w:r w:rsidR="001F4581">
        <w:rPr>
          <w:rFonts w:ascii="Arial" w:hAnsi="Arial" w:cs="Arial"/>
          <w:b/>
          <w:sz w:val="22"/>
          <w:lang w:val="es-ES_tradnl"/>
        </w:rPr>
        <w:t xml:space="preserve"> de los beneficios</w:t>
      </w:r>
    </w:p>
    <w:p w14:paraId="4232396F" w14:textId="77777777" w:rsidR="00A372F6" w:rsidRPr="008F45BA" w:rsidRDefault="00A372F6" w:rsidP="00A372F6">
      <w:pPr>
        <w:jc w:val="center"/>
        <w:rPr>
          <w:rFonts w:ascii="Arial" w:hAnsi="Arial" w:cs="Arial"/>
          <w:b/>
          <w:lang w:val="es-ES_tradnl"/>
        </w:rPr>
      </w:pPr>
    </w:p>
    <w:tbl>
      <w:tblPr>
        <w:tblW w:w="9900" w:type="dxa"/>
        <w:tblInd w:w="70" w:type="dxa"/>
        <w:tblCellMar>
          <w:top w:w="15" w:type="dxa"/>
          <w:left w:w="70" w:type="dxa"/>
          <w:bottom w:w="15" w:type="dxa"/>
          <w:right w:w="70" w:type="dxa"/>
        </w:tblCellMar>
        <w:tblLook w:val="04A0" w:firstRow="1" w:lastRow="0" w:firstColumn="1" w:lastColumn="0" w:noHBand="0" w:noVBand="1"/>
      </w:tblPr>
      <w:tblGrid>
        <w:gridCol w:w="3600"/>
        <w:gridCol w:w="2160"/>
        <w:gridCol w:w="4140"/>
      </w:tblGrid>
      <w:tr w:rsidR="00A372F6" w:rsidRPr="00A43491" w14:paraId="37159405" w14:textId="77777777" w:rsidTr="00374C56">
        <w:trPr>
          <w:trHeight w:val="300"/>
        </w:trPr>
        <w:tc>
          <w:tcPr>
            <w:tcW w:w="3600" w:type="dxa"/>
            <w:tcBorders>
              <w:top w:val="nil"/>
              <w:left w:val="nil"/>
              <w:bottom w:val="single" w:sz="8" w:space="0" w:color="auto"/>
              <w:right w:val="nil"/>
            </w:tcBorders>
            <w:shd w:val="clear" w:color="000000" w:fill="DDEBF7"/>
            <w:noWrap/>
            <w:vAlign w:val="center"/>
            <w:hideMark/>
          </w:tcPr>
          <w:p w14:paraId="1BD2264D" w14:textId="77777777" w:rsidR="00A372F6" w:rsidRPr="008F45BA" w:rsidRDefault="00A372F6" w:rsidP="00374C56">
            <w:pPr>
              <w:jc w:val="center"/>
              <w:rPr>
                <w:rFonts w:ascii="Arial" w:hAnsi="Arial" w:cs="Arial"/>
                <w:b/>
                <w:bCs/>
                <w:sz w:val="22"/>
                <w:szCs w:val="22"/>
                <w:lang w:val="es-ES_tradnl"/>
              </w:rPr>
            </w:pPr>
          </w:p>
        </w:tc>
        <w:tc>
          <w:tcPr>
            <w:tcW w:w="2160" w:type="dxa"/>
            <w:tcBorders>
              <w:top w:val="nil"/>
              <w:left w:val="nil"/>
              <w:bottom w:val="single" w:sz="8" w:space="0" w:color="auto"/>
              <w:right w:val="nil"/>
            </w:tcBorders>
            <w:shd w:val="clear" w:color="000000" w:fill="DDEBF7"/>
            <w:noWrap/>
            <w:vAlign w:val="center"/>
            <w:hideMark/>
          </w:tcPr>
          <w:p w14:paraId="68141CAE" w14:textId="77777777" w:rsidR="00A372F6" w:rsidRPr="00A43491" w:rsidRDefault="00A372F6" w:rsidP="00374C56">
            <w:pPr>
              <w:jc w:val="center"/>
              <w:rPr>
                <w:rFonts w:ascii="Arial" w:hAnsi="Arial" w:cs="Arial"/>
                <w:b/>
                <w:bCs/>
                <w:sz w:val="22"/>
                <w:szCs w:val="22"/>
              </w:rPr>
            </w:pPr>
            <w:r w:rsidRPr="00A43491">
              <w:rPr>
                <w:rFonts w:ascii="Arial" w:hAnsi="Arial" w:cs="Arial"/>
                <w:b/>
                <w:bCs/>
                <w:sz w:val="22"/>
                <w:szCs w:val="22"/>
              </w:rPr>
              <w:t>Supuestos</w:t>
            </w:r>
          </w:p>
        </w:tc>
        <w:tc>
          <w:tcPr>
            <w:tcW w:w="4140" w:type="dxa"/>
            <w:tcBorders>
              <w:top w:val="nil"/>
              <w:left w:val="nil"/>
              <w:bottom w:val="single" w:sz="8" w:space="0" w:color="auto"/>
              <w:right w:val="nil"/>
            </w:tcBorders>
            <w:shd w:val="clear" w:color="000000" w:fill="DDEBF7"/>
            <w:noWrap/>
            <w:vAlign w:val="center"/>
            <w:hideMark/>
          </w:tcPr>
          <w:p w14:paraId="669D2EB4" w14:textId="77777777" w:rsidR="00A372F6" w:rsidRPr="00E7005A" w:rsidRDefault="00A372F6" w:rsidP="00374C56">
            <w:pPr>
              <w:jc w:val="center"/>
              <w:rPr>
                <w:rFonts w:ascii="Arial" w:hAnsi="Arial" w:cs="Arial"/>
                <w:bCs/>
                <w:sz w:val="22"/>
                <w:szCs w:val="22"/>
              </w:rPr>
            </w:pPr>
            <w:r w:rsidRPr="00E7005A">
              <w:rPr>
                <w:rFonts w:ascii="Arial" w:hAnsi="Arial" w:cs="Arial"/>
                <w:bCs/>
                <w:sz w:val="22"/>
                <w:szCs w:val="22"/>
              </w:rPr>
              <w:t>Fuente</w:t>
            </w:r>
          </w:p>
        </w:tc>
      </w:tr>
      <w:tr w:rsidR="00A372F6" w:rsidRPr="00FB6C97" w14:paraId="0DAE6B75" w14:textId="77777777" w:rsidTr="00374C56">
        <w:trPr>
          <w:trHeight w:val="285"/>
        </w:trPr>
        <w:tc>
          <w:tcPr>
            <w:tcW w:w="9900" w:type="dxa"/>
            <w:gridSpan w:val="3"/>
            <w:tcBorders>
              <w:top w:val="single" w:sz="8" w:space="0" w:color="auto"/>
              <w:left w:val="nil"/>
              <w:bottom w:val="nil"/>
              <w:right w:val="nil"/>
            </w:tcBorders>
            <w:shd w:val="clear" w:color="000000" w:fill="DDEBF7"/>
            <w:noWrap/>
            <w:vAlign w:val="center"/>
            <w:hideMark/>
          </w:tcPr>
          <w:p w14:paraId="51DC5B7B" w14:textId="77777777" w:rsidR="00A372F6" w:rsidRPr="00E7005A" w:rsidRDefault="00052E61" w:rsidP="00374C56">
            <w:pPr>
              <w:rPr>
                <w:rFonts w:ascii="Arial" w:hAnsi="Arial" w:cs="Arial"/>
                <w:bCs/>
                <w:sz w:val="22"/>
                <w:szCs w:val="22"/>
                <w:lang w:val="es-ES_tradnl"/>
              </w:rPr>
            </w:pPr>
            <w:r w:rsidRPr="00E7005A">
              <w:rPr>
                <w:rFonts w:ascii="Arial" w:hAnsi="Arial" w:cs="Arial"/>
                <w:sz w:val="22"/>
                <w:lang w:val="es-ES_tradnl"/>
              </w:rPr>
              <w:t xml:space="preserve">Fortalecimiento de la gestión institucional de las </w:t>
            </w:r>
            <w:r w:rsidR="00274642" w:rsidRPr="00E7005A">
              <w:rPr>
                <w:rFonts w:ascii="Arial" w:hAnsi="Arial" w:cs="Arial"/>
                <w:sz w:val="22"/>
                <w:lang w:val="es-ES_tradnl"/>
              </w:rPr>
              <w:t>IES</w:t>
            </w:r>
            <w:r w:rsidRPr="00E7005A">
              <w:rPr>
                <w:rFonts w:ascii="Arial" w:hAnsi="Arial" w:cs="Arial"/>
                <w:sz w:val="22"/>
                <w:lang w:val="es-ES_tradnl"/>
              </w:rPr>
              <w:t xml:space="preserve"> públicas</w:t>
            </w:r>
          </w:p>
        </w:tc>
      </w:tr>
      <w:tr w:rsidR="00A372F6" w:rsidRPr="00FB6C97" w14:paraId="17C3551F" w14:textId="77777777" w:rsidTr="00374C56">
        <w:trPr>
          <w:trHeight w:val="480"/>
        </w:trPr>
        <w:tc>
          <w:tcPr>
            <w:tcW w:w="3600" w:type="dxa"/>
            <w:tcBorders>
              <w:top w:val="nil"/>
              <w:left w:val="nil"/>
              <w:bottom w:val="nil"/>
              <w:right w:val="nil"/>
            </w:tcBorders>
            <w:shd w:val="clear" w:color="000000" w:fill="FFFFFF"/>
            <w:noWrap/>
            <w:vAlign w:val="center"/>
            <w:hideMark/>
          </w:tcPr>
          <w:p w14:paraId="775D1EF3" w14:textId="77777777" w:rsidR="00A372F6" w:rsidRPr="00A43491" w:rsidRDefault="00A372F6" w:rsidP="00374C56">
            <w:pPr>
              <w:rPr>
                <w:rFonts w:ascii="Arial" w:hAnsi="Arial" w:cs="Arial"/>
                <w:sz w:val="18"/>
                <w:szCs w:val="18"/>
              </w:rPr>
            </w:pPr>
            <w:r w:rsidRPr="00906191">
              <w:rPr>
                <w:rFonts w:ascii="Arial" w:hAnsi="Arial" w:cs="Arial"/>
                <w:sz w:val="18"/>
                <w:szCs w:val="20"/>
              </w:rPr>
              <w:t>Número de egresados</w:t>
            </w:r>
          </w:p>
        </w:tc>
        <w:tc>
          <w:tcPr>
            <w:tcW w:w="2160" w:type="dxa"/>
            <w:tcBorders>
              <w:top w:val="nil"/>
              <w:left w:val="nil"/>
              <w:bottom w:val="nil"/>
              <w:right w:val="nil"/>
            </w:tcBorders>
            <w:shd w:val="clear" w:color="000000" w:fill="FFFFFF"/>
            <w:vAlign w:val="center"/>
            <w:hideMark/>
          </w:tcPr>
          <w:p w14:paraId="4A793A00" w14:textId="77777777" w:rsidR="00A372F6" w:rsidRPr="00A43491" w:rsidRDefault="00A372F6" w:rsidP="00374C56">
            <w:pPr>
              <w:jc w:val="right"/>
              <w:rPr>
                <w:rFonts w:ascii="Arial" w:hAnsi="Arial" w:cs="Arial"/>
                <w:sz w:val="18"/>
                <w:szCs w:val="18"/>
              </w:rPr>
            </w:pPr>
            <w:r w:rsidRPr="00906191">
              <w:rPr>
                <w:rFonts w:ascii="Arial" w:hAnsi="Arial" w:cs="Arial"/>
                <w:sz w:val="18"/>
                <w:szCs w:val="20"/>
              </w:rPr>
              <w:t>U</w:t>
            </w:r>
            <w:r w:rsidR="00274642">
              <w:rPr>
                <w:rFonts w:ascii="Arial" w:hAnsi="Arial" w:cs="Arial"/>
                <w:sz w:val="18"/>
                <w:szCs w:val="20"/>
              </w:rPr>
              <w:t>niversidades: 242,691</w:t>
            </w:r>
            <w:r w:rsidR="00274642">
              <w:rPr>
                <w:rFonts w:ascii="Arial" w:hAnsi="Arial" w:cs="Arial"/>
                <w:sz w:val="18"/>
                <w:szCs w:val="20"/>
              </w:rPr>
              <w:br/>
              <w:t>IEST</w:t>
            </w:r>
            <w:r w:rsidRPr="00906191">
              <w:rPr>
                <w:rFonts w:ascii="Arial" w:hAnsi="Arial" w:cs="Arial"/>
                <w:sz w:val="18"/>
                <w:szCs w:val="20"/>
              </w:rPr>
              <w:t>: 77599</w:t>
            </w:r>
          </w:p>
        </w:tc>
        <w:tc>
          <w:tcPr>
            <w:tcW w:w="4140" w:type="dxa"/>
            <w:tcBorders>
              <w:top w:val="nil"/>
              <w:left w:val="nil"/>
              <w:bottom w:val="nil"/>
              <w:right w:val="nil"/>
            </w:tcBorders>
            <w:shd w:val="clear" w:color="000000" w:fill="FFFFFF"/>
            <w:vAlign w:val="center"/>
            <w:hideMark/>
          </w:tcPr>
          <w:p w14:paraId="27B2F73B" w14:textId="77777777" w:rsidR="00A372F6" w:rsidRPr="001F464F" w:rsidRDefault="00A372F6" w:rsidP="00374C56">
            <w:pPr>
              <w:jc w:val="right"/>
              <w:rPr>
                <w:rFonts w:ascii="Arial" w:hAnsi="Arial" w:cs="Arial"/>
                <w:sz w:val="18"/>
                <w:szCs w:val="18"/>
                <w:lang w:val="es-ES_tradnl"/>
              </w:rPr>
            </w:pPr>
            <w:r w:rsidRPr="001F464F">
              <w:rPr>
                <w:rFonts w:ascii="Arial" w:hAnsi="Arial" w:cs="Arial"/>
                <w:sz w:val="18"/>
                <w:szCs w:val="18"/>
                <w:lang w:val="es-ES_tradnl"/>
              </w:rPr>
              <w:t xml:space="preserve">Superintendencia Nacional de Educación Superior (2016) </w:t>
            </w:r>
          </w:p>
        </w:tc>
      </w:tr>
      <w:tr w:rsidR="00A372F6" w:rsidRPr="00FB6C97" w14:paraId="5AEFD7B8" w14:textId="77777777" w:rsidTr="00374C56">
        <w:trPr>
          <w:trHeight w:val="480"/>
        </w:trPr>
        <w:tc>
          <w:tcPr>
            <w:tcW w:w="3600" w:type="dxa"/>
            <w:tcBorders>
              <w:top w:val="nil"/>
              <w:left w:val="nil"/>
              <w:bottom w:val="nil"/>
              <w:right w:val="nil"/>
            </w:tcBorders>
            <w:shd w:val="clear" w:color="000000" w:fill="FFFFFF"/>
            <w:noWrap/>
            <w:vAlign w:val="center"/>
            <w:hideMark/>
          </w:tcPr>
          <w:p w14:paraId="3BA55310" w14:textId="77777777" w:rsidR="00A372F6" w:rsidRPr="008F45BA" w:rsidRDefault="00A372F6" w:rsidP="00374C56">
            <w:pPr>
              <w:rPr>
                <w:rFonts w:ascii="Arial" w:hAnsi="Arial" w:cs="Arial"/>
                <w:sz w:val="18"/>
                <w:szCs w:val="18"/>
                <w:lang w:val="es-ES_tradnl"/>
              </w:rPr>
            </w:pPr>
            <w:r w:rsidRPr="00906191">
              <w:rPr>
                <w:rFonts w:ascii="Arial" w:hAnsi="Arial" w:cs="Arial"/>
                <w:sz w:val="18"/>
                <w:szCs w:val="20"/>
                <w:lang w:val="es-ES_tradnl"/>
              </w:rPr>
              <w:t>Tasa de crecimiento del número de egresados</w:t>
            </w:r>
          </w:p>
        </w:tc>
        <w:tc>
          <w:tcPr>
            <w:tcW w:w="2160" w:type="dxa"/>
            <w:tcBorders>
              <w:top w:val="nil"/>
              <w:left w:val="nil"/>
              <w:bottom w:val="nil"/>
              <w:right w:val="nil"/>
            </w:tcBorders>
            <w:shd w:val="clear" w:color="000000" w:fill="FFFFFF"/>
            <w:noWrap/>
            <w:vAlign w:val="center"/>
            <w:hideMark/>
          </w:tcPr>
          <w:p w14:paraId="50706D9F" w14:textId="24274466" w:rsidR="00A372F6" w:rsidRPr="00906191" w:rsidRDefault="00A372F6" w:rsidP="00374C56">
            <w:pPr>
              <w:jc w:val="right"/>
              <w:rPr>
                <w:rFonts w:ascii="Arial" w:hAnsi="Arial" w:cs="Arial"/>
                <w:sz w:val="18"/>
                <w:szCs w:val="20"/>
              </w:rPr>
            </w:pPr>
            <w:r w:rsidRPr="00906191">
              <w:rPr>
                <w:rFonts w:ascii="Arial" w:hAnsi="Arial" w:cs="Arial"/>
                <w:sz w:val="18"/>
                <w:szCs w:val="20"/>
              </w:rPr>
              <w:t xml:space="preserve">Universidades: </w:t>
            </w:r>
            <w:r w:rsidR="00820704">
              <w:rPr>
                <w:rFonts w:ascii="Arial" w:hAnsi="Arial" w:cs="Arial"/>
                <w:sz w:val="18"/>
                <w:szCs w:val="20"/>
              </w:rPr>
              <w:t>7</w:t>
            </w:r>
            <w:r w:rsidRPr="00906191">
              <w:rPr>
                <w:rFonts w:ascii="Arial" w:hAnsi="Arial" w:cs="Arial"/>
                <w:sz w:val="18"/>
                <w:szCs w:val="20"/>
              </w:rPr>
              <w:t>%</w:t>
            </w:r>
          </w:p>
          <w:p w14:paraId="042A3A51" w14:textId="77777777" w:rsidR="00A372F6" w:rsidRPr="00A43491" w:rsidRDefault="00274642" w:rsidP="00374C56">
            <w:pPr>
              <w:jc w:val="right"/>
              <w:rPr>
                <w:rFonts w:ascii="Arial" w:hAnsi="Arial" w:cs="Arial"/>
                <w:sz w:val="18"/>
                <w:szCs w:val="18"/>
              </w:rPr>
            </w:pPr>
            <w:r>
              <w:rPr>
                <w:rFonts w:ascii="Arial" w:hAnsi="Arial" w:cs="Arial"/>
                <w:sz w:val="18"/>
                <w:szCs w:val="20"/>
              </w:rPr>
              <w:t>IEST</w:t>
            </w:r>
            <w:r w:rsidR="00A372F6" w:rsidRPr="00906191">
              <w:rPr>
                <w:rFonts w:ascii="Arial" w:hAnsi="Arial" w:cs="Arial"/>
                <w:sz w:val="18"/>
                <w:szCs w:val="20"/>
              </w:rPr>
              <w:t>: 7%</w:t>
            </w:r>
          </w:p>
        </w:tc>
        <w:tc>
          <w:tcPr>
            <w:tcW w:w="4140" w:type="dxa"/>
            <w:tcBorders>
              <w:top w:val="nil"/>
              <w:left w:val="nil"/>
              <w:bottom w:val="nil"/>
              <w:right w:val="nil"/>
            </w:tcBorders>
            <w:shd w:val="clear" w:color="000000" w:fill="FFFFFF"/>
            <w:vAlign w:val="center"/>
            <w:hideMark/>
          </w:tcPr>
          <w:p w14:paraId="630BE8D3" w14:textId="77777777" w:rsidR="00A372F6" w:rsidRPr="00323308" w:rsidRDefault="00A372F6" w:rsidP="00374C56">
            <w:pPr>
              <w:jc w:val="right"/>
              <w:rPr>
                <w:rFonts w:ascii="Arial" w:hAnsi="Arial" w:cs="Arial"/>
                <w:sz w:val="18"/>
                <w:szCs w:val="18"/>
                <w:lang w:val="es-ES_tradnl"/>
              </w:rPr>
            </w:pPr>
            <w:r w:rsidRPr="001F464F">
              <w:rPr>
                <w:rFonts w:ascii="Arial" w:hAnsi="Arial" w:cs="Arial"/>
                <w:sz w:val="18"/>
                <w:szCs w:val="18"/>
                <w:lang w:val="es-ES_tradnl"/>
              </w:rPr>
              <w:t>Superintendencia Nacional de Educación Superior (2016), se tomó el promedio de los úl</w:t>
            </w:r>
            <w:r w:rsidRPr="00323308">
              <w:rPr>
                <w:rFonts w:ascii="Arial" w:hAnsi="Arial" w:cs="Arial"/>
                <w:sz w:val="18"/>
                <w:szCs w:val="18"/>
                <w:lang w:val="es-ES_tradnl"/>
              </w:rPr>
              <w:t>timos 15 años.</w:t>
            </w:r>
          </w:p>
        </w:tc>
      </w:tr>
      <w:tr w:rsidR="00A372F6" w:rsidRPr="00FB6C97" w14:paraId="1E26B6BA" w14:textId="77777777" w:rsidTr="00374C56">
        <w:trPr>
          <w:trHeight w:val="720"/>
        </w:trPr>
        <w:tc>
          <w:tcPr>
            <w:tcW w:w="3600" w:type="dxa"/>
            <w:tcBorders>
              <w:top w:val="nil"/>
              <w:left w:val="nil"/>
              <w:bottom w:val="nil"/>
              <w:right w:val="nil"/>
            </w:tcBorders>
            <w:shd w:val="clear" w:color="000000" w:fill="FFFFFF"/>
            <w:vAlign w:val="center"/>
            <w:hideMark/>
          </w:tcPr>
          <w:p w14:paraId="3E338B5B" w14:textId="77777777" w:rsidR="00A372F6" w:rsidRPr="008F45BA" w:rsidRDefault="00A372F6" w:rsidP="00374C56">
            <w:pPr>
              <w:rPr>
                <w:rFonts w:ascii="Arial" w:hAnsi="Arial" w:cs="Arial"/>
                <w:sz w:val="18"/>
                <w:szCs w:val="18"/>
                <w:lang w:val="es-ES_tradnl"/>
              </w:rPr>
            </w:pPr>
            <w:r w:rsidRPr="00906191">
              <w:rPr>
                <w:rFonts w:ascii="Arial" w:hAnsi="Arial" w:cs="Arial"/>
                <w:sz w:val="18"/>
                <w:szCs w:val="20"/>
                <w:lang w:val="es-ES_tradnl"/>
              </w:rPr>
              <w:t>Ingreso promedio mensual de egresado en el sector informal</w:t>
            </w:r>
          </w:p>
        </w:tc>
        <w:tc>
          <w:tcPr>
            <w:tcW w:w="2160" w:type="dxa"/>
            <w:tcBorders>
              <w:top w:val="nil"/>
              <w:left w:val="nil"/>
              <w:bottom w:val="nil"/>
              <w:right w:val="nil"/>
            </w:tcBorders>
            <w:shd w:val="clear" w:color="000000" w:fill="FFFFFF"/>
            <w:noWrap/>
            <w:vAlign w:val="center"/>
            <w:hideMark/>
          </w:tcPr>
          <w:p w14:paraId="5A75EFE8" w14:textId="77777777" w:rsidR="00A372F6" w:rsidRPr="00906191" w:rsidRDefault="00A372F6" w:rsidP="00374C56">
            <w:pPr>
              <w:jc w:val="right"/>
              <w:rPr>
                <w:rFonts w:ascii="Arial" w:hAnsi="Arial" w:cs="Arial"/>
                <w:sz w:val="18"/>
                <w:szCs w:val="20"/>
              </w:rPr>
            </w:pPr>
            <w:r w:rsidRPr="00906191">
              <w:rPr>
                <w:rFonts w:ascii="Arial" w:hAnsi="Arial" w:cs="Arial"/>
                <w:sz w:val="18"/>
                <w:szCs w:val="20"/>
              </w:rPr>
              <w:t>Universidades: US$ 141</w:t>
            </w:r>
          </w:p>
          <w:p w14:paraId="79818CEA" w14:textId="77777777" w:rsidR="00A372F6" w:rsidRPr="00A43491" w:rsidRDefault="00274642" w:rsidP="00374C56">
            <w:pPr>
              <w:jc w:val="right"/>
              <w:rPr>
                <w:rFonts w:ascii="Arial" w:hAnsi="Arial" w:cs="Arial"/>
                <w:sz w:val="18"/>
                <w:szCs w:val="18"/>
              </w:rPr>
            </w:pPr>
            <w:r>
              <w:rPr>
                <w:rFonts w:ascii="Arial" w:hAnsi="Arial" w:cs="Arial"/>
                <w:sz w:val="18"/>
                <w:szCs w:val="20"/>
              </w:rPr>
              <w:t>IEST</w:t>
            </w:r>
            <w:r w:rsidR="00A372F6" w:rsidRPr="00906191">
              <w:rPr>
                <w:rFonts w:ascii="Arial" w:hAnsi="Arial" w:cs="Arial"/>
                <w:sz w:val="18"/>
                <w:szCs w:val="20"/>
              </w:rPr>
              <w:t>: US$ 117</w:t>
            </w:r>
          </w:p>
        </w:tc>
        <w:tc>
          <w:tcPr>
            <w:tcW w:w="4140" w:type="dxa"/>
            <w:tcBorders>
              <w:top w:val="nil"/>
              <w:left w:val="nil"/>
              <w:bottom w:val="nil"/>
              <w:right w:val="nil"/>
            </w:tcBorders>
            <w:shd w:val="clear" w:color="000000" w:fill="FFFFFF"/>
            <w:vAlign w:val="center"/>
            <w:hideMark/>
          </w:tcPr>
          <w:p w14:paraId="7A07F3F3" w14:textId="77777777" w:rsidR="00A372F6" w:rsidRPr="001F464F" w:rsidRDefault="00A372F6" w:rsidP="00374C56">
            <w:pPr>
              <w:jc w:val="right"/>
              <w:rPr>
                <w:rFonts w:ascii="Arial" w:hAnsi="Arial" w:cs="Arial"/>
                <w:sz w:val="18"/>
                <w:szCs w:val="18"/>
                <w:lang w:val="es-ES_tradnl"/>
              </w:rPr>
            </w:pPr>
            <w:r w:rsidRPr="001F464F">
              <w:rPr>
                <w:rFonts w:ascii="Arial" w:hAnsi="Arial" w:cs="Arial"/>
                <w:sz w:val="18"/>
                <w:szCs w:val="18"/>
                <w:lang w:val="es-ES_tradnl"/>
              </w:rPr>
              <w:t>Encuesta Nacional de Hogares (2016), utilizando tipo de cambio establecido por el Banco Central de Reserva del Perú</w:t>
            </w:r>
          </w:p>
        </w:tc>
      </w:tr>
      <w:tr w:rsidR="00A372F6" w:rsidRPr="00FB6C97" w14:paraId="60B5BAB2" w14:textId="77777777" w:rsidTr="00374C56">
        <w:trPr>
          <w:trHeight w:val="480"/>
        </w:trPr>
        <w:tc>
          <w:tcPr>
            <w:tcW w:w="3600" w:type="dxa"/>
            <w:tcBorders>
              <w:top w:val="nil"/>
              <w:left w:val="nil"/>
              <w:bottom w:val="nil"/>
              <w:right w:val="nil"/>
            </w:tcBorders>
            <w:shd w:val="clear" w:color="000000" w:fill="FFFFFF"/>
            <w:noWrap/>
            <w:vAlign w:val="center"/>
            <w:hideMark/>
          </w:tcPr>
          <w:p w14:paraId="4E3CC461" w14:textId="77777777" w:rsidR="00A372F6" w:rsidRPr="008F45BA" w:rsidRDefault="00A372F6" w:rsidP="00374C56">
            <w:pPr>
              <w:rPr>
                <w:rFonts w:ascii="Arial" w:hAnsi="Arial" w:cs="Arial"/>
                <w:sz w:val="18"/>
                <w:szCs w:val="18"/>
                <w:lang w:val="es-ES_tradnl"/>
              </w:rPr>
            </w:pPr>
            <w:r w:rsidRPr="00906191">
              <w:rPr>
                <w:rFonts w:ascii="Arial" w:hAnsi="Arial" w:cs="Arial"/>
                <w:sz w:val="18"/>
                <w:szCs w:val="20"/>
                <w:lang w:val="es-ES_tradnl"/>
              </w:rPr>
              <w:t>Ingreso promedio mensual de egresado en el sector formal</w:t>
            </w:r>
          </w:p>
        </w:tc>
        <w:tc>
          <w:tcPr>
            <w:tcW w:w="2160" w:type="dxa"/>
            <w:tcBorders>
              <w:top w:val="nil"/>
              <w:left w:val="nil"/>
              <w:bottom w:val="nil"/>
              <w:right w:val="nil"/>
            </w:tcBorders>
            <w:shd w:val="clear" w:color="000000" w:fill="FFFFFF"/>
            <w:noWrap/>
            <w:vAlign w:val="center"/>
            <w:hideMark/>
          </w:tcPr>
          <w:p w14:paraId="0C4689AB" w14:textId="77777777" w:rsidR="00A372F6" w:rsidRPr="00906191" w:rsidRDefault="00A372F6" w:rsidP="00374C56">
            <w:pPr>
              <w:jc w:val="right"/>
              <w:rPr>
                <w:rFonts w:ascii="Arial" w:hAnsi="Arial" w:cs="Arial"/>
                <w:sz w:val="18"/>
                <w:szCs w:val="20"/>
              </w:rPr>
            </w:pPr>
            <w:r w:rsidRPr="00906191">
              <w:rPr>
                <w:rFonts w:ascii="Arial" w:hAnsi="Arial" w:cs="Arial"/>
                <w:sz w:val="18"/>
                <w:szCs w:val="20"/>
              </w:rPr>
              <w:t>Universidades: US$ 475</w:t>
            </w:r>
          </w:p>
          <w:p w14:paraId="091C2317" w14:textId="77777777" w:rsidR="00A372F6" w:rsidRPr="00A43491" w:rsidRDefault="00274642" w:rsidP="00374C56">
            <w:pPr>
              <w:jc w:val="right"/>
              <w:rPr>
                <w:rFonts w:ascii="Arial" w:hAnsi="Arial" w:cs="Arial"/>
                <w:sz w:val="18"/>
                <w:szCs w:val="18"/>
              </w:rPr>
            </w:pPr>
            <w:r>
              <w:rPr>
                <w:rFonts w:ascii="Arial" w:hAnsi="Arial" w:cs="Arial"/>
                <w:sz w:val="18"/>
                <w:szCs w:val="20"/>
              </w:rPr>
              <w:t>IEST</w:t>
            </w:r>
            <w:r w:rsidR="00A372F6" w:rsidRPr="00906191">
              <w:rPr>
                <w:rFonts w:ascii="Arial" w:hAnsi="Arial" w:cs="Arial"/>
                <w:sz w:val="18"/>
                <w:szCs w:val="20"/>
              </w:rPr>
              <w:t>: US$ 244</w:t>
            </w:r>
          </w:p>
        </w:tc>
        <w:tc>
          <w:tcPr>
            <w:tcW w:w="4140" w:type="dxa"/>
            <w:tcBorders>
              <w:top w:val="nil"/>
              <w:left w:val="nil"/>
              <w:bottom w:val="nil"/>
              <w:right w:val="nil"/>
            </w:tcBorders>
            <w:shd w:val="clear" w:color="000000" w:fill="FFFFFF"/>
            <w:vAlign w:val="center"/>
            <w:hideMark/>
          </w:tcPr>
          <w:p w14:paraId="177AE527" w14:textId="77777777" w:rsidR="00A372F6" w:rsidRPr="001F464F" w:rsidRDefault="00A372F6" w:rsidP="00374C56">
            <w:pPr>
              <w:jc w:val="right"/>
              <w:rPr>
                <w:rFonts w:ascii="Arial" w:hAnsi="Arial" w:cs="Arial"/>
                <w:sz w:val="18"/>
                <w:szCs w:val="18"/>
                <w:lang w:val="es-ES_tradnl"/>
              </w:rPr>
            </w:pPr>
            <w:r w:rsidRPr="001F464F">
              <w:rPr>
                <w:rFonts w:ascii="Arial" w:hAnsi="Arial" w:cs="Arial"/>
                <w:sz w:val="18"/>
                <w:szCs w:val="18"/>
                <w:lang w:val="es-ES_tradnl"/>
              </w:rPr>
              <w:t>Encuesta Nacional de Hogares (2016), utilizando tipo de cambio establecido por el Banco Central de Reserva del Perú</w:t>
            </w:r>
          </w:p>
        </w:tc>
      </w:tr>
      <w:tr w:rsidR="00A372F6" w:rsidRPr="00FB6C97" w14:paraId="1EE7FA32" w14:textId="77777777" w:rsidTr="00374C56">
        <w:trPr>
          <w:trHeight w:val="720"/>
        </w:trPr>
        <w:tc>
          <w:tcPr>
            <w:tcW w:w="3600" w:type="dxa"/>
            <w:tcBorders>
              <w:top w:val="nil"/>
              <w:left w:val="nil"/>
              <w:bottom w:val="nil"/>
              <w:right w:val="nil"/>
            </w:tcBorders>
            <w:shd w:val="clear" w:color="000000" w:fill="FFFFFF"/>
            <w:noWrap/>
            <w:vAlign w:val="center"/>
            <w:hideMark/>
          </w:tcPr>
          <w:p w14:paraId="36C81AFA" w14:textId="77777777" w:rsidR="00A372F6" w:rsidRPr="008F45BA" w:rsidRDefault="00A372F6" w:rsidP="00374C56">
            <w:pPr>
              <w:rPr>
                <w:rFonts w:ascii="Arial" w:hAnsi="Arial" w:cs="Arial"/>
                <w:sz w:val="18"/>
                <w:szCs w:val="18"/>
                <w:lang w:val="es-ES_tradnl"/>
              </w:rPr>
            </w:pPr>
            <w:r w:rsidRPr="00906191">
              <w:rPr>
                <w:rFonts w:ascii="Arial" w:hAnsi="Arial" w:cs="Arial"/>
                <w:sz w:val="18"/>
                <w:szCs w:val="20"/>
                <w:lang w:val="es-ES_tradnl"/>
              </w:rPr>
              <w:t>Tasa de crecimiento de la brecha de ingresos entre sector informal y formal</w:t>
            </w:r>
          </w:p>
        </w:tc>
        <w:tc>
          <w:tcPr>
            <w:tcW w:w="2160" w:type="dxa"/>
            <w:tcBorders>
              <w:top w:val="nil"/>
              <w:left w:val="nil"/>
              <w:bottom w:val="nil"/>
              <w:right w:val="nil"/>
            </w:tcBorders>
            <w:shd w:val="clear" w:color="000000" w:fill="FFFFFF"/>
            <w:noWrap/>
            <w:vAlign w:val="center"/>
            <w:hideMark/>
          </w:tcPr>
          <w:p w14:paraId="35BFBA45" w14:textId="1177B0C2" w:rsidR="00A372F6" w:rsidRPr="00906191" w:rsidRDefault="00A372F6" w:rsidP="00374C56">
            <w:pPr>
              <w:jc w:val="right"/>
              <w:rPr>
                <w:rFonts w:ascii="Arial" w:hAnsi="Arial" w:cs="Arial"/>
                <w:sz w:val="18"/>
                <w:szCs w:val="20"/>
              </w:rPr>
            </w:pPr>
            <w:r w:rsidRPr="00906191">
              <w:rPr>
                <w:rFonts w:ascii="Arial" w:hAnsi="Arial" w:cs="Arial"/>
                <w:sz w:val="18"/>
                <w:szCs w:val="20"/>
              </w:rPr>
              <w:t xml:space="preserve">Universidades: </w:t>
            </w:r>
            <w:r w:rsidR="00820704">
              <w:rPr>
                <w:rFonts w:ascii="Arial" w:hAnsi="Arial" w:cs="Arial"/>
                <w:sz w:val="18"/>
                <w:szCs w:val="20"/>
              </w:rPr>
              <w:t>8</w:t>
            </w:r>
            <w:r w:rsidRPr="00906191">
              <w:rPr>
                <w:rFonts w:ascii="Arial" w:hAnsi="Arial" w:cs="Arial"/>
                <w:sz w:val="18"/>
                <w:szCs w:val="20"/>
              </w:rPr>
              <w:t>%</w:t>
            </w:r>
          </w:p>
          <w:p w14:paraId="1759AD8E" w14:textId="37C4C2B1" w:rsidR="00A372F6" w:rsidRPr="00A43491" w:rsidRDefault="00274642" w:rsidP="00374C56">
            <w:pPr>
              <w:jc w:val="right"/>
              <w:rPr>
                <w:rFonts w:ascii="Arial" w:hAnsi="Arial" w:cs="Arial"/>
                <w:sz w:val="18"/>
                <w:szCs w:val="18"/>
              </w:rPr>
            </w:pPr>
            <w:r>
              <w:rPr>
                <w:rFonts w:ascii="Arial" w:hAnsi="Arial" w:cs="Arial"/>
                <w:sz w:val="18"/>
                <w:szCs w:val="20"/>
              </w:rPr>
              <w:t xml:space="preserve"> IEST</w:t>
            </w:r>
            <w:r w:rsidR="00A372F6" w:rsidRPr="00906191">
              <w:rPr>
                <w:rFonts w:ascii="Arial" w:hAnsi="Arial" w:cs="Arial"/>
                <w:sz w:val="18"/>
                <w:szCs w:val="20"/>
              </w:rPr>
              <w:t xml:space="preserve">: </w:t>
            </w:r>
            <w:r w:rsidR="00820704">
              <w:rPr>
                <w:rFonts w:ascii="Arial" w:hAnsi="Arial" w:cs="Arial"/>
                <w:sz w:val="18"/>
                <w:szCs w:val="20"/>
              </w:rPr>
              <w:t>7</w:t>
            </w:r>
            <w:r w:rsidR="00A372F6" w:rsidRPr="00906191">
              <w:rPr>
                <w:rFonts w:ascii="Arial" w:hAnsi="Arial" w:cs="Arial"/>
                <w:sz w:val="18"/>
                <w:szCs w:val="20"/>
              </w:rPr>
              <w:t xml:space="preserve">% </w:t>
            </w:r>
          </w:p>
        </w:tc>
        <w:tc>
          <w:tcPr>
            <w:tcW w:w="4140" w:type="dxa"/>
            <w:tcBorders>
              <w:top w:val="nil"/>
              <w:left w:val="nil"/>
              <w:bottom w:val="nil"/>
              <w:right w:val="nil"/>
            </w:tcBorders>
            <w:shd w:val="clear" w:color="000000" w:fill="FFFFFF"/>
            <w:vAlign w:val="center"/>
            <w:hideMark/>
          </w:tcPr>
          <w:p w14:paraId="6663D4CF" w14:textId="126DCD55" w:rsidR="00A372F6" w:rsidRPr="001F464F" w:rsidRDefault="00A372F6" w:rsidP="00374C56">
            <w:pPr>
              <w:jc w:val="right"/>
              <w:rPr>
                <w:rFonts w:ascii="Arial" w:hAnsi="Arial" w:cs="Arial"/>
                <w:sz w:val="18"/>
                <w:szCs w:val="18"/>
                <w:lang w:val="es-ES_tradnl"/>
              </w:rPr>
            </w:pPr>
            <w:r w:rsidRPr="001F464F">
              <w:rPr>
                <w:rFonts w:ascii="Arial" w:hAnsi="Arial" w:cs="Arial"/>
                <w:sz w:val="18"/>
                <w:szCs w:val="18"/>
                <w:lang w:val="es-ES_tradnl"/>
              </w:rPr>
              <w:t xml:space="preserve">INEI (2016), considerando tasa de crecimiento promedio </w:t>
            </w:r>
            <w:r w:rsidR="00323308" w:rsidRPr="001F464F">
              <w:rPr>
                <w:rFonts w:ascii="Arial" w:hAnsi="Arial" w:cs="Arial"/>
                <w:sz w:val="18"/>
                <w:szCs w:val="18"/>
                <w:lang w:val="es-ES_tradnl"/>
              </w:rPr>
              <w:t>de</w:t>
            </w:r>
            <w:r w:rsidRPr="001F464F">
              <w:rPr>
                <w:rFonts w:ascii="Arial" w:hAnsi="Arial" w:cs="Arial"/>
                <w:sz w:val="18"/>
                <w:szCs w:val="18"/>
                <w:lang w:val="es-ES_tradnl"/>
              </w:rPr>
              <w:t xml:space="preserve"> ingresos en los últimos 10 años</w:t>
            </w:r>
          </w:p>
        </w:tc>
      </w:tr>
      <w:tr w:rsidR="00A372F6" w:rsidRPr="009F243F" w14:paraId="03021F3A" w14:textId="77777777" w:rsidTr="00374C56">
        <w:trPr>
          <w:trHeight w:val="480"/>
        </w:trPr>
        <w:tc>
          <w:tcPr>
            <w:tcW w:w="3600" w:type="dxa"/>
            <w:tcBorders>
              <w:top w:val="nil"/>
              <w:left w:val="nil"/>
              <w:bottom w:val="nil"/>
              <w:right w:val="nil"/>
            </w:tcBorders>
            <w:shd w:val="clear" w:color="000000" w:fill="FFFFFF"/>
            <w:vAlign w:val="center"/>
            <w:hideMark/>
          </w:tcPr>
          <w:p w14:paraId="44760058" w14:textId="77777777" w:rsidR="00A372F6" w:rsidRPr="008F45BA" w:rsidRDefault="00A372F6" w:rsidP="00374C56">
            <w:pPr>
              <w:rPr>
                <w:rFonts w:ascii="Arial" w:hAnsi="Arial" w:cs="Arial"/>
                <w:sz w:val="18"/>
                <w:szCs w:val="18"/>
                <w:lang w:val="es-ES_tradnl"/>
              </w:rPr>
            </w:pPr>
            <w:r w:rsidRPr="00906191">
              <w:rPr>
                <w:rFonts w:ascii="Arial" w:hAnsi="Arial" w:cs="Arial"/>
                <w:sz w:val="18"/>
                <w:szCs w:val="20"/>
                <w:lang w:val="es-ES_tradnl"/>
              </w:rPr>
              <w:t>Impacto en la informalidad de la calidad educativa</w:t>
            </w:r>
          </w:p>
        </w:tc>
        <w:tc>
          <w:tcPr>
            <w:tcW w:w="2160" w:type="dxa"/>
            <w:tcBorders>
              <w:top w:val="nil"/>
              <w:left w:val="nil"/>
              <w:bottom w:val="nil"/>
              <w:right w:val="nil"/>
            </w:tcBorders>
            <w:shd w:val="clear" w:color="000000" w:fill="FFFFFF"/>
            <w:noWrap/>
            <w:vAlign w:val="center"/>
            <w:hideMark/>
          </w:tcPr>
          <w:p w14:paraId="7DF801F0" w14:textId="77777777" w:rsidR="00A372F6" w:rsidRPr="00906191" w:rsidRDefault="00A372F6" w:rsidP="00374C56">
            <w:pPr>
              <w:jc w:val="right"/>
              <w:rPr>
                <w:rFonts w:ascii="Arial" w:hAnsi="Arial" w:cs="Arial"/>
                <w:sz w:val="18"/>
                <w:szCs w:val="20"/>
              </w:rPr>
            </w:pPr>
            <w:r w:rsidRPr="00906191">
              <w:rPr>
                <w:rFonts w:ascii="Arial" w:hAnsi="Arial" w:cs="Arial"/>
                <w:sz w:val="18"/>
                <w:szCs w:val="20"/>
              </w:rPr>
              <w:t>Universidades: 12.5%</w:t>
            </w:r>
          </w:p>
          <w:p w14:paraId="2E6F4974" w14:textId="77777777" w:rsidR="00A372F6" w:rsidRPr="00A43491" w:rsidRDefault="00274642" w:rsidP="00374C56">
            <w:pPr>
              <w:jc w:val="right"/>
              <w:rPr>
                <w:rFonts w:ascii="Arial" w:hAnsi="Arial" w:cs="Arial"/>
                <w:sz w:val="18"/>
                <w:szCs w:val="18"/>
              </w:rPr>
            </w:pPr>
            <w:r>
              <w:rPr>
                <w:rFonts w:ascii="Arial" w:hAnsi="Arial" w:cs="Arial"/>
                <w:sz w:val="18"/>
                <w:szCs w:val="20"/>
              </w:rPr>
              <w:t xml:space="preserve"> IEST</w:t>
            </w:r>
            <w:r w:rsidR="00A372F6" w:rsidRPr="00906191">
              <w:rPr>
                <w:rFonts w:ascii="Arial" w:hAnsi="Arial" w:cs="Arial"/>
                <w:sz w:val="18"/>
                <w:szCs w:val="20"/>
              </w:rPr>
              <w:t>: 12.5%</w:t>
            </w:r>
          </w:p>
        </w:tc>
        <w:tc>
          <w:tcPr>
            <w:tcW w:w="4140" w:type="dxa"/>
            <w:tcBorders>
              <w:top w:val="nil"/>
              <w:left w:val="nil"/>
              <w:bottom w:val="nil"/>
              <w:right w:val="nil"/>
            </w:tcBorders>
            <w:shd w:val="clear" w:color="000000" w:fill="FFFFFF"/>
            <w:vAlign w:val="center"/>
            <w:hideMark/>
          </w:tcPr>
          <w:p w14:paraId="7E61A4F4" w14:textId="77777777" w:rsidR="00A372F6" w:rsidRPr="001F464F" w:rsidRDefault="00A372F6" w:rsidP="00374C56">
            <w:pPr>
              <w:jc w:val="right"/>
              <w:rPr>
                <w:rFonts w:ascii="Arial" w:hAnsi="Arial" w:cs="Arial"/>
                <w:sz w:val="18"/>
                <w:szCs w:val="18"/>
              </w:rPr>
            </w:pPr>
            <w:r w:rsidRPr="001F464F">
              <w:rPr>
                <w:rFonts w:ascii="Arial" w:hAnsi="Arial" w:cs="Arial"/>
                <w:sz w:val="18"/>
                <w:szCs w:val="18"/>
              </w:rPr>
              <w:t>Reimann, 2010; Jimenez et al, 2015</w:t>
            </w:r>
          </w:p>
        </w:tc>
      </w:tr>
      <w:tr w:rsidR="00820704" w:rsidRPr="009F243F" w14:paraId="4715D96A" w14:textId="77777777" w:rsidTr="00374C56">
        <w:trPr>
          <w:trHeight w:val="480"/>
        </w:trPr>
        <w:tc>
          <w:tcPr>
            <w:tcW w:w="3600" w:type="dxa"/>
            <w:tcBorders>
              <w:top w:val="nil"/>
              <w:left w:val="nil"/>
              <w:bottom w:val="nil"/>
              <w:right w:val="nil"/>
            </w:tcBorders>
            <w:shd w:val="clear" w:color="000000" w:fill="FFFFFF"/>
            <w:vAlign w:val="center"/>
          </w:tcPr>
          <w:p w14:paraId="4E5FF90C" w14:textId="65C447B4" w:rsidR="00820704" w:rsidRPr="00906191" w:rsidRDefault="00820704" w:rsidP="00820704">
            <w:pPr>
              <w:rPr>
                <w:rFonts w:ascii="Arial" w:hAnsi="Arial" w:cs="Arial"/>
                <w:sz w:val="18"/>
                <w:szCs w:val="20"/>
                <w:lang w:val="es-ES_tradnl"/>
              </w:rPr>
            </w:pPr>
            <w:r>
              <w:rPr>
                <w:rFonts w:ascii="Arial" w:hAnsi="Arial" w:cs="Arial"/>
                <w:sz w:val="18"/>
                <w:szCs w:val="20"/>
                <w:lang w:val="es-ES_tradnl"/>
              </w:rPr>
              <w:t>Nivel de informalidad en egresados de IES públicas</w:t>
            </w:r>
          </w:p>
        </w:tc>
        <w:tc>
          <w:tcPr>
            <w:tcW w:w="2160" w:type="dxa"/>
            <w:tcBorders>
              <w:top w:val="nil"/>
              <w:left w:val="nil"/>
              <w:bottom w:val="nil"/>
              <w:right w:val="nil"/>
            </w:tcBorders>
            <w:shd w:val="clear" w:color="000000" w:fill="FFFFFF"/>
            <w:noWrap/>
            <w:vAlign w:val="center"/>
          </w:tcPr>
          <w:p w14:paraId="52E21401" w14:textId="35FFA26D" w:rsidR="00820704" w:rsidRPr="00906191" w:rsidRDefault="00820704" w:rsidP="00820704">
            <w:pPr>
              <w:jc w:val="right"/>
              <w:rPr>
                <w:rFonts w:ascii="Arial" w:hAnsi="Arial" w:cs="Arial"/>
                <w:sz w:val="18"/>
                <w:szCs w:val="20"/>
              </w:rPr>
            </w:pPr>
            <w:r>
              <w:rPr>
                <w:rFonts w:ascii="Arial" w:hAnsi="Arial" w:cs="Arial"/>
                <w:sz w:val="18"/>
                <w:szCs w:val="20"/>
                <w:lang w:val="es-ES"/>
              </w:rPr>
              <w:t>Universidades: 57.8%</w:t>
            </w:r>
            <w:r>
              <w:rPr>
                <w:rFonts w:ascii="Arial" w:hAnsi="Arial" w:cs="Arial"/>
                <w:sz w:val="18"/>
                <w:szCs w:val="20"/>
                <w:lang w:val="es-ES"/>
              </w:rPr>
              <w:br/>
              <w:t xml:space="preserve">IEST: 71.2% </w:t>
            </w:r>
          </w:p>
        </w:tc>
        <w:tc>
          <w:tcPr>
            <w:tcW w:w="4140" w:type="dxa"/>
            <w:tcBorders>
              <w:top w:val="nil"/>
              <w:left w:val="nil"/>
              <w:bottom w:val="nil"/>
              <w:right w:val="nil"/>
            </w:tcBorders>
            <w:shd w:val="clear" w:color="000000" w:fill="FFFFFF"/>
            <w:vAlign w:val="center"/>
          </w:tcPr>
          <w:p w14:paraId="4626519D" w14:textId="34B67F5B" w:rsidR="00820704" w:rsidRPr="001F464F" w:rsidRDefault="00323308" w:rsidP="00820704">
            <w:pPr>
              <w:jc w:val="right"/>
              <w:rPr>
                <w:rFonts w:ascii="Arial" w:hAnsi="Arial" w:cs="Arial"/>
                <w:sz w:val="18"/>
                <w:szCs w:val="18"/>
              </w:rPr>
            </w:pPr>
            <w:r w:rsidRPr="001F464F">
              <w:rPr>
                <w:rFonts w:ascii="Arial" w:hAnsi="Arial" w:cs="Arial"/>
                <w:sz w:val="18"/>
                <w:szCs w:val="18"/>
                <w:lang w:val="es-ES_tradnl"/>
              </w:rPr>
              <w:t>Encuesta Nacional de Hogares (2016)</w:t>
            </w:r>
          </w:p>
        </w:tc>
      </w:tr>
      <w:tr w:rsidR="00820704" w:rsidRPr="00FB6C97" w14:paraId="07D617F0" w14:textId="77777777" w:rsidTr="00374C56">
        <w:trPr>
          <w:trHeight w:val="480"/>
        </w:trPr>
        <w:tc>
          <w:tcPr>
            <w:tcW w:w="3600" w:type="dxa"/>
            <w:tcBorders>
              <w:top w:val="nil"/>
              <w:left w:val="nil"/>
              <w:bottom w:val="nil"/>
              <w:right w:val="nil"/>
            </w:tcBorders>
            <w:shd w:val="clear" w:color="000000" w:fill="FFFFFF"/>
            <w:vAlign w:val="center"/>
          </w:tcPr>
          <w:p w14:paraId="60DEB4B0" w14:textId="47C58213" w:rsidR="00820704" w:rsidRPr="00906191" w:rsidRDefault="00820704" w:rsidP="00820704">
            <w:pPr>
              <w:rPr>
                <w:rFonts w:ascii="Arial" w:hAnsi="Arial" w:cs="Arial"/>
                <w:sz w:val="18"/>
                <w:szCs w:val="20"/>
                <w:lang w:val="es-ES_tradnl"/>
              </w:rPr>
            </w:pPr>
            <w:r>
              <w:rPr>
                <w:rFonts w:ascii="Arial" w:hAnsi="Arial" w:cs="Arial"/>
                <w:sz w:val="18"/>
                <w:szCs w:val="20"/>
                <w:lang w:val="es-ES_tradnl"/>
              </w:rPr>
              <w:t>Reducción exógena de la informalidad (debido a políticas económicas nacionales)</w:t>
            </w:r>
          </w:p>
        </w:tc>
        <w:tc>
          <w:tcPr>
            <w:tcW w:w="2160" w:type="dxa"/>
            <w:tcBorders>
              <w:top w:val="nil"/>
              <w:left w:val="nil"/>
              <w:bottom w:val="nil"/>
              <w:right w:val="nil"/>
            </w:tcBorders>
            <w:shd w:val="clear" w:color="000000" w:fill="FFFFFF"/>
            <w:noWrap/>
            <w:vAlign w:val="center"/>
          </w:tcPr>
          <w:p w14:paraId="7F1BF61B" w14:textId="2239BD32" w:rsidR="00820704" w:rsidRDefault="00323308" w:rsidP="00820704">
            <w:pPr>
              <w:jc w:val="right"/>
              <w:rPr>
                <w:rFonts w:ascii="Arial" w:hAnsi="Arial" w:cs="Arial"/>
                <w:sz w:val="18"/>
                <w:szCs w:val="20"/>
                <w:lang w:val="es-ES_tradnl"/>
              </w:rPr>
            </w:pPr>
            <w:r>
              <w:rPr>
                <w:rFonts w:ascii="Arial" w:hAnsi="Arial" w:cs="Arial"/>
                <w:sz w:val="18"/>
                <w:szCs w:val="20"/>
                <w:lang w:val="es-ES_tradnl"/>
              </w:rPr>
              <w:t>Universidades: 1</w:t>
            </w:r>
            <w:r w:rsidR="00820704">
              <w:rPr>
                <w:rFonts w:ascii="Arial" w:hAnsi="Arial" w:cs="Arial"/>
                <w:sz w:val="18"/>
                <w:szCs w:val="20"/>
                <w:lang w:val="es-ES_tradnl"/>
              </w:rPr>
              <w:t>% anual</w:t>
            </w:r>
          </w:p>
          <w:p w14:paraId="5AC6A412" w14:textId="28E55C05" w:rsidR="00820704" w:rsidRPr="00906191" w:rsidRDefault="00323308" w:rsidP="00820704">
            <w:pPr>
              <w:jc w:val="right"/>
              <w:rPr>
                <w:rFonts w:ascii="Arial" w:hAnsi="Arial" w:cs="Arial"/>
                <w:sz w:val="18"/>
                <w:szCs w:val="20"/>
              </w:rPr>
            </w:pPr>
            <w:r>
              <w:rPr>
                <w:rFonts w:ascii="Arial" w:hAnsi="Arial" w:cs="Arial"/>
                <w:sz w:val="18"/>
                <w:szCs w:val="20"/>
                <w:lang w:val="es-ES_tradnl"/>
              </w:rPr>
              <w:t>IEST: 1</w:t>
            </w:r>
            <w:r w:rsidR="00820704">
              <w:rPr>
                <w:rFonts w:ascii="Arial" w:hAnsi="Arial" w:cs="Arial"/>
                <w:sz w:val="18"/>
                <w:szCs w:val="20"/>
                <w:lang w:val="es-ES_tradnl"/>
              </w:rPr>
              <w:t>% anual</w:t>
            </w:r>
          </w:p>
        </w:tc>
        <w:tc>
          <w:tcPr>
            <w:tcW w:w="4140" w:type="dxa"/>
            <w:tcBorders>
              <w:top w:val="nil"/>
              <w:left w:val="nil"/>
              <w:bottom w:val="nil"/>
              <w:right w:val="nil"/>
            </w:tcBorders>
            <w:shd w:val="clear" w:color="000000" w:fill="FFFFFF"/>
            <w:vAlign w:val="center"/>
          </w:tcPr>
          <w:p w14:paraId="1191221B" w14:textId="1F449EA5" w:rsidR="00820704" w:rsidRPr="00E7005A" w:rsidRDefault="00323308" w:rsidP="00820704">
            <w:pPr>
              <w:jc w:val="right"/>
              <w:rPr>
                <w:rFonts w:ascii="Arial" w:hAnsi="Arial" w:cs="Arial"/>
                <w:sz w:val="18"/>
                <w:szCs w:val="18"/>
                <w:lang w:val="es-ES"/>
              </w:rPr>
            </w:pPr>
            <w:r>
              <w:rPr>
                <w:rFonts w:ascii="Arial" w:hAnsi="Arial" w:cs="Arial"/>
                <w:sz w:val="18"/>
                <w:szCs w:val="20"/>
                <w:lang w:val="es-ES"/>
              </w:rPr>
              <w:t>Basado en las políticas y metas establecidas en por el Ministerio de Economía y Finanzas y el Centro Nacional de Planeamiento Estratégico</w:t>
            </w:r>
          </w:p>
        </w:tc>
      </w:tr>
      <w:tr w:rsidR="00820704" w:rsidRPr="00FB6C97" w14:paraId="15999359" w14:textId="77777777" w:rsidTr="00374C56">
        <w:trPr>
          <w:trHeight w:val="480"/>
        </w:trPr>
        <w:tc>
          <w:tcPr>
            <w:tcW w:w="3600" w:type="dxa"/>
            <w:tcBorders>
              <w:top w:val="nil"/>
              <w:left w:val="nil"/>
              <w:bottom w:val="nil"/>
              <w:right w:val="nil"/>
            </w:tcBorders>
            <w:shd w:val="clear" w:color="000000" w:fill="FFFFFF"/>
            <w:vAlign w:val="center"/>
          </w:tcPr>
          <w:p w14:paraId="3F881F64" w14:textId="478D549A" w:rsidR="00820704" w:rsidRPr="00906191" w:rsidRDefault="00820704" w:rsidP="00820704">
            <w:pPr>
              <w:rPr>
                <w:rFonts w:ascii="Arial" w:hAnsi="Arial" w:cs="Arial"/>
                <w:sz w:val="18"/>
                <w:szCs w:val="20"/>
                <w:lang w:val="es-ES_tradnl"/>
              </w:rPr>
            </w:pPr>
            <w:r>
              <w:rPr>
                <w:rFonts w:ascii="Arial" w:hAnsi="Arial" w:cs="Arial"/>
                <w:sz w:val="18"/>
                <w:szCs w:val="20"/>
                <w:lang w:val="es-ES_tradnl"/>
              </w:rPr>
              <w:t>Nivel de desempleo en egresados de IES públicas</w:t>
            </w:r>
          </w:p>
        </w:tc>
        <w:tc>
          <w:tcPr>
            <w:tcW w:w="2160" w:type="dxa"/>
            <w:tcBorders>
              <w:top w:val="nil"/>
              <w:left w:val="nil"/>
              <w:bottom w:val="nil"/>
              <w:right w:val="nil"/>
            </w:tcBorders>
            <w:shd w:val="clear" w:color="000000" w:fill="FFFFFF"/>
            <w:noWrap/>
            <w:vAlign w:val="center"/>
          </w:tcPr>
          <w:p w14:paraId="13F37AC7" w14:textId="77777777" w:rsidR="00820704" w:rsidRDefault="00820704" w:rsidP="00820704">
            <w:pPr>
              <w:jc w:val="right"/>
              <w:rPr>
                <w:rFonts w:ascii="Arial" w:hAnsi="Arial" w:cs="Arial"/>
                <w:sz w:val="18"/>
                <w:szCs w:val="20"/>
                <w:lang w:val="es-ES_tradnl"/>
              </w:rPr>
            </w:pPr>
            <w:r>
              <w:rPr>
                <w:rFonts w:ascii="Arial" w:hAnsi="Arial" w:cs="Arial"/>
                <w:sz w:val="18"/>
                <w:szCs w:val="20"/>
                <w:lang w:val="es-ES_tradnl"/>
              </w:rPr>
              <w:t>Universidades: 6.5%</w:t>
            </w:r>
          </w:p>
          <w:p w14:paraId="6429083B" w14:textId="7EB9EE2B" w:rsidR="00820704" w:rsidRPr="00906191" w:rsidRDefault="00820704" w:rsidP="00820704">
            <w:pPr>
              <w:jc w:val="right"/>
              <w:rPr>
                <w:rFonts w:ascii="Arial" w:hAnsi="Arial" w:cs="Arial"/>
                <w:sz w:val="18"/>
                <w:szCs w:val="20"/>
              </w:rPr>
            </w:pPr>
            <w:r>
              <w:rPr>
                <w:rFonts w:ascii="Arial" w:hAnsi="Arial" w:cs="Arial"/>
                <w:sz w:val="18"/>
                <w:szCs w:val="20"/>
                <w:lang w:val="es-ES_tradnl"/>
              </w:rPr>
              <w:t>IEST: 8.5%</w:t>
            </w:r>
          </w:p>
        </w:tc>
        <w:tc>
          <w:tcPr>
            <w:tcW w:w="4140" w:type="dxa"/>
            <w:tcBorders>
              <w:top w:val="nil"/>
              <w:left w:val="nil"/>
              <w:bottom w:val="nil"/>
              <w:right w:val="nil"/>
            </w:tcBorders>
            <w:shd w:val="clear" w:color="000000" w:fill="FFFFFF"/>
            <w:vAlign w:val="center"/>
          </w:tcPr>
          <w:p w14:paraId="152DB586" w14:textId="08415C9A" w:rsidR="00820704" w:rsidRPr="00E7005A" w:rsidRDefault="00323308" w:rsidP="00820704">
            <w:pPr>
              <w:jc w:val="right"/>
              <w:rPr>
                <w:rFonts w:ascii="Arial" w:hAnsi="Arial" w:cs="Arial"/>
                <w:sz w:val="18"/>
                <w:szCs w:val="18"/>
                <w:lang w:val="es-ES"/>
              </w:rPr>
            </w:pPr>
            <w:r w:rsidRPr="00E7005A">
              <w:rPr>
                <w:rFonts w:ascii="Arial" w:hAnsi="Arial" w:cs="Arial"/>
                <w:sz w:val="18"/>
                <w:szCs w:val="20"/>
                <w:lang w:val="es-ES"/>
              </w:rPr>
              <w:t>Encuesta Nacional a Egresados Universitarios y Universidades (2014)</w:t>
            </w:r>
          </w:p>
        </w:tc>
      </w:tr>
      <w:tr w:rsidR="00820704" w:rsidRPr="009F243F" w14:paraId="4FEA26F7" w14:textId="77777777" w:rsidTr="00374C56">
        <w:trPr>
          <w:trHeight w:val="480"/>
        </w:trPr>
        <w:tc>
          <w:tcPr>
            <w:tcW w:w="3600" w:type="dxa"/>
            <w:tcBorders>
              <w:top w:val="nil"/>
              <w:left w:val="nil"/>
              <w:bottom w:val="nil"/>
              <w:right w:val="nil"/>
            </w:tcBorders>
            <w:shd w:val="clear" w:color="000000" w:fill="FFFFFF"/>
            <w:vAlign w:val="center"/>
          </w:tcPr>
          <w:p w14:paraId="7521F806" w14:textId="2B4414EF" w:rsidR="00820704" w:rsidRPr="00906191" w:rsidRDefault="00820704" w:rsidP="00820704">
            <w:pPr>
              <w:rPr>
                <w:rFonts w:ascii="Arial" w:hAnsi="Arial" w:cs="Arial"/>
                <w:sz w:val="18"/>
                <w:szCs w:val="20"/>
                <w:lang w:val="es-ES_tradnl"/>
              </w:rPr>
            </w:pPr>
            <w:r>
              <w:rPr>
                <w:rFonts w:ascii="Arial" w:hAnsi="Arial" w:cs="Arial"/>
                <w:sz w:val="18"/>
                <w:szCs w:val="20"/>
                <w:lang w:val="es-ES_tradnl"/>
              </w:rPr>
              <w:t>Impacto de la mejora en la calidad educativa sobre el desempleo</w:t>
            </w:r>
          </w:p>
        </w:tc>
        <w:tc>
          <w:tcPr>
            <w:tcW w:w="2160" w:type="dxa"/>
            <w:tcBorders>
              <w:top w:val="nil"/>
              <w:left w:val="nil"/>
              <w:bottom w:val="nil"/>
              <w:right w:val="nil"/>
            </w:tcBorders>
            <w:shd w:val="clear" w:color="000000" w:fill="FFFFFF"/>
            <w:noWrap/>
            <w:vAlign w:val="center"/>
          </w:tcPr>
          <w:p w14:paraId="6DE3E6F1" w14:textId="77777777" w:rsidR="00820704" w:rsidRDefault="00820704" w:rsidP="00820704">
            <w:pPr>
              <w:jc w:val="right"/>
              <w:rPr>
                <w:rFonts w:ascii="Arial" w:hAnsi="Arial" w:cs="Arial"/>
                <w:sz w:val="18"/>
                <w:szCs w:val="20"/>
                <w:lang w:val="es-ES_tradnl"/>
              </w:rPr>
            </w:pPr>
            <w:r>
              <w:rPr>
                <w:rFonts w:ascii="Arial" w:hAnsi="Arial" w:cs="Arial"/>
                <w:sz w:val="18"/>
                <w:szCs w:val="20"/>
                <w:lang w:val="es-ES_tradnl"/>
              </w:rPr>
              <w:t>Universidades: 8.0%</w:t>
            </w:r>
          </w:p>
          <w:p w14:paraId="3334F28B" w14:textId="5B1FAEC0" w:rsidR="00820704" w:rsidRPr="00906191" w:rsidRDefault="00820704" w:rsidP="00820704">
            <w:pPr>
              <w:jc w:val="right"/>
              <w:rPr>
                <w:rFonts w:ascii="Arial" w:hAnsi="Arial" w:cs="Arial"/>
                <w:sz w:val="18"/>
                <w:szCs w:val="20"/>
              </w:rPr>
            </w:pPr>
            <w:r>
              <w:rPr>
                <w:rFonts w:ascii="Arial" w:hAnsi="Arial" w:cs="Arial"/>
                <w:sz w:val="18"/>
                <w:szCs w:val="20"/>
                <w:lang w:val="es-ES_tradnl"/>
              </w:rPr>
              <w:t>IEST:8.0%</w:t>
            </w:r>
          </w:p>
        </w:tc>
        <w:tc>
          <w:tcPr>
            <w:tcW w:w="4140" w:type="dxa"/>
            <w:tcBorders>
              <w:top w:val="nil"/>
              <w:left w:val="nil"/>
              <w:bottom w:val="nil"/>
              <w:right w:val="nil"/>
            </w:tcBorders>
            <w:shd w:val="clear" w:color="000000" w:fill="FFFFFF"/>
            <w:vAlign w:val="center"/>
          </w:tcPr>
          <w:p w14:paraId="11499BC9" w14:textId="02341469" w:rsidR="00820704" w:rsidRPr="009F243F" w:rsidRDefault="008354BD" w:rsidP="00820704">
            <w:pPr>
              <w:jc w:val="right"/>
              <w:rPr>
                <w:rFonts w:ascii="Arial" w:hAnsi="Arial" w:cs="Arial"/>
                <w:sz w:val="18"/>
                <w:szCs w:val="18"/>
              </w:rPr>
            </w:pPr>
            <w:r>
              <w:rPr>
                <w:rFonts w:ascii="Arial" w:hAnsi="Arial" w:cs="Arial"/>
                <w:sz w:val="18"/>
                <w:szCs w:val="20"/>
              </w:rPr>
              <w:t>Nickell, 1979; Mincer, 1991; Farber, 2004; Nichols, Mitchel y Lindner, 2013; Yamada, 2015</w:t>
            </w:r>
          </w:p>
        </w:tc>
      </w:tr>
      <w:tr w:rsidR="00A372F6" w:rsidRPr="00FB6C97" w14:paraId="2E3DECAC" w14:textId="77777777" w:rsidTr="00374C56">
        <w:trPr>
          <w:trHeight w:val="285"/>
        </w:trPr>
        <w:tc>
          <w:tcPr>
            <w:tcW w:w="9900" w:type="dxa"/>
            <w:gridSpan w:val="3"/>
            <w:tcBorders>
              <w:top w:val="single" w:sz="8" w:space="0" w:color="auto"/>
              <w:left w:val="nil"/>
              <w:bottom w:val="nil"/>
              <w:right w:val="nil"/>
            </w:tcBorders>
            <w:shd w:val="clear" w:color="000000" w:fill="DDEBF7"/>
            <w:noWrap/>
            <w:vAlign w:val="center"/>
            <w:hideMark/>
          </w:tcPr>
          <w:p w14:paraId="0374ADD8" w14:textId="77777777" w:rsidR="00A372F6" w:rsidRPr="00052E61" w:rsidRDefault="00052E61" w:rsidP="00052E61">
            <w:pPr>
              <w:rPr>
                <w:rFonts w:ascii="Arial" w:hAnsi="Arial" w:cs="Arial"/>
                <w:b/>
                <w:sz w:val="22"/>
                <w:lang w:val="es-ES_tradnl"/>
              </w:rPr>
            </w:pPr>
            <w:r w:rsidRPr="00052E61">
              <w:rPr>
                <w:rFonts w:ascii="Arial" w:hAnsi="Arial" w:cs="Arial"/>
                <w:b/>
                <w:sz w:val="22"/>
                <w:lang w:val="es-ES_tradnl"/>
              </w:rPr>
              <w:t xml:space="preserve">Mejora de la infraestructura y equipamiento de las </w:t>
            </w:r>
            <w:r w:rsidR="00274642">
              <w:rPr>
                <w:rFonts w:ascii="Arial" w:hAnsi="Arial" w:cs="Arial"/>
                <w:b/>
                <w:sz w:val="22"/>
                <w:lang w:val="es-ES_tradnl"/>
              </w:rPr>
              <w:t>IES</w:t>
            </w:r>
            <w:r>
              <w:rPr>
                <w:rFonts w:ascii="Arial" w:hAnsi="Arial" w:cs="Arial"/>
                <w:b/>
                <w:sz w:val="22"/>
                <w:lang w:val="es-ES_tradnl"/>
              </w:rPr>
              <w:t xml:space="preserve"> pública</w:t>
            </w:r>
            <w:r w:rsidR="00274642">
              <w:rPr>
                <w:rFonts w:ascii="Arial" w:hAnsi="Arial" w:cs="Arial"/>
                <w:b/>
                <w:sz w:val="22"/>
                <w:lang w:val="es-ES_tradnl"/>
              </w:rPr>
              <w:t>s</w:t>
            </w:r>
          </w:p>
        </w:tc>
      </w:tr>
      <w:tr w:rsidR="00A372F6" w:rsidRPr="00FB6C97" w14:paraId="1BFF4741" w14:textId="77777777" w:rsidTr="00374C56">
        <w:trPr>
          <w:trHeight w:val="480"/>
        </w:trPr>
        <w:tc>
          <w:tcPr>
            <w:tcW w:w="3600" w:type="dxa"/>
            <w:tcBorders>
              <w:top w:val="nil"/>
              <w:left w:val="nil"/>
              <w:bottom w:val="nil"/>
              <w:right w:val="nil"/>
            </w:tcBorders>
            <w:shd w:val="clear" w:color="000000" w:fill="FFFFFF"/>
            <w:noWrap/>
            <w:vAlign w:val="center"/>
            <w:hideMark/>
          </w:tcPr>
          <w:p w14:paraId="18AD4B9C" w14:textId="77777777" w:rsidR="00A372F6" w:rsidRPr="00A43491" w:rsidRDefault="00A372F6" w:rsidP="00374C56">
            <w:pPr>
              <w:rPr>
                <w:rFonts w:ascii="Arial" w:hAnsi="Arial" w:cs="Arial"/>
                <w:sz w:val="18"/>
                <w:szCs w:val="18"/>
              </w:rPr>
            </w:pPr>
            <w:r w:rsidRPr="00906191">
              <w:rPr>
                <w:rFonts w:ascii="Arial" w:hAnsi="Arial" w:cs="Arial"/>
                <w:sz w:val="18"/>
                <w:szCs w:val="20"/>
              </w:rPr>
              <w:t>Número de egresados</w:t>
            </w:r>
          </w:p>
        </w:tc>
        <w:tc>
          <w:tcPr>
            <w:tcW w:w="2160" w:type="dxa"/>
            <w:tcBorders>
              <w:top w:val="nil"/>
              <w:left w:val="nil"/>
              <w:bottom w:val="nil"/>
              <w:right w:val="nil"/>
            </w:tcBorders>
            <w:shd w:val="clear" w:color="000000" w:fill="FFFFFF"/>
            <w:vAlign w:val="center"/>
            <w:hideMark/>
          </w:tcPr>
          <w:p w14:paraId="4B3A4EB0" w14:textId="77777777" w:rsidR="00A372F6" w:rsidRPr="00A43491" w:rsidRDefault="00A372F6" w:rsidP="00374C56">
            <w:pPr>
              <w:jc w:val="right"/>
              <w:rPr>
                <w:rFonts w:ascii="Arial" w:hAnsi="Arial" w:cs="Arial"/>
                <w:sz w:val="18"/>
                <w:szCs w:val="18"/>
              </w:rPr>
            </w:pPr>
            <w:r w:rsidRPr="00906191">
              <w:rPr>
                <w:rFonts w:ascii="Arial" w:hAnsi="Arial" w:cs="Arial"/>
                <w:sz w:val="18"/>
                <w:szCs w:val="20"/>
              </w:rPr>
              <w:t>Un</w:t>
            </w:r>
            <w:r w:rsidR="00274642">
              <w:rPr>
                <w:rFonts w:ascii="Arial" w:hAnsi="Arial" w:cs="Arial"/>
                <w:sz w:val="18"/>
                <w:szCs w:val="20"/>
              </w:rPr>
              <w:t>iversidades:  150,469</w:t>
            </w:r>
            <w:r w:rsidR="00274642">
              <w:rPr>
                <w:rFonts w:ascii="Arial" w:hAnsi="Arial" w:cs="Arial"/>
                <w:sz w:val="18"/>
                <w:szCs w:val="20"/>
              </w:rPr>
              <w:br/>
              <w:t>IEST</w:t>
            </w:r>
            <w:r w:rsidRPr="00906191">
              <w:rPr>
                <w:rFonts w:ascii="Arial" w:hAnsi="Arial" w:cs="Arial"/>
                <w:sz w:val="18"/>
                <w:szCs w:val="20"/>
              </w:rPr>
              <w:t xml:space="preserve">: 11,639 </w:t>
            </w:r>
          </w:p>
        </w:tc>
        <w:tc>
          <w:tcPr>
            <w:tcW w:w="4140" w:type="dxa"/>
            <w:tcBorders>
              <w:top w:val="nil"/>
              <w:left w:val="nil"/>
              <w:bottom w:val="nil"/>
              <w:right w:val="nil"/>
            </w:tcBorders>
            <w:shd w:val="clear" w:color="000000" w:fill="FFFFFF"/>
            <w:vAlign w:val="center"/>
            <w:hideMark/>
          </w:tcPr>
          <w:p w14:paraId="16E9A22D" w14:textId="77777777" w:rsidR="00A372F6" w:rsidRPr="008F45BA" w:rsidRDefault="00A372F6" w:rsidP="00374C56">
            <w:pPr>
              <w:jc w:val="right"/>
              <w:rPr>
                <w:rFonts w:ascii="Arial" w:hAnsi="Arial" w:cs="Arial"/>
                <w:sz w:val="18"/>
                <w:szCs w:val="18"/>
                <w:lang w:val="es-ES_tradnl"/>
              </w:rPr>
            </w:pPr>
            <w:r w:rsidRPr="008F45BA">
              <w:rPr>
                <w:rFonts w:ascii="Arial" w:hAnsi="Arial" w:cs="Arial"/>
                <w:sz w:val="18"/>
                <w:szCs w:val="18"/>
                <w:lang w:val="es-ES_tradnl"/>
              </w:rPr>
              <w:t xml:space="preserve">Superintendencia Nacional de Educación Superior (2016) </w:t>
            </w:r>
          </w:p>
        </w:tc>
      </w:tr>
      <w:tr w:rsidR="00A372F6" w:rsidRPr="00FB6C97" w14:paraId="20702A34" w14:textId="77777777" w:rsidTr="00374C56">
        <w:trPr>
          <w:trHeight w:val="480"/>
        </w:trPr>
        <w:tc>
          <w:tcPr>
            <w:tcW w:w="3600" w:type="dxa"/>
            <w:tcBorders>
              <w:top w:val="nil"/>
              <w:left w:val="nil"/>
              <w:bottom w:val="nil"/>
              <w:right w:val="nil"/>
            </w:tcBorders>
            <w:shd w:val="clear" w:color="000000" w:fill="FFFFFF"/>
            <w:noWrap/>
            <w:vAlign w:val="center"/>
            <w:hideMark/>
          </w:tcPr>
          <w:p w14:paraId="2B5D5737" w14:textId="77777777" w:rsidR="00A372F6" w:rsidRPr="008F45BA" w:rsidRDefault="00A372F6" w:rsidP="00374C56">
            <w:pPr>
              <w:rPr>
                <w:rFonts w:ascii="Arial" w:hAnsi="Arial" w:cs="Arial"/>
                <w:sz w:val="18"/>
                <w:szCs w:val="18"/>
                <w:lang w:val="es-ES_tradnl"/>
              </w:rPr>
            </w:pPr>
            <w:r w:rsidRPr="00906191">
              <w:rPr>
                <w:rFonts w:ascii="Arial" w:hAnsi="Arial" w:cs="Arial"/>
                <w:sz w:val="18"/>
                <w:szCs w:val="20"/>
                <w:lang w:val="es-ES_tradnl"/>
              </w:rPr>
              <w:t>Tasa de crecimiento del número de egresados</w:t>
            </w:r>
          </w:p>
        </w:tc>
        <w:tc>
          <w:tcPr>
            <w:tcW w:w="2160" w:type="dxa"/>
            <w:tcBorders>
              <w:top w:val="nil"/>
              <w:left w:val="nil"/>
              <w:bottom w:val="nil"/>
              <w:right w:val="nil"/>
            </w:tcBorders>
            <w:shd w:val="clear" w:color="000000" w:fill="FFFFFF"/>
            <w:noWrap/>
            <w:vAlign w:val="center"/>
            <w:hideMark/>
          </w:tcPr>
          <w:p w14:paraId="36E7A136" w14:textId="77777777" w:rsidR="00A372F6" w:rsidRPr="00906191" w:rsidRDefault="00A372F6" w:rsidP="00374C56">
            <w:pPr>
              <w:jc w:val="right"/>
              <w:rPr>
                <w:rFonts w:ascii="Arial" w:hAnsi="Arial" w:cs="Arial"/>
                <w:sz w:val="18"/>
                <w:szCs w:val="20"/>
              </w:rPr>
            </w:pPr>
            <w:r w:rsidRPr="00906191">
              <w:rPr>
                <w:rFonts w:ascii="Arial" w:hAnsi="Arial" w:cs="Arial"/>
                <w:sz w:val="18"/>
                <w:szCs w:val="20"/>
              </w:rPr>
              <w:t>Universidades: 5%</w:t>
            </w:r>
          </w:p>
          <w:p w14:paraId="6F20725A" w14:textId="77777777" w:rsidR="00A372F6" w:rsidRPr="00E62139" w:rsidRDefault="00274642" w:rsidP="00374C56">
            <w:pPr>
              <w:jc w:val="right"/>
              <w:rPr>
                <w:rFonts w:ascii="Arial" w:hAnsi="Arial" w:cs="Arial"/>
                <w:sz w:val="18"/>
                <w:szCs w:val="18"/>
                <w:lang w:val="es-ES_tradnl"/>
              </w:rPr>
            </w:pPr>
            <w:r>
              <w:rPr>
                <w:rFonts w:ascii="Arial" w:hAnsi="Arial" w:cs="Arial"/>
                <w:sz w:val="18"/>
                <w:szCs w:val="20"/>
              </w:rPr>
              <w:t>IEST</w:t>
            </w:r>
            <w:r w:rsidR="00A372F6" w:rsidRPr="00906191">
              <w:rPr>
                <w:rFonts w:ascii="Arial" w:hAnsi="Arial" w:cs="Arial"/>
                <w:sz w:val="18"/>
                <w:szCs w:val="20"/>
              </w:rPr>
              <w:t>: 7%</w:t>
            </w:r>
          </w:p>
        </w:tc>
        <w:tc>
          <w:tcPr>
            <w:tcW w:w="4140" w:type="dxa"/>
            <w:tcBorders>
              <w:top w:val="nil"/>
              <w:left w:val="nil"/>
              <w:bottom w:val="nil"/>
              <w:right w:val="nil"/>
            </w:tcBorders>
            <w:shd w:val="clear" w:color="000000" w:fill="FFFFFF"/>
            <w:vAlign w:val="center"/>
            <w:hideMark/>
          </w:tcPr>
          <w:p w14:paraId="4ACFC973" w14:textId="77777777" w:rsidR="00A372F6" w:rsidRPr="008F45BA" w:rsidRDefault="00A372F6" w:rsidP="00374C56">
            <w:pPr>
              <w:jc w:val="right"/>
              <w:rPr>
                <w:rFonts w:ascii="Arial" w:hAnsi="Arial" w:cs="Arial"/>
                <w:sz w:val="18"/>
                <w:szCs w:val="18"/>
                <w:lang w:val="es-ES_tradnl"/>
              </w:rPr>
            </w:pPr>
            <w:r w:rsidRPr="008F45BA">
              <w:rPr>
                <w:rFonts w:ascii="Arial" w:hAnsi="Arial" w:cs="Arial"/>
                <w:sz w:val="18"/>
                <w:szCs w:val="18"/>
                <w:lang w:val="es-ES_tradnl"/>
              </w:rPr>
              <w:t>Superintendencia Nacional de Educación Superior (2016), se tomó el promedio de los últimos 15 años.</w:t>
            </w:r>
          </w:p>
        </w:tc>
      </w:tr>
      <w:tr w:rsidR="00A372F6" w:rsidRPr="00FB6C97" w14:paraId="412AFDD1" w14:textId="77777777" w:rsidTr="00E7005A">
        <w:trPr>
          <w:trHeight w:val="214"/>
        </w:trPr>
        <w:tc>
          <w:tcPr>
            <w:tcW w:w="3600" w:type="dxa"/>
            <w:tcBorders>
              <w:top w:val="nil"/>
              <w:left w:val="nil"/>
              <w:bottom w:val="nil"/>
              <w:right w:val="nil"/>
            </w:tcBorders>
            <w:shd w:val="clear" w:color="000000" w:fill="FFFFFF"/>
            <w:vAlign w:val="center"/>
            <w:hideMark/>
          </w:tcPr>
          <w:p w14:paraId="0A0FD62D" w14:textId="77777777" w:rsidR="00A372F6" w:rsidRPr="008F45BA" w:rsidRDefault="00A372F6" w:rsidP="00374C56">
            <w:pPr>
              <w:rPr>
                <w:rFonts w:ascii="Arial" w:hAnsi="Arial" w:cs="Arial"/>
                <w:sz w:val="18"/>
                <w:szCs w:val="18"/>
                <w:lang w:val="es-ES_tradnl"/>
              </w:rPr>
            </w:pPr>
            <w:r w:rsidRPr="00906191">
              <w:rPr>
                <w:rFonts w:ascii="Arial" w:hAnsi="Arial" w:cs="Arial"/>
                <w:sz w:val="18"/>
                <w:szCs w:val="20"/>
                <w:lang w:val="es-ES_tradnl"/>
              </w:rPr>
              <w:t>Ingreso promedio mensual del egresado</w:t>
            </w:r>
          </w:p>
        </w:tc>
        <w:tc>
          <w:tcPr>
            <w:tcW w:w="2160" w:type="dxa"/>
            <w:tcBorders>
              <w:top w:val="nil"/>
              <w:left w:val="nil"/>
              <w:bottom w:val="nil"/>
              <w:right w:val="nil"/>
            </w:tcBorders>
            <w:shd w:val="clear" w:color="000000" w:fill="FFFFFF"/>
            <w:noWrap/>
            <w:vAlign w:val="center"/>
            <w:hideMark/>
          </w:tcPr>
          <w:p w14:paraId="1C982230" w14:textId="77777777" w:rsidR="00A372F6" w:rsidRPr="00906191" w:rsidRDefault="00A372F6" w:rsidP="00374C56">
            <w:pPr>
              <w:jc w:val="right"/>
              <w:rPr>
                <w:rFonts w:ascii="Arial" w:hAnsi="Arial" w:cs="Arial"/>
                <w:sz w:val="18"/>
                <w:szCs w:val="20"/>
              </w:rPr>
            </w:pPr>
            <w:r w:rsidRPr="00906191">
              <w:rPr>
                <w:rFonts w:ascii="Arial" w:hAnsi="Arial" w:cs="Arial"/>
                <w:sz w:val="18"/>
                <w:szCs w:val="20"/>
              </w:rPr>
              <w:t>Universidades: US$ 864</w:t>
            </w:r>
          </w:p>
          <w:p w14:paraId="13645ADD" w14:textId="77777777" w:rsidR="00A372F6" w:rsidRPr="00A43491" w:rsidRDefault="00274642" w:rsidP="00374C56">
            <w:pPr>
              <w:jc w:val="right"/>
              <w:rPr>
                <w:rFonts w:ascii="Arial" w:hAnsi="Arial" w:cs="Arial"/>
                <w:sz w:val="18"/>
                <w:szCs w:val="18"/>
              </w:rPr>
            </w:pPr>
            <w:r>
              <w:rPr>
                <w:rFonts w:ascii="Arial" w:hAnsi="Arial" w:cs="Arial"/>
                <w:sz w:val="18"/>
                <w:szCs w:val="20"/>
              </w:rPr>
              <w:t xml:space="preserve"> IEST</w:t>
            </w:r>
            <w:r w:rsidR="00A372F6" w:rsidRPr="00906191">
              <w:rPr>
                <w:rFonts w:ascii="Arial" w:hAnsi="Arial" w:cs="Arial"/>
                <w:sz w:val="18"/>
                <w:szCs w:val="20"/>
              </w:rPr>
              <w:t>: US$ 586</w:t>
            </w:r>
          </w:p>
        </w:tc>
        <w:tc>
          <w:tcPr>
            <w:tcW w:w="4140" w:type="dxa"/>
            <w:tcBorders>
              <w:top w:val="nil"/>
              <w:left w:val="nil"/>
              <w:bottom w:val="nil"/>
              <w:right w:val="nil"/>
            </w:tcBorders>
            <w:shd w:val="clear" w:color="000000" w:fill="FFFFFF"/>
            <w:vAlign w:val="center"/>
            <w:hideMark/>
          </w:tcPr>
          <w:p w14:paraId="0BFE9872" w14:textId="196ADEDE" w:rsidR="00A372F6" w:rsidRPr="008F45BA" w:rsidRDefault="00A372F6" w:rsidP="00374C56">
            <w:pPr>
              <w:jc w:val="right"/>
              <w:rPr>
                <w:rFonts w:ascii="Arial" w:hAnsi="Arial" w:cs="Arial"/>
                <w:sz w:val="18"/>
                <w:szCs w:val="18"/>
                <w:lang w:val="es-ES_tradnl"/>
              </w:rPr>
            </w:pPr>
            <w:r w:rsidRPr="008F45BA">
              <w:rPr>
                <w:rFonts w:ascii="Arial" w:hAnsi="Arial" w:cs="Arial"/>
                <w:sz w:val="18"/>
                <w:szCs w:val="18"/>
                <w:lang w:val="es-ES_tradnl"/>
              </w:rPr>
              <w:t xml:space="preserve">Portal Ponte En Carrera (2016), utilizando tipo de cambio establecido por el </w:t>
            </w:r>
            <w:r w:rsidR="003A6CB3">
              <w:rPr>
                <w:rFonts w:ascii="Arial" w:hAnsi="Arial" w:cs="Arial"/>
                <w:sz w:val="18"/>
                <w:szCs w:val="18"/>
                <w:lang w:val="es-ES_tradnl"/>
              </w:rPr>
              <w:t>BCRP</w:t>
            </w:r>
          </w:p>
        </w:tc>
      </w:tr>
      <w:tr w:rsidR="00A372F6" w:rsidRPr="00FB6C97" w14:paraId="2D6A80EC" w14:textId="77777777" w:rsidTr="00374C56">
        <w:trPr>
          <w:trHeight w:val="480"/>
        </w:trPr>
        <w:tc>
          <w:tcPr>
            <w:tcW w:w="3600" w:type="dxa"/>
            <w:tcBorders>
              <w:top w:val="nil"/>
              <w:left w:val="nil"/>
              <w:bottom w:val="nil"/>
              <w:right w:val="nil"/>
            </w:tcBorders>
            <w:shd w:val="clear" w:color="000000" w:fill="FFFFFF"/>
            <w:noWrap/>
            <w:vAlign w:val="center"/>
            <w:hideMark/>
          </w:tcPr>
          <w:p w14:paraId="295821CE" w14:textId="77777777" w:rsidR="00A372F6" w:rsidRPr="008F45BA" w:rsidRDefault="00A372F6" w:rsidP="00374C56">
            <w:pPr>
              <w:rPr>
                <w:rFonts w:ascii="Arial" w:hAnsi="Arial" w:cs="Arial"/>
                <w:sz w:val="18"/>
                <w:szCs w:val="18"/>
                <w:lang w:val="es-ES_tradnl"/>
              </w:rPr>
            </w:pPr>
            <w:r w:rsidRPr="00906191">
              <w:rPr>
                <w:rFonts w:ascii="Arial" w:hAnsi="Arial" w:cs="Arial"/>
                <w:sz w:val="18"/>
                <w:szCs w:val="20"/>
                <w:lang w:val="es-ES_tradnl"/>
              </w:rPr>
              <w:t>Tasa de crecimiento del ingreso</w:t>
            </w:r>
          </w:p>
        </w:tc>
        <w:tc>
          <w:tcPr>
            <w:tcW w:w="2160" w:type="dxa"/>
            <w:tcBorders>
              <w:top w:val="nil"/>
              <w:left w:val="nil"/>
              <w:bottom w:val="nil"/>
              <w:right w:val="nil"/>
            </w:tcBorders>
            <w:shd w:val="clear" w:color="000000" w:fill="FFFFFF"/>
            <w:noWrap/>
            <w:vAlign w:val="center"/>
            <w:hideMark/>
          </w:tcPr>
          <w:p w14:paraId="35159E60" w14:textId="77777777" w:rsidR="00A372F6" w:rsidRPr="00906191" w:rsidRDefault="00A372F6" w:rsidP="00374C56">
            <w:pPr>
              <w:jc w:val="right"/>
              <w:rPr>
                <w:rFonts w:ascii="Arial" w:hAnsi="Arial" w:cs="Arial"/>
                <w:sz w:val="18"/>
                <w:szCs w:val="20"/>
              </w:rPr>
            </w:pPr>
            <w:r w:rsidRPr="00906191">
              <w:rPr>
                <w:rFonts w:ascii="Arial" w:hAnsi="Arial" w:cs="Arial"/>
                <w:sz w:val="18"/>
                <w:szCs w:val="20"/>
              </w:rPr>
              <w:t>Universidades: 3%</w:t>
            </w:r>
          </w:p>
          <w:p w14:paraId="196987BE" w14:textId="77777777" w:rsidR="00A372F6" w:rsidRPr="00E62139" w:rsidRDefault="00274642" w:rsidP="00374C56">
            <w:pPr>
              <w:jc w:val="right"/>
              <w:rPr>
                <w:rFonts w:ascii="Arial" w:hAnsi="Arial" w:cs="Arial"/>
                <w:sz w:val="18"/>
                <w:szCs w:val="18"/>
                <w:lang w:val="es-ES_tradnl"/>
              </w:rPr>
            </w:pPr>
            <w:r>
              <w:rPr>
                <w:rFonts w:ascii="Arial" w:hAnsi="Arial" w:cs="Arial"/>
                <w:sz w:val="18"/>
                <w:szCs w:val="20"/>
              </w:rPr>
              <w:t xml:space="preserve"> IEST</w:t>
            </w:r>
            <w:r w:rsidR="00A372F6" w:rsidRPr="00906191">
              <w:rPr>
                <w:rFonts w:ascii="Arial" w:hAnsi="Arial" w:cs="Arial"/>
                <w:sz w:val="18"/>
                <w:szCs w:val="20"/>
              </w:rPr>
              <w:t>: 3%</w:t>
            </w:r>
          </w:p>
        </w:tc>
        <w:tc>
          <w:tcPr>
            <w:tcW w:w="4140" w:type="dxa"/>
            <w:tcBorders>
              <w:top w:val="nil"/>
              <w:left w:val="nil"/>
              <w:bottom w:val="nil"/>
              <w:right w:val="nil"/>
            </w:tcBorders>
            <w:shd w:val="clear" w:color="000000" w:fill="FFFFFF"/>
            <w:vAlign w:val="center"/>
            <w:hideMark/>
          </w:tcPr>
          <w:p w14:paraId="008946B7" w14:textId="77777777" w:rsidR="00A372F6" w:rsidRPr="008F45BA" w:rsidRDefault="00A372F6" w:rsidP="00374C56">
            <w:pPr>
              <w:jc w:val="right"/>
              <w:rPr>
                <w:rFonts w:ascii="Arial" w:hAnsi="Arial" w:cs="Arial"/>
                <w:sz w:val="18"/>
                <w:szCs w:val="18"/>
                <w:lang w:val="es-ES_tradnl"/>
              </w:rPr>
            </w:pPr>
            <w:r w:rsidRPr="008F45BA">
              <w:rPr>
                <w:rFonts w:ascii="Arial" w:hAnsi="Arial" w:cs="Arial"/>
                <w:sz w:val="18"/>
                <w:szCs w:val="18"/>
                <w:lang w:val="es-ES_tradnl"/>
              </w:rPr>
              <w:t>INEI (2016), considerando tasa de crecimiento promedio dei ingresos en los últimos 10 años</w:t>
            </w:r>
          </w:p>
        </w:tc>
      </w:tr>
      <w:tr w:rsidR="00A372F6" w:rsidRPr="00FB6C97" w14:paraId="16AB1F2C" w14:textId="77777777" w:rsidTr="00374C56">
        <w:trPr>
          <w:trHeight w:val="300"/>
        </w:trPr>
        <w:tc>
          <w:tcPr>
            <w:tcW w:w="3600" w:type="dxa"/>
            <w:tcBorders>
              <w:top w:val="nil"/>
              <w:left w:val="nil"/>
              <w:bottom w:val="single" w:sz="8" w:space="0" w:color="auto"/>
              <w:right w:val="nil"/>
            </w:tcBorders>
            <w:shd w:val="clear" w:color="000000" w:fill="FFFFFF"/>
            <w:noWrap/>
            <w:vAlign w:val="center"/>
            <w:hideMark/>
          </w:tcPr>
          <w:p w14:paraId="69E0982D" w14:textId="77777777" w:rsidR="00A372F6" w:rsidRPr="008F45BA" w:rsidRDefault="00A372F6" w:rsidP="00374C56">
            <w:pPr>
              <w:rPr>
                <w:rFonts w:ascii="Arial" w:hAnsi="Arial" w:cs="Arial"/>
                <w:sz w:val="18"/>
                <w:szCs w:val="18"/>
                <w:lang w:val="es-ES_tradnl"/>
              </w:rPr>
            </w:pPr>
            <w:r w:rsidRPr="00906191">
              <w:rPr>
                <w:rFonts w:ascii="Arial" w:hAnsi="Arial" w:cs="Arial"/>
                <w:sz w:val="18"/>
                <w:szCs w:val="20"/>
                <w:lang w:val="es-ES_tradnl"/>
              </w:rPr>
              <w:t>Impacto de la infraestructura sobre ingresos</w:t>
            </w:r>
          </w:p>
        </w:tc>
        <w:tc>
          <w:tcPr>
            <w:tcW w:w="2160" w:type="dxa"/>
            <w:tcBorders>
              <w:top w:val="nil"/>
              <w:left w:val="nil"/>
              <w:bottom w:val="single" w:sz="8" w:space="0" w:color="auto"/>
              <w:right w:val="nil"/>
            </w:tcBorders>
            <w:shd w:val="clear" w:color="000000" w:fill="FFFFFF"/>
            <w:noWrap/>
            <w:vAlign w:val="center"/>
            <w:hideMark/>
          </w:tcPr>
          <w:p w14:paraId="683AF5C3" w14:textId="77777777" w:rsidR="00A372F6" w:rsidRPr="00906191" w:rsidRDefault="00A372F6" w:rsidP="00374C56">
            <w:pPr>
              <w:jc w:val="right"/>
              <w:rPr>
                <w:rFonts w:ascii="Arial" w:hAnsi="Arial" w:cs="Arial"/>
                <w:sz w:val="18"/>
                <w:szCs w:val="20"/>
              </w:rPr>
            </w:pPr>
            <w:r w:rsidRPr="00906191">
              <w:rPr>
                <w:rFonts w:ascii="Arial" w:hAnsi="Arial" w:cs="Arial"/>
                <w:sz w:val="18"/>
                <w:szCs w:val="20"/>
              </w:rPr>
              <w:t>Universidades: 15%</w:t>
            </w:r>
          </w:p>
          <w:p w14:paraId="38F3224A" w14:textId="77777777" w:rsidR="00A372F6" w:rsidRPr="00A43491" w:rsidRDefault="00274642" w:rsidP="00374C56">
            <w:pPr>
              <w:jc w:val="right"/>
              <w:rPr>
                <w:rFonts w:ascii="Arial" w:hAnsi="Arial" w:cs="Arial"/>
                <w:sz w:val="18"/>
                <w:szCs w:val="18"/>
              </w:rPr>
            </w:pPr>
            <w:r>
              <w:rPr>
                <w:rFonts w:ascii="Arial" w:hAnsi="Arial" w:cs="Arial"/>
                <w:sz w:val="18"/>
                <w:szCs w:val="20"/>
              </w:rPr>
              <w:t xml:space="preserve"> IEST</w:t>
            </w:r>
            <w:r w:rsidR="00A372F6" w:rsidRPr="00906191">
              <w:rPr>
                <w:rFonts w:ascii="Arial" w:hAnsi="Arial" w:cs="Arial"/>
                <w:sz w:val="18"/>
                <w:szCs w:val="20"/>
              </w:rPr>
              <w:t>: 15%</w:t>
            </w:r>
          </w:p>
        </w:tc>
        <w:tc>
          <w:tcPr>
            <w:tcW w:w="4140" w:type="dxa"/>
            <w:tcBorders>
              <w:top w:val="nil"/>
              <w:left w:val="nil"/>
              <w:bottom w:val="single" w:sz="8" w:space="0" w:color="auto"/>
              <w:right w:val="nil"/>
            </w:tcBorders>
            <w:shd w:val="clear" w:color="000000" w:fill="FFFFFF"/>
            <w:noWrap/>
            <w:vAlign w:val="center"/>
            <w:hideMark/>
          </w:tcPr>
          <w:p w14:paraId="627752AA" w14:textId="77777777" w:rsidR="00A372F6" w:rsidRPr="008F45BA" w:rsidRDefault="00A372F6" w:rsidP="00374C56">
            <w:pPr>
              <w:jc w:val="right"/>
              <w:rPr>
                <w:rFonts w:ascii="Arial" w:hAnsi="Arial" w:cs="Arial"/>
                <w:sz w:val="18"/>
                <w:szCs w:val="18"/>
                <w:lang w:val="es-ES_tradnl"/>
              </w:rPr>
            </w:pPr>
            <w:r w:rsidRPr="008F45BA">
              <w:rPr>
                <w:rFonts w:ascii="Arial" w:hAnsi="Arial" w:cs="Arial"/>
                <w:sz w:val="18"/>
                <w:szCs w:val="18"/>
                <w:lang w:val="es-ES_tradnl"/>
              </w:rPr>
              <w:t>Calderón y Servén, 2004; Calderón y Chong, 2004, Esfahan y Ramírez, 2003; De La Fuente y Vives, 1995</w:t>
            </w:r>
          </w:p>
        </w:tc>
      </w:tr>
    </w:tbl>
    <w:p w14:paraId="3DD7A58A" w14:textId="18D0D06D" w:rsidR="00A372F6" w:rsidRDefault="00A372F6" w:rsidP="00A372F6">
      <w:pPr>
        <w:jc w:val="center"/>
        <w:rPr>
          <w:rFonts w:ascii="Arial" w:hAnsi="Arial" w:cs="Arial"/>
          <w:b/>
          <w:lang w:val="es-ES_tradnl"/>
        </w:rPr>
      </w:pPr>
    </w:p>
    <w:p w14:paraId="1DD8AB49" w14:textId="77777777" w:rsidR="003A6CB3" w:rsidRPr="008F45BA" w:rsidRDefault="003A6CB3" w:rsidP="00A372F6">
      <w:pPr>
        <w:jc w:val="center"/>
        <w:rPr>
          <w:rFonts w:ascii="Arial" w:hAnsi="Arial" w:cs="Arial"/>
          <w:b/>
          <w:lang w:val="es-ES_tradnl"/>
        </w:rPr>
      </w:pPr>
    </w:p>
    <w:p w14:paraId="4D01EBD9" w14:textId="77777777" w:rsidR="00A372F6" w:rsidRPr="008F45BA" w:rsidRDefault="00A372F6" w:rsidP="00A372F6">
      <w:pPr>
        <w:jc w:val="center"/>
        <w:rPr>
          <w:rFonts w:ascii="Arial" w:hAnsi="Arial" w:cs="Arial"/>
          <w:b/>
          <w:sz w:val="22"/>
          <w:lang w:val="es-ES_tradnl"/>
        </w:rPr>
      </w:pPr>
      <w:r w:rsidRPr="008F45BA">
        <w:rPr>
          <w:rFonts w:ascii="Arial" w:hAnsi="Arial" w:cs="Arial"/>
          <w:b/>
          <w:sz w:val="22"/>
          <w:lang w:val="es-ES_tradnl"/>
        </w:rPr>
        <w:t xml:space="preserve">Cuadro A4: Flujo Anual de Beneficios y Costos en VPN para </w:t>
      </w:r>
      <w:r w:rsidR="00052E61">
        <w:rPr>
          <w:rFonts w:ascii="Arial" w:hAnsi="Arial" w:cs="Arial"/>
          <w:b/>
          <w:sz w:val="22"/>
          <w:lang w:val="es-ES_tradnl"/>
        </w:rPr>
        <w:t xml:space="preserve">el componente de </w:t>
      </w:r>
      <w:r w:rsidR="00052E61" w:rsidRPr="00052E61">
        <w:rPr>
          <w:rFonts w:ascii="Arial" w:hAnsi="Arial" w:cs="Arial"/>
          <w:b/>
          <w:sz w:val="22"/>
          <w:lang w:val="es-ES_tradnl"/>
        </w:rPr>
        <w:t xml:space="preserve">Fortalecimiento de la gestión institucional de las </w:t>
      </w:r>
      <w:r w:rsidR="00274642">
        <w:rPr>
          <w:rFonts w:ascii="Arial" w:hAnsi="Arial" w:cs="Arial"/>
          <w:b/>
          <w:sz w:val="22"/>
          <w:lang w:val="es-ES_tradnl"/>
        </w:rPr>
        <w:t>IES</w:t>
      </w:r>
      <w:r w:rsidR="00052E61" w:rsidRPr="00052E61">
        <w:rPr>
          <w:rFonts w:ascii="Arial" w:hAnsi="Arial" w:cs="Arial"/>
          <w:b/>
          <w:sz w:val="22"/>
          <w:lang w:val="es-ES_tradnl"/>
        </w:rPr>
        <w:t xml:space="preserve"> públicas</w:t>
      </w:r>
    </w:p>
    <w:p w14:paraId="5DC1B25B" w14:textId="77777777" w:rsidR="00A372F6" w:rsidRPr="008F45BA" w:rsidRDefault="00A372F6" w:rsidP="00A372F6">
      <w:pPr>
        <w:jc w:val="center"/>
        <w:rPr>
          <w:rFonts w:ascii="Arial" w:hAnsi="Arial" w:cs="Arial"/>
          <w:b/>
          <w:sz w:val="22"/>
          <w:lang w:val="es-ES_tradnl"/>
        </w:rPr>
      </w:pPr>
    </w:p>
    <w:tbl>
      <w:tblPr>
        <w:tblW w:w="11838" w:type="dxa"/>
        <w:jc w:val="center"/>
        <w:tblLayout w:type="fixed"/>
        <w:tblLook w:val="04A0" w:firstRow="1" w:lastRow="0" w:firstColumn="1" w:lastColumn="0" w:noHBand="0" w:noVBand="1"/>
      </w:tblPr>
      <w:tblGrid>
        <w:gridCol w:w="1064"/>
        <w:gridCol w:w="568"/>
        <w:gridCol w:w="567"/>
        <w:gridCol w:w="567"/>
        <w:gridCol w:w="567"/>
        <w:gridCol w:w="567"/>
        <w:gridCol w:w="708"/>
        <w:gridCol w:w="709"/>
        <w:gridCol w:w="709"/>
        <w:gridCol w:w="709"/>
        <w:gridCol w:w="715"/>
        <w:gridCol w:w="709"/>
        <w:gridCol w:w="709"/>
        <w:gridCol w:w="708"/>
        <w:gridCol w:w="706"/>
        <w:gridCol w:w="709"/>
        <w:gridCol w:w="847"/>
      </w:tblGrid>
      <w:tr w:rsidR="008668B8" w:rsidRPr="00052E61" w14:paraId="61771324" w14:textId="77777777" w:rsidTr="00A20458">
        <w:trPr>
          <w:trHeight w:val="585"/>
          <w:jc w:val="center"/>
        </w:trPr>
        <w:tc>
          <w:tcPr>
            <w:tcW w:w="1064" w:type="dxa"/>
            <w:tcBorders>
              <w:top w:val="nil"/>
              <w:left w:val="nil"/>
              <w:bottom w:val="single" w:sz="4" w:space="0" w:color="auto"/>
              <w:right w:val="nil"/>
            </w:tcBorders>
            <w:shd w:val="clear" w:color="000000" w:fill="DDEBF7"/>
            <w:noWrap/>
            <w:vAlign w:val="bottom"/>
            <w:hideMark/>
          </w:tcPr>
          <w:p w14:paraId="6AE434AF" w14:textId="77777777" w:rsidR="008668B8" w:rsidRPr="008F45BA" w:rsidRDefault="008668B8" w:rsidP="00A20458">
            <w:pPr>
              <w:rPr>
                <w:rFonts w:ascii="Arial" w:hAnsi="Arial" w:cs="Arial"/>
                <w:b/>
                <w:bCs/>
                <w:sz w:val="14"/>
                <w:szCs w:val="14"/>
                <w:lang w:val="es-ES_tradnl"/>
              </w:rPr>
            </w:pPr>
            <w:r w:rsidRPr="008F45BA">
              <w:rPr>
                <w:rFonts w:ascii="Arial" w:hAnsi="Arial" w:cs="Arial"/>
                <w:b/>
                <w:bCs/>
                <w:sz w:val="14"/>
                <w:szCs w:val="14"/>
                <w:lang w:val="es-ES_tradnl"/>
              </w:rPr>
              <w:t> </w:t>
            </w:r>
          </w:p>
        </w:tc>
        <w:tc>
          <w:tcPr>
            <w:tcW w:w="10774" w:type="dxa"/>
            <w:gridSpan w:val="16"/>
            <w:tcBorders>
              <w:top w:val="nil"/>
              <w:left w:val="nil"/>
              <w:bottom w:val="single" w:sz="4" w:space="0" w:color="auto"/>
            </w:tcBorders>
            <w:shd w:val="clear" w:color="000000" w:fill="DDEBF7"/>
            <w:vAlign w:val="center"/>
          </w:tcPr>
          <w:p w14:paraId="4FC5FF6E" w14:textId="77777777" w:rsidR="00052E61" w:rsidRDefault="00052E61" w:rsidP="00A20458">
            <w:pPr>
              <w:jc w:val="center"/>
              <w:rPr>
                <w:rFonts w:ascii="Arial" w:hAnsi="Arial" w:cs="Arial"/>
                <w:b/>
                <w:bCs/>
                <w:sz w:val="14"/>
                <w:szCs w:val="14"/>
                <w:lang w:val="es-ES_tradnl"/>
              </w:rPr>
            </w:pPr>
            <w:r w:rsidRPr="00052E61">
              <w:rPr>
                <w:rFonts w:ascii="Arial" w:hAnsi="Arial" w:cs="Arial"/>
                <w:b/>
                <w:bCs/>
                <w:sz w:val="14"/>
                <w:szCs w:val="14"/>
                <w:lang w:val="es-ES_tradnl"/>
              </w:rPr>
              <w:t xml:space="preserve">Fortalecimiento de la gestión institucional de las </w:t>
            </w:r>
            <w:r w:rsidR="00274642">
              <w:rPr>
                <w:rFonts w:ascii="Arial" w:hAnsi="Arial" w:cs="Arial"/>
                <w:b/>
                <w:bCs/>
                <w:sz w:val="14"/>
                <w:szCs w:val="14"/>
                <w:lang w:val="es-ES_tradnl"/>
              </w:rPr>
              <w:t>IES</w:t>
            </w:r>
            <w:r w:rsidRPr="00052E61">
              <w:rPr>
                <w:rFonts w:ascii="Arial" w:hAnsi="Arial" w:cs="Arial"/>
                <w:b/>
                <w:bCs/>
                <w:sz w:val="14"/>
                <w:szCs w:val="14"/>
                <w:lang w:val="es-ES_tradnl"/>
              </w:rPr>
              <w:t xml:space="preserve"> públicas</w:t>
            </w:r>
          </w:p>
          <w:p w14:paraId="79E5017D" w14:textId="77777777" w:rsidR="008668B8" w:rsidRPr="00052E61" w:rsidRDefault="008668B8" w:rsidP="00A20458">
            <w:pPr>
              <w:jc w:val="center"/>
              <w:rPr>
                <w:rFonts w:ascii="Arial" w:hAnsi="Arial" w:cs="Arial"/>
                <w:b/>
                <w:bCs/>
                <w:sz w:val="14"/>
                <w:szCs w:val="14"/>
                <w:lang w:val="es-ES_tradnl"/>
              </w:rPr>
            </w:pPr>
            <w:r w:rsidRPr="00052E61">
              <w:rPr>
                <w:rFonts w:ascii="Arial" w:hAnsi="Arial" w:cs="Arial"/>
                <w:b/>
                <w:bCs/>
                <w:sz w:val="14"/>
                <w:szCs w:val="14"/>
                <w:lang w:val="es-ES_tradnl"/>
              </w:rPr>
              <w:t>Millones de dólares</w:t>
            </w:r>
          </w:p>
        </w:tc>
      </w:tr>
      <w:tr w:rsidR="008668B8" w:rsidRPr="00A43491" w14:paraId="02AC764C" w14:textId="77777777" w:rsidTr="00A20458">
        <w:trPr>
          <w:trHeight w:val="300"/>
          <w:jc w:val="center"/>
        </w:trPr>
        <w:tc>
          <w:tcPr>
            <w:tcW w:w="1064" w:type="dxa"/>
            <w:tcBorders>
              <w:top w:val="nil"/>
              <w:left w:val="nil"/>
              <w:bottom w:val="single" w:sz="4" w:space="0" w:color="auto"/>
              <w:right w:val="nil"/>
            </w:tcBorders>
            <w:shd w:val="clear" w:color="000000" w:fill="DDEBF7"/>
            <w:noWrap/>
            <w:vAlign w:val="bottom"/>
          </w:tcPr>
          <w:p w14:paraId="30263A4D" w14:textId="77777777" w:rsidR="008668B8" w:rsidRPr="00052E61" w:rsidRDefault="008668B8" w:rsidP="00A20458">
            <w:pPr>
              <w:rPr>
                <w:rFonts w:ascii="Arial" w:hAnsi="Arial" w:cs="Arial"/>
                <w:b/>
                <w:bCs/>
                <w:sz w:val="14"/>
                <w:szCs w:val="14"/>
                <w:lang w:val="es-ES_tradnl"/>
              </w:rPr>
            </w:pPr>
            <w:r w:rsidRPr="00052E61">
              <w:rPr>
                <w:rFonts w:ascii="Arial" w:hAnsi="Arial" w:cs="Arial"/>
                <w:b/>
                <w:bCs/>
                <w:sz w:val="14"/>
                <w:szCs w:val="14"/>
                <w:lang w:val="es-ES_tradnl"/>
              </w:rPr>
              <w:t> </w:t>
            </w:r>
          </w:p>
        </w:tc>
        <w:tc>
          <w:tcPr>
            <w:tcW w:w="568" w:type="dxa"/>
            <w:tcBorders>
              <w:top w:val="nil"/>
              <w:left w:val="nil"/>
              <w:bottom w:val="single" w:sz="4" w:space="0" w:color="auto"/>
              <w:right w:val="nil"/>
            </w:tcBorders>
            <w:shd w:val="clear" w:color="000000" w:fill="DDEBF7"/>
            <w:vAlign w:val="center"/>
          </w:tcPr>
          <w:p w14:paraId="459756DE"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w:t>
            </w:r>
          </w:p>
        </w:tc>
        <w:tc>
          <w:tcPr>
            <w:tcW w:w="567" w:type="dxa"/>
            <w:tcBorders>
              <w:top w:val="nil"/>
              <w:left w:val="nil"/>
              <w:bottom w:val="single" w:sz="4" w:space="0" w:color="auto"/>
              <w:right w:val="nil"/>
            </w:tcBorders>
            <w:shd w:val="clear" w:color="000000" w:fill="DDEBF7"/>
            <w:noWrap/>
            <w:vAlign w:val="center"/>
          </w:tcPr>
          <w:p w14:paraId="59EC53A5"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Año2</w:t>
            </w:r>
          </w:p>
        </w:tc>
        <w:tc>
          <w:tcPr>
            <w:tcW w:w="567" w:type="dxa"/>
            <w:tcBorders>
              <w:top w:val="nil"/>
              <w:left w:val="nil"/>
              <w:bottom w:val="single" w:sz="4" w:space="0" w:color="auto"/>
              <w:right w:val="nil"/>
            </w:tcBorders>
            <w:shd w:val="clear" w:color="000000" w:fill="DDEBF7"/>
            <w:noWrap/>
            <w:vAlign w:val="center"/>
          </w:tcPr>
          <w:p w14:paraId="5A51C857"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Año3</w:t>
            </w:r>
          </w:p>
        </w:tc>
        <w:tc>
          <w:tcPr>
            <w:tcW w:w="567" w:type="dxa"/>
            <w:tcBorders>
              <w:top w:val="nil"/>
              <w:left w:val="nil"/>
              <w:bottom w:val="single" w:sz="4" w:space="0" w:color="auto"/>
              <w:right w:val="nil"/>
            </w:tcBorders>
            <w:shd w:val="clear" w:color="000000" w:fill="DDEBF7"/>
            <w:noWrap/>
            <w:vAlign w:val="center"/>
          </w:tcPr>
          <w:p w14:paraId="0E7FA4EC"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Año4</w:t>
            </w:r>
          </w:p>
        </w:tc>
        <w:tc>
          <w:tcPr>
            <w:tcW w:w="567" w:type="dxa"/>
            <w:tcBorders>
              <w:top w:val="nil"/>
              <w:left w:val="nil"/>
              <w:bottom w:val="single" w:sz="4" w:space="0" w:color="auto"/>
              <w:right w:val="nil"/>
            </w:tcBorders>
            <w:shd w:val="clear" w:color="000000" w:fill="DDEBF7"/>
            <w:noWrap/>
            <w:vAlign w:val="center"/>
          </w:tcPr>
          <w:p w14:paraId="51E6BA1D"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Año5</w:t>
            </w:r>
          </w:p>
        </w:tc>
        <w:tc>
          <w:tcPr>
            <w:tcW w:w="708" w:type="dxa"/>
            <w:tcBorders>
              <w:top w:val="nil"/>
              <w:left w:val="nil"/>
              <w:bottom w:val="single" w:sz="4" w:space="0" w:color="auto"/>
              <w:right w:val="nil"/>
            </w:tcBorders>
            <w:shd w:val="clear" w:color="000000" w:fill="DDEBF7"/>
            <w:noWrap/>
            <w:vAlign w:val="center"/>
          </w:tcPr>
          <w:p w14:paraId="1B7ED636"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Año6</w:t>
            </w:r>
          </w:p>
        </w:tc>
        <w:tc>
          <w:tcPr>
            <w:tcW w:w="709" w:type="dxa"/>
            <w:tcBorders>
              <w:top w:val="nil"/>
              <w:left w:val="nil"/>
              <w:bottom w:val="single" w:sz="4" w:space="0" w:color="auto"/>
              <w:right w:val="nil"/>
            </w:tcBorders>
            <w:shd w:val="clear" w:color="000000" w:fill="DDEBF7"/>
            <w:noWrap/>
            <w:vAlign w:val="center"/>
          </w:tcPr>
          <w:p w14:paraId="6BEC89C4" w14:textId="77777777" w:rsidR="008668B8" w:rsidRPr="00A43491" w:rsidRDefault="008668B8" w:rsidP="00A20458">
            <w:pPr>
              <w:jc w:val="center"/>
              <w:rPr>
                <w:rFonts w:ascii="Arial" w:hAnsi="Arial" w:cs="Arial"/>
                <w:b/>
                <w:bCs/>
                <w:sz w:val="14"/>
                <w:szCs w:val="14"/>
              </w:rPr>
            </w:pPr>
            <w:r w:rsidRPr="00A43491">
              <w:rPr>
                <w:rFonts w:ascii="Arial" w:hAnsi="Arial" w:cs="Arial"/>
                <w:b/>
                <w:bCs/>
                <w:sz w:val="14"/>
                <w:szCs w:val="14"/>
              </w:rPr>
              <w:t>Año7</w:t>
            </w:r>
          </w:p>
        </w:tc>
        <w:tc>
          <w:tcPr>
            <w:tcW w:w="709" w:type="dxa"/>
            <w:tcBorders>
              <w:top w:val="nil"/>
              <w:left w:val="nil"/>
              <w:bottom w:val="single" w:sz="4" w:space="0" w:color="auto"/>
              <w:right w:val="nil"/>
            </w:tcBorders>
            <w:shd w:val="clear" w:color="000000" w:fill="DDEBF7"/>
            <w:noWrap/>
            <w:vAlign w:val="center"/>
          </w:tcPr>
          <w:p w14:paraId="6C6E0E39"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Año8</w:t>
            </w:r>
          </w:p>
        </w:tc>
        <w:tc>
          <w:tcPr>
            <w:tcW w:w="709" w:type="dxa"/>
            <w:tcBorders>
              <w:top w:val="nil"/>
              <w:left w:val="nil"/>
              <w:bottom w:val="single" w:sz="4" w:space="0" w:color="auto"/>
              <w:right w:val="nil"/>
            </w:tcBorders>
            <w:shd w:val="clear" w:color="000000" w:fill="DDEBF7"/>
            <w:noWrap/>
            <w:vAlign w:val="center"/>
          </w:tcPr>
          <w:p w14:paraId="5524A1CF"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Año9</w:t>
            </w:r>
          </w:p>
        </w:tc>
        <w:tc>
          <w:tcPr>
            <w:tcW w:w="715" w:type="dxa"/>
            <w:tcBorders>
              <w:top w:val="nil"/>
              <w:left w:val="nil"/>
              <w:bottom w:val="single" w:sz="4" w:space="0" w:color="auto"/>
              <w:right w:val="nil"/>
            </w:tcBorders>
            <w:shd w:val="clear" w:color="000000" w:fill="DDEBF7"/>
            <w:noWrap/>
            <w:vAlign w:val="center"/>
          </w:tcPr>
          <w:p w14:paraId="79605AD6"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Año10</w:t>
            </w:r>
          </w:p>
        </w:tc>
        <w:tc>
          <w:tcPr>
            <w:tcW w:w="709" w:type="dxa"/>
            <w:tcBorders>
              <w:top w:val="nil"/>
              <w:left w:val="nil"/>
              <w:bottom w:val="single" w:sz="4" w:space="0" w:color="auto"/>
              <w:right w:val="nil"/>
            </w:tcBorders>
            <w:shd w:val="clear" w:color="000000" w:fill="DDEBF7"/>
            <w:noWrap/>
            <w:vAlign w:val="center"/>
          </w:tcPr>
          <w:p w14:paraId="0089BF61"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Año11</w:t>
            </w:r>
          </w:p>
        </w:tc>
        <w:tc>
          <w:tcPr>
            <w:tcW w:w="709" w:type="dxa"/>
            <w:tcBorders>
              <w:top w:val="nil"/>
              <w:left w:val="nil"/>
              <w:bottom w:val="single" w:sz="4" w:space="0" w:color="auto"/>
              <w:right w:val="nil"/>
            </w:tcBorders>
            <w:shd w:val="clear" w:color="000000" w:fill="DDEBF7"/>
            <w:noWrap/>
            <w:vAlign w:val="center"/>
          </w:tcPr>
          <w:p w14:paraId="3F7F94A0"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Año12</w:t>
            </w:r>
          </w:p>
        </w:tc>
        <w:tc>
          <w:tcPr>
            <w:tcW w:w="708" w:type="dxa"/>
            <w:tcBorders>
              <w:top w:val="nil"/>
              <w:left w:val="nil"/>
              <w:bottom w:val="single" w:sz="4" w:space="0" w:color="auto"/>
              <w:right w:val="nil"/>
            </w:tcBorders>
            <w:shd w:val="clear" w:color="000000" w:fill="DDEBF7"/>
            <w:noWrap/>
            <w:vAlign w:val="center"/>
          </w:tcPr>
          <w:p w14:paraId="1C75944C"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Año13</w:t>
            </w:r>
          </w:p>
        </w:tc>
        <w:tc>
          <w:tcPr>
            <w:tcW w:w="706" w:type="dxa"/>
            <w:tcBorders>
              <w:top w:val="nil"/>
              <w:left w:val="nil"/>
              <w:bottom w:val="single" w:sz="4" w:space="0" w:color="auto"/>
              <w:right w:val="nil"/>
            </w:tcBorders>
            <w:shd w:val="clear" w:color="000000" w:fill="DDEBF7"/>
            <w:noWrap/>
            <w:vAlign w:val="center"/>
          </w:tcPr>
          <w:p w14:paraId="65C6E234"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Año14</w:t>
            </w:r>
          </w:p>
        </w:tc>
        <w:tc>
          <w:tcPr>
            <w:tcW w:w="709" w:type="dxa"/>
            <w:tcBorders>
              <w:top w:val="nil"/>
              <w:left w:val="nil"/>
              <w:bottom w:val="single" w:sz="4" w:space="0" w:color="auto"/>
              <w:right w:val="nil"/>
            </w:tcBorders>
            <w:shd w:val="clear" w:color="000000" w:fill="DDEBF7"/>
            <w:noWrap/>
            <w:vAlign w:val="center"/>
          </w:tcPr>
          <w:p w14:paraId="19E0C061"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w:t>
            </w:r>
            <w:r>
              <w:rPr>
                <w:rFonts w:ascii="Arial" w:hAnsi="Arial" w:cs="Arial"/>
                <w:b/>
                <w:bCs/>
                <w:sz w:val="14"/>
                <w:szCs w:val="14"/>
              </w:rPr>
              <w:t>5</w:t>
            </w:r>
          </w:p>
        </w:tc>
        <w:tc>
          <w:tcPr>
            <w:tcW w:w="847" w:type="dxa"/>
            <w:tcBorders>
              <w:top w:val="nil"/>
              <w:left w:val="nil"/>
              <w:bottom w:val="single" w:sz="4" w:space="0" w:color="auto"/>
            </w:tcBorders>
            <w:shd w:val="clear" w:color="000000" w:fill="DDEBF7"/>
            <w:noWrap/>
            <w:vAlign w:val="center"/>
          </w:tcPr>
          <w:p w14:paraId="5E411AC2"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Total</w:t>
            </w:r>
          </w:p>
        </w:tc>
      </w:tr>
      <w:tr w:rsidR="00474612" w:rsidRPr="00A43491" w14:paraId="4B4479B4" w14:textId="77777777" w:rsidTr="00E7005A">
        <w:trPr>
          <w:trHeight w:val="300"/>
          <w:jc w:val="center"/>
        </w:trPr>
        <w:tc>
          <w:tcPr>
            <w:tcW w:w="1064" w:type="dxa"/>
            <w:tcBorders>
              <w:top w:val="single" w:sz="4" w:space="0" w:color="auto"/>
              <w:left w:val="nil"/>
              <w:right w:val="nil"/>
            </w:tcBorders>
            <w:shd w:val="clear" w:color="auto" w:fill="auto"/>
            <w:noWrap/>
          </w:tcPr>
          <w:p w14:paraId="2D42F1B7" w14:textId="77777777" w:rsidR="00474612" w:rsidRPr="00A43491" w:rsidRDefault="00474612" w:rsidP="00474612">
            <w:pPr>
              <w:jc w:val="center"/>
              <w:rPr>
                <w:rFonts w:ascii="Arial" w:hAnsi="Arial" w:cs="Arial"/>
                <w:sz w:val="14"/>
                <w:szCs w:val="14"/>
              </w:rPr>
            </w:pPr>
            <w:r w:rsidRPr="00A43491">
              <w:rPr>
                <w:rFonts w:ascii="Arial" w:hAnsi="Arial" w:cs="Arial"/>
                <w:sz w:val="14"/>
                <w:szCs w:val="14"/>
              </w:rPr>
              <w:t xml:space="preserve">Beneficios Económicos </w:t>
            </w:r>
            <w:r w:rsidRPr="00A43491">
              <w:rPr>
                <w:rFonts w:ascii="Arial" w:hAnsi="Arial" w:cs="Arial"/>
                <w:sz w:val="14"/>
                <w:szCs w:val="14"/>
              </w:rPr>
              <w:lastRenderedPageBreak/>
              <w:t>en VPN</w:t>
            </w:r>
          </w:p>
        </w:tc>
        <w:tc>
          <w:tcPr>
            <w:tcW w:w="568" w:type="dxa"/>
            <w:tcBorders>
              <w:top w:val="single" w:sz="4" w:space="0" w:color="auto"/>
              <w:left w:val="nil"/>
              <w:right w:val="nil"/>
            </w:tcBorders>
            <w:vAlign w:val="center"/>
          </w:tcPr>
          <w:p w14:paraId="7C3FC47C" w14:textId="6FF7EFCD" w:rsidR="00474612" w:rsidRPr="00FC13AE" w:rsidRDefault="00474612" w:rsidP="00474612">
            <w:pPr>
              <w:jc w:val="center"/>
              <w:rPr>
                <w:rFonts w:ascii="Arial" w:hAnsi="Arial" w:cs="Arial"/>
                <w:sz w:val="14"/>
                <w:szCs w:val="14"/>
              </w:rPr>
            </w:pPr>
            <w:r w:rsidRPr="00E7005A">
              <w:rPr>
                <w:rFonts w:ascii="Arial" w:hAnsi="Arial" w:cs="Arial"/>
                <w:sz w:val="14"/>
                <w:szCs w:val="14"/>
              </w:rPr>
              <w:lastRenderedPageBreak/>
              <w:t>0</w:t>
            </w:r>
          </w:p>
        </w:tc>
        <w:tc>
          <w:tcPr>
            <w:tcW w:w="567" w:type="dxa"/>
            <w:tcBorders>
              <w:top w:val="single" w:sz="4" w:space="0" w:color="auto"/>
              <w:left w:val="nil"/>
              <w:right w:val="nil"/>
            </w:tcBorders>
            <w:shd w:val="clear" w:color="auto" w:fill="auto"/>
            <w:noWrap/>
            <w:vAlign w:val="center"/>
          </w:tcPr>
          <w:p w14:paraId="3561B312" w14:textId="15B78469" w:rsidR="00474612" w:rsidRPr="00FC13AE" w:rsidRDefault="00474612" w:rsidP="00474612">
            <w:pPr>
              <w:jc w:val="center"/>
              <w:rPr>
                <w:rFonts w:ascii="Arial" w:hAnsi="Arial" w:cs="Arial"/>
                <w:sz w:val="14"/>
                <w:szCs w:val="14"/>
              </w:rPr>
            </w:pPr>
            <w:r w:rsidRPr="00E7005A">
              <w:rPr>
                <w:rFonts w:ascii="Arial" w:hAnsi="Arial" w:cs="Arial"/>
                <w:sz w:val="14"/>
                <w:szCs w:val="14"/>
              </w:rPr>
              <w:t>0</w:t>
            </w:r>
          </w:p>
        </w:tc>
        <w:tc>
          <w:tcPr>
            <w:tcW w:w="567" w:type="dxa"/>
            <w:tcBorders>
              <w:top w:val="single" w:sz="4" w:space="0" w:color="auto"/>
              <w:left w:val="nil"/>
              <w:right w:val="nil"/>
            </w:tcBorders>
            <w:shd w:val="clear" w:color="auto" w:fill="auto"/>
            <w:noWrap/>
            <w:vAlign w:val="center"/>
          </w:tcPr>
          <w:p w14:paraId="001F9448" w14:textId="3C5F6A37" w:rsidR="00474612" w:rsidRPr="00FC13AE" w:rsidRDefault="00474612" w:rsidP="00474612">
            <w:pPr>
              <w:jc w:val="center"/>
              <w:rPr>
                <w:rFonts w:ascii="Arial" w:hAnsi="Arial" w:cs="Arial"/>
                <w:sz w:val="14"/>
                <w:szCs w:val="14"/>
              </w:rPr>
            </w:pPr>
            <w:r w:rsidRPr="00E7005A">
              <w:rPr>
                <w:rFonts w:ascii="Arial" w:hAnsi="Arial" w:cs="Arial"/>
                <w:sz w:val="14"/>
                <w:szCs w:val="14"/>
              </w:rPr>
              <w:t>0</w:t>
            </w:r>
          </w:p>
        </w:tc>
        <w:tc>
          <w:tcPr>
            <w:tcW w:w="567" w:type="dxa"/>
            <w:tcBorders>
              <w:top w:val="single" w:sz="4" w:space="0" w:color="auto"/>
              <w:left w:val="nil"/>
              <w:right w:val="nil"/>
            </w:tcBorders>
            <w:shd w:val="clear" w:color="auto" w:fill="auto"/>
            <w:noWrap/>
            <w:vAlign w:val="center"/>
          </w:tcPr>
          <w:p w14:paraId="5688405B" w14:textId="337A910E" w:rsidR="00474612" w:rsidRPr="00FC13AE" w:rsidRDefault="00474612" w:rsidP="00474612">
            <w:pPr>
              <w:jc w:val="center"/>
              <w:rPr>
                <w:rFonts w:ascii="Arial" w:hAnsi="Arial" w:cs="Arial"/>
                <w:sz w:val="14"/>
                <w:szCs w:val="14"/>
              </w:rPr>
            </w:pPr>
            <w:r w:rsidRPr="00E7005A">
              <w:rPr>
                <w:rFonts w:ascii="Arial" w:hAnsi="Arial" w:cs="Arial"/>
                <w:sz w:val="14"/>
                <w:szCs w:val="14"/>
              </w:rPr>
              <w:t>0</w:t>
            </w:r>
          </w:p>
        </w:tc>
        <w:tc>
          <w:tcPr>
            <w:tcW w:w="567" w:type="dxa"/>
            <w:tcBorders>
              <w:top w:val="single" w:sz="4" w:space="0" w:color="auto"/>
              <w:left w:val="nil"/>
              <w:right w:val="nil"/>
            </w:tcBorders>
            <w:shd w:val="clear" w:color="auto" w:fill="auto"/>
            <w:noWrap/>
            <w:vAlign w:val="center"/>
          </w:tcPr>
          <w:p w14:paraId="4419D7B9" w14:textId="001B8E19" w:rsidR="00474612" w:rsidRPr="00FC13AE" w:rsidRDefault="00254946" w:rsidP="00474612">
            <w:pPr>
              <w:jc w:val="center"/>
              <w:rPr>
                <w:rFonts w:ascii="Arial" w:hAnsi="Arial" w:cs="Arial"/>
                <w:sz w:val="14"/>
                <w:szCs w:val="14"/>
              </w:rPr>
            </w:pPr>
            <w:r>
              <w:rPr>
                <w:rFonts w:ascii="Arial" w:hAnsi="Arial" w:cs="Arial"/>
                <w:sz w:val="14"/>
                <w:szCs w:val="14"/>
              </w:rPr>
              <w:t>0</w:t>
            </w:r>
          </w:p>
        </w:tc>
        <w:tc>
          <w:tcPr>
            <w:tcW w:w="708" w:type="dxa"/>
            <w:tcBorders>
              <w:top w:val="single" w:sz="4" w:space="0" w:color="auto"/>
              <w:left w:val="nil"/>
              <w:right w:val="nil"/>
            </w:tcBorders>
            <w:shd w:val="clear" w:color="auto" w:fill="auto"/>
            <w:noWrap/>
            <w:vAlign w:val="center"/>
          </w:tcPr>
          <w:p w14:paraId="2E75B551" w14:textId="470D015B" w:rsidR="00474612" w:rsidRPr="00FC13AE" w:rsidRDefault="00474612" w:rsidP="00474612">
            <w:pPr>
              <w:jc w:val="center"/>
              <w:rPr>
                <w:rFonts w:ascii="Arial" w:hAnsi="Arial" w:cs="Arial"/>
                <w:sz w:val="14"/>
                <w:szCs w:val="14"/>
              </w:rPr>
            </w:pPr>
            <w:r w:rsidRPr="00E7005A">
              <w:rPr>
                <w:rFonts w:ascii="Arial" w:hAnsi="Arial" w:cs="Arial"/>
                <w:sz w:val="14"/>
                <w:szCs w:val="14"/>
              </w:rPr>
              <w:t>10.42</w:t>
            </w:r>
          </w:p>
        </w:tc>
        <w:tc>
          <w:tcPr>
            <w:tcW w:w="709" w:type="dxa"/>
            <w:tcBorders>
              <w:top w:val="single" w:sz="4" w:space="0" w:color="auto"/>
              <w:left w:val="nil"/>
              <w:right w:val="nil"/>
            </w:tcBorders>
            <w:shd w:val="clear" w:color="auto" w:fill="auto"/>
            <w:noWrap/>
            <w:vAlign w:val="center"/>
          </w:tcPr>
          <w:p w14:paraId="74B9A77C" w14:textId="1E88B890" w:rsidR="00474612" w:rsidRPr="00FC13AE" w:rsidRDefault="00474612" w:rsidP="00474612">
            <w:pPr>
              <w:jc w:val="center"/>
              <w:rPr>
                <w:rFonts w:ascii="Arial" w:hAnsi="Arial" w:cs="Arial"/>
                <w:sz w:val="14"/>
                <w:szCs w:val="14"/>
              </w:rPr>
            </w:pPr>
            <w:r w:rsidRPr="00E7005A">
              <w:rPr>
                <w:rFonts w:ascii="Arial" w:hAnsi="Arial" w:cs="Arial"/>
                <w:sz w:val="14"/>
                <w:szCs w:val="14"/>
              </w:rPr>
              <w:t>11.53</w:t>
            </w:r>
          </w:p>
        </w:tc>
        <w:tc>
          <w:tcPr>
            <w:tcW w:w="709" w:type="dxa"/>
            <w:tcBorders>
              <w:top w:val="single" w:sz="4" w:space="0" w:color="auto"/>
              <w:left w:val="nil"/>
              <w:right w:val="nil"/>
            </w:tcBorders>
            <w:shd w:val="clear" w:color="auto" w:fill="auto"/>
            <w:noWrap/>
            <w:vAlign w:val="center"/>
          </w:tcPr>
          <w:p w14:paraId="115B2FB1" w14:textId="31B727FC" w:rsidR="00474612" w:rsidRPr="00FC13AE" w:rsidRDefault="00474612" w:rsidP="00474612">
            <w:pPr>
              <w:jc w:val="center"/>
              <w:rPr>
                <w:rFonts w:ascii="Arial" w:hAnsi="Arial" w:cs="Arial"/>
                <w:sz w:val="14"/>
                <w:szCs w:val="14"/>
              </w:rPr>
            </w:pPr>
            <w:r w:rsidRPr="00E7005A">
              <w:rPr>
                <w:rFonts w:ascii="Arial" w:hAnsi="Arial" w:cs="Arial"/>
                <w:sz w:val="14"/>
                <w:szCs w:val="14"/>
              </w:rPr>
              <w:t>12.65</w:t>
            </w:r>
          </w:p>
        </w:tc>
        <w:tc>
          <w:tcPr>
            <w:tcW w:w="709" w:type="dxa"/>
            <w:tcBorders>
              <w:top w:val="single" w:sz="4" w:space="0" w:color="auto"/>
              <w:left w:val="nil"/>
              <w:right w:val="nil"/>
            </w:tcBorders>
            <w:shd w:val="clear" w:color="auto" w:fill="auto"/>
            <w:noWrap/>
            <w:vAlign w:val="center"/>
          </w:tcPr>
          <w:p w14:paraId="724165A6" w14:textId="23548D7B" w:rsidR="00474612" w:rsidRPr="00FC13AE" w:rsidRDefault="00474612" w:rsidP="00474612">
            <w:pPr>
              <w:jc w:val="center"/>
              <w:rPr>
                <w:rFonts w:ascii="Arial" w:hAnsi="Arial" w:cs="Arial"/>
                <w:sz w:val="14"/>
                <w:szCs w:val="14"/>
              </w:rPr>
            </w:pPr>
            <w:r w:rsidRPr="00E7005A">
              <w:rPr>
                <w:rFonts w:ascii="Arial" w:hAnsi="Arial" w:cs="Arial"/>
                <w:sz w:val="14"/>
                <w:szCs w:val="14"/>
              </w:rPr>
              <w:t>13.78</w:t>
            </w:r>
          </w:p>
        </w:tc>
        <w:tc>
          <w:tcPr>
            <w:tcW w:w="715" w:type="dxa"/>
            <w:tcBorders>
              <w:top w:val="single" w:sz="4" w:space="0" w:color="auto"/>
              <w:left w:val="nil"/>
              <w:right w:val="nil"/>
            </w:tcBorders>
            <w:shd w:val="clear" w:color="auto" w:fill="auto"/>
            <w:noWrap/>
            <w:vAlign w:val="center"/>
          </w:tcPr>
          <w:p w14:paraId="51E59507" w14:textId="6FAB137D" w:rsidR="00474612" w:rsidRPr="00FC13AE" w:rsidRDefault="00474612" w:rsidP="00474612">
            <w:pPr>
              <w:jc w:val="center"/>
              <w:rPr>
                <w:rFonts w:ascii="Arial" w:hAnsi="Arial" w:cs="Arial"/>
                <w:sz w:val="14"/>
                <w:szCs w:val="14"/>
              </w:rPr>
            </w:pPr>
            <w:r w:rsidRPr="00E7005A">
              <w:rPr>
                <w:rFonts w:ascii="Arial" w:hAnsi="Arial" w:cs="Arial"/>
                <w:sz w:val="14"/>
                <w:szCs w:val="14"/>
              </w:rPr>
              <w:t>15.44</w:t>
            </w:r>
          </w:p>
        </w:tc>
        <w:tc>
          <w:tcPr>
            <w:tcW w:w="709" w:type="dxa"/>
            <w:tcBorders>
              <w:top w:val="single" w:sz="4" w:space="0" w:color="auto"/>
              <w:left w:val="nil"/>
              <w:right w:val="nil"/>
            </w:tcBorders>
            <w:shd w:val="clear" w:color="auto" w:fill="auto"/>
            <w:noWrap/>
            <w:vAlign w:val="center"/>
          </w:tcPr>
          <w:p w14:paraId="6F9313F8" w14:textId="5FF9CFE1" w:rsidR="00474612" w:rsidRPr="00FC13AE" w:rsidRDefault="00474612" w:rsidP="00474612">
            <w:pPr>
              <w:jc w:val="center"/>
              <w:rPr>
                <w:rFonts w:ascii="Arial" w:hAnsi="Arial" w:cs="Arial"/>
                <w:sz w:val="14"/>
                <w:szCs w:val="14"/>
              </w:rPr>
            </w:pPr>
            <w:r w:rsidRPr="00E7005A">
              <w:rPr>
                <w:rFonts w:ascii="Arial" w:hAnsi="Arial" w:cs="Arial"/>
                <w:sz w:val="14"/>
                <w:szCs w:val="14"/>
              </w:rPr>
              <w:t>15.51</w:t>
            </w:r>
          </w:p>
        </w:tc>
        <w:tc>
          <w:tcPr>
            <w:tcW w:w="709" w:type="dxa"/>
            <w:tcBorders>
              <w:top w:val="single" w:sz="4" w:space="0" w:color="auto"/>
              <w:left w:val="nil"/>
              <w:right w:val="nil"/>
            </w:tcBorders>
            <w:shd w:val="clear" w:color="auto" w:fill="auto"/>
            <w:noWrap/>
            <w:vAlign w:val="center"/>
          </w:tcPr>
          <w:p w14:paraId="7871F68B" w14:textId="4C8AA46C" w:rsidR="00474612" w:rsidRPr="00FC13AE" w:rsidRDefault="00474612" w:rsidP="00474612">
            <w:pPr>
              <w:jc w:val="center"/>
              <w:rPr>
                <w:rFonts w:ascii="Arial" w:hAnsi="Arial" w:cs="Arial"/>
                <w:sz w:val="14"/>
                <w:szCs w:val="14"/>
              </w:rPr>
            </w:pPr>
            <w:r w:rsidRPr="00E7005A">
              <w:rPr>
                <w:rFonts w:ascii="Arial" w:hAnsi="Arial" w:cs="Arial"/>
                <w:sz w:val="14"/>
                <w:szCs w:val="14"/>
              </w:rPr>
              <w:t>13.97</w:t>
            </w:r>
          </w:p>
        </w:tc>
        <w:tc>
          <w:tcPr>
            <w:tcW w:w="708" w:type="dxa"/>
            <w:tcBorders>
              <w:top w:val="single" w:sz="4" w:space="0" w:color="auto"/>
              <w:left w:val="nil"/>
              <w:right w:val="nil"/>
            </w:tcBorders>
            <w:shd w:val="clear" w:color="auto" w:fill="auto"/>
            <w:noWrap/>
            <w:vAlign w:val="center"/>
          </w:tcPr>
          <w:p w14:paraId="470C309A" w14:textId="55F43388" w:rsidR="00474612" w:rsidRPr="00FC13AE" w:rsidRDefault="00474612" w:rsidP="00474612">
            <w:pPr>
              <w:jc w:val="center"/>
              <w:rPr>
                <w:rFonts w:ascii="Arial" w:hAnsi="Arial" w:cs="Arial"/>
                <w:sz w:val="14"/>
                <w:szCs w:val="14"/>
              </w:rPr>
            </w:pPr>
            <w:r w:rsidRPr="00E7005A">
              <w:rPr>
                <w:rFonts w:ascii="Arial" w:hAnsi="Arial" w:cs="Arial"/>
                <w:sz w:val="14"/>
                <w:szCs w:val="14"/>
              </w:rPr>
              <w:t>12.95</w:t>
            </w:r>
          </w:p>
        </w:tc>
        <w:tc>
          <w:tcPr>
            <w:tcW w:w="706" w:type="dxa"/>
            <w:tcBorders>
              <w:top w:val="single" w:sz="4" w:space="0" w:color="auto"/>
              <w:left w:val="nil"/>
              <w:right w:val="nil"/>
            </w:tcBorders>
            <w:shd w:val="clear" w:color="auto" w:fill="auto"/>
            <w:noWrap/>
            <w:vAlign w:val="center"/>
          </w:tcPr>
          <w:p w14:paraId="39B15265" w14:textId="43F8F87E" w:rsidR="00474612" w:rsidRPr="00FC13AE" w:rsidRDefault="00474612" w:rsidP="00474612">
            <w:pPr>
              <w:jc w:val="center"/>
              <w:rPr>
                <w:rFonts w:ascii="Arial" w:hAnsi="Arial" w:cs="Arial"/>
                <w:sz w:val="14"/>
                <w:szCs w:val="14"/>
              </w:rPr>
            </w:pPr>
            <w:r w:rsidRPr="00E7005A">
              <w:rPr>
                <w:rFonts w:ascii="Arial" w:hAnsi="Arial" w:cs="Arial"/>
                <w:sz w:val="14"/>
                <w:szCs w:val="14"/>
              </w:rPr>
              <w:t>11.38</w:t>
            </w:r>
          </w:p>
        </w:tc>
        <w:tc>
          <w:tcPr>
            <w:tcW w:w="709" w:type="dxa"/>
            <w:tcBorders>
              <w:top w:val="single" w:sz="4" w:space="0" w:color="auto"/>
              <w:left w:val="nil"/>
              <w:right w:val="nil"/>
            </w:tcBorders>
            <w:shd w:val="clear" w:color="auto" w:fill="auto"/>
            <w:noWrap/>
            <w:vAlign w:val="center"/>
          </w:tcPr>
          <w:p w14:paraId="62B2CD59" w14:textId="425B20CD" w:rsidR="00474612" w:rsidRPr="00FC13AE" w:rsidRDefault="00474612" w:rsidP="00474612">
            <w:pPr>
              <w:jc w:val="center"/>
              <w:rPr>
                <w:rFonts w:ascii="Arial" w:hAnsi="Arial" w:cs="Arial"/>
                <w:sz w:val="14"/>
                <w:szCs w:val="14"/>
              </w:rPr>
            </w:pPr>
            <w:r w:rsidRPr="00E7005A">
              <w:rPr>
                <w:rFonts w:ascii="Arial" w:hAnsi="Arial" w:cs="Arial"/>
                <w:sz w:val="14"/>
                <w:szCs w:val="14"/>
              </w:rPr>
              <w:t>10.34</w:t>
            </w:r>
          </w:p>
        </w:tc>
        <w:tc>
          <w:tcPr>
            <w:tcW w:w="847" w:type="dxa"/>
            <w:tcBorders>
              <w:top w:val="single" w:sz="4" w:space="0" w:color="auto"/>
              <w:left w:val="nil"/>
              <w:right w:val="nil"/>
            </w:tcBorders>
            <w:shd w:val="clear" w:color="auto" w:fill="auto"/>
            <w:noWrap/>
            <w:vAlign w:val="center"/>
          </w:tcPr>
          <w:p w14:paraId="007CB550" w14:textId="3BA497EA" w:rsidR="00474612" w:rsidRPr="00FC13AE" w:rsidRDefault="00474612" w:rsidP="00474612">
            <w:pPr>
              <w:jc w:val="center"/>
              <w:rPr>
                <w:rFonts w:ascii="Arial" w:hAnsi="Arial" w:cs="Arial"/>
                <w:sz w:val="14"/>
                <w:szCs w:val="14"/>
              </w:rPr>
            </w:pPr>
            <w:r w:rsidRPr="00E7005A">
              <w:rPr>
                <w:rFonts w:ascii="Arial" w:hAnsi="Arial" w:cs="Arial"/>
                <w:sz w:val="14"/>
                <w:szCs w:val="14"/>
              </w:rPr>
              <w:t>127.99</w:t>
            </w:r>
          </w:p>
        </w:tc>
      </w:tr>
      <w:tr w:rsidR="00474612" w:rsidRPr="00A43491" w14:paraId="528784DC" w14:textId="77777777" w:rsidTr="00E7005A">
        <w:trPr>
          <w:trHeight w:val="300"/>
          <w:jc w:val="center"/>
        </w:trPr>
        <w:tc>
          <w:tcPr>
            <w:tcW w:w="1064" w:type="dxa"/>
            <w:tcBorders>
              <w:left w:val="nil"/>
              <w:bottom w:val="single" w:sz="4" w:space="0" w:color="auto"/>
              <w:right w:val="nil"/>
            </w:tcBorders>
            <w:shd w:val="clear" w:color="auto" w:fill="auto"/>
            <w:noWrap/>
          </w:tcPr>
          <w:p w14:paraId="1CFDDEB6" w14:textId="77777777" w:rsidR="00474612" w:rsidRPr="005B5674" w:rsidRDefault="00474612" w:rsidP="00474612">
            <w:pPr>
              <w:jc w:val="center"/>
              <w:rPr>
                <w:rFonts w:ascii="Arial" w:hAnsi="Arial" w:cs="Arial"/>
                <w:sz w:val="14"/>
                <w:szCs w:val="14"/>
              </w:rPr>
            </w:pPr>
            <w:r w:rsidRPr="00A43491">
              <w:rPr>
                <w:rFonts w:ascii="Arial" w:hAnsi="Arial" w:cs="Arial"/>
                <w:sz w:val="14"/>
                <w:szCs w:val="14"/>
              </w:rPr>
              <w:t>Costos Económicos en VPN</w:t>
            </w:r>
          </w:p>
        </w:tc>
        <w:tc>
          <w:tcPr>
            <w:tcW w:w="568" w:type="dxa"/>
            <w:tcBorders>
              <w:left w:val="nil"/>
              <w:bottom w:val="single" w:sz="4" w:space="0" w:color="auto"/>
              <w:right w:val="nil"/>
            </w:tcBorders>
            <w:vAlign w:val="center"/>
          </w:tcPr>
          <w:p w14:paraId="5255B5C5" w14:textId="1984EF61" w:rsidR="00474612" w:rsidRPr="00FC13AE" w:rsidRDefault="00474612" w:rsidP="00474612">
            <w:pPr>
              <w:jc w:val="center"/>
              <w:rPr>
                <w:rFonts w:ascii="Arial" w:hAnsi="Arial" w:cs="Arial"/>
                <w:sz w:val="14"/>
                <w:szCs w:val="14"/>
              </w:rPr>
            </w:pPr>
            <w:r w:rsidRPr="00E7005A">
              <w:rPr>
                <w:rFonts w:ascii="Arial" w:hAnsi="Arial" w:cs="Arial"/>
                <w:sz w:val="14"/>
                <w:szCs w:val="14"/>
              </w:rPr>
              <w:t>18.87</w:t>
            </w:r>
          </w:p>
        </w:tc>
        <w:tc>
          <w:tcPr>
            <w:tcW w:w="567" w:type="dxa"/>
            <w:tcBorders>
              <w:left w:val="nil"/>
              <w:bottom w:val="single" w:sz="4" w:space="0" w:color="auto"/>
              <w:right w:val="nil"/>
            </w:tcBorders>
            <w:shd w:val="clear" w:color="auto" w:fill="auto"/>
            <w:noWrap/>
            <w:vAlign w:val="center"/>
          </w:tcPr>
          <w:p w14:paraId="3D2B359C" w14:textId="1C11D824" w:rsidR="00474612" w:rsidRPr="00FC13AE" w:rsidRDefault="00474612" w:rsidP="00474612">
            <w:pPr>
              <w:jc w:val="center"/>
              <w:rPr>
                <w:rFonts w:ascii="Arial" w:hAnsi="Arial" w:cs="Arial"/>
                <w:sz w:val="14"/>
                <w:szCs w:val="14"/>
              </w:rPr>
            </w:pPr>
            <w:r w:rsidRPr="00E7005A">
              <w:rPr>
                <w:rFonts w:ascii="Arial" w:hAnsi="Arial" w:cs="Arial"/>
                <w:sz w:val="14"/>
                <w:szCs w:val="14"/>
              </w:rPr>
              <w:t>6.39</w:t>
            </w:r>
          </w:p>
        </w:tc>
        <w:tc>
          <w:tcPr>
            <w:tcW w:w="567" w:type="dxa"/>
            <w:tcBorders>
              <w:left w:val="nil"/>
              <w:bottom w:val="single" w:sz="4" w:space="0" w:color="auto"/>
              <w:right w:val="nil"/>
            </w:tcBorders>
            <w:shd w:val="clear" w:color="auto" w:fill="auto"/>
            <w:noWrap/>
            <w:vAlign w:val="center"/>
          </w:tcPr>
          <w:p w14:paraId="3DB482DB" w14:textId="0005D927" w:rsidR="00474612" w:rsidRPr="00FC13AE" w:rsidRDefault="00474612" w:rsidP="00474612">
            <w:pPr>
              <w:jc w:val="center"/>
              <w:rPr>
                <w:rFonts w:ascii="Arial" w:hAnsi="Arial" w:cs="Arial"/>
                <w:sz w:val="14"/>
                <w:szCs w:val="14"/>
              </w:rPr>
            </w:pPr>
            <w:r w:rsidRPr="00E7005A">
              <w:rPr>
                <w:rFonts w:ascii="Arial" w:hAnsi="Arial" w:cs="Arial"/>
                <w:sz w:val="14"/>
                <w:szCs w:val="14"/>
              </w:rPr>
              <w:t>17.38</w:t>
            </w:r>
          </w:p>
        </w:tc>
        <w:tc>
          <w:tcPr>
            <w:tcW w:w="567" w:type="dxa"/>
            <w:tcBorders>
              <w:left w:val="nil"/>
              <w:bottom w:val="single" w:sz="4" w:space="0" w:color="auto"/>
              <w:right w:val="nil"/>
            </w:tcBorders>
            <w:shd w:val="clear" w:color="auto" w:fill="auto"/>
            <w:noWrap/>
            <w:vAlign w:val="center"/>
          </w:tcPr>
          <w:p w14:paraId="510CD596" w14:textId="0FE57AC0" w:rsidR="00474612" w:rsidRPr="00FC13AE" w:rsidRDefault="00474612" w:rsidP="00474612">
            <w:pPr>
              <w:jc w:val="center"/>
              <w:rPr>
                <w:rFonts w:ascii="Arial" w:hAnsi="Arial" w:cs="Arial"/>
                <w:sz w:val="14"/>
                <w:szCs w:val="14"/>
              </w:rPr>
            </w:pPr>
            <w:r w:rsidRPr="00E7005A">
              <w:rPr>
                <w:rFonts w:ascii="Arial" w:hAnsi="Arial" w:cs="Arial"/>
                <w:sz w:val="14"/>
                <w:szCs w:val="14"/>
              </w:rPr>
              <w:t>2.04</w:t>
            </w:r>
          </w:p>
        </w:tc>
        <w:tc>
          <w:tcPr>
            <w:tcW w:w="567" w:type="dxa"/>
            <w:tcBorders>
              <w:left w:val="nil"/>
              <w:bottom w:val="single" w:sz="4" w:space="0" w:color="auto"/>
              <w:right w:val="nil"/>
            </w:tcBorders>
            <w:shd w:val="clear" w:color="auto" w:fill="auto"/>
            <w:noWrap/>
            <w:vAlign w:val="center"/>
          </w:tcPr>
          <w:p w14:paraId="746AC703" w14:textId="3235CC82" w:rsidR="00474612" w:rsidRPr="00FC13AE" w:rsidRDefault="00474612" w:rsidP="00474612">
            <w:pPr>
              <w:jc w:val="center"/>
              <w:rPr>
                <w:rFonts w:ascii="Arial" w:hAnsi="Arial" w:cs="Arial"/>
                <w:sz w:val="14"/>
                <w:szCs w:val="14"/>
              </w:rPr>
            </w:pPr>
            <w:r w:rsidRPr="00E7005A">
              <w:rPr>
                <w:rFonts w:ascii="Arial" w:hAnsi="Arial" w:cs="Arial"/>
                <w:sz w:val="14"/>
                <w:szCs w:val="14"/>
              </w:rPr>
              <w:t>12.26</w:t>
            </w:r>
          </w:p>
        </w:tc>
        <w:tc>
          <w:tcPr>
            <w:tcW w:w="708" w:type="dxa"/>
            <w:tcBorders>
              <w:left w:val="nil"/>
              <w:bottom w:val="single" w:sz="4" w:space="0" w:color="auto"/>
              <w:right w:val="nil"/>
            </w:tcBorders>
            <w:shd w:val="clear" w:color="auto" w:fill="auto"/>
            <w:noWrap/>
            <w:vAlign w:val="center"/>
          </w:tcPr>
          <w:p w14:paraId="3F61B108" w14:textId="54F361B4" w:rsidR="00474612" w:rsidRPr="00FC13AE" w:rsidRDefault="00474612" w:rsidP="00474612">
            <w:pPr>
              <w:jc w:val="center"/>
              <w:rPr>
                <w:rFonts w:ascii="Arial" w:hAnsi="Arial" w:cs="Arial"/>
                <w:sz w:val="14"/>
                <w:szCs w:val="14"/>
              </w:rPr>
            </w:pPr>
            <w:r w:rsidRPr="00E7005A">
              <w:rPr>
                <w:rFonts w:ascii="Arial" w:hAnsi="Arial" w:cs="Arial"/>
                <w:sz w:val="14"/>
                <w:szCs w:val="14"/>
              </w:rPr>
              <w:t>0.08</w:t>
            </w:r>
          </w:p>
        </w:tc>
        <w:tc>
          <w:tcPr>
            <w:tcW w:w="709" w:type="dxa"/>
            <w:tcBorders>
              <w:left w:val="nil"/>
              <w:bottom w:val="single" w:sz="4" w:space="0" w:color="auto"/>
              <w:right w:val="nil"/>
            </w:tcBorders>
            <w:shd w:val="clear" w:color="auto" w:fill="auto"/>
            <w:noWrap/>
            <w:vAlign w:val="center"/>
          </w:tcPr>
          <w:p w14:paraId="21D14BF6" w14:textId="17F8255D" w:rsidR="00474612" w:rsidRPr="00FC13AE" w:rsidRDefault="00474612" w:rsidP="00474612">
            <w:pPr>
              <w:jc w:val="center"/>
              <w:rPr>
                <w:rFonts w:ascii="Arial" w:hAnsi="Arial" w:cs="Arial"/>
                <w:sz w:val="14"/>
                <w:szCs w:val="14"/>
              </w:rPr>
            </w:pPr>
            <w:r w:rsidRPr="00E7005A">
              <w:rPr>
                <w:rFonts w:ascii="Arial" w:hAnsi="Arial" w:cs="Arial"/>
                <w:sz w:val="14"/>
                <w:szCs w:val="14"/>
              </w:rPr>
              <w:t>0.07</w:t>
            </w:r>
          </w:p>
        </w:tc>
        <w:tc>
          <w:tcPr>
            <w:tcW w:w="709" w:type="dxa"/>
            <w:tcBorders>
              <w:left w:val="nil"/>
              <w:bottom w:val="single" w:sz="4" w:space="0" w:color="auto"/>
              <w:right w:val="nil"/>
            </w:tcBorders>
            <w:shd w:val="clear" w:color="auto" w:fill="auto"/>
            <w:noWrap/>
            <w:vAlign w:val="center"/>
          </w:tcPr>
          <w:p w14:paraId="755BDDDA" w14:textId="25BE14A3" w:rsidR="00474612" w:rsidRPr="00FC13AE" w:rsidRDefault="00474612" w:rsidP="00474612">
            <w:pPr>
              <w:jc w:val="center"/>
              <w:rPr>
                <w:rFonts w:ascii="Arial" w:hAnsi="Arial" w:cs="Arial"/>
                <w:sz w:val="14"/>
                <w:szCs w:val="14"/>
              </w:rPr>
            </w:pPr>
            <w:r w:rsidRPr="00E7005A">
              <w:rPr>
                <w:rFonts w:ascii="Arial" w:hAnsi="Arial" w:cs="Arial"/>
                <w:sz w:val="14"/>
                <w:szCs w:val="14"/>
              </w:rPr>
              <w:t>0.06</w:t>
            </w:r>
          </w:p>
        </w:tc>
        <w:tc>
          <w:tcPr>
            <w:tcW w:w="709" w:type="dxa"/>
            <w:tcBorders>
              <w:left w:val="nil"/>
              <w:bottom w:val="single" w:sz="4" w:space="0" w:color="auto"/>
              <w:right w:val="nil"/>
            </w:tcBorders>
            <w:shd w:val="clear" w:color="auto" w:fill="auto"/>
            <w:noWrap/>
            <w:vAlign w:val="center"/>
          </w:tcPr>
          <w:p w14:paraId="605AEAF4" w14:textId="082A7F5E" w:rsidR="00474612" w:rsidRPr="00FC13AE" w:rsidRDefault="00474612" w:rsidP="00474612">
            <w:pPr>
              <w:jc w:val="center"/>
              <w:rPr>
                <w:rFonts w:ascii="Arial" w:hAnsi="Arial" w:cs="Arial"/>
                <w:sz w:val="14"/>
                <w:szCs w:val="14"/>
              </w:rPr>
            </w:pPr>
            <w:r w:rsidRPr="00E7005A">
              <w:rPr>
                <w:rFonts w:ascii="Arial" w:hAnsi="Arial" w:cs="Arial"/>
                <w:sz w:val="14"/>
                <w:szCs w:val="14"/>
              </w:rPr>
              <w:t>0.06</w:t>
            </w:r>
          </w:p>
        </w:tc>
        <w:tc>
          <w:tcPr>
            <w:tcW w:w="715" w:type="dxa"/>
            <w:tcBorders>
              <w:left w:val="nil"/>
              <w:bottom w:val="single" w:sz="4" w:space="0" w:color="auto"/>
              <w:right w:val="nil"/>
            </w:tcBorders>
            <w:shd w:val="clear" w:color="auto" w:fill="auto"/>
            <w:noWrap/>
            <w:vAlign w:val="center"/>
          </w:tcPr>
          <w:p w14:paraId="1AF48F19" w14:textId="6164FDEE" w:rsidR="00474612" w:rsidRPr="00FC13AE" w:rsidRDefault="00474612" w:rsidP="00474612">
            <w:pPr>
              <w:jc w:val="center"/>
              <w:rPr>
                <w:rFonts w:ascii="Arial" w:hAnsi="Arial" w:cs="Arial"/>
                <w:sz w:val="14"/>
                <w:szCs w:val="14"/>
              </w:rPr>
            </w:pPr>
            <w:r w:rsidRPr="00E7005A">
              <w:rPr>
                <w:rFonts w:ascii="Arial" w:hAnsi="Arial" w:cs="Arial"/>
                <w:sz w:val="14"/>
                <w:szCs w:val="14"/>
              </w:rPr>
              <w:t>0.05</w:t>
            </w:r>
          </w:p>
        </w:tc>
        <w:tc>
          <w:tcPr>
            <w:tcW w:w="709" w:type="dxa"/>
            <w:tcBorders>
              <w:left w:val="nil"/>
              <w:bottom w:val="single" w:sz="4" w:space="0" w:color="auto"/>
              <w:right w:val="nil"/>
            </w:tcBorders>
            <w:shd w:val="clear" w:color="auto" w:fill="auto"/>
            <w:noWrap/>
            <w:vAlign w:val="center"/>
          </w:tcPr>
          <w:p w14:paraId="3322809C" w14:textId="7A6E89EB" w:rsidR="00474612" w:rsidRPr="00FC13AE" w:rsidRDefault="00474612" w:rsidP="00474612">
            <w:pPr>
              <w:jc w:val="center"/>
              <w:rPr>
                <w:rFonts w:ascii="Arial" w:hAnsi="Arial" w:cs="Arial"/>
                <w:sz w:val="14"/>
                <w:szCs w:val="14"/>
              </w:rPr>
            </w:pPr>
            <w:r w:rsidRPr="00E7005A">
              <w:rPr>
                <w:rFonts w:ascii="Arial" w:hAnsi="Arial" w:cs="Arial"/>
                <w:sz w:val="14"/>
                <w:szCs w:val="14"/>
              </w:rPr>
              <w:t>0.04</w:t>
            </w:r>
          </w:p>
        </w:tc>
        <w:tc>
          <w:tcPr>
            <w:tcW w:w="709" w:type="dxa"/>
            <w:tcBorders>
              <w:left w:val="nil"/>
              <w:bottom w:val="single" w:sz="4" w:space="0" w:color="auto"/>
              <w:right w:val="nil"/>
            </w:tcBorders>
            <w:shd w:val="clear" w:color="auto" w:fill="auto"/>
            <w:noWrap/>
            <w:vAlign w:val="center"/>
          </w:tcPr>
          <w:p w14:paraId="4DACA1EF" w14:textId="7DAE033D" w:rsidR="00474612" w:rsidRPr="00FC13AE" w:rsidRDefault="00474612" w:rsidP="00474612">
            <w:pPr>
              <w:jc w:val="center"/>
              <w:rPr>
                <w:rFonts w:ascii="Arial" w:hAnsi="Arial" w:cs="Arial"/>
                <w:sz w:val="14"/>
                <w:szCs w:val="14"/>
              </w:rPr>
            </w:pPr>
            <w:r w:rsidRPr="00E7005A">
              <w:rPr>
                <w:rFonts w:ascii="Arial" w:hAnsi="Arial" w:cs="Arial"/>
                <w:sz w:val="14"/>
                <w:szCs w:val="14"/>
              </w:rPr>
              <w:t>0.04</w:t>
            </w:r>
          </w:p>
        </w:tc>
        <w:tc>
          <w:tcPr>
            <w:tcW w:w="708" w:type="dxa"/>
            <w:tcBorders>
              <w:left w:val="nil"/>
              <w:bottom w:val="single" w:sz="4" w:space="0" w:color="auto"/>
              <w:right w:val="nil"/>
            </w:tcBorders>
            <w:shd w:val="clear" w:color="auto" w:fill="auto"/>
            <w:noWrap/>
            <w:vAlign w:val="center"/>
          </w:tcPr>
          <w:p w14:paraId="72CD2FAE" w14:textId="17BF3991" w:rsidR="00474612" w:rsidRPr="00FC13AE" w:rsidRDefault="00474612" w:rsidP="00474612">
            <w:pPr>
              <w:jc w:val="center"/>
              <w:rPr>
                <w:rFonts w:ascii="Arial" w:hAnsi="Arial" w:cs="Arial"/>
                <w:sz w:val="14"/>
                <w:szCs w:val="14"/>
              </w:rPr>
            </w:pPr>
            <w:r w:rsidRPr="00E7005A">
              <w:rPr>
                <w:rFonts w:ascii="Arial" w:hAnsi="Arial" w:cs="Arial"/>
                <w:sz w:val="14"/>
                <w:szCs w:val="14"/>
              </w:rPr>
              <w:t>0.04</w:t>
            </w:r>
          </w:p>
        </w:tc>
        <w:tc>
          <w:tcPr>
            <w:tcW w:w="706" w:type="dxa"/>
            <w:tcBorders>
              <w:left w:val="nil"/>
              <w:bottom w:val="single" w:sz="4" w:space="0" w:color="auto"/>
              <w:right w:val="nil"/>
            </w:tcBorders>
            <w:shd w:val="clear" w:color="auto" w:fill="auto"/>
            <w:noWrap/>
            <w:vAlign w:val="center"/>
          </w:tcPr>
          <w:p w14:paraId="44AB0898" w14:textId="1E1033A3" w:rsidR="00474612" w:rsidRPr="00FC13AE" w:rsidRDefault="00474612" w:rsidP="00474612">
            <w:pPr>
              <w:jc w:val="center"/>
              <w:rPr>
                <w:rFonts w:ascii="Arial" w:hAnsi="Arial" w:cs="Arial"/>
                <w:sz w:val="14"/>
                <w:szCs w:val="14"/>
              </w:rPr>
            </w:pPr>
            <w:r w:rsidRPr="00E7005A">
              <w:rPr>
                <w:rFonts w:ascii="Arial" w:hAnsi="Arial" w:cs="Arial"/>
                <w:sz w:val="14"/>
                <w:szCs w:val="14"/>
              </w:rPr>
              <w:t>0.03</w:t>
            </w:r>
          </w:p>
        </w:tc>
        <w:tc>
          <w:tcPr>
            <w:tcW w:w="709" w:type="dxa"/>
            <w:tcBorders>
              <w:left w:val="nil"/>
              <w:bottom w:val="single" w:sz="4" w:space="0" w:color="auto"/>
              <w:right w:val="nil"/>
            </w:tcBorders>
            <w:shd w:val="clear" w:color="auto" w:fill="auto"/>
            <w:noWrap/>
            <w:vAlign w:val="center"/>
          </w:tcPr>
          <w:p w14:paraId="707575B9" w14:textId="6E99C463" w:rsidR="00474612" w:rsidRPr="00FC13AE" w:rsidRDefault="00474612" w:rsidP="00474612">
            <w:pPr>
              <w:jc w:val="center"/>
              <w:rPr>
                <w:rFonts w:ascii="Arial" w:hAnsi="Arial" w:cs="Arial"/>
                <w:sz w:val="14"/>
                <w:szCs w:val="14"/>
              </w:rPr>
            </w:pPr>
            <w:r w:rsidRPr="00E7005A">
              <w:rPr>
                <w:rFonts w:ascii="Arial" w:hAnsi="Arial" w:cs="Arial"/>
                <w:sz w:val="14"/>
                <w:szCs w:val="14"/>
              </w:rPr>
              <w:t>0.03</w:t>
            </w:r>
          </w:p>
        </w:tc>
        <w:tc>
          <w:tcPr>
            <w:tcW w:w="847" w:type="dxa"/>
            <w:tcBorders>
              <w:left w:val="nil"/>
              <w:bottom w:val="single" w:sz="4" w:space="0" w:color="auto"/>
              <w:right w:val="nil"/>
            </w:tcBorders>
            <w:shd w:val="clear" w:color="auto" w:fill="auto"/>
            <w:noWrap/>
            <w:vAlign w:val="center"/>
          </w:tcPr>
          <w:p w14:paraId="6532377C" w14:textId="7C41A796" w:rsidR="00474612" w:rsidRPr="00FC13AE" w:rsidRDefault="00474612" w:rsidP="00474612">
            <w:pPr>
              <w:jc w:val="center"/>
              <w:rPr>
                <w:rFonts w:ascii="Arial" w:hAnsi="Arial" w:cs="Arial"/>
                <w:sz w:val="14"/>
                <w:szCs w:val="14"/>
              </w:rPr>
            </w:pPr>
            <w:r w:rsidRPr="00E7005A">
              <w:rPr>
                <w:rFonts w:ascii="Arial" w:hAnsi="Arial" w:cs="Arial"/>
                <w:sz w:val="14"/>
                <w:szCs w:val="14"/>
              </w:rPr>
              <w:t>57.44</w:t>
            </w:r>
          </w:p>
        </w:tc>
      </w:tr>
      <w:tr w:rsidR="00474612" w:rsidRPr="00A43491" w14:paraId="2842AC09" w14:textId="77777777" w:rsidTr="00E7005A">
        <w:trPr>
          <w:trHeight w:val="300"/>
          <w:jc w:val="center"/>
        </w:trPr>
        <w:tc>
          <w:tcPr>
            <w:tcW w:w="1064" w:type="dxa"/>
            <w:tcBorders>
              <w:top w:val="single" w:sz="4" w:space="0" w:color="auto"/>
              <w:left w:val="nil"/>
              <w:bottom w:val="single" w:sz="4" w:space="0" w:color="auto"/>
              <w:right w:val="nil"/>
            </w:tcBorders>
            <w:shd w:val="clear" w:color="auto" w:fill="auto"/>
            <w:noWrap/>
          </w:tcPr>
          <w:p w14:paraId="3400CC95" w14:textId="77777777" w:rsidR="00474612" w:rsidRPr="005B5674" w:rsidRDefault="00474612" w:rsidP="00474612">
            <w:pPr>
              <w:jc w:val="center"/>
              <w:rPr>
                <w:rFonts w:ascii="Arial" w:hAnsi="Arial" w:cs="Arial"/>
                <w:sz w:val="14"/>
                <w:szCs w:val="14"/>
              </w:rPr>
            </w:pPr>
            <w:r w:rsidRPr="00A43491">
              <w:rPr>
                <w:rFonts w:ascii="Arial" w:hAnsi="Arial" w:cs="Arial"/>
                <w:b/>
                <w:sz w:val="14"/>
                <w:szCs w:val="14"/>
              </w:rPr>
              <w:t>Beneficios Netos en VPN</w:t>
            </w:r>
          </w:p>
        </w:tc>
        <w:tc>
          <w:tcPr>
            <w:tcW w:w="568" w:type="dxa"/>
            <w:tcBorders>
              <w:top w:val="single" w:sz="4" w:space="0" w:color="auto"/>
              <w:left w:val="nil"/>
              <w:bottom w:val="single" w:sz="4" w:space="0" w:color="auto"/>
              <w:right w:val="nil"/>
            </w:tcBorders>
            <w:vAlign w:val="center"/>
          </w:tcPr>
          <w:p w14:paraId="1DB52FBF" w14:textId="26B86B01" w:rsidR="00474612" w:rsidRPr="00FC13AE" w:rsidRDefault="00474612" w:rsidP="00474612">
            <w:pPr>
              <w:jc w:val="center"/>
              <w:rPr>
                <w:rFonts w:ascii="Arial" w:hAnsi="Arial" w:cs="Arial"/>
                <w:sz w:val="14"/>
                <w:szCs w:val="14"/>
              </w:rPr>
            </w:pPr>
            <w:r w:rsidRPr="00E7005A">
              <w:rPr>
                <w:rFonts w:ascii="Arial" w:hAnsi="Arial" w:cs="Arial"/>
                <w:sz w:val="14"/>
                <w:szCs w:val="14"/>
              </w:rPr>
              <w:t>-18.87</w:t>
            </w:r>
          </w:p>
        </w:tc>
        <w:tc>
          <w:tcPr>
            <w:tcW w:w="567" w:type="dxa"/>
            <w:tcBorders>
              <w:top w:val="single" w:sz="4" w:space="0" w:color="auto"/>
              <w:left w:val="nil"/>
              <w:bottom w:val="single" w:sz="4" w:space="0" w:color="auto"/>
              <w:right w:val="nil"/>
            </w:tcBorders>
            <w:shd w:val="clear" w:color="auto" w:fill="auto"/>
            <w:noWrap/>
            <w:vAlign w:val="center"/>
          </w:tcPr>
          <w:p w14:paraId="4AF56E08" w14:textId="47E50CAE" w:rsidR="00474612" w:rsidRPr="00FC13AE" w:rsidRDefault="00474612" w:rsidP="00474612">
            <w:pPr>
              <w:jc w:val="center"/>
              <w:rPr>
                <w:rFonts w:ascii="Arial" w:hAnsi="Arial" w:cs="Arial"/>
                <w:sz w:val="14"/>
                <w:szCs w:val="14"/>
              </w:rPr>
            </w:pPr>
            <w:r w:rsidRPr="00E7005A">
              <w:rPr>
                <w:rFonts w:ascii="Arial" w:hAnsi="Arial" w:cs="Arial"/>
                <w:sz w:val="14"/>
                <w:szCs w:val="14"/>
              </w:rPr>
              <w:t>-6.39</w:t>
            </w:r>
          </w:p>
        </w:tc>
        <w:tc>
          <w:tcPr>
            <w:tcW w:w="567" w:type="dxa"/>
            <w:tcBorders>
              <w:top w:val="single" w:sz="4" w:space="0" w:color="auto"/>
              <w:left w:val="nil"/>
              <w:bottom w:val="single" w:sz="4" w:space="0" w:color="auto"/>
              <w:right w:val="nil"/>
            </w:tcBorders>
            <w:shd w:val="clear" w:color="auto" w:fill="auto"/>
            <w:noWrap/>
            <w:vAlign w:val="center"/>
          </w:tcPr>
          <w:p w14:paraId="448AF2DC" w14:textId="298B3FF4" w:rsidR="00474612" w:rsidRPr="00FC13AE" w:rsidRDefault="00474612" w:rsidP="00474612">
            <w:pPr>
              <w:jc w:val="center"/>
              <w:rPr>
                <w:rFonts w:ascii="Arial" w:hAnsi="Arial" w:cs="Arial"/>
                <w:sz w:val="14"/>
                <w:szCs w:val="14"/>
              </w:rPr>
            </w:pPr>
            <w:r w:rsidRPr="00E7005A">
              <w:rPr>
                <w:rFonts w:ascii="Arial" w:hAnsi="Arial" w:cs="Arial"/>
                <w:sz w:val="14"/>
                <w:szCs w:val="14"/>
              </w:rPr>
              <w:t>-17.38</w:t>
            </w:r>
          </w:p>
        </w:tc>
        <w:tc>
          <w:tcPr>
            <w:tcW w:w="567" w:type="dxa"/>
            <w:tcBorders>
              <w:top w:val="single" w:sz="4" w:space="0" w:color="auto"/>
              <w:left w:val="nil"/>
              <w:bottom w:val="single" w:sz="4" w:space="0" w:color="auto"/>
              <w:right w:val="nil"/>
            </w:tcBorders>
            <w:shd w:val="clear" w:color="auto" w:fill="auto"/>
            <w:noWrap/>
            <w:vAlign w:val="center"/>
          </w:tcPr>
          <w:p w14:paraId="2193C67A" w14:textId="671B96C3" w:rsidR="00474612" w:rsidRPr="00FC13AE" w:rsidRDefault="00474612" w:rsidP="00474612">
            <w:pPr>
              <w:jc w:val="center"/>
              <w:rPr>
                <w:rFonts w:ascii="Arial" w:hAnsi="Arial" w:cs="Arial"/>
                <w:sz w:val="14"/>
                <w:szCs w:val="14"/>
              </w:rPr>
            </w:pPr>
            <w:r w:rsidRPr="00E7005A">
              <w:rPr>
                <w:rFonts w:ascii="Arial" w:hAnsi="Arial" w:cs="Arial"/>
                <w:sz w:val="14"/>
                <w:szCs w:val="14"/>
              </w:rPr>
              <w:t>-2.04</w:t>
            </w:r>
          </w:p>
        </w:tc>
        <w:tc>
          <w:tcPr>
            <w:tcW w:w="567" w:type="dxa"/>
            <w:tcBorders>
              <w:top w:val="single" w:sz="4" w:space="0" w:color="auto"/>
              <w:left w:val="nil"/>
              <w:bottom w:val="single" w:sz="4" w:space="0" w:color="auto"/>
              <w:right w:val="nil"/>
            </w:tcBorders>
            <w:shd w:val="clear" w:color="auto" w:fill="auto"/>
            <w:noWrap/>
            <w:vAlign w:val="center"/>
          </w:tcPr>
          <w:p w14:paraId="3D320705" w14:textId="02AA9919" w:rsidR="00474612" w:rsidRPr="00FC13AE" w:rsidRDefault="00474612" w:rsidP="00474612">
            <w:pPr>
              <w:jc w:val="center"/>
              <w:rPr>
                <w:rFonts w:ascii="Arial" w:hAnsi="Arial" w:cs="Arial"/>
                <w:sz w:val="14"/>
                <w:szCs w:val="14"/>
              </w:rPr>
            </w:pPr>
            <w:r w:rsidRPr="00E7005A">
              <w:rPr>
                <w:rFonts w:ascii="Arial" w:hAnsi="Arial" w:cs="Arial"/>
                <w:sz w:val="14"/>
                <w:szCs w:val="14"/>
              </w:rPr>
              <w:t>-12.26</w:t>
            </w:r>
          </w:p>
        </w:tc>
        <w:tc>
          <w:tcPr>
            <w:tcW w:w="708" w:type="dxa"/>
            <w:tcBorders>
              <w:top w:val="single" w:sz="4" w:space="0" w:color="auto"/>
              <w:left w:val="nil"/>
              <w:bottom w:val="single" w:sz="4" w:space="0" w:color="auto"/>
              <w:right w:val="nil"/>
            </w:tcBorders>
            <w:shd w:val="clear" w:color="auto" w:fill="auto"/>
            <w:noWrap/>
            <w:vAlign w:val="center"/>
          </w:tcPr>
          <w:p w14:paraId="43441658" w14:textId="402FD6FA" w:rsidR="00474612" w:rsidRPr="00FC13AE" w:rsidRDefault="00474612" w:rsidP="00474612">
            <w:pPr>
              <w:jc w:val="center"/>
              <w:rPr>
                <w:rFonts w:ascii="Arial" w:hAnsi="Arial" w:cs="Arial"/>
                <w:sz w:val="14"/>
                <w:szCs w:val="14"/>
              </w:rPr>
            </w:pPr>
            <w:r w:rsidRPr="00E7005A">
              <w:rPr>
                <w:rFonts w:ascii="Arial" w:hAnsi="Arial" w:cs="Arial"/>
                <w:sz w:val="14"/>
                <w:szCs w:val="14"/>
              </w:rPr>
              <w:t>10.34</w:t>
            </w:r>
          </w:p>
        </w:tc>
        <w:tc>
          <w:tcPr>
            <w:tcW w:w="709" w:type="dxa"/>
            <w:tcBorders>
              <w:top w:val="single" w:sz="4" w:space="0" w:color="auto"/>
              <w:left w:val="nil"/>
              <w:bottom w:val="single" w:sz="4" w:space="0" w:color="auto"/>
              <w:right w:val="nil"/>
            </w:tcBorders>
            <w:shd w:val="clear" w:color="auto" w:fill="auto"/>
            <w:noWrap/>
            <w:vAlign w:val="center"/>
          </w:tcPr>
          <w:p w14:paraId="261A0B68" w14:textId="71158ECE" w:rsidR="00474612" w:rsidRPr="00FC13AE" w:rsidRDefault="00474612" w:rsidP="00474612">
            <w:pPr>
              <w:jc w:val="center"/>
              <w:rPr>
                <w:rFonts w:ascii="Arial" w:hAnsi="Arial" w:cs="Arial"/>
                <w:sz w:val="14"/>
                <w:szCs w:val="14"/>
              </w:rPr>
            </w:pPr>
            <w:r w:rsidRPr="00E7005A">
              <w:rPr>
                <w:rFonts w:ascii="Arial" w:hAnsi="Arial" w:cs="Arial"/>
                <w:sz w:val="14"/>
                <w:szCs w:val="14"/>
              </w:rPr>
              <w:t>11.46</w:t>
            </w:r>
          </w:p>
        </w:tc>
        <w:tc>
          <w:tcPr>
            <w:tcW w:w="709" w:type="dxa"/>
            <w:tcBorders>
              <w:top w:val="single" w:sz="4" w:space="0" w:color="auto"/>
              <w:left w:val="nil"/>
              <w:bottom w:val="single" w:sz="4" w:space="0" w:color="auto"/>
              <w:right w:val="nil"/>
            </w:tcBorders>
            <w:shd w:val="clear" w:color="auto" w:fill="auto"/>
            <w:noWrap/>
            <w:vAlign w:val="center"/>
          </w:tcPr>
          <w:p w14:paraId="50345BAA" w14:textId="2AB7E9EB" w:rsidR="00474612" w:rsidRPr="00FC13AE" w:rsidRDefault="00474612" w:rsidP="00474612">
            <w:pPr>
              <w:jc w:val="center"/>
              <w:rPr>
                <w:rFonts w:ascii="Arial" w:hAnsi="Arial" w:cs="Arial"/>
                <w:sz w:val="14"/>
                <w:szCs w:val="14"/>
              </w:rPr>
            </w:pPr>
            <w:r w:rsidRPr="00E7005A">
              <w:rPr>
                <w:rFonts w:ascii="Arial" w:hAnsi="Arial" w:cs="Arial"/>
                <w:sz w:val="14"/>
                <w:szCs w:val="14"/>
              </w:rPr>
              <w:t>12.59</w:t>
            </w:r>
          </w:p>
        </w:tc>
        <w:tc>
          <w:tcPr>
            <w:tcW w:w="709" w:type="dxa"/>
            <w:tcBorders>
              <w:top w:val="single" w:sz="4" w:space="0" w:color="auto"/>
              <w:left w:val="nil"/>
              <w:bottom w:val="single" w:sz="4" w:space="0" w:color="auto"/>
              <w:right w:val="nil"/>
            </w:tcBorders>
            <w:shd w:val="clear" w:color="auto" w:fill="auto"/>
            <w:noWrap/>
            <w:vAlign w:val="center"/>
          </w:tcPr>
          <w:p w14:paraId="03AD5C28" w14:textId="17D3253C" w:rsidR="00474612" w:rsidRPr="00FC13AE" w:rsidRDefault="00474612" w:rsidP="00474612">
            <w:pPr>
              <w:jc w:val="center"/>
              <w:rPr>
                <w:rFonts w:ascii="Arial" w:hAnsi="Arial" w:cs="Arial"/>
                <w:sz w:val="14"/>
                <w:szCs w:val="14"/>
              </w:rPr>
            </w:pPr>
            <w:r w:rsidRPr="00E7005A">
              <w:rPr>
                <w:rFonts w:ascii="Arial" w:hAnsi="Arial" w:cs="Arial"/>
                <w:sz w:val="14"/>
                <w:szCs w:val="14"/>
              </w:rPr>
              <w:t>13.72</w:t>
            </w:r>
          </w:p>
        </w:tc>
        <w:tc>
          <w:tcPr>
            <w:tcW w:w="715" w:type="dxa"/>
            <w:tcBorders>
              <w:top w:val="single" w:sz="4" w:space="0" w:color="auto"/>
              <w:left w:val="nil"/>
              <w:bottom w:val="single" w:sz="4" w:space="0" w:color="auto"/>
              <w:right w:val="nil"/>
            </w:tcBorders>
            <w:shd w:val="clear" w:color="auto" w:fill="auto"/>
            <w:noWrap/>
            <w:vAlign w:val="center"/>
          </w:tcPr>
          <w:p w14:paraId="2CB52461" w14:textId="6705B0A1" w:rsidR="00474612" w:rsidRPr="00FC13AE" w:rsidRDefault="00474612" w:rsidP="00474612">
            <w:pPr>
              <w:jc w:val="center"/>
              <w:rPr>
                <w:rFonts w:ascii="Arial" w:hAnsi="Arial" w:cs="Arial"/>
                <w:sz w:val="14"/>
                <w:szCs w:val="14"/>
              </w:rPr>
            </w:pPr>
            <w:r w:rsidRPr="00E7005A">
              <w:rPr>
                <w:rFonts w:ascii="Arial" w:hAnsi="Arial" w:cs="Arial"/>
                <w:sz w:val="14"/>
                <w:szCs w:val="14"/>
              </w:rPr>
              <w:t>15.39</w:t>
            </w:r>
          </w:p>
        </w:tc>
        <w:tc>
          <w:tcPr>
            <w:tcW w:w="709" w:type="dxa"/>
            <w:tcBorders>
              <w:top w:val="single" w:sz="4" w:space="0" w:color="auto"/>
              <w:left w:val="nil"/>
              <w:bottom w:val="single" w:sz="4" w:space="0" w:color="auto"/>
              <w:right w:val="nil"/>
            </w:tcBorders>
            <w:shd w:val="clear" w:color="auto" w:fill="auto"/>
            <w:noWrap/>
            <w:vAlign w:val="center"/>
          </w:tcPr>
          <w:p w14:paraId="3C415968" w14:textId="5947F7C7" w:rsidR="00474612" w:rsidRPr="00FC13AE" w:rsidRDefault="00474612" w:rsidP="00474612">
            <w:pPr>
              <w:jc w:val="center"/>
              <w:rPr>
                <w:rFonts w:ascii="Arial" w:hAnsi="Arial" w:cs="Arial"/>
                <w:sz w:val="14"/>
                <w:szCs w:val="14"/>
              </w:rPr>
            </w:pPr>
            <w:r w:rsidRPr="00E7005A">
              <w:rPr>
                <w:rFonts w:ascii="Arial" w:hAnsi="Arial" w:cs="Arial"/>
                <w:sz w:val="14"/>
                <w:szCs w:val="14"/>
              </w:rPr>
              <w:t>15.47</w:t>
            </w:r>
          </w:p>
        </w:tc>
        <w:tc>
          <w:tcPr>
            <w:tcW w:w="709" w:type="dxa"/>
            <w:tcBorders>
              <w:top w:val="single" w:sz="4" w:space="0" w:color="auto"/>
              <w:left w:val="nil"/>
              <w:bottom w:val="single" w:sz="4" w:space="0" w:color="auto"/>
              <w:right w:val="nil"/>
            </w:tcBorders>
            <w:shd w:val="clear" w:color="auto" w:fill="auto"/>
            <w:noWrap/>
            <w:vAlign w:val="center"/>
          </w:tcPr>
          <w:p w14:paraId="320FBF27" w14:textId="42A74239" w:rsidR="00474612" w:rsidRPr="00FC13AE" w:rsidRDefault="00474612" w:rsidP="00474612">
            <w:pPr>
              <w:jc w:val="center"/>
              <w:rPr>
                <w:rFonts w:ascii="Arial" w:hAnsi="Arial" w:cs="Arial"/>
                <w:sz w:val="14"/>
                <w:szCs w:val="14"/>
              </w:rPr>
            </w:pPr>
            <w:r w:rsidRPr="00E7005A">
              <w:rPr>
                <w:rFonts w:ascii="Arial" w:hAnsi="Arial" w:cs="Arial"/>
                <w:sz w:val="14"/>
                <w:szCs w:val="14"/>
              </w:rPr>
              <w:t>13.93</w:t>
            </w:r>
          </w:p>
        </w:tc>
        <w:tc>
          <w:tcPr>
            <w:tcW w:w="708" w:type="dxa"/>
            <w:tcBorders>
              <w:top w:val="single" w:sz="4" w:space="0" w:color="auto"/>
              <w:left w:val="nil"/>
              <w:bottom w:val="single" w:sz="4" w:space="0" w:color="auto"/>
              <w:right w:val="nil"/>
            </w:tcBorders>
            <w:shd w:val="clear" w:color="auto" w:fill="auto"/>
            <w:noWrap/>
            <w:vAlign w:val="center"/>
          </w:tcPr>
          <w:p w14:paraId="212502E0" w14:textId="5A7FD7F5" w:rsidR="00474612" w:rsidRPr="00FC13AE" w:rsidRDefault="00474612" w:rsidP="00474612">
            <w:pPr>
              <w:jc w:val="center"/>
              <w:rPr>
                <w:rFonts w:ascii="Arial" w:hAnsi="Arial" w:cs="Arial"/>
                <w:sz w:val="14"/>
                <w:szCs w:val="14"/>
              </w:rPr>
            </w:pPr>
            <w:r w:rsidRPr="00E7005A">
              <w:rPr>
                <w:rFonts w:ascii="Arial" w:hAnsi="Arial" w:cs="Arial"/>
                <w:sz w:val="14"/>
                <w:szCs w:val="14"/>
              </w:rPr>
              <w:t>12.92</w:t>
            </w:r>
          </w:p>
        </w:tc>
        <w:tc>
          <w:tcPr>
            <w:tcW w:w="706" w:type="dxa"/>
            <w:tcBorders>
              <w:top w:val="single" w:sz="4" w:space="0" w:color="auto"/>
              <w:left w:val="nil"/>
              <w:bottom w:val="single" w:sz="4" w:space="0" w:color="auto"/>
              <w:right w:val="nil"/>
            </w:tcBorders>
            <w:shd w:val="clear" w:color="auto" w:fill="auto"/>
            <w:noWrap/>
            <w:vAlign w:val="center"/>
          </w:tcPr>
          <w:p w14:paraId="23EC1EB3" w14:textId="1EEC7B94" w:rsidR="00474612" w:rsidRPr="00FC13AE" w:rsidRDefault="00474612" w:rsidP="00474612">
            <w:pPr>
              <w:jc w:val="center"/>
              <w:rPr>
                <w:rFonts w:ascii="Arial" w:hAnsi="Arial" w:cs="Arial"/>
                <w:sz w:val="14"/>
                <w:szCs w:val="14"/>
              </w:rPr>
            </w:pPr>
            <w:r w:rsidRPr="00E7005A">
              <w:rPr>
                <w:rFonts w:ascii="Arial" w:hAnsi="Arial" w:cs="Arial"/>
                <w:sz w:val="14"/>
                <w:szCs w:val="14"/>
              </w:rPr>
              <w:t>11.35</w:t>
            </w:r>
          </w:p>
        </w:tc>
        <w:tc>
          <w:tcPr>
            <w:tcW w:w="709" w:type="dxa"/>
            <w:tcBorders>
              <w:top w:val="single" w:sz="4" w:space="0" w:color="auto"/>
              <w:left w:val="nil"/>
              <w:bottom w:val="single" w:sz="4" w:space="0" w:color="auto"/>
              <w:right w:val="nil"/>
            </w:tcBorders>
            <w:shd w:val="clear" w:color="auto" w:fill="auto"/>
            <w:noWrap/>
            <w:vAlign w:val="center"/>
          </w:tcPr>
          <w:p w14:paraId="34626BE8" w14:textId="656177C4" w:rsidR="00474612" w:rsidRPr="00FC13AE" w:rsidRDefault="00474612" w:rsidP="00474612">
            <w:pPr>
              <w:jc w:val="center"/>
              <w:rPr>
                <w:rFonts w:ascii="Arial" w:hAnsi="Arial" w:cs="Arial"/>
                <w:sz w:val="14"/>
                <w:szCs w:val="14"/>
              </w:rPr>
            </w:pPr>
            <w:r w:rsidRPr="00E7005A">
              <w:rPr>
                <w:rFonts w:ascii="Arial" w:hAnsi="Arial" w:cs="Arial"/>
                <w:sz w:val="14"/>
                <w:szCs w:val="14"/>
              </w:rPr>
              <w:t>10.31</w:t>
            </w:r>
          </w:p>
        </w:tc>
        <w:tc>
          <w:tcPr>
            <w:tcW w:w="847" w:type="dxa"/>
            <w:tcBorders>
              <w:top w:val="single" w:sz="4" w:space="0" w:color="auto"/>
              <w:left w:val="nil"/>
              <w:bottom w:val="single" w:sz="4" w:space="0" w:color="auto"/>
              <w:right w:val="nil"/>
            </w:tcBorders>
            <w:shd w:val="clear" w:color="auto" w:fill="auto"/>
            <w:noWrap/>
            <w:vAlign w:val="center"/>
          </w:tcPr>
          <w:p w14:paraId="3ED26392" w14:textId="35360F71" w:rsidR="00474612" w:rsidRPr="00FC13AE" w:rsidRDefault="00474612" w:rsidP="00474612">
            <w:pPr>
              <w:jc w:val="center"/>
              <w:rPr>
                <w:rFonts w:ascii="Arial" w:hAnsi="Arial" w:cs="Arial"/>
                <w:sz w:val="14"/>
                <w:szCs w:val="14"/>
              </w:rPr>
            </w:pPr>
            <w:r w:rsidRPr="00E7005A">
              <w:rPr>
                <w:rFonts w:ascii="Arial" w:hAnsi="Arial" w:cs="Arial"/>
                <w:sz w:val="14"/>
                <w:szCs w:val="14"/>
              </w:rPr>
              <w:t>70.55</w:t>
            </w:r>
          </w:p>
        </w:tc>
      </w:tr>
    </w:tbl>
    <w:p w14:paraId="20CEA080" w14:textId="77777777" w:rsidR="00A372F6" w:rsidRDefault="00A372F6" w:rsidP="00A372F6">
      <w:pPr>
        <w:rPr>
          <w:rFonts w:ascii="Arial" w:hAnsi="Arial" w:cs="Arial"/>
          <w:b/>
        </w:rPr>
      </w:pPr>
    </w:p>
    <w:p w14:paraId="31F01010" w14:textId="77777777" w:rsidR="00A372F6" w:rsidRPr="00A43491" w:rsidRDefault="00A372F6" w:rsidP="00A372F6">
      <w:pPr>
        <w:rPr>
          <w:rFonts w:ascii="Arial" w:hAnsi="Arial" w:cs="Arial"/>
          <w:b/>
        </w:rPr>
      </w:pPr>
    </w:p>
    <w:p w14:paraId="61A50D2D" w14:textId="77777777" w:rsidR="00A372F6" w:rsidRPr="00052E61" w:rsidRDefault="00A372F6" w:rsidP="00A372F6">
      <w:pPr>
        <w:jc w:val="center"/>
        <w:rPr>
          <w:rFonts w:ascii="Arial" w:hAnsi="Arial" w:cs="Arial"/>
          <w:b/>
          <w:sz w:val="22"/>
          <w:lang w:val="es-ES_tradnl"/>
        </w:rPr>
      </w:pPr>
      <w:r w:rsidRPr="008F45BA">
        <w:rPr>
          <w:rFonts w:ascii="Arial" w:hAnsi="Arial" w:cs="Arial"/>
          <w:b/>
          <w:sz w:val="22"/>
          <w:lang w:val="es-ES_tradnl"/>
        </w:rPr>
        <w:t xml:space="preserve">Cuadro A5: Flujo Anual de Beneficios y Costos en VPN para </w:t>
      </w:r>
      <w:r w:rsidR="00052E61">
        <w:rPr>
          <w:rFonts w:ascii="Arial" w:hAnsi="Arial" w:cs="Arial"/>
          <w:b/>
          <w:sz w:val="22"/>
          <w:szCs w:val="22"/>
          <w:lang w:val="es-ES_tradnl"/>
        </w:rPr>
        <w:t xml:space="preserve">el </w:t>
      </w:r>
      <w:r w:rsidR="00052E61" w:rsidRPr="00052E61">
        <w:rPr>
          <w:rFonts w:ascii="Arial" w:hAnsi="Arial" w:cs="Arial"/>
          <w:b/>
          <w:sz w:val="22"/>
          <w:lang w:val="es-ES_tradnl"/>
        </w:rPr>
        <w:t xml:space="preserve">componente de Mejora de la infraestructura y equipamiento de las </w:t>
      </w:r>
      <w:r w:rsidR="00274642">
        <w:rPr>
          <w:rFonts w:ascii="Arial" w:hAnsi="Arial" w:cs="Arial"/>
          <w:b/>
          <w:sz w:val="22"/>
          <w:lang w:val="es-ES_tradnl"/>
        </w:rPr>
        <w:t>IES</w:t>
      </w:r>
      <w:r w:rsidR="00052E61" w:rsidRPr="00052E61">
        <w:rPr>
          <w:rFonts w:ascii="Arial" w:hAnsi="Arial" w:cs="Arial"/>
          <w:b/>
          <w:sz w:val="22"/>
          <w:lang w:val="es-ES_tradnl"/>
        </w:rPr>
        <w:t xml:space="preserve"> pública</w:t>
      </w:r>
      <w:r w:rsidR="00274642">
        <w:rPr>
          <w:rFonts w:ascii="Arial" w:hAnsi="Arial" w:cs="Arial"/>
          <w:b/>
          <w:sz w:val="22"/>
          <w:lang w:val="es-ES_tradnl"/>
        </w:rPr>
        <w:t>s</w:t>
      </w:r>
    </w:p>
    <w:p w14:paraId="13F76F9C" w14:textId="77777777" w:rsidR="00A372F6" w:rsidRPr="008F45BA" w:rsidRDefault="00A372F6" w:rsidP="00A372F6">
      <w:pPr>
        <w:jc w:val="center"/>
        <w:rPr>
          <w:rFonts w:ascii="Arial" w:hAnsi="Arial" w:cs="Arial"/>
          <w:b/>
          <w:sz w:val="22"/>
          <w:szCs w:val="22"/>
          <w:lang w:val="es-ES_tradnl"/>
        </w:rPr>
      </w:pPr>
    </w:p>
    <w:tbl>
      <w:tblPr>
        <w:tblW w:w="11838" w:type="dxa"/>
        <w:jc w:val="center"/>
        <w:tblLayout w:type="fixed"/>
        <w:tblLook w:val="04A0" w:firstRow="1" w:lastRow="0" w:firstColumn="1" w:lastColumn="0" w:noHBand="0" w:noVBand="1"/>
      </w:tblPr>
      <w:tblGrid>
        <w:gridCol w:w="1064"/>
        <w:gridCol w:w="568"/>
        <w:gridCol w:w="567"/>
        <w:gridCol w:w="567"/>
        <w:gridCol w:w="567"/>
        <w:gridCol w:w="567"/>
        <w:gridCol w:w="708"/>
        <w:gridCol w:w="709"/>
        <w:gridCol w:w="709"/>
        <w:gridCol w:w="709"/>
        <w:gridCol w:w="715"/>
        <w:gridCol w:w="709"/>
        <w:gridCol w:w="709"/>
        <w:gridCol w:w="708"/>
        <w:gridCol w:w="706"/>
        <w:gridCol w:w="709"/>
        <w:gridCol w:w="847"/>
      </w:tblGrid>
      <w:tr w:rsidR="008668B8" w:rsidRPr="00A43491" w14:paraId="2FFD76B3" w14:textId="77777777" w:rsidTr="00A20458">
        <w:trPr>
          <w:trHeight w:val="563"/>
          <w:jc w:val="center"/>
        </w:trPr>
        <w:tc>
          <w:tcPr>
            <w:tcW w:w="1064" w:type="dxa"/>
            <w:tcBorders>
              <w:top w:val="nil"/>
              <w:left w:val="nil"/>
              <w:bottom w:val="single" w:sz="4" w:space="0" w:color="auto"/>
              <w:right w:val="nil"/>
            </w:tcBorders>
            <w:shd w:val="clear" w:color="000000" w:fill="DDEBF7"/>
            <w:noWrap/>
            <w:vAlign w:val="bottom"/>
            <w:hideMark/>
          </w:tcPr>
          <w:p w14:paraId="16817B9B" w14:textId="77777777" w:rsidR="008668B8" w:rsidRPr="008F45BA" w:rsidRDefault="008668B8" w:rsidP="00A20458">
            <w:pPr>
              <w:rPr>
                <w:rFonts w:ascii="Arial" w:hAnsi="Arial" w:cs="Arial"/>
                <w:b/>
                <w:bCs/>
                <w:sz w:val="14"/>
                <w:szCs w:val="14"/>
                <w:lang w:val="es-ES_tradnl"/>
              </w:rPr>
            </w:pPr>
            <w:r w:rsidRPr="008F45BA">
              <w:rPr>
                <w:rFonts w:ascii="Arial" w:hAnsi="Arial" w:cs="Arial"/>
                <w:b/>
                <w:bCs/>
                <w:sz w:val="14"/>
                <w:szCs w:val="14"/>
                <w:lang w:val="es-ES_tradnl"/>
              </w:rPr>
              <w:t> </w:t>
            </w:r>
          </w:p>
        </w:tc>
        <w:tc>
          <w:tcPr>
            <w:tcW w:w="10774" w:type="dxa"/>
            <w:gridSpan w:val="16"/>
            <w:tcBorders>
              <w:top w:val="nil"/>
              <w:left w:val="nil"/>
              <w:bottom w:val="single" w:sz="4" w:space="0" w:color="auto"/>
            </w:tcBorders>
            <w:shd w:val="clear" w:color="000000" w:fill="DDEBF7"/>
            <w:vAlign w:val="center"/>
          </w:tcPr>
          <w:p w14:paraId="006FAB2D" w14:textId="77777777" w:rsidR="00052E61" w:rsidRPr="00D503A4" w:rsidRDefault="00052E61" w:rsidP="00052E61">
            <w:pPr>
              <w:jc w:val="center"/>
              <w:rPr>
                <w:rFonts w:ascii="Arial" w:hAnsi="Arial" w:cs="Arial"/>
                <w:b/>
                <w:bCs/>
                <w:sz w:val="14"/>
                <w:szCs w:val="14"/>
                <w:lang w:val="es-ES_tradnl"/>
              </w:rPr>
            </w:pPr>
            <w:r w:rsidRPr="00D503A4">
              <w:rPr>
                <w:rFonts w:ascii="Arial" w:hAnsi="Arial" w:cs="Arial"/>
                <w:b/>
                <w:bCs/>
                <w:sz w:val="14"/>
                <w:szCs w:val="14"/>
                <w:lang w:val="es-ES_tradnl"/>
              </w:rPr>
              <w:t xml:space="preserve">Mejora de la infraestructura y equipamiento de las </w:t>
            </w:r>
            <w:r w:rsidR="00274642">
              <w:rPr>
                <w:rFonts w:ascii="Arial" w:hAnsi="Arial" w:cs="Arial"/>
                <w:b/>
                <w:bCs/>
                <w:sz w:val="14"/>
                <w:szCs w:val="14"/>
                <w:lang w:val="es-ES_tradnl"/>
              </w:rPr>
              <w:t>IES</w:t>
            </w:r>
            <w:r w:rsidRPr="00D503A4">
              <w:rPr>
                <w:rFonts w:ascii="Arial" w:hAnsi="Arial" w:cs="Arial"/>
                <w:b/>
                <w:bCs/>
                <w:sz w:val="14"/>
                <w:szCs w:val="14"/>
                <w:lang w:val="es-ES_tradnl"/>
              </w:rPr>
              <w:t xml:space="preserve"> pública</w:t>
            </w:r>
            <w:r w:rsidR="00274642">
              <w:rPr>
                <w:rFonts w:ascii="Arial" w:hAnsi="Arial" w:cs="Arial"/>
                <w:b/>
                <w:bCs/>
                <w:sz w:val="14"/>
                <w:szCs w:val="14"/>
                <w:lang w:val="es-ES_tradnl"/>
              </w:rPr>
              <w:t>s</w:t>
            </w:r>
          </w:p>
          <w:p w14:paraId="570683DC" w14:textId="77777777" w:rsidR="008668B8" w:rsidRPr="00A43491" w:rsidRDefault="008668B8" w:rsidP="00A20458">
            <w:pPr>
              <w:jc w:val="center"/>
              <w:rPr>
                <w:rFonts w:ascii="Arial" w:hAnsi="Arial" w:cs="Arial"/>
                <w:b/>
                <w:bCs/>
                <w:sz w:val="14"/>
                <w:szCs w:val="14"/>
              </w:rPr>
            </w:pPr>
            <w:r w:rsidRPr="00A43491">
              <w:rPr>
                <w:rFonts w:ascii="Arial" w:hAnsi="Arial" w:cs="Arial"/>
                <w:b/>
                <w:bCs/>
                <w:sz w:val="14"/>
                <w:szCs w:val="14"/>
              </w:rPr>
              <w:t>Millones de dólares</w:t>
            </w:r>
          </w:p>
        </w:tc>
      </w:tr>
      <w:tr w:rsidR="008668B8" w:rsidRPr="00A43491" w14:paraId="558DA76C" w14:textId="77777777" w:rsidTr="00A20458">
        <w:trPr>
          <w:trHeight w:val="300"/>
          <w:jc w:val="center"/>
        </w:trPr>
        <w:tc>
          <w:tcPr>
            <w:tcW w:w="1064" w:type="dxa"/>
            <w:tcBorders>
              <w:top w:val="nil"/>
              <w:left w:val="nil"/>
              <w:bottom w:val="single" w:sz="4" w:space="0" w:color="auto"/>
              <w:right w:val="nil"/>
            </w:tcBorders>
            <w:shd w:val="clear" w:color="000000" w:fill="DDEBF7"/>
            <w:noWrap/>
            <w:vAlign w:val="bottom"/>
          </w:tcPr>
          <w:p w14:paraId="29BF85EC" w14:textId="77777777" w:rsidR="008668B8" w:rsidRPr="00A43491" w:rsidRDefault="008668B8" w:rsidP="00A20458">
            <w:pPr>
              <w:rPr>
                <w:rFonts w:ascii="Arial" w:hAnsi="Arial" w:cs="Arial"/>
                <w:b/>
                <w:bCs/>
                <w:sz w:val="14"/>
                <w:szCs w:val="14"/>
              </w:rPr>
            </w:pPr>
          </w:p>
        </w:tc>
        <w:tc>
          <w:tcPr>
            <w:tcW w:w="568" w:type="dxa"/>
            <w:tcBorders>
              <w:top w:val="nil"/>
              <w:left w:val="nil"/>
              <w:bottom w:val="single" w:sz="4" w:space="0" w:color="auto"/>
              <w:right w:val="nil"/>
            </w:tcBorders>
            <w:shd w:val="clear" w:color="000000" w:fill="DDEBF7"/>
            <w:vAlign w:val="center"/>
          </w:tcPr>
          <w:p w14:paraId="338180DB"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w:t>
            </w:r>
          </w:p>
        </w:tc>
        <w:tc>
          <w:tcPr>
            <w:tcW w:w="567" w:type="dxa"/>
            <w:tcBorders>
              <w:top w:val="nil"/>
              <w:left w:val="nil"/>
              <w:bottom w:val="single" w:sz="4" w:space="0" w:color="auto"/>
              <w:right w:val="nil"/>
            </w:tcBorders>
            <w:shd w:val="clear" w:color="000000" w:fill="DDEBF7"/>
            <w:noWrap/>
            <w:vAlign w:val="center"/>
          </w:tcPr>
          <w:p w14:paraId="0A392E66"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Año2</w:t>
            </w:r>
          </w:p>
        </w:tc>
        <w:tc>
          <w:tcPr>
            <w:tcW w:w="567" w:type="dxa"/>
            <w:tcBorders>
              <w:top w:val="nil"/>
              <w:left w:val="nil"/>
              <w:bottom w:val="single" w:sz="4" w:space="0" w:color="auto"/>
              <w:right w:val="nil"/>
            </w:tcBorders>
            <w:shd w:val="clear" w:color="000000" w:fill="DDEBF7"/>
            <w:noWrap/>
            <w:vAlign w:val="center"/>
          </w:tcPr>
          <w:p w14:paraId="4EB5B48E"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Año3</w:t>
            </w:r>
          </w:p>
        </w:tc>
        <w:tc>
          <w:tcPr>
            <w:tcW w:w="567" w:type="dxa"/>
            <w:tcBorders>
              <w:top w:val="nil"/>
              <w:left w:val="nil"/>
              <w:bottom w:val="single" w:sz="4" w:space="0" w:color="auto"/>
              <w:right w:val="nil"/>
            </w:tcBorders>
            <w:shd w:val="clear" w:color="000000" w:fill="DDEBF7"/>
            <w:noWrap/>
            <w:vAlign w:val="center"/>
          </w:tcPr>
          <w:p w14:paraId="2BDC7996"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Año4</w:t>
            </w:r>
          </w:p>
        </w:tc>
        <w:tc>
          <w:tcPr>
            <w:tcW w:w="567" w:type="dxa"/>
            <w:tcBorders>
              <w:top w:val="nil"/>
              <w:left w:val="nil"/>
              <w:bottom w:val="single" w:sz="4" w:space="0" w:color="auto"/>
              <w:right w:val="nil"/>
            </w:tcBorders>
            <w:shd w:val="clear" w:color="000000" w:fill="DDEBF7"/>
            <w:noWrap/>
            <w:vAlign w:val="center"/>
          </w:tcPr>
          <w:p w14:paraId="44314CB4"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Año5</w:t>
            </w:r>
          </w:p>
        </w:tc>
        <w:tc>
          <w:tcPr>
            <w:tcW w:w="708" w:type="dxa"/>
            <w:tcBorders>
              <w:top w:val="nil"/>
              <w:left w:val="nil"/>
              <w:bottom w:val="single" w:sz="4" w:space="0" w:color="auto"/>
              <w:right w:val="nil"/>
            </w:tcBorders>
            <w:shd w:val="clear" w:color="000000" w:fill="DDEBF7"/>
            <w:noWrap/>
            <w:vAlign w:val="center"/>
          </w:tcPr>
          <w:p w14:paraId="32586DBB"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Año6</w:t>
            </w:r>
          </w:p>
        </w:tc>
        <w:tc>
          <w:tcPr>
            <w:tcW w:w="709" w:type="dxa"/>
            <w:tcBorders>
              <w:top w:val="nil"/>
              <w:left w:val="nil"/>
              <w:bottom w:val="single" w:sz="4" w:space="0" w:color="auto"/>
              <w:right w:val="nil"/>
            </w:tcBorders>
            <w:shd w:val="clear" w:color="000000" w:fill="DDEBF7"/>
            <w:noWrap/>
            <w:vAlign w:val="center"/>
          </w:tcPr>
          <w:p w14:paraId="05767EB2"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Año7</w:t>
            </w:r>
          </w:p>
        </w:tc>
        <w:tc>
          <w:tcPr>
            <w:tcW w:w="709" w:type="dxa"/>
            <w:tcBorders>
              <w:top w:val="nil"/>
              <w:left w:val="nil"/>
              <w:bottom w:val="single" w:sz="4" w:space="0" w:color="auto"/>
              <w:right w:val="nil"/>
            </w:tcBorders>
            <w:shd w:val="clear" w:color="000000" w:fill="DDEBF7"/>
            <w:noWrap/>
            <w:vAlign w:val="center"/>
          </w:tcPr>
          <w:p w14:paraId="2DE72B63"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Año8</w:t>
            </w:r>
          </w:p>
        </w:tc>
        <w:tc>
          <w:tcPr>
            <w:tcW w:w="709" w:type="dxa"/>
            <w:tcBorders>
              <w:top w:val="nil"/>
              <w:left w:val="nil"/>
              <w:bottom w:val="single" w:sz="4" w:space="0" w:color="auto"/>
              <w:right w:val="nil"/>
            </w:tcBorders>
            <w:shd w:val="clear" w:color="000000" w:fill="DDEBF7"/>
            <w:noWrap/>
            <w:vAlign w:val="center"/>
          </w:tcPr>
          <w:p w14:paraId="18783BB3"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Año9</w:t>
            </w:r>
          </w:p>
        </w:tc>
        <w:tc>
          <w:tcPr>
            <w:tcW w:w="715" w:type="dxa"/>
            <w:tcBorders>
              <w:top w:val="nil"/>
              <w:left w:val="nil"/>
              <w:bottom w:val="single" w:sz="4" w:space="0" w:color="auto"/>
              <w:right w:val="nil"/>
            </w:tcBorders>
            <w:shd w:val="clear" w:color="000000" w:fill="DDEBF7"/>
            <w:noWrap/>
            <w:vAlign w:val="center"/>
          </w:tcPr>
          <w:p w14:paraId="5797077C"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Año10</w:t>
            </w:r>
          </w:p>
        </w:tc>
        <w:tc>
          <w:tcPr>
            <w:tcW w:w="709" w:type="dxa"/>
            <w:tcBorders>
              <w:top w:val="nil"/>
              <w:left w:val="nil"/>
              <w:bottom w:val="single" w:sz="4" w:space="0" w:color="auto"/>
              <w:right w:val="nil"/>
            </w:tcBorders>
            <w:shd w:val="clear" w:color="000000" w:fill="DDEBF7"/>
            <w:noWrap/>
            <w:vAlign w:val="center"/>
          </w:tcPr>
          <w:p w14:paraId="5807087F"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Año11</w:t>
            </w:r>
          </w:p>
        </w:tc>
        <w:tc>
          <w:tcPr>
            <w:tcW w:w="709" w:type="dxa"/>
            <w:tcBorders>
              <w:top w:val="nil"/>
              <w:left w:val="nil"/>
              <w:bottom w:val="single" w:sz="4" w:space="0" w:color="auto"/>
              <w:right w:val="nil"/>
            </w:tcBorders>
            <w:shd w:val="clear" w:color="000000" w:fill="DDEBF7"/>
            <w:noWrap/>
            <w:vAlign w:val="center"/>
          </w:tcPr>
          <w:p w14:paraId="20DDD1EC"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Año12</w:t>
            </w:r>
          </w:p>
        </w:tc>
        <w:tc>
          <w:tcPr>
            <w:tcW w:w="708" w:type="dxa"/>
            <w:tcBorders>
              <w:top w:val="nil"/>
              <w:left w:val="nil"/>
              <w:bottom w:val="single" w:sz="4" w:space="0" w:color="auto"/>
              <w:right w:val="nil"/>
            </w:tcBorders>
            <w:shd w:val="clear" w:color="000000" w:fill="DDEBF7"/>
            <w:noWrap/>
            <w:vAlign w:val="center"/>
          </w:tcPr>
          <w:p w14:paraId="78CAFFC8"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Año13</w:t>
            </w:r>
          </w:p>
        </w:tc>
        <w:tc>
          <w:tcPr>
            <w:tcW w:w="706" w:type="dxa"/>
            <w:tcBorders>
              <w:top w:val="nil"/>
              <w:left w:val="nil"/>
              <w:bottom w:val="single" w:sz="4" w:space="0" w:color="auto"/>
              <w:right w:val="nil"/>
            </w:tcBorders>
            <w:shd w:val="clear" w:color="000000" w:fill="DDEBF7"/>
            <w:noWrap/>
            <w:vAlign w:val="center"/>
          </w:tcPr>
          <w:p w14:paraId="1EC38C93"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Año14</w:t>
            </w:r>
          </w:p>
        </w:tc>
        <w:tc>
          <w:tcPr>
            <w:tcW w:w="709" w:type="dxa"/>
            <w:tcBorders>
              <w:top w:val="nil"/>
              <w:left w:val="nil"/>
              <w:bottom w:val="single" w:sz="4" w:space="0" w:color="auto"/>
              <w:right w:val="nil"/>
            </w:tcBorders>
            <w:shd w:val="clear" w:color="000000" w:fill="DDEBF7"/>
            <w:noWrap/>
            <w:vAlign w:val="center"/>
          </w:tcPr>
          <w:p w14:paraId="4EF4B30D"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w:t>
            </w:r>
            <w:r>
              <w:rPr>
                <w:rFonts w:ascii="Arial" w:hAnsi="Arial" w:cs="Arial"/>
                <w:b/>
                <w:bCs/>
                <w:sz w:val="14"/>
                <w:szCs w:val="14"/>
              </w:rPr>
              <w:t>5</w:t>
            </w:r>
          </w:p>
        </w:tc>
        <w:tc>
          <w:tcPr>
            <w:tcW w:w="847" w:type="dxa"/>
            <w:tcBorders>
              <w:top w:val="nil"/>
              <w:left w:val="nil"/>
              <w:bottom w:val="single" w:sz="4" w:space="0" w:color="auto"/>
            </w:tcBorders>
            <w:shd w:val="clear" w:color="000000" w:fill="DDEBF7"/>
            <w:noWrap/>
            <w:vAlign w:val="center"/>
          </w:tcPr>
          <w:p w14:paraId="1C85D6C9"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Total</w:t>
            </w:r>
          </w:p>
        </w:tc>
      </w:tr>
      <w:tr w:rsidR="00254946" w:rsidRPr="00A43491" w14:paraId="7E4A783A" w14:textId="77777777" w:rsidTr="00E62139">
        <w:trPr>
          <w:trHeight w:val="300"/>
          <w:jc w:val="center"/>
        </w:trPr>
        <w:tc>
          <w:tcPr>
            <w:tcW w:w="1064" w:type="dxa"/>
            <w:tcBorders>
              <w:top w:val="single" w:sz="4" w:space="0" w:color="auto"/>
              <w:left w:val="nil"/>
              <w:right w:val="nil"/>
            </w:tcBorders>
            <w:shd w:val="clear" w:color="auto" w:fill="auto"/>
            <w:noWrap/>
            <w:hideMark/>
          </w:tcPr>
          <w:p w14:paraId="365CC23C" w14:textId="77777777" w:rsidR="00254946" w:rsidRPr="005B5674" w:rsidRDefault="00254946" w:rsidP="00254946">
            <w:pPr>
              <w:jc w:val="center"/>
              <w:rPr>
                <w:rFonts w:ascii="Arial" w:hAnsi="Arial" w:cs="Arial"/>
                <w:b/>
                <w:sz w:val="14"/>
                <w:szCs w:val="14"/>
              </w:rPr>
            </w:pPr>
            <w:r w:rsidRPr="00A43491">
              <w:rPr>
                <w:rFonts w:ascii="Arial" w:hAnsi="Arial" w:cs="Arial"/>
                <w:sz w:val="14"/>
                <w:szCs w:val="14"/>
              </w:rPr>
              <w:t xml:space="preserve">Beneficios Económicos en VPN </w:t>
            </w:r>
          </w:p>
        </w:tc>
        <w:tc>
          <w:tcPr>
            <w:tcW w:w="568" w:type="dxa"/>
            <w:tcBorders>
              <w:top w:val="single" w:sz="4" w:space="0" w:color="auto"/>
              <w:left w:val="nil"/>
              <w:right w:val="nil"/>
            </w:tcBorders>
            <w:vAlign w:val="center"/>
          </w:tcPr>
          <w:p w14:paraId="1F945622" w14:textId="615B15A3" w:rsidR="00254946" w:rsidRPr="00AC1917" w:rsidRDefault="00254946" w:rsidP="00254946">
            <w:pPr>
              <w:jc w:val="center"/>
              <w:rPr>
                <w:rFonts w:ascii="Arial" w:hAnsi="Arial" w:cs="Arial"/>
                <w:sz w:val="14"/>
                <w:szCs w:val="14"/>
              </w:rPr>
            </w:pPr>
            <w:r w:rsidRPr="00E62139">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18B92421" w14:textId="7E59ECFF" w:rsidR="00254946" w:rsidRPr="00AC1917" w:rsidRDefault="00254946" w:rsidP="00254946">
            <w:pPr>
              <w:jc w:val="center"/>
              <w:rPr>
                <w:rFonts w:ascii="Arial" w:hAnsi="Arial" w:cs="Arial"/>
                <w:sz w:val="14"/>
                <w:szCs w:val="14"/>
              </w:rPr>
            </w:pPr>
            <w:r w:rsidRPr="00E62139">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11ABCE4C" w14:textId="5AE5EA39" w:rsidR="00254946" w:rsidRPr="00AC1917" w:rsidRDefault="00254946" w:rsidP="00254946">
            <w:pPr>
              <w:jc w:val="center"/>
              <w:rPr>
                <w:rFonts w:ascii="Arial" w:hAnsi="Arial" w:cs="Arial"/>
                <w:sz w:val="14"/>
                <w:szCs w:val="14"/>
              </w:rPr>
            </w:pPr>
            <w:r w:rsidRPr="00E62139">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0715F7F4" w14:textId="415762A6" w:rsidR="00254946" w:rsidRPr="00AC1917" w:rsidRDefault="00254946" w:rsidP="00254946">
            <w:pPr>
              <w:jc w:val="center"/>
              <w:rPr>
                <w:rFonts w:ascii="Arial" w:hAnsi="Arial" w:cs="Arial"/>
                <w:sz w:val="14"/>
                <w:szCs w:val="14"/>
              </w:rPr>
            </w:pPr>
            <w:r w:rsidRPr="00E62139">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70D603E9" w14:textId="50706141" w:rsidR="00254946" w:rsidRPr="00AC1917" w:rsidRDefault="00254946" w:rsidP="00254946">
            <w:pPr>
              <w:jc w:val="center"/>
              <w:rPr>
                <w:rFonts w:ascii="Arial" w:hAnsi="Arial" w:cs="Arial"/>
                <w:sz w:val="14"/>
                <w:szCs w:val="14"/>
              </w:rPr>
            </w:pPr>
            <w:r w:rsidRPr="00E62139">
              <w:rPr>
                <w:rFonts w:ascii="Arial" w:hAnsi="Arial" w:cs="Arial"/>
                <w:sz w:val="14"/>
                <w:szCs w:val="14"/>
              </w:rPr>
              <w:t>0</w:t>
            </w:r>
          </w:p>
        </w:tc>
        <w:tc>
          <w:tcPr>
            <w:tcW w:w="708" w:type="dxa"/>
            <w:tcBorders>
              <w:top w:val="single" w:sz="4" w:space="0" w:color="auto"/>
              <w:left w:val="nil"/>
              <w:right w:val="nil"/>
            </w:tcBorders>
            <w:shd w:val="clear" w:color="auto" w:fill="auto"/>
            <w:noWrap/>
            <w:vAlign w:val="center"/>
            <w:hideMark/>
          </w:tcPr>
          <w:p w14:paraId="5D60EB4B" w14:textId="01C59BD0" w:rsidR="00254946" w:rsidRPr="00AC1917" w:rsidRDefault="00254946" w:rsidP="00254946">
            <w:pPr>
              <w:jc w:val="center"/>
              <w:rPr>
                <w:rFonts w:ascii="Arial" w:hAnsi="Arial" w:cs="Arial"/>
                <w:sz w:val="14"/>
                <w:szCs w:val="14"/>
              </w:rPr>
            </w:pPr>
            <w:r w:rsidRPr="00E62139">
              <w:rPr>
                <w:rFonts w:ascii="Arial" w:hAnsi="Arial" w:cs="Arial"/>
                <w:sz w:val="14"/>
                <w:szCs w:val="14"/>
              </w:rPr>
              <w:t>26.97</w:t>
            </w:r>
          </w:p>
        </w:tc>
        <w:tc>
          <w:tcPr>
            <w:tcW w:w="709" w:type="dxa"/>
            <w:tcBorders>
              <w:top w:val="single" w:sz="4" w:space="0" w:color="auto"/>
              <w:left w:val="nil"/>
              <w:right w:val="nil"/>
            </w:tcBorders>
            <w:shd w:val="clear" w:color="auto" w:fill="auto"/>
            <w:noWrap/>
            <w:vAlign w:val="center"/>
            <w:hideMark/>
          </w:tcPr>
          <w:p w14:paraId="6A2F7A94" w14:textId="6002BE53" w:rsidR="00254946" w:rsidRPr="00AC1917" w:rsidRDefault="00254946" w:rsidP="00254946">
            <w:pPr>
              <w:jc w:val="center"/>
              <w:rPr>
                <w:rFonts w:ascii="Arial" w:hAnsi="Arial" w:cs="Arial"/>
                <w:sz w:val="14"/>
                <w:szCs w:val="14"/>
              </w:rPr>
            </w:pPr>
            <w:r w:rsidRPr="00E62139">
              <w:rPr>
                <w:rFonts w:ascii="Arial" w:hAnsi="Arial" w:cs="Arial"/>
                <w:sz w:val="14"/>
                <w:szCs w:val="14"/>
              </w:rPr>
              <w:t>26.54</w:t>
            </w:r>
          </w:p>
        </w:tc>
        <w:tc>
          <w:tcPr>
            <w:tcW w:w="709" w:type="dxa"/>
            <w:tcBorders>
              <w:top w:val="single" w:sz="4" w:space="0" w:color="auto"/>
              <w:left w:val="nil"/>
              <w:right w:val="nil"/>
            </w:tcBorders>
            <w:shd w:val="clear" w:color="auto" w:fill="auto"/>
            <w:noWrap/>
            <w:vAlign w:val="center"/>
            <w:hideMark/>
          </w:tcPr>
          <w:p w14:paraId="3A7E73E8" w14:textId="67AB9477" w:rsidR="00254946" w:rsidRPr="00AC1917" w:rsidRDefault="00254946" w:rsidP="00254946">
            <w:pPr>
              <w:jc w:val="center"/>
              <w:rPr>
                <w:rFonts w:ascii="Arial" w:hAnsi="Arial" w:cs="Arial"/>
                <w:sz w:val="14"/>
                <w:szCs w:val="14"/>
              </w:rPr>
            </w:pPr>
            <w:r w:rsidRPr="00E62139">
              <w:rPr>
                <w:rFonts w:ascii="Arial" w:hAnsi="Arial" w:cs="Arial"/>
                <w:sz w:val="14"/>
                <w:szCs w:val="14"/>
              </w:rPr>
              <w:t>26.11</w:t>
            </w:r>
          </w:p>
        </w:tc>
        <w:tc>
          <w:tcPr>
            <w:tcW w:w="709" w:type="dxa"/>
            <w:tcBorders>
              <w:top w:val="single" w:sz="4" w:space="0" w:color="auto"/>
              <w:left w:val="nil"/>
              <w:right w:val="nil"/>
            </w:tcBorders>
            <w:shd w:val="clear" w:color="auto" w:fill="auto"/>
            <w:noWrap/>
            <w:vAlign w:val="center"/>
            <w:hideMark/>
          </w:tcPr>
          <w:p w14:paraId="20315397" w14:textId="2CE8CABF" w:rsidR="00254946" w:rsidRPr="00AC1917" w:rsidRDefault="00254946" w:rsidP="00254946">
            <w:pPr>
              <w:jc w:val="center"/>
              <w:rPr>
                <w:rFonts w:ascii="Arial" w:hAnsi="Arial" w:cs="Arial"/>
                <w:sz w:val="14"/>
                <w:szCs w:val="14"/>
              </w:rPr>
            </w:pPr>
            <w:r w:rsidRPr="00E62139">
              <w:rPr>
                <w:rFonts w:ascii="Arial" w:hAnsi="Arial" w:cs="Arial"/>
                <w:sz w:val="14"/>
                <w:szCs w:val="14"/>
              </w:rPr>
              <w:t>25.70</w:t>
            </w:r>
          </w:p>
        </w:tc>
        <w:tc>
          <w:tcPr>
            <w:tcW w:w="715" w:type="dxa"/>
            <w:tcBorders>
              <w:top w:val="single" w:sz="4" w:space="0" w:color="auto"/>
              <w:left w:val="nil"/>
              <w:right w:val="nil"/>
            </w:tcBorders>
            <w:shd w:val="clear" w:color="auto" w:fill="auto"/>
            <w:noWrap/>
            <w:vAlign w:val="center"/>
            <w:hideMark/>
          </w:tcPr>
          <w:p w14:paraId="1F608633" w14:textId="222A1868" w:rsidR="00254946" w:rsidRPr="00AC1917" w:rsidRDefault="00254946" w:rsidP="00254946">
            <w:pPr>
              <w:jc w:val="center"/>
              <w:rPr>
                <w:rFonts w:ascii="Arial" w:hAnsi="Arial" w:cs="Arial"/>
                <w:sz w:val="14"/>
                <w:szCs w:val="14"/>
              </w:rPr>
            </w:pPr>
            <w:r w:rsidRPr="00E62139">
              <w:rPr>
                <w:rFonts w:ascii="Arial" w:hAnsi="Arial" w:cs="Arial"/>
                <w:sz w:val="14"/>
                <w:szCs w:val="14"/>
              </w:rPr>
              <w:t>25.29</w:t>
            </w:r>
          </w:p>
        </w:tc>
        <w:tc>
          <w:tcPr>
            <w:tcW w:w="709" w:type="dxa"/>
            <w:tcBorders>
              <w:top w:val="single" w:sz="4" w:space="0" w:color="auto"/>
              <w:left w:val="nil"/>
              <w:right w:val="nil"/>
            </w:tcBorders>
            <w:shd w:val="clear" w:color="auto" w:fill="auto"/>
            <w:noWrap/>
            <w:vAlign w:val="center"/>
            <w:hideMark/>
          </w:tcPr>
          <w:p w14:paraId="55090ACC" w14:textId="77CCC84B" w:rsidR="00254946" w:rsidRPr="00AC1917" w:rsidRDefault="00254946" w:rsidP="00254946">
            <w:pPr>
              <w:jc w:val="center"/>
              <w:rPr>
                <w:rFonts w:ascii="Arial" w:hAnsi="Arial" w:cs="Arial"/>
                <w:sz w:val="14"/>
                <w:szCs w:val="14"/>
              </w:rPr>
            </w:pPr>
            <w:r w:rsidRPr="00E62139">
              <w:rPr>
                <w:rFonts w:ascii="Arial" w:hAnsi="Arial" w:cs="Arial"/>
                <w:sz w:val="14"/>
                <w:szCs w:val="14"/>
              </w:rPr>
              <w:t>24.88</w:t>
            </w:r>
          </w:p>
        </w:tc>
        <w:tc>
          <w:tcPr>
            <w:tcW w:w="709" w:type="dxa"/>
            <w:tcBorders>
              <w:top w:val="single" w:sz="4" w:space="0" w:color="auto"/>
              <w:left w:val="nil"/>
              <w:right w:val="nil"/>
            </w:tcBorders>
            <w:shd w:val="clear" w:color="auto" w:fill="auto"/>
            <w:noWrap/>
            <w:vAlign w:val="center"/>
            <w:hideMark/>
          </w:tcPr>
          <w:p w14:paraId="56F01DC2" w14:textId="3E95CED9" w:rsidR="00254946" w:rsidRPr="00AC1917" w:rsidRDefault="00254946" w:rsidP="00254946">
            <w:pPr>
              <w:jc w:val="center"/>
              <w:rPr>
                <w:rFonts w:ascii="Arial" w:hAnsi="Arial" w:cs="Arial"/>
                <w:sz w:val="14"/>
                <w:szCs w:val="14"/>
              </w:rPr>
            </w:pPr>
            <w:r w:rsidRPr="00E62139">
              <w:rPr>
                <w:rFonts w:ascii="Arial" w:hAnsi="Arial" w:cs="Arial"/>
                <w:sz w:val="14"/>
                <w:szCs w:val="14"/>
              </w:rPr>
              <w:t>24.49</w:t>
            </w:r>
          </w:p>
        </w:tc>
        <w:tc>
          <w:tcPr>
            <w:tcW w:w="708" w:type="dxa"/>
            <w:tcBorders>
              <w:top w:val="single" w:sz="4" w:space="0" w:color="auto"/>
              <w:left w:val="nil"/>
              <w:right w:val="nil"/>
            </w:tcBorders>
            <w:shd w:val="clear" w:color="auto" w:fill="auto"/>
            <w:noWrap/>
            <w:vAlign w:val="center"/>
            <w:hideMark/>
          </w:tcPr>
          <w:p w14:paraId="54B279A9" w14:textId="3385EA3E" w:rsidR="00254946" w:rsidRPr="00AC1917" w:rsidRDefault="00254946" w:rsidP="00254946">
            <w:pPr>
              <w:jc w:val="center"/>
              <w:rPr>
                <w:rFonts w:ascii="Arial" w:hAnsi="Arial" w:cs="Arial"/>
                <w:sz w:val="14"/>
                <w:szCs w:val="14"/>
              </w:rPr>
            </w:pPr>
            <w:r w:rsidRPr="00E62139">
              <w:rPr>
                <w:rFonts w:ascii="Arial" w:hAnsi="Arial" w:cs="Arial"/>
                <w:sz w:val="14"/>
                <w:szCs w:val="14"/>
              </w:rPr>
              <w:t>24.09</w:t>
            </w:r>
          </w:p>
        </w:tc>
        <w:tc>
          <w:tcPr>
            <w:tcW w:w="706" w:type="dxa"/>
            <w:tcBorders>
              <w:top w:val="single" w:sz="4" w:space="0" w:color="auto"/>
              <w:left w:val="nil"/>
              <w:right w:val="nil"/>
            </w:tcBorders>
            <w:shd w:val="clear" w:color="auto" w:fill="auto"/>
            <w:noWrap/>
            <w:vAlign w:val="center"/>
            <w:hideMark/>
          </w:tcPr>
          <w:p w14:paraId="5DF22E98" w14:textId="5A9C1AC9" w:rsidR="00254946" w:rsidRPr="00AC1917" w:rsidRDefault="00254946" w:rsidP="00254946">
            <w:pPr>
              <w:jc w:val="center"/>
              <w:rPr>
                <w:rFonts w:ascii="Arial" w:hAnsi="Arial" w:cs="Arial"/>
                <w:sz w:val="14"/>
                <w:szCs w:val="14"/>
              </w:rPr>
            </w:pPr>
            <w:r w:rsidRPr="00E62139">
              <w:rPr>
                <w:rFonts w:ascii="Arial" w:hAnsi="Arial" w:cs="Arial"/>
                <w:sz w:val="14"/>
                <w:szCs w:val="14"/>
              </w:rPr>
              <w:t>23.71</w:t>
            </w:r>
          </w:p>
        </w:tc>
        <w:tc>
          <w:tcPr>
            <w:tcW w:w="709" w:type="dxa"/>
            <w:tcBorders>
              <w:top w:val="single" w:sz="4" w:space="0" w:color="auto"/>
              <w:left w:val="nil"/>
              <w:right w:val="nil"/>
            </w:tcBorders>
            <w:shd w:val="clear" w:color="auto" w:fill="auto"/>
            <w:noWrap/>
            <w:vAlign w:val="center"/>
            <w:hideMark/>
          </w:tcPr>
          <w:p w14:paraId="2EF27422" w14:textId="4424C01B" w:rsidR="00254946" w:rsidRPr="00AC1917" w:rsidRDefault="00254946" w:rsidP="00254946">
            <w:pPr>
              <w:jc w:val="center"/>
              <w:rPr>
                <w:rFonts w:ascii="Arial" w:hAnsi="Arial" w:cs="Arial"/>
                <w:sz w:val="14"/>
                <w:szCs w:val="14"/>
              </w:rPr>
            </w:pPr>
            <w:r w:rsidRPr="00E62139">
              <w:rPr>
                <w:rFonts w:ascii="Arial" w:hAnsi="Arial" w:cs="Arial"/>
                <w:sz w:val="14"/>
                <w:szCs w:val="14"/>
              </w:rPr>
              <w:t>23.33</w:t>
            </w:r>
          </w:p>
        </w:tc>
        <w:tc>
          <w:tcPr>
            <w:tcW w:w="847" w:type="dxa"/>
            <w:tcBorders>
              <w:top w:val="single" w:sz="4" w:space="0" w:color="auto"/>
              <w:left w:val="nil"/>
              <w:right w:val="nil"/>
            </w:tcBorders>
            <w:shd w:val="clear" w:color="auto" w:fill="auto"/>
            <w:noWrap/>
            <w:vAlign w:val="center"/>
            <w:hideMark/>
          </w:tcPr>
          <w:p w14:paraId="265DF9F2" w14:textId="45D01796" w:rsidR="00254946" w:rsidRPr="00AC1917" w:rsidRDefault="00254946" w:rsidP="00254946">
            <w:pPr>
              <w:jc w:val="center"/>
              <w:rPr>
                <w:rFonts w:ascii="Arial" w:hAnsi="Arial" w:cs="Arial"/>
                <w:sz w:val="14"/>
                <w:szCs w:val="14"/>
              </w:rPr>
            </w:pPr>
            <w:r w:rsidRPr="00E62139">
              <w:rPr>
                <w:rFonts w:ascii="Arial" w:hAnsi="Arial" w:cs="Arial"/>
                <w:sz w:val="14"/>
                <w:szCs w:val="14"/>
              </w:rPr>
              <w:t>251.11</w:t>
            </w:r>
          </w:p>
        </w:tc>
      </w:tr>
      <w:tr w:rsidR="00254946" w:rsidRPr="00A43491" w14:paraId="0CABA398" w14:textId="77777777" w:rsidTr="00E62139">
        <w:trPr>
          <w:trHeight w:val="300"/>
          <w:jc w:val="center"/>
        </w:trPr>
        <w:tc>
          <w:tcPr>
            <w:tcW w:w="1064" w:type="dxa"/>
            <w:tcBorders>
              <w:left w:val="nil"/>
              <w:bottom w:val="single" w:sz="4" w:space="0" w:color="auto"/>
              <w:right w:val="nil"/>
            </w:tcBorders>
            <w:shd w:val="clear" w:color="auto" w:fill="auto"/>
            <w:noWrap/>
          </w:tcPr>
          <w:p w14:paraId="09F33592" w14:textId="77777777" w:rsidR="00254946" w:rsidRPr="005B5674" w:rsidRDefault="00254946" w:rsidP="00254946">
            <w:pPr>
              <w:jc w:val="center"/>
              <w:rPr>
                <w:rFonts w:ascii="Arial" w:hAnsi="Arial" w:cs="Arial"/>
                <w:sz w:val="14"/>
                <w:szCs w:val="14"/>
              </w:rPr>
            </w:pPr>
            <w:r w:rsidRPr="00A43491">
              <w:rPr>
                <w:rFonts w:ascii="Arial" w:hAnsi="Arial" w:cs="Arial"/>
                <w:sz w:val="14"/>
                <w:szCs w:val="14"/>
              </w:rPr>
              <w:t>Costos Económicos en VPN</w:t>
            </w:r>
          </w:p>
        </w:tc>
        <w:tc>
          <w:tcPr>
            <w:tcW w:w="568" w:type="dxa"/>
            <w:tcBorders>
              <w:left w:val="nil"/>
              <w:bottom w:val="single" w:sz="4" w:space="0" w:color="auto"/>
              <w:right w:val="nil"/>
            </w:tcBorders>
            <w:vAlign w:val="center"/>
          </w:tcPr>
          <w:p w14:paraId="525AD61D" w14:textId="1EA77D71" w:rsidR="00254946" w:rsidRPr="00FC13AE" w:rsidRDefault="00254946" w:rsidP="00254946">
            <w:pPr>
              <w:jc w:val="center"/>
              <w:rPr>
                <w:rFonts w:ascii="Arial" w:hAnsi="Arial" w:cs="Arial"/>
                <w:sz w:val="14"/>
                <w:szCs w:val="14"/>
              </w:rPr>
            </w:pPr>
            <w:r w:rsidRPr="00E62139">
              <w:rPr>
                <w:rFonts w:ascii="Arial" w:hAnsi="Arial" w:cs="Arial"/>
                <w:sz w:val="14"/>
                <w:szCs w:val="14"/>
              </w:rPr>
              <w:t>13.35</w:t>
            </w:r>
          </w:p>
        </w:tc>
        <w:tc>
          <w:tcPr>
            <w:tcW w:w="567" w:type="dxa"/>
            <w:tcBorders>
              <w:left w:val="nil"/>
              <w:bottom w:val="single" w:sz="4" w:space="0" w:color="auto"/>
              <w:right w:val="nil"/>
            </w:tcBorders>
            <w:shd w:val="clear" w:color="auto" w:fill="auto"/>
            <w:noWrap/>
            <w:vAlign w:val="center"/>
          </w:tcPr>
          <w:p w14:paraId="01D4F998" w14:textId="46CC8CF8" w:rsidR="00254946" w:rsidRPr="00FC13AE" w:rsidRDefault="00254946" w:rsidP="00254946">
            <w:pPr>
              <w:jc w:val="center"/>
              <w:rPr>
                <w:rFonts w:ascii="Arial" w:hAnsi="Arial" w:cs="Arial"/>
                <w:sz w:val="14"/>
                <w:szCs w:val="14"/>
              </w:rPr>
            </w:pPr>
            <w:r w:rsidRPr="00E62139">
              <w:rPr>
                <w:rFonts w:ascii="Arial" w:hAnsi="Arial" w:cs="Arial"/>
                <w:sz w:val="14"/>
                <w:szCs w:val="14"/>
              </w:rPr>
              <w:t>37.18</w:t>
            </w:r>
          </w:p>
        </w:tc>
        <w:tc>
          <w:tcPr>
            <w:tcW w:w="567" w:type="dxa"/>
            <w:tcBorders>
              <w:left w:val="nil"/>
              <w:bottom w:val="single" w:sz="4" w:space="0" w:color="auto"/>
              <w:right w:val="nil"/>
            </w:tcBorders>
            <w:shd w:val="clear" w:color="auto" w:fill="auto"/>
            <w:noWrap/>
            <w:vAlign w:val="center"/>
          </w:tcPr>
          <w:p w14:paraId="6277F4A3" w14:textId="778755F4" w:rsidR="00254946" w:rsidRPr="00FC13AE" w:rsidRDefault="00254946" w:rsidP="00254946">
            <w:pPr>
              <w:jc w:val="center"/>
              <w:rPr>
                <w:rFonts w:ascii="Arial" w:hAnsi="Arial" w:cs="Arial"/>
                <w:sz w:val="14"/>
                <w:szCs w:val="14"/>
              </w:rPr>
            </w:pPr>
            <w:r w:rsidRPr="00E62139">
              <w:rPr>
                <w:rFonts w:ascii="Arial" w:hAnsi="Arial" w:cs="Arial"/>
                <w:sz w:val="14"/>
                <w:szCs w:val="14"/>
              </w:rPr>
              <w:t>26.30</w:t>
            </w:r>
          </w:p>
        </w:tc>
        <w:tc>
          <w:tcPr>
            <w:tcW w:w="567" w:type="dxa"/>
            <w:tcBorders>
              <w:left w:val="nil"/>
              <w:bottom w:val="single" w:sz="4" w:space="0" w:color="auto"/>
              <w:right w:val="nil"/>
            </w:tcBorders>
            <w:shd w:val="clear" w:color="auto" w:fill="auto"/>
            <w:noWrap/>
            <w:vAlign w:val="center"/>
          </w:tcPr>
          <w:p w14:paraId="2EF108CE" w14:textId="31CD2B67" w:rsidR="00254946" w:rsidRPr="00FC13AE" w:rsidRDefault="00254946" w:rsidP="00254946">
            <w:pPr>
              <w:jc w:val="center"/>
              <w:rPr>
                <w:rFonts w:ascii="Arial" w:hAnsi="Arial" w:cs="Arial"/>
                <w:sz w:val="14"/>
                <w:szCs w:val="14"/>
              </w:rPr>
            </w:pPr>
            <w:r w:rsidRPr="00E62139">
              <w:rPr>
                <w:rFonts w:ascii="Arial" w:hAnsi="Arial" w:cs="Arial"/>
                <w:sz w:val="14"/>
                <w:szCs w:val="14"/>
              </w:rPr>
              <w:t>8.56</w:t>
            </w:r>
          </w:p>
        </w:tc>
        <w:tc>
          <w:tcPr>
            <w:tcW w:w="567" w:type="dxa"/>
            <w:tcBorders>
              <w:left w:val="nil"/>
              <w:bottom w:val="single" w:sz="4" w:space="0" w:color="auto"/>
              <w:right w:val="nil"/>
            </w:tcBorders>
            <w:shd w:val="clear" w:color="auto" w:fill="auto"/>
            <w:noWrap/>
            <w:vAlign w:val="center"/>
          </w:tcPr>
          <w:p w14:paraId="6FEB8D6A" w14:textId="2706E603" w:rsidR="00254946" w:rsidRPr="00FC13AE" w:rsidRDefault="00254946" w:rsidP="00254946">
            <w:pPr>
              <w:jc w:val="center"/>
              <w:rPr>
                <w:rFonts w:ascii="Arial" w:hAnsi="Arial" w:cs="Arial"/>
                <w:sz w:val="14"/>
                <w:szCs w:val="14"/>
              </w:rPr>
            </w:pPr>
            <w:r w:rsidRPr="00E62139">
              <w:rPr>
                <w:rFonts w:ascii="Arial" w:hAnsi="Arial" w:cs="Arial"/>
                <w:sz w:val="14"/>
                <w:szCs w:val="14"/>
              </w:rPr>
              <w:t>0</w:t>
            </w:r>
          </w:p>
        </w:tc>
        <w:tc>
          <w:tcPr>
            <w:tcW w:w="708" w:type="dxa"/>
            <w:tcBorders>
              <w:left w:val="nil"/>
              <w:bottom w:val="single" w:sz="4" w:space="0" w:color="auto"/>
              <w:right w:val="nil"/>
            </w:tcBorders>
            <w:shd w:val="clear" w:color="auto" w:fill="auto"/>
            <w:noWrap/>
            <w:vAlign w:val="center"/>
          </w:tcPr>
          <w:p w14:paraId="3A9D1FC2" w14:textId="4EB2C187" w:rsidR="00254946" w:rsidRPr="00FC13AE" w:rsidRDefault="00254946" w:rsidP="00254946">
            <w:pPr>
              <w:jc w:val="center"/>
              <w:rPr>
                <w:rFonts w:ascii="Arial" w:hAnsi="Arial" w:cs="Arial"/>
                <w:sz w:val="14"/>
                <w:szCs w:val="14"/>
              </w:rPr>
            </w:pPr>
            <w:r w:rsidRPr="00E62139">
              <w:rPr>
                <w:rFonts w:ascii="Arial" w:hAnsi="Arial" w:cs="Arial"/>
                <w:sz w:val="14"/>
                <w:szCs w:val="14"/>
              </w:rPr>
              <w:t>1.01</w:t>
            </w:r>
          </w:p>
        </w:tc>
        <w:tc>
          <w:tcPr>
            <w:tcW w:w="709" w:type="dxa"/>
            <w:tcBorders>
              <w:left w:val="nil"/>
              <w:bottom w:val="single" w:sz="4" w:space="0" w:color="auto"/>
              <w:right w:val="nil"/>
            </w:tcBorders>
            <w:shd w:val="clear" w:color="auto" w:fill="auto"/>
            <w:noWrap/>
            <w:vAlign w:val="center"/>
          </w:tcPr>
          <w:p w14:paraId="38D81FE2" w14:textId="3AB739FA" w:rsidR="00254946" w:rsidRPr="00FC13AE" w:rsidRDefault="00254946" w:rsidP="00254946">
            <w:pPr>
              <w:jc w:val="center"/>
              <w:rPr>
                <w:rFonts w:ascii="Arial" w:hAnsi="Arial" w:cs="Arial"/>
                <w:sz w:val="14"/>
                <w:szCs w:val="14"/>
              </w:rPr>
            </w:pPr>
            <w:r w:rsidRPr="00E62139">
              <w:rPr>
                <w:rFonts w:ascii="Arial" w:hAnsi="Arial" w:cs="Arial"/>
                <w:sz w:val="14"/>
                <w:szCs w:val="14"/>
              </w:rPr>
              <w:t>0.91</w:t>
            </w:r>
          </w:p>
        </w:tc>
        <w:tc>
          <w:tcPr>
            <w:tcW w:w="709" w:type="dxa"/>
            <w:tcBorders>
              <w:left w:val="nil"/>
              <w:bottom w:val="single" w:sz="4" w:space="0" w:color="auto"/>
              <w:right w:val="nil"/>
            </w:tcBorders>
            <w:shd w:val="clear" w:color="auto" w:fill="auto"/>
            <w:noWrap/>
            <w:vAlign w:val="center"/>
          </w:tcPr>
          <w:p w14:paraId="564BE2BD" w14:textId="2237EECF" w:rsidR="00254946" w:rsidRPr="00FC13AE" w:rsidRDefault="00254946" w:rsidP="00254946">
            <w:pPr>
              <w:jc w:val="center"/>
              <w:rPr>
                <w:rFonts w:ascii="Arial" w:hAnsi="Arial" w:cs="Arial"/>
                <w:sz w:val="14"/>
                <w:szCs w:val="14"/>
              </w:rPr>
            </w:pPr>
            <w:r w:rsidRPr="00E62139">
              <w:rPr>
                <w:rFonts w:ascii="Arial" w:hAnsi="Arial" w:cs="Arial"/>
                <w:sz w:val="14"/>
                <w:szCs w:val="14"/>
              </w:rPr>
              <w:t>0.81</w:t>
            </w:r>
          </w:p>
        </w:tc>
        <w:tc>
          <w:tcPr>
            <w:tcW w:w="709" w:type="dxa"/>
            <w:tcBorders>
              <w:left w:val="nil"/>
              <w:bottom w:val="single" w:sz="4" w:space="0" w:color="auto"/>
              <w:right w:val="nil"/>
            </w:tcBorders>
            <w:shd w:val="clear" w:color="auto" w:fill="auto"/>
            <w:noWrap/>
            <w:vAlign w:val="center"/>
          </w:tcPr>
          <w:p w14:paraId="38464AFF" w14:textId="56D13D82" w:rsidR="00254946" w:rsidRPr="00FC13AE" w:rsidRDefault="00254946" w:rsidP="00254946">
            <w:pPr>
              <w:jc w:val="center"/>
              <w:rPr>
                <w:rFonts w:ascii="Arial" w:hAnsi="Arial" w:cs="Arial"/>
                <w:sz w:val="14"/>
                <w:szCs w:val="14"/>
              </w:rPr>
            </w:pPr>
            <w:r w:rsidRPr="00E62139">
              <w:rPr>
                <w:rFonts w:ascii="Arial" w:hAnsi="Arial" w:cs="Arial"/>
                <w:sz w:val="14"/>
                <w:szCs w:val="14"/>
              </w:rPr>
              <w:t>0.72</w:t>
            </w:r>
          </w:p>
        </w:tc>
        <w:tc>
          <w:tcPr>
            <w:tcW w:w="715" w:type="dxa"/>
            <w:tcBorders>
              <w:left w:val="nil"/>
              <w:bottom w:val="single" w:sz="4" w:space="0" w:color="auto"/>
              <w:right w:val="nil"/>
            </w:tcBorders>
            <w:shd w:val="clear" w:color="auto" w:fill="auto"/>
            <w:noWrap/>
            <w:vAlign w:val="center"/>
          </w:tcPr>
          <w:p w14:paraId="7BB7E669" w14:textId="34319AEA" w:rsidR="00254946" w:rsidRPr="00FC13AE" w:rsidRDefault="00254946" w:rsidP="00254946">
            <w:pPr>
              <w:jc w:val="center"/>
              <w:rPr>
                <w:rFonts w:ascii="Arial" w:hAnsi="Arial" w:cs="Arial"/>
                <w:sz w:val="14"/>
                <w:szCs w:val="14"/>
              </w:rPr>
            </w:pPr>
            <w:r w:rsidRPr="00E62139">
              <w:rPr>
                <w:rFonts w:ascii="Arial" w:hAnsi="Arial" w:cs="Arial"/>
                <w:sz w:val="14"/>
                <w:szCs w:val="14"/>
              </w:rPr>
              <w:t>0.65</w:t>
            </w:r>
          </w:p>
        </w:tc>
        <w:tc>
          <w:tcPr>
            <w:tcW w:w="709" w:type="dxa"/>
            <w:tcBorders>
              <w:left w:val="nil"/>
              <w:bottom w:val="single" w:sz="4" w:space="0" w:color="auto"/>
              <w:right w:val="nil"/>
            </w:tcBorders>
            <w:shd w:val="clear" w:color="auto" w:fill="auto"/>
            <w:noWrap/>
            <w:vAlign w:val="center"/>
          </w:tcPr>
          <w:p w14:paraId="590F38D0" w14:textId="6E10D20E" w:rsidR="00254946" w:rsidRPr="00FC13AE" w:rsidRDefault="00254946" w:rsidP="00254946">
            <w:pPr>
              <w:jc w:val="center"/>
              <w:rPr>
                <w:rFonts w:ascii="Arial" w:hAnsi="Arial" w:cs="Arial"/>
                <w:sz w:val="14"/>
                <w:szCs w:val="14"/>
              </w:rPr>
            </w:pPr>
            <w:r w:rsidRPr="00E62139">
              <w:rPr>
                <w:rFonts w:ascii="Arial" w:hAnsi="Arial" w:cs="Arial"/>
                <w:sz w:val="14"/>
                <w:szCs w:val="14"/>
              </w:rPr>
              <w:t>0.58</w:t>
            </w:r>
          </w:p>
        </w:tc>
        <w:tc>
          <w:tcPr>
            <w:tcW w:w="709" w:type="dxa"/>
            <w:tcBorders>
              <w:left w:val="nil"/>
              <w:bottom w:val="single" w:sz="4" w:space="0" w:color="auto"/>
              <w:right w:val="nil"/>
            </w:tcBorders>
            <w:shd w:val="clear" w:color="auto" w:fill="auto"/>
            <w:noWrap/>
            <w:vAlign w:val="center"/>
          </w:tcPr>
          <w:p w14:paraId="38036858" w14:textId="16575521" w:rsidR="00254946" w:rsidRPr="00FC13AE" w:rsidRDefault="00254946" w:rsidP="00254946">
            <w:pPr>
              <w:jc w:val="center"/>
              <w:rPr>
                <w:rFonts w:ascii="Arial" w:hAnsi="Arial" w:cs="Arial"/>
                <w:sz w:val="14"/>
                <w:szCs w:val="14"/>
              </w:rPr>
            </w:pPr>
            <w:r w:rsidRPr="00E62139">
              <w:rPr>
                <w:rFonts w:ascii="Arial" w:hAnsi="Arial" w:cs="Arial"/>
                <w:sz w:val="14"/>
                <w:szCs w:val="14"/>
              </w:rPr>
              <w:t>0.51</w:t>
            </w:r>
          </w:p>
        </w:tc>
        <w:tc>
          <w:tcPr>
            <w:tcW w:w="708" w:type="dxa"/>
            <w:tcBorders>
              <w:left w:val="nil"/>
              <w:bottom w:val="single" w:sz="4" w:space="0" w:color="auto"/>
              <w:right w:val="nil"/>
            </w:tcBorders>
            <w:shd w:val="clear" w:color="auto" w:fill="auto"/>
            <w:noWrap/>
            <w:vAlign w:val="center"/>
          </w:tcPr>
          <w:p w14:paraId="75C6B735" w14:textId="2F699826" w:rsidR="00254946" w:rsidRPr="00FC13AE" w:rsidRDefault="00254946" w:rsidP="00254946">
            <w:pPr>
              <w:jc w:val="center"/>
              <w:rPr>
                <w:rFonts w:ascii="Arial" w:hAnsi="Arial" w:cs="Arial"/>
                <w:sz w:val="14"/>
                <w:szCs w:val="14"/>
              </w:rPr>
            </w:pPr>
            <w:r w:rsidRPr="00E62139">
              <w:rPr>
                <w:rFonts w:ascii="Arial" w:hAnsi="Arial" w:cs="Arial"/>
                <w:sz w:val="14"/>
                <w:szCs w:val="14"/>
              </w:rPr>
              <w:t>0.46</w:t>
            </w:r>
          </w:p>
        </w:tc>
        <w:tc>
          <w:tcPr>
            <w:tcW w:w="706" w:type="dxa"/>
            <w:tcBorders>
              <w:left w:val="nil"/>
              <w:bottom w:val="single" w:sz="4" w:space="0" w:color="auto"/>
              <w:right w:val="nil"/>
            </w:tcBorders>
            <w:shd w:val="clear" w:color="auto" w:fill="auto"/>
            <w:noWrap/>
            <w:vAlign w:val="center"/>
          </w:tcPr>
          <w:p w14:paraId="636F51C8" w14:textId="00FEB663" w:rsidR="00254946" w:rsidRPr="00FC13AE" w:rsidRDefault="00254946" w:rsidP="00254946">
            <w:pPr>
              <w:jc w:val="center"/>
              <w:rPr>
                <w:rFonts w:ascii="Arial" w:hAnsi="Arial" w:cs="Arial"/>
                <w:sz w:val="14"/>
                <w:szCs w:val="14"/>
              </w:rPr>
            </w:pPr>
            <w:r w:rsidRPr="00E62139">
              <w:rPr>
                <w:rFonts w:ascii="Arial" w:hAnsi="Arial" w:cs="Arial"/>
                <w:sz w:val="14"/>
                <w:szCs w:val="14"/>
              </w:rPr>
              <w:t>0.41</w:t>
            </w:r>
          </w:p>
        </w:tc>
        <w:tc>
          <w:tcPr>
            <w:tcW w:w="709" w:type="dxa"/>
            <w:tcBorders>
              <w:left w:val="nil"/>
              <w:bottom w:val="single" w:sz="4" w:space="0" w:color="auto"/>
              <w:right w:val="nil"/>
            </w:tcBorders>
            <w:shd w:val="clear" w:color="auto" w:fill="auto"/>
            <w:noWrap/>
            <w:vAlign w:val="center"/>
          </w:tcPr>
          <w:p w14:paraId="40A1444A" w14:textId="46A79981" w:rsidR="00254946" w:rsidRPr="00FC13AE" w:rsidRDefault="00254946" w:rsidP="00254946">
            <w:pPr>
              <w:jc w:val="center"/>
              <w:rPr>
                <w:rFonts w:ascii="Arial" w:hAnsi="Arial" w:cs="Arial"/>
                <w:sz w:val="14"/>
                <w:szCs w:val="14"/>
              </w:rPr>
            </w:pPr>
            <w:r w:rsidRPr="00E62139">
              <w:rPr>
                <w:rFonts w:ascii="Arial" w:hAnsi="Arial" w:cs="Arial"/>
                <w:sz w:val="14"/>
                <w:szCs w:val="14"/>
              </w:rPr>
              <w:t>0.35</w:t>
            </w:r>
          </w:p>
        </w:tc>
        <w:tc>
          <w:tcPr>
            <w:tcW w:w="847" w:type="dxa"/>
            <w:tcBorders>
              <w:left w:val="nil"/>
              <w:bottom w:val="single" w:sz="4" w:space="0" w:color="auto"/>
              <w:right w:val="nil"/>
            </w:tcBorders>
            <w:shd w:val="clear" w:color="auto" w:fill="auto"/>
            <w:noWrap/>
            <w:vAlign w:val="center"/>
          </w:tcPr>
          <w:p w14:paraId="05C5B489" w14:textId="1CAC4F4F" w:rsidR="00254946" w:rsidRPr="00FC13AE" w:rsidRDefault="00254946" w:rsidP="00254946">
            <w:pPr>
              <w:jc w:val="center"/>
              <w:rPr>
                <w:rFonts w:ascii="Arial" w:hAnsi="Arial" w:cs="Arial"/>
                <w:sz w:val="14"/>
                <w:szCs w:val="14"/>
              </w:rPr>
            </w:pPr>
            <w:r w:rsidRPr="00E62139">
              <w:rPr>
                <w:rFonts w:ascii="Arial" w:hAnsi="Arial" w:cs="Arial"/>
                <w:sz w:val="14"/>
                <w:szCs w:val="14"/>
              </w:rPr>
              <w:t>91.79</w:t>
            </w:r>
          </w:p>
        </w:tc>
      </w:tr>
      <w:tr w:rsidR="00254946" w:rsidRPr="00A43491" w14:paraId="1F4552EE" w14:textId="77777777" w:rsidTr="00E62139">
        <w:trPr>
          <w:trHeight w:val="300"/>
          <w:jc w:val="center"/>
        </w:trPr>
        <w:tc>
          <w:tcPr>
            <w:tcW w:w="1064" w:type="dxa"/>
            <w:tcBorders>
              <w:top w:val="single" w:sz="4" w:space="0" w:color="auto"/>
              <w:left w:val="nil"/>
              <w:bottom w:val="single" w:sz="4" w:space="0" w:color="auto"/>
              <w:right w:val="nil"/>
            </w:tcBorders>
            <w:shd w:val="clear" w:color="auto" w:fill="auto"/>
            <w:noWrap/>
          </w:tcPr>
          <w:p w14:paraId="2FAFBE0F" w14:textId="77777777" w:rsidR="00254946" w:rsidRPr="005B5674" w:rsidRDefault="00254946" w:rsidP="00254946">
            <w:pPr>
              <w:jc w:val="center"/>
              <w:rPr>
                <w:rFonts w:ascii="Arial" w:hAnsi="Arial" w:cs="Arial"/>
                <w:sz w:val="14"/>
                <w:szCs w:val="14"/>
              </w:rPr>
            </w:pPr>
            <w:r w:rsidRPr="00A43491">
              <w:rPr>
                <w:rFonts w:ascii="Arial" w:hAnsi="Arial" w:cs="Arial"/>
                <w:b/>
                <w:sz w:val="14"/>
                <w:szCs w:val="14"/>
              </w:rPr>
              <w:t>Beneficios Netos en VPN</w:t>
            </w:r>
          </w:p>
        </w:tc>
        <w:tc>
          <w:tcPr>
            <w:tcW w:w="568" w:type="dxa"/>
            <w:tcBorders>
              <w:top w:val="single" w:sz="4" w:space="0" w:color="auto"/>
              <w:left w:val="nil"/>
              <w:bottom w:val="single" w:sz="4" w:space="0" w:color="auto"/>
              <w:right w:val="nil"/>
            </w:tcBorders>
            <w:vAlign w:val="center"/>
          </w:tcPr>
          <w:p w14:paraId="041B1600" w14:textId="5D004D02" w:rsidR="00254946" w:rsidRPr="00FC13AE" w:rsidRDefault="00254946" w:rsidP="00254946">
            <w:pPr>
              <w:jc w:val="center"/>
              <w:rPr>
                <w:rFonts w:ascii="Arial" w:hAnsi="Arial" w:cs="Arial"/>
                <w:sz w:val="14"/>
                <w:szCs w:val="14"/>
              </w:rPr>
            </w:pPr>
            <w:r w:rsidRPr="00E62139">
              <w:rPr>
                <w:rFonts w:ascii="Arial" w:hAnsi="Arial" w:cs="Arial"/>
                <w:sz w:val="14"/>
                <w:szCs w:val="14"/>
              </w:rPr>
              <w:t>-13.35</w:t>
            </w:r>
          </w:p>
        </w:tc>
        <w:tc>
          <w:tcPr>
            <w:tcW w:w="567" w:type="dxa"/>
            <w:tcBorders>
              <w:top w:val="single" w:sz="4" w:space="0" w:color="auto"/>
              <w:left w:val="nil"/>
              <w:bottom w:val="single" w:sz="4" w:space="0" w:color="auto"/>
              <w:right w:val="nil"/>
            </w:tcBorders>
            <w:shd w:val="clear" w:color="auto" w:fill="auto"/>
            <w:noWrap/>
            <w:vAlign w:val="center"/>
          </w:tcPr>
          <w:p w14:paraId="1E27BB98" w14:textId="77ACF7CF" w:rsidR="00254946" w:rsidRPr="00FC13AE" w:rsidRDefault="00254946" w:rsidP="00254946">
            <w:pPr>
              <w:jc w:val="center"/>
              <w:rPr>
                <w:rFonts w:ascii="Arial" w:hAnsi="Arial" w:cs="Arial"/>
                <w:sz w:val="14"/>
                <w:szCs w:val="14"/>
              </w:rPr>
            </w:pPr>
            <w:r w:rsidRPr="00E62139">
              <w:rPr>
                <w:rFonts w:ascii="Arial" w:hAnsi="Arial" w:cs="Arial"/>
                <w:sz w:val="14"/>
                <w:szCs w:val="14"/>
              </w:rPr>
              <w:t>-37.18</w:t>
            </w:r>
          </w:p>
        </w:tc>
        <w:tc>
          <w:tcPr>
            <w:tcW w:w="567" w:type="dxa"/>
            <w:tcBorders>
              <w:top w:val="single" w:sz="4" w:space="0" w:color="auto"/>
              <w:left w:val="nil"/>
              <w:bottom w:val="single" w:sz="4" w:space="0" w:color="auto"/>
              <w:right w:val="nil"/>
            </w:tcBorders>
            <w:shd w:val="clear" w:color="auto" w:fill="auto"/>
            <w:noWrap/>
            <w:vAlign w:val="center"/>
          </w:tcPr>
          <w:p w14:paraId="75547588" w14:textId="5ECE5BC5" w:rsidR="00254946" w:rsidRPr="00FC13AE" w:rsidRDefault="00254946" w:rsidP="00254946">
            <w:pPr>
              <w:jc w:val="center"/>
              <w:rPr>
                <w:rFonts w:ascii="Arial" w:hAnsi="Arial" w:cs="Arial"/>
                <w:sz w:val="14"/>
                <w:szCs w:val="14"/>
              </w:rPr>
            </w:pPr>
            <w:r w:rsidRPr="00E62139">
              <w:rPr>
                <w:rFonts w:ascii="Arial" w:hAnsi="Arial" w:cs="Arial"/>
                <w:sz w:val="14"/>
                <w:szCs w:val="14"/>
              </w:rPr>
              <w:t>-26.30</w:t>
            </w:r>
          </w:p>
        </w:tc>
        <w:tc>
          <w:tcPr>
            <w:tcW w:w="567" w:type="dxa"/>
            <w:tcBorders>
              <w:top w:val="single" w:sz="4" w:space="0" w:color="auto"/>
              <w:left w:val="nil"/>
              <w:bottom w:val="single" w:sz="4" w:space="0" w:color="auto"/>
              <w:right w:val="nil"/>
            </w:tcBorders>
            <w:shd w:val="clear" w:color="auto" w:fill="auto"/>
            <w:noWrap/>
            <w:vAlign w:val="center"/>
          </w:tcPr>
          <w:p w14:paraId="442DCEE7" w14:textId="31421BC9" w:rsidR="00254946" w:rsidRPr="00FC13AE" w:rsidRDefault="00254946" w:rsidP="00254946">
            <w:pPr>
              <w:jc w:val="center"/>
              <w:rPr>
                <w:rFonts w:ascii="Arial" w:hAnsi="Arial" w:cs="Arial"/>
                <w:sz w:val="14"/>
                <w:szCs w:val="14"/>
              </w:rPr>
            </w:pPr>
            <w:r w:rsidRPr="00E62139">
              <w:rPr>
                <w:rFonts w:ascii="Arial" w:hAnsi="Arial" w:cs="Arial"/>
                <w:sz w:val="14"/>
                <w:szCs w:val="14"/>
              </w:rPr>
              <w:t>-8.56</w:t>
            </w:r>
          </w:p>
        </w:tc>
        <w:tc>
          <w:tcPr>
            <w:tcW w:w="567" w:type="dxa"/>
            <w:tcBorders>
              <w:top w:val="single" w:sz="4" w:space="0" w:color="auto"/>
              <w:left w:val="nil"/>
              <w:bottom w:val="single" w:sz="4" w:space="0" w:color="auto"/>
              <w:right w:val="nil"/>
            </w:tcBorders>
            <w:shd w:val="clear" w:color="auto" w:fill="auto"/>
            <w:noWrap/>
            <w:vAlign w:val="center"/>
          </w:tcPr>
          <w:p w14:paraId="2C674E5C" w14:textId="5030B3ED" w:rsidR="00254946" w:rsidRPr="00FC13AE" w:rsidRDefault="00254946" w:rsidP="00254946">
            <w:pPr>
              <w:jc w:val="center"/>
              <w:rPr>
                <w:rFonts w:ascii="Arial" w:hAnsi="Arial" w:cs="Arial"/>
                <w:sz w:val="14"/>
                <w:szCs w:val="14"/>
              </w:rPr>
            </w:pPr>
            <w:r w:rsidRPr="00E62139">
              <w:rPr>
                <w:rFonts w:ascii="Arial" w:hAnsi="Arial" w:cs="Arial"/>
                <w:sz w:val="14"/>
                <w:szCs w:val="14"/>
              </w:rPr>
              <w:t>0</w:t>
            </w:r>
          </w:p>
        </w:tc>
        <w:tc>
          <w:tcPr>
            <w:tcW w:w="708" w:type="dxa"/>
            <w:tcBorders>
              <w:top w:val="single" w:sz="4" w:space="0" w:color="auto"/>
              <w:left w:val="nil"/>
              <w:bottom w:val="single" w:sz="4" w:space="0" w:color="auto"/>
              <w:right w:val="nil"/>
            </w:tcBorders>
            <w:shd w:val="clear" w:color="auto" w:fill="auto"/>
            <w:noWrap/>
            <w:vAlign w:val="center"/>
          </w:tcPr>
          <w:p w14:paraId="1235DC1E" w14:textId="204DAD0A" w:rsidR="00254946" w:rsidRPr="00FC13AE" w:rsidRDefault="00254946" w:rsidP="00254946">
            <w:pPr>
              <w:jc w:val="center"/>
              <w:rPr>
                <w:rFonts w:ascii="Arial" w:hAnsi="Arial" w:cs="Arial"/>
                <w:sz w:val="14"/>
                <w:szCs w:val="14"/>
              </w:rPr>
            </w:pPr>
            <w:r w:rsidRPr="00E62139">
              <w:rPr>
                <w:rFonts w:ascii="Arial" w:hAnsi="Arial" w:cs="Arial"/>
                <w:sz w:val="14"/>
                <w:szCs w:val="14"/>
              </w:rPr>
              <w:t>25.96</w:t>
            </w:r>
          </w:p>
        </w:tc>
        <w:tc>
          <w:tcPr>
            <w:tcW w:w="709" w:type="dxa"/>
            <w:tcBorders>
              <w:top w:val="single" w:sz="4" w:space="0" w:color="auto"/>
              <w:left w:val="nil"/>
              <w:bottom w:val="single" w:sz="4" w:space="0" w:color="auto"/>
              <w:right w:val="nil"/>
            </w:tcBorders>
            <w:shd w:val="clear" w:color="auto" w:fill="auto"/>
            <w:noWrap/>
            <w:vAlign w:val="center"/>
          </w:tcPr>
          <w:p w14:paraId="374A2352" w14:textId="6801F3D8" w:rsidR="00254946" w:rsidRPr="00FC13AE" w:rsidRDefault="00254946" w:rsidP="00254946">
            <w:pPr>
              <w:jc w:val="center"/>
              <w:rPr>
                <w:rFonts w:ascii="Arial" w:hAnsi="Arial" w:cs="Arial"/>
                <w:sz w:val="14"/>
                <w:szCs w:val="14"/>
              </w:rPr>
            </w:pPr>
            <w:r w:rsidRPr="00E62139">
              <w:rPr>
                <w:rFonts w:ascii="Arial" w:hAnsi="Arial" w:cs="Arial"/>
                <w:sz w:val="14"/>
                <w:szCs w:val="14"/>
              </w:rPr>
              <w:t>25.63</w:t>
            </w:r>
          </w:p>
        </w:tc>
        <w:tc>
          <w:tcPr>
            <w:tcW w:w="709" w:type="dxa"/>
            <w:tcBorders>
              <w:top w:val="single" w:sz="4" w:space="0" w:color="auto"/>
              <w:left w:val="nil"/>
              <w:bottom w:val="single" w:sz="4" w:space="0" w:color="auto"/>
              <w:right w:val="nil"/>
            </w:tcBorders>
            <w:shd w:val="clear" w:color="auto" w:fill="auto"/>
            <w:noWrap/>
            <w:vAlign w:val="center"/>
          </w:tcPr>
          <w:p w14:paraId="3239D203" w14:textId="7CC0D4CA" w:rsidR="00254946" w:rsidRPr="00FC13AE" w:rsidRDefault="00254946" w:rsidP="00254946">
            <w:pPr>
              <w:jc w:val="center"/>
              <w:rPr>
                <w:rFonts w:ascii="Arial" w:hAnsi="Arial" w:cs="Arial"/>
                <w:sz w:val="14"/>
                <w:szCs w:val="14"/>
              </w:rPr>
            </w:pPr>
            <w:r w:rsidRPr="00E62139">
              <w:rPr>
                <w:rFonts w:ascii="Arial" w:hAnsi="Arial" w:cs="Arial"/>
                <w:sz w:val="14"/>
                <w:szCs w:val="14"/>
              </w:rPr>
              <w:t>25.31</w:t>
            </w:r>
          </w:p>
        </w:tc>
        <w:tc>
          <w:tcPr>
            <w:tcW w:w="709" w:type="dxa"/>
            <w:tcBorders>
              <w:top w:val="single" w:sz="4" w:space="0" w:color="auto"/>
              <w:left w:val="nil"/>
              <w:bottom w:val="single" w:sz="4" w:space="0" w:color="auto"/>
              <w:right w:val="nil"/>
            </w:tcBorders>
            <w:shd w:val="clear" w:color="auto" w:fill="auto"/>
            <w:noWrap/>
            <w:vAlign w:val="center"/>
          </w:tcPr>
          <w:p w14:paraId="6F3A9308" w14:textId="7CA8D3F9" w:rsidR="00254946" w:rsidRPr="00FC13AE" w:rsidRDefault="00254946" w:rsidP="00254946">
            <w:pPr>
              <w:jc w:val="center"/>
              <w:rPr>
                <w:rFonts w:ascii="Arial" w:hAnsi="Arial" w:cs="Arial"/>
                <w:sz w:val="14"/>
                <w:szCs w:val="14"/>
              </w:rPr>
            </w:pPr>
            <w:r w:rsidRPr="00E62139">
              <w:rPr>
                <w:rFonts w:ascii="Arial" w:hAnsi="Arial" w:cs="Arial"/>
                <w:sz w:val="14"/>
                <w:szCs w:val="14"/>
              </w:rPr>
              <w:t>24.98</w:t>
            </w:r>
          </w:p>
        </w:tc>
        <w:tc>
          <w:tcPr>
            <w:tcW w:w="715" w:type="dxa"/>
            <w:tcBorders>
              <w:top w:val="single" w:sz="4" w:space="0" w:color="auto"/>
              <w:left w:val="nil"/>
              <w:bottom w:val="single" w:sz="4" w:space="0" w:color="auto"/>
              <w:right w:val="nil"/>
            </w:tcBorders>
            <w:shd w:val="clear" w:color="auto" w:fill="auto"/>
            <w:noWrap/>
            <w:vAlign w:val="center"/>
          </w:tcPr>
          <w:p w14:paraId="352780DC" w14:textId="535E5419" w:rsidR="00254946" w:rsidRPr="00FC13AE" w:rsidRDefault="00254946" w:rsidP="00254946">
            <w:pPr>
              <w:jc w:val="center"/>
              <w:rPr>
                <w:rFonts w:ascii="Arial" w:hAnsi="Arial" w:cs="Arial"/>
                <w:sz w:val="14"/>
                <w:szCs w:val="14"/>
              </w:rPr>
            </w:pPr>
            <w:r w:rsidRPr="00E62139">
              <w:rPr>
                <w:rFonts w:ascii="Arial" w:hAnsi="Arial" w:cs="Arial"/>
                <w:sz w:val="14"/>
                <w:szCs w:val="14"/>
              </w:rPr>
              <w:t>24.64</w:t>
            </w:r>
          </w:p>
        </w:tc>
        <w:tc>
          <w:tcPr>
            <w:tcW w:w="709" w:type="dxa"/>
            <w:tcBorders>
              <w:top w:val="single" w:sz="4" w:space="0" w:color="auto"/>
              <w:left w:val="nil"/>
              <w:bottom w:val="single" w:sz="4" w:space="0" w:color="auto"/>
              <w:right w:val="nil"/>
            </w:tcBorders>
            <w:shd w:val="clear" w:color="auto" w:fill="auto"/>
            <w:noWrap/>
            <w:vAlign w:val="center"/>
          </w:tcPr>
          <w:p w14:paraId="47874194" w14:textId="26FC11F1" w:rsidR="00254946" w:rsidRPr="00FC13AE" w:rsidRDefault="00254946" w:rsidP="00254946">
            <w:pPr>
              <w:jc w:val="center"/>
              <w:rPr>
                <w:rFonts w:ascii="Arial" w:hAnsi="Arial" w:cs="Arial"/>
                <w:sz w:val="14"/>
                <w:szCs w:val="14"/>
              </w:rPr>
            </w:pPr>
            <w:r w:rsidRPr="00E62139">
              <w:rPr>
                <w:rFonts w:ascii="Arial" w:hAnsi="Arial" w:cs="Arial"/>
                <w:sz w:val="14"/>
                <w:szCs w:val="14"/>
              </w:rPr>
              <w:t>24.31</w:t>
            </w:r>
          </w:p>
        </w:tc>
        <w:tc>
          <w:tcPr>
            <w:tcW w:w="709" w:type="dxa"/>
            <w:tcBorders>
              <w:top w:val="single" w:sz="4" w:space="0" w:color="auto"/>
              <w:left w:val="nil"/>
              <w:bottom w:val="single" w:sz="4" w:space="0" w:color="auto"/>
              <w:right w:val="nil"/>
            </w:tcBorders>
            <w:shd w:val="clear" w:color="auto" w:fill="auto"/>
            <w:noWrap/>
            <w:vAlign w:val="center"/>
          </w:tcPr>
          <w:p w14:paraId="2AEB9373" w14:textId="03A9F129" w:rsidR="00254946" w:rsidRPr="00FC13AE" w:rsidRDefault="00254946" w:rsidP="00254946">
            <w:pPr>
              <w:jc w:val="center"/>
              <w:rPr>
                <w:rFonts w:ascii="Arial" w:hAnsi="Arial" w:cs="Arial"/>
                <w:sz w:val="14"/>
                <w:szCs w:val="14"/>
              </w:rPr>
            </w:pPr>
            <w:r w:rsidRPr="00E62139">
              <w:rPr>
                <w:rFonts w:ascii="Arial" w:hAnsi="Arial" w:cs="Arial"/>
                <w:sz w:val="14"/>
                <w:szCs w:val="14"/>
              </w:rPr>
              <w:t>23.97</w:t>
            </w:r>
          </w:p>
        </w:tc>
        <w:tc>
          <w:tcPr>
            <w:tcW w:w="708" w:type="dxa"/>
            <w:tcBorders>
              <w:top w:val="single" w:sz="4" w:space="0" w:color="auto"/>
              <w:left w:val="nil"/>
              <w:bottom w:val="single" w:sz="4" w:space="0" w:color="auto"/>
              <w:right w:val="nil"/>
            </w:tcBorders>
            <w:shd w:val="clear" w:color="auto" w:fill="auto"/>
            <w:noWrap/>
            <w:vAlign w:val="center"/>
          </w:tcPr>
          <w:p w14:paraId="2A845D99" w14:textId="722C3F52" w:rsidR="00254946" w:rsidRPr="00FC13AE" w:rsidRDefault="00254946" w:rsidP="00254946">
            <w:pPr>
              <w:jc w:val="center"/>
              <w:rPr>
                <w:rFonts w:ascii="Arial" w:hAnsi="Arial" w:cs="Arial"/>
                <w:sz w:val="14"/>
                <w:szCs w:val="14"/>
              </w:rPr>
            </w:pPr>
            <w:r w:rsidRPr="00E62139">
              <w:rPr>
                <w:rFonts w:ascii="Arial" w:hAnsi="Arial" w:cs="Arial"/>
                <w:sz w:val="14"/>
                <w:szCs w:val="14"/>
              </w:rPr>
              <w:t>23.63</w:t>
            </w:r>
          </w:p>
        </w:tc>
        <w:tc>
          <w:tcPr>
            <w:tcW w:w="706" w:type="dxa"/>
            <w:tcBorders>
              <w:top w:val="single" w:sz="4" w:space="0" w:color="auto"/>
              <w:left w:val="nil"/>
              <w:bottom w:val="single" w:sz="4" w:space="0" w:color="auto"/>
              <w:right w:val="nil"/>
            </w:tcBorders>
            <w:shd w:val="clear" w:color="auto" w:fill="auto"/>
            <w:noWrap/>
            <w:vAlign w:val="center"/>
          </w:tcPr>
          <w:p w14:paraId="3307809D" w14:textId="49E7006A" w:rsidR="00254946" w:rsidRPr="00FC13AE" w:rsidRDefault="00254946" w:rsidP="00254946">
            <w:pPr>
              <w:jc w:val="center"/>
              <w:rPr>
                <w:rFonts w:ascii="Arial" w:hAnsi="Arial" w:cs="Arial"/>
                <w:sz w:val="14"/>
                <w:szCs w:val="14"/>
              </w:rPr>
            </w:pPr>
            <w:r w:rsidRPr="00E62139">
              <w:rPr>
                <w:rFonts w:ascii="Arial" w:hAnsi="Arial" w:cs="Arial"/>
                <w:sz w:val="14"/>
                <w:szCs w:val="14"/>
              </w:rPr>
              <w:t>23.30</w:t>
            </w:r>
          </w:p>
        </w:tc>
        <w:tc>
          <w:tcPr>
            <w:tcW w:w="709" w:type="dxa"/>
            <w:tcBorders>
              <w:top w:val="single" w:sz="4" w:space="0" w:color="auto"/>
              <w:left w:val="nil"/>
              <w:bottom w:val="single" w:sz="4" w:space="0" w:color="auto"/>
              <w:right w:val="nil"/>
            </w:tcBorders>
            <w:shd w:val="clear" w:color="auto" w:fill="auto"/>
            <w:noWrap/>
            <w:vAlign w:val="center"/>
          </w:tcPr>
          <w:p w14:paraId="41DDCC32" w14:textId="4D76BA46" w:rsidR="00254946" w:rsidRPr="00FC13AE" w:rsidRDefault="00254946" w:rsidP="00254946">
            <w:pPr>
              <w:jc w:val="center"/>
              <w:rPr>
                <w:rFonts w:ascii="Arial" w:hAnsi="Arial" w:cs="Arial"/>
                <w:sz w:val="14"/>
                <w:szCs w:val="14"/>
              </w:rPr>
            </w:pPr>
            <w:r w:rsidRPr="00E62139">
              <w:rPr>
                <w:rFonts w:ascii="Arial" w:hAnsi="Arial" w:cs="Arial"/>
                <w:sz w:val="14"/>
                <w:szCs w:val="14"/>
              </w:rPr>
              <w:t>22.98</w:t>
            </w:r>
          </w:p>
        </w:tc>
        <w:tc>
          <w:tcPr>
            <w:tcW w:w="847" w:type="dxa"/>
            <w:tcBorders>
              <w:top w:val="single" w:sz="4" w:space="0" w:color="auto"/>
              <w:left w:val="nil"/>
              <w:bottom w:val="single" w:sz="4" w:space="0" w:color="auto"/>
              <w:right w:val="nil"/>
            </w:tcBorders>
            <w:shd w:val="clear" w:color="auto" w:fill="auto"/>
            <w:noWrap/>
            <w:vAlign w:val="center"/>
          </w:tcPr>
          <w:p w14:paraId="74EF66BD" w14:textId="2B8BE3E5" w:rsidR="00254946" w:rsidRPr="00FC13AE" w:rsidRDefault="00254946" w:rsidP="00254946">
            <w:pPr>
              <w:jc w:val="center"/>
              <w:rPr>
                <w:rFonts w:ascii="Arial" w:hAnsi="Arial" w:cs="Arial"/>
                <w:sz w:val="14"/>
                <w:szCs w:val="14"/>
              </w:rPr>
            </w:pPr>
            <w:r w:rsidRPr="00E62139">
              <w:rPr>
                <w:rFonts w:ascii="Arial" w:hAnsi="Arial" w:cs="Arial"/>
                <w:sz w:val="14"/>
                <w:szCs w:val="14"/>
              </w:rPr>
              <w:t>159.31</w:t>
            </w:r>
          </w:p>
        </w:tc>
      </w:tr>
    </w:tbl>
    <w:p w14:paraId="128DB39B" w14:textId="77777777" w:rsidR="00A372F6" w:rsidRDefault="00A372F6" w:rsidP="00A372F6">
      <w:pPr>
        <w:jc w:val="center"/>
        <w:outlineLvl w:val="0"/>
        <w:rPr>
          <w:rFonts w:ascii="Arial" w:hAnsi="Arial" w:cs="Arial"/>
          <w:b/>
          <w:sz w:val="22"/>
        </w:rPr>
      </w:pPr>
    </w:p>
    <w:p w14:paraId="18B66EFF" w14:textId="77777777" w:rsidR="00A372F6" w:rsidRPr="00EB642B" w:rsidRDefault="00A372F6" w:rsidP="00A372F6">
      <w:pPr>
        <w:jc w:val="center"/>
        <w:outlineLvl w:val="0"/>
        <w:rPr>
          <w:rFonts w:ascii="Arial" w:hAnsi="Arial" w:cs="Arial"/>
          <w:b/>
          <w:sz w:val="22"/>
          <w:lang w:val="es-ES_tradnl"/>
        </w:rPr>
      </w:pPr>
      <w:r w:rsidRPr="00EB642B">
        <w:rPr>
          <w:rFonts w:ascii="Arial" w:hAnsi="Arial" w:cs="Arial"/>
          <w:b/>
          <w:sz w:val="22"/>
          <w:lang w:val="es-ES_tradnl"/>
        </w:rPr>
        <w:t xml:space="preserve">Cuadro A6: Flujo Anual de Beneficios y Costos en VPN del Programa </w:t>
      </w:r>
    </w:p>
    <w:p w14:paraId="29CCDDF1" w14:textId="77777777" w:rsidR="00A372F6" w:rsidRPr="00EB642B" w:rsidRDefault="00A372F6" w:rsidP="00A372F6">
      <w:pPr>
        <w:jc w:val="center"/>
        <w:rPr>
          <w:rFonts w:ascii="Arial" w:hAnsi="Arial" w:cs="Arial"/>
          <w:b/>
          <w:sz w:val="22"/>
          <w:lang w:val="es-ES_tradnl"/>
        </w:rPr>
      </w:pPr>
    </w:p>
    <w:tbl>
      <w:tblPr>
        <w:tblW w:w="11838" w:type="dxa"/>
        <w:jc w:val="center"/>
        <w:tblLayout w:type="fixed"/>
        <w:tblLook w:val="04A0" w:firstRow="1" w:lastRow="0" w:firstColumn="1" w:lastColumn="0" w:noHBand="0" w:noVBand="1"/>
      </w:tblPr>
      <w:tblGrid>
        <w:gridCol w:w="1064"/>
        <w:gridCol w:w="568"/>
        <w:gridCol w:w="567"/>
        <w:gridCol w:w="567"/>
        <w:gridCol w:w="567"/>
        <w:gridCol w:w="567"/>
        <w:gridCol w:w="708"/>
        <w:gridCol w:w="709"/>
        <w:gridCol w:w="709"/>
        <w:gridCol w:w="709"/>
        <w:gridCol w:w="715"/>
        <w:gridCol w:w="709"/>
        <w:gridCol w:w="709"/>
        <w:gridCol w:w="708"/>
        <w:gridCol w:w="706"/>
        <w:gridCol w:w="709"/>
        <w:gridCol w:w="847"/>
      </w:tblGrid>
      <w:tr w:rsidR="008668B8" w:rsidRPr="00A43491" w14:paraId="6A862E49" w14:textId="77777777" w:rsidTr="00A20458">
        <w:trPr>
          <w:trHeight w:val="505"/>
          <w:jc w:val="center"/>
        </w:trPr>
        <w:tc>
          <w:tcPr>
            <w:tcW w:w="1064" w:type="dxa"/>
            <w:tcBorders>
              <w:top w:val="nil"/>
              <w:left w:val="nil"/>
              <w:bottom w:val="single" w:sz="4" w:space="0" w:color="auto"/>
              <w:right w:val="nil"/>
            </w:tcBorders>
            <w:shd w:val="clear" w:color="000000" w:fill="DDEBF7"/>
            <w:noWrap/>
            <w:vAlign w:val="bottom"/>
            <w:hideMark/>
          </w:tcPr>
          <w:p w14:paraId="336B2DF5" w14:textId="77777777" w:rsidR="008668B8" w:rsidRPr="00EB642B" w:rsidRDefault="008668B8" w:rsidP="00A20458">
            <w:pPr>
              <w:rPr>
                <w:rFonts w:ascii="Arial" w:hAnsi="Arial" w:cs="Arial"/>
                <w:b/>
                <w:bCs/>
                <w:sz w:val="14"/>
                <w:szCs w:val="14"/>
                <w:lang w:val="es-ES_tradnl"/>
              </w:rPr>
            </w:pPr>
            <w:r w:rsidRPr="00EB642B">
              <w:rPr>
                <w:rFonts w:ascii="Arial" w:hAnsi="Arial" w:cs="Arial"/>
                <w:b/>
                <w:bCs/>
                <w:sz w:val="14"/>
                <w:szCs w:val="14"/>
                <w:lang w:val="es-ES_tradnl"/>
              </w:rPr>
              <w:t> </w:t>
            </w:r>
          </w:p>
        </w:tc>
        <w:tc>
          <w:tcPr>
            <w:tcW w:w="10774" w:type="dxa"/>
            <w:gridSpan w:val="16"/>
            <w:tcBorders>
              <w:top w:val="nil"/>
              <w:left w:val="nil"/>
              <w:bottom w:val="single" w:sz="4" w:space="0" w:color="auto"/>
            </w:tcBorders>
            <w:shd w:val="clear" w:color="000000" w:fill="DDEBF7"/>
            <w:vAlign w:val="center"/>
          </w:tcPr>
          <w:p w14:paraId="31CEEDD1" w14:textId="77777777" w:rsidR="008668B8" w:rsidRPr="00A43491" w:rsidRDefault="008668B8" w:rsidP="00A20458">
            <w:pPr>
              <w:jc w:val="center"/>
              <w:rPr>
                <w:rFonts w:ascii="Arial" w:hAnsi="Arial" w:cs="Arial"/>
                <w:b/>
                <w:bCs/>
                <w:sz w:val="14"/>
                <w:szCs w:val="14"/>
              </w:rPr>
            </w:pPr>
            <w:r w:rsidRPr="0060572E">
              <w:rPr>
                <w:rFonts w:ascii="Arial" w:hAnsi="Arial" w:cs="Arial"/>
                <w:b/>
                <w:bCs/>
                <w:sz w:val="14"/>
                <w:szCs w:val="14"/>
              </w:rPr>
              <w:t>Millones de dólares</w:t>
            </w:r>
          </w:p>
        </w:tc>
      </w:tr>
      <w:tr w:rsidR="008668B8" w:rsidRPr="00A43491" w14:paraId="6B7EA9E0" w14:textId="77777777" w:rsidTr="00A20458">
        <w:trPr>
          <w:trHeight w:val="300"/>
          <w:jc w:val="center"/>
        </w:trPr>
        <w:tc>
          <w:tcPr>
            <w:tcW w:w="1064" w:type="dxa"/>
            <w:tcBorders>
              <w:top w:val="nil"/>
              <w:left w:val="nil"/>
              <w:bottom w:val="single" w:sz="4" w:space="0" w:color="auto"/>
              <w:right w:val="nil"/>
            </w:tcBorders>
            <w:shd w:val="clear" w:color="000000" w:fill="DDEBF7"/>
            <w:noWrap/>
            <w:vAlign w:val="bottom"/>
          </w:tcPr>
          <w:p w14:paraId="38AA8BAC" w14:textId="77777777" w:rsidR="008668B8" w:rsidRPr="00A43491" w:rsidRDefault="008668B8" w:rsidP="00A20458">
            <w:pPr>
              <w:rPr>
                <w:rFonts w:ascii="Arial" w:hAnsi="Arial" w:cs="Arial"/>
                <w:b/>
                <w:bCs/>
                <w:sz w:val="14"/>
                <w:szCs w:val="14"/>
              </w:rPr>
            </w:pPr>
          </w:p>
        </w:tc>
        <w:tc>
          <w:tcPr>
            <w:tcW w:w="568" w:type="dxa"/>
            <w:tcBorders>
              <w:top w:val="nil"/>
              <w:left w:val="nil"/>
              <w:bottom w:val="single" w:sz="4" w:space="0" w:color="auto"/>
              <w:right w:val="nil"/>
            </w:tcBorders>
            <w:shd w:val="clear" w:color="000000" w:fill="DDEBF7"/>
            <w:vAlign w:val="center"/>
          </w:tcPr>
          <w:p w14:paraId="01BD2792"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w:t>
            </w:r>
          </w:p>
        </w:tc>
        <w:tc>
          <w:tcPr>
            <w:tcW w:w="567" w:type="dxa"/>
            <w:tcBorders>
              <w:top w:val="nil"/>
              <w:left w:val="nil"/>
              <w:bottom w:val="single" w:sz="4" w:space="0" w:color="auto"/>
              <w:right w:val="nil"/>
            </w:tcBorders>
            <w:shd w:val="clear" w:color="000000" w:fill="DDEBF7"/>
            <w:noWrap/>
            <w:vAlign w:val="center"/>
          </w:tcPr>
          <w:p w14:paraId="50A3B699"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Año2</w:t>
            </w:r>
          </w:p>
        </w:tc>
        <w:tc>
          <w:tcPr>
            <w:tcW w:w="567" w:type="dxa"/>
            <w:tcBorders>
              <w:top w:val="nil"/>
              <w:left w:val="nil"/>
              <w:bottom w:val="single" w:sz="4" w:space="0" w:color="auto"/>
              <w:right w:val="nil"/>
            </w:tcBorders>
            <w:shd w:val="clear" w:color="000000" w:fill="DDEBF7"/>
            <w:noWrap/>
            <w:vAlign w:val="center"/>
          </w:tcPr>
          <w:p w14:paraId="33A0EC05"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Año3</w:t>
            </w:r>
          </w:p>
        </w:tc>
        <w:tc>
          <w:tcPr>
            <w:tcW w:w="567" w:type="dxa"/>
            <w:tcBorders>
              <w:top w:val="nil"/>
              <w:left w:val="nil"/>
              <w:bottom w:val="single" w:sz="4" w:space="0" w:color="auto"/>
              <w:right w:val="nil"/>
            </w:tcBorders>
            <w:shd w:val="clear" w:color="000000" w:fill="DDEBF7"/>
            <w:noWrap/>
            <w:vAlign w:val="center"/>
          </w:tcPr>
          <w:p w14:paraId="3F8B3D87"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Año4</w:t>
            </w:r>
          </w:p>
        </w:tc>
        <w:tc>
          <w:tcPr>
            <w:tcW w:w="567" w:type="dxa"/>
            <w:tcBorders>
              <w:top w:val="nil"/>
              <w:left w:val="nil"/>
              <w:bottom w:val="single" w:sz="4" w:space="0" w:color="auto"/>
              <w:right w:val="nil"/>
            </w:tcBorders>
            <w:shd w:val="clear" w:color="000000" w:fill="DDEBF7"/>
            <w:noWrap/>
            <w:vAlign w:val="center"/>
          </w:tcPr>
          <w:p w14:paraId="5BC44958"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Año5</w:t>
            </w:r>
          </w:p>
        </w:tc>
        <w:tc>
          <w:tcPr>
            <w:tcW w:w="708" w:type="dxa"/>
            <w:tcBorders>
              <w:top w:val="nil"/>
              <w:left w:val="nil"/>
              <w:bottom w:val="single" w:sz="4" w:space="0" w:color="auto"/>
              <w:right w:val="nil"/>
            </w:tcBorders>
            <w:shd w:val="clear" w:color="000000" w:fill="DDEBF7"/>
            <w:noWrap/>
            <w:vAlign w:val="center"/>
          </w:tcPr>
          <w:p w14:paraId="143EA4FD"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Año6</w:t>
            </w:r>
          </w:p>
        </w:tc>
        <w:tc>
          <w:tcPr>
            <w:tcW w:w="709" w:type="dxa"/>
            <w:tcBorders>
              <w:top w:val="nil"/>
              <w:left w:val="nil"/>
              <w:bottom w:val="single" w:sz="4" w:space="0" w:color="auto"/>
              <w:right w:val="nil"/>
            </w:tcBorders>
            <w:shd w:val="clear" w:color="000000" w:fill="DDEBF7"/>
            <w:noWrap/>
            <w:vAlign w:val="center"/>
          </w:tcPr>
          <w:p w14:paraId="424C4697"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Año7</w:t>
            </w:r>
          </w:p>
        </w:tc>
        <w:tc>
          <w:tcPr>
            <w:tcW w:w="709" w:type="dxa"/>
            <w:tcBorders>
              <w:top w:val="nil"/>
              <w:left w:val="nil"/>
              <w:bottom w:val="single" w:sz="4" w:space="0" w:color="auto"/>
              <w:right w:val="nil"/>
            </w:tcBorders>
            <w:shd w:val="clear" w:color="000000" w:fill="DDEBF7"/>
            <w:noWrap/>
            <w:vAlign w:val="center"/>
          </w:tcPr>
          <w:p w14:paraId="033CF00B"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Año8</w:t>
            </w:r>
          </w:p>
        </w:tc>
        <w:tc>
          <w:tcPr>
            <w:tcW w:w="709" w:type="dxa"/>
            <w:tcBorders>
              <w:top w:val="nil"/>
              <w:left w:val="nil"/>
              <w:bottom w:val="single" w:sz="4" w:space="0" w:color="auto"/>
              <w:right w:val="nil"/>
            </w:tcBorders>
            <w:shd w:val="clear" w:color="000000" w:fill="DDEBF7"/>
            <w:noWrap/>
            <w:vAlign w:val="center"/>
          </w:tcPr>
          <w:p w14:paraId="53D179A9"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Año9</w:t>
            </w:r>
          </w:p>
        </w:tc>
        <w:tc>
          <w:tcPr>
            <w:tcW w:w="715" w:type="dxa"/>
            <w:tcBorders>
              <w:top w:val="nil"/>
              <w:left w:val="nil"/>
              <w:bottom w:val="single" w:sz="4" w:space="0" w:color="auto"/>
              <w:right w:val="nil"/>
            </w:tcBorders>
            <w:shd w:val="clear" w:color="000000" w:fill="DDEBF7"/>
            <w:noWrap/>
            <w:vAlign w:val="center"/>
          </w:tcPr>
          <w:p w14:paraId="263533EC"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Año10</w:t>
            </w:r>
          </w:p>
        </w:tc>
        <w:tc>
          <w:tcPr>
            <w:tcW w:w="709" w:type="dxa"/>
            <w:tcBorders>
              <w:top w:val="nil"/>
              <w:left w:val="nil"/>
              <w:bottom w:val="single" w:sz="4" w:space="0" w:color="auto"/>
              <w:right w:val="nil"/>
            </w:tcBorders>
            <w:shd w:val="clear" w:color="000000" w:fill="DDEBF7"/>
            <w:noWrap/>
            <w:vAlign w:val="center"/>
          </w:tcPr>
          <w:p w14:paraId="6215A1F3"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Año11</w:t>
            </w:r>
          </w:p>
        </w:tc>
        <w:tc>
          <w:tcPr>
            <w:tcW w:w="709" w:type="dxa"/>
            <w:tcBorders>
              <w:top w:val="nil"/>
              <w:left w:val="nil"/>
              <w:bottom w:val="single" w:sz="4" w:space="0" w:color="auto"/>
              <w:right w:val="nil"/>
            </w:tcBorders>
            <w:shd w:val="clear" w:color="000000" w:fill="DDEBF7"/>
            <w:noWrap/>
            <w:vAlign w:val="center"/>
          </w:tcPr>
          <w:p w14:paraId="72F2D079"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Año12</w:t>
            </w:r>
          </w:p>
        </w:tc>
        <w:tc>
          <w:tcPr>
            <w:tcW w:w="708" w:type="dxa"/>
            <w:tcBorders>
              <w:top w:val="nil"/>
              <w:left w:val="nil"/>
              <w:bottom w:val="single" w:sz="4" w:space="0" w:color="auto"/>
              <w:right w:val="nil"/>
            </w:tcBorders>
            <w:shd w:val="clear" w:color="000000" w:fill="DDEBF7"/>
            <w:noWrap/>
            <w:vAlign w:val="center"/>
          </w:tcPr>
          <w:p w14:paraId="6834B30E"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Año13</w:t>
            </w:r>
          </w:p>
        </w:tc>
        <w:tc>
          <w:tcPr>
            <w:tcW w:w="706" w:type="dxa"/>
            <w:tcBorders>
              <w:top w:val="nil"/>
              <w:left w:val="nil"/>
              <w:bottom w:val="single" w:sz="4" w:space="0" w:color="auto"/>
              <w:right w:val="nil"/>
            </w:tcBorders>
            <w:shd w:val="clear" w:color="000000" w:fill="DDEBF7"/>
            <w:noWrap/>
            <w:vAlign w:val="center"/>
          </w:tcPr>
          <w:p w14:paraId="48C61F17"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Año14</w:t>
            </w:r>
          </w:p>
        </w:tc>
        <w:tc>
          <w:tcPr>
            <w:tcW w:w="709" w:type="dxa"/>
            <w:tcBorders>
              <w:top w:val="nil"/>
              <w:left w:val="nil"/>
              <w:bottom w:val="single" w:sz="4" w:space="0" w:color="auto"/>
              <w:right w:val="nil"/>
            </w:tcBorders>
            <w:shd w:val="clear" w:color="000000" w:fill="DDEBF7"/>
            <w:noWrap/>
            <w:vAlign w:val="center"/>
          </w:tcPr>
          <w:p w14:paraId="73A38A9F"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Año1</w:t>
            </w:r>
            <w:r>
              <w:rPr>
                <w:rFonts w:ascii="Arial" w:hAnsi="Arial" w:cs="Arial"/>
                <w:b/>
                <w:bCs/>
                <w:sz w:val="14"/>
                <w:szCs w:val="14"/>
              </w:rPr>
              <w:t>5</w:t>
            </w:r>
          </w:p>
        </w:tc>
        <w:tc>
          <w:tcPr>
            <w:tcW w:w="847" w:type="dxa"/>
            <w:tcBorders>
              <w:top w:val="nil"/>
              <w:left w:val="nil"/>
              <w:bottom w:val="single" w:sz="4" w:space="0" w:color="auto"/>
            </w:tcBorders>
            <w:shd w:val="clear" w:color="000000" w:fill="DDEBF7"/>
            <w:noWrap/>
            <w:vAlign w:val="center"/>
          </w:tcPr>
          <w:p w14:paraId="6409EAB9" w14:textId="77777777" w:rsidR="008668B8" w:rsidRPr="00A43491" w:rsidRDefault="008668B8" w:rsidP="00A20458">
            <w:pPr>
              <w:rPr>
                <w:rFonts w:ascii="Arial" w:hAnsi="Arial" w:cs="Arial"/>
                <w:b/>
                <w:bCs/>
                <w:sz w:val="14"/>
                <w:szCs w:val="14"/>
              </w:rPr>
            </w:pPr>
            <w:r w:rsidRPr="00A43491">
              <w:rPr>
                <w:rFonts w:ascii="Arial" w:hAnsi="Arial" w:cs="Arial"/>
                <w:b/>
                <w:bCs/>
                <w:sz w:val="14"/>
                <w:szCs w:val="14"/>
              </w:rPr>
              <w:t>Total</w:t>
            </w:r>
          </w:p>
        </w:tc>
      </w:tr>
      <w:tr w:rsidR="00254946" w:rsidRPr="00A43491" w14:paraId="5D198FBC" w14:textId="77777777" w:rsidTr="00E62139">
        <w:trPr>
          <w:trHeight w:val="300"/>
          <w:jc w:val="center"/>
        </w:trPr>
        <w:tc>
          <w:tcPr>
            <w:tcW w:w="1064" w:type="dxa"/>
            <w:tcBorders>
              <w:top w:val="single" w:sz="4" w:space="0" w:color="auto"/>
              <w:left w:val="nil"/>
              <w:right w:val="nil"/>
            </w:tcBorders>
            <w:shd w:val="clear" w:color="auto" w:fill="auto"/>
            <w:noWrap/>
            <w:hideMark/>
          </w:tcPr>
          <w:p w14:paraId="7547DB13" w14:textId="77777777" w:rsidR="00254946" w:rsidRPr="005B5674" w:rsidRDefault="00254946" w:rsidP="00254946">
            <w:pPr>
              <w:jc w:val="center"/>
              <w:rPr>
                <w:rFonts w:ascii="Arial" w:hAnsi="Arial" w:cs="Arial"/>
                <w:b/>
                <w:sz w:val="14"/>
                <w:szCs w:val="14"/>
              </w:rPr>
            </w:pPr>
            <w:r w:rsidRPr="00A43491">
              <w:rPr>
                <w:rFonts w:ascii="Arial" w:hAnsi="Arial" w:cs="Arial"/>
                <w:sz w:val="14"/>
                <w:szCs w:val="14"/>
              </w:rPr>
              <w:t xml:space="preserve">Beneficios Económicos en VPN </w:t>
            </w:r>
          </w:p>
        </w:tc>
        <w:tc>
          <w:tcPr>
            <w:tcW w:w="568" w:type="dxa"/>
            <w:tcBorders>
              <w:top w:val="single" w:sz="4" w:space="0" w:color="auto"/>
              <w:left w:val="nil"/>
              <w:right w:val="nil"/>
            </w:tcBorders>
            <w:vAlign w:val="center"/>
          </w:tcPr>
          <w:p w14:paraId="60AC6CE6" w14:textId="7C2FA88B" w:rsidR="00254946" w:rsidRPr="00FC13AE" w:rsidRDefault="00254946" w:rsidP="00254946">
            <w:pPr>
              <w:jc w:val="center"/>
              <w:rPr>
                <w:rFonts w:ascii="Arial" w:hAnsi="Arial" w:cs="Arial"/>
                <w:sz w:val="14"/>
                <w:szCs w:val="14"/>
              </w:rPr>
            </w:pPr>
            <w:r w:rsidRPr="00E62139">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51DA9D47" w14:textId="4B61CC37" w:rsidR="00254946" w:rsidRPr="00FC13AE" w:rsidRDefault="00254946" w:rsidP="00254946">
            <w:pPr>
              <w:jc w:val="center"/>
              <w:rPr>
                <w:rFonts w:ascii="Arial" w:hAnsi="Arial" w:cs="Arial"/>
                <w:sz w:val="14"/>
                <w:szCs w:val="14"/>
              </w:rPr>
            </w:pPr>
            <w:r w:rsidRPr="00E62139">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4AD091F2" w14:textId="01E42D3B" w:rsidR="00254946" w:rsidRPr="00FC13AE" w:rsidRDefault="00254946" w:rsidP="00254946">
            <w:pPr>
              <w:jc w:val="center"/>
              <w:rPr>
                <w:rFonts w:ascii="Arial" w:hAnsi="Arial" w:cs="Arial"/>
                <w:sz w:val="14"/>
                <w:szCs w:val="14"/>
              </w:rPr>
            </w:pPr>
            <w:r w:rsidRPr="00E62139">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3E7BD2FF" w14:textId="29A7DC58" w:rsidR="00254946" w:rsidRPr="00FC13AE" w:rsidRDefault="00254946" w:rsidP="00254946">
            <w:pPr>
              <w:jc w:val="center"/>
              <w:rPr>
                <w:rFonts w:ascii="Arial" w:hAnsi="Arial" w:cs="Arial"/>
                <w:sz w:val="14"/>
                <w:szCs w:val="14"/>
              </w:rPr>
            </w:pPr>
            <w:r w:rsidRPr="00E62139">
              <w:rPr>
                <w:rFonts w:ascii="Arial" w:hAnsi="Arial" w:cs="Arial"/>
                <w:sz w:val="14"/>
                <w:szCs w:val="14"/>
              </w:rPr>
              <w:t>0</w:t>
            </w:r>
          </w:p>
        </w:tc>
        <w:tc>
          <w:tcPr>
            <w:tcW w:w="567" w:type="dxa"/>
            <w:tcBorders>
              <w:top w:val="single" w:sz="4" w:space="0" w:color="auto"/>
              <w:left w:val="nil"/>
              <w:right w:val="nil"/>
            </w:tcBorders>
            <w:shd w:val="clear" w:color="auto" w:fill="auto"/>
            <w:noWrap/>
            <w:vAlign w:val="center"/>
            <w:hideMark/>
          </w:tcPr>
          <w:p w14:paraId="2F5A5190" w14:textId="27BCE062" w:rsidR="00254946" w:rsidRPr="00FC13AE" w:rsidRDefault="00254946" w:rsidP="00254946">
            <w:pPr>
              <w:jc w:val="center"/>
              <w:rPr>
                <w:rFonts w:ascii="Arial" w:hAnsi="Arial" w:cs="Arial"/>
                <w:sz w:val="14"/>
                <w:szCs w:val="14"/>
              </w:rPr>
            </w:pPr>
            <w:r w:rsidRPr="00E62139">
              <w:rPr>
                <w:rFonts w:ascii="Arial" w:hAnsi="Arial" w:cs="Arial"/>
                <w:sz w:val="14"/>
                <w:szCs w:val="14"/>
              </w:rPr>
              <w:t>0</w:t>
            </w:r>
          </w:p>
        </w:tc>
        <w:tc>
          <w:tcPr>
            <w:tcW w:w="708" w:type="dxa"/>
            <w:tcBorders>
              <w:top w:val="single" w:sz="4" w:space="0" w:color="auto"/>
              <w:left w:val="nil"/>
              <w:right w:val="nil"/>
            </w:tcBorders>
            <w:shd w:val="clear" w:color="auto" w:fill="auto"/>
            <w:noWrap/>
            <w:vAlign w:val="center"/>
            <w:hideMark/>
          </w:tcPr>
          <w:p w14:paraId="36F7BB62" w14:textId="19B42317" w:rsidR="00254946" w:rsidRPr="00FC13AE" w:rsidRDefault="00254946" w:rsidP="00254946">
            <w:pPr>
              <w:jc w:val="center"/>
              <w:rPr>
                <w:rFonts w:ascii="Arial" w:hAnsi="Arial" w:cs="Arial"/>
                <w:sz w:val="14"/>
                <w:szCs w:val="14"/>
              </w:rPr>
            </w:pPr>
            <w:r w:rsidRPr="00E62139">
              <w:rPr>
                <w:rFonts w:ascii="Arial" w:hAnsi="Arial" w:cs="Arial"/>
                <w:sz w:val="14"/>
                <w:szCs w:val="14"/>
              </w:rPr>
              <w:t>37.39</w:t>
            </w:r>
          </w:p>
        </w:tc>
        <w:tc>
          <w:tcPr>
            <w:tcW w:w="709" w:type="dxa"/>
            <w:tcBorders>
              <w:top w:val="single" w:sz="4" w:space="0" w:color="auto"/>
              <w:left w:val="nil"/>
              <w:right w:val="nil"/>
            </w:tcBorders>
            <w:shd w:val="clear" w:color="auto" w:fill="auto"/>
            <w:noWrap/>
            <w:vAlign w:val="center"/>
            <w:hideMark/>
          </w:tcPr>
          <w:p w14:paraId="58DC6FAC" w14:textId="0EFDC991" w:rsidR="00254946" w:rsidRPr="00FC13AE" w:rsidRDefault="00254946" w:rsidP="00254946">
            <w:pPr>
              <w:jc w:val="center"/>
              <w:rPr>
                <w:rFonts w:ascii="Arial" w:hAnsi="Arial" w:cs="Arial"/>
                <w:sz w:val="14"/>
                <w:szCs w:val="14"/>
              </w:rPr>
            </w:pPr>
            <w:r w:rsidRPr="00E62139">
              <w:rPr>
                <w:rFonts w:ascii="Arial" w:hAnsi="Arial" w:cs="Arial"/>
                <w:sz w:val="14"/>
                <w:szCs w:val="14"/>
              </w:rPr>
              <w:t>38.07</w:t>
            </w:r>
          </w:p>
        </w:tc>
        <w:tc>
          <w:tcPr>
            <w:tcW w:w="709" w:type="dxa"/>
            <w:tcBorders>
              <w:top w:val="single" w:sz="4" w:space="0" w:color="auto"/>
              <w:left w:val="nil"/>
              <w:right w:val="nil"/>
            </w:tcBorders>
            <w:shd w:val="clear" w:color="auto" w:fill="auto"/>
            <w:noWrap/>
            <w:vAlign w:val="center"/>
            <w:hideMark/>
          </w:tcPr>
          <w:p w14:paraId="1BB507DB" w14:textId="715366B7" w:rsidR="00254946" w:rsidRPr="00FC13AE" w:rsidRDefault="00254946" w:rsidP="00254946">
            <w:pPr>
              <w:jc w:val="center"/>
              <w:rPr>
                <w:rFonts w:ascii="Arial" w:hAnsi="Arial" w:cs="Arial"/>
                <w:sz w:val="14"/>
                <w:szCs w:val="14"/>
              </w:rPr>
            </w:pPr>
            <w:r w:rsidRPr="00E62139">
              <w:rPr>
                <w:rFonts w:ascii="Arial" w:hAnsi="Arial" w:cs="Arial"/>
                <w:sz w:val="14"/>
                <w:szCs w:val="14"/>
              </w:rPr>
              <w:t>38.77</w:t>
            </w:r>
          </w:p>
        </w:tc>
        <w:tc>
          <w:tcPr>
            <w:tcW w:w="709" w:type="dxa"/>
            <w:tcBorders>
              <w:top w:val="single" w:sz="4" w:space="0" w:color="auto"/>
              <w:left w:val="nil"/>
              <w:right w:val="nil"/>
            </w:tcBorders>
            <w:shd w:val="clear" w:color="auto" w:fill="auto"/>
            <w:noWrap/>
            <w:vAlign w:val="center"/>
            <w:hideMark/>
          </w:tcPr>
          <w:p w14:paraId="0AFB2564" w14:textId="2A85280D" w:rsidR="00254946" w:rsidRPr="00FC13AE" w:rsidRDefault="00254946" w:rsidP="00254946">
            <w:pPr>
              <w:jc w:val="center"/>
              <w:rPr>
                <w:rFonts w:ascii="Arial" w:hAnsi="Arial" w:cs="Arial"/>
                <w:sz w:val="14"/>
                <w:szCs w:val="14"/>
              </w:rPr>
            </w:pPr>
            <w:r w:rsidRPr="00E62139">
              <w:rPr>
                <w:rFonts w:ascii="Arial" w:hAnsi="Arial" w:cs="Arial"/>
                <w:sz w:val="14"/>
                <w:szCs w:val="14"/>
              </w:rPr>
              <w:t>39.48</w:t>
            </w:r>
          </w:p>
        </w:tc>
        <w:tc>
          <w:tcPr>
            <w:tcW w:w="715" w:type="dxa"/>
            <w:tcBorders>
              <w:top w:val="single" w:sz="4" w:space="0" w:color="auto"/>
              <w:left w:val="nil"/>
              <w:right w:val="nil"/>
            </w:tcBorders>
            <w:shd w:val="clear" w:color="auto" w:fill="auto"/>
            <w:noWrap/>
            <w:vAlign w:val="center"/>
            <w:hideMark/>
          </w:tcPr>
          <w:p w14:paraId="5FD63615" w14:textId="68366E27" w:rsidR="00254946" w:rsidRPr="00FC13AE" w:rsidRDefault="00254946" w:rsidP="00254946">
            <w:pPr>
              <w:jc w:val="center"/>
              <w:rPr>
                <w:rFonts w:ascii="Arial" w:hAnsi="Arial" w:cs="Arial"/>
                <w:sz w:val="14"/>
                <w:szCs w:val="14"/>
              </w:rPr>
            </w:pPr>
            <w:r w:rsidRPr="00E62139">
              <w:rPr>
                <w:rFonts w:ascii="Arial" w:hAnsi="Arial" w:cs="Arial"/>
                <w:sz w:val="14"/>
                <w:szCs w:val="14"/>
              </w:rPr>
              <w:t>40.73</w:t>
            </w:r>
          </w:p>
        </w:tc>
        <w:tc>
          <w:tcPr>
            <w:tcW w:w="709" w:type="dxa"/>
            <w:tcBorders>
              <w:top w:val="single" w:sz="4" w:space="0" w:color="auto"/>
              <w:left w:val="nil"/>
              <w:right w:val="nil"/>
            </w:tcBorders>
            <w:shd w:val="clear" w:color="auto" w:fill="auto"/>
            <w:noWrap/>
            <w:vAlign w:val="center"/>
            <w:hideMark/>
          </w:tcPr>
          <w:p w14:paraId="37E5ABC8" w14:textId="70DD7880" w:rsidR="00254946" w:rsidRPr="00FC13AE" w:rsidRDefault="00254946" w:rsidP="00254946">
            <w:pPr>
              <w:jc w:val="center"/>
              <w:rPr>
                <w:rFonts w:ascii="Arial" w:hAnsi="Arial" w:cs="Arial"/>
                <w:sz w:val="14"/>
                <w:szCs w:val="14"/>
              </w:rPr>
            </w:pPr>
            <w:r w:rsidRPr="00E62139">
              <w:rPr>
                <w:rFonts w:ascii="Arial" w:hAnsi="Arial" w:cs="Arial"/>
                <w:sz w:val="14"/>
                <w:szCs w:val="14"/>
              </w:rPr>
              <w:t>40.40</w:t>
            </w:r>
          </w:p>
        </w:tc>
        <w:tc>
          <w:tcPr>
            <w:tcW w:w="709" w:type="dxa"/>
            <w:tcBorders>
              <w:top w:val="single" w:sz="4" w:space="0" w:color="auto"/>
              <w:left w:val="nil"/>
              <w:right w:val="nil"/>
            </w:tcBorders>
            <w:shd w:val="clear" w:color="auto" w:fill="auto"/>
            <w:noWrap/>
            <w:vAlign w:val="center"/>
            <w:hideMark/>
          </w:tcPr>
          <w:p w14:paraId="00FBDD92" w14:textId="57108756" w:rsidR="00254946" w:rsidRPr="00FC13AE" w:rsidRDefault="00254946" w:rsidP="00254946">
            <w:pPr>
              <w:jc w:val="center"/>
              <w:rPr>
                <w:rFonts w:ascii="Arial" w:hAnsi="Arial" w:cs="Arial"/>
                <w:sz w:val="14"/>
                <w:szCs w:val="14"/>
              </w:rPr>
            </w:pPr>
            <w:r w:rsidRPr="00E62139">
              <w:rPr>
                <w:rFonts w:ascii="Arial" w:hAnsi="Arial" w:cs="Arial"/>
                <w:sz w:val="14"/>
                <w:szCs w:val="14"/>
              </w:rPr>
              <w:t>38.46</w:t>
            </w:r>
          </w:p>
        </w:tc>
        <w:tc>
          <w:tcPr>
            <w:tcW w:w="708" w:type="dxa"/>
            <w:tcBorders>
              <w:top w:val="single" w:sz="4" w:space="0" w:color="auto"/>
              <w:left w:val="nil"/>
              <w:right w:val="nil"/>
            </w:tcBorders>
            <w:shd w:val="clear" w:color="auto" w:fill="auto"/>
            <w:noWrap/>
            <w:vAlign w:val="center"/>
            <w:hideMark/>
          </w:tcPr>
          <w:p w14:paraId="596FC935" w14:textId="596CC119" w:rsidR="00254946" w:rsidRPr="00FC13AE" w:rsidRDefault="00254946" w:rsidP="00254946">
            <w:pPr>
              <w:jc w:val="center"/>
              <w:rPr>
                <w:rFonts w:ascii="Arial" w:hAnsi="Arial" w:cs="Arial"/>
                <w:sz w:val="14"/>
                <w:szCs w:val="14"/>
              </w:rPr>
            </w:pPr>
            <w:r w:rsidRPr="00E62139">
              <w:rPr>
                <w:rFonts w:ascii="Arial" w:hAnsi="Arial" w:cs="Arial"/>
                <w:sz w:val="14"/>
                <w:szCs w:val="14"/>
              </w:rPr>
              <w:t>37.05</w:t>
            </w:r>
          </w:p>
        </w:tc>
        <w:tc>
          <w:tcPr>
            <w:tcW w:w="706" w:type="dxa"/>
            <w:tcBorders>
              <w:top w:val="single" w:sz="4" w:space="0" w:color="auto"/>
              <w:left w:val="nil"/>
              <w:right w:val="nil"/>
            </w:tcBorders>
            <w:shd w:val="clear" w:color="auto" w:fill="auto"/>
            <w:noWrap/>
            <w:vAlign w:val="center"/>
            <w:hideMark/>
          </w:tcPr>
          <w:p w14:paraId="3086E5AD" w14:textId="66C387CF" w:rsidR="00254946" w:rsidRPr="00FC13AE" w:rsidRDefault="00254946" w:rsidP="00254946">
            <w:pPr>
              <w:jc w:val="center"/>
              <w:rPr>
                <w:rFonts w:ascii="Arial" w:hAnsi="Arial" w:cs="Arial"/>
                <w:sz w:val="14"/>
                <w:szCs w:val="14"/>
              </w:rPr>
            </w:pPr>
            <w:r w:rsidRPr="00E62139">
              <w:rPr>
                <w:rFonts w:ascii="Arial" w:hAnsi="Arial" w:cs="Arial"/>
                <w:sz w:val="14"/>
                <w:szCs w:val="14"/>
              </w:rPr>
              <w:t>35.09</w:t>
            </w:r>
          </w:p>
        </w:tc>
        <w:tc>
          <w:tcPr>
            <w:tcW w:w="709" w:type="dxa"/>
            <w:tcBorders>
              <w:top w:val="single" w:sz="4" w:space="0" w:color="auto"/>
              <w:left w:val="nil"/>
              <w:right w:val="nil"/>
            </w:tcBorders>
            <w:shd w:val="clear" w:color="auto" w:fill="auto"/>
            <w:noWrap/>
            <w:vAlign w:val="center"/>
            <w:hideMark/>
          </w:tcPr>
          <w:p w14:paraId="4225E09C" w14:textId="25ABC6E2" w:rsidR="00254946" w:rsidRPr="00FC13AE" w:rsidRDefault="00254946" w:rsidP="00254946">
            <w:pPr>
              <w:jc w:val="center"/>
              <w:rPr>
                <w:rFonts w:ascii="Arial" w:hAnsi="Arial" w:cs="Arial"/>
                <w:sz w:val="14"/>
                <w:szCs w:val="14"/>
              </w:rPr>
            </w:pPr>
            <w:r w:rsidRPr="00E62139">
              <w:rPr>
                <w:rFonts w:ascii="Arial" w:hAnsi="Arial" w:cs="Arial"/>
                <w:sz w:val="14"/>
                <w:szCs w:val="14"/>
              </w:rPr>
              <w:t>33.67</w:t>
            </w:r>
          </w:p>
        </w:tc>
        <w:tc>
          <w:tcPr>
            <w:tcW w:w="847" w:type="dxa"/>
            <w:tcBorders>
              <w:top w:val="single" w:sz="4" w:space="0" w:color="auto"/>
              <w:left w:val="nil"/>
              <w:right w:val="nil"/>
            </w:tcBorders>
            <w:shd w:val="clear" w:color="auto" w:fill="auto"/>
            <w:noWrap/>
            <w:vAlign w:val="center"/>
            <w:hideMark/>
          </w:tcPr>
          <w:p w14:paraId="42269471" w14:textId="402FC544" w:rsidR="00254946" w:rsidRPr="00FC13AE" w:rsidRDefault="00254946" w:rsidP="00254946">
            <w:pPr>
              <w:jc w:val="center"/>
              <w:rPr>
                <w:rFonts w:ascii="Arial" w:hAnsi="Arial" w:cs="Arial"/>
                <w:sz w:val="14"/>
                <w:szCs w:val="14"/>
              </w:rPr>
            </w:pPr>
            <w:r w:rsidRPr="00E62139">
              <w:rPr>
                <w:rFonts w:ascii="Arial" w:hAnsi="Arial" w:cs="Arial"/>
                <w:sz w:val="14"/>
                <w:szCs w:val="14"/>
              </w:rPr>
              <w:t>379.10</w:t>
            </w:r>
          </w:p>
        </w:tc>
      </w:tr>
      <w:tr w:rsidR="00254946" w:rsidRPr="00A43491" w14:paraId="198CC1CF" w14:textId="77777777" w:rsidTr="00E62139">
        <w:trPr>
          <w:trHeight w:val="300"/>
          <w:jc w:val="center"/>
        </w:trPr>
        <w:tc>
          <w:tcPr>
            <w:tcW w:w="1064" w:type="dxa"/>
            <w:tcBorders>
              <w:left w:val="nil"/>
              <w:bottom w:val="single" w:sz="4" w:space="0" w:color="auto"/>
              <w:right w:val="nil"/>
            </w:tcBorders>
            <w:shd w:val="clear" w:color="auto" w:fill="auto"/>
            <w:noWrap/>
          </w:tcPr>
          <w:p w14:paraId="38AC1396" w14:textId="77777777" w:rsidR="00254946" w:rsidRPr="005B5674" w:rsidRDefault="00254946" w:rsidP="00254946">
            <w:pPr>
              <w:jc w:val="center"/>
              <w:rPr>
                <w:rFonts w:ascii="Arial" w:hAnsi="Arial" w:cs="Arial"/>
                <w:sz w:val="14"/>
                <w:szCs w:val="14"/>
              </w:rPr>
            </w:pPr>
            <w:r w:rsidRPr="00A43491">
              <w:rPr>
                <w:rFonts w:ascii="Arial" w:hAnsi="Arial" w:cs="Arial"/>
                <w:sz w:val="14"/>
                <w:szCs w:val="14"/>
              </w:rPr>
              <w:t>Costos Económicos en VPN</w:t>
            </w:r>
          </w:p>
        </w:tc>
        <w:tc>
          <w:tcPr>
            <w:tcW w:w="568" w:type="dxa"/>
            <w:tcBorders>
              <w:left w:val="nil"/>
              <w:bottom w:val="single" w:sz="4" w:space="0" w:color="auto"/>
              <w:right w:val="nil"/>
            </w:tcBorders>
            <w:vAlign w:val="center"/>
          </w:tcPr>
          <w:p w14:paraId="3C7837BC" w14:textId="768FFCD4" w:rsidR="00254946" w:rsidRPr="001A13B5" w:rsidRDefault="00254946" w:rsidP="00254946">
            <w:pPr>
              <w:jc w:val="center"/>
              <w:rPr>
                <w:rFonts w:ascii="Arial" w:hAnsi="Arial" w:cs="Arial"/>
                <w:sz w:val="14"/>
                <w:szCs w:val="14"/>
              </w:rPr>
            </w:pPr>
            <w:r w:rsidRPr="00E62139">
              <w:rPr>
                <w:rFonts w:ascii="Arial" w:hAnsi="Arial" w:cs="Arial"/>
                <w:sz w:val="14"/>
                <w:szCs w:val="14"/>
              </w:rPr>
              <w:t>40.31</w:t>
            </w:r>
          </w:p>
        </w:tc>
        <w:tc>
          <w:tcPr>
            <w:tcW w:w="567" w:type="dxa"/>
            <w:tcBorders>
              <w:left w:val="nil"/>
              <w:bottom w:val="single" w:sz="4" w:space="0" w:color="auto"/>
              <w:right w:val="nil"/>
            </w:tcBorders>
            <w:shd w:val="clear" w:color="auto" w:fill="auto"/>
            <w:noWrap/>
            <w:vAlign w:val="center"/>
          </w:tcPr>
          <w:p w14:paraId="6AFF03C2" w14:textId="355270DB" w:rsidR="00254946" w:rsidRPr="001A13B5" w:rsidRDefault="00254946" w:rsidP="00254946">
            <w:pPr>
              <w:jc w:val="center"/>
              <w:rPr>
                <w:rFonts w:ascii="Arial" w:hAnsi="Arial" w:cs="Arial"/>
                <w:sz w:val="14"/>
                <w:szCs w:val="14"/>
              </w:rPr>
            </w:pPr>
            <w:r w:rsidRPr="00E62139">
              <w:rPr>
                <w:rFonts w:ascii="Arial" w:hAnsi="Arial" w:cs="Arial"/>
                <w:sz w:val="14"/>
                <w:szCs w:val="14"/>
              </w:rPr>
              <w:t>46.31</w:t>
            </w:r>
          </w:p>
        </w:tc>
        <w:tc>
          <w:tcPr>
            <w:tcW w:w="567" w:type="dxa"/>
            <w:tcBorders>
              <w:left w:val="nil"/>
              <w:bottom w:val="single" w:sz="4" w:space="0" w:color="auto"/>
              <w:right w:val="nil"/>
            </w:tcBorders>
            <w:shd w:val="clear" w:color="auto" w:fill="auto"/>
            <w:noWrap/>
            <w:vAlign w:val="center"/>
          </w:tcPr>
          <w:p w14:paraId="544008DC" w14:textId="7FFA2BFA" w:rsidR="00254946" w:rsidRPr="001A13B5" w:rsidRDefault="00254946" w:rsidP="00254946">
            <w:pPr>
              <w:jc w:val="center"/>
              <w:rPr>
                <w:rFonts w:ascii="Arial" w:hAnsi="Arial" w:cs="Arial"/>
                <w:sz w:val="14"/>
                <w:szCs w:val="14"/>
              </w:rPr>
            </w:pPr>
            <w:r w:rsidRPr="00E62139">
              <w:rPr>
                <w:rFonts w:ascii="Arial" w:hAnsi="Arial" w:cs="Arial"/>
                <w:sz w:val="14"/>
                <w:szCs w:val="14"/>
              </w:rPr>
              <w:t>51.12</w:t>
            </w:r>
          </w:p>
        </w:tc>
        <w:tc>
          <w:tcPr>
            <w:tcW w:w="567" w:type="dxa"/>
            <w:tcBorders>
              <w:left w:val="nil"/>
              <w:bottom w:val="single" w:sz="4" w:space="0" w:color="auto"/>
              <w:right w:val="nil"/>
            </w:tcBorders>
            <w:shd w:val="clear" w:color="auto" w:fill="auto"/>
            <w:noWrap/>
            <w:vAlign w:val="center"/>
          </w:tcPr>
          <w:p w14:paraId="37A0C29A" w14:textId="06D70672" w:rsidR="00254946" w:rsidRPr="001A13B5" w:rsidRDefault="00254946" w:rsidP="00254946">
            <w:pPr>
              <w:jc w:val="center"/>
              <w:rPr>
                <w:rFonts w:ascii="Arial" w:hAnsi="Arial" w:cs="Arial"/>
                <w:sz w:val="14"/>
                <w:szCs w:val="14"/>
              </w:rPr>
            </w:pPr>
            <w:r w:rsidRPr="00E62139">
              <w:rPr>
                <w:rFonts w:ascii="Arial" w:hAnsi="Arial" w:cs="Arial"/>
                <w:sz w:val="14"/>
                <w:szCs w:val="14"/>
              </w:rPr>
              <w:t>11.48</w:t>
            </w:r>
          </w:p>
        </w:tc>
        <w:tc>
          <w:tcPr>
            <w:tcW w:w="567" w:type="dxa"/>
            <w:tcBorders>
              <w:left w:val="nil"/>
              <w:bottom w:val="single" w:sz="4" w:space="0" w:color="auto"/>
              <w:right w:val="nil"/>
            </w:tcBorders>
            <w:shd w:val="clear" w:color="auto" w:fill="auto"/>
            <w:noWrap/>
            <w:vAlign w:val="center"/>
          </w:tcPr>
          <w:p w14:paraId="2D567041" w14:textId="317C5A6E" w:rsidR="00254946" w:rsidRPr="001A13B5" w:rsidRDefault="00254946" w:rsidP="00254946">
            <w:pPr>
              <w:jc w:val="center"/>
              <w:rPr>
                <w:rFonts w:ascii="Arial" w:hAnsi="Arial" w:cs="Arial"/>
                <w:sz w:val="14"/>
                <w:szCs w:val="14"/>
              </w:rPr>
            </w:pPr>
            <w:r w:rsidRPr="00E62139">
              <w:rPr>
                <w:rFonts w:ascii="Arial" w:hAnsi="Arial" w:cs="Arial"/>
                <w:sz w:val="14"/>
                <w:szCs w:val="14"/>
              </w:rPr>
              <w:t>17.52</w:t>
            </w:r>
          </w:p>
        </w:tc>
        <w:tc>
          <w:tcPr>
            <w:tcW w:w="708" w:type="dxa"/>
            <w:tcBorders>
              <w:left w:val="nil"/>
              <w:bottom w:val="single" w:sz="4" w:space="0" w:color="auto"/>
              <w:right w:val="nil"/>
            </w:tcBorders>
            <w:shd w:val="clear" w:color="auto" w:fill="auto"/>
            <w:noWrap/>
            <w:vAlign w:val="center"/>
          </w:tcPr>
          <w:p w14:paraId="681D2D13" w14:textId="0AA60927" w:rsidR="00254946" w:rsidRPr="001A13B5" w:rsidRDefault="00254946" w:rsidP="00254946">
            <w:pPr>
              <w:jc w:val="center"/>
              <w:rPr>
                <w:rFonts w:ascii="Arial" w:hAnsi="Arial" w:cs="Arial"/>
                <w:sz w:val="14"/>
                <w:szCs w:val="14"/>
              </w:rPr>
            </w:pPr>
            <w:r w:rsidRPr="00E62139">
              <w:rPr>
                <w:rFonts w:ascii="Arial" w:hAnsi="Arial" w:cs="Arial"/>
                <w:sz w:val="14"/>
                <w:szCs w:val="14"/>
              </w:rPr>
              <w:t>1.09</w:t>
            </w:r>
          </w:p>
        </w:tc>
        <w:tc>
          <w:tcPr>
            <w:tcW w:w="709" w:type="dxa"/>
            <w:tcBorders>
              <w:left w:val="nil"/>
              <w:bottom w:val="single" w:sz="4" w:space="0" w:color="auto"/>
              <w:right w:val="nil"/>
            </w:tcBorders>
            <w:shd w:val="clear" w:color="auto" w:fill="auto"/>
            <w:noWrap/>
            <w:vAlign w:val="center"/>
          </w:tcPr>
          <w:p w14:paraId="42572C56" w14:textId="1EB9D2D2" w:rsidR="00254946" w:rsidRPr="001A13B5" w:rsidRDefault="00254946" w:rsidP="00254946">
            <w:pPr>
              <w:jc w:val="center"/>
              <w:rPr>
                <w:rFonts w:ascii="Arial" w:hAnsi="Arial" w:cs="Arial"/>
                <w:sz w:val="14"/>
                <w:szCs w:val="14"/>
              </w:rPr>
            </w:pPr>
            <w:r w:rsidRPr="00E62139">
              <w:rPr>
                <w:rFonts w:ascii="Arial" w:hAnsi="Arial" w:cs="Arial"/>
                <w:sz w:val="14"/>
                <w:szCs w:val="14"/>
              </w:rPr>
              <w:t>0.98</w:t>
            </w:r>
          </w:p>
        </w:tc>
        <w:tc>
          <w:tcPr>
            <w:tcW w:w="709" w:type="dxa"/>
            <w:tcBorders>
              <w:left w:val="nil"/>
              <w:bottom w:val="single" w:sz="4" w:space="0" w:color="auto"/>
              <w:right w:val="nil"/>
            </w:tcBorders>
            <w:shd w:val="clear" w:color="auto" w:fill="auto"/>
            <w:noWrap/>
            <w:vAlign w:val="center"/>
          </w:tcPr>
          <w:p w14:paraId="254CB171" w14:textId="59D977DD" w:rsidR="00254946" w:rsidRPr="001A13B5" w:rsidRDefault="00254946" w:rsidP="00254946">
            <w:pPr>
              <w:jc w:val="center"/>
              <w:rPr>
                <w:rFonts w:ascii="Arial" w:hAnsi="Arial" w:cs="Arial"/>
                <w:sz w:val="14"/>
                <w:szCs w:val="14"/>
              </w:rPr>
            </w:pPr>
            <w:r w:rsidRPr="00E62139">
              <w:rPr>
                <w:rFonts w:ascii="Arial" w:hAnsi="Arial" w:cs="Arial"/>
                <w:sz w:val="14"/>
                <w:szCs w:val="14"/>
              </w:rPr>
              <w:t>0.87</w:t>
            </w:r>
          </w:p>
        </w:tc>
        <w:tc>
          <w:tcPr>
            <w:tcW w:w="709" w:type="dxa"/>
            <w:tcBorders>
              <w:left w:val="nil"/>
              <w:bottom w:val="single" w:sz="4" w:space="0" w:color="auto"/>
              <w:right w:val="nil"/>
            </w:tcBorders>
            <w:shd w:val="clear" w:color="auto" w:fill="auto"/>
            <w:noWrap/>
            <w:vAlign w:val="center"/>
          </w:tcPr>
          <w:p w14:paraId="0A3FF97F" w14:textId="06D82E42" w:rsidR="00254946" w:rsidRPr="001A13B5" w:rsidRDefault="00254946" w:rsidP="00254946">
            <w:pPr>
              <w:jc w:val="center"/>
              <w:rPr>
                <w:rFonts w:ascii="Arial" w:hAnsi="Arial" w:cs="Arial"/>
                <w:sz w:val="14"/>
                <w:szCs w:val="14"/>
              </w:rPr>
            </w:pPr>
            <w:r w:rsidRPr="00E62139">
              <w:rPr>
                <w:rFonts w:ascii="Arial" w:hAnsi="Arial" w:cs="Arial"/>
                <w:sz w:val="14"/>
                <w:szCs w:val="14"/>
              </w:rPr>
              <w:t>0.78</w:t>
            </w:r>
          </w:p>
        </w:tc>
        <w:tc>
          <w:tcPr>
            <w:tcW w:w="715" w:type="dxa"/>
            <w:tcBorders>
              <w:left w:val="nil"/>
              <w:bottom w:val="single" w:sz="4" w:space="0" w:color="auto"/>
              <w:right w:val="nil"/>
            </w:tcBorders>
            <w:shd w:val="clear" w:color="auto" w:fill="auto"/>
            <w:noWrap/>
            <w:vAlign w:val="center"/>
          </w:tcPr>
          <w:p w14:paraId="53532E83" w14:textId="2E734CB4" w:rsidR="00254946" w:rsidRPr="001A13B5" w:rsidRDefault="00254946" w:rsidP="00254946">
            <w:pPr>
              <w:jc w:val="center"/>
              <w:rPr>
                <w:rFonts w:ascii="Arial" w:hAnsi="Arial" w:cs="Arial"/>
                <w:sz w:val="14"/>
                <w:szCs w:val="14"/>
              </w:rPr>
            </w:pPr>
            <w:r w:rsidRPr="00E62139">
              <w:rPr>
                <w:rFonts w:ascii="Arial" w:hAnsi="Arial" w:cs="Arial"/>
                <w:sz w:val="14"/>
                <w:szCs w:val="14"/>
              </w:rPr>
              <w:t>0.69</w:t>
            </w:r>
          </w:p>
        </w:tc>
        <w:tc>
          <w:tcPr>
            <w:tcW w:w="709" w:type="dxa"/>
            <w:tcBorders>
              <w:left w:val="nil"/>
              <w:bottom w:val="single" w:sz="4" w:space="0" w:color="auto"/>
              <w:right w:val="nil"/>
            </w:tcBorders>
            <w:shd w:val="clear" w:color="auto" w:fill="auto"/>
            <w:noWrap/>
            <w:vAlign w:val="center"/>
          </w:tcPr>
          <w:p w14:paraId="392C4C54" w14:textId="18526E1C" w:rsidR="00254946" w:rsidRPr="001A13B5" w:rsidRDefault="00254946" w:rsidP="00254946">
            <w:pPr>
              <w:jc w:val="center"/>
              <w:rPr>
                <w:rFonts w:ascii="Arial" w:hAnsi="Arial" w:cs="Arial"/>
                <w:sz w:val="14"/>
                <w:szCs w:val="14"/>
              </w:rPr>
            </w:pPr>
            <w:r w:rsidRPr="00E62139">
              <w:rPr>
                <w:rFonts w:ascii="Arial" w:hAnsi="Arial" w:cs="Arial"/>
                <w:sz w:val="14"/>
                <w:szCs w:val="14"/>
              </w:rPr>
              <w:t>0.62</w:t>
            </w:r>
          </w:p>
        </w:tc>
        <w:tc>
          <w:tcPr>
            <w:tcW w:w="709" w:type="dxa"/>
            <w:tcBorders>
              <w:left w:val="nil"/>
              <w:bottom w:val="single" w:sz="4" w:space="0" w:color="auto"/>
              <w:right w:val="nil"/>
            </w:tcBorders>
            <w:shd w:val="clear" w:color="auto" w:fill="auto"/>
            <w:noWrap/>
            <w:vAlign w:val="center"/>
          </w:tcPr>
          <w:p w14:paraId="73790C34" w14:textId="2D56DE0C" w:rsidR="00254946" w:rsidRPr="001A13B5" w:rsidRDefault="00254946" w:rsidP="00254946">
            <w:pPr>
              <w:jc w:val="center"/>
              <w:rPr>
                <w:rFonts w:ascii="Arial" w:hAnsi="Arial" w:cs="Arial"/>
                <w:sz w:val="14"/>
                <w:szCs w:val="14"/>
              </w:rPr>
            </w:pPr>
            <w:r w:rsidRPr="00E62139">
              <w:rPr>
                <w:rFonts w:ascii="Arial" w:hAnsi="Arial" w:cs="Arial"/>
                <w:sz w:val="14"/>
                <w:szCs w:val="14"/>
              </w:rPr>
              <w:t>0.55</w:t>
            </w:r>
          </w:p>
        </w:tc>
        <w:tc>
          <w:tcPr>
            <w:tcW w:w="708" w:type="dxa"/>
            <w:tcBorders>
              <w:left w:val="nil"/>
              <w:bottom w:val="single" w:sz="4" w:space="0" w:color="auto"/>
              <w:right w:val="nil"/>
            </w:tcBorders>
            <w:shd w:val="clear" w:color="auto" w:fill="auto"/>
            <w:noWrap/>
            <w:vAlign w:val="center"/>
          </w:tcPr>
          <w:p w14:paraId="05D610FE" w14:textId="78913CD6" w:rsidR="00254946" w:rsidRPr="001A13B5" w:rsidRDefault="00254946" w:rsidP="00254946">
            <w:pPr>
              <w:jc w:val="center"/>
              <w:rPr>
                <w:rFonts w:ascii="Arial" w:hAnsi="Arial" w:cs="Arial"/>
                <w:sz w:val="14"/>
                <w:szCs w:val="14"/>
              </w:rPr>
            </w:pPr>
            <w:r w:rsidRPr="00E62139">
              <w:rPr>
                <w:rFonts w:ascii="Arial" w:hAnsi="Arial" w:cs="Arial"/>
                <w:sz w:val="14"/>
                <w:szCs w:val="14"/>
              </w:rPr>
              <w:t>0.49</w:t>
            </w:r>
          </w:p>
        </w:tc>
        <w:tc>
          <w:tcPr>
            <w:tcW w:w="706" w:type="dxa"/>
            <w:tcBorders>
              <w:left w:val="nil"/>
              <w:bottom w:val="single" w:sz="4" w:space="0" w:color="auto"/>
              <w:right w:val="nil"/>
            </w:tcBorders>
            <w:shd w:val="clear" w:color="auto" w:fill="auto"/>
            <w:noWrap/>
            <w:vAlign w:val="center"/>
          </w:tcPr>
          <w:p w14:paraId="00569B8C" w14:textId="76D7CCB5" w:rsidR="00254946" w:rsidRPr="001A13B5" w:rsidRDefault="00254946" w:rsidP="00254946">
            <w:pPr>
              <w:jc w:val="center"/>
              <w:rPr>
                <w:rFonts w:ascii="Arial" w:hAnsi="Arial" w:cs="Arial"/>
                <w:sz w:val="14"/>
                <w:szCs w:val="14"/>
              </w:rPr>
            </w:pPr>
            <w:r w:rsidRPr="00E62139">
              <w:rPr>
                <w:rFonts w:ascii="Arial" w:hAnsi="Arial" w:cs="Arial"/>
                <w:sz w:val="14"/>
                <w:szCs w:val="14"/>
              </w:rPr>
              <w:t>0.44</w:t>
            </w:r>
          </w:p>
        </w:tc>
        <w:tc>
          <w:tcPr>
            <w:tcW w:w="709" w:type="dxa"/>
            <w:tcBorders>
              <w:left w:val="nil"/>
              <w:bottom w:val="single" w:sz="4" w:space="0" w:color="auto"/>
              <w:right w:val="nil"/>
            </w:tcBorders>
            <w:shd w:val="clear" w:color="auto" w:fill="auto"/>
            <w:noWrap/>
            <w:vAlign w:val="center"/>
          </w:tcPr>
          <w:p w14:paraId="1599F0FA" w14:textId="4FD53C68" w:rsidR="00254946" w:rsidRPr="001A13B5" w:rsidRDefault="00254946" w:rsidP="00254946">
            <w:pPr>
              <w:jc w:val="center"/>
              <w:rPr>
                <w:rFonts w:ascii="Arial" w:hAnsi="Arial" w:cs="Arial"/>
                <w:sz w:val="14"/>
                <w:szCs w:val="14"/>
              </w:rPr>
            </w:pPr>
            <w:r w:rsidRPr="00E62139">
              <w:rPr>
                <w:rFonts w:ascii="Arial" w:hAnsi="Arial" w:cs="Arial"/>
                <w:sz w:val="14"/>
                <w:szCs w:val="14"/>
              </w:rPr>
              <w:t>0.38</w:t>
            </w:r>
          </w:p>
        </w:tc>
        <w:tc>
          <w:tcPr>
            <w:tcW w:w="847" w:type="dxa"/>
            <w:tcBorders>
              <w:left w:val="nil"/>
              <w:bottom w:val="single" w:sz="4" w:space="0" w:color="auto"/>
              <w:right w:val="nil"/>
            </w:tcBorders>
            <w:shd w:val="clear" w:color="auto" w:fill="auto"/>
            <w:noWrap/>
            <w:vAlign w:val="center"/>
          </w:tcPr>
          <w:p w14:paraId="4DBE5341" w14:textId="652E1A7E" w:rsidR="00254946" w:rsidRPr="001A13B5" w:rsidRDefault="00254946" w:rsidP="00254946">
            <w:pPr>
              <w:jc w:val="center"/>
              <w:rPr>
                <w:rFonts w:ascii="Arial" w:hAnsi="Arial" w:cs="Arial"/>
                <w:sz w:val="14"/>
                <w:szCs w:val="14"/>
              </w:rPr>
            </w:pPr>
            <w:r w:rsidRPr="00E62139">
              <w:rPr>
                <w:rFonts w:ascii="Arial" w:hAnsi="Arial" w:cs="Arial"/>
                <w:sz w:val="14"/>
                <w:szCs w:val="14"/>
              </w:rPr>
              <w:t>173.65</w:t>
            </w:r>
          </w:p>
        </w:tc>
      </w:tr>
      <w:tr w:rsidR="00254946" w:rsidRPr="00A43491" w14:paraId="62D26F58" w14:textId="77777777" w:rsidTr="00E62139">
        <w:trPr>
          <w:trHeight w:val="300"/>
          <w:jc w:val="center"/>
        </w:trPr>
        <w:tc>
          <w:tcPr>
            <w:tcW w:w="1064" w:type="dxa"/>
            <w:tcBorders>
              <w:top w:val="single" w:sz="4" w:space="0" w:color="auto"/>
              <w:left w:val="nil"/>
              <w:bottom w:val="single" w:sz="4" w:space="0" w:color="auto"/>
              <w:right w:val="nil"/>
            </w:tcBorders>
            <w:shd w:val="clear" w:color="auto" w:fill="auto"/>
            <w:noWrap/>
          </w:tcPr>
          <w:p w14:paraId="47F3DC0B" w14:textId="77777777" w:rsidR="00254946" w:rsidRPr="005B5674" w:rsidRDefault="00254946" w:rsidP="00254946">
            <w:pPr>
              <w:jc w:val="center"/>
              <w:rPr>
                <w:rFonts w:ascii="Arial" w:hAnsi="Arial" w:cs="Arial"/>
                <w:sz w:val="14"/>
                <w:szCs w:val="14"/>
              </w:rPr>
            </w:pPr>
            <w:r w:rsidRPr="00A43491">
              <w:rPr>
                <w:rFonts w:ascii="Arial" w:hAnsi="Arial" w:cs="Arial"/>
                <w:b/>
                <w:sz w:val="14"/>
                <w:szCs w:val="14"/>
              </w:rPr>
              <w:t>Beneficios Netos en VPN</w:t>
            </w:r>
          </w:p>
        </w:tc>
        <w:tc>
          <w:tcPr>
            <w:tcW w:w="568" w:type="dxa"/>
            <w:tcBorders>
              <w:top w:val="single" w:sz="4" w:space="0" w:color="auto"/>
              <w:left w:val="nil"/>
              <w:bottom w:val="single" w:sz="4" w:space="0" w:color="auto"/>
              <w:right w:val="nil"/>
            </w:tcBorders>
            <w:vAlign w:val="center"/>
          </w:tcPr>
          <w:p w14:paraId="714D7486" w14:textId="4588B701" w:rsidR="00254946" w:rsidRPr="001A13B5" w:rsidRDefault="00254946" w:rsidP="00254946">
            <w:pPr>
              <w:jc w:val="center"/>
              <w:rPr>
                <w:rFonts w:ascii="Arial" w:hAnsi="Arial" w:cs="Arial"/>
                <w:sz w:val="14"/>
                <w:szCs w:val="14"/>
              </w:rPr>
            </w:pPr>
            <w:r w:rsidRPr="00E62139">
              <w:rPr>
                <w:rFonts w:ascii="Arial" w:hAnsi="Arial" w:cs="Arial"/>
                <w:sz w:val="14"/>
                <w:szCs w:val="14"/>
              </w:rPr>
              <w:t>-40.31</w:t>
            </w:r>
          </w:p>
        </w:tc>
        <w:tc>
          <w:tcPr>
            <w:tcW w:w="567" w:type="dxa"/>
            <w:tcBorders>
              <w:top w:val="single" w:sz="4" w:space="0" w:color="auto"/>
              <w:left w:val="nil"/>
              <w:bottom w:val="single" w:sz="4" w:space="0" w:color="auto"/>
              <w:right w:val="nil"/>
            </w:tcBorders>
            <w:shd w:val="clear" w:color="auto" w:fill="auto"/>
            <w:noWrap/>
            <w:vAlign w:val="center"/>
          </w:tcPr>
          <w:p w14:paraId="437C336A" w14:textId="4CA0C3F4" w:rsidR="00254946" w:rsidRPr="001A13B5" w:rsidRDefault="00254946" w:rsidP="00254946">
            <w:pPr>
              <w:jc w:val="center"/>
              <w:rPr>
                <w:rFonts w:ascii="Arial" w:hAnsi="Arial" w:cs="Arial"/>
                <w:sz w:val="14"/>
                <w:szCs w:val="14"/>
              </w:rPr>
            </w:pPr>
            <w:r w:rsidRPr="00E62139">
              <w:rPr>
                <w:rFonts w:ascii="Arial" w:hAnsi="Arial" w:cs="Arial"/>
                <w:sz w:val="14"/>
                <w:szCs w:val="14"/>
              </w:rPr>
              <w:t>-46.31</w:t>
            </w:r>
          </w:p>
        </w:tc>
        <w:tc>
          <w:tcPr>
            <w:tcW w:w="567" w:type="dxa"/>
            <w:tcBorders>
              <w:top w:val="single" w:sz="4" w:space="0" w:color="auto"/>
              <w:left w:val="nil"/>
              <w:bottom w:val="single" w:sz="4" w:space="0" w:color="auto"/>
              <w:right w:val="nil"/>
            </w:tcBorders>
            <w:shd w:val="clear" w:color="auto" w:fill="auto"/>
            <w:noWrap/>
            <w:vAlign w:val="center"/>
          </w:tcPr>
          <w:p w14:paraId="0ECD315E" w14:textId="4C28868D" w:rsidR="00254946" w:rsidRPr="001A13B5" w:rsidRDefault="00254946" w:rsidP="00254946">
            <w:pPr>
              <w:jc w:val="center"/>
              <w:rPr>
                <w:rFonts w:ascii="Arial" w:hAnsi="Arial" w:cs="Arial"/>
                <w:sz w:val="14"/>
                <w:szCs w:val="14"/>
              </w:rPr>
            </w:pPr>
            <w:r w:rsidRPr="00E62139">
              <w:rPr>
                <w:rFonts w:ascii="Arial" w:hAnsi="Arial" w:cs="Arial"/>
                <w:sz w:val="14"/>
                <w:szCs w:val="14"/>
              </w:rPr>
              <w:t>-51.12</w:t>
            </w:r>
          </w:p>
        </w:tc>
        <w:tc>
          <w:tcPr>
            <w:tcW w:w="567" w:type="dxa"/>
            <w:tcBorders>
              <w:top w:val="single" w:sz="4" w:space="0" w:color="auto"/>
              <w:left w:val="nil"/>
              <w:bottom w:val="single" w:sz="4" w:space="0" w:color="auto"/>
              <w:right w:val="nil"/>
            </w:tcBorders>
            <w:shd w:val="clear" w:color="auto" w:fill="auto"/>
            <w:noWrap/>
            <w:vAlign w:val="center"/>
          </w:tcPr>
          <w:p w14:paraId="70EB9E0A" w14:textId="6A4F32DC" w:rsidR="00254946" w:rsidRPr="001A13B5" w:rsidRDefault="00254946" w:rsidP="00254946">
            <w:pPr>
              <w:jc w:val="center"/>
              <w:rPr>
                <w:rFonts w:ascii="Arial" w:hAnsi="Arial" w:cs="Arial"/>
                <w:sz w:val="14"/>
                <w:szCs w:val="14"/>
              </w:rPr>
            </w:pPr>
            <w:r w:rsidRPr="00E62139">
              <w:rPr>
                <w:rFonts w:ascii="Arial" w:hAnsi="Arial" w:cs="Arial"/>
                <w:sz w:val="14"/>
                <w:szCs w:val="14"/>
              </w:rPr>
              <w:t>-11.48</w:t>
            </w:r>
          </w:p>
        </w:tc>
        <w:tc>
          <w:tcPr>
            <w:tcW w:w="567" w:type="dxa"/>
            <w:tcBorders>
              <w:top w:val="single" w:sz="4" w:space="0" w:color="auto"/>
              <w:left w:val="nil"/>
              <w:bottom w:val="single" w:sz="4" w:space="0" w:color="auto"/>
              <w:right w:val="nil"/>
            </w:tcBorders>
            <w:shd w:val="clear" w:color="auto" w:fill="auto"/>
            <w:noWrap/>
            <w:vAlign w:val="center"/>
          </w:tcPr>
          <w:p w14:paraId="1A1ADCFF" w14:textId="0C458D33" w:rsidR="00254946" w:rsidRPr="001A13B5" w:rsidRDefault="00254946" w:rsidP="00254946">
            <w:pPr>
              <w:jc w:val="center"/>
              <w:rPr>
                <w:rFonts w:ascii="Arial" w:hAnsi="Arial" w:cs="Arial"/>
                <w:sz w:val="14"/>
                <w:szCs w:val="14"/>
              </w:rPr>
            </w:pPr>
            <w:r w:rsidRPr="00E62139">
              <w:rPr>
                <w:rFonts w:ascii="Arial" w:hAnsi="Arial" w:cs="Arial"/>
                <w:sz w:val="14"/>
                <w:szCs w:val="14"/>
              </w:rPr>
              <w:t>-17.52</w:t>
            </w:r>
          </w:p>
        </w:tc>
        <w:tc>
          <w:tcPr>
            <w:tcW w:w="708" w:type="dxa"/>
            <w:tcBorders>
              <w:top w:val="single" w:sz="4" w:space="0" w:color="auto"/>
              <w:left w:val="nil"/>
              <w:bottom w:val="single" w:sz="4" w:space="0" w:color="auto"/>
              <w:right w:val="nil"/>
            </w:tcBorders>
            <w:shd w:val="clear" w:color="auto" w:fill="auto"/>
            <w:noWrap/>
            <w:vAlign w:val="center"/>
          </w:tcPr>
          <w:p w14:paraId="139CE3C1" w14:textId="4542FF95" w:rsidR="00254946" w:rsidRPr="001A13B5" w:rsidRDefault="00254946" w:rsidP="00254946">
            <w:pPr>
              <w:jc w:val="center"/>
              <w:rPr>
                <w:rFonts w:ascii="Arial" w:hAnsi="Arial" w:cs="Arial"/>
                <w:sz w:val="14"/>
                <w:szCs w:val="14"/>
              </w:rPr>
            </w:pPr>
            <w:r w:rsidRPr="00E62139">
              <w:rPr>
                <w:rFonts w:ascii="Arial" w:hAnsi="Arial" w:cs="Arial"/>
                <w:sz w:val="14"/>
                <w:szCs w:val="14"/>
              </w:rPr>
              <w:t>36.30</w:t>
            </w:r>
          </w:p>
        </w:tc>
        <w:tc>
          <w:tcPr>
            <w:tcW w:w="709" w:type="dxa"/>
            <w:tcBorders>
              <w:top w:val="single" w:sz="4" w:space="0" w:color="auto"/>
              <w:left w:val="nil"/>
              <w:bottom w:val="single" w:sz="4" w:space="0" w:color="auto"/>
              <w:right w:val="nil"/>
            </w:tcBorders>
            <w:shd w:val="clear" w:color="auto" w:fill="auto"/>
            <w:noWrap/>
            <w:vAlign w:val="center"/>
          </w:tcPr>
          <w:p w14:paraId="04DA10AC" w14:textId="4771E627" w:rsidR="00254946" w:rsidRPr="001A13B5" w:rsidRDefault="00254946" w:rsidP="00254946">
            <w:pPr>
              <w:jc w:val="center"/>
              <w:rPr>
                <w:rFonts w:ascii="Arial" w:hAnsi="Arial" w:cs="Arial"/>
                <w:sz w:val="14"/>
                <w:szCs w:val="14"/>
              </w:rPr>
            </w:pPr>
            <w:r w:rsidRPr="00E62139">
              <w:rPr>
                <w:rFonts w:ascii="Arial" w:hAnsi="Arial" w:cs="Arial"/>
                <w:sz w:val="14"/>
                <w:szCs w:val="14"/>
              </w:rPr>
              <w:t>37.10</w:t>
            </w:r>
          </w:p>
        </w:tc>
        <w:tc>
          <w:tcPr>
            <w:tcW w:w="709" w:type="dxa"/>
            <w:tcBorders>
              <w:top w:val="single" w:sz="4" w:space="0" w:color="auto"/>
              <w:left w:val="nil"/>
              <w:bottom w:val="single" w:sz="4" w:space="0" w:color="auto"/>
              <w:right w:val="nil"/>
            </w:tcBorders>
            <w:shd w:val="clear" w:color="auto" w:fill="auto"/>
            <w:noWrap/>
            <w:vAlign w:val="center"/>
          </w:tcPr>
          <w:p w14:paraId="3CBE5ABF" w14:textId="3F02DC4A" w:rsidR="00254946" w:rsidRPr="001A13B5" w:rsidRDefault="00254946" w:rsidP="00254946">
            <w:pPr>
              <w:jc w:val="center"/>
              <w:rPr>
                <w:rFonts w:ascii="Arial" w:hAnsi="Arial" w:cs="Arial"/>
                <w:sz w:val="14"/>
                <w:szCs w:val="14"/>
              </w:rPr>
            </w:pPr>
            <w:r w:rsidRPr="00E62139">
              <w:rPr>
                <w:rFonts w:ascii="Arial" w:hAnsi="Arial" w:cs="Arial"/>
                <w:sz w:val="14"/>
                <w:szCs w:val="14"/>
              </w:rPr>
              <w:t>37.90</w:t>
            </w:r>
          </w:p>
        </w:tc>
        <w:tc>
          <w:tcPr>
            <w:tcW w:w="709" w:type="dxa"/>
            <w:tcBorders>
              <w:top w:val="single" w:sz="4" w:space="0" w:color="auto"/>
              <w:left w:val="nil"/>
              <w:bottom w:val="single" w:sz="4" w:space="0" w:color="auto"/>
              <w:right w:val="nil"/>
            </w:tcBorders>
            <w:shd w:val="clear" w:color="auto" w:fill="auto"/>
            <w:noWrap/>
            <w:vAlign w:val="center"/>
          </w:tcPr>
          <w:p w14:paraId="6DAC1711" w14:textId="4E88B117" w:rsidR="00254946" w:rsidRPr="001A13B5" w:rsidRDefault="00254946" w:rsidP="00254946">
            <w:pPr>
              <w:jc w:val="center"/>
              <w:rPr>
                <w:rFonts w:ascii="Arial" w:hAnsi="Arial" w:cs="Arial"/>
                <w:sz w:val="14"/>
                <w:szCs w:val="14"/>
              </w:rPr>
            </w:pPr>
            <w:r w:rsidRPr="00E62139">
              <w:rPr>
                <w:rFonts w:ascii="Arial" w:hAnsi="Arial" w:cs="Arial"/>
                <w:sz w:val="14"/>
                <w:szCs w:val="14"/>
              </w:rPr>
              <w:t>38.70</w:t>
            </w:r>
          </w:p>
        </w:tc>
        <w:tc>
          <w:tcPr>
            <w:tcW w:w="715" w:type="dxa"/>
            <w:tcBorders>
              <w:top w:val="single" w:sz="4" w:space="0" w:color="auto"/>
              <w:left w:val="nil"/>
              <w:bottom w:val="single" w:sz="4" w:space="0" w:color="auto"/>
              <w:right w:val="nil"/>
            </w:tcBorders>
            <w:shd w:val="clear" w:color="auto" w:fill="auto"/>
            <w:noWrap/>
            <w:vAlign w:val="center"/>
          </w:tcPr>
          <w:p w14:paraId="7DFDE487" w14:textId="255AF840" w:rsidR="00254946" w:rsidRPr="001A13B5" w:rsidRDefault="00254946" w:rsidP="00254946">
            <w:pPr>
              <w:jc w:val="center"/>
              <w:rPr>
                <w:rFonts w:ascii="Arial" w:hAnsi="Arial" w:cs="Arial"/>
                <w:sz w:val="14"/>
                <w:szCs w:val="14"/>
              </w:rPr>
            </w:pPr>
            <w:r w:rsidRPr="00E62139">
              <w:rPr>
                <w:rFonts w:ascii="Arial" w:hAnsi="Arial" w:cs="Arial"/>
                <w:sz w:val="14"/>
                <w:szCs w:val="14"/>
              </w:rPr>
              <w:t>40.04</w:t>
            </w:r>
          </w:p>
        </w:tc>
        <w:tc>
          <w:tcPr>
            <w:tcW w:w="709" w:type="dxa"/>
            <w:tcBorders>
              <w:top w:val="single" w:sz="4" w:space="0" w:color="auto"/>
              <w:left w:val="nil"/>
              <w:bottom w:val="single" w:sz="4" w:space="0" w:color="auto"/>
              <w:right w:val="nil"/>
            </w:tcBorders>
            <w:shd w:val="clear" w:color="auto" w:fill="auto"/>
            <w:noWrap/>
            <w:vAlign w:val="center"/>
          </w:tcPr>
          <w:p w14:paraId="10350AE7" w14:textId="70C6D4D5" w:rsidR="00254946" w:rsidRPr="001A13B5" w:rsidRDefault="00254946" w:rsidP="00254946">
            <w:pPr>
              <w:jc w:val="center"/>
              <w:rPr>
                <w:rFonts w:ascii="Arial" w:hAnsi="Arial" w:cs="Arial"/>
                <w:sz w:val="14"/>
                <w:szCs w:val="14"/>
              </w:rPr>
            </w:pPr>
            <w:r w:rsidRPr="00E62139">
              <w:rPr>
                <w:rFonts w:ascii="Arial" w:hAnsi="Arial" w:cs="Arial"/>
                <w:sz w:val="14"/>
                <w:szCs w:val="14"/>
              </w:rPr>
              <w:t>39.78</w:t>
            </w:r>
          </w:p>
        </w:tc>
        <w:tc>
          <w:tcPr>
            <w:tcW w:w="709" w:type="dxa"/>
            <w:tcBorders>
              <w:top w:val="single" w:sz="4" w:space="0" w:color="auto"/>
              <w:left w:val="nil"/>
              <w:bottom w:val="single" w:sz="4" w:space="0" w:color="auto"/>
              <w:right w:val="nil"/>
            </w:tcBorders>
            <w:shd w:val="clear" w:color="auto" w:fill="auto"/>
            <w:noWrap/>
            <w:vAlign w:val="center"/>
          </w:tcPr>
          <w:p w14:paraId="5DEFFD22" w14:textId="42A76617" w:rsidR="00254946" w:rsidRPr="001A13B5" w:rsidRDefault="00254946" w:rsidP="00254946">
            <w:pPr>
              <w:jc w:val="center"/>
              <w:rPr>
                <w:rFonts w:ascii="Arial" w:hAnsi="Arial" w:cs="Arial"/>
                <w:sz w:val="14"/>
                <w:szCs w:val="14"/>
              </w:rPr>
            </w:pPr>
            <w:r w:rsidRPr="00E62139">
              <w:rPr>
                <w:rFonts w:ascii="Arial" w:hAnsi="Arial" w:cs="Arial"/>
                <w:sz w:val="14"/>
                <w:szCs w:val="14"/>
              </w:rPr>
              <w:t>37.90</w:t>
            </w:r>
          </w:p>
        </w:tc>
        <w:tc>
          <w:tcPr>
            <w:tcW w:w="708" w:type="dxa"/>
            <w:tcBorders>
              <w:top w:val="single" w:sz="4" w:space="0" w:color="auto"/>
              <w:left w:val="nil"/>
              <w:bottom w:val="single" w:sz="4" w:space="0" w:color="auto"/>
              <w:right w:val="nil"/>
            </w:tcBorders>
            <w:shd w:val="clear" w:color="auto" w:fill="auto"/>
            <w:noWrap/>
            <w:vAlign w:val="center"/>
          </w:tcPr>
          <w:p w14:paraId="5ACEEA8D" w14:textId="52E6998B" w:rsidR="00254946" w:rsidRPr="001A13B5" w:rsidRDefault="00254946" w:rsidP="00254946">
            <w:pPr>
              <w:jc w:val="center"/>
              <w:rPr>
                <w:rFonts w:ascii="Arial" w:hAnsi="Arial" w:cs="Arial"/>
                <w:sz w:val="14"/>
                <w:szCs w:val="14"/>
              </w:rPr>
            </w:pPr>
            <w:r w:rsidRPr="00E62139">
              <w:rPr>
                <w:rFonts w:ascii="Arial" w:hAnsi="Arial" w:cs="Arial"/>
                <w:sz w:val="14"/>
                <w:szCs w:val="14"/>
              </w:rPr>
              <w:t>36.55</w:t>
            </w:r>
          </w:p>
        </w:tc>
        <w:tc>
          <w:tcPr>
            <w:tcW w:w="706" w:type="dxa"/>
            <w:tcBorders>
              <w:top w:val="single" w:sz="4" w:space="0" w:color="auto"/>
              <w:left w:val="nil"/>
              <w:bottom w:val="single" w:sz="4" w:space="0" w:color="auto"/>
              <w:right w:val="nil"/>
            </w:tcBorders>
            <w:shd w:val="clear" w:color="auto" w:fill="auto"/>
            <w:noWrap/>
            <w:vAlign w:val="center"/>
          </w:tcPr>
          <w:p w14:paraId="4F08FDF6" w14:textId="76849B76" w:rsidR="00254946" w:rsidRPr="001A13B5" w:rsidRDefault="00254946" w:rsidP="00254946">
            <w:pPr>
              <w:jc w:val="center"/>
              <w:rPr>
                <w:rFonts w:ascii="Arial" w:hAnsi="Arial" w:cs="Arial"/>
                <w:sz w:val="14"/>
                <w:szCs w:val="14"/>
              </w:rPr>
            </w:pPr>
            <w:r w:rsidRPr="00E62139">
              <w:rPr>
                <w:rFonts w:ascii="Arial" w:hAnsi="Arial" w:cs="Arial"/>
                <w:sz w:val="14"/>
                <w:szCs w:val="14"/>
              </w:rPr>
              <w:t>34.65</w:t>
            </w:r>
          </w:p>
        </w:tc>
        <w:tc>
          <w:tcPr>
            <w:tcW w:w="709" w:type="dxa"/>
            <w:tcBorders>
              <w:top w:val="single" w:sz="4" w:space="0" w:color="auto"/>
              <w:left w:val="nil"/>
              <w:bottom w:val="single" w:sz="4" w:space="0" w:color="auto"/>
              <w:right w:val="nil"/>
            </w:tcBorders>
            <w:shd w:val="clear" w:color="auto" w:fill="auto"/>
            <w:noWrap/>
            <w:vAlign w:val="center"/>
          </w:tcPr>
          <w:p w14:paraId="27039EEF" w14:textId="3089E177" w:rsidR="00254946" w:rsidRPr="001A13B5" w:rsidRDefault="00254946" w:rsidP="00254946">
            <w:pPr>
              <w:jc w:val="center"/>
              <w:rPr>
                <w:rFonts w:ascii="Arial" w:hAnsi="Arial" w:cs="Arial"/>
                <w:sz w:val="14"/>
                <w:szCs w:val="14"/>
              </w:rPr>
            </w:pPr>
            <w:r w:rsidRPr="00E62139">
              <w:rPr>
                <w:rFonts w:ascii="Arial" w:hAnsi="Arial" w:cs="Arial"/>
                <w:sz w:val="14"/>
                <w:szCs w:val="14"/>
              </w:rPr>
              <w:t>33.28</w:t>
            </w:r>
          </w:p>
        </w:tc>
        <w:tc>
          <w:tcPr>
            <w:tcW w:w="847" w:type="dxa"/>
            <w:tcBorders>
              <w:top w:val="single" w:sz="4" w:space="0" w:color="auto"/>
              <w:left w:val="nil"/>
              <w:bottom w:val="single" w:sz="4" w:space="0" w:color="auto"/>
              <w:right w:val="nil"/>
            </w:tcBorders>
            <w:shd w:val="clear" w:color="auto" w:fill="auto"/>
            <w:noWrap/>
            <w:vAlign w:val="center"/>
          </w:tcPr>
          <w:p w14:paraId="50F50520" w14:textId="5C2CCCF1" w:rsidR="00254946" w:rsidRPr="001A13B5" w:rsidRDefault="00254946" w:rsidP="00254946">
            <w:pPr>
              <w:jc w:val="center"/>
              <w:rPr>
                <w:rFonts w:ascii="Arial" w:hAnsi="Arial" w:cs="Arial"/>
                <w:sz w:val="14"/>
                <w:szCs w:val="14"/>
              </w:rPr>
            </w:pPr>
            <w:r w:rsidRPr="00E62139">
              <w:rPr>
                <w:rFonts w:ascii="Arial" w:hAnsi="Arial" w:cs="Arial"/>
                <w:sz w:val="14"/>
                <w:szCs w:val="14"/>
              </w:rPr>
              <w:t>205.45</w:t>
            </w:r>
          </w:p>
        </w:tc>
      </w:tr>
    </w:tbl>
    <w:p w14:paraId="3E067130" w14:textId="77777777" w:rsidR="00A372F6" w:rsidRPr="00A43491" w:rsidRDefault="00A372F6" w:rsidP="00A372F6">
      <w:pPr>
        <w:jc w:val="center"/>
        <w:rPr>
          <w:rFonts w:ascii="Arial" w:hAnsi="Arial" w:cs="Arial"/>
          <w:b/>
        </w:rPr>
      </w:pPr>
    </w:p>
    <w:p w14:paraId="18311FB2" w14:textId="77777777" w:rsidR="00A372F6" w:rsidRDefault="00A372F6" w:rsidP="00A372F6"/>
    <w:p w14:paraId="2F99C0AA" w14:textId="77777777" w:rsidR="00A372F6" w:rsidRPr="00A372F6" w:rsidRDefault="00A372F6" w:rsidP="00A372F6">
      <w:pPr>
        <w:jc w:val="center"/>
        <w:outlineLvl w:val="0"/>
        <w:rPr>
          <w:rFonts w:ascii="Arial" w:hAnsi="Arial" w:cs="Arial"/>
          <w:b/>
          <w:sz w:val="22"/>
          <w:lang w:val="es-ES_tradnl"/>
        </w:rPr>
      </w:pPr>
      <w:r w:rsidRPr="00A372F6">
        <w:rPr>
          <w:rFonts w:ascii="Arial" w:hAnsi="Arial" w:cs="Arial"/>
          <w:b/>
          <w:lang w:val="es-ES_tradnl"/>
        </w:rPr>
        <w:t xml:space="preserve">Cuadro A7: </w:t>
      </w:r>
      <w:r w:rsidRPr="00A372F6">
        <w:rPr>
          <w:rFonts w:ascii="Arial" w:hAnsi="Arial" w:cs="Arial"/>
          <w:b/>
          <w:sz w:val="22"/>
          <w:lang w:val="es-ES_tradnl"/>
        </w:rPr>
        <w:t>Cálculo de beneficios y Costos del programa</w:t>
      </w:r>
    </w:p>
    <w:p w14:paraId="3880FACC" w14:textId="77777777" w:rsidR="00A372F6" w:rsidRPr="00A372F6" w:rsidRDefault="00A372F6" w:rsidP="00A372F6">
      <w:pPr>
        <w:jc w:val="center"/>
        <w:rPr>
          <w:rFonts w:ascii="Arial" w:hAnsi="Arial" w:cs="Arial"/>
          <w:b/>
          <w:lang w:val="es-ES_tradnl"/>
        </w:rPr>
      </w:pPr>
    </w:p>
    <w:tbl>
      <w:tblPr>
        <w:tblW w:w="9828" w:type="dxa"/>
        <w:tblInd w:w="-702" w:type="dxa"/>
        <w:tblLook w:val="04A0" w:firstRow="1" w:lastRow="0" w:firstColumn="1" w:lastColumn="0" w:noHBand="0" w:noVBand="1"/>
      </w:tblPr>
      <w:tblGrid>
        <w:gridCol w:w="1557"/>
        <w:gridCol w:w="4539"/>
        <w:gridCol w:w="3732"/>
      </w:tblGrid>
      <w:tr w:rsidR="00A372F6" w:rsidRPr="00A43491" w14:paraId="36416679" w14:textId="77777777" w:rsidTr="00374C56">
        <w:tc>
          <w:tcPr>
            <w:tcW w:w="1557" w:type="dxa"/>
          </w:tcPr>
          <w:p w14:paraId="47223110" w14:textId="77777777" w:rsidR="00A372F6" w:rsidRPr="00A372F6" w:rsidRDefault="00A372F6" w:rsidP="00374C56">
            <w:pPr>
              <w:rPr>
                <w:rFonts w:ascii="Arial" w:hAnsi="Arial" w:cs="Arial"/>
                <w:lang w:val="es-ES_tradnl"/>
              </w:rPr>
            </w:pPr>
          </w:p>
        </w:tc>
        <w:tc>
          <w:tcPr>
            <w:tcW w:w="4539" w:type="dxa"/>
          </w:tcPr>
          <w:p w14:paraId="495F4FFA" w14:textId="77777777" w:rsidR="00A372F6" w:rsidRDefault="00A372F6" w:rsidP="00374C56">
            <w:pPr>
              <w:rPr>
                <w:rFonts w:ascii="Arial" w:hAnsi="Arial" w:cs="Arial"/>
              </w:rPr>
            </w:pPr>
            <w:r w:rsidRPr="00A43491">
              <w:rPr>
                <w:rFonts w:ascii="Arial" w:hAnsi="Arial" w:cs="Arial"/>
              </w:rPr>
              <w:t>Beneficios</w:t>
            </w:r>
          </w:p>
          <w:p w14:paraId="05C0FB32" w14:textId="217CBCAF" w:rsidR="006061DC" w:rsidRPr="00A43491" w:rsidRDefault="006061DC" w:rsidP="00374C56">
            <w:pPr>
              <w:rPr>
                <w:rFonts w:ascii="Arial" w:hAnsi="Arial" w:cs="Arial"/>
              </w:rPr>
            </w:pPr>
          </w:p>
        </w:tc>
        <w:tc>
          <w:tcPr>
            <w:tcW w:w="3732" w:type="dxa"/>
          </w:tcPr>
          <w:p w14:paraId="57717279" w14:textId="77777777" w:rsidR="00A372F6" w:rsidRPr="00A43491" w:rsidRDefault="00A372F6" w:rsidP="00374C56">
            <w:pPr>
              <w:rPr>
                <w:rFonts w:ascii="Arial" w:hAnsi="Arial" w:cs="Arial"/>
              </w:rPr>
            </w:pPr>
            <w:r w:rsidRPr="00A43491">
              <w:rPr>
                <w:rFonts w:ascii="Arial" w:hAnsi="Arial" w:cs="Arial"/>
              </w:rPr>
              <w:t>Costos</w:t>
            </w:r>
          </w:p>
        </w:tc>
      </w:tr>
      <w:tr w:rsidR="00391034" w:rsidRPr="00FB6C97" w14:paraId="3E569D6F" w14:textId="77777777" w:rsidTr="000F1522">
        <w:trPr>
          <w:trHeight w:val="3691"/>
        </w:trPr>
        <w:tc>
          <w:tcPr>
            <w:tcW w:w="1557" w:type="dxa"/>
            <w:vAlign w:val="center"/>
          </w:tcPr>
          <w:p w14:paraId="0604F39F" w14:textId="77777777" w:rsidR="00391034" w:rsidRPr="000F1522" w:rsidRDefault="00391034" w:rsidP="00391034">
            <w:pPr>
              <w:rPr>
                <w:sz w:val="14"/>
                <w:lang w:val="es-ES_tradnl"/>
              </w:rPr>
            </w:pPr>
          </w:p>
          <w:p w14:paraId="0702CF11" w14:textId="77777777" w:rsidR="00391034" w:rsidRPr="000F1522" w:rsidRDefault="00391034" w:rsidP="00391034">
            <w:pPr>
              <w:rPr>
                <w:sz w:val="14"/>
                <w:lang w:val="es-ES_tradnl"/>
              </w:rPr>
            </w:pPr>
          </w:p>
          <w:p w14:paraId="11CE6A6A" w14:textId="77777777" w:rsidR="00391034" w:rsidRPr="00052E61" w:rsidRDefault="00391034" w:rsidP="00391034">
            <w:pPr>
              <w:rPr>
                <w:rFonts w:ascii="Arial" w:hAnsi="Arial" w:cs="Arial"/>
                <w:b/>
                <w:bCs/>
                <w:sz w:val="14"/>
                <w:szCs w:val="14"/>
                <w:lang w:val="es-ES_tradnl"/>
              </w:rPr>
            </w:pPr>
            <w:r w:rsidRPr="00052E61">
              <w:rPr>
                <w:rFonts w:ascii="Arial" w:hAnsi="Arial" w:cs="Arial"/>
                <w:b/>
                <w:bCs/>
                <w:sz w:val="14"/>
                <w:szCs w:val="14"/>
                <w:lang w:val="es-ES_tradnl"/>
              </w:rPr>
              <w:t xml:space="preserve">Fortalecimiento de la gestión institucional de las </w:t>
            </w:r>
            <w:r>
              <w:rPr>
                <w:rFonts w:ascii="Arial" w:hAnsi="Arial" w:cs="Arial"/>
                <w:b/>
                <w:bCs/>
                <w:sz w:val="14"/>
                <w:szCs w:val="14"/>
                <w:lang w:val="es-ES_tradnl"/>
              </w:rPr>
              <w:t>IES</w:t>
            </w:r>
            <w:r w:rsidRPr="00052E61">
              <w:rPr>
                <w:rFonts w:ascii="Arial" w:hAnsi="Arial" w:cs="Arial"/>
                <w:b/>
                <w:bCs/>
                <w:sz w:val="14"/>
                <w:szCs w:val="14"/>
                <w:lang w:val="es-ES_tradnl"/>
              </w:rPr>
              <w:t xml:space="preserve"> públicas</w:t>
            </w:r>
          </w:p>
          <w:p w14:paraId="36D51091" w14:textId="77777777" w:rsidR="00391034" w:rsidRPr="008F45BA" w:rsidRDefault="00391034" w:rsidP="00391034">
            <w:pPr>
              <w:jc w:val="center"/>
              <w:rPr>
                <w:rFonts w:ascii="Arial" w:hAnsi="Arial" w:cs="Arial"/>
                <w:b/>
                <w:sz w:val="22"/>
                <w:lang w:val="es-ES_tradnl"/>
              </w:rPr>
            </w:pPr>
          </w:p>
          <w:p w14:paraId="26E95D06" w14:textId="77777777" w:rsidR="00391034" w:rsidRPr="000F1522" w:rsidRDefault="00391034" w:rsidP="00391034">
            <w:pPr>
              <w:rPr>
                <w:rFonts w:ascii="Arial" w:hAnsi="Arial" w:cs="Arial"/>
                <w:sz w:val="14"/>
                <w:lang w:val="es-ES_tradnl"/>
              </w:rPr>
            </w:pPr>
          </w:p>
        </w:tc>
        <w:tc>
          <w:tcPr>
            <w:tcW w:w="4539" w:type="dxa"/>
          </w:tcPr>
          <w:p w14:paraId="15B661F0" w14:textId="77777777" w:rsidR="00391034" w:rsidRPr="000F1522" w:rsidRDefault="00391034" w:rsidP="00391034">
            <w:pPr>
              <w:rPr>
                <w:sz w:val="14"/>
                <w:lang w:val="es-ES_tradnl"/>
              </w:rPr>
            </w:pPr>
            <w:r w:rsidRPr="000F1522">
              <w:rPr>
                <w:sz w:val="14"/>
                <w:lang w:val="es-ES_tradnl"/>
              </w:rPr>
              <w:t>Impacto de menor informalidad en ingresos</w:t>
            </w:r>
            <w:r>
              <w:rPr>
                <w:sz w:val="14"/>
                <w:lang w:val="es-ES_tradnl"/>
              </w:rPr>
              <w:t>:</w:t>
            </w:r>
          </w:p>
          <w:p w14:paraId="10D7FC6C" w14:textId="77777777" w:rsidR="00391034" w:rsidRPr="00A43491" w:rsidRDefault="006920D3" w:rsidP="00391034">
            <w:pPr>
              <w:spacing w:before="360"/>
              <w:rPr>
                <w:sz w:val="14"/>
              </w:rPr>
            </w:pPr>
            <m:oMathPara>
              <m:oMath>
                <m:sSub>
                  <m:sSubPr>
                    <m:ctrlPr>
                      <w:rPr>
                        <w:rFonts w:ascii="Cambria Math" w:hAnsi="Cambria Math"/>
                        <w:i/>
                        <w:sz w:val="14"/>
                        <w:szCs w:val="22"/>
                      </w:rPr>
                    </m:ctrlPr>
                  </m:sSubPr>
                  <m:e>
                    <m:r>
                      <m:rPr>
                        <m:sty m:val="bi"/>
                      </m:rPr>
                      <w:rPr>
                        <w:rFonts w:ascii="Cambria Math" w:hAnsi="Cambria Math"/>
                        <w:sz w:val="14"/>
                      </w:rPr>
                      <m:t>π</m:t>
                    </m:r>
                  </m:e>
                  <m:sub>
                    <m:r>
                      <m:rPr>
                        <m:sty m:val="bi"/>
                      </m:rPr>
                      <w:rPr>
                        <w:rFonts w:ascii="Cambria Math" w:hAnsi="Cambria Math"/>
                        <w:sz w:val="14"/>
                      </w:rPr>
                      <m:t>i</m:t>
                    </m:r>
                  </m:sub>
                </m:sSub>
                <m:r>
                  <m:rPr>
                    <m:sty m:val="bi"/>
                  </m:rPr>
                  <w:rPr>
                    <w:rFonts w:ascii="Cambria Math" w:hAnsi="Cambria Math"/>
                    <w:sz w:val="14"/>
                  </w:rPr>
                  <m:t>=</m:t>
                </m:r>
                <m:d>
                  <m:dPr>
                    <m:ctrlPr>
                      <w:rPr>
                        <w:rFonts w:ascii="Cambria Math" w:hAnsi="Cambria Math"/>
                        <w:i/>
                        <w:sz w:val="14"/>
                      </w:rPr>
                    </m:ctrlPr>
                  </m:dPr>
                  <m:e>
                    <m:sSub>
                      <m:sSubPr>
                        <m:ctrlPr>
                          <w:rPr>
                            <w:rFonts w:ascii="Cambria Math" w:hAnsi="Cambria Math"/>
                            <w:i/>
                            <w:sz w:val="14"/>
                          </w:rPr>
                        </m:ctrlPr>
                      </m:sSubPr>
                      <m:e>
                        <m:r>
                          <m:rPr>
                            <m:sty m:val="bi"/>
                          </m:rPr>
                          <w:rPr>
                            <w:rFonts w:ascii="Cambria Math" w:hAnsi="Cambria Math"/>
                            <w:sz w:val="14"/>
                          </w:rPr>
                          <m:t>y</m:t>
                        </m:r>
                      </m:e>
                      <m:sub>
                        <m:r>
                          <m:rPr>
                            <m:sty m:val="bi"/>
                          </m:rPr>
                          <w:rPr>
                            <w:rFonts w:ascii="Cambria Math" w:hAnsi="Cambria Math"/>
                            <w:sz w:val="14"/>
                          </w:rPr>
                          <m:t>i,f</m:t>
                        </m:r>
                      </m:sub>
                    </m:sSub>
                    <m:sSub>
                      <m:sSubPr>
                        <m:ctrlPr>
                          <w:rPr>
                            <w:rFonts w:ascii="Cambria Math" w:hAnsi="Cambria Math"/>
                            <w:i/>
                            <w:sz w:val="14"/>
                          </w:rPr>
                        </m:ctrlPr>
                      </m:sSubPr>
                      <m:e>
                        <m:r>
                          <m:rPr>
                            <m:sty m:val="bi"/>
                          </m:rPr>
                          <w:rPr>
                            <w:rFonts w:ascii="Cambria Math" w:hAnsi="Cambria Math"/>
                            <w:sz w:val="14"/>
                          </w:rPr>
                          <m:t>-y</m:t>
                        </m:r>
                      </m:e>
                      <m:sub>
                        <m:r>
                          <m:rPr>
                            <m:sty m:val="bi"/>
                          </m:rPr>
                          <w:rPr>
                            <w:rFonts w:ascii="Cambria Math" w:hAnsi="Cambria Math"/>
                            <w:sz w:val="14"/>
                          </w:rPr>
                          <m:t>i,s</m:t>
                        </m:r>
                      </m:sub>
                    </m:sSub>
                  </m:e>
                </m:d>
                <m:r>
                  <m:rPr>
                    <m:sty m:val="bi"/>
                  </m:rPr>
                  <w:rPr>
                    <w:rFonts w:ascii="Cambria Math" w:hAnsi="Cambria Math"/>
                    <w:sz w:val="14"/>
                  </w:rPr>
                  <m:t>*</m:t>
                </m:r>
                <m:d>
                  <m:dPr>
                    <m:ctrlPr>
                      <w:rPr>
                        <w:rFonts w:ascii="Cambria Math" w:hAnsi="Cambria Math"/>
                        <w:i/>
                        <w:sz w:val="14"/>
                      </w:rPr>
                    </m:ctrlPr>
                  </m:dPr>
                  <m:e>
                    <m:sSub>
                      <m:sSubPr>
                        <m:ctrlPr>
                          <w:rPr>
                            <w:rFonts w:ascii="Cambria Math" w:hAnsi="Cambria Math"/>
                            <w:i/>
                            <w:sz w:val="14"/>
                            <w:szCs w:val="22"/>
                          </w:rPr>
                        </m:ctrlPr>
                      </m:sSubPr>
                      <m:e>
                        <m:r>
                          <m:rPr>
                            <m:sty m:val="bi"/>
                          </m:rPr>
                          <w:rPr>
                            <w:rFonts w:ascii="Cambria Math" w:hAnsi="Cambria Math"/>
                            <w:sz w:val="14"/>
                          </w:rPr>
                          <m:t>f</m:t>
                        </m:r>
                      </m:e>
                      <m:sub>
                        <m:r>
                          <m:rPr>
                            <m:sty m:val="bi"/>
                          </m:rPr>
                          <w:rPr>
                            <w:rFonts w:ascii="Cambria Math" w:hAnsi="Cambria Math"/>
                            <w:sz w:val="14"/>
                          </w:rPr>
                          <m:t>i</m:t>
                        </m:r>
                      </m:sub>
                    </m:sSub>
                    <m:r>
                      <m:rPr>
                        <m:sty m:val="bi"/>
                      </m:rPr>
                      <w:rPr>
                        <w:rFonts w:ascii="Cambria Math" w:hAnsi="Cambria Math"/>
                        <w:sz w:val="14"/>
                      </w:rPr>
                      <m:t>*</m:t>
                    </m:r>
                    <m:sSub>
                      <m:sSubPr>
                        <m:ctrlPr>
                          <w:rPr>
                            <w:rFonts w:ascii="Cambria Math" w:hAnsi="Cambria Math"/>
                            <w:i/>
                            <w:sz w:val="14"/>
                            <w:szCs w:val="22"/>
                          </w:rPr>
                        </m:ctrlPr>
                      </m:sSubPr>
                      <m:e>
                        <m:r>
                          <m:rPr>
                            <m:sty m:val="bi"/>
                          </m:rPr>
                          <w:rPr>
                            <w:rFonts w:ascii="Cambria Math" w:hAnsi="Cambria Math"/>
                            <w:sz w:val="14"/>
                          </w:rPr>
                          <m:t>N</m:t>
                        </m:r>
                      </m:e>
                      <m:sub>
                        <m:r>
                          <m:rPr>
                            <m:sty m:val="bi"/>
                          </m:rPr>
                          <w:rPr>
                            <w:rFonts w:ascii="Cambria Math" w:hAnsi="Cambria Math"/>
                            <w:sz w:val="14"/>
                          </w:rPr>
                          <m:t>i,f</m:t>
                        </m:r>
                      </m:sub>
                    </m:sSub>
                  </m:e>
                </m:d>
              </m:oMath>
            </m:oMathPara>
          </w:p>
          <w:p w14:paraId="48FB729B" w14:textId="77777777" w:rsidR="00391034" w:rsidRPr="00A43491" w:rsidRDefault="00391034" w:rsidP="00391034">
            <w:pPr>
              <w:rPr>
                <w:sz w:val="14"/>
              </w:rPr>
            </w:pPr>
          </w:p>
          <w:p w14:paraId="71688710" w14:textId="77777777" w:rsidR="00391034" w:rsidRPr="00A43491" w:rsidRDefault="00391034" w:rsidP="00391034">
            <w:pPr>
              <w:rPr>
                <w:sz w:val="14"/>
              </w:rPr>
            </w:pPr>
            <w:r w:rsidRPr="00A43491">
              <w:rPr>
                <w:sz w:val="14"/>
              </w:rPr>
              <w:t xml:space="preserve">Donde: </w:t>
            </w:r>
          </w:p>
          <w:p w14:paraId="52125A16" w14:textId="77777777" w:rsidR="00391034" w:rsidRPr="00C72E83" w:rsidRDefault="00391034" w:rsidP="00391034">
            <w:pPr>
              <w:pStyle w:val="ListParagraph"/>
              <w:numPr>
                <w:ilvl w:val="0"/>
                <w:numId w:val="23"/>
              </w:numPr>
              <w:rPr>
                <w:color w:val="000000"/>
                <w:sz w:val="14"/>
              </w:rPr>
            </w:pPr>
            <w:r w:rsidRPr="00C72E83">
              <w:rPr>
                <w:i/>
                <w:color w:val="000000"/>
                <w:sz w:val="14"/>
              </w:rPr>
              <w:t xml:space="preserve">i </w:t>
            </w:r>
            <w:r w:rsidRPr="00C72E83">
              <w:rPr>
                <w:color w:val="000000"/>
                <w:sz w:val="14"/>
              </w:rPr>
              <w:t>es el año de referencia</w:t>
            </w:r>
          </w:p>
          <w:p w14:paraId="2516DFC7" w14:textId="77777777" w:rsidR="00391034" w:rsidRPr="00C72E83" w:rsidRDefault="006920D3" w:rsidP="00391034">
            <w:pPr>
              <w:pStyle w:val="ListParagraph"/>
              <w:numPr>
                <w:ilvl w:val="0"/>
                <w:numId w:val="23"/>
              </w:numPr>
              <w:rPr>
                <w:color w:val="000000"/>
                <w:sz w:val="14"/>
              </w:rPr>
            </w:pPr>
            <m:oMath>
              <m:sSub>
                <m:sSubPr>
                  <m:ctrlPr>
                    <w:rPr>
                      <w:rFonts w:ascii="Cambria Math" w:hAnsi="Cambria Math"/>
                      <w:i/>
                      <w:color w:val="000000"/>
                      <w:sz w:val="14"/>
                      <w:lang w:val="en-US" w:eastAsia="en-US"/>
                    </w:rPr>
                  </m:ctrlPr>
                </m:sSubPr>
                <m:e>
                  <m:r>
                    <w:rPr>
                      <w:rFonts w:ascii="Cambria Math" w:hAnsi="Cambria Math"/>
                      <w:sz w:val="14"/>
                    </w:rPr>
                    <m:t>y</m:t>
                  </m:r>
                </m:e>
                <m:sub>
                  <m:r>
                    <w:rPr>
                      <w:rFonts w:ascii="Cambria Math" w:hAnsi="Cambria Math"/>
                      <w:sz w:val="14"/>
                    </w:rPr>
                    <m:t>i,f</m:t>
                  </m:r>
                </m:sub>
              </m:sSub>
            </m:oMath>
            <w:r w:rsidR="00391034" w:rsidRPr="000741F1">
              <w:rPr>
                <w:color w:val="000000"/>
                <w:sz w:val="14"/>
                <w:lang w:eastAsia="en-US"/>
              </w:rPr>
              <w:t xml:space="preserve"> es el ingreso promedio de egresados de </w:t>
            </w:r>
            <w:r w:rsidR="00391034">
              <w:rPr>
                <w:color w:val="000000"/>
                <w:sz w:val="14"/>
                <w:lang w:eastAsia="en-US"/>
              </w:rPr>
              <w:t xml:space="preserve">IES </w:t>
            </w:r>
            <w:r w:rsidR="00391034" w:rsidRPr="000741F1">
              <w:rPr>
                <w:color w:val="000000"/>
                <w:sz w:val="14"/>
                <w:lang w:eastAsia="en-US"/>
              </w:rPr>
              <w:t>públicas que se desempeñan en el sector formal.</w:t>
            </w:r>
          </w:p>
          <w:p w14:paraId="79938A57" w14:textId="77777777" w:rsidR="00391034" w:rsidRPr="00C72E83" w:rsidRDefault="006920D3" w:rsidP="00391034">
            <w:pPr>
              <w:pStyle w:val="ListParagraph"/>
              <w:numPr>
                <w:ilvl w:val="0"/>
                <w:numId w:val="23"/>
              </w:numPr>
              <w:rPr>
                <w:color w:val="000000"/>
                <w:sz w:val="14"/>
              </w:rPr>
            </w:pPr>
            <m:oMath>
              <m:sSub>
                <m:sSubPr>
                  <m:ctrlPr>
                    <w:rPr>
                      <w:rFonts w:ascii="Cambria Math" w:hAnsi="Cambria Math"/>
                      <w:i/>
                      <w:color w:val="000000"/>
                      <w:sz w:val="14"/>
                      <w:lang w:val="en-US" w:eastAsia="en-US"/>
                    </w:rPr>
                  </m:ctrlPr>
                </m:sSubPr>
                <m:e>
                  <m:r>
                    <w:rPr>
                      <w:rFonts w:ascii="Cambria Math" w:hAnsi="Cambria Math"/>
                      <w:sz w:val="14"/>
                    </w:rPr>
                    <m:t>y</m:t>
                  </m:r>
                </m:e>
                <m:sub>
                  <m:r>
                    <w:rPr>
                      <w:rFonts w:ascii="Cambria Math" w:hAnsi="Cambria Math"/>
                      <w:sz w:val="14"/>
                    </w:rPr>
                    <m:t>i,s</m:t>
                  </m:r>
                </m:sub>
              </m:sSub>
            </m:oMath>
            <w:r w:rsidR="00391034" w:rsidRPr="000741F1">
              <w:rPr>
                <w:color w:val="000000"/>
                <w:sz w:val="14"/>
                <w:lang w:eastAsia="en-US"/>
              </w:rPr>
              <w:t xml:space="preserve"> es el ingreso promedio de egresados de </w:t>
            </w:r>
            <w:r w:rsidR="00391034">
              <w:rPr>
                <w:color w:val="000000"/>
                <w:sz w:val="14"/>
                <w:lang w:eastAsia="en-US"/>
              </w:rPr>
              <w:t>IES</w:t>
            </w:r>
            <w:r w:rsidR="00391034" w:rsidRPr="000741F1">
              <w:rPr>
                <w:color w:val="000000"/>
                <w:sz w:val="14"/>
                <w:lang w:eastAsia="en-US"/>
              </w:rPr>
              <w:t xml:space="preserve"> públicas que se desempeñan en el sector </w:t>
            </w:r>
            <w:r w:rsidR="00391034">
              <w:rPr>
                <w:color w:val="000000"/>
                <w:sz w:val="14"/>
                <w:lang w:eastAsia="en-US"/>
              </w:rPr>
              <w:t>in</w:t>
            </w:r>
            <w:r w:rsidR="00391034" w:rsidRPr="000741F1">
              <w:rPr>
                <w:color w:val="000000"/>
                <w:sz w:val="14"/>
                <w:lang w:eastAsia="en-US"/>
              </w:rPr>
              <w:t>formal.</w:t>
            </w:r>
          </w:p>
          <w:p w14:paraId="2C2F1C86" w14:textId="77777777" w:rsidR="00391034" w:rsidRPr="00C72E83" w:rsidRDefault="006920D3" w:rsidP="00391034">
            <w:pPr>
              <w:pStyle w:val="ListParagraph"/>
              <w:numPr>
                <w:ilvl w:val="0"/>
                <w:numId w:val="23"/>
              </w:numPr>
              <w:rPr>
                <w:color w:val="000000"/>
                <w:sz w:val="14"/>
              </w:rPr>
            </w:pPr>
            <m:oMath>
              <m:sSub>
                <m:sSubPr>
                  <m:ctrlPr>
                    <w:rPr>
                      <w:rFonts w:ascii="Cambria Math" w:hAnsi="Cambria Math"/>
                      <w:i/>
                      <w:color w:val="000000"/>
                      <w:sz w:val="14"/>
                      <w:lang w:val="en-US" w:eastAsia="en-US"/>
                    </w:rPr>
                  </m:ctrlPr>
                </m:sSubPr>
                <m:e>
                  <m:r>
                    <w:rPr>
                      <w:rFonts w:ascii="Cambria Math" w:hAnsi="Cambria Math"/>
                      <w:sz w:val="14"/>
                    </w:rPr>
                    <m:t>f</m:t>
                  </m:r>
                </m:e>
                <m:sub>
                  <m:r>
                    <w:rPr>
                      <w:rFonts w:ascii="Cambria Math" w:hAnsi="Cambria Math"/>
                      <w:color w:val="000000"/>
                      <w:sz w:val="14"/>
                      <w:lang w:val="en-US" w:eastAsia="en-US"/>
                    </w:rPr>
                    <m:t>i</m:t>
                  </m:r>
                </m:sub>
              </m:sSub>
            </m:oMath>
            <w:r w:rsidR="00391034" w:rsidRPr="000741F1">
              <w:rPr>
                <w:color w:val="000000"/>
                <w:sz w:val="14"/>
                <w:lang w:eastAsia="en-US"/>
              </w:rPr>
              <w:t xml:space="preserve"> es el impacto sobre la reducción de la informalidad.</w:t>
            </w:r>
          </w:p>
          <w:p w14:paraId="26661055" w14:textId="347582BA" w:rsidR="00391034" w:rsidRPr="00C72E83" w:rsidRDefault="006920D3" w:rsidP="00391034">
            <w:pPr>
              <w:pStyle w:val="ListParagraph"/>
              <w:numPr>
                <w:ilvl w:val="0"/>
                <w:numId w:val="23"/>
              </w:numPr>
              <w:rPr>
                <w:color w:val="000000"/>
                <w:sz w:val="14"/>
              </w:rPr>
            </w:pPr>
            <m:oMath>
              <m:sSub>
                <m:sSubPr>
                  <m:ctrlPr>
                    <w:rPr>
                      <w:rFonts w:ascii="Cambria Math" w:hAnsi="Cambria Math"/>
                      <w:i/>
                      <w:color w:val="000000"/>
                      <w:sz w:val="14"/>
                      <w:lang w:val="en-US" w:eastAsia="en-US"/>
                    </w:rPr>
                  </m:ctrlPr>
                </m:sSubPr>
                <m:e>
                  <m:r>
                    <w:rPr>
                      <w:rFonts w:ascii="Cambria Math" w:hAnsi="Cambria Math"/>
                      <w:sz w:val="14"/>
                    </w:rPr>
                    <m:t>N</m:t>
                  </m:r>
                </m:e>
                <m:sub>
                  <m:r>
                    <w:rPr>
                      <w:rFonts w:ascii="Cambria Math" w:hAnsi="Cambria Math"/>
                      <w:sz w:val="14"/>
                    </w:rPr>
                    <m:t>i,f</m:t>
                  </m:r>
                </m:sub>
              </m:sSub>
            </m:oMath>
            <w:r w:rsidR="00391034" w:rsidRPr="000741F1">
              <w:rPr>
                <w:color w:val="000000"/>
                <w:sz w:val="14"/>
                <w:lang w:eastAsia="en-US"/>
              </w:rPr>
              <w:t xml:space="preserve"> es el número de egresados de </w:t>
            </w:r>
            <w:r w:rsidR="00391034">
              <w:rPr>
                <w:color w:val="000000"/>
                <w:sz w:val="14"/>
                <w:lang w:eastAsia="en-US"/>
              </w:rPr>
              <w:t>IES</w:t>
            </w:r>
            <w:r w:rsidR="00391034" w:rsidRPr="000741F1">
              <w:rPr>
                <w:color w:val="000000"/>
                <w:sz w:val="14"/>
                <w:lang w:eastAsia="en-US"/>
              </w:rPr>
              <w:t xml:space="preserve"> públi</w:t>
            </w:r>
            <w:r w:rsidR="00391034">
              <w:rPr>
                <w:color w:val="000000"/>
                <w:sz w:val="14"/>
                <w:lang w:eastAsia="en-US"/>
              </w:rPr>
              <w:t xml:space="preserve">cas que trabajan en el sector </w:t>
            </w:r>
            <w:r w:rsidR="00820EDE">
              <w:rPr>
                <w:color w:val="000000"/>
                <w:sz w:val="14"/>
                <w:lang w:eastAsia="en-US"/>
              </w:rPr>
              <w:t>in</w:t>
            </w:r>
            <w:r w:rsidR="00391034" w:rsidRPr="000741F1">
              <w:rPr>
                <w:color w:val="000000"/>
                <w:sz w:val="14"/>
                <w:lang w:eastAsia="en-US"/>
              </w:rPr>
              <w:t>formal.</w:t>
            </w:r>
          </w:p>
          <w:p w14:paraId="384DCACC" w14:textId="77777777" w:rsidR="00391034" w:rsidRDefault="00391034" w:rsidP="00391034">
            <w:pPr>
              <w:rPr>
                <w:sz w:val="14"/>
                <w:lang w:val="es-ES_tradnl"/>
              </w:rPr>
            </w:pPr>
          </w:p>
          <w:p w14:paraId="30FD2603" w14:textId="7D50CE23" w:rsidR="00391034" w:rsidRPr="000F1522" w:rsidRDefault="00391034" w:rsidP="00391034">
            <w:pPr>
              <w:rPr>
                <w:sz w:val="14"/>
                <w:lang w:val="es-ES_tradnl"/>
              </w:rPr>
            </w:pPr>
            <w:r>
              <w:rPr>
                <w:sz w:val="14"/>
                <w:lang w:val="es-ES_tradnl"/>
              </w:rPr>
              <w:t>Impacto de menor desempleo</w:t>
            </w:r>
            <w:r w:rsidRPr="000F1522">
              <w:rPr>
                <w:sz w:val="14"/>
                <w:lang w:val="es-ES_tradnl"/>
              </w:rPr>
              <w:t xml:space="preserve"> en ingresos</w:t>
            </w:r>
            <w:r>
              <w:rPr>
                <w:sz w:val="14"/>
                <w:lang w:val="es-ES_tradnl"/>
              </w:rPr>
              <w:t>:</w:t>
            </w:r>
          </w:p>
          <w:p w14:paraId="7AA8081E" w14:textId="046EF074" w:rsidR="00391034" w:rsidRPr="00A43491" w:rsidRDefault="006920D3" w:rsidP="00391034">
            <w:pPr>
              <w:spacing w:before="360"/>
              <w:rPr>
                <w:sz w:val="14"/>
              </w:rPr>
            </w:pPr>
            <m:oMathPara>
              <m:oMath>
                <m:sSub>
                  <m:sSubPr>
                    <m:ctrlPr>
                      <w:rPr>
                        <w:rFonts w:ascii="Cambria Math" w:hAnsi="Cambria Math"/>
                        <w:i/>
                        <w:sz w:val="14"/>
                        <w:szCs w:val="22"/>
                      </w:rPr>
                    </m:ctrlPr>
                  </m:sSubPr>
                  <m:e>
                    <m:r>
                      <m:rPr>
                        <m:sty m:val="bi"/>
                      </m:rPr>
                      <w:rPr>
                        <w:rFonts w:ascii="Cambria Math" w:hAnsi="Cambria Math"/>
                        <w:sz w:val="14"/>
                      </w:rPr>
                      <m:t>π</m:t>
                    </m:r>
                  </m:e>
                  <m:sub>
                    <m:r>
                      <m:rPr>
                        <m:sty m:val="bi"/>
                      </m:rPr>
                      <w:rPr>
                        <w:rFonts w:ascii="Cambria Math" w:hAnsi="Cambria Math"/>
                        <w:sz w:val="14"/>
                      </w:rPr>
                      <m:t>i</m:t>
                    </m:r>
                  </m:sub>
                </m:sSub>
                <m:r>
                  <m:rPr>
                    <m:sty m:val="bi"/>
                  </m:rPr>
                  <w:rPr>
                    <w:rFonts w:ascii="Cambria Math" w:hAnsi="Cambria Math"/>
                    <w:sz w:val="14"/>
                  </w:rPr>
                  <m:t>=</m:t>
                </m:r>
                <m:sSub>
                  <m:sSubPr>
                    <m:ctrlPr>
                      <w:rPr>
                        <w:rFonts w:ascii="Cambria Math" w:hAnsi="Cambria Math"/>
                        <w:i/>
                        <w:sz w:val="14"/>
                      </w:rPr>
                    </m:ctrlPr>
                  </m:sSubPr>
                  <m:e>
                    <m:r>
                      <m:rPr>
                        <m:sty m:val="bi"/>
                      </m:rPr>
                      <w:rPr>
                        <w:rFonts w:ascii="Cambria Math" w:hAnsi="Cambria Math"/>
                        <w:sz w:val="14"/>
                      </w:rPr>
                      <m:t>y</m:t>
                    </m:r>
                  </m:e>
                  <m:sub>
                    <m:r>
                      <m:rPr>
                        <m:sty m:val="bi"/>
                      </m:rPr>
                      <w:rPr>
                        <w:rFonts w:ascii="Cambria Math" w:hAnsi="Cambria Math"/>
                        <w:sz w:val="14"/>
                      </w:rPr>
                      <m:t>i</m:t>
                    </m:r>
                  </m:sub>
                </m:sSub>
                <m:r>
                  <m:rPr>
                    <m:sty m:val="bi"/>
                  </m:rPr>
                  <w:rPr>
                    <w:rFonts w:ascii="Cambria Math" w:hAnsi="Cambria Math"/>
                    <w:sz w:val="14"/>
                  </w:rPr>
                  <m:t>*</m:t>
                </m:r>
                <m:d>
                  <m:dPr>
                    <m:ctrlPr>
                      <w:rPr>
                        <w:rFonts w:ascii="Cambria Math" w:hAnsi="Cambria Math"/>
                        <w:i/>
                        <w:sz w:val="14"/>
                      </w:rPr>
                    </m:ctrlPr>
                  </m:dPr>
                  <m:e>
                    <m:sSub>
                      <m:sSubPr>
                        <m:ctrlPr>
                          <w:rPr>
                            <w:rFonts w:ascii="Cambria Math" w:hAnsi="Cambria Math"/>
                            <w:i/>
                            <w:sz w:val="14"/>
                            <w:szCs w:val="22"/>
                          </w:rPr>
                        </m:ctrlPr>
                      </m:sSubPr>
                      <m:e>
                        <m:r>
                          <m:rPr>
                            <m:sty m:val="bi"/>
                          </m:rPr>
                          <w:rPr>
                            <w:rFonts w:ascii="Cambria Math" w:hAnsi="Cambria Math"/>
                            <w:sz w:val="14"/>
                          </w:rPr>
                          <m:t>f</m:t>
                        </m:r>
                      </m:e>
                      <m:sub>
                        <m:r>
                          <m:rPr>
                            <m:sty m:val="bi"/>
                          </m:rPr>
                          <w:rPr>
                            <w:rFonts w:ascii="Cambria Math" w:hAnsi="Cambria Math"/>
                            <w:sz w:val="14"/>
                          </w:rPr>
                          <m:t>i</m:t>
                        </m:r>
                      </m:sub>
                    </m:sSub>
                    <m:r>
                      <m:rPr>
                        <m:sty m:val="bi"/>
                      </m:rPr>
                      <w:rPr>
                        <w:rFonts w:ascii="Cambria Math" w:hAnsi="Cambria Math"/>
                        <w:sz w:val="14"/>
                      </w:rPr>
                      <m:t>*</m:t>
                    </m:r>
                    <m:sSub>
                      <m:sSubPr>
                        <m:ctrlPr>
                          <w:rPr>
                            <w:rFonts w:ascii="Cambria Math" w:hAnsi="Cambria Math"/>
                            <w:i/>
                            <w:sz w:val="14"/>
                            <w:szCs w:val="22"/>
                          </w:rPr>
                        </m:ctrlPr>
                      </m:sSubPr>
                      <m:e>
                        <m:r>
                          <m:rPr>
                            <m:sty m:val="bi"/>
                          </m:rPr>
                          <w:rPr>
                            <w:rFonts w:ascii="Cambria Math" w:hAnsi="Cambria Math"/>
                            <w:sz w:val="14"/>
                          </w:rPr>
                          <m:t>N</m:t>
                        </m:r>
                      </m:e>
                      <m:sub>
                        <m:r>
                          <m:rPr>
                            <m:sty m:val="bi"/>
                          </m:rPr>
                          <w:rPr>
                            <w:rFonts w:ascii="Cambria Math" w:hAnsi="Cambria Math"/>
                            <w:sz w:val="14"/>
                          </w:rPr>
                          <m:t>i,f</m:t>
                        </m:r>
                      </m:sub>
                    </m:sSub>
                  </m:e>
                </m:d>
              </m:oMath>
            </m:oMathPara>
          </w:p>
          <w:p w14:paraId="1B4C6E99" w14:textId="77777777" w:rsidR="00391034" w:rsidRPr="00A43491" w:rsidRDefault="00391034" w:rsidP="00391034">
            <w:pPr>
              <w:rPr>
                <w:sz w:val="14"/>
              </w:rPr>
            </w:pPr>
          </w:p>
          <w:p w14:paraId="5E3B9542" w14:textId="77777777" w:rsidR="00391034" w:rsidRPr="00A43491" w:rsidRDefault="00391034" w:rsidP="00391034">
            <w:pPr>
              <w:rPr>
                <w:sz w:val="14"/>
              </w:rPr>
            </w:pPr>
            <w:r w:rsidRPr="00A43491">
              <w:rPr>
                <w:sz w:val="14"/>
              </w:rPr>
              <w:t xml:space="preserve">Donde: </w:t>
            </w:r>
          </w:p>
          <w:p w14:paraId="2ED9EF3A" w14:textId="77777777" w:rsidR="00391034" w:rsidRPr="00C72E83" w:rsidRDefault="00391034" w:rsidP="00391034">
            <w:pPr>
              <w:pStyle w:val="ListParagraph"/>
              <w:numPr>
                <w:ilvl w:val="0"/>
                <w:numId w:val="23"/>
              </w:numPr>
              <w:rPr>
                <w:color w:val="000000"/>
                <w:sz w:val="14"/>
              </w:rPr>
            </w:pPr>
            <w:r w:rsidRPr="00C72E83">
              <w:rPr>
                <w:i/>
                <w:color w:val="000000"/>
                <w:sz w:val="14"/>
              </w:rPr>
              <w:t xml:space="preserve">i </w:t>
            </w:r>
            <w:r w:rsidRPr="00C72E83">
              <w:rPr>
                <w:color w:val="000000"/>
                <w:sz w:val="14"/>
              </w:rPr>
              <w:t>es el año de referencia</w:t>
            </w:r>
          </w:p>
          <w:p w14:paraId="79BB4D46" w14:textId="64D64E0C" w:rsidR="00391034" w:rsidRPr="00C72E83" w:rsidRDefault="006920D3" w:rsidP="00391034">
            <w:pPr>
              <w:pStyle w:val="ListParagraph"/>
              <w:numPr>
                <w:ilvl w:val="0"/>
                <w:numId w:val="23"/>
              </w:numPr>
              <w:rPr>
                <w:color w:val="000000"/>
                <w:sz w:val="14"/>
              </w:rPr>
            </w:pPr>
            <m:oMath>
              <m:sSub>
                <m:sSubPr>
                  <m:ctrlPr>
                    <w:rPr>
                      <w:rFonts w:ascii="Cambria Math" w:hAnsi="Cambria Math"/>
                      <w:i/>
                      <w:color w:val="000000"/>
                      <w:sz w:val="14"/>
                      <w:lang w:val="en-US" w:eastAsia="en-US"/>
                    </w:rPr>
                  </m:ctrlPr>
                </m:sSubPr>
                <m:e>
                  <m:r>
                    <w:rPr>
                      <w:rFonts w:ascii="Cambria Math" w:hAnsi="Cambria Math"/>
                      <w:sz w:val="14"/>
                    </w:rPr>
                    <m:t>y</m:t>
                  </m:r>
                </m:e>
                <m:sub>
                  <m:r>
                    <w:rPr>
                      <w:rFonts w:ascii="Cambria Math" w:hAnsi="Cambria Math"/>
                      <w:sz w:val="14"/>
                    </w:rPr>
                    <m:t>i,f</m:t>
                  </m:r>
                </m:sub>
              </m:sSub>
            </m:oMath>
            <w:r w:rsidR="00391034" w:rsidRPr="000741F1">
              <w:rPr>
                <w:color w:val="000000"/>
                <w:sz w:val="14"/>
                <w:lang w:eastAsia="en-US"/>
              </w:rPr>
              <w:t xml:space="preserve"> es el ingreso promedio de egresados de </w:t>
            </w:r>
            <w:r w:rsidR="00391034">
              <w:rPr>
                <w:color w:val="000000"/>
                <w:sz w:val="14"/>
                <w:lang w:eastAsia="en-US"/>
              </w:rPr>
              <w:t xml:space="preserve">IES </w:t>
            </w:r>
            <w:r w:rsidR="00C74FF2">
              <w:rPr>
                <w:color w:val="000000"/>
                <w:sz w:val="14"/>
                <w:lang w:eastAsia="en-US"/>
              </w:rPr>
              <w:t>públicas</w:t>
            </w:r>
          </w:p>
          <w:p w14:paraId="3B0D7A17" w14:textId="6B880E58" w:rsidR="00391034" w:rsidRPr="00C72E83" w:rsidRDefault="006920D3" w:rsidP="00391034">
            <w:pPr>
              <w:pStyle w:val="ListParagraph"/>
              <w:numPr>
                <w:ilvl w:val="0"/>
                <w:numId w:val="23"/>
              </w:numPr>
              <w:rPr>
                <w:color w:val="000000"/>
                <w:sz w:val="14"/>
              </w:rPr>
            </w:pPr>
            <m:oMath>
              <m:sSub>
                <m:sSubPr>
                  <m:ctrlPr>
                    <w:rPr>
                      <w:rFonts w:ascii="Cambria Math" w:hAnsi="Cambria Math"/>
                      <w:i/>
                      <w:color w:val="000000"/>
                      <w:sz w:val="14"/>
                      <w:lang w:val="en-US" w:eastAsia="en-US"/>
                    </w:rPr>
                  </m:ctrlPr>
                </m:sSubPr>
                <m:e>
                  <m:r>
                    <w:rPr>
                      <w:rFonts w:ascii="Cambria Math" w:hAnsi="Cambria Math"/>
                      <w:sz w:val="14"/>
                    </w:rPr>
                    <m:t>f</m:t>
                  </m:r>
                </m:e>
                <m:sub>
                  <m:r>
                    <w:rPr>
                      <w:rFonts w:ascii="Cambria Math" w:hAnsi="Cambria Math"/>
                      <w:color w:val="000000"/>
                      <w:sz w:val="14"/>
                      <w:lang w:val="en-US" w:eastAsia="en-US"/>
                    </w:rPr>
                    <m:t>i</m:t>
                  </m:r>
                </m:sub>
              </m:sSub>
            </m:oMath>
            <w:r w:rsidR="00391034" w:rsidRPr="000741F1">
              <w:rPr>
                <w:color w:val="000000"/>
                <w:sz w:val="14"/>
                <w:lang w:eastAsia="en-US"/>
              </w:rPr>
              <w:t xml:space="preserve"> es el impacto sobre la reducción </w:t>
            </w:r>
            <w:r w:rsidR="00F85D91">
              <w:rPr>
                <w:color w:val="000000"/>
                <w:sz w:val="14"/>
                <w:lang w:eastAsia="en-US"/>
              </w:rPr>
              <w:t>del desempleo</w:t>
            </w:r>
            <w:r w:rsidR="00391034" w:rsidRPr="000741F1">
              <w:rPr>
                <w:color w:val="000000"/>
                <w:sz w:val="14"/>
                <w:lang w:eastAsia="en-US"/>
              </w:rPr>
              <w:t>.</w:t>
            </w:r>
          </w:p>
          <w:p w14:paraId="72E8CB34" w14:textId="41323936" w:rsidR="00391034" w:rsidRDefault="006920D3" w:rsidP="00E62139">
            <w:pPr>
              <w:pStyle w:val="ListParagraph"/>
              <w:numPr>
                <w:ilvl w:val="0"/>
                <w:numId w:val="23"/>
              </w:numPr>
              <w:pBdr>
                <w:top w:val="nil"/>
                <w:left w:val="nil"/>
                <w:bottom w:val="nil"/>
                <w:right w:val="nil"/>
                <w:between w:val="nil"/>
              </w:pBdr>
              <w:rPr>
                <w:sz w:val="14"/>
                <w:lang w:val="es-ES"/>
              </w:rPr>
            </w:pPr>
            <m:oMath>
              <m:sSub>
                <m:sSubPr>
                  <m:ctrlPr>
                    <w:rPr>
                      <w:rFonts w:ascii="Cambria Math" w:hAnsi="Cambria Math"/>
                      <w:i/>
                      <w:color w:val="000000"/>
                      <w:sz w:val="14"/>
                      <w:lang w:val="en-US" w:eastAsia="en-US"/>
                    </w:rPr>
                  </m:ctrlPr>
                </m:sSubPr>
                <m:e>
                  <m:r>
                    <w:rPr>
                      <w:rFonts w:ascii="Cambria Math" w:hAnsi="Cambria Math"/>
                      <w:sz w:val="14"/>
                    </w:rPr>
                    <m:t>N</m:t>
                  </m:r>
                </m:e>
                <m:sub>
                  <m:r>
                    <w:rPr>
                      <w:rFonts w:ascii="Cambria Math" w:hAnsi="Cambria Math"/>
                      <w:sz w:val="14"/>
                    </w:rPr>
                    <m:t>i</m:t>
                  </m:r>
                  <m:r>
                    <w:rPr>
                      <w:rFonts w:ascii="Cambria Math" w:hAnsi="Cambria Math"/>
                      <w:sz w:val="14"/>
                      <w:lang w:val="es-ES"/>
                    </w:rPr>
                    <m:t>,</m:t>
                  </m:r>
                  <m:r>
                    <w:rPr>
                      <w:rFonts w:ascii="Cambria Math" w:hAnsi="Cambria Math"/>
                      <w:sz w:val="14"/>
                    </w:rPr>
                    <m:t>u</m:t>
                  </m:r>
                </m:sub>
              </m:sSub>
            </m:oMath>
            <w:r w:rsidR="00391034" w:rsidRPr="00E62139">
              <w:rPr>
                <w:color w:val="000000"/>
                <w:sz w:val="14"/>
                <w:lang w:val="es-ES" w:eastAsia="en-US"/>
              </w:rPr>
              <w:t xml:space="preserve"> es el </w:t>
            </w:r>
            <w:r w:rsidR="00391034" w:rsidRPr="00E62139">
              <w:rPr>
                <w:color w:val="000000"/>
                <w:sz w:val="14"/>
                <w:lang w:eastAsia="en-US"/>
              </w:rPr>
              <w:t>número</w:t>
            </w:r>
            <w:r w:rsidR="00391034" w:rsidRPr="00E62139">
              <w:rPr>
                <w:color w:val="000000"/>
                <w:sz w:val="14"/>
                <w:lang w:val="es-ES" w:eastAsia="en-US"/>
              </w:rPr>
              <w:t xml:space="preserve"> de egres</w:t>
            </w:r>
            <w:r w:rsidR="00A84792">
              <w:rPr>
                <w:color w:val="000000"/>
                <w:sz w:val="14"/>
                <w:lang w:val="es-ES" w:eastAsia="en-US"/>
              </w:rPr>
              <w:t>ados de IES públicas que están dese</w:t>
            </w:r>
            <w:r w:rsidR="00C74FF2">
              <w:rPr>
                <w:color w:val="000000"/>
                <w:sz w:val="14"/>
                <w:lang w:val="es-ES" w:eastAsia="en-US"/>
              </w:rPr>
              <w:t>m</w:t>
            </w:r>
            <w:r w:rsidR="00A84792">
              <w:rPr>
                <w:color w:val="000000"/>
                <w:sz w:val="14"/>
                <w:lang w:val="es-ES" w:eastAsia="en-US"/>
              </w:rPr>
              <w:t>pleados</w:t>
            </w:r>
          </w:p>
          <w:p w14:paraId="17180C5E" w14:textId="77777777" w:rsidR="00391034" w:rsidRPr="000741F1" w:rsidRDefault="00391034" w:rsidP="00E62139">
            <w:pPr>
              <w:rPr>
                <w:rFonts w:ascii="Arial" w:hAnsi="Arial" w:cs="Arial"/>
                <w:lang w:val="es-ES_tradnl"/>
              </w:rPr>
            </w:pPr>
          </w:p>
        </w:tc>
        <w:tc>
          <w:tcPr>
            <w:tcW w:w="3732" w:type="dxa"/>
          </w:tcPr>
          <w:p w14:paraId="109F22B5" w14:textId="77777777" w:rsidR="00391034" w:rsidRPr="00A43491" w:rsidRDefault="00391034" w:rsidP="00391034">
            <w:pPr>
              <w:rPr>
                <w:sz w:val="14"/>
              </w:rPr>
            </w:pPr>
            <w:r w:rsidRPr="00A43491">
              <w:rPr>
                <w:sz w:val="14"/>
              </w:rPr>
              <w:t>Costos Directos:</w:t>
            </w:r>
          </w:p>
          <w:p w14:paraId="440321D7" w14:textId="77777777" w:rsidR="00391034" w:rsidRPr="00A43491" w:rsidRDefault="00391034" w:rsidP="00391034">
            <w:pPr>
              <w:spacing w:before="360"/>
              <w:rPr>
                <w:sz w:val="14"/>
              </w:rPr>
            </w:pPr>
          </w:p>
          <w:p w14:paraId="473615C3" w14:textId="77777777" w:rsidR="00391034" w:rsidRPr="00A43491" w:rsidRDefault="006920D3" w:rsidP="00391034">
            <w:pPr>
              <w:rPr>
                <w:rFonts w:ascii="Arial" w:hAnsi="Arial" w:cs="Arial"/>
                <w:sz w:val="14"/>
              </w:rPr>
            </w:pPr>
            <m:oMathPara>
              <m:oMath>
                <m:sSub>
                  <m:sSubPr>
                    <m:ctrlPr>
                      <w:rPr>
                        <w:rFonts w:ascii="Cambria Math" w:hAnsi="Cambria Math"/>
                        <w:i/>
                        <w:sz w:val="14"/>
                        <w:szCs w:val="22"/>
                      </w:rPr>
                    </m:ctrlPr>
                  </m:sSubPr>
                  <m:e>
                    <m:r>
                      <m:rPr>
                        <m:sty m:val="bi"/>
                      </m:rPr>
                      <w:rPr>
                        <w:rFonts w:ascii="Cambria Math" w:hAnsi="Cambria Math"/>
                        <w:sz w:val="14"/>
                      </w:rPr>
                      <m:t>costos directos</m:t>
                    </m:r>
                  </m:e>
                  <m:sub>
                    <m:r>
                      <m:rPr>
                        <m:sty m:val="bi"/>
                      </m:rPr>
                      <w:rPr>
                        <w:rFonts w:ascii="Cambria Math" w:hAnsi="Cambria Math"/>
                        <w:sz w:val="14"/>
                      </w:rPr>
                      <m:t>i</m:t>
                    </m:r>
                  </m:sub>
                </m:sSub>
                <m:r>
                  <m:rPr>
                    <m:sty m:val="bi"/>
                  </m:rPr>
                  <w:rPr>
                    <w:rFonts w:ascii="Cambria Math" w:hAnsi="Cambria Math"/>
                    <w:sz w:val="14"/>
                  </w:rPr>
                  <m:t>=</m:t>
                </m:r>
                <m:nary>
                  <m:naryPr>
                    <m:chr m:val="∑"/>
                    <m:limLoc m:val="undOvr"/>
                    <m:ctrlPr>
                      <w:rPr>
                        <w:rFonts w:ascii="Cambria Math" w:hAnsi="Cambria Math"/>
                        <w:i/>
                        <w:sz w:val="14"/>
                      </w:rPr>
                    </m:ctrlPr>
                  </m:naryPr>
                  <m:sub>
                    <m:r>
                      <m:rPr>
                        <m:sty m:val="bi"/>
                      </m:rPr>
                      <w:rPr>
                        <w:rFonts w:ascii="Cambria Math" w:hAnsi="Cambria Math"/>
                        <w:sz w:val="14"/>
                      </w:rPr>
                      <m:t>i=1</m:t>
                    </m:r>
                  </m:sub>
                  <m:sup>
                    <m:r>
                      <m:rPr>
                        <m:sty m:val="bi"/>
                      </m:rPr>
                      <w:rPr>
                        <w:rFonts w:ascii="Cambria Math" w:hAnsi="Cambria Math"/>
                        <w:sz w:val="14"/>
                      </w:rPr>
                      <m:t>N</m:t>
                    </m:r>
                  </m:sup>
                  <m:e>
                    <m:sSub>
                      <m:sSubPr>
                        <m:ctrlPr>
                          <w:rPr>
                            <w:rFonts w:ascii="Cambria Math" w:hAnsi="Cambria Math"/>
                            <w:i/>
                            <w:sz w:val="14"/>
                          </w:rPr>
                        </m:ctrlPr>
                      </m:sSubPr>
                      <m:e>
                        <m:r>
                          <m:rPr>
                            <m:sty m:val="bi"/>
                          </m:rPr>
                          <w:rPr>
                            <w:rFonts w:ascii="Cambria Math" w:hAnsi="Cambria Math"/>
                            <w:sz w:val="14"/>
                          </w:rPr>
                          <m:t>C</m:t>
                        </m:r>
                      </m:e>
                      <m:sub>
                        <m:r>
                          <m:rPr>
                            <m:sty m:val="bi"/>
                          </m:rPr>
                          <w:rPr>
                            <w:rFonts w:ascii="Cambria Math" w:hAnsi="Cambria Math"/>
                            <w:sz w:val="14"/>
                          </w:rPr>
                          <m:t>i</m:t>
                        </m:r>
                      </m:sub>
                    </m:sSub>
                  </m:e>
                </m:nary>
                <m:sSub>
                  <m:sSubPr>
                    <m:ctrlPr>
                      <w:rPr>
                        <w:rFonts w:ascii="Cambria Math" w:hAnsi="Cambria Math"/>
                        <w:i/>
                        <w:sz w:val="14"/>
                      </w:rPr>
                    </m:ctrlPr>
                  </m:sSubPr>
                  <m:e>
                    <m:r>
                      <m:rPr>
                        <m:sty m:val="bi"/>
                      </m:rPr>
                      <w:rPr>
                        <w:rFonts w:ascii="Cambria Math" w:hAnsi="Cambria Math"/>
                        <w:sz w:val="14"/>
                      </w:rPr>
                      <m:t>Q</m:t>
                    </m:r>
                  </m:e>
                  <m:sub>
                    <m:r>
                      <m:rPr>
                        <m:sty m:val="bi"/>
                      </m:rPr>
                      <w:rPr>
                        <w:rFonts w:ascii="Cambria Math" w:hAnsi="Cambria Math"/>
                        <w:sz w:val="14"/>
                      </w:rPr>
                      <m:t>i</m:t>
                    </m:r>
                  </m:sub>
                </m:sSub>
              </m:oMath>
            </m:oMathPara>
          </w:p>
          <w:p w14:paraId="00EDBFD2" w14:textId="77777777" w:rsidR="00391034" w:rsidRPr="00A43491" w:rsidRDefault="00391034" w:rsidP="00391034">
            <w:pPr>
              <w:rPr>
                <w:sz w:val="14"/>
              </w:rPr>
            </w:pPr>
          </w:p>
          <w:p w14:paraId="3BE496EF" w14:textId="77777777" w:rsidR="00391034" w:rsidRPr="007449BB" w:rsidRDefault="00391034" w:rsidP="00391034">
            <w:pPr>
              <w:rPr>
                <w:sz w:val="14"/>
              </w:rPr>
            </w:pPr>
            <w:r w:rsidRPr="007449BB">
              <w:rPr>
                <w:sz w:val="14"/>
              </w:rPr>
              <w:t xml:space="preserve">Donde: </w:t>
            </w:r>
          </w:p>
          <w:p w14:paraId="4B7F18C7" w14:textId="77777777" w:rsidR="00391034" w:rsidRPr="007449BB" w:rsidRDefault="00391034" w:rsidP="00391034">
            <w:pPr>
              <w:rPr>
                <w:sz w:val="14"/>
              </w:rPr>
            </w:pPr>
          </w:p>
          <w:p w14:paraId="65E67A4F" w14:textId="77777777" w:rsidR="00391034" w:rsidRPr="007449BB" w:rsidRDefault="00391034" w:rsidP="00391034">
            <w:pPr>
              <w:pStyle w:val="ListParagraph"/>
              <w:numPr>
                <w:ilvl w:val="0"/>
                <w:numId w:val="24"/>
              </w:numPr>
              <w:rPr>
                <w:rFonts w:ascii="Arial" w:hAnsi="Arial" w:cs="Arial"/>
                <w:color w:val="000000"/>
                <w:sz w:val="14"/>
              </w:rPr>
            </w:pPr>
            <m:oMath>
              <m:r>
                <w:rPr>
                  <w:rFonts w:ascii="Cambria Math" w:hAnsi="Cambria Math"/>
                  <w:color w:val="000000"/>
                  <w:sz w:val="14"/>
                  <w:szCs w:val="22"/>
                </w:rPr>
                <m:t>N</m:t>
              </m:r>
            </m:oMath>
            <w:r w:rsidRPr="007449BB">
              <w:rPr>
                <w:color w:val="000000"/>
                <w:sz w:val="14"/>
                <w:szCs w:val="22"/>
              </w:rPr>
              <w:t xml:space="preserve"> es el número de instrumentos que financiará el componente, esto incluye fondos concursables y actividades de capacitación y asistencia técnica.</w:t>
            </w:r>
          </w:p>
          <w:p w14:paraId="55EF17BE" w14:textId="77777777" w:rsidR="00391034" w:rsidRPr="007449BB" w:rsidRDefault="00391034" w:rsidP="00391034">
            <w:pPr>
              <w:pStyle w:val="ListParagraph"/>
              <w:numPr>
                <w:ilvl w:val="0"/>
                <w:numId w:val="24"/>
              </w:numPr>
              <w:rPr>
                <w:rFonts w:ascii="Arial" w:hAnsi="Arial" w:cs="Arial"/>
                <w:color w:val="000000"/>
                <w:sz w:val="14"/>
              </w:rPr>
            </w:pPr>
            <m:oMath>
              <m:r>
                <w:rPr>
                  <w:rFonts w:ascii="Cambria Math" w:hAnsi="Cambria Math"/>
                  <w:color w:val="000000"/>
                  <w:sz w:val="14"/>
                  <w:szCs w:val="22"/>
                </w:rPr>
                <m:t>C</m:t>
              </m:r>
            </m:oMath>
            <w:r w:rsidRPr="007449BB">
              <w:rPr>
                <w:color w:val="000000"/>
                <w:sz w:val="14"/>
                <w:szCs w:val="22"/>
              </w:rPr>
              <w:t xml:space="preserve"> es el costo unitario por instrumento.</w:t>
            </w:r>
          </w:p>
          <w:p w14:paraId="506EB534" w14:textId="77777777" w:rsidR="00391034" w:rsidRPr="007449BB" w:rsidRDefault="00391034" w:rsidP="00391034">
            <w:pPr>
              <w:pStyle w:val="ListParagraph"/>
              <w:numPr>
                <w:ilvl w:val="0"/>
                <w:numId w:val="24"/>
              </w:numPr>
              <w:rPr>
                <w:rFonts w:ascii="Arial" w:hAnsi="Arial" w:cs="Arial"/>
                <w:color w:val="000000"/>
                <w:sz w:val="14"/>
              </w:rPr>
            </w:pPr>
            <m:oMath>
              <m:r>
                <w:rPr>
                  <w:rFonts w:ascii="Cambria Math" w:hAnsi="Cambria Math"/>
                  <w:color w:val="000000"/>
                  <w:sz w:val="14"/>
                  <w:szCs w:val="22"/>
                </w:rPr>
                <m:t>Q</m:t>
              </m:r>
            </m:oMath>
            <w:r w:rsidRPr="007449BB">
              <w:rPr>
                <w:color w:val="000000"/>
                <w:sz w:val="14"/>
                <w:szCs w:val="22"/>
              </w:rPr>
              <w:t xml:space="preserve"> es el número de beneficiarios por cada instrumento, los cuales pueden ser alumnos, docentes, administrativos, entre otros.</w:t>
            </w:r>
          </w:p>
          <w:p w14:paraId="422A7C49" w14:textId="77777777" w:rsidR="00391034" w:rsidRPr="007449BB" w:rsidRDefault="00391034" w:rsidP="00391034">
            <w:pPr>
              <w:pStyle w:val="ListParagraph"/>
              <w:numPr>
                <w:ilvl w:val="0"/>
                <w:numId w:val="24"/>
              </w:numPr>
              <w:rPr>
                <w:rFonts w:ascii="Arial" w:hAnsi="Arial" w:cs="Arial"/>
                <w:color w:val="000000"/>
                <w:sz w:val="14"/>
              </w:rPr>
            </w:pPr>
            <m:oMath>
              <m:r>
                <w:rPr>
                  <w:rFonts w:ascii="Cambria Math" w:hAnsi="Cambria Math"/>
                  <w:color w:val="000000"/>
                  <w:sz w:val="14"/>
                  <w:szCs w:val="22"/>
                </w:rPr>
                <m:t>i</m:t>
              </m:r>
            </m:oMath>
            <w:r w:rsidRPr="007449BB">
              <w:rPr>
                <w:color w:val="000000"/>
                <w:sz w:val="14"/>
                <w:szCs w:val="22"/>
              </w:rPr>
              <w:t xml:space="preserve"> es el instrumento en cuestión.</w:t>
            </w:r>
          </w:p>
          <w:p w14:paraId="72EEC1AD" w14:textId="77777777" w:rsidR="00391034" w:rsidRPr="00A43491" w:rsidRDefault="00391034" w:rsidP="00391034">
            <w:pPr>
              <w:pStyle w:val="ListParagraph"/>
              <w:rPr>
                <w:rFonts w:ascii="Arial" w:hAnsi="Arial" w:cs="Arial"/>
                <w:color w:val="000000"/>
                <w:sz w:val="14"/>
              </w:rPr>
            </w:pPr>
          </w:p>
          <w:p w14:paraId="4C88FCCA" w14:textId="77777777" w:rsidR="00391034" w:rsidRPr="00EB642B" w:rsidRDefault="00391034" w:rsidP="00391034">
            <w:pPr>
              <w:rPr>
                <w:rFonts w:ascii="Arial" w:hAnsi="Arial" w:cs="Arial"/>
                <w:lang w:val="es-ES_tradnl"/>
              </w:rPr>
            </w:pPr>
          </w:p>
        </w:tc>
      </w:tr>
      <w:tr w:rsidR="00391034" w:rsidRPr="00FB6C97" w14:paraId="2AF4B609" w14:textId="77777777" w:rsidTr="000F1522">
        <w:tc>
          <w:tcPr>
            <w:tcW w:w="1557" w:type="dxa"/>
            <w:vAlign w:val="center"/>
          </w:tcPr>
          <w:p w14:paraId="1BE2932D" w14:textId="77777777" w:rsidR="00391034" w:rsidRPr="000F1522" w:rsidRDefault="00391034" w:rsidP="00391034">
            <w:pPr>
              <w:rPr>
                <w:b/>
                <w:sz w:val="14"/>
                <w:lang w:val="es-ES_tradnl"/>
              </w:rPr>
            </w:pPr>
            <w:r w:rsidRPr="00052E61">
              <w:rPr>
                <w:rFonts w:ascii="Arial" w:hAnsi="Arial" w:cs="Arial"/>
                <w:b/>
                <w:bCs/>
                <w:sz w:val="14"/>
                <w:szCs w:val="14"/>
                <w:lang w:val="es-ES_tradnl"/>
              </w:rPr>
              <w:t xml:space="preserve">Mejora de la infraestructura y equipamiento de las </w:t>
            </w:r>
            <w:r>
              <w:rPr>
                <w:rFonts w:ascii="Arial" w:hAnsi="Arial" w:cs="Arial"/>
                <w:b/>
                <w:bCs/>
                <w:sz w:val="14"/>
                <w:szCs w:val="14"/>
                <w:lang w:val="es-ES_tradnl"/>
              </w:rPr>
              <w:t>IES</w:t>
            </w:r>
            <w:r w:rsidRPr="00052E61">
              <w:rPr>
                <w:rFonts w:ascii="Arial" w:hAnsi="Arial" w:cs="Arial"/>
                <w:b/>
                <w:bCs/>
                <w:sz w:val="14"/>
                <w:szCs w:val="14"/>
                <w:lang w:val="es-ES_tradnl"/>
              </w:rPr>
              <w:t xml:space="preserve"> pública</w:t>
            </w:r>
            <w:r>
              <w:rPr>
                <w:rFonts w:ascii="Arial" w:hAnsi="Arial" w:cs="Arial"/>
                <w:b/>
                <w:bCs/>
                <w:sz w:val="14"/>
                <w:szCs w:val="14"/>
                <w:lang w:val="es-ES_tradnl"/>
              </w:rPr>
              <w:t>s</w:t>
            </w:r>
          </w:p>
        </w:tc>
        <w:tc>
          <w:tcPr>
            <w:tcW w:w="4539" w:type="dxa"/>
          </w:tcPr>
          <w:p w14:paraId="5E34F5BF" w14:textId="77777777" w:rsidR="00391034" w:rsidRPr="00A43491" w:rsidRDefault="00391034" w:rsidP="00391034">
            <w:pPr>
              <w:rPr>
                <w:sz w:val="14"/>
              </w:rPr>
            </w:pPr>
            <w:r>
              <w:rPr>
                <w:sz w:val="14"/>
              </w:rPr>
              <w:t>Impacto de infraestructura sobre ingresos</w:t>
            </w:r>
          </w:p>
          <w:p w14:paraId="30C47668" w14:textId="77777777" w:rsidR="00391034" w:rsidRPr="00A43491" w:rsidRDefault="006920D3" w:rsidP="00391034">
            <w:pPr>
              <w:spacing w:before="360"/>
              <w:rPr>
                <w:sz w:val="14"/>
              </w:rPr>
            </w:pPr>
            <m:oMathPara>
              <m:oMath>
                <m:sSub>
                  <m:sSubPr>
                    <m:ctrlPr>
                      <w:rPr>
                        <w:rFonts w:ascii="Cambria Math" w:hAnsi="Cambria Math"/>
                        <w:i/>
                        <w:sz w:val="14"/>
                        <w:szCs w:val="22"/>
                      </w:rPr>
                    </m:ctrlPr>
                  </m:sSubPr>
                  <m:e>
                    <m:r>
                      <m:rPr>
                        <m:sty m:val="bi"/>
                      </m:rPr>
                      <w:rPr>
                        <w:rFonts w:ascii="Cambria Math" w:hAnsi="Cambria Math"/>
                        <w:sz w:val="14"/>
                      </w:rPr>
                      <m:t>π</m:t>
                    </m:r>
                  </m:e>
                  <m:sub>
                    <m:r>
                      <m:rPr>
                        <m:sty m:val="bi"/>
                      </m:rPr>
                      <w:rPr>
                        <w:rFonts w:ascii="Cambria Math" w:hAnsi="Cambria Math"/>
                        <w:sz w:val="14"/>
                      </w:rPr>
                      <m:t>i</m:t>
                    </m:r>
                  </m:sub>
                </m:sSub>
                <m:r>
                  <m:rPr>
                    <m:sty m:val="bi"/>
                  </m:rPr>
                  <w:rPr>
                    <w:rFonts w:ascii="Cambria Math" w:hAnsi="Cambria Math"/>
                    <w:sz w:val="14"/>
                  </w:rPr>
                  <m:t>=</m:t>
                </m:r>
                <m:d>
                  <m:dPr>
                    <m:ctrlPr>
                      <w:rPr>
                        <w:rFonts w:ascii="Cambria Math" w:hAnsi="Cambria Math"/>
                        <w:i/>
                        <w:sz w:val="14"/>
                      </w:rPr>
                    </m:ctrlPr>
                  </m:dPr>
                  <m:e>
                    <m:r>
                      <m:rPr>
                        <m:sty m:val="bi"/>
                      </m:rPr>
                      <w:rPr>
                        <w:rFonts w:ascii="Cambria Math" w:hAnsi="Cambria Math"/>
                        <w:sz w:val="14"/>
                      </w:rPr>
                      <m:t>1+</m:t>
                    </m:r>
                    <m:sSub>
                      <m:sSubPr>
                        <m:ctrlPr>
                          <w:rPr>
                            <w:rFonts w:ascii="Cambria Math" w:hAnsi="Cambria Math"/>
                            <w:i/>
                            <w:sz w:val="14"/>
                            <w:szCs w:val="22"/>
                          </w:rPr>
                        </m:ctrlPr>
                      </m:sSubPr>
                      <m:e>
                        <m:r>
                          <m:rPr>
                            <m:sty m:val="bi"/>
                          </m:rPr>
                          <w:rPr>
                            <w:rFonts w:ascii="Cambria Math" w:hAnsi="Cambria Math"/>
                            <w:sz w:val="14"/>
                          </w:rPr>
                          <m:t>f</m:t>
                        </m:r>
                      </m:e>
                      <m:sub>
                        <m:r>
                          <m:rPr>
                            <m:sty m:val="bi"/>
                          </m:rPr>
                          <w:rPr>
                            <w:rFonts w:ascii="Cambria Math" w:hAnsi="Cambria Math"/>
                            <w:sz w:val="14"/>
                          </w:rPr>
                          <m:t>i</m:t>
                        </m:r>
                      </m:sub>
                    </m:sSub>
                  </m:e>
                </m:d>
                <m:r>
                  <m:rPr>
                    <m:sty m:val="bi"/>
                  </m:rPr>
                  <w:rPr>
                    <w:rFonts w:ascii="Cambria Math" w:hAnsi="Cambria Math"/>
                    <w:sz w:val="14"/>
                  </w:rPr>
                  <m:t>*</m:t>
                </m:r>
                <m:d>
                  <m:dPr>
                    <m:ctrlPr>
                      <w:rPr>
                        <w:rFonts w:ascii="Cambria Math" w:hAnsi="Cambria Math"/>
                        <w:i/>
                        <w:sz w:val="14"/>
                      </w:rPr>
                    </m:ctrlPr>
                  </m:dPr>
                  <m:e>
                    <m:sSub>
                      <m:sSubPr>
                        <m:ctrlPr>
                          <w:rPr>
                            <w:rFonts w:ascii="Cambria Math" w:hAnsi="Cambria Math"/>
                            <w:i/>
                            <w:sz w:val="14"/>
                            <w:szCs w:val="22"/>
                          </w:rPr>
                        </m:ctrlPr>
                      </m:sSubPr>
                      <m:e>
                        <m:r>
                          <m:rPr>
                            <m:sty m:val="bi"/>
                          </m:rPr>
                          <w:rPr>
                            <w:rFonts w:ascii="Cambria Math" w:hAnsi="Cambria Math"/>
                            <w:sz w:val="14"/>
                          </w:rPr>
                          <m:t>y</m:t>
                        </m:r>
                      </m:e>
                      <m:sub>
                        <m:r>
                          <m:rPr>
                            <m:sty m:val="bi"/>
                          </m:rPr>
                          <w:rPr>
                            <w:rFonts w:ascii="Cambria Math" w:hAnsi="Cambria Math"/>
                            <w:sz w:val="14"/>
                          </w:rPr>
                          <m:t>i</m:t>
                        </m:r>
                      </m:sub>
                    </m:sSub>
                    <m:r>
                      <m:rPr>
                        <m:sty m:val="bi"/>
                      </m:rPr>
                      <w:rPr>
                        <w:rFonts w:ascii="Cambria Math" w:hAnsi="Cambria Math"/>
                        <w:sz w:val="14"/>
                      </w:rPr>
                      <m:t>*</m:t>
                    </m:r>
                    <m:sSub>
                      <m:sSubPr>
                        <m:ctrlPr>
                          <w:rPr>
                            <w:rFonts w:ascii="Cambria Math" w:hAnsi="Cambria Math"/>
                            <w:i/>
                            <w:sz w:val="14"/>
                            <w:szCs w:val="22"/>
                          </w:rPr>
                        </m:ctrlPr>
                      </m:sSubPr>
                      <m:e>
                        <m:r>
                          <m:rPr>
                            <m:sty m:val="bi"/>
                          </m:rPr>
                          <w:rPr>
                            <w:rFonts w:ascii="Cambria Math" w:hAnsi="Cambria Math"/>
                            <w:sz w:val="14"/>
                          </w:rPr>
                          <m:t>N</m:t>
                        </m:r>
                      </m:e>
                      <m:sub>
                        <m:r>
                          <m:rPr>
                            <m:sty m:val="bi"/>
                          </m:rPr>
                          <w:rPr>
                            <w:rFonts w:ascii="Cambria Math" w:hAnsi="Cambria Math"/>
                            <w:sz w:val="14"/>
                          </w:rPr>
                          <m:t>i</m:t>
                        </m:r>
                      </m:sub>
                    </m:sSub>
                  </m:e>
                </m:d>
              </m:oMath>
            </m:oMathPara>
          </w:p>
          <w:p w14:paraId="7BFF3B56" w14:textId="77777777" w:rsidR="00391034" w:rsidRPr="00A43491" w:rsidRDefault="00391034" w:rsidP="00391034">
            <w:pPr>
              <w:rPr>
                <w:sz w:val="14"/>
              </w:rPr>
            </w:pPr>
          </w:p>
          <w:p w14:paraId="09943DFE" w14:textId="77777777" w:rsidR="00391034" w:rsidRPr="00A43491" w:rsidRDefault="00391034" w:rsidP="00391034">
            <w:pPr>
              <w:rPr>
                <w:sz w:val="14"/>
              </w:rPr>
            </w:pPr>
            <w:r w:rsidRPr="00A43491">
              <w:rPr>
                <w:sz w:val="14"/>
              </w:rPr>
              <w:t xml:space="preserve">Donde: </w:t>
            </w:r>
          </w:p>
          <w:p w14:paraId="171AF48B" w14:textId="77777777" w:rsidR="00391034" w:rsidRPr="00C72E83" w:rsidRDefault="00391034" w:rsidP="00391034">
            <w:pPr>
              <w:pStyle w:val="ListParagraph"/>
              <w:numPr>
                <w:ilvl w:val="0"/>
                <w:numId w:val="23"/>
              </w:numPr>
              <w:rPr>
                <w:color w:val="000000"/>
                <w:sz w:val="14"/>
              </w:rPr>
            </w:pPr>
            <w:r w:rsidRPr="00C72E83">
              <w:rPr>
                <w:i/>
                <w:color w:val="000000"/>
                <w:sz w:val="14"/>
              </w:rPr>
              <w:t xml:space="preserve">i </w:t>
            </w:r>
            <w:r w:rsidRPr="00C72E83">
              <w:rPr>
                <w:color w:val="000000"/>
                <w:sz w:val="14"/>
              </w:rPr>
              <w:t>es el año de referencia</w:t>
            </w:r>
          </w:p>
          <w:p w14:paraId="002445FA" w14:textId="77777777" w:rsidR="00391034" w:rsidRPr="00C72E83" w:rsidRDefault="006920D3" w:rsidP="00391034">
            <w:pPr>
              <w:pStyle w:val="ListParagraph"/>
              <w:numPr>
                <w:ilvl w:val="0"/>
                <w:numId w:val="23"/>
              </w:numPr>
              <w:rPr>
                <w:color w:val="000000"/>
                <w:sz w:val="14"/>
              </w:rPr>
            </w:pPr>
            <m:oMath>
              <m:sSub>
                <m:sSubPr>
                  <m:ctrlPr>
                    <w:rPr>
                      <w:rFonts w:ascii="Cambria Math" w:hAnsi="Cambria Math"/>
                      <w:i/>
                      <w:color w:val="000000"/>
                      <w:sz w:val="14"/>
                      <w:lang w:val="en-US" w:eastAsia="en-US"/>
                    </w:rPr>
                  </m:ctrlPr>
                </m:sSubPr>
                <m:e>
                  <m:r>
                    <w:rPr>
                      <w:rFonts w:ascii="Cambria Math" w:hAnsi="Cambria Math"/>
                      <w:sz w:val="14"/>
                    </w:rPr>
                    <m:t>f</m:t>
                  </m:r>
                </m:e>
                <m:sub>
                  <m:r>
                    <w:rPr>
                      <w:rFonts w:ascii="Cambria Math" w:hAnsi="Cambria Math"/>
                      <w:color w:val="000000"/>
                      <w:sz w:val="14"/>
                      <w:lang w:val="en-US" w:eastAsia="en-US"/>
                    </w:rPr>
                    <m:t>i</m:t>
                  </m:r>
                </m:sub>
              </m:sSub>
            </m:oMath>
            <w:r w:rsidR="00391034" w:rsidRPr="000741F1">
              <w:rPr>
                <w:color w:val="000000"/>
                <w:sz w:val="14"/>
                <w:lang w:eastAsia="en-US"/>
              </w:rPr>
              <w:t xml:space="preserve"> es el impacto sobre los ingresos de la inversión en infraestructura.</w:t>
            </w:r>
          </w:p>
          <w:p w14:paraId="0A9D3442" w14:textId="77777777" w:rsidR="00391034" w:rsidRPr="00C72E83" w:rsidRDefault="006920D3" w:rsidP="00391034">
            <w:pPr>
              <w:pStyle w:val="ListParagraph"/>
              <w:numPr>
                <w:ilvl w:val="0"/>
                <w:numId w:val="23"/>
              </w:numPr>
              <w:rPr>
                <w:color w:val="000000"/>
                <w:sz w:val="14"/>
              </w:rPr>
            </w:pPr>
            <m:oMath>
              <m:sSub>
                <m:sSubPr>
                  <m:ctrlPr>
                    <w:rPr>
                      <w:rFonts w:ascii="Cambria Math" w:hAnsi="Cambria Math"/>
                      <w:i/>
                      <w:color w:val="000000"/>
                      <w:sz w:val="14"/>
                      <w:lang w:val="en-US" w:eastAsia="en-US"/>
                    </w:rPr>
                  </m:ctrlPr>
                </m:sSubPr>
                <m:e>
                  <m:r>
                    <w:rPr>
                      <w:rFonts w:ascii="Cambria Math" w:hAnsi="Cambria Math"/>
                      <w:sz w:val="14"/>
                    </w:rPr>
                    <m:t>y</m:t>
                  </m:r>
                </m:e>
                <m:sub>
                  <m:r>
                    <w:rPr>
                      <w:rFonts w:ascii="Cambria Math" w:hAnsi="Cambria Math"/>
                      <w:sz w:val="14"/>
                    </w:rPr>
                    <m:t>i</m:t>
                  </m:r>
                </m:sub>
              </m:sSub>
            </m:oMath>
            <w:r w:rsidR="00391034" w:rsidRPr="000741F1">
              <w:rPr>
                <w:color w:val="000000"/>
                <w:sz w:val="14"/>
                <w:lang w:eastAsia="en-US"/>
              </w:rPr>
              <w:t xml:space="preserve"> es el ingreso promedio de egresados de </w:t>
            </w:r>
            <w:r w:rsidR="00391034">
              <w:rPr>
                <w:color w:val="000000"/>
                <w:sz w:val="14"/>
                <w:lang w:eastAsia="en-US"/>
              </w:rPr>
              <w:t xml:space="preserve">IES </w:t>
            </w:r>
            <w:r w:rsidR="00391034" w:rsidRPr="000741F1">
              <w:rPr>
                <w:color w:val="000000"/>
                <w:sz w:val="14"/>
                <w:lang w:eastAsia="en-US"/>
              </w:rPr>
              <w:t>públicas.</w:t>
            </w:r>
          </w:p>
          <w:p w14:paraId="4BEA7070" w14:textId="77777777" w:rsidR="00391034" w:rsidRPr="00C72E83" w:rsidRDefault="006920D3" w:rsidP="00391034">
            <w:pPr>
              <w:pStyle w:val="ListParagraph"/>
              <w:numPr>
                <w:ilvl w:val="0"/>
                <w:numId w:val="23"/>
              </w:numPr>
              <w:rPr>
                <w:color w:val="000000"/>
                <w:sz w:val="14"/>
              </w:rPr>
            </w:pPr>
            <m:oMath>
              <m:sSub>
                <m:sSubPr>
                  <m:ctrlPr>
                    <w:rPr>
                      <w:rFonts w:ascii="Cambria Math" w:hAnsi="Cambria Math"/>
                      <w:i/>
                      <w:color w:val="000000"/>
                      <w:sz w:val="14"/>
                      <w:lang w:val="en-US" w:eastAsia="en-US"/>
                    </w:rPr>
                  </m:ctrlPr>
                </m:sSubPr>
                <m:e>
                  <m:r>
                    <w:rPr>
                      <w:rFonts w:ascii="Cambria Math" w:hAnsi="Cambria Math"/>
                      <w:sz w:val="14"/>
                    </w:rPr>
                    <m:t>N</m:t>
                  </m:r>
                </m:e>
                <m:sub>
                  <m:r>
                    <w:rPr>
                      <w:rFonts w:ascii="Cambria Math" w:hAnsi="Cambria Math"/>
                      <w:sz w:val="14"/>
                    </w:rPr>
                    <m:t>i</m:t>
                  </m:r>
                </m:sub>
              </m:sSub>
            </m:oMath>
            <w:r w:rsidR="00391034" w:rsidRPr="000741F1">
              <w:rPr>
                <w:color w:val="000000"/>
                <w:sz w:val="14"/>
                <w:lang w:eastAsia="en-US"/>
              </w:rPr>
              <w:t xml:space="preserve"> es el total de egresados de las </w:t>
            </w:r>
            <w:r w:rsidR="00391034">
              <w:rPr>
                <w:color w:val="000000"/>
                <w:sz w:val="14"/>
                <w:lang w:eastAsia="en-US"/>
              </w:rPr>
              <w:t>IES</w:t>
            </w:r>
            <w:r w:rsidR="00391034" w:rsidRPr="000741F1">
              <w:rPr>
                <w:color w:val="000000"/>
                <w:sz w:val="14"/>
                <w:lang w:eastAsia="en-US"/>
              </w:rPr>
              <w:t xml:space="preserve"> públicas beneficiarias de los proyectos de inversión.</w:t>
            </w:r>
          </w:p>
          <w:p w14:paraId="7BE86432" w14:textId="77777777" w:rsidR="00391034" w:rsidRPr="000741F1" w:rsidRDefault="00391034" w:rsidP="00391034">
            <w:pPr>
              <w:rPr>
                <w:sz w:val="14"/>
                <w:lang w:val="es-ES_tradnl"/>
              </w:rPr>
            </w:pPr>
          </w:p>
        </w:tc>
        <w:tc>
          <w:tcPr>
            <w:tcW w:w="3732" w:type="dxa"/>
          </w:tcPr>
          <w:p w14:paraId="1D58DC2F" w14:textId="77777777" w:rsidR="00391034" w:rsidRPr="00A43491" w:rsidRDefault="00391034" w:rsidP="00391034">
            <w:pPr>
              <w:rPr>
                <w:sz w:val="14"/>
              </w:rPr>
            </w:pPr>
            <w:r w:rsidRPr="00A43491">
              <w:rPr>
                <w:sz w:val="14"/>
              </w:rPr>
              <w:t>Costos Directos:</w:t>
            </w:r>
          </w:p>
          <w:p w14:paraId="7503C107" w14:textId="77777777" w:rsidR="00391034" w:rsidRPr="00A43491" w:rsidRDefault="00391034" w:rsidP="00391034">
            <w:pPr>
              <w:spacing w:before="360"/>
              <w:rPr>
                <w:sz w:val="14"/>
              </w:rPr>
            </w:pPr>
          </w:p>
          <w:p w14:paraId="2C110E19" w14:textId="77777777" w:rsidR="00391034" w:rsidRPr="00A43491" w:rsidRDefault="006920D3" w:rsidP="00391034">
            <w:pPr>
              <w:rPr>
                <w:rFonts w:ascii="Arial" w:hAnsi="Arial" w:cs="Arial"/>
                <w:sz w:val="14"/>
              </w:rPr>
            </w:pPr>
            <m:oMathPara>
              <m:oMath>
                <m:sSub>
                  <m:sSubPr>
                    <m:ctrlPr>
                      <w:rPr>
                        <w:rFonts w:ascii="Cambria Math" w:hAnsi="Cambria Math"/>
                        <w:i/>
                        <w:sz w:val="14"/>
                        <w:szCs w:val="22"/>
                      </w:rPr>
                    </m:ctrlPr>
                  </m:sSubPr>
                  <m:e>
                    <m:r>
                      <m:rPr>
                        <m:sty m:val="bi"/>
                      </m:rPr>
                      <w:rPr>
                        <w:rFonts w:ascii="Cambria Math" w:hAnsi="Cambria Math"/>
                        <w:sz w:val="14"/>
                      </w:rPr>
                      <m:t>costos directos</m:t>
                    </m:r>
                  </m:e>
                  <m:sub>
                    <m:r>
                      <m:rPr>
                        <m:sty m:val="bi"/>
                      </m:rPr>
                      <w:rPr>
                        <w:rFonts w:ascii="Cambria Math" w:hAnsi="Cambria Math"/>
                        <w:sz w:val="14"/>
                      </w:rPr>
                      <m:t>i</m:t>
                    </m:r>
                  </m:sub>
                </m:sSub>
                <m:r>
                  <m:rPr>
                    <m:sty m:val="bi"/>
                  </m:rPr>
                  <w:rPr>
                    <w:rFonts w:ascii="Cambria Math" w:hAnsi="Cambria Math"/>
                    <w:sz w:val="14"/>
                  </w:rPr>
                  <m:t>=</m:t>
                </m:r>
                <m:nary>
                  <m:naryPr>
                    <m:chr m:val="∑"/>
                    <m:limLoc m:val="undOvr"/>
                    <m:ctrlPr>
                      <w:rPr>
                        <w:rFonts w:ascii="Cambria Math" w:hAnsi="Cambria Math"/>
                        <w:i/>
                        <w:sz w:val="14"/>
                      </w:rPr>
                    </m:ctrlPr>
                  </m:naryPr>
                  <m:sub>
                    <m:r>
                      <m:rPr>
                        <m:sty m:val="bi"/>
                      </m:rPr>
                      <w:rPr>
                        <w:rFonts w:ascii="Cambria Math" w:hAnsi="Cambria Math"/>
                        <w:sz w:val="14"/>
                      </w:rPr>
                      <m:t>i=1</m:t>
                    </m:r>
                  </m:sub>
                  <m:sup>
                    <m:r>
                      <m:rPr>
                        <m:sty m:val="bi"/>
                      </m:rPr>
                      <w:rPr>
                        <w:rFonts w:ascii="Cambria Math" w:hAnsi="Cambria Math"/>
                        <w:sz w:val="14"/>
                      </w:rPr>
                      <m:t>N</m:t>
                    </m:r>
                  </m:sup>
                  <m:e>
                    <m:sSub>
                      <m:sSubPr>
                        <m:ctrlPr>
                          <w:rPr>
                            <w:rFonts w:ascii="Cambria Math" w:hAnsi="Cambria Math"/>
                            <w:i/>
                            <w:sz w:val="14"/>
                          </w:rPr>
                        </m:ctrlPr>
                      </m:sSubPr>
                      <m:e>
                        <m:r>
                          <m:rPr>
                            <m:sty m:val="bi"/>
                          </m:rPr>
                          <w:rPr>
                            <w:rFonts w:ascii="Cambria Math" w:hAnsi="Cambria Math"/>
                            <w:sz w:val="14"/>
                          </w:rPr>
                          <m:t>C</m:t>
                        </m:r>
                      </m:e>
                      <m:sub>
                        <m:r>
                          <m:rPr>
                            <m:sty m:val="bi"/>
                          </m:rPr>
                          <w:rPr>
                            <w:rFonts w:ascii="Cambria Math" w:hAnsi="Cambria Math"/>
                            <w:sz w:val="14"/>
                          </w:rPr>
                          <m:t>i</m:t>
                        </m:r>
                      </m:sub>
                    </m:sSub>
                  </m:e>
                </m:nary>
              </m:oMath>
            </m:oMathPara>
          </w:p>
          <w:p w14:paraId="2556A5EE" w14:textId="77777777" w:rsidR="00391034" w:rsidRPr="00A43491" w:rsidRDefault="00391034" w:rsidP="00391034">
            <w:pPr>
              <w:rPr>
                <w:sz w:val="14"/>
              </w:rPr>
            </w:pPr>
          </w:p>
          <w:p w14:paraId="082874EE" w14:textId="77777777" w:rsidR="00391034" w:rsidRPr="007449BB" w:rsidRDefault="00391034" w:rsidP="00391034">
            <w:pPr>
              <w:rPr>
                <w:sz w:val="14"/>
              </w:rPr>
            </w:pPr>
            <w:r w:rsidRPr="007449BB">
              <w:rPr>
                <w:sz w:val="14"/>
              </w:rPr>
              <w:t xml:space="preserve">Donde: </w:t>
            </w:r>
          </w:p>
          <w:p w14:paraId="131A7D4B" w14:textId="77777777" w:rsidR="00391034" w:rsidRPr="007449BB" w:rsidRDefault="00391034" w:rsidP="00391034">
            <w:pPr>
              <w:rPr>
                <w:sz w:val="14"/>
              </w:rPr>
            </w:pPr>
          </w:p>
          <w:p w14:paraId="7A456DE0" w14:textId="77777777" w:rsidR="00391034" w:rsidRPr="007449BB" w:rsidRDefault="00391034" w:rsidP="00391034">
            <w:pPr>
              <w:pStyle w:val="ListParagraph"/>
              <w:numPr>
                <w:ilvl w:val="0"/>
                <w:numId w:val="24"/>
              </w:numPr>
              <w:rPr>
                <w:rFonts w:ascii="Arial" w:hAnsi="Arial" w:cs="Arial"/>
                <w:color w:val="000000"/>
                <w:sz w:val="14"/>
              </w:rPr>
            </w:pPr>
            <m:oMath>
              <m:r>
                <w:rPr>
                  <w:rFonts w:ascii="Cambria Math" w:hAnsi="Cambria Math"/>
                  <w:color w:val="000000"/>
                  <w:sz w:val="14"/>
                  <w:szCs w:val="22"/>
                </w:rPr>
                <m:t>N</m:t>
              </m:r>
            </m:oMath>
            <w:r w:rsidRPr="007449BB">
              <w:rPr>
                <w:color w:val="000000"/>
                <w:sz w:val="14"/>
                <w:szCs w:val="22"/>
              </w:rPr>
              <w:t xml:space="preserve"> es el número de proyectos de inversión en infraestructura que serán financiados por el componente.</w:t>
            </w:r>
          </w:p>
          <w:p w14:paraId="54951D17" w14:textId="77777777" w:rsidR="00391034" w:rsidRPr="007449BB" w:rsidRDefault="00391034" w:rsidP="00391034">
            <w:pPr>
              <w:pStyle w:val="ListParagraph"/>
              <w:numPr>
                <w:ilvl w:val="0"/>
                <w:numId w:val="24"/>
              </w:numPr>
              <w:rPr>
                <w:rFonts w:ascii="Arial" w:hAnsi="Arial" w:cs="Arial"/>
                <w:color w:val="000000"/>
                <w:sz w:val="14"/>
              </w:rPr>
            </w:pPr>
            <m:oMath>
              <m:r>
                <w:rPr>
                  <w:rFonts w:ascii="Cambria Math" w:hAnsi="Cambria Math"/>
                  <w:color w:val="000000"/>
                  <w:sz w:val="14"/>
                  <w:szCs w:val="22"/>
                </w:rPr>
                <m:t>i</m:t>
              </m:r>
            </m:oMath>
            <w:r w:rsidRPr="007449BB">
              <w:rPr>
                <w:color w:val="000000"/>
                <w:sz w:val="14"/>
                <w:szCs w:val="22"/>
              </w:rPr>
              <w:t xml:space="preserve"> es el proyecto financiado, que corresponde a los proyectos que serán ejecutados en universidades públicas e IEST públicos.</w:t>
            </w:r>
          </w:p>
          <w:p w14:paraId="7789D8CA" w14:textId="77777777" w:rsidR="00391034" w:rsidRPr="007449BB" w:rsidRDefault="00391034" w:rsidP="00391034">
            <w:pPr>
              <w:pStyle w:val="ListParagraph"/>
              <w:jc w:val="both"/>
              <w:rPr>
                <w:rFonts w:ascii="Cambria Math" w:hAnsi="Cambria Math"/>
                <w:color w:val="000000"/>
                <w:sz w:val="14"/>
                <w:szCs w:val="22"/>
              </w:rPr>
            </w:pPr>
          </w:p>
          <w:p w14:paraId="7E4EAAA0" w14:textId="77777777" w:rsidR="00391034" w:rsidRPr="008F45BA" w:rsidRDefault="00391034" w:rsidP="00391034">
            <w:pPr>
              <w:rPr>
                <w:sz w:val="14"/>
                <w:lang w:val="es-ES_tradnl"/>
              </w:rPr>
            </w:pPr>
          </w:p>
        </w:tc>
      </w:tr>
    </w:tbl>
    <w:p w14:paraId="369A8FE2" w14:textId="77777777" w:rsidR="00A372F6" w:rsidRPr="00F22036" w:rsidRDefault="00A372F6" w:rsidP="00E62139">
      <w:pPr>
        <w:tabs>
          <w:tab w:val="left" w:pos="180"/>
        </w:tabs>
        <w:spacing w:before="120"/>
        <w:jc w:val="both"/>
        <w:rPr>
          <w:rFonts w:ascii="Arial" w:hAnsi="Arial" w:cs="Arial"/>
          <w:sz w:val="22"/>
          <w:szCs w:val="22"/>
          <w:lang w:val="es-ES"/>
        </w:rPr>
      </w:pPr>
    </w:p>
    <w:sectPr w:rsidR="00A372F6" w:rsidRPr="00F22036">
      <w:footerReference w:type="default" r:id="rId11"/>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99CBF5" w14:textId="77777777" w:rsidR="00AA6279" w:rsidRDefault="00AA6279">
      <w:r>
        <w:separator/>
      </w:r>
    </w:p>
  </w:endnote>
  <w:endnote w:type="continuationSeparator" w:id="0">
    <w:p w14:paraId="408F47CC" w14:textId="77777777" w:rsidR="00AA6279" w:rsidRDefault="00AA62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EE519" w14:textId="1C5CAAF2" w:rsidR="006920D3" w:rsidRDefault="006920D3">
    <w:pPr>
      <w:tabs>
        <w:tab w:val="center" w:pos="4513"/>
        <w:tab w:val="right" w:pos="9026"/>
      </w:tabs>
      <w:jc w:val="right"/>
    </w:pPr>
    <w:r>
      <w:fldChar w:fldCharType="begin"/>
    </w:r>
    <w:r>
      <w:instrText>PAGE</w:instrText>
    </w:r>
    <w:r>
      <w:fldChar w:fldCharType="separate"/>
    </w:r>
    <w:r w:rsidR="00634AFD">
      <w:rPr>
        <w:noProof/>
      </w:rPr>
      <w:t>20</w:t>
    </w:r>
    <w:r>
      <w:fldChar w:fldCharType="end"/>
    </w:r>
  </w:p>
  <w:p w14:paraId="4A67AA00" w14:textId="77777777" w:rsidR="006920D3" w:rsidRDefault="006920D3">
    <w:pPr>
      <w:tabs>
        <w:tab w:val="center" w:pos="4513"/>
        <w:tab w:val="right" w:pos="9026"/>
      </w:tabs>
      <w:spacing w:after="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D6C6E" w14:textId="77777777" w:rsidR="00AA6279" w:rsidRDefault="00AA6279">
      <w:r>
        <w:separator/>
      </w:r>
    </w:p>
  </w:footnote>
  <w:footnote w:type="continuationSeparator" w:id="0">
    <w:p w14:paraId="34D86BF8" w14:textId="77777777" w:rsidR="00AA6279" w:rsidRDefault="00AA6279">
      <w:r>
        <w:continuationSeparator/>
      </w:r>
    </w:p>
  </w:footnote>
  <w:footnote w:id="1">
    <w:p w14:paraId="607B16D4" w14:textId="77777777" w:rsidR="006920D3" w:rsidRPr="008E0255" w:rsidRDefault="006920D3" w:rsidP="00CE7AB7">
      <w:pPr>
        <w:jc w:val="both"/>
        <w:rPr>
          <w:rFonts w:ascii="Arial" w:hAnsi="Arial" w:cs="Arial"/>
          <w:sz w:val="18"/>
          <w:szCs w:val="18"/>
          <w:lang w:val="es-ES_tradnl"/>
        </w:rPr>
      </w:pPr>
      <w:r w:rsidRPr="008E0255">
        <w:rPr>
          <w:rFonts w:ascii="Arial" w:hAnsi="Arial" w:cs="Arial"/>
          <w:sz w:val="18"/>
          <w:szCs w:val="18"/>
          <w:vertAlign w:val="superscript"/>
        </w:rPr>
        <w:footnoteRef/>
      </w:r>
      <w:r w:rsidRPr="008E0255">
        <w:rPr>
          <w:rFonts w:ascii="Arial" w:hAnsi="Arial" w:cs="Arial"/>
          <w:sz w:val="18"/>
          <w:szCs w:val="18"/>
          <w:lang w:val="es-ES_tradnl"/>
        </w:rPr>
        <w:t xml:space="preserve"> Así, se aprobó la Ley Universitaria (Ley 30220) en el 2014 para dar el inicio a la Reforma Universitaria y la Ley de Institutos y Escuelas de Educación Superior (Ley 30512) en el 2016 con el objetivo de dar una mayor y mejor transición por los diferentes niveles formativos, el aseguramiento de condiciones básicas de calidad con un mejor sistema de incentivos para los docentes y la revalorización de la educación técnica y superior tecnológica y pedagógica.</w:t>
      </w:r>
    </w:p>
  </w:footnote>
  <w:footnote w:id="2">
    <w:p w14:paraId="6D27B92D" w14:textId="77777777" w:rsidR="006920D3" w:rsidRPr="00CE7AB7" w:rsidRDefault="006920D3" w:rsidP="00CE7AB7">
      <w:pPr>
        <w:jc w:val="both"/>
        <w:rPr>
          <w:sz w:val="20"/>
          <w:szCs w:val="20"/>
          <w:lang w:val="es-ES_tradnl"/>
        </w:rPr>
      </w:pPr>
      <w:r w:rsidRPr="008E0255">
        <w:rPr>
          <w:rFonts w:ascii="Arial" w:hAnsi="Arial" w:cs="Arial"/>
          <w:sz w:val="18"/>
          <w:szCs w:val="18"/>
          <w:vertAlign w:val="superscript"/>
        </w:rPr>
        <w:footnoteRef/>
      </w:r>
      <w:r w:rsidRPr="008E0255">
        <w:rPr>
          <w:rFonts w:ascii="Arial" w:hAnsi="Arial" w:cs="Arial"/>
          <w:sz w:val="18"/>
          <w:szCs w:val="18"/>
          <w:lang w:val="es-ES_tradnl"/>
        </w:rPr>
        <w:t xml:space="preserve"> Ley para Promover la Inversión en Educación (LPIE)</w:t>
      </w:r>
    </w:p>
  </w:footnote>
  <w:footnote w:id="3">
    <w:p w14:paraId="27F7DE59" w14:textId="77777777" w:rsidR="006920D3" w:rsidRPr="008E0255" w:rsidRDefault="006920D3" w:rsidP="00CE7AB7">
      <w:pPr>
        <w:jc w:val="both"/>
        <w:rPr>
          <w:rFonts w:ascii="Arial" w:hAnsi="Arial" w:cs="Arial"/>
          <w:sz w:val="18"/>
          <w:szCs w:val="18"/>
          <w:lang w:val="es-ES_tradnl"/>
        </w:rPr>
      </w:pPr>
      <w:r w:rsidRPr="008E0255">
        <w:rPr>
          <w:rFonts w:ascii="Arial" w:hAnsi="Arial" w:cs="Arial"/>
          <w:sz w:val="18"/>
          <w:szCs w:val="18"/>
          <w:vertAlign w:val="superscript"/>
        </w:rPr>
        <w:footnoteRef/>
      </w:r>
      <w:r w:rsidRPr="008E0255">
        <w:rPr>
          <w:rFonts w:ascii="Arial" w:hAnsi="Arial" w:cs="Arial"/>
          <w:sz w:val="18"/>
          <w:szCs w:val="18"/>
          <w:lang w:val="es-ES_tradnl"/>
        </w:rPr>
        <w:t xml:space="preserve"> Caselli et al (2014).</w:t>
      </w:r>
    </w:p>
  </w:footnote>
  <w:footnote w:id="4">
    <w:p w14:paraId="05D6912C" w14:textId="1BF99EBF" w:rsidR="006920D3" w:rsidRPr="006643B3" w:rsidRDefault="006920D3" w:rsidP="006643B3">
      <w:pPr>
        <w:pStyle w:val="FootnoteText"/>
        <w:jc w:val="both"/>
      </w:pPr>
      <w:r>
        <w:rPr>
          <w:rStyle w:val="FootnoteReference"/>
        </w:rPr>
        <w:footnoteRef/>
      </w:r>
      <w:r>
        <w:t xml:space="preserve"> </w:t>
      </w:r>
      <w:r w:rsidRPr="006643B3">
        <w:rPr>
          <w:rFonts w:ascii="Arial" w:hAnsi="Arial" w:cs="Arial"/>
          <w:color w:val="000000"/>
          <w:sz w:val="18"/>
          <w:szCs w:val="18"/>
          <w:lang w:eastAsia="en-US"/>
        </w:rPr>
        <w:t>Como se menciona en el POD, adicional a los 3 componentes del programa, se consideran actividades de Gestión, monitoreo, evaluación y auditoría.</w:t>
      </w:r>
    </w:p>
  </w:footnote>
  <w:footnote w:id="5">
    <w:p w14:paraId="6B19BE7E" w14:textId="77777777" w:rsidR="006920D3" w:rsidRPr="002B5F40" w:rsidRDefault="006920D3" w:rsidP="002B5F40">
      <w:pPr>
        <w:pStyle w:val="FootnoteText"/>
        <w:jc w:val="both"/>
        <w:rPr>
          <w:rFonts w:ascii="Arial" w:hAnsi="Arial" w:cs="Arial"/>
          <w:sz w:val="18"/>
          <w:szCs w:val="18"/>
        </w:rPr>
      </w:pPr>
      <w:r w:rsidRPr="002B5F40">
        <w:rPr>
          <w:rStyle w:val="FootnoteReference"/>
          <w:rFonts w:ascii="Arial" w:hAnsi="Arial" w:cs="Arial"/>
          <w:sz w:val="18"/>
          <w:szCs w:val="18"/>
        </w:rPr>
        <w:footnoteRef/>
      </w:r>
      <w:r w:rsidRPr="002B5F40">
        <w:rPr>
          <w:rFonts w:ascii="Arial" w:hAnsi="Arial" w:cs="Arial"/>
          <w:sz w:val="18"/>
          <w:szCs w:val="18"/>
        </w:rPr>
        <w:t xml:space="preserve"> En las siguientes secciones se detalla cómo se considera el efecto de cada uno de los componentes sobre los costos y los beneficios del presente análisis.</w:t>
      </w:r>
    </w:p>
  </w:footnote>
  <w:footnote w:id="6">
    <w:p w14:paraId="55ADD086" w14:textId="77777777" w:rsidR="006920D3" w:rsidRPr="002B5F40" w:rsidRDefault="006920D3" w:rsidP="002B5F40">
      <w:pPr>
        <w:jc w:val="both"/>
        <w:rPr>
          <w:rFonts w:ascii="Arial" w:hAnsi="Arial" w:cs="Arial"/>
          <w:sz w:val="18"/>
          <w:szCs w:val="18"/>
        </w:rPr>
      </w:pPr>
      <w:r w:rsidRPr="002B5F40">
        <w:rPr>
          <w:rFonts w:ascii="Arial" w:hAnsi="Arial" w:cs="Arial"/>
          <w:sz w:val="18"/>
          <w:szCs w:val="18"/>
          <w:vertAlign w:val="superscript"/>
        </w:rPr>
        <w:footnoteRef/>
      </w:r>
      <w:r w:rsidRPr="002B5F40">
        <w:rPr>
          <w:rFonts w:ascii="Arial" w:hAnsi="Arial" w:cs="Arial"/>
          <w:sz w:val="18"/>
          <w:szCs w:val="18"/>
        </w:rPr>
        <w:t xml:space="preserve"> </w:t>
      </w:r>
      <w:r w:rsidRPr="002B5F40">
        <w:rPr>
          <w:rFonts w:ascii="Arial" w:eastAsia="Arial" w:hAnsi="Arial" w:cs="Arial"/>
          <w:sz w:val="18"/>
          <w:szCs w:val="18"/>
        </w:rPr>
        <w:t>Dhaliwal et al, (2012), Comparative Cost-Effectiveness Analysis to Inform Policy in Developing Countries: A General Framework with Applications for Education.</w:t>
      </w:r>
    </w:p>
  </w:footnote>
  <w:footnote w:id="7">
    <w:p w14:paraId="08257C20" w14:textId="5AB59067" w:rsidR="006920D3" w:rsidRPr="002B5F40" w:rsidRDefault="006920D3" w:rsidP="002B5F40">
      <w:pPr>
        <w:spacing w:before="120"/>
        <w:contextualSpacing/>
        <w:jc w:val="both"/>
        <w:rPr>
          <w:rFonts w:ascii="Arial" w:hAnsi="Arial" w:cs="Arial"/>
          <w:sz w:val="18"/>
          <w:szCs w:val="18"/>
          <w:lang w:val="es-ES_tradnl"/>
        </w:rPr>
      </w:pPr>
      <w:r w:rsidRPr="002B5F40">
        <w:rPr>
          <w:rFonts w:ascii="Arial" w:hAnsi="Arial" w:cs="Arial"/>
          <w:sz w:val="18"/>
          <w:szCs w:val="18"/>
          <w:vertAlign w:val="superscript"/>
        </w:rPr>
        <w:footnoteRef/>
      </w:r>
      <w:r w:rsidRPr="002B5F40">
        <w:rPr>
          <w:rFonts w:ascii="Arial" w:hAnsi="Arial" w:cs="Arial"/>
          <w:sz w:val="18"/>
          <w:szCs w:val="18"/>
          <w:lang w:val="es-ES_tradnl"/>
        </w:rPr>
        <w:t xml:space="preserve"> Según proyecciones del Ministerio de Economía y Finanzas (MEF) en su Marco Macroeconómico Multianual (MMM).</w:t>
      </w:r>
    </w:p>
  </w:footnote>
  <w:footnote w:id="8">
    <w:p w14:paraId="21178A21" w14:textId="5DF724B6" w:rsidR="006920D3" w:rsidRPr="00ED5478" w:rsidRDefault="006920D3" w:rsidP="002B5F40">
      <w:pPr>
        <w:contextualSpacing/>
        <w:jc w:val="both"/>
        <w:rPr>
          <w:rFonts w:ascii="Arial" w:eastAsia="Arial" w:hAnsi="Arial" w:cs="Arial"/>
          <w:sz w:val="22"/>
          <w:szCs w:val="22"/>
          <w:lang w:val="es-ES_tradnl"/>
        </w:rPr>
      </w:pPr>
      <w:r w:rsidRPr="002B5F40">
        <w:rPr>
          <w:rStyle w:val="FootnoteReference"/>
          <w:rFonts w:ascii="Arial" w:hAnsi="Arial" w:cs="Arial"/>
          <w:sz w:val="18"/>
          <w:szCs w:val="18"/>
        </w:rPr>
        <w:footnoteRef/>
      </w:r>
      <w:r w:rsidRPr="002B5F40">
        <w:rPr>
          <w:rFonts w:ascii="Arial" w:hAnsi="Arial" w:cs="Arial"/>
          <w:sz w:val="18"/>
          <w:szCs w:val="18"/>
          <w:lang w:val="es-ES_tradnl"/>
        </w:rPr>
        <w:t xml:space="preserve"> En el presente análisis económico no se consideran beneficios directos y cuantificables en términos de ingresos de los egresados beneficiarios del programa en el caso del componente </w:t>
      </w:r>
      <w:r>
        <w:rPr>
          <w:rFonts w:ascii="Arial" w:hAnsi="Arial" w:cs="Arial"/>
          <w:sz w:val="18"/>
          <w:szCs w:val="18"/>
          <w:lang w:val="es-ES_tradnl"/>
        </w:rPr>
        <w:t xml:space="preserve">1 </w:t>
      </w:r>
      <w:r w:rsidRPr="002B5F40">
        <w:rPr>
          <w:rFonts w:ascii="Arial" w:hAnsi="Arial" w:cs="Arial"/>
          <w:sz w:val="18"/>
          <w:szCs w:val="18"/>
          <w:lang w:val="es-ES_tradnl"/>
        </w:rPr>
        <w:t xml:space="preserve">de </w:t>
      </w:r>
      <w:r w:rsidRPr="002B5F40">
        <w:rPr>
          <w:rFonts w:ascii="Arial" w:hAnsi="Arial" w:cs="Arial"/>
          <w:i/>
          <w:sz w:val="18"/>
          <w:szCs w:val="18"/>
          <w:lang w:val="es-ES_tradnl"/>
        </w:rPr>
        <w:t>Generación de conocimiento e información para un mejor diseño de las políticas de fomento de la calidad y la pertinencia</w:t>
      </w:r>
      <w:r>
        <w:rPr>
          <w:rFonts w:ascii="Arial" w:hAnsi="Arial" w:cs="Arial"/>
          <w:sz w:val="18"/>
          <w:szCs w:val="18"/>
          <w:lang w:val="es-ES_tradnl"/>
        </w:rPr>
        <w:t xml:space="preserve"> ni de las actividades de Gestión, monitoreo, evaluación y auditoría.</w:t>
      </w:r>
    </w:p>
  </w:footnote>
  <w:footnote w:id="9">
    <w:p w14:paraId="1F1AD7CD" w14:textId="77777777" w:rsidR="006920D3" w:rsidRPr="002B159F" w:rsidRDefault="006920D3" w:rsidP="00D05043">
      <w:pPr>
        <w:pStyle w:val="FootnoteText"/>
        <w:jc w:val="both"/>
        <w:rPr>
          <w:rFonts w:ascii="Arial" w:hAnsi="Arial" w:cs="Arial"/>
          <w:sz w:val="18"/>
          <w:szCs w:val="18"/>
        </w:rPr>
      </w:pPr>
      <w:r w:rsidRPr="002B159F">
        <w:rPr>
          <w:rStyle w:val="FootnoteReference"/>
          <w:rFonts w:ascii="Arial" w:hAnsi="Arial" w:cs="Arial"/>
          <w:sz w:val="18"/>
          <w:szCs w:val="18"/>
        </w:rPr>
        <w:footnoteRef/>
      </w:r>
      <w:r w:rsidRPr="002B159F">
        <w:rPr>
          <w:rFonts w:ascii="Arial" w:hAnsi="Arial" w:cs="Arial"/>
          <w:sz w:val="18"/>
          <w:szCs w:val="18"/>
        </w:rPr>
        <w:t xml:space="preserve"> </w:t>
      </w:r>
      <w:r w:rsidRPr="002B159F">
        <w:rPr>
          <w:rFonts w:ascii="Arial" w:hAnsi="Arial" w:cs="Arial"/>
          <w:color w:val="000000"/>
          <w:sz w:val="18"/>
          <w:szCs w:val="18"/>
          <w:lang w:eastAsia="en-US"/>
        </w:rPr>
        <w:t>Los datos desagregados por año del número de beneficiarios por componente se presentan en el Cuadro A1 y A2 en Anexos.</w:t>
      </w:r>
    </w:p>
  </w:footnote>
  <w:footnote w:id="10">
    <w:p w14:paraId="63D595B5" w14:textId="2999A8CB" w:rsidR="006920D3" w:rsidRPr="00D503A4" w:rsidRDefault="006920D3" w:rsidP="00D503A4">
      <w:pPr>
        <w:pStyle w:val="FootnoteText"/>
        <w:jc w:val="both"/>
      </w:pPr>
      <w:r w:rsidRPr="002B159F">
        <w:rPr>
          <w:rStyle w:val="FootnoteReference"/>
          <w:rFonts w:ascii="Arial" w:hAnsi="Arial" w:cs="Arial"/>
          <w:sz w:val="18"/>
          <w:szCs w:val="18"/>
        </w:rPr>
        <w:footnoteRef/>
      </w:r>
      <w:r w:rsidRPr="002B159F">
        <w:rPr>
          <w:rFonts w:ascii="Arial" w:hAnsi="Arial" w:cs="Arial"/>
          <w:sz w:val="18"/>
          <w:szCs w:val="18"/>
        </w:rPr>
        <w:t xml:space="preserve"> </w:t>
      </w:r>
      <w:r w:rsidRPr="002B159F">
        <w:rPr>
          <w:rFonts w:ascii="Arial" w:hAnsi="Arial" w:cs="Arial"/>
          <w:color w:val="000000"/>
          <w:sz w:val="18"/>
          <w:szCs w:val="18"/>
          <w:lang w:eastAsia="en-US"/>
        </w:rPr>
        <w:t>Otros factores también discutidos en la literatura son: i) tiempo de espera para insertarse en el mercado laboral</w:t>
      </w:r>
      <w:r>
        <w:rPr>
          <w:rFonts w:ascii="Arial" w:hAnsi="Arial" w:cs="Arial"/>
          <w:color w:val="000000"/>
          <w:sz w:val="18"/>
          <w:szCs w:val="18"/>
          <w:lang w:eastAsia="en-US"/>
        </w:rPr>
        <w:t xml:space="preserve"> y ii</w:t>
      </w:r>
      <w:r w:rsidRPr="002B159F">
        <w:rPr>
          <w:rFonts w:ascii="Arial" w:hAnsi="Arial" w:cs="Arial"/>
          <w:color w:val="000000"/>
          <w:sz w:val="18"/>
          <w:szCs w:val="18"/>
          <w:lang w:eastAsia="en-US"/>
        </w:rPr>
        <w:t>) subempleo.</w:t>
      </w:r>
    </w:p>
  </w:footnote>
  <w:footnote w:id="11">
    <w:p w14:paraId="3148FB3F" w14:textId="371C38C9" w:rsidR="006920D3" w:rsidRPr="0096055F" w:rsidRDefault="006920D3" w:rsidP="0096055F">
      <w:pPr>
        <w:pStyle w:val="FootnoteText"/>
        <w:jc w:val="both"/>
        <w:rPr>
          <w:rFonts w:ascii="Arial" w:hAnsi="Arial" w:cs="Arial"/>
          <w:lang w:val="es-ES"/>
        </w:rPr>
      </w:pPr>
      <w:r w:rsidRPr="0096055F">
        <w:rPr>
          <w:rStyle w:val="FootnoteReference"/>
          <w:rFonts w:ascii="Arial" w:hAnsi="Arial" w:cs="Arial"/>
        </w:rPr>
        <w:footnoteRef/>
      </w:r>
      <w:r w:rsidRPr="0096055F">
        <w:rPr>
          <w:rFonts w:ascii="Arial" w:hAnsi="Arial" w:cs="Arial"/>
        </w:rPr>
        <w:t xml:space="preserve"> </w:t>
      </w:r>
      <w:r w:rsidRPr="00B23B57">
        <w:rPr>
          <w:rFonts w:ascii="Arial" w:hAnsi="Arial" w:cs="Arial"/>
          <w:sz w:val="18"/>
          <w:szCs w:val="18"/>
          <w:lang w:val="es-ES"/>
        </w:rPr>
        <w:t>Lavado (2016) brinda una serie de recomendaciones de política para reducir la informalidad, así como analiza el comportamiento histórico de la misma. Ver http://focoeconomico.org/2016/08/26/siete-pasos-para-la-competitividad-y-productividad-ii/</w:t>
      </w:r>
    </w:p>
  </w:footnote>
  <w:footnote w:id="12">
    <w:p w14:paraId="13DD307A" w14:textId="246A6419" w:rsidR="006920D3" w:rsidRPr="00964A6A" w:rsidRDefault="006920D3" w:rsidP="006D7C2C">
      <w:pPr>
        <w:pStyle w:val="FootnoteText"/>
        <w:jc w:val="both"/>
      </w:pPr>
      <w:r w:rsidRPr="006D7C2C">
        <w:rPr>
          <w:rStyle w:val="FootnoteReference"/>
          <w:rFonts w:ascii="Arial" w:hAnsi="Arial" w:cs="Arial"/>
          <w:sz w:val="18"/>
          <w:szCs w:val="18"/>
        </w:rPr>
        <w:footnoteRef/>
      </w:r>
      <w:r w:rsidRPr="006D7C2C">
        <w:rPr>
          <w:rStyle w:val="FootnoteReference"/>
          <w:rFonts w:ascii="Arial" w:hAnsi="Arial" w:cs="Arial"/>
          <w:sz w:val="18"/>
          <w:szCs w:val="18"/>
        </w:rPr>
        <w:t xml:space="preserve"> </w:t>
      </w:r>
      <w:r w:rsidRPr="006D7C2C">
        <w:rPr>
          <w:rStyle w:val="FootnoteReference"/>
          <w:rFonts w:ascii="Arial" w:hAnsi="Arial" w:cs="Arial"/>
          <w:sz w:val="18"/>
          <w:szCs w:val="18"/>
          <w:vertAlign w:val="baseline"/>
        </w:rPr>
        <w:t xml:space="preserve">Solo las </w:t>
      </w:r>
      <w:r>
        <w:rPr>
          <w:rStyle w:val="FootnoteReference"/>
          <w:rFonts w:ascii="Arial" w:hAnsi="Arial" w:cs="Arial"/>
          <w:sz w:val="18"/>
          <w:szCs w:val="18"/>
          <w:vertAlign w:val="baseline"/>
        </w:rPr>
        <w:t>9</w:t>
      </w:r>
      <w:r w:rsidRPr="006D7C2C">
        <w:rPr>
          <w:rStyle w:val="FootnoteReference"/>
          <w:rFonts w:ascii="Arial" w:hAnsi="Arial" w:cs="Arial"/>
          <w:sz w:val="18"/>
          <w:szCs w:val="18"/>
          <w:vertAlign w:val="baseline"/>
        </w:rPr>
        <w:t xml:space="preserve"> IES públicas serán las beneficiadas a través de este componente.</w:t>
      </w:r>
    </w:p>
  </w:footnote>
  <w:footnote w:id="13">
    <w:p w14:paraId="0F7C40C5" w14:textId="36E1FB13" w:rsidR="006920D3" w:rsidRPr="001E3E44" w:rsidRDefault="006920D3" w:rsidP="001E3E44">
      <w:pPr>
        <w:pStyle w:val="ListParagraph"/>
        <w:ind w:left="0"/>
        <w:jc w:val="both"/>
        <w:rPr>
          <w:rStyle w:val="FootnoteReference"/>
          <w:rFonts w:ascii="Arial" w:eastAsia="Arial" w:hAnsi="Arial" w:cs="Arial"/>
          <w:sz w:val="22"/>
          <w:szCs w:val="22"/>
          <w:vertAlign w:val="baseline"/>
        </w:rPr>
      </w:pPr>
      <w:r w:rsidRPr="00286C40">
        <w:rPr>
          <w:rStyle w:val="FootnoteReference"/>
        </w:rPr>
        <w:footnoteRef/>
      </w:r>
      <w:r w:rsidRPr="00286C40">
        <w:t xml:space="preserve"> </w:t>
      </w:r>
      <w:r w:rsidRPr="00286C40">
        <w:rPr>
          <w:rStyle w:val="FootnoteReference"/>
          <w:rFonts w:ascii="Arial" w:hAnsi="Arial" w:cs="Arial"/>
          <w:sz w:val="18"/>
          <w:szCs w:val="18"/>
          <w:vertAlign w:val="baseline"/>
        </w:rPr>
        <w:t xml:space="preserve">Es importante mencionar que para calcular los costos de los componentes </w:t>
      </w:r>
      <w:r w:rsidRPr="00286C40">
        <w:rPr>
          <w:rFonts w:ascii="Arial" w:hAnsi="Arial" w:cs="Arial"/>
          <w:sz w:val="18"/>
          <w:szCs w:val="18"/>
        </w:rPr>
        <w:t xml:space="preserve">2 y 3 </w:t>
      </w:r>
      <w:r w:rsidRPr="00286C40">
        <w:rPr>
          <w:rStyle w:val="FootnoteReference"/>
          <w:rFonts w:ascii="Arial" w:hAnsi="Arial" w:cs="Arial"/>
          <w:sz w:val="18"/>
          <w:szCs w:val="18"/>
          <w:vertAlign w:val="baseline"/>
        </w:rPr>
        <w:t>del programa</w:t>
      </w:r>
      <w:r w:rsidRPr="00286C40">
        <w:rPr>
          <w:rFonts w:ascii="Arial" w:hAnsi="Arial" w:cs="Arial"/>
          <w:sz w:val="18"/>
          <w:szCs w:val="18"/>
        </w:rPr>
        <w:t>,</w:t>
      </w:r>
      <w:r w:rsidRPr="00286C40">
        <w:rPr>
          <w:rStyle w:val="FootnoteReference"/>
          <w:rFonts w:ascii="Arial" w:hAnsi="Arial" w:cs="Arial"/>
          <w:sz w:val="18"/>
          <w:szCs w:val="18"/>
          <w:vertAlign w:val="baseline"/>
        </w:rPr>
        <w:t xml:space="preserve"> se han considerado costos correspondientes a operación y mantenimiento durante el periodo de post-inversión. Estos costos fueron calculados tomando como referencia los costos de estos rubros en proyectos similares.</w:t>
      </w:r>
    </w:p>
    <w:p w14:paraId="4EE13E9A" w14:textId="499B0575" w:rsidR="006920D3" w:rsidRPr="003A52C9" w:rsidRDefault="006920D3">
      <w:pPr>
        <w:pStyle w:val="FootnoteText"/>
      </w:pPr>
    </w:p>
  </w:footnote>
  <w:footnote w:id="14">
    <w:p w14:paraId="27996521" w14:textId="77777777" w:rsidR="006920D3" w:rsidRPr="008E0255" w:rsidRDefault="006920D3">
      <w:pPr>
        <w:pStyle w:val="FootnoteText"/>
        <w:rPr>
          <w:rFonts w:ascii="Arial" w:hAnsi="Arial" w:cs="Arial"/>
          <w:sz w:val="18"/>
          <w:szCs w:val="18"/>
        </w:rPr>
      </w:pPr>
      <w:r w:rsidRPr="008E0255">
        <w:rPr>
          <w:rStyle w:val="FootnoteReference"/>
          <w:rFonts w:ascii="Arial" w:hAnsi="Arial" w:cs="Arial"/>
          <w:sz w:val="18"/>
          <w:szCs w:val="18"/>
        </w:rPr>
        <w:footnoteRef/>
      </w:r>
      <w:r w:rsidRPr="008E0255">
        <w:rPr>
          <w:rFonts w:ascii="Arial" w:hAnsi="Arial" w:cs="Arial"/>
          <w:sz w:val="18"/>
          <w:szCs w:val="18"/>
        </w:rPr>
        <w:t xml:space="preserve"> Sifuentes y Acosta (2010), Robles y González (2008). </w:t>
      </w:r>
    </w:p>
  </w:footnote>
  <w:footnote w:id="15">
    <w:p w14:paraId="42C96E4B" w14:textId="77777777" w:rsidR="006920D3" w:rsidRPr="008E0255" w:rsidRDefault="006920D3">
      <w:pPr>
        <w:pStyle w:val="FootnoteText"/>
        <w:rPr>
          <w:rFonts w:ascii="Arial" w:hAnsi="Arial" w:cs="Arial"/>
          <w:sz w:val="18"/>
          <w:szCs w:val="18"/>
        </w:rPr>
      </w:pPr>
      <w:r w:rsidRPr="008E0255">
        <w:rPr>
          <w:rStyle w:val="FootnoteReference"/>
          <w:rFonts w:ascii="Arial" w:hAnsi="Arial" w:cs="Arial"/>
          <w:sz w:val="18"/>
          <w:szCs w:val="18"/>
        </w:rPr>
        <w:footnoteRef/>
      </w:r>
      <w:r w:rsidRPr="008E0255">
        <w:rPr>
          <w:rFonts w:ascii="Arial" w:hAnsi="Arial" w:cs="Arial"/>
          <w:sz w:val="18"/>
          <w:szCs w:val="18"/>
        </w:rPr>
        <w:t xml:space="preserve"> “Aprendizajes en las escuelas del Siglo XXI”</w:t>
      </w:r>
    </w:p>
  </w:footnote>
  <w:footnote w:id="16">
    <w:p w14:paraId="4498FBC7" w14:textId="77777777" w:rsidR="006920D3" w:rsidRPr="00150D76" w:rsidRDefault="006920D3" w:rsidP="00150D76">
      <w:pPr>
        <w:pStyle w:val="FootnoteText"/>
        <w:jc w:val="both"/>
      </w:pPr>
      <w:r w:rsidRPr="008E0255">
        <w:rPr>
          <w:rStyle w:val="FootnoteReference"/>
          <w:rFonts w:ascii="Arial" w:hAnsi="Arial" w:cs="Arial"/>
          <w:sz w:val="18"/>
          <w:szCs w:val="18"/>
        </w:rPr>
        <w:footnoteRef/>
      </w:r>
      <w:r w:rsidRPr="008E0255">
        <w:rPr>
          <w:rFonts w:ascii="Arial" w:hAnsi="Arial" w:cs="Arial"/>
          <w:sz w:val="18"/>
          <w:szCs w:val="18"/>
        </w:rPr>
        <w:t xml:space="preserve"> Una universidad institucionalizada es aquella que está en camino de adecuarse a la nueva ley universitaria y que tiene a todas sus autoridades elegidas democráticamente.</w:t>
      </w:r>
    </w:p>
  </w:footnote>
  <w:footnote w:id="17">
    <w:p w14:paraId="3BFFD48A" w14:textId="77777777" w:rsidR="006920D3" w:rsidRPr="00B963FC" w:rsidRDefault="006920D3" w:rsidP="00B963FC">
      <w:pPr>
        <w:pStyle w:val="FootnoteText"/>
        <w:jc w:val="both"/>
        <w:rPr>
          <w:rFonts w:ascii="Arial" w:hAnsi="Arial" w:cs="Arial"/>
          <w:sz w:val="18"/>
          <w:szCs w:val="18"/>
        </w:rPr>
      </w:pPr>
      <w:r w:rsidRPr="00B963FC">
        <w:rPr>
          <w:rStyle w:val="FootnoteReference"/>
          <w:rFonts w:ascii="Arial" w:hAnsi="Arial" w:cs="Arial"/>
          <w:sz w:val="18"/>
          <w:szCs w:val="18"/>
        </w:rPr>
        <w:footnoteRef/>
      </w:r>
      <w:r w:rsidRPr="00B963FC">
        <w:rPr>
          <w:rFonts w:ascii="Arial" w:hAnsi="Arial" w:cs="Arial"/>
          <w:sz w:val="18"/>
          <w:szCs w:val="18"/>
        </w:rPr>
        <w:t xml:space="preserve"> </w:t>
      </w:r>
      <w:r w:rsidRPr="00B963FC">
        <w:rPr>
          <w:rFonts w:ascii="Arial" w:eastAsia="Arial" w:hAnsi="Arial" w:cs="Arial"/>
          <w:sz w:val="18"/>
          <w:szCs w:val="18"/>
        </w:rPr>
        <w:t>Véase por ejemplo el programa “Mejoramiento de la calidad en la educación superior en el Perú” (ProCalidad).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5B5322"/>
    <w:multiLevelType w:val="multilevel"/>
    <w:tmpl w:val="9500A538"/>
    <w:lvl w:ilvl="0">
      <w:start w:val="1"/>
      <w:numFmt w:val="decimal"/>
      <w:lvlText w:val="%1."/>
      <w:lvlJc w:val="left"/>
      <w:pPr>
        <w:ind w:left="720" w:hanging="360"/>
      </w:pPr>
      <w:rPr>
        <w:b w:val="0"/>
        <w:color w:val="000000"/>
      </w:rPr>
    </w:lvl>
    <w:lvl w:ilvl="1">
      <w:start w:val="1"/>
      <w:numFmt w:val="upperRoman"/>
      <w:lvlText w:val="%2."/>
      <w:lvlJc w:val="right"/>
      <w:pPr>
        <w:ind w:left="1350" w:hanging="360"/>
      </w:pPr>
    </w:lvl>
    <w:lvl w:ilvl="2">
      <w:start w:val="1"/>
      <w:numFmt w:val="bullet"/>
      <w:lvlText w:val="●"/>
      <w:lvlJc w:val="left"/>
      <w:pPr>
        <w:ind w:left="80" w:hanging="36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FE048D3"/>
    <w:multiLevelType w:val="hybridMultilevel"/>
    <w:tmpl w:val="23C496DA"/>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E26801"/>
    <w:multiLevelType w:val="hybridMultilevel"/>
    <w:tmpl w:val="FD0AF61E"/>
    <w:lvl w:ilvl="0" w:tplc="F3689174">
      <w:start w:val="1"/>
      <w:numFmt w:val="decimal"/>
      <w:lvlText w:val="%1."/>
      <w:lvlJc w:val="left"/>
      <w:pPr>
        <w:ind w:left="360" w:hanging="360"/>
      </w:pPr>
      <w:rPr>
        <w:rFonts w:hint="default"/>
        <w:b w:val="0"/>
        <w:color w:val="auto"/>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170CDC"/>
    <w:multiLevelType w:val="hybridMultilevel"/>
    <w:tmpl w:val="89BEDB6C"/>
    <w:lvl w:ilvl="0" w:tplc="0409000F">
      <w:start w:val="5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F369DA"/>
    <w:multiLevelType w:val="hybridMultilevel"/>
    <w:tmpl w:val="54AA83A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ECD6182"/>
    <w:multiLevelType w:val="hybridMultilevel"/>
    <w:tmpl w:val="6D10849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20ED6ED8"/>
    <w:multiLevelType w:val="hybridMultilevel"/>
    <w:tmpl w:val="B1022286"/>
    <w:lvl w:ilvl="0" w:tplc="0409000F">
      <w:start w:val="4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971668"/>
    <w:multiLevelType w:val="hybridMultilevel"/>
    <w:tmpl w:val="9050B7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3C165D46"/>
    <w:multiLevelType w:val="hybridMultilevel"/>
    <w:tmpl w:val="EE664FBC"/>
    <w:lvl w:ilvl="0" w:tplc="0409000F">
      <w:start w:val="6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46731B"/>
    <w:multiLevelType w:val="multilevel"/>
    <w:tmpl w:val="4E5A27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1" w15:restartNumberingAfterBreak="0">
    <w:nsid w:val="488E3E5C"/>
    <w:multiLevelType w:val="hybridMultilevel"/>
    <w:tmpl w:val="AD3A1EFA"/>
    <w:lvl w:ilvl="0" w:tplc="0409000F">
      <w:start w:val="5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194B2B"/>
    <w:multiLevelType w:val="hybridMultilevel"/>
    <w:tmpl w:val="91C82A1C"/>
    <w:lvl w:ilvl="0" w:tplc="0409000F">
      <w:start w:val="43"/>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C67471"/>
    <w:multiLevelType w:val="hybridMultilevel"/>
    <w:tmpl w:val="7540990C"/>
    <w:lvl w:ilvl="0" w:tplc="0409000F">
      <w:start w:val="5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6432A3"/>
    <w:multiLevelType w:val="hybridMultilevel"/>
    <w:tmpl w:val="246A51DC"/>
    <w:lvl w:ilvl="0" w:tplc="0409000F">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E16EE5"/>
    <w:multiLevelType w:val="multilevel"/>
    <w:tmpl w:val="9500A538"/>
    <w:lvl w:ilvl="0">
      <w:start w:val="1"/>
      <w:numFmt w:val="decimal"/>
      <w:lvlText w:val="%1."/>
      <w:lvlJc w:val="left"/>
      <w:pPr>
        <w:ind w:left="720" w:hanging="360"/>
      </w:pPr>
      <w:rPr>
        <w:b w:val="0"/>
        <w:color w:val="000000"/>
      </w:rPr>
    </w:lvl>
    <w:lvl w:ilvl="1">
      <w:start w:val="1"/>
      <w:numFmt w:val="upperRoman"/>
      <w:lvlText w:val="%2."/>
      <w:lvlJc w:val="right"/>
      <w:pPr>
        <w:ind w:left="1350" w:hanging="360"/>
      </w:pPr>
    </w:lvl>
    <w:lvl w:ilvl="2">
      <w:start w:val="1"/>
      <w:numFmt w:val="bullet"/>
      <w:lvlText w:val="●"/>
      <w:lvlJc w:val="left"/>
      <w:pPr>
        <w:ind w:left="80" w:hanging="36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AF36AD8"/>
    <w:multiLevelType w:val="multilevel"/>
    <w:tmpl w:val="9500A538"/>
    <w:lvl w:ilvl="0">
      <w:start w:val="1"/>
      <w:numFmt w:val="decimal"/>
      <w:lvlText w:val="%1."/>
      <w:lvlJc w:val="left"/>
      <w:pPr>
        <w:ind w:left="720" w:hanging="360"/>
      </w:pPr>
      <w:rPr>
        <w:b w:val="0"/>
        <w:color w:val="000000"/>
      </w:rPr>
    </w:lvl>
    <w:lvl w:ilvl="1">
      <w:start w:val="1"/>
      <w:numFmt w:val="upperRoman"/>
      <w:lvlText w:val="%2."/>
      <w:lvlJc w:val="right"/>
      <w:pPr>
        <w:ind w:left="1350" w:hanging="360"/>
      </w:pPr>
    </w:lvl>
    <w:lvl w:ilvl="2">
      <w:start w:val="1"/>
      <w:numFmt w:val="bullet"/>
      <w:lvlText w:val="●"/>
      <w:lvlJc w:val="left"/>
      <w:pPr>
        <w:ind w:left="80" w:hanging="36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EC33397"/>
    <w:multiLevelType w:val="hybridMultilevel"/>
    <w:tmpl w:val="F02EA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F26023A"/>
    <w:multiLevelType w:val="hybridMultilevel"/>
    <w:tmpl w:val="4A8AE32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66466A60"/>
    <w:multiLevelType w:val="hybridMultilevel"/>
    <w:tmpl w:val="D37AAF86"/>
    <w:lvl w:ilvl="0" w:tplc="0409000F">
      <w:start w:val="5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4D3661"/>
    <w:multiLevelType w:val="multilevel"/>
    <w:tmpl w:val="A9826B6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1" w15:restartNumberingAfterBreak="0">
    <w:nsid w:val="6988543A"/>
    <w:multiLevelType w:val="hybridMultilevel"/>
    <w:tmpl w:val="97FE5810"/>
    <w:lvl w:ilvl="0" w:tplc="0409000F">
      <w:start w:val="6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FA721B"/>
    <w:multiLevelType w:val="multilevel"/>
    <w:tmpl w:val="9500A538"/>
    <w:lvl w:ilvl="0">
      <w:start w:val="1"/>
      <w:numFmt w:val="decimal"/>
      <w:lvlText w:val="%1."/>
      <w:lvlJc w:val="left"/>
      <w:pPr>
        <w:ind w:left="720" w:hanging="360"/>
      </w:pPr>
      <w:rPr>
        <w:b w:val="0"/>
        <w:color w:val="000000"/>
      </w:rPr>
    </w:lvl>
    <w:lvl w:ilvl="1">
      <w:start w:val="1"/>
      <w:numFmt w:val="upperRoman"/>
      <w:lvlText w:val="%2."/>
      <w:lvlJc w:val="right"/>
      <w:pPr>
        <w:ind w:left="1350" w:hanging="360"/>
      </w:pPr>
    </w:lvl>
    <w:lvl w:ilvl="2">
      <w:start w:val="1"/>
      <w:numFmt w:val="bullet"/>
      <w:lvlText w:val="●"/>
      <w:lvlJc w:val="left"/>
      <w:pPr>
        <w:ind w:left="80" w:hanging="36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CD8627B"/>
    <w:multiLevelType w:val="multilevel"/>
    <w:tmpl w:val="9500A538"/>
    <w:lvl w:ilvl="0">
      <w:start w:val="1"/>
      <w:numFmt w:val="decimal"/>
      <w:lvlText w:val="%1."/>
      <w:lvlJc w:val="left"/>
      <w:pPr>
        <w:ind w:left="720" w:hanging="360"/>
      </w:pPr>
      <w:rPr>
        <w:b w:val="0"/>
        <w:color w:val="000000"/>
      </w:rPr>
    </w:lvl>
    <w:lvl w:ilvl="1">
      <w:start w:val="1"/>
      <w:numFmt w:val="upperRoman"/>
      <w:lvlText w:val="%2."/>
      <w:lvlJc w:val="right"/>
      <w:pPr>
        <w:ind w:left="1350" w:hanging="360"/>
      </w:pPr>
    </w:lvl>
    <w:lvl w:ilvl="2">
      <w:start w:val="1"/>
      <w:numFmt w:val="bullet"/>
      <w:lvlText w:val="●"/>
      <w:lvlJc w:val="left"/>
      <w:pPr>
        <w:ind w:left="80" w:hanging="36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D1B0603"/>
    <w:multiLevelType w:val="multilevel"/>
    <w:tmpl w:val="AC5A7EB8"/>
    <w:lvl w:ilvl="0">
      <w:start w:val="1"/>
      <w:numFmt w:val="upperRoman"/>
      <w:lvlText w:val="%1."/>
      <w:lvlJc w:val="right"/>
      <w:pPr>
        <w:ind w:left="720" w:hanging="360"/>
      </w:pPr>
    </w:lvl>
    <w:lvl w:ilvl="1">
      <w:start w:val="1"/>
      <w:numFmt w:val="lowerRoman"/>
      <w:lvlText w:val="%2."/>
      <w:lvlJc w:val="right"/>
      <w:pPr>
        <w:ind w:left="1350" w:hanging="360"/>
      </w:pPr>
    </w:lvl>
    <w:lvl w:ilvl="2">
      <w:start w:val="1"/>
      <w:numFmt w:val="bullet"/>
      <w:lvlText w:val="●"/>
      <w:lvlJc w:val="left"/>
      <w:pPr>
        <w:ind w:left="80" w:hanging="36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78B1754C"/>
    <w:multiLevelType w:val="multilevel"/>
    <w:tmpl w:val="61D469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79922306"/>
    <w:multiLevelType w:val="multilevel"/>
    <w:tmpl w:val="9500A538"/>
    <w:lvl w:ilvl="0">
      <w:start w:val="1"/>
      <w:numFmt w:val="decimal"/>
      <w:lvlText w:val="%1."/>
      <w:lvlJc w:val="left"/>
      <w:pPr>
        <w:ind w:left="720" w:hanging="360"/>
      </w:pPr>
      <w:rPr>
        <w:b w:val="0"/>
        <w:color w:val="000000"/>
      </w:rPr>
    </w:lvl>
    <w:lvl w:ilvl="1">
      <w:start w:val="1"/>
      <w:numFmt w:val="upperRoman"/>
      <w:lvlText w:val="%2."/>
      <w:lvlJc w:val="right"/>
      <w:pPr>
        <w:ind w:left="1350" w:hanging="360"/>
      </w:pPr>
    </w:lvl>
    <w:lvl w:ilvl="2">
      <w:start w:val="1"/>
      <w:numFmt w:val="bullet"/>
      <w:lvlText w:val="●"/>
      <w:lvlJc w:val="left"/>
      <w:pPr>
        <w:ind w:left="80" w:hanging="36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BE303E1"/>
    <w:multiLevelType w:val="hybridMultilevel"/>
    <w:tmpl w:val="3FCAA774"/>
    <w:lvl w:ilvl="0" w:tplc="0C0A0013">
      <w:start w:val="1"/>
      <w:numFmt w:val="upperRoman"/>
      <w:lvlText w:val="%1."/>
      <w:lvlJc w:val="right"/>
      <w:pPr>
        <w:ind w:left="720" w:hanging="360"/>
      </w:pPr>
      <w:rPr>
        <w:rFonts w:hint="default"/>
      </w:rPr>
    </w:lvl>
    <w:lvl w:ilvl="1" w:tplc="0C0A001B">
      <w:start w:val="1"/>
      <w:numFmt w:val="low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E862E3F"/>
    <w:multiLevelType w:val="hybridMultilevel"/>
    <w:tmpl w:val="2AB82DAE"/>
    <w:lvl w:ilvl="0" w:tplc="0409000F">
      <w:start w:val="5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24570F"/>
    <w:multiLevelType w:val="hybridMultilevel"/>
    <w:tmpl w:val="C5B06BBC"/>
    <w:lvl w:ilvl="0" w:tplc="0409000F">
      <w:start w:val="5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26"/>
  </w:num>
  <w:num w:numId="3">
    <w:abstractNumId w:val="20"/>
  </w:num>
  <w:num w:numId="4">
    <w:abstractNumId w:val="25"/>
  </w:num>
  <w:num w:numId="5">
    <w:abstractNumId w:val="10"/>
  </w:num>
  <w:num w:numId="6">
    <w:abstractNumId w:val="27"/>
  </w:num>
  <w:num w:numId="7">
    <w:abstractNumId w:val="3"/>
  </w:num>
  <w:num w:numId="8">
    <w:abstractNumId w:val="7"/>
  </w:num>
  <w:num w:numId="9">
    <w:abstractNumId w:val="12"/>
  </w:num>
  <w:num w:numId="10">
    <w:abstractNumId w:val="11"/>
  </w:num>
  <w:num w:numId="11">
    <w:abstractNumId w:val="4"/>
  </w:num>
  <w:num w:numId="12">
    <w:abstractNumId w:val="5"/>
  </w:num>
  <w:num w:numId="13">
    <w:abstractNumId w:val="19"/>
  </w:num>
  <w:num w:numId="14">
    <w:abstractNumId w:val="17"/>
  </w:num>
  <w:num w:numId="15">
    <w:abstractNumId w:val="28"/>
  </w:num>
  <w:num w:numId="16">
    <w:abstractNumId w:val="29"/>
  </w:num>
  <w:num w:numId="17">
    <w:abstractNumId w:val="13"/>
  </w:num>
  <w:num w:numId="18">
    <w:abstractNumId w:val="14"/>
  </w:num>
  <w:num w:numId="19">
    <w:abstractNumId w:val="21"/>
  </w:num>
  <w:num w:numId="20">
    <w:abstractNumId w:val="9"/>
  </w:num>
  <w:num w:numId="21">
    <w:abstractNumId w:val="18"/>
  </w:num>
  <w:num w:numId="22">
    <w:abstractNumId w:val="0"/>
  </w:num>
  <w:num w:numId="23">
    <w:abstractNumId w:val="6"/>
  </w:num>
  <w:num w:numId="24">
    <w:abstractNumId w:val="8"/>
  </w:num>
  <w:num w:numId="25">
    <w:abstractNumId w:val="2"/>
  </w:num>
  <w:num w:numId="26">
    <w:abstractNumId w:val="16"/>
  </w:num>
  <w:num w:numId="27">
    <w:abstractNumId w:val="23"/>
  </w:num>
  <w:num w:numId="28">
    <w:abstractNumId w:val="1"/>
  </w:num>
  <w:num w:numId="29">
    <w:abstractNumId w:val="22"/>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A84"/>
    <w:rsid w:val="00012B15"/>
    <w:rsid w:val="00017096"/>
    <w:rsid w:val="000174E2"/>
    <w:rsid w:val="000243AD"/>
    <w:rsid w:val="000252F1"/>
    <w:rsid w:val="0003183F"/>
    <w:rsid w:val="00040C44"/>
    <w:rsid w:val="000518F8"/>
    <w:rsid w:val="00052B7C"/>
    <w:rsid w:val="00052E61"/>
    <w:rsid w:val="00055687"/>
    <w:rsid w:val="00056651"/>
    <w:rsid w:val="00056D61"/>
    <w:rsid w:val="000628AB"/>
    <w:rsid w:val="0006533A"/>
    <w:rsid w:val="00071546"/>
    <w:rsid w:val="00087E8C"/>
    <w:rsid w:val="00092140"/>
    <w:rsid w:val="0009378C"/>
    <w:rsid w:val="000B50B9"/>
    <w:rsid w:val="000C35F9"/>
    <w:rsid w:val="000C5C3B"/>
    <w:rsid w:val="000D2190"/>
    <w:rsid w:val="000E13EB"/>
    <w:rsid w:val="000F0629"/>
    <w:rsid w:val="000F1522"/>
    <w:rsid w:val="000F7B59"/>
    <w:rsid w:val="001068BC"/>
    <w:rsid w:val="0012306D"/>
    <w:rsid w:val="001246A2"/>
    <w:rsid w:val="00134AC3"/>
    <w:rsid w:val="00136D35"/>
    <w:rsid w:val="001459AF"/>
    <w:rsid w:val="00146F7B"/>
    <w:rsid w:val="00150D76"/>
    <w:rsid w:val="0016200D"/>
    <w:rsid w:val="0016401E"/>
    <w:rsid w:val="00164112"/>
    <w:rsid w:val="001731C3"/>
    <w:rsid w:val="00180FA8"/>
    <w:rsid w:val="00184F91"/>
    <w:rsid w:val="00185431"/>
    <w:rsid w:val="00191EF9"/>
    <w:rsid w:val="0019450F"/>
    <w:rsid w:val="001A70CA"/>
    <w:rsid w:val="001B2BB5"/>
    <w:rsid w:val="001B5894"/>
    <w:rsid w:val="001B5C00"/>
    <w:rsid w:val="001B7760"/>
    <w:rsid w:val="001C0FE2"/>
    <w:rsid w:val="001D29E4"/>
    <w:rsid w:val="001D6830"/>
    <w:rsid w:val="001E3E44"/>
    <w:rsid w:val="001E542A"/>
    <w:rsid w:val="001F4581"/>
    <w:rsid w:val="001F464F"/>
    <w:rsid w:val="001F774D"/>
    <w:rsid w:val="0020069C"/>
    <w:rsid w:val="002029A5"/>
    <w:rsid w:val="00204967"/>
    <w:rsid w:val="00207E1E"/>
    <w:rsid w:val="00231648"/>
    <w:rsid w:val="0023655E"/>
    <w:rsid w:val="00236859"/>
    <w:rsid w:val="00246010"/>
    <w:rsid w:val="00254946"/>
    <w:rsid w:val="00255625"/>
    <w:rsid w:val="0026194B"/>
    <w:rsid w:val="00261A6A"/>
    <w:rsid w:val="00264C53"/>
    <w:rsid w:val="00270EE4"/>
    <w:rsid w:val="00272FA8"/>
    <w:rsid w:val="00274642"/>
    <w:rsid w:val="0027575A"/>
    <w:rsid w:val="00286C40"/>
    <w:rsid w:val="00291929"/>
    <w:rsid w:val="0029232B"/>
    <w:rsid w:val="0029244D"/>
    <w:rsid w:val="002A14F9"/>
    <w:rsid w:val="002A5498"/>
    <w:rsid w:val="002B159F"/>
    <w:rsid w:val="002B51DE"/>
    <w:rsid w:val="002B537A"/>
    <w:rsid w:val="002B5F40"/>
    <w:rsid w:val="002C3ABF"/>
    <w:rsid w:val="002C467B"/>
    <w:rsid w:val="002C50E5"/>
    <w:rsid w:val="002C595C"/>
    <w:rsid w:val="002C5A4E"/>
    <w:rsid w:val="002D2505"/>
    <w:rsid w:val="002D4E05"/>
    <w:rsid w:val="002E612F"/>
    <w:rsid w:val="00301409"/>
    <w:rsid w:val="00310286"/>
    <w:rsid w:val="00323308"/>
    <w:rsid w:val="00331035"/>
    <w:rsid w:val="0033355F"/>
    <w:rsid w:val="00344772"/>
    <w:rsid w:val="0034657D"/>
    <w:rsid w:val="00350542"/>
    <w:rsid w:val="00352639"/>
    <w:rsid w:val="003705A2"/>
    <w:rsid w:val="00370D3A"/>
    <w:rsid w:val="00370E93"/>
    <w:rsid w:val="0037251F"/>
    <w:rsid w:val="00374C56"/>
    <w:rsid w:val="0038623B"/>
    <w:rsid w:val="00391034"/>
    <w:rsid w:val="003915EC"/>
    <w:rsid w:val="00393F95"/>
    <w:rsid w:val="00395FEC"/>
    <w:rsid w:val="003A52C9"/>
    <w:rsid w:val="003A6CB3"/>
    <w:rsid w:val="003C6082"/>
    <w:rsid w:val="003E7BAF"/>
    <w:rsid w:val="004079A8"/>
    <w:rsid w:val="004109E5"/>
    <w:rsid w:val="0041357C"/>
    <w:rsid w:val="00413EAE"/>
    <w:rsid w:val="0043342C"/>
    <w:rsid w:val="00444728"/>
    <w:rsid w:val="0044514B"/>
    <w:rsid w:val="00453232"/>
    <w:rsid w:val="00471063"/>
    <w:rsid w:val="0047335D"/>
    <w:rsid w:val="00474612"/>
    <w:rsid w:val="0047474A"/>
    <w:rsid w:val="00474DD8"/>
    <w:rsid w:val="0047733F"/>
    <w:rsid w:val="004826EF"/>
    <w:rsid w:val="0048464F"/>
    <w:rsid w:val="004857CE"/>
    <w:rsid w:val="00487FCB"/>
    <w:rsid w:val="0049150E"/>
    <w:rsid w:val="004947DB"/>
    <w:rsid w:val="00496357"/>
    <w:rsid w:val="004A55CD"/>
    <w:rsid w:val="004A7655"/>
    <w:rsid w:val="004B1590"/>
    <w:rsid w:val="004C65B4"/>
    <w:rsid w:val="004D0670"/>
    <w:rsid w:val="004D497F"/>
    <w:rsid w:val="004E3F83"/>
    <w:rsid w:val="004F514C"/>
    <w:rsid w:val="004F767C"/>
    <w:rsid w:val="005020D2"/>
    <w:rsid w:val="00512449"/>
    <w:rsid w:val="00515088"/>
    <w:rsid w:val="0051764E"/>
    <w:rsid w:val="00521FCE"/>
    <w:rsid w:val="00527B1A"/>
    <w:rsid w:val="00533F49"/>
    <w:rsid w:val="005373B9"/>
    <w:rsid w:val="00541E8C"/>
    <w:rsid w:val="005518D1"/>
    <w:rsid w:val="00556219"/>
    <w:rsid w:val="00557421"/>
    <w:rsid w:val="005602B3"/>
    <w:rsid w:val="00565956"/>
    <w:rsid w:val="0057000E"/>
    <w:rsid w:val="00570798"/>
    <w:rsid w:val="005764A8"/>
    <w:rsid w:val="00585583"/>
    <w:rsid w:val="005874E7"/>
    <w:rsid w:val="00590631"/>
    <w:rsid w:val="005946AD"/>
    <w:rsid w:val="00595102"/>
    <w:rsid w:val="005A0D91"/>
    <w:rsid w:val="005A3B88"/>
    <w:rsid w:val="005A6774"/>
    <w:rsid w:val="005C1219"/>
    <w:rsid w:val="005C1E9D"/>
    <w:rsid w:val="005C5CBD"/>
    <w:rsid w:val="005D0502"/>
    <w:rsid w:val="005D0C60"/>
    <w:rsid w:val="005D4945"/>
    <w:rsid w:val="005D5D4B"/>
    <w:rsid w:val="005D7B04"/>
    <w:rsid w:val="005E2347"/>
    <w:rsid w:val="005F11D9"/>
    <w:rsid w:val="005F1CA6"/>
    <w:rsid w:val="005F4A61"/>
    <w:rsid w:val="005F54D8"/>
    <w:rsid w:val="005F71CB"/>
    <w:rsid w:val="006061DC"/>
    <w:rsid w:val="0063250D"/>
    <w:rsid w:val="0063474C"/>
    <w:rsid w:val="00634AFD"/>
    <w:rsid w:val="00634E16"/>
    <w:rsid w:val="0064125D"/>
    <w:rsid w:val="00644835"/>
    <w:rsid w:val="00646E4A"/>
    <w:rsid w:val="006508A9"/>
    <w:rsid w:val="00652BAD"/>
    <w:rsid w:val="006570C9"/>
    <w:rsid w:val="006643B3"/>
    <w:rsid w:val="00684A7D"/>
    <w:rsid w:val="006920D3"/>
    <w:rsid w:val="006A553B"/>
    <w:rsid w:val="006B1119"/>
    <w:rsid w:val="006C43C3"/>
    <w:rsid w:val="006C4A1F"/>
    <w:rsid w:val="006C66F6"/>
    <w:rsid w:val="006D3ACE"/>
    <w:rsid w:val="006D7C2C"/>
    <w:rsid w:val="006E0EBD"/>
    <w:rsid w:val="0070280D"/>
    <w:rsid w:val="007048D5"/>
    <w:rsid w:val="0071756A"/>
    <w:rsid w:val="007304A1"/>
    <w:rsid w:val="00731D4E"/>
    <w:rsid w:val="00733CBA"/>
    <w:rsid w:val="00741721"/>
    <w:rsid w:val="00756777"/>
    <w:rsid w:val="00757D9F"/>
    <w:rsid w:val="00774BB3"/>
    <w:rsid w:val="00775420"/>
    <w:rsid w:val="007812C8"/>
    <w:rsid w:val="00786407"/>
    <w:rsid w:val="007A0A49"/>
    <w:rsid w:val="007A37DB"/>
    <w:rsid w:val="007A73EB"/>
    <w:rsid w:val="007B4203"/>
    <w:rsid w:val="007C212B"/>
    <w:rsid w:val="007C5FEB"/>
    <w:rsid w:val="007D0589"/>
    <w:rsid w:val="007D4A42"/>
    <w:rsid w:val="007E07C3"/>
    <w:rsid w:val="007E19AB"/>
    <w:rsid w:val="007E2EF2"/>
    <w:rsid w:val="007E36BF"/>
    <w:rsid w:val="007E3CB8"/>
    <w:rsid w:val="007F09DC"/>
    <w:rsid w:val="007F34D5"/>
    <w:rsid w:val="00802193"/>
    <w:rsid w:val="00802726"/>
    <w:rsid w:val="00802CF9"/>
    <w:rsid w:val="008102D9"/>
    <w:rsid w:val="008123BE"/>
    <w:rsid w:val="00820704"/>
    <w:rsid w:val="00820EDE"/>
    <w:rsid w:val="008354BD"/>
    <w:rsid w:val="008451AA"/>
    <w:rsid w:val="00845BFB"/>
    <w:rsid w:val="008474C3"/>
    <w:rsid w:val="0086114E"/>
    <w:rsid w:val="00863888"/>
    <w:rsid w:val="00865D08"/>
    <w:rsid w:val="00866481"/>
    <w:rsid w:val="008668B8"/>
    <w:rsid w:val="008705E6"/>
    <w:rsid w:val="00873353"/>
    <w:rsid w:val="00892AE4"/>
    <w:rsid w:val="0089473D"/>
    <w:rsid w:val="008A21B4"/>
    <w:rsid w:val="008A2A84"/>
    <w:rsid w:val="008A3369"/>
    <w:rsid w:val="008B28DE"/>
    <w:rsid w:val="008D3B11"/>
    <w:rsid w:val="008D449D"/>
    <w:rsid w:val="008E0255"/>
    <w:rsid w:val="008E4D80"/>
    <w:rsid w:val="008F45BA"/>
    <w:rsid w:val="0090579D"/>
    <w:rsid w:val="00906191"/>
    <w:rsid w:val="009068E7"/>
    <w:rsid w:val="00910BE3"/>
    <w:rsid w:val="009142A9"/>
    <w:rsid w:val="00914BEF"/>
    <w:rsid w:val="0092284B"/>
    <w:rsid w:val="009460CC"/>
    <w:rsid w:val="0094716F"/>
    <w:rsid w:val="00947C3E"/>
    <w:rsid w:val="00951C7F"/>
    <w:rsid w:val="00952EF5"/>
    <w:rsid w:val="009553FF"/>
    <w:rsid w:val="00956719"/>
    <w:rsid w:val="0096055F"/>
    <w:rsid w:val="00962A59"/>
    <w:rsid w:val="00964A6A"/>
    <w:rsid w:val="00971FFF"/>
    <w:rsid w:val="00973916"/>
    <w:rsid w:val="0097514A"/>
    <w:rsid w:val="009872D7"/>
    <w:rsid w:val="0099044A"/>
    <w:rsid w:val="009907AC"/>
    <w:rsid w:val="00992007"/>
    <w:rsid w:val="00993DE9"/>
    <w:rsid w:val="00996889"/>
    <w:rsid w:val="009B6351"/>
    <w:rsid w:val="009B6FB2"/>
    <w:rsid w:val="009C051E"/>
    <w:rsid w:val="009C1DA2"/>
    <w:rsid w:val="009D1BE2"/>
    <w:rsid w:val="009D77BE"/>
    <w:rsid w:val="009E4C52"/>
    <w:rsid w:val="00A012F4"/>
    <w:rsid w:val="00A01AF6"/>
    <w:rsid w:val="00A039D8"/>
    <w:rsid w:val="00A06A72"/>
    <w:rsid w:val="00A07276"/>
    <w:rsid w:val="00A20458"/>
    <w:rsid w:val="00A20797"/>
    <w:rsid w:val="00A2245F"/>
    <w:rsid w:val="00A372F6"/>
    <w:rsid w:val="00A37D90"/>
    <w:rsid w:val="00A4258C"/>
    <w:rsid w:val="00A42629"/>
    <w:rsid w:val="00A53535"/>
    <w:rsid w:val="00A53737"/>
    <w:rsid w:val="00A55BF9"/>
    <w:rsid w:val="00A631AC"/>
    <w:rsid w:val="00A76F5C"/>
    <w:rsid w:val="00A82422"/>
    <w:rsid w:val="00A83264"/>
    <w:rsid w:val="00A84792"/>
    <w:rsid w:val="00A950DA"/>
    <w:rsid w:val="00A951E0"/>
    <w:rsid w:val="00AA3618"/>
    <w:rsid w:val="00AA6279"/>
    <w:rsid w:val="00AA64DE"/>
    <w:rsid w:val="00AB1937"/>
    <w:rsid w:val="00AB6044"/>
    <w:rsid w:val="00AB6F63"/>
    <w:rsid w:val="00AD23CF"/>
    <w:rsid w:val="00AD53D6"/>
    <w:rsid w:val="00AE43EB"/>
    <w:rsid w:val="00AE7710"/>
    <w:rsid w:val="00AF27DA"/>
    <w:rsid w:val="00B002CC"/>
    <w:rsid w:val="00B0383F"/>
    <w:rsid w:val="00B0386D"/>
    <w:rsid w:val="00B044D1"/>
    <w:rsid w:val="00B06D55"/>
    <w:rsid w:val="00B23B57"/>
    <w:rsid w:val="00B23FC7"/>
    <w:rsid w:val="00B33380"/>
    <w:rsid w:val="00B41A21"/>
    <w:rsid w:val="00B43B43"/>
    <w:rsid w:val="00B5373A"/>
    <w:rsid w:val="00B55A86"/>
    <w:rsid w:val="00B629C5"/>
    <w:rsid w:val="00B83732"/>
    <w:rsid w:val="00B845D9"/>
    <w:rsid w:val="00B85C91"/>
    <w:rsid w:val="00B860C0"/>
    <w:rsid w:val="00B863E6"/>
    <w:rsid w:val="00B963FC"/>
    <w:rsid w:val="00B96E80"/>
    <w:rsid w:val="00BA4E5B"/>
    <w:rsid w:val="00BB10CE"/>
    <w:rsid w:val="00BC4932"/>
    <w:rsid w:val="00BD07D5"/>
    <w:rsid w:val="00BD07F7"/>
    <w:rsid w:val="00BD424D"/>
    <w:rsid w:val="00BF1672"/>
    <w:rsid w:val="00C0066F"/>
    <w:rsid w:val="00C07453"/>
    <w:rsid w:val="00C237AC"/>
    <w:rsid w:val="00C3031B"/>
    <w:rsid w:val="00C3079B"/>
    <w:rsid w:val="00C350DF"/>
    <w:rsid w:val="00C41CE2"/>
    <w:rsid w:val="00C440BD"/>
    <w:rsid w:val="00C44928"/>
    <w:rsid w:val="00C455C6"/>
    <w:rsid w:val="00C63565"/>
    <w:rsid w:val="00C6567E"/>
    <w:rsid w:val="00C708B9"/>
    <w:rsid w:val="00C74FF2"/>
    <w:rsid w:val="00CA19F1"/>
    <w:rsid w:val="00CA4671"/>
    <w:rsid w:val="00CB6A8B"/>
    <w:rsid w:val="00CD3120"/>
    <w:rsid w:val="00CD4450"/>
    <w:rsid w:val="00CD4CB6"/>
    <w:rsid w:val="00CE7AB7"/>
    <w:rsid w:val="00CF06FE"/>
    <w:rsid w:val="00D02D4E"/>
    <w:rsid w:val="00D05043"/>
    <w:rsid w:val="00D26A45"/>
    <w:rsid w:val="00D368AF"/>
    <w:rsid w:val="00D369EC"/>
    <w:rsid w:val="00D4252E"/>
    <w:rsid w:val="00D43E35"/>
    <w:rsid w:val="00D503A4"/>
    <w:rsid w:val="00D511A6"/>
    <w:rsid w:val="00D5178C"/>
    <w:rsid w:val="00D51DF5"/>
    <w:rsid w:val="00D535D7"/>
    <w:rsid w:val="00D5441A"/>
    <w:rsid w:val="00D57633"/>
    <w:rsid w:val="00D6089F"/>
    <w:rsid w:val="00D61A79"/>
    <w:rsid w:val="00D65186"/>
    <w:rsid w:val="00D71D4F"/>
    <w:rsid w:val="00D739CD"/>
    <w:rsid w:val="00D76306"/>
    <w:rsid w:val="00D931DF"/>
    <w:rsid w:val="00DA3988"/>
    <w:rsid w:val="00DA6FCE"/>
    <w:rsid w:val="00DB0A6A"/>
    <w:rsid w:val="00DC3C41"/>
    <w:rsid w:val="00DC494C"/>
    <w:rsid w:val="00DE033D"/>
    <w:rsid w:val="00DE04F6"/>
    <w:rsid w:val="00DE52D4"/>
    <w:rsid w:val="00DF0E0C"/>
    <w:rsid w:val="00DF230E"/>
    <w:rsid w:val="00DF3D99"/>
    <w:rsid w:val="00E00234"/>
    <w:rsid w:val="00E00C39"/>
    <w:rsid w:val="00E05FD5"/>
    <w:rsid w:val="00E17F6F"/>
    <w:rsid w:val="00E2684C"/>
    <w:rsid w:val="00E31DC9"/>
    <w:rsid w:val="00E35ABD"/>
    <w:rsid w:val="00E36591"/>
    <w:rsid w:val="00E4455F"/>
    <w:rsid w:val="00E449F8"/>
    <w:rsid w:val="00E503CF"/>
    <w:rsid w:val="00E62139"/>
    <w:rsid w:val="00E63577"/>
    <w:rsid w:val="00E67A09"/>
    <w:rsid w:val="00E7005A"/>
    <w:rsid w:val="00E73EED"/>
    <w:rsid w:val="00E76ECB"/>
    <w:rsid w:val="00E95389"/>
    <w:rsid w:val="00E96A58"/>
    <w:rsid w:val="00EA0156"/>
    <w:rsid w:val="00EA22CE"/>
    <w:rsid w:val="00EA564F"/>
    <w:rsid w:val="00EB0A11"/>
    <w:rsid w:val="00EB0CA6"/>
    <w:rsid w:val="00EB642B"/>
    <w:rsid w:val="00EB7BDC"/>
    <w:rsid w:val="00EC11A1"/>
    <w:rsid w:val="00EC4212"/>
    <w:rsid w:val="00ED5478"/>
    <w:rsid w:val="00ED5B2A"/>
    <w:rsid w:val="00F06662"/>
    <w:rsid w:val="00F21AF9"/>
    <w:rsid w:val="00F21D9A"/>
    <w:rsid w:val="00F22036"/>
    <w:rsid w:val="00F36CD0"/>
    <w:rsid w:val="00F4195B"/>
    <w:rsid w:val="00F440B3"/>
    <w:rsid w:val="00F745A7"/>
    <w:rsid w:val="00F85D91"/>
    <w:rsid w:val="00FA187D"/>
    <w:rsid w:val="00FB1DAF"/>
    <w:rsid w:val="00FB24A7"/>
    <w:rsid w:val="00FB6C97"/>
    <w:rsid w:val="00FC4E4F"/>
    <w:rsid w:val="00FC709C"/>
    <w:rsid w:val="00FD150B"/>
    <w:rsid w:val="00FE1CC5"/>
    <w:rsid w:val="00FE4B5E"/>
    <w:rsid w:val="00FF062B"/>
    <w:rsid w:val="00FF2ACA"/>
    <w:rsid w:val="00FF322B"/>
    <w:rsid w:val="00FF5C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D3295B"/>
  <w15:docId w15:val="{8A43A3F3-4651-4F82-81B9-946DD2734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color w:val="000000"/>
        <w:sz w:val="24"/>
        <w:szCs w:val="24"/>
        <w:lang w:val="en-US" w:eastAsia="en-US" w:bidi="ar-SA"/>
      </w:rPr>
    </w:rPrDefault>
    <w:pPrDefault>
      <w:pPr>
        <w:pBdr>
          <w:top w:val="nil"/>
          <w:left w:val="nil"/>
          <w:bottom w:val="nil"/>
          <w:right w:val="nil"/>
          <w:between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4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tabs>
        <w:tab w:val="left" w:pos="1440"/>
        <w:tab w:val="left" w:pos="3060"/>
      </w:tabs>
      <w:jc w:val="center"/>
    </w:p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E7A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7AB7"/>
    <w:rPr>
      <w:rFonts w:ascii="Segoe UI" w:hAnsi="Segoe UI" w:cs="Segoe UI"/>
      <w:sz w:val="18"/>
      <w:szCs w:val="18"/>
    </w:rPr>
  </w:style>
  <w:style w:type="paragraph" w:styleId="ListParagraph">
    <w:name w:val="List Paragraph"/>
    <w:aliases w:val="Fundamentacion,Lista 123,List Paragraph1,Cuadro 2-1,Párrafo de lista2,Numbered Paragraph,Main numbered paragraph,Bullets,References,Numbered List Paragraph,123 List Paragraph,List Paragraph (numbered (a)),List Paragraph nowy"/>
    <w:basedOn w:val="Normal"/>
    <w:link w:val="ListParagraphChar"/>
    <w:uiPriority w:val="34"/>
    <w:qFormat/>
    <w:rsid w:val="0033355F"/>
    <w:pPr>
      <w:pBdr>
        <w:top w:val="none" w:sz="0" w:space="0" w:color="auto"/>
        <w:left w:val="none" w:sz="0" w:space="0" w:color="auto"/>
        <w:bottom w:val="none" w:sz="0" w:space="0" w:color="auto"/>
        <w:right w:val="none" w:sz="0" w:space="0" w:color="auto"/>
        <w:between w:val="none" w:sz="0" w:space="0" w:color="auto"/>
      </w:pBdr>
      <w:ind w:left="720"/>
      <w:contextualSpacing/>
    </w:pPr>
    <w:rPr>
      <w:color w:val="auto"/>
      <w:lang w:val="es-ES_tradnl" w:eastAsia="es-ES_tradnl"/>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nhideWhenUsed/>
    <w:qFormat/>
    <w:rsid w:val="0033355F"/>
    <w:pPr>
      <w:pBdr>
        <w:top w:val="none" w:sz="0" w:space="0" w:color="auto"/>
        <w:left w:val="none" w:sz="0" w:space="0" w:color="auto"/>
        <w:bottom w:val="none" w:sz="0" w:space="0" w:color="auto"/>
        <w:right w:val="none" w:sz="0" w:space="0" w:color="auto"/>
        <w:between w:val="none" w:sz="0" w:space="0" w:color="auto"/>
      </w:pBdr>
    </w:pPr>
    <w:rPr>
      <w:color w:val="auto"/>
      <w:sz w:val="20"/>
      <w:szCs w:val="20"/>
      <w:lang w:val="es-ES_tradnl" w:eastAsia="es-ES_tradnl"/>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33355F"/>
    <w:rPr>
      <w:color w:val="auto"/>
      <w:sz w:val="20"/>
      <w:szCs w:val="20"/>
      <w:lang w:val="es-ES_tradnl" w:eastAsia="es-ES_tradnl"/>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33355F"/>
    <w:rPr>
      <w:vertAlign w:val="superscript"/>
    </w:rPr>
  </w:style>
  <w:style w:type="paragraph" w:styleId="CommentSubject">
    <w:name w:val="annotation subject"/>
    <w:basedOn w:val="CommentText"/>
    <w:next w:val="CommentText"/>
    <w:link w:val="CommentSubjectChar"/>
    <w:uiPriority w:val="99"/>
    <w:semiHidden/>
    <w:unhideWhenUsed/>
    <w:rsid w:val="009460CC"/>
    <w:rPr>
      <w:b/>
      <w:bCs/>
    </w:rPr>
  </w:style>
  <w:style w:type="character" w:customStyle="1" w:styleId="CommentSubjectChar">
    <w:name w:val="Comment Subject Char"/>
    <w:basedOn w:val="CommentTextChar"/>
    <w:link w:val="CommentSubject"/>
    <w:uiPriority w:val="99"/>
    <w:semiHidden/>
    <w:rsid w:val="009460CC"/>
    <w:rPr>
      <w:b/>
      <w:bCs/>
      <w:sz w:val="20"/>
      <w:szCs w:val="20"/>
    </w:rPr>
  </w:style>
  <w:style w:type="table" w:styleId="TableGrid">
    <w:name w:val="Table Grid"/>
    <w:basedOn w:val="TableNormal"/>
    <w:uiPriority w:val="39"/>
    <w:rsid w:val="008B2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43B43"/>
    <w:rPr>
      <w:b/>
      <w:bCs/>
    </w:rPr>
  </w:style>
  <w:style w:type="character" w:styleId="Hyperlink">
    <w:name w:val="Hyperlink"/>
    <w:basedOn w:val="DefaultParagraphFont"/>
    <w:uiPriority w:val="99"/>
    <w:unhideWhenUsed/>
    <w:rsid w:val="009872D7"/>
    <w:rPr>
      <w:color w:val="0563C1" w:themeColor="hyperlink"/>
      <w:u w:val="single"/>
    </w:rPr>
  </w:style>
  <w:style w:type="character" w:customStyle="1" w:styleId="UnresolvedMention1">
    <w:name w:val="Unresolved Mention1"/>
    <w:basedOn w:val="DefaultParagraphFont"/>
    <w:uiPriority w:val="99"/>
    <w:semiHidden/>
    <w:unhideWhenUsed/>
    <w:rsid w:val="009872D7"/>
    <w:rPr>
      <w:color w:val="808080"/>
      <w:shd w:val="clear" w:color="auto" w:fill="E6E6E6"/>
    </w:rPr>
  </w:style>
  <w:style w:type="paragraph" w:styleId="Revision">
    <w:name w:val="Revision"/>
    <w:hidden/>
    <w:uiPriority w:val="99"/>
    <w:semiHidden/>
    <w:rsid w:val="00FD150B"/>
    <w:pPr>
      <w:pBdr>
        <w:top w:val="none" w:sz="0" w:space="0" w:color="auto"/>
        <w:left w:val="none" w:sz="0" w:space="0" w:color="auto"/>
        <w:bottom w:val="none" w:sz="0" w:space="0" w:color="auto"/>
        <w:right w:val="none" w:sz="0" w:space="0" w:color="auto"/>
        <w:between w:val="none" w:sz="0" w:space="0" w:color="auto"/>
      </w:pBdr>
    </w:pPr>
  </w:style>
  <w:style w:type="character" w:styleId="FollowedHyperlink">
    <w:name w:val="FollowedHyperlink"/>
    <w:basedOn w:val="DefaultParagraphFont"/>
    <w:uiPriority w:val="99"/>
    <w:semiHidden/>
    <w:unhideWhenUsed/>
    <w:rsid w:val="00992007"/>
    <w:rPr>
      <w:color w:val="954F72" w:themeColor="followedHyperlink"/>
      <w:u w:val="single"/>
    </w:rPr>
  </w:style>
  <w:style w:type="character" w:customStyle="1" w:styleId="ListParagraphChar">
    <w:name w:val="List Paragraph Char"/>
    <w:aliases w:val="Fundamentacion Char,Lista 123 Char,List Paragraph1 Char,Cuadro 2-1 Char,Párrafo de lista2 Char,Numbered Paragraph Char,Main numbered paragraph Char,Bullets Char,References Char,Numbered List Paragraph Char,123 List Paragraph Char"/>
    <w:link w:val="ListParagraph"/>
    <w:uiPriority w:val="34"/>
    <w:locked/>
    <w:rsid w:val="005C1E9D"/>
    <w:rPr>
      <w:color w:val="auto"/>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1482613">
      <w:bodyDiv w:val="1"/>
      <w:marLeft w:val="0"/>
      <w:marRight w:val="0"/>
      <w:marTop w:val="0"/>
      <w:marBottom w:val="0"/>
      <w:divBdr>
        <w:top w:val="none" w:sz="0" w:space="0" w:color="auto"/>
        <w:left w:val="none" w:sz="0" w:space="0" w:color="auto"/>
        <w:bottom w:val="none" w:sz="0" w:space="0" w:color="auto"/>
        <w:right w:val="none" w:sz="0" w:space="0" w:color="auto"/>
      </w:divBdr>
    </w:div>
    <w:div w:id="1063259669">
      <w:bodyDiv w:val="1"/>
      <w:marLeft w:val="0"/>
      <w:marRight w:val="0"/>
      <w:marTop w:val="0"/>
      <w:marBottom w:val="0"/>
      <w:divBdr>
        <w:top w:val="none" w:sz="0" w:space="0" w:color="auto"/>
        <w:left w:val="none" w:sz="0" w:space="0" w:color="auto"/>
        <w:bottom w:val="none" w:sz="0" w:space="0" w:color="auto"/>
        <w:right w:val="none" w:sz="0" w:space="0" w:color="auto"/>
      </w:divBdr>
    </w:div>
    <w:div w:id="1285624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nk.springer.com/journal/10887/9/3/page/1" TargetMode="Externa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20"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s://link.springer.com/journal/10734/37/1/page/1" TargetMode="External"/><Relationship Id="rId19" Type="http://schemas.openxmlformats.org/officeDocument/2006/relationships/customXml" Target="../customXml/item7.xml"/><Relationship Id="rId4" Type="http://schemas.openxmlformats.org/officeDocument/2006/relationships/settings" Target="settings.xml"/><Relationship Id="rId9" Type="http://schemas.openxmlformats.org/officeDocument/2006/relationships/hyperlink" Target="https://link.springer.com/journal/1073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5185DEF196308A4DB695538B10118EDB" ma:contentTypeVersion="21" ma:contentTypeDescription="The base project type from which other project content types inherit their information." ma:contentTypeScope="" ma:versionID="c7024ea8b7aa812db6581282f3b7607d">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9261C0F675C214BB844C7337F0F7684" ma:contentTypeVersion="366" ma:contentTypeDescription="A content type to manage public (operations) IDB documents" ma:contentTypeScope="" ma:versionID="da37130120fcd7316ce8082ab75f04b7">
  <xsd:schema xmlns:xsd="http://www.w3.org/2001/XMLSchema" xmlns:xs="http://www.w3.org/2001/XMLSchema" xmlns:p="http://schemas.microsoft.com/office/2006/metadata/properties" xmlns:ns2="cdc7663a-08f0-4737-9e8c-148ce897a09c" targetNamespace="http://schemas.microsoft.com/office/2006/metadata/properties" ma:root="true" ma:fieldsID="b746c5b6c5fe129dac286a062b07a67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L122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R0001224240</Record_x0020_Number>
    <Key_x0020_Document xmlns="cdc7663a-08f0-4737-9e8c-148ce897a09c">false</Key_x0020_Document>
    <Other_x0020_Author xmlns="cdc7663a-08f0-4737-9e8c-148ce897a09c" xsi:nil="true"/>
    <Division_x0020_or_x0020_Unit xmlns="cdc7663a-08f0-4737-9e8c-148ce897a09c">SCL/EDU</Division_x0020_or_x0020_Unit>
    <IDBDocs_x0020_Number xmlns="cdc7663a-08f0-4737-9e8c-148ce897a09c" xsi:nil="true"/>
    <Document_x0020_Author xmlns="cdc7663a-08f0-4737-9e8c-148ce897a09c">Zoido Lobaton,Pablo</Document_x0020_Author>
    <_dlc_DocId xmlns="cdc7663a-08f0-4737-9e8c-148ce897a09c">EZSHARE-1158429004-29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TaxCatchAll xmlns="cdc7663a-08f0-4737-9e8c-148ce897a09c">
      <Value>60</Value>
      <Value>206</Value>
      <Value>31</Value>
      <Value>1</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PE-L1227</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HIGHER EDUCATION</TermName>
          <TermId xmlns="http://schemas.microsoft.com/office/infopath/2007/PartnerControls">4c8a9d89-9725-4ab5-87d1-39c653f273ce</TermId>
        </TermInfo>
      </Terms>
    </b2ec7cfb18674cb8803df6b262e8b107>
    <Document_x0020_Language_x0020_IDB xmlns="cdc7663a-08f0-4737-9e8c-148ce897a09c">Spanish</Document_x0020_Language_x0020_IDB>
    <_dlc_DocIdUrl xmlns="cdc7663a-08f0-4737-9e8c-148ce897a09c">
      <Url>https://idbg.sharepoint.com/teams/EZ-PE-LON/PE-L1227/_layouts/15/DocIdRedir.aspx?ID=EZSHARE-1158429004-29</Url>
      <Description>EZSHARE-1158429004-29</Description>
    </_dlc_DocIdUrl>
    <Phase xmlns="cdc7663a-08f0-4737-9e8c-148ce897a09c" xsi:nil="tru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95FEB1DC-266B-4537-9CEF-8B5FC0FB8144}">
  <ds:schemaRefs>
    <ds:schemaRef ds:uri="http://schemas.openxmlformats.org/officeDocument/2006/bibliography"/>
  </ds:schemaRefs>
</ds:datastoreItem>
</file>

<file path=customXml/itemProps2.xml><?xml version="1.0" encoding="utf-8"?>
<ds:datastoreItem xmlns:ds="http://schemas.openxmlformats.org/officeDocument/2006/customXml" ds:itemID="{51E8114F-B339-49F6-938D-681B60FF4F12}"/>
</file>

<file path=customXml/itemProps3.xml><?xml version="1.0" encoding="utf-8"?>
<ds:datastoreItem xmlns:ds="http://schemas.openxmlformats.org/officeDocument/2006/customXml" ds:itemID="{5E08E983-DB37-4145-9B9D-53C883E9A193}"/>
</file>

<file path=customXml/itemProps4.xml><?xml version="1.0" encoding="utf-8"?>
<ds:datastoreItem xmlns:ds="http://schemas.openxmlformats.org/officeDocument/2006/customXml" ds:itemID="{811F5002-EF50-4BF8-B439-A8ECB17D9173}"/>
</file>

<file path=customXml/itemProps5.xml><?xml version="1.0" encoding="utf-8"?>
<ds:datastoreItem xmlns:ds="http://schemas.openxmlformats.org/officeDocument/2006/customXml" ds:itemID="{8C9AFD3E-625D-4A94-B5B2-BE8846557418}"/>
</file>

<file path=customXml/itemProps6.xml><?xml version="1.0" encoding="utf-8"?>
<ds:datastoreItem xmlns:ds="http://schemas.openxmlformats.org/officeDocument/2006/customXml" ds:itemID="{5FAB2138-E112-40BB-923F-F4E1E1AC3918}"/>
</file>

<file path=customXml/itemProps7.xml><?xml version="1.0" encoding="utf-8"?>
<ds:datastoreItem xmlns:ds="http://schemas.openxmlformats.org/officeDocument/2006/customXml" ds:itemID="{9AD718AA-DBEF-4458-B363-19149CEC9E71}"/>
</file>

<file path=customXml/itemProps8.xml><?xml version="1.0" encoding="utf-8"?>
<ds:datastoreItem xmlns:ds="http://schemas.openxmlformats.org/officeDocument/2006/customXml" ds:itemID="{2D7D1DDF-8721-498D-A08A-AA1CD3197CAB}"/>
</file>

<file path=docProps/app.xml><?xml version="1.0" encoding="utf-8"?>
<Properties xmlns="http://schemas.openxmlformats.org/officeDocument/2006/extended-properties" xmlns:vt="http://schemas.openxmlformats.org/officeDocument/2006/docPropsVTypes">
  <Template>Normal.dotm</Template>
  <TotalTime>2564</TotalTime>
  <Pages>26</Pages>
  <Words>10412</Words>
  <Characters>59353</Characters>
  <Application>Microsoft Office Word</Application>
  <DocSecurity>0</DocSecurity>
  <Lines>494</Lines>
  <Paragraphs>139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69626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Lisboa Vasquez, Claudia Paola</dc:creator>
  <cp:keywords/>
  <cp:lastModifiedBy>Lisboa Vasquez, Claudia Paola</cp:lastModifiedBy>
  <cp:revision>234</cp:revision>
  <cp:lastPrinted>2017-09-01T13:39:00Z</cp:lastPrinted>
  <dcterms:created xsi:type="dcterms:W3CDTF">2017-08-24T19:53:00Z</dcterms:created>
  <dcterms:modified xsi:type="dcterms:W3CDTF">2017-09-15T20:05:00Z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206;#HIGHER EDUCATION|4c8a9d89-9725-4ab5-87d1-39c653f273ce</vt:lpwstr>
  </property>
  <property fmtid="{D5CDD505-2E9C-101B-9397-08002B2CF9AE}" pid="7" name="Country">
    <vt:lpwstr>31;#Peru|c988f60b-81f1-4c24-8da7-d5473741c5b0</vt:lpwstr>
  </property>
  <property fmtid="{D5CDD505-2E9C-101B-9397-08002B2CF9AE}" pid="8" name="Fund IDB">
    <vt:lpwstr/>
  </property>
  <property fmtid="{D5CDD505-2E9C-101B-9397-08002B2CF9AE}" pid="9" name="_dlc_DocIdItemGuid">
    <vt:lpwstr>f20bf82f-21d3-443a-ae90-8e08bd12f20f</vt:lpwstr>
  </property>
  <property fmtid="{D5CDD505-2E9C-101B-9397-08002B2CF9AE}" pid="10" name="Sector IDB">
    <vt:lpwstr>60;#EDUCATION|e61db9d8-dcb9-423f-a737-53d6e603e7c4</vt:lpwstr>
  </property>
  <property fmtid="{D5CDD505-2E9C-101B-9397-08002B2CF9AE}" pid="11" name="Function Operations IDB">
    <vt:lpwstr>1;#Project Preparation, Planning and Design|29ca0c72-1fc4-435f-a09c-28585cb5eac9</vt:lpwstr>
  </property>
  <property fmtid="{D5CDD505-2E9C-101B-9397-08002B2CF9AE}" pid="13" name="RecordStorageActiveId">
    <vt:lpwstr>ae4c88d1-45be-408f-87eb-ca5f747387df</vt:lpwstr>
  </property>
  <property fmtid="{D5CDD505-2E9C-101B-9397-08002B2CF9AE}" pid="14" name="Disclosure Activity">
    <vt:lpwstr>Loan Proposal</vt:lpwstr>
  </property>
  <property fmtid="{D5CDD505-2E9C-101B-9397-08002B2CF9AE}" pid="15" name="ContentTypeId">
    <vt:lpwstr>0x0101001A458A224826124E8B45B1D613300CFC0069261C0F675C214BB844C7337F0F7684</vt:lpwstr>
  </property>
</Properties>
</file>