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6.xml" ContentType="application/vnd.openxmlformats-officedocument.customXmlProperties+xml"/>
  <Override PartName="/customXml/itemProps5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7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83BDCB" w14:textId="77777777" w:rsidR="00382513" w:rsidRPr="009F744D" w:rsidRDefault="00804876" w:rsidP="002049DE">
      <w:pPr>
        <w:spacing w:after="120" w:line="240" w:lineRule="auto"/>
        <w:jc w:val="both"/>
        <w:rPr>
          <w:rFonts w:ascii="Arial" w:hAnsi="Arial" w:cs="Arial"/>
          <w:b/>
          <w:sz w:val="24"/>
          <w:szCs w:val="24"/>
          <w:lang w:val="es-ES"/>
        </w:rPr>
      </w:pPr>
      <w:r w:rsidRPr="009F744D">
        <w:rPr>
          <w:rFonts w:ascii="Arial" w:hAnsi="Arial" w:cs="Arial"/>
          <w:b/>
          <w:sz w:val="24"/>
          <w:szCs w:val="24"/>
          <w:lang w:val="es-ES"/>
        </w:rPr>
        <w:t>Documento de Cooperación Técnica</w:t>
      </w:r>
    </w:p>
    <w:p w14:paraId="4614E332" w14:textId="77777777" w:rsidR="0095711B" w:rsidRPr="009F744D" w:rsidRDefault="00E33333" w:rsidP="002049DE">
      <w:pPr>
        <w:pStyle w:val="ListParagraph"/>
        <w:numPr>
          <w:ilvl w:val="0"/>
          <w:numId w:val="5"/>
        </w:numPr>
        <w:spacing w:after="120" w:line="240" w:lineRule="auto"/>
        <w:contextualSpacing w:val="0"/>
        <w:jc w:val="both"/>
        <w:rPr>
          <w:rFonts w:ascii="Arial" w:hAnsi="Arial" w:cs="Arial"/>
          <w:b/>
          <w:lang w:val="es-ES"/>
        </w:rPr>
      </w:pPr>
      <w:r w:rsidRPr="009F744D">
        <w:rPr>
          <w:rFonts w:ascii="Arial" w:hAnsi="Arial" w:cs="Arial"/>
          <w:b/>
          <w:lang w:val="es-ES"/>
        </w:rPr>
        <w:t>Información</w:t>
      </w:r>
      <w:r w:rsidR="0091508A" w:rsidRPr="009F744D">
        <w:rPr>
          <w:rFonts w:ascii="Arial" w:hAnsi="Arial" w:cs="Arial"/>
          <w:b/>
          <w:lang w:val="es-ES"/>
        </w:rPr>
        <w:t xml:space="preserve"> </w:t>
      </w:r>
      <w:r w:rsidRPr="009F744D">
        <w:rPr>
          <w:rFonts w:ascii="Arial" w:hAnsi="Arial" w:cs="Arial"/>
          <w:b/>
          <w:lang w:val="es-ES"/>
        </w:rPr>
        <w:t>Básica</w:t>
      </w:r>
      <w:r w:rsidR="00804876" w:rsidRPr="009F744D">
        <w:rPr>
          <w:rFonts w:ascii="Arial" w:hAnsi="Arial" w:cs="Arial"/>
          <w:b/>
          <w:lang w:val="es-ES"/>
        </w:rPr>
        <w:t xml:space="preserve"> de la </w:t>
      </w:r>
      <w:r w:rsidR="0091508A" w:rsidRPr="009F744D">
        <w:rPr>
          <w:rFonts w:ascii="Arial" w:hAnsi="Arial" w:cs="Arial"/>
          <w:b/>
          <w:lang w:val="es-ES"/>
        </w:rPr>
        <w:t>T</w:t>
      </w:r>
      <w:r w:rsidR="00804876" w:rsidRPr="009F744D">
        <w:rPr>
          <w:rFonts w:ascii="Arial" w:hAnsi="Arial" w:cs="Arial"/>
          <w:b/>
          <w:lang w:val="es-ES"/>
        </w:rPr>
        <w:t>C</w:t>
      </w:r>
      <w:r w:rsidR="0091508A" w:rsidRPr="009F744D">
        <w:rPr>
          <w:rFonts w:ascii="Arial" w:hAnsi="Arial" w:cs="Arial"/>
          <w:b/>
          <w:lang w:val="es-ES"/>
        </w:rPr>
        <w:t xml:space="preserve"> </w:t>
      </w:r>
    </w:p>
    <w:tbl>
      <w:tblPr>
        <w:tblStyle w:val="TableGrid"/>
        <w:tblW w:w="0" w:type="auto"/>
        <w:tblInd w:w="-34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3738"/>
        <w:gridCol w:w="4926"/>
      </w:tblGrid>
      <w:tr w:rsidR="00382513" w:rsidRPr="009F744D" w14:paraId="474D75B6" w14:textId="77777777" w:rsidTr="00305D2E">
        <w:tc>
          <w:tcPr>
            <w:tcW w:w="3738" w:type="dxa"/>
          </w:tcPr>
          <w:p w14:paraId="2A5CD5D3" w14:textId="77777777" w:rsidR="00382513" w:rsidRPr="009F744D" w:rsidRDefault="00382513" w:rsidP="002049DE">
            <w:pPr>
              <w:pStyle w:val="ListParagraph"/>
              <w:numPr>
                <w:ilvl w:val="0"/>
                <w:numId w:val="2"/>
              </w:numPr>
              <w:ind w:left="180" w:hanging="180"/>
              <w:contextualSpacing w:val="0"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9F744D">
              <w:rPr>
                <w:rFonts w:ascii="Arial" w:hAnsi="Arial" w:cs="Arial"/>
                <w:sz w:val="18"/>
                <w:szCs w:val="18"/>
                <w:lang w:val="es-ES"/>
              </w:rPr>
              <w:t>País/Región:</w:t>
            </w:r>
          </w:p>
        </w:tc>
        <w:tc>
          <w:tcPr>
            <w:tcW w:w="4926" w:type="dxa"/>
          </w:tcPr>
          <w:p w14:paraId="4683BF44" w14:textId="77777777" w:rsidR="00382513" w:rsidRPr="009F744D" w:rsidRDefault="00382513" w:rsidP="002049D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F744D">
              <w:rPr>
                <w:rFonts w:ascii="Arial" w:hAnsi="Arial" w:cs="Arial"/>
                <w:sz w:val="18"/>
                <w:szCs w:val="18"/>
              </w:rPr>
              <w:t>Regional</w:t>
            </w:r>
          </w:p>
        </w:tc>
      </w:tr>
      <w:tr w:rsidR="00382513" w:rsidRPr="00022715" w14:paraId="6D541D6A" w14:textId="77777777" w:rsidTr="00305D2E">
        <w:tc>
          <w:tcPr>
            <w:tcW w:w="3738" w:type="dxa"/>
          </w:tcPr>
          <w:p w14:paraId="01A99113" w14:textId="77777777" w:rsidR="00382513" w:rsidRPr="009F744D" w:rsidRDefault="00382513" w:rsidP="002049DE">
            <w:pPr>
              <w:pStyle w:val="ListParagraph"/>
              <w:numPr>
                <w:ilvl w:val="0"/>
                <w:numId w:val="2"/>
              </w:numPr>
              <w:ind w:left="180" w:hanging="180"/>
              <w:contextualSpacing w:val="0"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9F744D">
              <w:rPr>
                <w:rFonts w:ascii="Arial" w:hAnsi="Arial" w:cs="Arial"/>
                <w:sz w:val="18"/>
                <w:szCs w:val="18"/>
                <w:lang w:val="es-ES"/>
              </w:rPr>
              <w:t>Nombre de la CT:</w:t>
            </w:r>
          </w:p>
        </w:tc>
        <w:tc>
          <w:tcPr>
            <w:tcW w:w="4926" w:type="dxa"/>
          </w:tcPr>
          <w:p w14:paraId="612F4417" w14:textId="28BCCDEF" w:rsidR="00382513" w:rsidRPr="009F744D" w:rsidRDefault="00531100" w:rsidP="002049DE">
            <w:pPr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sz w:val="18"/>
                <w:szCs w:val="18"/>
                <w:lang w:val="es-ES"/>
              </w:rPr>
              <w:t xml:space="preserve">Sistematización de experiencias y apoyo al desarrollo de estrategias en el sector rural de agua y saneamiento </w:t>
            </w:r>
          </w:p>
        </w:tc>
      </w:tr>
      <w:tr w:rsidR="00382513" w:rsidRPr="009F744D" w14:paraId="0888A4CD" w14:textId="77777777" w:rsidTr="00305D2E">
        <w:tc>
          <w:tcPr>
            <w:tcW w:w="3738" w:type="dxa"/>
          </w:tcPr>
          <w:p w14:paraId="4EF968DD" w14:textId="77777777" w:rsidR="00382513" w:rsidRPr="009F744D" w:rsidRDefault="00382513" w:rsidP="002049DE">
            <w:pPr>
              <w:pStyle w:val="ListParagraph"/>
              <w:numPr>
                <w:ilvl w:val="0"/>
                <w:numId w:val="2"/>
              </w:numPr>
              <w:ind w:left="180" w:hanging="180"/>
              <w:contextualSpacing w:val="0"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9F744D">
              <w:rPr>
                <w:rFonts w:ascii="Arial" w:hAnsi="Arial" w:cs="Arial"/>
                <w:sz w:val="18"/>
                <w:szCs w:val="18"/>
                <w:lang w:val="es-ES"/>
              </w:rPr>
              <w:t>Número de CT:</w:t>
            </w:r>
          </w:p>
        </w:tc>
        <w:tc>
          <w:tcPr>
            <w:tcW w:w="4926" w:type="dxa"/>
          </w:tcPr>
          <w:p w14:paraId="5138BBC7" w14:textId="72C0F0FC" w:rsidR="00382513" w:rsidRPr="009F744D" w:rsidRDefault="000922E9" w:rsidP="002049D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RG-T3422</w:t>
            </w:r>
          </w:p>
        </w:tc>
      </w:tr>
      <w:tr w:rsidR="00382513" w:rsidRPr="00022715" w14:paraId="58853D92" w14:textId="77777777" w:rsidTr="00305D2E">
        <w:tc>
          <w:tcPr>
            <w:tcW w:w="3738" w:type="dxa"/>
          </w:tcPr>
          <w:p w14:paraId="7D270856" w14:textId="77777777" w:rsidR="00382513" w:rsidRPr="009F744D" w:rsidRDefault="00382513" w:rsidP="002049DE">
            <w:pPr>
              <w:pStyle w:val="ListParagraph"/>
              <w:numPr>
                <w:ilvl w:val="0"/>
                <w:numId w:val="2"/>
              </w:numPr>
              <w:ind w:left="180" w:hanging="180"/>
              <w:contextualSpacing w:val="0"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9F744D">
              <w:rPr>
                <w:rFonts w:ascii="Arial" w:hAnsi="Arial" w:cs="Arial"/>
                <w:sz w:val="18"/>
                <w:szCs w:val="18"/>
                <w:lang w:val="es-ES"/>
              </w:rPr>
              <w:t>Jefe de Equipo/Miembros:</w:t>
            </w:r>
          </w:p>
        </w:tc>
        <w:tc>
          <w:tcPr>
            <w:tcW w:w="4926" w:type="dxa"/>
          </w:tcPr>
          <w:p w14:paraId="5D77D077" w14:textId="63E71541" w:rsidR="00382513" w:rsidRPr="009F744D" w:rsidRDefault="00531100" w:rsidP="002049DE">
            <w:pPr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sz w:val="18"/>
                <w:szCs w:val="18"/>
                <w:lang w:val="es-ES"/>
              </w:rPr>
              <w:t>María Eugenia de la Peña</w:t>
            </w:r>
            <w:r w:rsidR="00BA32BA">
              <w:rPr>
                <w:rFonts w:ascii="Arial" w:hAnsi="Arial" w:cs="Arial"/>
                <w:sz w:val="18"/>
                <w:szCs w:val="18"/>
                <w:lang w:val="es-ES"/>
              </w:rPr>
              <w:t xml:space="preserve">, </w:t>
            </w:r>
            <w:r w:rsidR="00366058" w:rsidRPr="009F744D">
              <w:rPr>
                <w:rFonts w:ascii="Arial" w:hAnsi="Arial" w:cs="Arial"/>
                <w:sz w:val="18"/>
                <w:szCs w:val="18"/>
                <w:lang w:val="es-ES"/>
              </w:rPr>
              <w:t>Jefe de Equipo</w:t>
            </w:r>
            <w:r w:rsidR="00BA32BA">
              <w:rPr>
                <w:rFonts w:ascii="Arial" w:hAnsi="Arial" w:cs="Arial"/>
                <w:sz w:val="18"/>
                <w:szCs w:val="18"/>
                <w:lang w:val="es-ES"/>
              </w:rPr>
              <w:t xml:space="preserve"> </w:t>
            </w:r>
            <w:r w:rsidR="00BA32BA" w:rsidRPr="009F744D">
              <w:rPr>
                <w:rFonts w:ascii="Arial" w:hAnsi="Arial" w:cs="Arial"/>
                <w:sz w:val="18"/>
                <w:szCs w:val="18"/>
                <w:lang w:val="es-ES"/>
              </w:rPr>
              <w:t>(INE/WSA)</w:t>
            </w:r>
            <w:r w:rsidR="00366058" w:rsidRPr="009F744D">
              <w:rPr>
                <w:rFonts w:ascii="Arial" w:hAnsi="Arial" w:cs="Arial"/>
                <w:sz w:val="18"/>
                <w:szCs w:val="18"/>
                <w:lang w:val="es-ES"/>
              </w:rPr>
              <w:t xml:space="preserve">; </w:t>
            </w:r>
            <w:r>
              <w:rPr>
                <w:rFonts w:ascii="Arial" w:hAnsi="Arial" w:cs="Arial"/>
                <w:sz w:val="18"/>
                <w:szCs w:val="18"/>
                <w:lang w:val="es-ES"/>
              </w:rPr>
              <w:t>Keisuke Sasaki</w:t>
            </w:r>
            <w:r w:rsidR="00BA5AD2">
              <w:rPr>
                <w:rFonts w:ascii="Arial" w:hAnsi="Arial" w:cs="Arial"/>
                <w:sz w:val="18"/>
                <w:szCs w:val="18"/>
                <w:lang w:val="es-ES"/>
              </w:rPr>
              <w:t>,</w:t>
            </w:r>
            <w:r w:rsidR="00366058" w:rsidRPr="009F744D">
              <w:rPr>
                <w:rFonts w:ascii="Arial" w:hAnsi="Arial" w:cs="Arial"/>
                <w:sz w:val="18"/>
                <w:szCs w:val="18"/>
                <w:lang w:val="es-ES"/>
              </w:rPr>
              <w:t xml:space="preserve"> </w:t>
            </w:r>
            <w:r w:rsidR="00BA5AD2">
              <w:rPr>
                <w:rFonts w:ascii="Arial" w:hAnsi="Arial" w:cs="Arial"/>
                <w:sz w:val="18"/>
                <w:szCs w:val="18"/>
                <w:lang w:val="es-ES"/>
              </w:rPr>
              <w:t>Cristina Mecerreyes</w:t>
            </w:r>
            <w:r w:rsidR="00133ED3">
              <w:rPr>
                <w:rFonts w:ascii="Arial" w:hAnsi="Arial" w:cs="Arial"/>
                <w:sz w:val="18"/>
                <w:szCs w:val="18"/>
                <w:lang w:val="es-ES"/>
              </w:rPr>
              <w:t>,</w:t>
            </w:r>
            <w:r w:rsidR="00BA5AD2">
              <w:rPr>
                <w:rFonts w:ascii="Arial" w:hAnsi="Arial" w:cs="Arial"/>
                <w:sz w:val="18"/>
                <w:szCs w:val="18"/>
                <w:lang w:val="es-ES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lang w:val="es-ES"/>
              </w:rPr>
              <w:t>Kleber Machado</w:t>
            </w:r>
            <w:r w:rsidR="00BA5AD2">
              <w:rPr>
                <w:rFonts w:ascii="Arial" w:hAnsi="Arial" w:cs="Arial"/>
                <w:sz w:val="18"/>
                <w:szCs w:val="18"/>
                <w:lang w:val="es-ES"/>
              </w:rPr>
              <w:t>,</w:t>
            </w:r>
            <w:r w:rsidR="00133ED3">
              <w:rPr>
                <w:rFonts w:ascii="Arial" w:hAnsi="Arial" w:cs="Arial"/>
                <w:sz w:val="18"/>
                <w:szCs w:val="18"/>
                <w:lang w:val="es-ES"/>
              </w:rPr>
              <w:t xml:space="preserve"> Manuela Velá</w:t>
            </w:r>
            <w:r w:rsidR="00747FA9">
              <w:rPr>
                <w:rFonts w:ascii="Arial" w:hAnsi="Arial" w:cs="Arial"/>
                <w:sz w:val="18"/>
                <w:szCs w:val="18"/>
                <w:lang w:val="es-ES"/>
              </w:rPr>
              <w:t>s</w:t>
            </w:r>
            <w:r w:rsidR="00133ED3">
              <w:rPr>
                <w:rFonts w:ascii="Arial" w:hAnsi="Arial" w:cs="Arial"/>
                <w:sz w:val="18"/>
                <w:szCs w:val="18"/>
                <w:lang w:val="es-ES"/>
              </w:rPr>
              <w:t>quez,</w:t>
            </w:r>
            <w:r>
              <w:rPr>
                <w:rFonts w:ascii="Arial" w:hAnsi="Arial" w:cs="Arial"/>
                <w:sz w:val="18"/>
                <w:szCs w:val="18"/>
                <w:lang w:val="es-ES"/>
              </w:rPr>
              <w:t xml:space="preserve"> </w:t>
            </w:r>
            <w:r w:rsidR="00366058" w:rsidRPr="009F744D">
              <w:rPr>
                <w:rFonts w:ascii="Arial" w:hAnsi="Arial" w:cs="Arial"/>
                <w:sz w:val="18"/>
                <w:szCs w:val="18"/>
                <w:lang w:val="es-ES"/>
              </w:rPr>
              <w:t>Francisco González</w:t>
            </w:r>
            <w:r w:rsidR="00BA32BA">
              <w:rPr>
                <w:rFonts w:ascii="Arial" w:hAnsi="Arial" w:cs="Arial"/>
                <w:sz w:val="18"/>
                <w:szCs w:val="18"/>
                <w:lang w:val="es-ES"/>
              </w:rPr>
              <w:t>, Celia Bedoya y Marilyn I. Guerrero</w:t>
            </w:r>
            <w:r w:rsidR="00366058" w:rsidRPr="009F744D">
              <w:rPr>
                <w:rFonts w:ascii="Arial" w:hAnsi="Arial" w:cs="Arial"/>
                <w:sz w:val="18"/>
                <w:szCs w:val="18"/>
                <w:lang w:val="es-ES"/>
              </w:rPr>
              <w:t xml:space="preserve"> (INE/WSA);</w:t>
            </w:r>
            <w:r w:rsidR="00370421">
              <w:rPr>
                <w:rFonts w:ascii="Arial" w:hAnsi="Arial" w:cs="Arial"/>
                <w:sz w:val="18"/>
                <w:szCs w:val="18"/>
                <w:lang w:val="es-ES"/>
              </w:rPr>
              <w:t xml:space="preserve"> </w:t>
            </w:r>
            <w:r w:rsidR="006B44D8">
              <w:rPr>
                <w:rFonts w:ascii="Arial" w:hAnsi="Arial" w:cs="Arial"/>
                <w:sz w:val="18"/>
                <w:szCs w:val="18"/>
                <w:lang w:val="es-ES"/>
              </w:rPr>
              <w:t xml:space="preserve">Lourdes Álvarez </w:t>
            </w:r>
            <w:r w:rsidR="00BA32BA">
              <w:rPr>
                <w:rFonts w:ascii="Arial" w:hAnsi="Arial" w:cs="Arial"/>
                <w:sz w:val="18"/>
                <w:szCs w:val="18"/>
                <w:lang w:val="es-ES"/>
              </w:rPr>
              <w:t>(SCL/EDU).</w:t>
            </w:r>
          </w:p>
        </w:tc>
      </w:tr>
      <w:tr w:rsidR="00382513" w:rsidRPr="009F744D" w14:paraId="3BED42E6" w14:textId="77777777" w:rsidTr="00305D2E">
        <w:tc>
          <w:tcPr>
            <w:tcW w:w="3738" w:type="dxa"/>
          </w:tcPr>
          <w:p w14:paraId="0A97E9CD" w14:textId="01C91442" w:rsidR="00382513" w:rsidRPr="009F744D" w:rsidRDefault="001E3E6D" w:rsidP="002049DE">
            <w:pPr>
              <w:pStyle w:val="ListParagraph"/>
              <w:numPr>
                <w:ilvl w:val="0"/>
                <w:numId w:val="2"/>
              </w:numPr>
              <w:ind w:left="180" w:hanging="180"/>
              <w:contextualSpacing w:val="0"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9F744D">
              <w:rPr>
                <w:rFonts w:ascii="Arial" w:hAnsi="Arial" w:cs="Arial"/>
                <w:sz w:val="18"/>
                <w:szCs w:val="18"/>
                <w:lang w:val="es-ES"/>
              </w:rPr>
              <w:t>Taxonomía</w:t>
            </w:r>
            <w:r w:rsidR="00901F7B">
              <w:rPr>
                <w:rFonts w:ascii="Arial" w:hAnsi="Arial" w:cs="Arial"/>
                <w:sz w:val="18"/>
                <w:szCs w:val="18"/>
                <w:lang w:val="es-ES"/>
              </w:rPr>
              <w:t>:</w:t>
            </w:r>
          </w:p>
        </w:tc>
        <w:tc>
          <w:tcPr>
            <w:tcW w:w="4926" w:type="dxa"/>
          </w:tcPr>
          <w:p w14:paraId="00F11633" w14:textId="77777777" w:rsidR="00382513" w:rsidRPr="009F744D" w:rsidRDefault="00366058" w:rsidP="002049DE">
            <w:pPr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9F744D">
              <w:rPr>
                <w:rFonts w:ascii="Arial" w:hAnsi="Arial" w:cs="Arial"/>
                <w:sz w:val="18"/>
                <w:szCs w:val="18"/>
                <w:lang w:val="es-ES"/>
              </w:rPr>
              <w:t>Investigación y Difusión</w:t>
            </w:r>
          </w:p>
        </w:tc>
      </w:tr>
      <w:tr w:rsidR="00194A45" w:rsidRPr="009F744D" w14:paraId="14879A21" w14:textId="77777777" w:rsidTr="00305D2E">
        <w:tc>
          <w:tcPr>
            <w:tcW w:w="3738" w:type="dxa"/>
          </w:tcPr>
          <w:p w14:paraId="182C3704" w14:textId="77777777" w:rsidR="00194A45" w:rsidRPr="009F744D" w:rsidRDefault="00194A45" w:rsidP="002049DE">
            <w:pPr>
              <w:pStyle w:val="ListParagraph"/>
              <w:numPr>
                <w:ilvl w:val="0"/>
                <w:numId w:val="2"/>
              </w:numPr>
              <w:ind w:left="180" w:hanging="180"/>
              <w:contextualSpacing w:val="0"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sz w:val="18"/>
                <w:szCs w:val="18"/>
                <w:lang w:val="es-ES"/>
              </w:rPr>
              <w:t>Si es Apoyo Operativo, proveer número y nombre de la operación que apoyará la CT</w:t>
            </w:r>
          </w:p>
        </w:tc>
        <w:tc>
          <w:tcPr>
            <w:tcW w:w="4926" w:type="dxa"/>
          </w:tcPr>
          <w:p w14:paraId="73476200" w14:textId="77777777" w:rsidR="00194A45" w:rsidRPr="009F744D" w:rsidRDefault="00194A45" w:rsidP="002049DE">
            <w:pPr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sz w:val="18"/>
                <w:szCs w:val="18"/>
                <w:lang w:val="es-ES"/>
              </w:rPr>
              <w:t>N/A</w:t>
            </w:r>
          </w:p>
        </w:tc>
      </w:tr>
      <w:tr w:rsidR="00804876" w:rsidRPr="002012E4" w14:paraId="0F686233" w14:textId="77777777" w:rsidTr="00305D2E">
        <w:tc>
          <w:tcPr>
            <w:tcW w:w="3738" w:type="dxa"/>
          </w:tcPr>
          <w:p w14:paraId="3130AED8" w14:textId="77777777" w:rsidR="00804876" w:rsidRPr="009F744D" w:rsidRDefault="00804876" w:rsidP="002049DE">
            <w:pPr>
              <w:pStyle w:val="ListParagraph"/>
              <w:numPr>
                <w:ilvl w:val="0"/>
                <w:numId w:val="2"/>
              </w:numPr>
              <w:ind w:left="180" w:hanging="180"/>
              <w:contextualSpacing w:val="0"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9F744D">
              <w:rPr>
                <w:rFonts w:ascii="Arial" w:hAnsi="Arial" w:cs="Arial"/>
                <w:sz w:val="18"/>
                <w:szCs w:val="18"/>
                <w:lang w:val="es-ES"/>
              </w:rPr>
              <w:t>Referencia a la solicitud (IDBDOCS #)</w:t>
            </w:r>
          </w:p>
        </w:tc>
        <w:tc>
          <w:tcPr>
            <w:tcW w:w="4926" w:type="dxa"/>
          </w:tcPr>
          <w:p w14:paraId="33B0598E" w14:textId="77777777" w:rsidR="00804876" w:rsidRPr="009F744D" w:rsidRDefault="00194A45" w:rsidP="002049DE">
            <w:pPr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sz w:val="18"/>
                <w:szCs w:val="18"/>
                <w:lang w:val="es-ES"/>
              </w:rPr>
              <w:t>N/A</w:t>
            </w:r>
          </w:p>
        </w:tc>
      </w:tr>
      <w:tr w:rsidR="00194A45" w:rsidRPr="002012E4" w14:paraId="7D171CFB" w14:textId="77777777" w:rsidTr="00305D2E">
        <w:tc>
          <w:tcPr>
            <w:tcW w:w="3738" w:type="dxa"/>
          </w:tcPr>
          <w:p w14:paraId="328BE830" w14:textId="77777777" w:rsidR="00194A45" w:rsidRPr="009F744D" w:rsidRDefault="00194A45" w:rsidP="002049DE">
            <w:pPr>
              <w:pStyle w:val="ListParagraph"/>
              <w:numPr>
                <w:ilvl w:val="0"/>
                <w:numId w:val="2"/>
              </w:numPr>
              <w:ind w:left="180" w:hanging="180"/>
              <w:contextualSpacing w:val="0"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sz w:val="18"/>
                <w:szCs w:val="18"/>
                <w:lang w:val="es-ES"/>
              </w:rPr>
              <w:t>Fecha del Abstracto de CT</w:t>
            </w:r>
          </w:p>
        </w:tc>
        <w:tc>
          <w:tcPr>
            <w:tcW w:w="4926" w:type="dxa"/>
          </w:tcPr>
          <w:p w14:paraId="3C5752FA" w14:textId="0700EACA" w:rsidR="00194A45" w:rsidRDefault="00531100" w:rsidP="002049DE">
            <w:pPr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sz w:val="18"/>
                <w:szCs w:val="18"/>
                <w:lang w:val="es-ES"/>
              </w:rPr>
              <w:t>Enero</w:t>
            </w:r>
            <w:r w:rsidR="00194A45">
              <w:rPr>
                <w:rFonts w:ascii="Arial" w:hAnsi="Arial" w:cs="Arial"/>
                <w:sz w:val="18"/>
                <w:szCs w:val="18"/>
                <w:lang w:val="es-ES"/>
              </w:rPr>
              <w:t xml:space="preserve"> </w:t>
            </w:r>
            <w:r w:rsidR="00E94DAA">
              <w:rPr>
                <w:rFonts w:ascii="Arial" w:hAnsi="Arial" w:cs="Arial"/>
                <w:sz w:val="18"/>
                <w:szCs w:val="18"/>
                <w:lang w:val="es-ES"/>
              </w:rPr>
              <w:t>24</w:t>
            </w:r>
            <w:r w:rsidR="00194A45">
              <w:rPr>
                <w:rFonts w:ascii="Arial" w:hAnsi="Arial" w:cs="Arial"/>
                <w:sz w:val="18"/>
                <w:szCs w:val="18"/>
                <w:lang w:val="es-ES"/>
              </w:rPr>
              <w:t>, 201</w:t>
            </w:r>
            <w:r>
              <w:rPr>
                <w:rFonts w:ascii="Arial" w:hAnsi="Arial" w:cs="Arial"/>
                <w:sz w:val="18"/>
                <w:szCs w:val="18"/>
                <w:lang w:val="es-ES"/>
              </w:rPr>
              <w:t>9</w:t>
            </w:r>
          </w:p>
        </w:tc>
      </w:tr>
      <w:tr w:rsidR="000C16F9" w:rsidRPr="00022715" w14:paraId="20005F22" w14:textId="77777777" w:rsidTr="00305D2E">
        <w:tc>
          <w:tcPr>
            <w:tcW w:w="3738" w:type="dxa"/>
          </w:tcPr>
          <w:p w14:paraId="7ABFB30E" w14:textId="77777777" w:rsidR="009F33FF" w:rsidRPr="009F744D" w:rsidRDefault="009F33FF" w:rsidP="002049DE">
            <w:pPr>
              <w:pStyle w:val="ListParagraph"/>
              <w:numPr>
                <w:ilvl w:val="0"/>
                <w:numId w:val="2"/>
              </w:numPr>
              <w:ind w:left="180" w:hanging="180"/>
              <w:contextualSpacing w:val="0"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9F744D">
              <w:rPr>
                <w:rFonts w:ascii="Arial" w:hAnsi="Arial" w:cs="Arial"/>
                <w:sz w:val="18"/>
                <w:szCs w:val="18"/>
                <w:lang w:val="es-ES"/>
              </w:rPr>
              <w:t>Beneficiar</w:t>
            </w:r>
            <w:r w:rsidR="0091508A" w:rsidRPr="009F744D">
              <w:rPr>
                <w:rFonts w:ascii="Arial" w:hAnsi="Arial" w:cs="Arial"/>
                <w:sz w:val="18"/>
                <w:szCs w:val="18"/>
                <w:lang w:val="es-ES"/>
              </w:rPr>
              <w:t>io</w:t>
            </w:r>
            <w:r w:rsidRPr="009F744D">
              <w:rPr>
                <w:rFonts w:ascii="Arial" w:hAnsi="Arial" w:cs="Arial"/>
                <w:sz w:val="18"/>
                <w:szCs w:val="18"/>
                <w:lang w:val="es-ES"/>
              </w:rPr>
              <w:t>:</w:t>
            </w:r>
          </w:p>
        </w:tc>
        <w:tc>
          <w:tcPr>
            <w:tcW w:w="4926" w:type="dxa"/>
          </w:tcPr>
          <w:p w14:paraId="27451341" w14:textId="77777777" w:rsidR="009F33FF" w:rsidRPr="009F744D" w:rsidRDefault="00366058" w:rsidP="002049DE">
            <w:pPr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9F744D">
              <w:rPr>
                <w:rFonts w:ascii="Arial" w:hAnsi="Arial" w:cs="Arial"/>
                <w:sz w:val="18"/>
                <w:szCs w:val="18"/>
                <w:lang w:val="es-ES"/>
              </w:rPr>
              <w:t>Regional - Países de Latinoamérica</w:t>
            </w:r>
            <w:r w:rsidR="00194A45">
              <w:rPr>
                <w:rFonts w:ascii="Arial" w:hAnsi="Arial" w:cs="Arial"/>
                <w:sz w:val="18"/>
                <w:szCs w:val="18"/>
                <w:lang w:val="es-ES"/>
              </w:rPr>
              <w:t xml:space="preserve"> y Caribe</w:t>
            </w:r>
          </w:p>
        </w:tc>
      </w:tr>
      <w:tr w:rsidR="000C16F9" w:rsidRPr="00022715" w14:paraId="1FFB5F1D" w14:textId="77777777" w:rsidTr="00305D2E">
        <w:tc>
          <w:tcPr>
            <w:tcW w:w="3738" w:type="dxa"/>
          </w:tcPr>
          <w:p w14:paraId="494E6FDF" w14:textId="77777777" w:rsidR="009F33FF" w:rsidRPr="009F744D" w:rsidRDefault="0091508A" w:rsidP="002049DE">
            <w:pPr>
              <w:pStyle w:val="ListParagraph"/>
              <w:numPr>
                <w:ilvl w:val="0"/>
                <w:numId w:val="2"/>
              </w:numPr>
              <w:ind w:left="180" w:hanging="180"/>
              <w:contextualSpacing w:val="0"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9F744D">
              <w:rPr>
                <w:rFonts w:ascii="Arial" w:hAnsi="Arial" w:cs="Arial"/>
                <w:sz w:val="18"/>
                <w:szCs w:val="18"/>
                <w:lang w:val="es-ES"/>
              </w:rPr>
              <w:t>Agencia</w:t>
            </w:r>
            <w:r w:rsidR="00382513" w:rsidRPr="009F744D">
              <w:rPr>
                <w:rFonts w:ascii="Arial" w:hAnsi="Arial" w:cs="Arial"/>
                <w:sz w:val="18"/>
                <w:szCs w:val="18"/>
                <w:lang w:val="es-ES"/>
              </w:rPr>
              <w:t xml:space="preserve"> Ejecutora y nombre de contacto</w:t>
            </w:r>
          </w:p>
        </w:tc>
        <w:tc>
          <w:tcPr>
            <w:tcW w:w="4926" w:type="dxa"/>
          </w:tcPr>
          <w:p w14:paraId="45FDF17F" w14:textId="6A2148F5" w:rsidR="009F33FF" w:rsidRDefault="001D1D66" w:rsidP="002049DE">
            <w:pPr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sz w:val="18"/>
                <w:szCs w:val="18"/>
                <w:lang w:val="es-ES"/>
              </w:rPr>
              <w:t>INE/WSA</w:t>
            </w:r>
            <w:r w:rsidR="00F22D13">
              <w:rPr>
                <w:rFonts w:ascii="Arial" w:hAnsi="Arial" w:cs="Arial"/>
                <w:sz w:val="18"/>
                <w:szCs w:val="18"/>
                <w:lang w:val="es-ES"/>
              </w:rPr>
              <w:t xml:space="preserve"> - </w:t>
            </w:r>
            <w:r w:rsidR="001E3E6D" w:rsidRPr="009F744D">
              <w:rPr>
                <w:rFonts w:ascii="Arial" w:hAnsi="Arial" w:cs="Arial"/>
                <w:sz w:val="18"/>
                <w:szCs w:val="18"/>
                <w:lang w:val="es-ES"/>
              </w:rPr>
              <w:t>Banco Interamericano de Desarrollo</w:t>
            </w:r>
            <w:r w:rsidR="00194A45">
              <w:rPr>
                <w:rFonts w:ascii="Arial" w:hAnsi="Arial" w:cs="Arial"/>
                <w:sz w:val="18"/>
                <w:szCs w:val="18"/>
                <w:lang w:val="es-ES"/>
              </w:rPr>
              <w:t xml:space="preserve"> </w:t>
            </w:r>
            <w:r w:rsidR="001E3E6D" w:rsidRPr="009F744D">
              <w:rPr>
                <w:rFonts w:ascii="Arial" w:hAnsi="Arial" w:cs="Arial"/>
                <w:sz w:val="18"/>
                <w:szCs w:val="18"/>
                <w:lang w:val="es-ES"/>
              </w:rPr>
              <w:t xml:space="preserve"> </w:t>
            </w:r>
          </w:p>
          <w:p w14:paraId="612693A7" w14:textId="209F1EEA" w:rsidR="00F22D13" w:rsidRPr="009F744D" w:rsidRDefault="00F22D13" w:rsidP="00AB22FA">
            <w:pPr>
              <w:rPr>
                <w:rFonts w:ascii="Arial" w:hAnsi="Arial" w:cs="Arial"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sz w:val="18"/>
                <w:szCs w:val="18"/>
                <w:lang w:val="es-ES"/>
              </w:rPr>
              <w:t>Contacto: María Eugenia de la Peña (mdelapena@iadb.org)</w:t>
            </w:r>
          </w:p>
        </w:tc>
      </w:tr>
      <w:tr w:rsidR="00336451" w:rsidRPr="00022715" w14:paraId="5CFFE102" w14:textId="77777777" w:rsidTr="00305D2E">
        <w:tc>
          <w:tcPr>
            <w:tcW w:w="3738" w:type="dxa"/>
          </w:tcPr>
          <w:p w14:paraId="097C8F2A" w14:textId="77777777" w:rsidR="00DA5D1E" w:rsidRPr="009F744D" w:rsidRDefault="00DA5D1E" w:rsidP="002049DE">
            <w:pPr>
              <w:pStyle w:val="ListParagraph"/>
              <w:numPr>
                <w:ilvl w:val="0"/>
                <w:numId w:val="2"/>
              </w:numPr>
              <w:ind w:left="180" w:hanging="180"/>
              <w:contextualSpacing w:val="0"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9F744D">
              <w:rPr>
                <w:rFonts w:ascii="Arial" w:hAnsi="Arial" w:cs="Arial"/>
                <w:sz w:val="18"/>
                <w:szCs w:val="18"/>
                <w:lang w:val="es-ES"/>
              </w:rPr>
              <w:t>Financiamiento Solicitado del BID:</w:t>
            </w:r>
          </w:p>
        </w:tc>
        <w:tc>
          <w:tcPr>
            <w:tcW w:w="4926" w:type="dxa"/>
          </w:tcPr>
          <w:p w14:paraId="0A8CF782" w14:textId="6323090F" w:rsidR="00DA5D1E" w:rsidRPr="009F744D" w:rsidRDefault="00DA5D1E" w:rsidP="00A76059">
            <w:pPr>
              <w:rPr>
                <w:rFonts w:ascii="Arial" w:hAnsi="Arial" w:cs="Arial"/>
                <w:sz w:val="18"/>
                <w:szCs w:val="18"/>
                <w:lang w:val="es-ES"/>
              </w:rPr>
            </w:pPr>
            <w:bookmarkStart w:id="0" w:name="_Hlk523403739"/>
            <w:r w:rsidRPr="00A76059">
              <w:rPr>
                <w:rFonts w:ascii="Arial" w:hAnsi="Arial" w:cs="Arial"/>
                <w:sz w:val="18"/>
                <w:szCs w:val="18"/>
                <w:lang w:val="es-ES"/>
              </w:rPr>
              <w:t>US$</w:t>
            </w:r>
            <w:bookmarkEnd w:id="0"/>
            <w:r w:rsidR="0098564A">
              <w:rPr>
                <w:rFonts w:ascii="Arial" w:hAnsi="Arial" w:cs="Arial"/>
                <w:sz w:val="18"/>
                <w:szCs w:val="18"/>
                <w:lang w:val="es-ES"/>
              </w:rPr>
              <w:t>3</w:t>
            </w:r>
            <w:r w:rsidR="00531100" w:rsidRPr="00A76059">
              <w:rPr>
                <w:rFonts w:ascii="Arial" w:hAnsi="Arial" w:cs="Arial"/>
                <w:sz w:val="18"/>
                <w:szCs w:val="18"/>
                <w:lang w:val="es-ES"/>
              </w:rPr>
              <w:t>00</w:t>
            </w:r>
            <w:r w:rsidRPr="00A76059">
              <w:rPr>
                <w:rFonts w:ascii="Arial" w:hAnsi="Arial" w:cs="Arial"/>
                <w:sz w:val="18"/>
                <w:szCs w:val="18"/>
                <w:lang w:val="es-ES"/>
              </w:rPr>
              <w:t>.000</w:t>
            </w:r>
            <w:r w:rsidR="00AB22FA" w:rsidRPr="00A76059">
              <w:rPr>
                <w:rFonts w:ascii="Arial" w:hAnsi="Arial" w:cs="Arial"/>
                <w:sz w:val="18"/>
                <w:szCs w:val="18"/>
                <w:lang w:val="es-ES"/>
              </w:rPr>
              <w:t xml:space="preserve"> </w:t>
            </w:r>
            <w:r w:rsidR="00A76059" w:rsidRPr="00A76059">
              <w:rPr>
                <w:rFonts w:ascii="Arial" w:hAnsi="Arial" w:cs="Arial"/>
                <w:sz w:val="18"/>
                <w:szCs w:val="18"/>
                <w:lang w:val="es-ES"/>
              </w:rPr>
              <w:t>(</w:t>
            </w:r>
            <w:r w:rsidR="00AB22FA" w:rsidRPr="00A76059">
              <w:rPr>
                <w:rFonts w:ascii="Arial" w:hAnsi="Arial" w:cs="Arial"/>
                <w:sz w:val="18"/>
                <w:szCs w:val="18"/>
                <w:lang w:val="es-ES"/>
              </w:rPr>
              <w:t>Unión Europea - LAIF Regional</w:t>
            </w:r>
            <w:r w:rsidR="00AB22FA" w:rsidRPr="00A76059">
              <w:rPr>
                <w:rStyle w:val="FootnoteReference"/>
                <w:rFonts w:ascii="Arial" w:hAnsi="Arial" w:cs="Arial"/>
                <w:sz w:val="18"/>
                <w:szCs w:val="18"/>
                <w:lang w:val="es-ES"/>
              </w:rPr>
              <w:footnoteReference w:id="1"/>
            </w:r>
            <w:r w:rsidR="00AB22FA" w:rsidRPr="00A76059">
              <w:rPr>
                <w:rFonts w:ascii="Arial" w:hAnsi="Arial" w:cs="Arial"/>
                <w:sz w:val="18"/>
                <w:szCs w:val="18"/>
                <w:lang w:val="es-ES"/>
              </w:rPr>
              <w:t>)</w:t>
            </w:r>
          </w:p>
        </w:tc>
      </w:tr>
      <w:tr w:rsidR="000C16F9" w:rsidRPr="009F744D" w14:paraId="43D0090E" w14:textId="77777777" w:rsidTr="00305D2E">
        <w:tc>
          <w:tcPr>
            <w:tcW w:w="3738" w:type="dxa"/>
          </w:tcPr>
          <w:p w14:paraId="73E7EFD8" w14:textId="54206320" w:rsidR="009F33FF" w:rsidRPr="009F744D" w:rsidRDefault="00AD0781" w:rsidP="002049DE">
            <w:pPr>
              <w:pStyle w:val="ListParagraph"/>
              <w:numPr>
                <w:ilvl w:val="0"/>
                <w:numId w:val="2"/>
              </w:numPr>
              <w:ind w:left="180" w:hanging="180"/>
              <w:contextualSpacing w:val="0"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sz w:val="18"/>
                <w:szCs w:val="18"/>
                <w:lang w:val="es-ES"/>
              </w:rPr>
              <w:t>Contrapartida</w:t>
            </w:r>
            <w:r w:rsidR="00804876" w:rsidRPr="009F744D">
              <w:rPr>
                <w:rFonts w:ascii="Arial" w:hAnsi="Arial" w:cs="Arial"/>
                <w:sz w:val="18"/>
                <w:szCs w:val="18"/>
                <w:lang w:val="es-ES"/>
              </w:rPr>
              <w:t xml:space="preserve"> </w:t>
            </w:r>
            <w:r w:rsidR="009F33FF" w:rsidRPr="009F744D">
              <w:rPr>
                <w:rFonts w:ascii="Arial" w:hAnsi="Arial" w:cs="Arial"/>
                <w:sz w:val="18"/>
                <w:szCs w:val="18"/>
                <w:lang w:val="es-ES"/>
              </w:rPr>
              <w:t>Local</w:t>
            </w:r>
            <w:r>
              <w:rPr>
                <w:rFonts w:ascii="Arial" w:hAnsi="Arial" w:cs="Arial"/>
                <w:sz w:val="18"/>
                <w:szCs w:val="18"/>
                <w:lang w:val="es-ES"/>
              </w:rPr>
              <w:t>, si hay</w:t>
            </w:r>
            <w:r w:rsidR="00804876" w:rsidRPr="009F744D">
              <w:rPr>
                <w:rFonts w:ascii="Arial" w:hAnsi="Arial" w:cs="Arial"/>
                <w:sz w:val="18"/>
                <w:szCs w:val="18"/>
                <w:lang w:val="es-ES"/>
              </w:rPr>
              <w:t>:</w:t>
            </w:r>
          </w:p>
        </w:tc>
        <w:tc>
          <w:tcPr>
            <w:tcW w:w="4926" w:type="dxa"/>
          </w:tcPr>
          <w:p w14:paraId="23E92F80" w14:textId="77777777" w:rsidR="009F33FF" w:rsidRPr="009F744D" w:rsidRDefault="00382513" w:rsidP="002049DE">
            <w:pPr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9F744D">
              <w:rPr>
                <w:rFonts w:ascii="Arial" w:hAnsi="Arial" w:cs="Arial"/>
                <w:sz w:val="18"/>
                <w:szCs w:val="18"/>
                <w:lang w:val="es-ES"/>
              </w:rPr>
              <w:t>N/A</w:t>
            </w:r>
          </w:p>
        </w:tc>
      </w:tr>
      <w:tr w:rsidR="0098564A" w:rsidRPr="0098564A" w14:paraId="36924AD3" w14:textId="77777777" w:rsidTr="0098564A">
        <w:tc>
          <w:tcPr>
            <w:tcW w:w="3738" w:type="dxa"/>
          </w:tcPr>
          <w:p w14:paraId="1EF849D6" w14:textId="709967E9" w:rsidR="0098564A" w:rsidRPr="009F744D" w:rsidRDefault="0098564A" w:rsidP="002049DE">
            <w:pPr>
              <w:pStyle w:val="ListParagraph"/>
              <w:numPr>
                <w:ilvl w:val="0"/>
                <w:numId w:val="2"/>
              </w:numPr>
              <w:ind w:left="180" w:hanging="180"/>
              <w:contextualSpacing w:val="0"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9F744D">
              <w:rPr>
                <w:rFonts w:ascii="Arial" w:hAnsi="Arial" w:cs="Arial"/>
                <w:sz w:val="18"/>
                <w:szCs w:val="18"/>
                <w:lang w:val="es-ES"/>
              </w:rPr>
              <w:t>Periodo de</w:t>
            </w:r>
            <w:r>
              <w:rPr>
                <w:rFonts w:ascii="Arial" w:hAnsi="Arial" w:cs="Arial"/>
                <w:sz w:val="18"/>
                <w:szCs w:val="18"/>
                <w:lang w:val="es-ES"/>
              </w:rPr>
              <w:t xml:space="preserve"> Ejecución </w:t>
            </w:r>
          </w:p>
        </w:tc>
        <w:tc>
          <w:tcPr>
            <w:tcW w:w="4926" w:type="dxa"/>
          </w:tcPr>
          <w:p w14:paraId="363551DD" w14:textId="55CDB8EA" w:rsidR="00A7257A" w:rsidRPr="009F744D" w:rsidRDefault="00A7257A" w:rsidP="00AB22FA">
            <w:pPr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A7257A">
              <w:rPr>
                <w:rFonts w:ascii="Arial" w:hAnsi="Arial" w:cs="Arial"/>
                <w:sz w:val="18"/>
                <w:szCs w:val="18"/>
                <w:lang w:val="es-ES"/>
              </w:rPr>
              <w:t xml:space="preserve">Ejecución: </w:t>
            </w:r>
            <w:r>
              <w:rPr>
                <w:rFonts w:ascii="Arial" w:hAnsi="Arial" w:cs="Arial"/>
                <w:sz w:val="18"/>
                <w:szCs w:val="18"/>
                <w:lang w:val="es-ES"/>
              </w:rPr>
              <w:t>18</w:t>
            </w:r>
            <w:r w:rsidRPr="00A7257A">
              <w:rPr>
                <w:rFonts w:ascii="Arial" w:hAnsi="Arial" w:cs="Arial"/>
                <w:sz w:val="18"/>
                <w:szCs w:val="18"/>
                <w:lang w:val="es-ES"/>
              </w:rPr>
              <w:t xml:space="preserve"> meses</w:t>
            </w:r>
          </w:p>
        </w:tc>
      </w:tr>
      <w:tr w:rsidR="000C16F9" w:rsidRPr="009F744D" w14:paraId="19C83E0F" w14:textId="77777777" w:rsidTr="00305D2E">
        <w:tc>
          <w:tcPr>
            <w:tcW w:w="3738" w:type="dxa"/>
          </w:tcPr>
          <w:p w14:paraId="254D5BB1" w14:textId="61F9463F" w:rsidR="009F33FF" w:rsidRPr="009F744D" w:rsidRDefault="00E33333" w:rsidP="002049DE">
            <w:pPr>
              <w:pStyle w:val="ListParagraph"/>
              <w:numPr>
                <w:ilvl w:val="0"/>
                <w:numId w:val="2"/>
              </w:numPr>
              <w:ind w:left="180" w:hanging="180"/>
              <w:contextualSpacing w:val="0"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9F744D">
              <w:rPr>
                <w:rFonts w:ascii="Arial" w:hAnsi="Arial" w:cs="Arial"/>
                <w:sz w:val="18"/>
                <w:szCs w:val="18"/>
                <w:lang w:val="es-ES"/>
              </w:rPr>
              <w:t>Fecha de Inicio</w:t>
            </w:r>
            <w:r w:rsidR="00336451">
              <w:rPr>
                <w:rFonts w:ascii="Arial" w:hAnsi="Arial" w:cs="Arial"/>
                <w:sz w:val="18"/>
                <w:szCs w:val="18"/>
                <w:lang w:val="es-ES"/>
              </w:rPr>
              <w:t xml:space="preserve"> Requerido</w:t>
            </w:r>
            <w:r w:rsidR="009F33FF" w:rsidRPr="009F744D">
              <w:rPr>
                <w:rFonts w:ascii="Arial" w:hAnsi="Arial" w:cs="Arial"/>
                <w:sz w:val="18"/>
                <w:szCs w:val="18"/>
                <w:lang w:val="es-ES"/>
              </w:rPr>
              <w:t>:</w:t>
            </w:r>
          </w:p>
        </w:tc>
        <w:tc>
          <w:tcPr>
            <w:tcW w:w="4926" w:type="dxa"/>
          </w:tcPr>
          <w:p w14:paraId="23C36361" w14:textId="2BB6D071" w:rsidR="009F33FF" w:rsidRPr="009F744D" w:rsidRDefault="00022715" w:rsidP="002049DE">
            <w:pPr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sz w:val="18"/>
                <w:szCs w:val="18"/>
                <w:lang w:val="es-ES"/>
              </w:rPr>
              <w:t>julio</w:t>
            </w:r>
            <w:r w:rsidR="0098564A">
              <w:rPr>
                <w:rFonts w:ascii="Arial" w:hAnsi="Arial" w:cs="Arial"/>
                <w:sz w:val="18"/>
                <w:szCs w:val="18"/>
                <w:lang w:val="es-ES"/>
              </w:rPr>
              <w:t xml:space="preserve"> de </w:t>
            </w:r>
            <w:r w:rsidR="00366058" w:rsidRPr="009F744D">
              <w:rPr>
                <w:rFonts w:ascii="Arial" w:hAnsi="Arial" w:cs="Arial"/>
                <w:sz w:val="18"/>
                <w:szCs w:val="18"/>
                <w:lang w:val="es-ES"/>
              </w:rPr>
              <w:t>201</w:t>
            </w:r>
            <w:r w:rsidR="00531100">
              <w:rPr>
                <w:rFonts w:ascii="Arial" w:hAnsi="Arial" w:cs="Arial"/>
                <w:sz w:val="18"/>
                <w:szCs w:val="18"/>
                <w:lang w:val="es-ES"/>
              </w:rPr>
              <w:t>9</w:t>
            </w:r>
          </w:p>
        </w:tc>
      </w:tr>
      <w:tr w:rsidR="000C16F9" w:rsidRPr="00022715" w14:paraId="3A757228" w14:textId="77777777" w:rsidTr="00305D2E">
        <w:tc>
          <w:tcPr>
            <w:tcW w:w="3738" w:type="dxa"/>
          </w:tcPr>
          <w:p w14:paraId="3201734E" w14:textId="029CF4AC" w:rsidR="009F33FF" w:rsidRPr="009F744D" w:rsidRDefault="00E33333" w:rsidP="002049DE">
            <w:pPr>
              <w:pStyle w:val="ListParagraph"/>
              <w:numPr>
                <w:ilvl w:val="0"/>
                <w:numId w:val="2"/>
              </w:numPr>
              <w:ind w:left="180" w:hanging="180"/>
              <w:contextualSpacing w:val="0"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9F744D">
              <w:rPr>
                <w:rFonts w:ascii="Arial" w:hAnsi="Arial" w:cs="Arial"/>
                <w:sz w:val="18"/>
                <w:szCs w:val="18"/>
                <w:lang w:val="es-ES"/>
              </w:rPr>
              <w:t>Tipos de consultor</w:t>
            </w:r>
            <w:r w:rsidR="00336451">
              <w:rPr>
                <w:rFonts w:ascii="Arial" w:hAnsi="Arial" w:cs="Arial"/>
                <w:sz w:val="18"/>
                <w:szCs w:val="18"/>
                <w:lang w:val="es-ES"/>
              </w:rPr>
              <w:t>es (firmas o consultores individuales)</w:t>
            </w:r>
            <w:r w:rsidR="00804876" w:rsidRPr="009F744D">
              <w:rPr>
                <w:rFonts w:ascii="Arial" w:hAnsi="Arial" w:cs="Arial"/>
                <w:sz w:val="18"/>
                <w:szCs w:val="18"/>
                <w:lang w:val="es-ES"/>
              </w:rPr>
              <w:t>:</w:t>
            </w:r>
          </w:p>
        </w:tc>
        <w:tc>
          <w:tcPr>
            <w:tcW w:w="4926" w:type="dxa"/>
          </w:tcPr>
          <w:p w14:paraId="7CB15777" w14:textId="719121DA" w:rsidR="009F33FF" w:rsidRPr="009F744D" w:rsidRDefault="00382513" w:rsidP="002049DE">
            <w:pPr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9F744D">
              <w:rPr>
                <w:rFonts w:ascii="Arial" w:hAnsi="Arial" w:cs="Arial"/>
                <w:sz w:val="18"/>
                <w:szCs w:val="18"/>
                <w:lang w:val="es-ES"/>
              </w:rPr>
              <w:t>Firmas y consultores individuales</w:t>
            </w:r>
            <w:r w:rsidR="00804876" w:rsidRPr="009F744D">
              <w:rPr>
                <w:rFonts w:ascii="Arial" w:hAnsi="Arial" w:cs="Arial"/>
                <w:sz w:val="18"/>
                <w:szCs w:val="18"/>
                <w:lang w:val="es-ES"/>
              </w:rPr>
              <w:t xml:space="preserve"> internacionales y </w:t>
            </w:r>
            <w:r w:rsidR="00305D2E">
              <w:rPr>
                <w:rFonts w:ascii="Arial" w:hAnsi="Arial" w:cs="Arial"/>
                <w:sz w:val="18"/>
                <w:szCs w:val="18"/>
                <w:lang w:val="es-ES"/>
              </w:rPr>
              <w:t>nacionales</w:t>
            </w:r>
          </w:p>
        </w:tc>
      </w:tr>
      <w:tr w:rsidR="000C16F9" w:rsidRPr="00022715" w14:paraId="42342E37" w14:textId="77777777" w:rsidTr="00305D2E">
        <w:tc>
          <w:tcPr>
            <w:tcW w:w="3738" w:type="dxa"/>
          </w:tcPr>
          <w:p w14:paraId="46A9412C" w14:textId="77777777" w:rsidR="009F33FF" w:rsidRPr="009F744D" w:rsidRDefault="00E33333" w:rsidP="002049DE">
            <w:pPr>
              <w:pStyle w:val="ListParagraph"/>
              <w:numPr>
                <w:ilvl w:val="0"/>
                <w:numId w:val="2"/>
              </w:numPr>
              <w:ind w:left="180" w:hanging="180"/>
              <w:contextualSpacing w:val="0"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9F744D">
              <w:rPr>
                <w:rFonts w:ascii="Arial" w:hAnsi="Arial" w:cs="Arial"/>
                <w:sz w:val="18"/>
                <w:szCs w:val="18"/>
                <w:lang w:val="es-ES"/>
              </w:rPr>
              <w:t>Unidad de Preparación</w:t>
            </w:r>
            <w:r w:rsidR="009F33FF" w:rsidRPr="009F744D">
              <w:rPr>
                <w:rFonts w:ascii="Arial" w:hAnsi="Arial" w:cs="Arial"/>
                <w:sz w:val="18"/>
                <w:szCs w:val="18"/>
                <w:lang w:val="es-ES"/>
              </w:rPr>
              <w:t>:</w:t>
            </w:r>
          </w:p>
        </w:tc>
        <w:tc>
          <w:tcPr>
            <w:tcW w:w="4926" w:type="dxa"/>
          </w:tcPr>
          <w:p w14:paraId="66360A40" w14:textId="55CBA3D2" w:rsidR="009F33FF" w:rsidRPr="009F744D" w:rsidRDefault="00022715" w:rsidP="002049DE">
            <w:pPr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022715">
              <w:rPr>
                <w:rFonts w:ascii="Arial" w:hAnsi="Arial" w:cs="Arial"/>
                <w:sz w:val="18"/>
                <w:szCs w:val="18"/>
                <w:lang w:val="es-ES"/>
              </w:rPr>
              <w:t>División de Agua y Saneamiento (INE/WSA)</w:t>
            </w:r>
          </w:p>
        </w:tc>
      </w:tr>
      <w:tr w:rsidR="000C16F9" w:rsidRPr="00022715" w14:paraId="49F9FC73" w14:textId="77777777" w:rsidTr="00305D2E">
        <w:tc>
          <w:tcPr>
            <w:tcW w:w="3738" w:type="dxa"/>
          </w:tcPr>
          <w:p w14:paraId="66DDBC36" w14:textId="6D461C83" w:rsidR="009F33FF" w:rsidRPr="009F744D" w:rsidRDefault="009F33FF" w:rsidP="002049DE">
            <w:pPr>
              <w:pStyle w:val="ListParagraph"/>
              <w:numPr>
                <w:ilvl w:val="0"/>
                <w:numId w:val="2"/>
              </w:numPr>
              <w:ind w:left="180" w:hanging="180"/>
              <w:contextualSpacing w:val="0"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9F744D">
              <w:rPr>
                <w:rFonts w:ascii="Arial" w:hAnsi="Arial" w:cs="Arial"/>
                <w:sz w:val="18"/>
                <w:szCs w:val="18"/>
                <w:lang w:val="es-ES"/>
              </w:rPr>
              <w:t>Uni</w:t>
            </w:r>
            <w:r w:rsidR="00E33333" w:rsidRPr="009F744D">
              <w:rPr>
                <w:rFonts w:ascii="Arial" w:hAnsi="Arial" w:cs="Arial"/>
                <w:sz w:val="18"/>
                <w:szCs w:val="18"/>
                <w:lang w:val="es-ES"/>
              </w:rPr>
              <w:t>dad Responsab</w:t>
            </w:r>
            <w:r w:rsidR="00F50742" w:rsidRPr="009F744D">
              <w:rPr>
                <w:rFonts w:ascii="Arial" w:hAnsi="Arial" w:cs="Arial"/>
                <w:sz w:val="18"/>
                <w:szCs w:val="18"/>
                <w:lang w:val="es-ES"/>
              </w:rPr>
              <w:t>le</w:t>
            </w:r>
            <w:r w:rsidR="00E33333" w:rsidRPr="009F744D">
              <w:rPr>
                <w:rFonts w:ascii="Arial" w:hAnsi="Arial" w:cs="Arial"/>
                <w:sz w:val="18"/>
                <w:szCs w:val="18"/>
                <w:lang w:val="es-ES"/>
              </w:rPr>
              <w:t xml:space="preserve"> de </w:t>
            </w:r>
            <w:r w:rsidR="00804876" w:rsidRPr="009F744D">
              <w:rPr>
                <w:rFonts w:ascii="Arial" w:hAnsi="Arial" w:cs="Arial"/>
                <w:sz w:val="18"/>
                <w:szCs w:val="18"/>
                <w:lang w:val="es-ES"/>
              </w:rPr>
              <w:t>d</w:t>
            </w:r>
            <w:r w:rsidR="00E33333" w:rsidRPr="009F744D">
              <w:rPr>
                <w:rFonts w:ascii="Arial" w:hAnsi="Arial" w:cs="Arial"/>
                <w:sz w:val="18"/>
                <w:szCs w:val="18"/>
                <w:lang w:val="es-ES"/>
              </w:rPr>
              <w:t>esembolso</w:t>
            </w:r>
            <w:r w:rsidR="00336451">
              <w:rPr>
                <w:rFonts w:ascii="Arial" w:hAnsi="Arial" w:cs="Arial"/>
                <w:sz w:val="18"/>
                <w:szCs w:val="18"/>
                <w:lang w:val="es-ES"/>
              </w:rPr>
              <w:t xml:space="preserve"> (UDR)</w:t>
            </w:r>
            <w:r w:rsidRPr="009F744D">
              <w:rPr>
                <w:rFonts w:ascii="Arial" w:hAnsi="Arial" w:cs="Arial"/>
                <w:sz w:val="18"/>
                <w:szCs w:val="18"/>
                <w:lang w:val="es-ES"/>
              </w:rPr>
              <w:t>:</w:t>
            </w:r>
          </w:p>
        </w:tc>
        <w:tc>
          <w:tcPr>
            <w:tcW w:w="4926" w:type="dxa"/>
          </w:tcPr>
          <w:p w14:paraId="638A415A" w14:textId="06325973" w:rsidR="009F33FF" w:rsidRPr="009F744D" w:rsidRDefault="00022715" w:rsidP="002049DE">
            <w:pPr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022715">
              <w:rPr>
                <w:rFonts w:ascii="Arial" w:hAnsi="Arial" w:cs="Arial"/>
                <w:sz w:val="18"/>
                <w:szCs w:val="18"/>
                <w:lang w:val="es-ES"/>
              </w:rPr>
              <w:t>División de Agua y Saneamiento (INE/WSA)</w:t>
            </w:r>
            <w:bookmarkStart w:id="1" w:name="_GoBack"/>
            <w:bookmarkEnd w:id="1"/>
          </w:p>
        </w:tc>
      </w:tr>
      <w:tr w:rsidR="000C16F9" w:rsidRPr="009F744D" w14:paraId="604220B4" w14:textId="77777777" w:rsidTr="00305D2E">
        <w:tc>
          <w:tcPr>
            <w:tcW w:w="3738" w:type="dxa"/>
          </w:tcPr>
          <w:p w14:paraId="1656B10E" w14:textId="77777777" w:rsidR="009F33FF" w:rsidRPr="009F744D" w:rsidRDefault="009F33FF" w:rsidP="002049DE">
            <w:pPr>
              <w:pStyle w:val="ListParagraph"/>
              <w:numPr>
                <w:ilvl w:val="0"/>
                <w:numId w:val="2"/>
              </w:numPr>
              <w:ind w:left="180" w:hanging="180"/>
              <w:contextualSpacing w:val="0"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9F744D">
              <w:rPr>
                <w:rFonts w:ascii="Arial" w:hAnsi="Arial" w:cs="Arial"/>
                <w:sz w:val="18"/>
                <w:szCs w:val="18"/>
                <w:lang w:val="es-ES"/>
              </w:rPr>
              <w:t>C</w:t>
            </w:r>
            <w:r w:rsidR="00E33333" w:rsidRPr="009F744D">
              <w:rPr>
                <w:rFonts w:ascii="Arial" w:hAnsi="Arial" w:cs="Arial"/>
                <w:sz w:val="18"/>
                <w:szCs w:val="18"/>
                <w:lang w:val="es-ES"/>
              </w:rPr>
              <w:t>T incluida en la Estrategia de País</w:t>
            </w:r>
            <w:r w:rsidRPr="009F744D">
              <w:rPr>
                <w:rFonts w:ascii="Arial" w:hAnsi="Arial" w:cs="Arial"/>
                <w:sz w:val="18"/>
                <w:szCs w:val="18"/>
                <w:lang w:val="es-ES"/>
              </w:rPr>
              <w:t xml:space="preserve"> (</w:t>
            </w:r>
            <w:r w:rsidR="00E33333" w:rsidRPr="009F744D">
              <w:rPr>
                <w:rFonts w:ascii="Arial" w:hAnsi="Arial" w:cs="Arial"/>
                <w:sz w:val="18"/>
                <w:szCs w:val="18"/>
                <w:lang w:val="es-ES"/>
              </w:rPr>
              <w:t>s</w:t>
            </w:r>
            <w:r w:rsidRPr="009F744D">
              <w:rPr>
                <w:rFonts w:ascii="Arial" w:hAnsi="Arial" w:cs="Arial"/>
                <w:sz w:val="18"/>
                <w:szCs w:val="18"/>
                <w:lang w:val="es-ES"/>
              </w:rPr>
              <w:t xml:space="preserve">/n): </w:t>
            </w:r>
          </w:p>
          <w:p w14:paraId="16D3216F" w14:textId="77777777" w:rsidR="009F33FF" w:rsidRPr="009F744D" w:rsidRDefault="00E33333" w:rsidP="002049DE">
            <w:pPr>
              <w:pStyle w:val="ListParagraph"/>
              <w:numPr>
                <w:ilvl w:val="0"/>
                <w:numId w:val="2"/>
              </w:numPr>
              <w:ind w:left="180" w:hanging="180"/>
              <w:contextualSpacing w:val="0"/>
              <w:jc w:val="both"/>
              <w:rPr>
                <w:rFonts w:ascii="Arial" w:hAnsi="Arial" w:cs="Arial"/>
                <w:sz w:val="18"/>
                <w:szCs w:val="18"/>
                <w:lang w:val="pt-BR"/>
              </w:rPr>
            </w:pPr>
            <w:r w:rsidRPr="009F744D">
              <w:rPr>
                <w:rFonts w:ascii="Arial" w:hAnsi="Arial" w:cs="Arial"/>
                <w:sz w:val="18"/>
                <w:szCs w:val="18"/>
                <w:lang w:val="pt-BR"/>
              </w:rPr>
              <w:t xml:space="preserve">CT </w:t>
            </w:r>
            <w:r w:rsidR="003835F0" w:rsidRPr="009F744D">
              <w:rPr>
                <w:rFonts w:ascii="Arial" w:hAnsi="Arial" w:cs="Arial"/>
                <w:sz w:val="18"/>
                <w:szCs w:val="18"/>
                <w:lang w:val="pt-BR"/>
              </w:rPr>
              <w:t>incluída</w:t>
            </w:r>
            <w:r w:rsidRPr="009F744D">
              <w:rPr>
                <w:rFonts w:ascii="Arial" w:hAnsi="Arial" w:cs="Arial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9F744D">
              <w:rPr>
                <w:rFonts w:ascii="Arial" w:hAnsi="Arial" w:cs="Arial"/>
                <w:sz w:val="18"/>
                <w:szCs w:val="18"/>
                <w:lang w:val="pt-BR"/>
              </w:rPr>
              <w:t>en</w:t>
            </w:r>
            <w:proofErr w:type="spellEnd"/>
            <w:r w:rsidRPr="009F744D">
              <w:rPr>
                <w:rFonts w:ascii="Arial" w:hAnsi="Arial" w:cs="Arial"/>
                <w:sz w:val="18"/>
                <w:szCs w:val="18"/>
                <w:lang w:val="pt-BR"/>
              </w:rPr>
              <w:t xml:space="preserve"> </w:t>
            </w:r>
            <w:r w:rsidR="009F33FF" w:rsidRPr="009F744D">
              <w:rPr>
                <w:rFonts w:ascii="Arial" w:hAnsi="Arial" w:cs="Arial"/>
                <w:sz w:val="18"/>
                <w:szCs w:val="18"/>
                <w:lang w:val="pt-BR"/>
              </w:rPr>
              <w:t>CPD (</w:t>
            </w:r>
            <w:r w:rsidRPr="009F744D">
              <w:rPr>
                <w:rFonts w:ascii="Arial" w:hAnsi="Arial" w:cs="Arial"/>
                <w:sz w:val="18"/>
                <w:szCs w:val="18"/>
                <w:lang w:val="pt-BR"/>
              </w:rPr>
              <w:t>s</w:t>
            </w:r>
            <w:r w:rsidR="009F33FF" w:rsidRPr="009F744D">
              <w:rPr>
                <w:rFonts w:ascii="Arial" w:hAnsi="Arial" w:cs="Arial"/>
                <w:sz w:val="18"/>
                <w:szCs w:val="18"/>
                <w:lang w:val="pt-BR"/>
              </w:rPr>
              <w:t xml:space="preserve">/n): </w:t>
            </w:r>
          </w:p>
        </w:tc>
        <w:tc>
          <w:tcPr>
            <w:tcW w:w="4926" w:type="dxa"/>
          </w:tcPr>
          <w:p w14:paraId="3CB64D68" w14:textId="77777777" w:rsidR="009F33FF" w:rsidRPr="009F744D" w:rsidRDefault="00382513" w:rsidP="002049DE">
            <w:pPr>
              <w:jc w:val="both"/>
              <w:rPr>
                <w:rFonts w:ascii="Arial" w:hAnsi="Arial" w:cs="Arial"/>
                <w:sz w:val="18"/>
                <w:szCs w:val="18"/>
                <w:lang w:val="pt-BR"/>
              </w:rPr>
            </w:pPr>
            <w:r w:rsidRPr="009F744D">
              <w:rPr>
                <w:rFonts w:ascii="Arial" w:hAnsi="Arial" w:cs="Arial"/>
                <w:sz w:val="18"/>
                <w:szCs w:val="18"/>
                <w:lang w:val="pt-BR"/>
              </w:rPr>
              <w:t>N/A</w:t>
            </w:r>
          </w:p>
          <w:p w14:paraId="38C45D75" w14:textId="77777777" w:rsidR="00804876" w:rsidRPr="009F744D" w:rsidRDefault="00804876" w:rsidP="002049DE">
            <w:pPr>
              <w:jc w:val="both"/>
              <w:rPr>
                <w:rFonts w:ascii="Arial" w:hAnsi="Arial" w:cs="Arial"/>
                <w:sz w:val="18"/>
                <w:szCs w:val="18"/>
                <w:lang w:val="pt-BR"/>
              </w:rPr>
            </w:pPr>
            <w:r w:rsidRPr="009F744D">
              <w:rPr>
                <w:rFonts w:ascii="Arial" w:hAnsi="Arial" w:cs="Arial"/>
                <w:sz w:val="18"/>
                <w:szCs w:val="18"/>
                <w:lang w:val="pt-BR"/>
              </w:rPr>
              <w:t>N/A</w:t>
            </w:r>
          </w:p>
        </w:tc>
      </w:tr>
      <w:tr w:rsidR="000C16F9" w:rsidRPr="007D5844" w14:paraId="6E885786" w14:textId="77777777" w:rsidTr="00305D2E">
        <w:tc>
          <w:tcPr>
            <w:tcW w:w="3738" w:type="dxa"/>
          </w:tcPr>
          <w:p w14:paraId="63ED7301" w14:textId="1F5B2158" w:rsidR="009F33FF" w:rsidRPr="009F744D" w:rsidRDefault="00E94DAA" w:rsidP="002049DE">
            <w:pPr>
              <w:pStyle w:val="ListParagraph"/>
              <w:numPr>
                <w:ilvl w:val="0"/>
                <w:numId w:val="2"/>
              </w:numPr>
              <w:ind w:left="180" w:hanging="180"/>
              <w:contextualSpacing w:val="0"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sz w:val="18"/>
                <w:szCs w:val="18"/>
                <w:lang w:val="es-ES"/>
              </w:rPr>
              <w:t>Alineación estratégica</w:t>
            </w:r>
          </w:p>
        </w:tc>
        <w:tc>
          <w:tcPr>
            <w:tcW w:w="4926" w:type="dxa"/>
          </w:tcPr>
          <w:p w14:paraId="2761D07F" w14:textId="512C9B0F" w:rsidR="009F33FF" w:rsidRPr="00E94DAA" w:rsidRDefault="00E94DAA" w:rsidP="002049DE">
            <w:pPr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E94DAA">
              <w:rPr>
                <w:rFonts w:ascii="Arial" w:hAnsi="Arial" w:cs="Arial"/>
                <w:sz w:val="18"/>
                <w:szCs w:val="18"/>
                <w:lang w:val="es-ES"/>
              </w:rPr>
              <w:t>Inclusión social e igualdad</w:t>
            </w:r>
          </w:p>
        </w:tc>
      </w:tr>
    </w:tbl>
    <w:p w14:paraId="1568A995" w14:textId="77777777" w:rsidR="00A86E7C" w:rsidRDefault="00A86E7C" w:rsidP="002049DE">
      <w:pPr>
        <w:pStyle w:val="ListParagraph"/>
        <w:spacing w:after="120" w:line="240" w:lineRule="auto"/>
        <w:ind w:left="360"/>
        <w:contextualSpacing w:val="0"/>
        <w:jc w:val="both"/>
        <w:rPr>
          <w:rFonts w:ascii="Arial" w:hAnsi="Arial" w:cs="Arial"/>
          <w:b/>
          <w:lang w:val="es-ES"/>
        </w:rPr>
      </w:pPr>
    </w:p>
    <w:p w14:paraId="7F92A324" w14:textId="6966521A" w:rsidR="0095711B" w:rsidRPr="009E39BA" w:rsidRDefault="00C43E24" w:rsidP="002049DE">
      <w:pPr>
        <w:pStyle w:val="ListParagraph"/>
        <w:numPr>
          <w:ilvl w:val="0"/>
          <w:numId w:val="5"/>
        </w:numPr>
        <w:spacing w:after="120" w:line="240" w:lineRule="auto"/>
        <w:contextualSpacing w:val="0"/>
        <w:jc w:val="both"/>
        <w:rPr>
          <w:rFonts w:ascii="Arial" w:hAnsi="Arial" w:cs="Arial"/>
          <w:b/>
          <w:lang w:val="es-ES"/>
        </w:rPr>
      </w:pPr>
      <w:r w:rsidRPr="009F744D">
        <w:rPr>
          <w:rFonts w:ascii="Arial" w:hAnsi="Arial" w:cs="Arial"/>
          <w:b/>
          <w:lang w:val="es-ES"/>
        </w:rPr>
        <w:t>Obje</w:t>
      </w:r>
      <w:r w:rsidR="00F00960" w:rsidRPr="009F744D">
        <w:rPr>
          <w:rFonts w:ascii="Arial" w:hAnsi="Arial" w:cs="Arial"/>
          <w:b/>
          <w:lang w:val="es-ES"/>
        </w:rPr>
        <w:t>tivos</w:t>
      </w:r>
      <w:r w:rsidRPr="009F744D">
        <w:rPr>
          <w:rFonts w:ascii="Arial" w:hAnsi="Arial" w:cs="Arial"/>
          <w:b/>
          <w:lang w:val="es-ES"/>
        </w:rPr>
        <w:t xml:space="preserve"> </w:t>
      </w:r>
      <w:r w:rsidR="00804876" w:rsidRPr="009F744D">
        <w:rPr>
          <w:rFonts w:ascii="Arial" w:hAnsi="Arial" w:cs="Arial"/>
          <w:b/>
          <w:lang w:val="es-ES"/>
        </w:rPr>
        <w:t>y Justificación de la TC</w:t>
      </w:r>
      <w:r w:rsidR="009E39BA" w:rsidRPr="009F744D">
        <w:rPr>
          <w:rFonts w:ascii="Arial" w:hAnsi="Arial" w:cs="Arial"/>
          <w:b/>
          <w:lang w:val="es-ES"/>
        </w:rPr>
        <w:t xml:space="preserve"> </w:t>
      </w:r>
    </w:p>
    <w:p w14:paraId="5585DFDD" w14:textId="05FECA6E" w:rsidR="00476B8D" w:rsidRDefault="003D5073" w:rsidP="002049DE">
      <w:pPr>
        <w:pStyle w:val="ListParagraph"/>
        <w:numPr>
          <w:ilvl w:val="1"/>
          <w:numId w:val="5"/>
        </w:numPr>
        <w:spacing w:after="120" w:line="240" w:lineRule="auto"/>
        <w:ind w:left="360" w:hanging="540"/>
        <w:contextualSpacing w:val="0"/>
        <w:jc w:val="both"/>
        <w:rPr>
          <w:rFonts w:ascii="Arial" w:hAnsi="Arial" w:cs="Arial"/>
          <w:lang w:val="es-ES_tradnl"/>
        </w:rPr>
      </w:pPr>
      <w:r w:rsidRPr="00EF1A5B">
        <w:rPr>
          <w:rFonts w:ascii="Arial" w:hAnsi="Arial" w:cs="Arial"/>
          <w:lang w:val="es-ES_tradnl"/>
        </w:rPr>
        <w:t xml:space="preserve">La nueva agenda </w:t>
      </w:r>
      <w:r w:rsidR="00E10E54" w:rsidRPr="00EF1A5B">
        <w:rPr>
          <w:rFonts w:ascii="Arial" w:hAnsi="Arial" w:cs="Arial"/>
          <w:lang w:val="es-ES_tradnl"/>
        </w:rPr>
        <w:t xml:space="preserve">de desarrollo </w:t>
      </w:r>
      <w:r w:rsidR="00692DA0" w:rsidRPr="00EF1A5B">
        <w:rPr>
          <w:rFonts w:ascii="Arial" w:hAnsi="Arial" w:cs="Arial"/>
          <w:lang w:val="es-ES_tradnl"/>
        </w:rPr>
        <w:t>2030</w:t>
      </w:r>
      <w:r w:rsidR="00024491" w:rsidRPr="00EF1A5B">
        <w:rPr>
          <w:rFonts w:ascii="Arial" w:hAnsi="Arial" w:cs="Arial"/>
          <w:lang w:val="es-ES_tradnl"/>
        </w:rPr>
        <w:t xml:space="preserve"> y en concreto el </w:t>
      </w:r>
      <w:r w:rsidR="00305D2E">
        <w:rPr>
          <w:rFonts w:ascii="Arial" w:hAnsi="Arial" w:cs="Arial"/>
          <w:lang w:val="es-ES_tradnl"/>
        </w:rPr>
        <w:t>Objetivo de Desarrollo Sostenible (</w:t>
      </w:r>
      <w:r w:rsidR="00692DA0" w:rsidRPr="00EF1A5B">
        <w:rPr>
          <w:rFonts w:ascii="Arial" w:hAnsi="Arial" w:cs="Arial"/>
          <w:lang w:val="es-ES_tradnl"/>
        </w:rPr>
        <w:t>ODS</w:t>
      </w:r>
      <w:r w:rsidR="00305D2E">
        <w:rPr>
          <w:rFonts w:ascii="Arial" w:hAnsi="Arial" w:cs="Arial"/>
          <w:lang w:val="es-ES_tradnl"/>
        </w:rPr>
        <w:t>)</w:t>
      </w:r>
      <w:r w:rsidR="00692DA0" w:rsidRPr="00EF1A5B">
        <w:rPr>
          <w:rFonts w:ascii="Arial" w:hAnsi="Arial" w:cs="Arial"/>
          <w:lang w:val="es-ES_tradnl"/>
        </w:rPr>
        <w:t xml:space="preserve"> </w:t>
      </w:r>
      <w:r w:rsidR="00305D2E">
        <w:rPr>
          <w:rFonts w:ascii="Arial" w:hAnsi="Arial" w:cs="Arial"/>
          <w:lang w:val="es-ES_tradnl"/>
        </w:rPr>
        <w:t xml:space="preserve">número 6 </w:t>
      </w:r>
      <w:r w:rsidR="00024491" w:rsidRPr="00EF1A5B">
        <w:rPr>
          <w:rFonts w:ascii="Arial" w:hAnsi="Arial" w:cs="Arial"/>
          <w:lang w:val="es-ES_tradnl"/>
        </w:rPr>
        <w:t xml:space="preserve">tiene como meta </w:t>
      </w:r>
      <w:r w:rsidR="00DC7688">
        <w:rPr>
          <w:rFonts w:ascii="Arial" w:hAnsi="Arial" w:cs="Arial"/>
          <w:lang w:val="es-ES_tradnl"/>
        </w:rPr>
        <w:t>el acceso universal y equitativo a servicios seguros de agua potable y saneamiento (AyS) a un precio asequible</w:t>
      </w:r>
      <w:r w:rsidR="00024491" w:rsidRPr="00EF1A5B">
        <w:rPr>
          <w:rFonts w:ascii="Arial" w:hAnsi="Arial" w:cs="Arial"/>
          <w:lang w:val="es-ES_tradnl"/>
        </w:rPr>
        <w:t xml:space="preserve">. </w:t>
      </w:r>
      <w:r w:rsidR="00901F7B">
        <w:rPr>
          <w:rFonts w:ascii="Arial" w:hAnsi="Arial" w:cs="Arial"/>
          <w:lang w:val="es-ES_tradnl"/>
        </w:rPr>
        <w:t xml:space="preserve">Asimismo, </w:t>
      </w:r>
      <w:r w:rsidR="00456C77">
        <w:rPr>
          <w:rFonts w:ascii="Arial" w:hAnsi="Arial" w:cs="Arial"/>
          <w:lang w:val="es-ES_tradnl"/>
        </w:rPr>
        <w:t>los</w:t>
      </w:r>
      <w:r w:rsidR="00901F7B">
        <w:rPr>
          <w:rFonts w:ascii="Arial" w:hAnsi="Arial" w:cs="Arial"/>
          <w:lang w:val="es-ES_tradnl"/>
        </w:rPr>
        <w:t xml:space="preserve"> Derecho</w:t>
      </w:r>
      <w:r w:rsidR="00456C77">
        <w:rPr>
          <w:rFonts w:ascii="Arial" w:hAnsi="Arial" w:cs="Arial"/>
          <w:lang w:val="es-ES_tradnl"/>
        </w:rPr>
        <w:t>s</w:t>
      </w:r>
      <w:r w:rsidR="00901F7B">
        <w:rPr>
          <w:rFonts w:ascii="Arial" w:hAnsi="Arial" w:cs="Arial"/>
          <w:lang w:val="es-ES_tradnl"/>
        </w:rPr>
        <w:t xml:space="preserve"> Humano</w:t>
      </w:r>
      <w:r w:rsidR="00456C77">
        <w:rPr>
          <w:rFonts w:ascii="Arial" w:hAnsi="Arial" w:cs="Arial"/>
          <w:lang w:val="es-ES_tradnl"/>
        </w:rPr>
        <w:t>s</w:t>
      </w:r>
      <w:r w:rsidR="00901F7B">
        <w:rPr>
          <w:rFonts w:ascii="Arial" w:hAnsi="Arial" w:cs="Arial"/>
          <w:lang w:val="es-ES_tradnl"/>
        </w:rPr>
        <w:t xml:space="preserve"> al Agua y al Saneamiento (DHAS)</w:t>
      </w:r>
      <w:r w:rsidR="009D3762">
        <w:rPr>
          <w:rStyle w:val="FootnoteReference"/>
          <w:rFonts w:ascii="Arial" w:hAnsi="Arial" w:cs="Arial"/>
          <w:lang w:val="es-ES_tradnl"/>
        </w:rPr>
        <w:footnoteReference w:id="2"/>
      </w:r>
      <w:r w:rsidR="00901F7B">
        <w:rPr>
          <w:rFonts w:ascii="Arial" w:hAnsi="Arial" w:cs="Arial"/>
          <w:lang w:val="es-ES_tradnl"/>
        </w:rPr>
        <w:t xml:space="preserve"> </w:t>
      </w:r>
      <w:r w:rsidR="009D3762">
        <w:rPr>
          <w:rFonts w:ascii="Arial" w:hAnsi="Arial" w:cs="Arial"/>
          <w:lang w:val="es-ES_tradnl"/>
        </w:rPr>
        <w:t>reconoce</w:t>
      </w:r>
      <w:r w:rsidR="00456C77">
        <w:rPr>
          <w:rFonts w:ascii="Arial" w:hAnsi="Arial" w:cs="Arial"/>
          <w:lang w:val="es-ES_tradnl"/>
        </w:rPr>
        <w:t>n</w:t>
      </w:r>
      <w:r w:rsidR="009D3762">
        <w:rPr>
          <w:rFonts w:ascii="Arial" w:hAnsi="Arial" w:cs="Arial"/>
          <w:lang w:val="es-ES_tradnl"/>
        </w:rPr>
        <w:t xml:space="preserve"> formalmente el derecho humano al agua y al saneamiento, asegurando un servicio suficiente, saludable, aceptable, físicamente accesible y asequible</w:t>
      </w:r>
      <w:r w:rsidR="007703E3">
        <w:rPr>
          <w:rFonts w:ascii="Arial" w:hAnsi="Arial" w:cs="Arial"/>
          <w:lang w:val="es-ES_tradnl"/>
        </w:rPr>
        <w:t xml:space="preserve"> para todos</w:t>
      </w:r>
      <w:r w:rsidR="009D3762">
        <w:rPr>
          <w:rFonts w:ascii="Arial" w:hAnsi="Arial" w:cs="Arial"/>
          <w:lang w:val="es-ES_tradnl"/>
        </w:rPr>
        <w:t xml:space="preserve">. </w:t>
      </w:r>
      <w:r w:rsidR="00024491" w:rsidRPr="00EF1A5B">
        <w:rPr>
          <w:rFonts w:ascii="Arial" w:hAnsi="Arial" w:cs="Arial"/>
          <w:lang w:val="es-ES_tradnl"/>
        </w:rPr>
        <w:t xml:space="preserve">El llegar al 100% de </w:t>
      </w:r>
      <w:r w:rsidR="00476B8D">
        <w:rPr>
          <w:rFonts w:ascii="Arial" w:hAnsi="Arial" w:cs="Arial"/>
          <w:lang w:val="es-ES_tradnl"/>
        </w:rPr>
        <w:t xml:space="preserve">acceso en </w:t>
      </w:r>
      <w:proofErr w:type="spellStart"/>
      <w:r w:rsidR="00476B8D">
        <w:rPr>
          <w:rFonts w:ascii="Arial" w:hAnsi="Arial" w:cs="Arial"/>
          <w:lang w:val="es-ES_tradnl"/>
        </w:rPr>
        <w:t>AyS</w:t>
      </w:r>
      <w:proofErr w:type="spellEnd"/>
      <w:r w:rsidR="003E5E9E">
        <w:rPr>
          <w:rFonts w:ascii="Arial" w:hAnsi="Arial" w:cs="Arial"/>
          <w:lang w:val="es-ES_tradnl"/>
        </w:rPr>
        <w:t xml:space="preserve"> -incluyendo hogares, escuelas, centros de salud y otros establecimientos públicos- </w:t>
      </w:r>
      <w:r w:rsidR="00024491" w:rsidRPr="00EF1A5B">
        <w:rPr>
          <w:rFonts w:ascii="Arial" w:hAnsi="Arial" w:cs="Arial"/>
          <w:lang w:val="es-ES_tradnl"/>
        </w:rPr>
        <w:t xml:space="preserve">supone el poder ofrecer servicios </w:t>
      </w:r>
      <w:r w:rsidR="00C73BA8">
        <w:rPr>
          <w:rFonts w:ascii="Arial" w:hAnsi="Arial" w:cs="Arial"/>
          <w:lang w:val="es-ES_tradnl"/>
        </w:rPr>
        <w:t xml:space="preserve">de calidad </w:t>
      </w:r>
      <w:r w:rsidR="00024491" w:rsidRPr="00EF1A5B">
        <w:rPr>
          <w:rFonts w:ascii="Arial" w:hAnsi="Arial" w:cs="Arial"/>
          <w:lang w:val="es-ES_tradnl"/>
        </w:rPr>
        <w:t xml:space="preserve">a aquellos que no lo tienen </w:t>
      </w:r>
      <w:r w:rsidR="00133ED3">
        <w:rPr>
          <w:rFonts w:ascii="Arial" w:hAnsi="Arial" w:cs="Arial"/>
          <w:lang w:val="es-ES_tradnl"/>
        </w:rPr>
        <w:t xml:space="preserve">e </w:t>
      </w:r>
      <w:r w:rsidR="00024491" w:rsidRPr="00EF1A5B">
        <w:rPr>
          <w:rFonts w:ascii="Arial" w:hAnsi="Arial" w:cs="Arial"/>
          <w:lang w:val="es-ES_tradnl"/>
        </w:rPr>
        <w:t>implementar estrategias para cerrar las brechas existentes</w:t>
      </w:r>
      <w:r w:rsidR="009D3762">
        <w:rPr>
          <w:rFonts w:ascii="Arial" w:hAnsi="Arial" w:cs="Arial"/>
          <w:lang w:val="es-ES_tradnl"/>
        </w:rPr>
        <w:t>, principalmente localizadas en las áreas rurales</w:t>
      </w:r>
      <w:r w:rsidR="00024491" w:rsidRPr="00EF1A5B">
        <w:rPr>
          <w:rFonts w:ascii="Arial" w:hAnsi="Arial" w:cs="Arial"/>
          <w:lang w:val="es-ES_tradnl"/>
        </w:rPr>
        <w:t xml:space="preserve">. </w:t>
      </w:r>
      <w:r w:rsidR="00476B8D">
        <w:rPr>
          <w:rFonts w:ascii="Arial" w:hAnsi="Arial" w:cs="Arial"/>
          <w:lang w:val="es-ES_tradnl"/>
        </w:rPr>
        <w:t xml:space="preserve">Además, es importante tomar en consideración aquellos que, si bien tienen acceso a servicios de </w:t>
      </w:r>
      <w:proofErr w:type="spellStart"/>
      <w:r w:rsidR="00476B8D">
        <w:rPr>
          <w:rFonts w:ascii="Arial" w:hAnsi="Arial" w:cs="Arial"/>
          <w:lang w:val="es-ES_tradnl"/>
        </w:rPr>
        <w:t>AyS</w:t>
      </w:r>
      <w:proofErr w:type="spellEnd"/>
      <w:r w:rsidR="00476B8D">
        <w:rPr>
          <w:rFonts w:ascii="Arial" w:hAnsi="Arial" w:cs="Arial"/>
          <w:lang w:val="es-ES_tradnl"/>
        </w:rPr>
        <w:t xml:space="preserve">, </w:t>
      </w:r>
      <w:r w:rsidR="007703E3">
        <w:rPr>
          <w:rFonts w:ascii="Arial" w:hAnsi="Arial" w:cs="Arial"/>
          <w:lang w:val="es-ES_tradnl"/>
        </w:rPr>
        <w:t xml:space="preserve">éstos </w:t>
      </w:r>
      <w:r w:rsidR="00476B8D">
        <w:rPr>
          <w:rFonts w:ascii="Arial" w:hAnsi="Arial" w:cs="Arial"/>
          <w:lang w:val="es-ES_tradnl"/>
        </w:rPr>
        <w:lastRenderedPageBreak/>
        <w:t>no son los adecuados</w:t>
      </w:r>
      <w:r w:rsidR="007D5844">
        <w:rPr>
          <w:rFonts w:ascii="Arial" w:hAnsi="Arial" w:cs="Arial"/>
          <w:lang w:val="es-ES_tradnl"/>
        </w:rPr>
        <w:t xml:space="preserve"> en términos de calidad, cantidad y continuidad,</w:t>
      </w:r>
      <w:r w:rsidR="00476B8D">
        <w:rPr>
          <w:rFonts w:ascii="Arial" w:hAnsi="Arial" w:cs="Arial"/>
          <w:lang w:val="es-ES_tradnl"/>
        </w:rPr>
        <w:t xml:space="preserve"> y es necesaria </w:t>
      </w:r>
      <w:r w:rsidR="007703E3">
        <w:rPr>
          <w:rFonts w:ascii="Arial" w:hAnsi="Arial" w:cs="Arial"/>
          <w:lang w:val="es-ES_tradnl"/>
        </w:rPr>
        <w:t>una</w:t>
      </w:r>
      <w:r w:rsidR="00476B8D">
        <w:rPr>
          <w:rFonts w:ascii="Arial" w:hAnsi="Arial" w:cs="Arial"/>
          <w:lang w:val="es-ES_tradnl"/>
        </w:rPr>
        <w:t xml:space="preserve"> mejora</w:t>
      </w:r>
      <w:r w:rsidR="007703E3">
        <w:rPr>
          <w:rFonts w:ascii="Arial" w:hAnsi="Arial" w:cs="Arial"/>
          <w:lang w:val="es-ES_tradnl"/>
        </w:rPr>
        <w:t>.</w:t>
      </w:r>
    </w:p>
    <w:p w14:paraId="232F65C7" w14:textId="5DD13072" w:rsidR="00B20246" w:rsidRPr="00B20246" w:rsidRDefault="00DC7688" w:rsidP="002049DE">
      <w:pPr>
        <w:pStyle w:val="ListParagraph"/>
        <w:numPr>
          <w:ilvl w:val="1"/>
          <w:numId w:val="5"/>
        </w:numPr>
        <w:spacing w:after="120" w:line="240" w:lineRule="auto"/>
        <w:ind w:left="360" w:hanging="540"/>
        <w:contextualSpacing w:val="0"/>
        <w:jc w:val="both"/>
        <w:rPr>
          <w:rFonts w:ascii="Arial" w:hAnsi="Arial" w:cs="Arial"/>
          <w:lang w:val="es-ES_tradnl"/>
        </w:rPr>
      </w:pPr>
      <w:r w:rsidRPr="00DC7688">
        <w:rPr>
          <w:rFonts w:ascii="Arial" w:hAnsi="Arial" w:cs="Arial"/>
          <w:lang w:val="es-ES"/>
        </w:rPr>
        <w:t>Si bien en las últimas décadas los avances en América Latina y el Caribe (A</w:t>
      </w:r>
      <w:r w:rsidR="00C73BA8">
        <w:rPr>
          <w:rFonts w:ascii="Arial" w:hAnsi="Arial" w:cs="Arial"/>
          <w:lang w:val="es-ES"/>
        </w:rPr>
        <w:t>LC</w:t>
      </w:r>
      <w:r w:rsidRPr="00DC7688">
        <w:rPr>
          <w:rFonts w:ascii="Arial" w:hAnsi="Arial" w:cs="Arial"/>
          <w:lang w:val="es-ES"/>
        </w:rPr>
        <w:t xml:space="preserve">) en materia de acceso a </w:t>
      </w:r>
      <w:r w:rsidR="00C73BA8">
        <w:rPr>
          <w:rFonts w:ascii="Arial" w:hAnsi="Arial" w:cs="Arial"/>
          <w:lang w:val="es-ES"/>
        </w:rPr>
        <w:t xml:space="preserve">los </w:t>
      </w:r>
      <w:r w:rsidRPr="00DC7688">
        <w:rPr>
          <w:rFonts w:ascii="Arial" w:hAnsi="Arial" w:cs="Arial"/>
          <w:lang w:val="es-ES"/>
        </w:rPr>
        <w:t>servicios</w:t>
      </w:r>
      <w:r>
        <w:rPr>
          <w:rFonts w:ascii="Arial" w:hAnsi="Arial" w:cs="Arial"/>
          <w:lang w:val="es-ES"/>
        </w:rPr>
        <w:t xml:space="preserve"> </w:t>
      </w:r>
      <w:r w:rsidR="00C73BA8">
        <w:rPr>
          <w:rFonts w:ascii="Arial" w:hAnsi="Arial" w:cs="Arial"/>
          <w:lang w:val="es-ES"/>
        </w:rPr>
        <w:t>de</w:t>
      </w:r>
      <w:r>
        <w:rPr>
          <w:rFonts w:ascii="Arial" w:hAnsi="Arial" w:cs="Arial"/>
          <w:lang w:val="es-ES"/>
        </w:rPr>
        <w:t xml:space="preserve"> AyS han sido significativos, </w:t>
      </w:r>
      <w:r w:rsidR="00B20246">
        <w:rPr>
          <w:rFonts w:ascii="Arial" w:hAnsi="Arial" w:cs="Arial"/>
          <w:lang w:val="es-ES"/>
        </w:rPr>
        <w:t xml:space="preserve">alrededor de 18 millones de personas que viven en zonas rurales no cuentan con servicios </w:t>
      </w:r>
      <w:r w:rsidR="00476B8D">
        <w:rPr>
          <w:rFonts w:ascii="Arial" w:hAnsi="Arial" w:cs="Arial"/>
          <w:lang w:val="es-ES"/>
        </w:rPr>
        <w:t xml:space="preserve">básicos </w:t>
      </w:r>
      <w:r w:rsidR="00B20246">
        <w:rPr>
          <w:rFonts w:ascii="Arial" w:hAnsi="Arial" w:cs="Arial"/>
          <w:lang w:val="es-ES"/>
        </w:rPr>
        <w:t>de agua</w:t>
      </w:r>
      <w:r w:rsidR="00476B8D">
        <w:rPr>
          <w:rFonts w:ascii="Arial" w:hAnsi="Arial" w:cs="Arial"/>
          <w:lang w:val="es-ES"/>
        </w:rPr>
        <w:t xml:space="preserve"> (14,1% del total de población rural)</w:t>
      </w:r>
      <w:r w:rsidR="00B20246">
        <w:rPr>
          <w:rFonts w:ascii="Arial" w:hAnsi="Arial" w:cs="Arial"/>
          <w:lang w:val="es-ES"/>
        </w:rPr>
        <w:t>, y 41 millones</w:t>
      </w:r>
      <w:r w:rsidR="00476B8D">
        <w:rPr>
          <w:rFonts w:ascii="Arial" w:hAnsi="Arial" w:cs="Arial"/>
          <w:lang w:val="es-ES"/>
        </w:rPr>
        <w:t xml:space="preserve"> (31,6% del total de población rural)</w:t>
      </w:r>
      <w:r w:rsidR="00B20246">
        <w:rPr>
          <w:rFonts w:ascii="Arial" w:hAnsi="Arial" w:cs="Arial"/>
          <w:lang w:val="es-ES"/>
        </w:rPr>
        <w:t xml:space="preserve"> </w:t>
      </w:r>
      <w:r w:rsidR="00476B8D">
        <w:rPr>
          <w:rFonts w:ascii="Arial" w:hAnsi="Arial" w:cs="Arial"/>
          <w:lang w:val="es-ES"/>
        </w:rPr>
        <w:t xml:space="preserve">no cuentan </w:t>
      </w:r>
      <w:r w:rsidR="00B20246">
        <w:rPr>
          <w:rFonts w:ascii="Arial" w:hAnsi="Arial" w:cs="Arial"/>
          <w:lang w:val="es-ES"/>
        </w:rPr>
        <w:t>con servicios adecuados de saneamiento (JMP, 2017).</w:t>
      </w:r>
      <w:r>
        <w:rPr>
          <w:rFonts w:ascii="Arial" w:hAnsi="Arial" w:cs="Arial"/>
          <w:lang w:val="es-ES"/>
        </w:rPr>
        <w:t xml:space="preserve"> </w:t>
      </w:r>
      <w:r w:rsidR="00A44563">
        <w:rPr>
          <w:rFonts w:ascii="Arial" w:hAnsi="Arial" w:cs="Arial"/>
          <w:lang w:val="es-ES"/>
        </w:rPr>
        <w:t xml:space="preserve">Asimismo, casi 17 millones de personas en el área rural </w:t>
      </w:r>
      <w:r w:rsidR="00476B8D">
        <w:rPr>
          <w:rFonts w:ascii="Arial" w:hAnsi="Arial" w:cs="Arial"/>
          <w:lang w:val="es-ES"/>
        </w:rPr>
        <w:t xml:space="preserve">(un 11% del total de población rural) </w:t>
      </w:r>
      <w:r w:rsidR="00A44563">
        <w:rPr>
          <w:rFonts w:ascii="Arial" w:hAnsi="Arial" w:cs="Arial"/>
          <w:lang w:val="es-ES"/>
        </w:rPr>
        <w:t>practican la defecación al aire libre (JMP, 2017).</w:t>
      </w:r>
      <w:r w:rsidR="009D3762">
        <w:rPr>
          <w:rFonts w:ascii="Arial" w:hAnsi="Arial" w:cs="Arial"/>
          <w:lang w:val="es-ES"/>
        </w:rPr>
        <w:t xml:space="preserve"> </w:t>
      </w:r>
      <w:r w:rsidR="00AD4D47">
        <w:rPr>
          <w:rFonts w:ascii="Arial" w:hAnsi="Arial" w:cs="Arial"/>
          <w:lang w:val="es-ES"/>
        </w:rPr>
        <w:t xml:space="preserve">Las </w:t>
      </w:r>
      <w:r w:rsidR="0001665B">
        <w:rPr>
          <w:rFonts w:ascii="Arial" w:hAnsi="Arial" w:cs="Arial"/>
          <w:lang w:val="es-ES"/>
        </w:rPr>
        <w:t xml:space="preserve">zonas </w:t>
      </w:r>
      <w:r w:rsidR="009D3762">
        <w:rPr>
          <w:rFonts w:ascii="Arial" w:hAnsi="Arial" w:cs="Arial"/>
          <w:lang w:val="es-ES"/>
        </w:rPr>
        <w:t xml:space="preserve">rurales </w:t>
      </w:r>
      <w:r w:rsidR="00AD4D47">
        <w:rPr>
          <w:rFonts w:ascii="Arial" w:hAnsi="Arial" w:cs="Arial"/>
          <w:lang w:val="es-ES"/>
        </w:rPr>
        <w:t xml:space="preserve">en ALC </w:t>
      </w:r>
      <w:r w:rsidR="009D3762">
        <w:rPr>
          <w:rFonts w:ascii="Arial" w:hAnsi="Arial" w:cs="Arial"/>
          <w:lang w:val="es-ES"/>
        </w:rPr>
        <w:t>concentra</w:t>
      </w:r>
      <w:r w:rsidR="00AD4D47">
        <w:rPr>
          <w:rFonts w:ascii="Arial" w:hAnsi="Arial" w:cs="Arial"/>
          <w:lang w:val="es-ES"/>
        </w:rPr>
        <w:t>n los mayores niveles de vulnerabilidad y</w:t>
      </w:r>
      <w:r w:rsidR="009D3762">
        <w:rPr>
          <w:rFonts w:ascii="Arial" w:hAnsi="Arial" w:cs="Arial"/>
          <w:lang w:val="es-ES"/>
        </w:rPr>
        <w:t xml:space="preserve"> pobreza</w:t>
      </w:r>
      <w:r w:rsidR="00AD4D47">
        <w:rPr>
          <w:rFonts w:ascii="Arial" w:hAnsi="Arial" w:cs="Arial"/>
          <w:lang w:val="es-ES"/>
        </w:rPr>
        <w:t xml:space="preserve"> de la región, con más de 59 millones de pobres y 27 millones de pobres extremos en 2017, y nos menores niveles de cobertura de servicios sociales básicos</w:t>
      </w:r>
      <w:r w:rsidR="00AD4D47">
        <w:rPr>
          <w:rStyle w:val="FootnoteReference"/>
          <w:rFonts w:ascii="Arial" w:hAnsi="Arial" w:cs="Arial"/>
          <w:lang w:val="es-ES"/>
        </w:rPr>
        <w:footnoteReference w:id="3"/>
      </w:r>
      <w:r w:rsidR="00FA701B">
        <w:rPr>
          <w:rFonts w:ascii="Arial" w:hAnsi="Arial" w:cs="Arial"/>
          <w:lang w:val="es-ES"/>
        </w:rPr>
        <w:t>.</w:t>
      </w:r>
      <w:r w:rsidR="009D3762">
        <w:rPr>
          <w:rFonts w:ascii="Arial" w:hAnsi="Arial" w:cs="Arial"/>
          <w:lang w:val="es-ES"/>
        </w:rPr>
        <w:t xml:space="preserve"> </w:t>
      </w:r>
    </w:p>
    <w:p w14:paraId="12CFAA18" w14:textId="7D7AA20A" w:rsidR="00CB46A0" w:rsidRPr="00EF1A5B" w:rsidRDefault="0010670D" w:rsidP="002049DE">
      <w:pPr>
        <w:pStyle w:val="ListParagraph"/>
        <w:numPr>
          <w:ilvl w:val="1"/>
          <w:numId w:val="5"/>
        </w:numPr>
        <w:spacing w:after="120" w:line="240" w:lineRule="auto"/>
        <w:ind w:left="360" w:hanging="540"/>
        <w:contextualSpacing w:val="0"/>
        <w:jc w:val="both"/>
        <w:rPr>
          <w:rFonts w:ascii="Arial" w:hAnsi="Arial" w:cs="Arial"/>
          <w:lang w:val="es-ES_tradnl"/>
        </w:rPr>
      </w:pPr>
      <w:r w:rsidRPr="00EF1A5B">
        <w:rPr>
          <w:rFonts w:ascii="Arial" w:hAnsi="Arial" w:cs="Arial"/>
          <w:lang w:val="es-ES_tradnl"/>
        </w:rPr>
        <w:t xml:space="preserve">Las deficiencias de acceso a </w:t>
      </w:r>
      <w:r w:rsidR="00A44563">
        <w:rPr>
          <w:rFonts w:ascii="Arial" w:hAnsi="Arial" w:cs="Arial"/>
          <w:lang w:val="es-ES_tradnl"/>
        </w:rPr>
        <w:t xml:space="preserve">servicios seguros de AyS </w:t>
      </w:r>
      <w:r w:rsidR="00281955">
        <w:rPr>
          <w:rFonts w:ascii="Arial" w:hAnsi="Arial" w:cs="Arial"/>
          <w:lang w:val="es-ES_tradnl"/>
        </w:rPr>
        <w:t xml:space="preserve">en zonas rurales </w:t>
      </w:r>
      <w:r w:rsidRPr="00EF1A5B">
        <w:rPr>
          <w:rFonts w:ascii="Arial" w:hAnsi="Arial" w:cs="Arial"/>
          <w:lang w:val="es-ES_tradnl"/>
        </w:rPr>
        <w:t>se deben</w:t>
      </w:r>
      <w:r w:rsidR="00A210C6">
        <w:rPr>
          <w:rFonts w:ascii="Arial" w:hAnsi="Arial" w:cs="Arial"/>
          <w:lang w:val="es-ES_tradnl"/>
        </w:rPr>
        <w:t xml:space="preserve"> en </w:t>
      </w:r>
      <w:r w:rsidR="00133ED3">
        <w:rPr>
          <w:rFonts w:ascii="Arial" w:hAnsi="Arial" w:cs="Arial"/>
          <w:lang w:val="es-ES_tradnl"/>
        </w:rPr>
        <w:t xml:space="preserve">gran </w:t>
      </w:r>
      <w:r w:rsidR="00A210C6">
        <w:rPr>
          <w:rFonts w:ascii="Arial" w:hAnsi="Arial" w:cs="Arial"/>
          <w:lang w:val="es-ES_tradnl"/>
        </w:rPr>
        <w:t xml:space="preserve">parte </w:t>
      </w:r>
      <w:r w:rsidRPr="00EF1A5B">
        <w:rPr>
          <w:rFonts w:ascii="Arial" w:hAnsi="Arial" w:cs="Arial"/>
          <w:lang w:val="es-ES_tradnl"/>
        </w:rPr>
        <w:t xml:space="preserve">a un financiamiento insuficiente para construir y mantener </w:t>
      </w:r>
      <w:r w:rsidR="00643C8F" w:rsidRPr="00EF1A5B">
        <w:rPr>
          <w:rFonts w:ascii="Arial" w:hAnsi="Arial" w:cs="Arial"/>
          <w:lang w:val="es-ES_tradnl"/>
        </w:rPr>
        <w:t xml:space="preserve">los sistemas de </w:t>
      </w:r>
      <w:r w:rsidR="00B20246">
        <w:rPr>
          <w:rFonts w:ascii="Arial" w:hAnsi="Arial" w:cs="Arial"/>
          <w:lang w:val="es-ES_tradnl"/>
        </w:rPr>
        <w:t>AyS</w:t>
      </w:r>
      <w:r w:rsidR="00062699">
        <w:rPr>
          <w:rStyle w:val="FootnoteReference"/>
          <w:rFonts w:ascii="Arial" w:hAnsi="Arial" w:cs="Arial"/>
          <w:lang w:val="es-ES_tradnl"/>
        </w:rPr>
        <w:footnoteReference w:id="4"/>
      </w:r>
      <w:r w:rsidR="00A210C6">
        <w:rPr>
          <w:rFonts w:ascii="Arial" w:hAnsi="Arial" w:cs="Arial"/>
          <w:lang w:val="es-ES_tradnl"/>
        </w:rPr>
        <w:t>,</w:t>
      </w:r>
      <w:r w:rsidR="00643C8F" w:rsidRPr="00EF1A5B">
        <w:rPr>
          <w:rFonts w:ascii="Arial" w:hAnsi="Arial" w:cs="Arial"/>
          <w:lang w:val="es-ES_tradnl"/>
        </w:rPr>
        <w:t xml:space="preserve"> </w:t>
      </w:r>
      <w:r w:rsidR="00281955">
        <w:rPr>
          <w:rFonts w:ascii="Arial" w:hAnsi="Arial" w:cs="Arial"/>
          <w:lang w:val="es-ES_tradnl"/>
        </w:rPr>
        <w:t xml:space="preserve">lo que se refleja en la mayoría de </w:t>
      </w:r>
      <w:r w:rsidR="00643C8F" w:rsidRPr="00EF1A5B">
        <w:rPr>
          <w:rFonts w:ascii="Arial" w:hAnsi="Arial" w:cs="Arial"/>
          <w:lang w:val="es-ES_tradnl"/>
        </w:rPr>
        <w:t>los presupuestos nacionales y regionales</w:t>
      </w:r>
      <w:r w:rsidR="00281955">
        <w:rPr>
          <w:rFonts w:ascii="Arial" w:hAnsi="Arial" w:cs="Arial"/>
          <w:lang w:val="es-ES_tradnl"/>
        </w:rPr>
        <w:t xml:space="preserve"> donde el sector rural está poco</w:t>
      </w:r>
      <w:r w:rsidR="00390FF7">
        <w:rPr>
          <w:rFonts w:ascii="Arial" w:hAnsi="Arial" w:cs="Arial"/>
          <w:lang w:val="es-ES_tradnl"/>
        </w:rPr>
        <w:t xml:space="preserve"> priorizado</w:t>
      </w:r>
      <w:r w:rsidR="00643C8F" w:rsidRPr="00EF1A5B">
        <w:rPr>
          <w:rFonts w:ascii="Arial" w:hAnsi="Arial" w:cs="Arial"/>
          <w:lang w:val="es-ES_tradnl"/>
        </w:rPr>
        <w:t xml:space="preserve">. </w:t>
      </w:r>
      <w:r w:rsidR="00133ED3">
        <w:rPr>
          <w:rFonts w:ascii="Arial" w:hAnsi="Arial" w:cs="Arial"/>
          <w:lang w:val="es-ES_tradnl"/>
        </w:rPr>
        <w:t>Asimismo, l</w:t>
      </w:r>
      <w:r w:rsidR="00B509AF">
        <w:rPr>
          <w:rFonts w:ascii="Arial" w:hAnsi="Arial" w:cs="Arial"/>
          <w:lang w:val="es-ES_tradnl"/>
        </w:rPr>
        <w:t xml:space="preserve">a ausencia o inadecuada definición de </w:t>
      </w:r>
      <w:r w:rsidR="00643C8F" w:rsidRPr="00EF1A5B">
        <w:rPr>
          <w:rFonts w:ascii="Arial" w:hAnsi="Arial" w:cs="Arial"/>
          <w:lang w:val="es-ES_tradnl"/>
        </w:rPr>
        <w:t xml:space="preserve">políticas públicas </w:t>
      </w:r>
      <w:r w:rsidR="005A5772">
        <w:rPr>
          <w:rFonts w:ascii="Arial" w:hAnsi="Arial" w:cs="Arial"/>
          <w:lang w:val="es-ES_tradnl"/>
        </w:rPr>
        <w:t xml:space="preserve">focalizadas </w:t>
      </w:r>
      <w:r w:rsidR="007D5844">
        <w:rPr>
          <w:rFonts w:ascii="Arial" w:hAnsi="Arial" w:cs="Arial"/>
          <w:lang w:val="es-ES_tradnl"/>
        </w:rPr>
        <w:t>para atender los desafíos del</w:t>
      </w:r>
      <w:r w:rsidR="00B509AF">
        <w:rPr>
          <w:rFonts w:ascii="Arial" w:hAnsi="Arial" w:cs="Arial"/>
          <w:lang w:val="es-ES_tradnl"/>
        </w:rPr>
        <w:t xml:space="preserve"> sector rural</w:t>
      </w:r>
      <w:r w:rsidR="0040265D">
        <w:rPr>
          <w:rFonts w:ascii="Arial" w:hAnsi="Arial" w:cs="Arial"/>
          <w:lang w:val="es-ES_tradnl"/>
        </w:rPr>
        <w:t xml:space="preserve"> también </w:t>
      </w:r>
      <w:r w:rsidR="00281955">
        <w:rPr>
          <w:rFonts w:ascii="Arial" w:hAnsi="Arial" w:cs="Arial"/>
          <w:lang w:val="es-ES_tradnl"/>
        </w:rPr>
        <w:t xml:space="preserve">es otro de los </w:t>
      </w:r>
      <w:r w:rsidR="00476B8D">
        <w:rPr>
          <w:rFonts w:ascii="Arial" w:hAnsi="Arial" w:cs="Arial"/>
          <w:lang w:val="es-ES_tradnl"/>
        </w:rPr>
        <w:t>retos. L</w:t>
      </w:r>
      <w:r w:rsidR="000F2F4F">
        <w:rPr>
          <w:rFonts w:ascii="Arial" w:hAnsi="Arial" w:cs="Arial"/>
          <w:lang w:val="es-ES_tradnl"/>
        </w:rPr>
        <w:t>os municipios</w:t>
      </w:r>
      <w:r w:rsidR="005A5772">
        <w:rPr>
          <w:rFonts w:ascii="Arial" w:hAnsi="Arial" w:cs="Arial"/>
          <w:lang w:val="es-ES_tradnl"/>
        </w:rPr>
        <w:t xml:space="preserve"> </w:t>
      </w:r>
      <w:r w:rsidR="00C73BA8">
        <w:rPr>
          <w:rFonts w:ascii="Arial" w:hAnsi="Arial" w:cs="Arial"/>
          <w:lang w:val="es-ES_tradnl"/>
        </w:rPr>
        <w:t>confrontan</w:t>
      </w:r>
      <w:r w:rsidR="000F2F4F">
        <w:rPr>
          <w:rFonts w:ascii="Arial" w:hAnsi="Arial" w:cs="Arial"/>
          <w:lang w:val="es-ES_tradnl"/>
        </w:rPr>
        <w:t xml:space="preserve"> limitaciones financieras y técnicas para garantizar la provisión de los servicios </w:t>
      </w:r>
      <w:r w:rsidR="007E02E1">
        <w:rPr>
          <w:rFonts w:ascii="Arial" w:hAnsi="Arial" w:cs="Arial"/>
          <w:lang w:val="es-ES_tradnl"/>
        </w:rPr>
        <w:t xml:space="preserve">de AyS </w:t>
      </w:r>
      <w:r w:rsidR="000F2F4F">
        <w:rPr>
          <w:rFonts w:ascii="Arial" w:hAnsi="Arial" w:cs="Arial"/>
          <w:lang w:val="es-ES_tradnl"/>
        </w:rPr>
        <w:t>en las zonas rurales que abarcan.</w:t>
      </w:r>
      <w:r w:rsidR="0040265D">
        <w:rPr>
          <w:rFonts w:ascii="Arial" w:hAnsi="Arial" w:cs="Arial"/>
          <w:lang w:val="es-ES_tradnl"/>
        </w:rPr>
        <w:t xml:space="preserve"> En general, la responsabilidad de la </w:t>
      </w:r>
      <w:r w:rsidR="000F2F4F">
        <w:rPr>
          <w:rFonts w:ascii="Arial" w:hAnsi="Arial" w:cs="Arial"/>
          <w:lang w:val="es-ES_tradnl"/>
        </w:rPr>
        <w:t>gestión</w:t>
      </w:r>
      <w:r w:rsidR="0040265D">
        <w:rPr>
          <w:rFonts w:ascii="Arial" w:hAnsi="Arial" w:cs="Arial"/>
          <w:lang w:val="es-ES_tradnl"/>
        </w:rPr>
        <w:t xml:space="preserve"> de los sistemas rurales </w:t>
      </w:r>
      <w:r w:rsidR="000F2F4F">
        <w:rPr>
          <w:rFonts w:ascii="Arial" w:hAnsi="Arial" w:cs="Arial"/>
          <w:lang w:val="es-ES_tradnl"/>
        </w:rPr>
        <w:t xml:space="preserve">de AyS </w:t>
      </w:r>
      <w:r w:rsidR="0040265D">
        <w:rPr>
          <w:rFonts w:ascii="Arial" w:hAnsi="Arial" w:cs="Arial"/>
          <w:lang w:val="es-ES_tradnl"/>
        </w:rPr>
        <w:t>se traslada a</w:t>
      </w:r>
      <w:r w:rsidR="00C73BA8">
        <w:rPr>
          <w:rFonts w:ascii="Arial" w:hAnsi="Arial" w:cs="Arial"/>
          <w:lang w:val="es-ES_tradnl"/>
        </w:rPr>
        <w:t xml:space="preserve"> </w:t>
      </w:r>
      <w:r w:rsidR="00643C8F" w:rsidRPr="00EF1A5B">
        <w:rPr>
          <w:rFonts w:ascii="Arial" w:hAnsi="Arial" w:cs="Arial"/>
          <w:lang w:val="es-ES_tradnl"/>
        </w:rPr>
        <w:t xml:space="preserve">estructuras </w:t>
      </w:r>
      <w:r w:rsidR="00A210C6" w:rsidRPr="00EF1A5B">
        <w:rPr>
          <w:rFonts w:ascii="Arial" w:hAnsi="Arial" w:cs="Arial"/>
          <w:lang w:val="es-ES_tradnl"/>
        </w:rPr>
        <w:t>comunitarias</w:t>
      </w:r>
      <w:r w:rsidR="00281955">
        <w:rPr>
          <w:rFonts w:ascii="Arial" w:hAnsi="Arial" w:cs="Arial"/>
          <w:lang w:val="es-ES_tradnl"/>
        </w:rPr>
        <w:t xml:space="preserve"> (comités o juntas de agua)</w:t>
      </w:r>
      <w:r w:rsidR="00A210C6" w:rsidRPr="00EF1A5B">
        <w:rPr>
          <w:rFonts w:ascii="Arial" w:hAnsi="Arial" w:cs="Arial"/>
          <w:lang w:val="es-ES_tradnl"/>
        </w:rPr>
        <w:t>,</w:t>
      </w:r>
      <w:r w:rsidR="000F2F4F">
        <w:rPr>
          <w:rFonts w:ascii="Arial" w:hAnsi="Arial" w:cs="Arial"/>
          <w:lang w:val="es-ES_tradnl"/>
        </w:rPr>
        <w:t xml:space="preserve"> pero en la mayoría de los casos estas estructuras no </w:t>
      </w:r>
      <w:r w:rsidR="00390FF7">
        <w:rPr>
          <w:rFonts w:ascii="Arial" w:hAnsi="Arial" w:cs="Arial"/>
          <w:lang w:val="es-ES_tradnl"/>
        </w:rPr>
        <w:t xml:space="preserve">cuentan con capacidades </w:t>
      </w:r>
      <w:r w:rsidR="00A210C6">
        <w:rPr>
          <w:rFonts w:ascii="Arial" w:hAnsi="Arial" w:cs="Arial"/>
          <w:lang w:val="es-ES_tradnl"/>
        </w:rPr>
        <w:t>suficientes</w:t>
      </w:r>
      <w:r w:rsidR="000F2F4F">
        <w:rPr>
          <w:rFonts w:ascii="Arial" w:hAnsi="Arial" w:cs="Arial"/>
          <w:lang w:val="es-ES_tradnl"/>
        </w:rPr>
        <w:t xml:space="preserve"> </w:t>
      </w:r>
      <w:r w:rsidR="00A210C6">
        <w:rPr>
          <w:rFonts w:ascii="Arial" w:hAnsi="Arial" w:cs="Arial"/>
          <w:lang w:val="es-ES_tradnl"/>
        </w:rPr>
        <w:t>para</w:t>
      </w:r>
      <w:r w:rsidR="000F2F4F">
        <w:rPr>
          <w:rFonts w:ascii="Arial" w:hAnsi="Arial" w:cs="Arial"/>
          <w:lang w:val="es-ES_tradnl"/>
        </w:rPr>
        <w:t xml:space="preserve"> garantizar la sostenibilidad de los servicios </w:t>
      </w:r>
      <w:r w:rsidR="000F2F4F" w:rsidRPr="000F2F4F">
        <w:rPr>
          <w:rFonts w:ascii="Arial" w:hAnsi="Arial" w:cs="Arial"/>
          <w:lang w:val="es-ES_tradnl"/>
        </w:rPr>
        <w:t>por s</w:t>
      </w:r>
      <w:r w:rsidR="007E02E1">
        <w:rPr>
          <w:rFonts w:ascii="Arial" w:hAnsi="Arial" w:cs="Arial"/>
          <w:lang w:val="es-ES_tradnl"/>
        </w:rPr>
        <w:t>í</w:t>
      </w:r>
      <w:r w:rsidR="000F2F4F" w:rsidRPr="000F2F4F">
        <w:rPr>
          <w:rFonts w:ascii="Arial" w:hAnsi="Arial" w:cs="Arial"/>
          <w:lang w:val="es-ES_tradnl"/>
        </w:rPr>
        <w:t xml:space="preserve"> solas</w:t>
      </w:r>
      <w:r w:rsidR="000F2F4F">
        <w:rPr>
          <w:rFonts w:ascii="Arial" w:hAnsi="Arial" w:cs="Arial"/>
          <w:lang w:val="es-ES_tradnl"/>
        </w:rPr>
        <w:t xml:space="preserve">, </w:t>
      </w:r>
      <w:r w:rsidR="00A210C6">
        <w:rPr>
          <w:rFonts w:ascii="Arial" w:hAnsi="Arial" w:cs="Arial"/>
          <w:lang w:val="es-ES_tradnl"/>
        </w:rPr>
        <w:t>hecho que se constata en algunas evaluaciones realizadas en la región donde</w:t>
      </w:r>
      <w:r w:rsidR="000F2F4F">
        <w:rPr>
          <w:rFonts w:ascii="Arial" w:hAnsi="Arial" w:cs="Arial"/>
          <w:lang w:val="es-ES_tradnl"/>
        </w:rPr>
        <w:t xml:space="preserve"> </w:t>
      </w:r>
      <w:r w:rsidR="0040265D">
        <w:rPr>
          <w:rFonts w:ascii="Arial" w:hAnsi="Arial" w:cs="Arial"/>
          <w:lang w:val="es-ES_tradnl"/>
        </w:rPr>
        <w:t>e</w:t>
      </w:r>
      <w:r w:rsidR="0007397E" w:rsidRPr="00EF1A5B">
        <w:rPr>
          <w:rFonts w:ascii="Arial" w:hAnsi="Arial" w:cs="Arial"/>
          <w:lang w:val="es-ES_tradnl"/>
        </w:rPr>
        <w:t xml:space="preserve">l porcentaje de sistemas </w:t>
      </w:r>
      <w:r w:rsidR="00A86E7C">
        <w:rPr>
          <w:rFonts w:ascii="Arial" w:hAnsi="Arial" w:cs="Arial"/>
          <w:lang w:val="es-ES_tradnl"/>
        </w:rPr>
        <w:t xml:space="preserve">rurales </w:t>
      </w:r>
      <w:r w:rsidR="0007397E" w:rsidRPr="00EF1A5B">
        <w:rPr>
          <w:rFonts w:ascii="Arial" w:hAnsi="Arial" w:cs="Arial"/>
          <w:lang w:val="es-ES_tradnl"/>
        </w:rPr>
        <w:t>no operativos o con</w:t>
      </w:r>
      <w:r w:rsidR="00885698" w:rsidRPr="00EF1A5B">
        <w:rPr>
          <w:rFonts w:ascii="Arial" w:hAnsi="Arial" w:cs="Arial"/>
          <w:lang w:val="es-ES_tradnl"/>
        </w:rPr>
        <w:t xml:space="preserve"> deficiencias</w:t>
      </w:r>
      <w:r w:rsidR="0007397E" w:rsidRPr="00EF1A5B">
        <w:rPr>
          <w:rFonts w:ascii="Arial" w:hAnsi="Arial" w:cs="Arial"/>
          <w:lang w:val="es-ES_tradnl"/>
        </w:rPr>
        <w:t xml:space="preserve"> </w:t>
      </w:r>
      <w:r w:rsidR="00B20246">
        <w:rPr>
          <w:rFonts w:ascii="Arial" w:hAnsi="Arial" w:cs="Arial"/>
          <w:lang w:val="es-ES_tradnl"/>
        </w:rPr>
        <w:t xml:space="preserve">supera el </w:t>
      </w:r>
      <w:r w:rsidR="00B509AF">
        <w:rPr>
          <w:rFonts w:ascii="Arial" w:hAnsi="Arial" w:cs="Arial"/>
          <w:lang w:val="es-ES_tradnl"/>
        </w:rPr>
        <w:t>40%</w:t>
      </w:r>
      <w:r w:rsidR="0040265D">
        <w:rPr>
          <w:rStyle w:val="FootnoteReference"/>
          <w:rFonts w:ascii="Arial" w:hAnsi="Arial" w:cs="Arial"/>
          <w:lang w:val="es-ES_tradnl"/>
        </w:rPr>
        <w:footnoteReference w:id="5"/>
      </w:r>
      <w:r w:rsidR="0007397E" w:rsidRPr="00EF1A5B">
        <w:rPr>
          <w:rFonts w:ascii="Arial" w:hAnsi="Arial" w:cs="Arial"/>
          <w:lang w:val="es-ES_tradnl"/>
        </w:rPr>
        <w:t>.</w:t>
      </w:r>
      <w:r w:rsidR="00390FF7">
        <w:rPr>
          <w:rFonts w:ascii="Arial" w:hAnsi="Arial" w:cs="Arial"/>
          <w:lang w:val="es-ES_tradnl"/>
        </w:rPr>
        <w:t xml:space="preserve"> Esta situación crítica requiere en </w:t>
      </w:r>
      <w:r w:rsidR="007703E3">
        <w:rPr>
          <w:rFonts w:ascii="Arial" w:hAnsi="Arial" w:cs="Arial"/>
          <w:lang w:val="es-ES_tradnl"/>
        </w:rPr>
        <w:t>muchos</w:t>
      </w:r>
      <w:r w:rsidR="00390FF7">
        <w:rPr>
          <w:rFonts w:ascii="Arial" w:hAnsi="Arial" w:cs="Arial"/>
          <w:lang w:val="es-ES_tradnl"/>
        </w:rPr>
        <w:t xml:space="preserve"> casos asistencia técnica y financiera externa.</w:t>
      </w:r>
      <w:r w:rsidR="0007397E" w:rsidRPr="00EF1A5B">
        <w:rPr>
          <w:rFonts w:ascii="Arial" w:hAnsi="Arial" w:cs="Arial"/>
          <w:lang w:val="es-ES_tradnl"/>
        </w:rPr>
        <w:t xml:space="preserve"> El saneamiento se presenta como </w:t>
      </w:r>
      <w:r w:rsidR="00885698" w:rsidRPr="00EF1A5B">
        <w:rPr>
          <w:rFonts w:ascii="Arial" w:hAnsi="Arial" w:cs="Arial"/>
          <w:lang w:val="es-ES_tradnl"/>
        </w:rPr>
        <w:t xml:space="preserve">un reto </w:t>
      </w:r>
      <w:r w:rsidR="0040265D">
        <w:rPr>
          <w:rFonts w:ascii="Arial" w:hAnsi="Arial" w:cs="Arial"/>
          <w:lang w:val="es-ES_tradnl"/>
        </w:rPr>
        <w:t>aún mayor</w:t>
      </w:r>
      <w:r w:rsidR="007E02E1">
        <w:rPr>
          <w:rFonts w:ascii="Arial" w:hAnsi="Arial" w:cs="Arial"/>
          <w:lang w:val="es-ES_tradnl"/>
        </w:rPr>
        <w:t xml:space="preserve">. </w:t>
      </w:r>
      <w:r w:rsidR="00BC390C">
        <w:rPr>
          <w:rFonts w:ascii="Arial" w:hAnsi="Arial" w:cs="Arial"/>
          <w:lang w:val="es-ES_tradnl"/>
        </w:rPr>
        <w:t>En este caso, g</w:t>
      </w:r>
      <w:r w:rsidR="00281955">
        <w:rPr>
          <w:rFonts w:ascii="Arial" w:hAnsi="Arial" w:cs="Arial"/>
          <w:lang w:val="es-ES_tradnl"/>
        </w:rPr>
        <w:t>eneralmente se apuesta</w:t>
      </w:r>
      <w:r w:rsidR="0040265D">
        <w:rPr>
          <w:rFonts w:ascii="Arial" w:hAnsi="Arial" w:cs="Arial"/>
          <w:lang w:val="es-ES_tradnl"/>
        </w:rPr>
        <w:t xml:space="preserve"> </w:t>
      </w:r>
      <w:r w:rsidR="00E52DB5">
        <w:rPr>
          <w:rFonts w:ascii="Arial" w:hAnsi="Arial" w:cs="Arial"/>
          <w:lang w:val="es-ES_tradnl"/>
        </w:rPr>
        <w:t xml:space="preserve">por </w:t>
      </w:r>
      <w:r w:rsidR="00885698" w:rsidRPr="00EF1A5B">
        <w:rPr>
          <w:rFonts w:ascii="Arial" w:hAnsi="Arial" w:cs="Arial"/>
          <w:lang w:val="es-ES_tradnl"/>
        </w:rPr>
        <w:t xml:space="preserve">estrategias donde cada persona es responsable de su propio </w:t>
      </w:r>
      <w:r w:rsidR="00133ED3">
        <w:rPr>
          <w:rFonts w:ascii="Arial" w:hAnsi="Arial" w:cs="Arial"/>
          <w:lang w:val="es-ES_tradnl"/>
        </w:rPr>
        <w:t xml:space="preserve">sistema de </w:t>
      </w:r>
      <w:r w:rsidR="00885698" w:rsidRPr="00EF1A5B">
        <w:rPr>
          <w:rFonts w:ascii="Arial" w:hAnsi="Arial" w:cs="Arial"/>
          <w:lang w:val="es-ES_tradnl"/>
        </w:rPr>
        <w:t>saneamiento</w:t>
      </w:r>
      <w:r w:rsidR="0040265D">
        <w:rPr>
          <w:rFonts w:ascii="Arial" w:hAnsi="Arial" w:cs="Arial"/>
          <w:lang w:val="es-ES_tradnl"/>
        </w:rPr>
        <w:t xml:space="preserve"> (construcción y mantenimiento de soluciones individuales)</w:t>
      </w:r>
      <w:r w:rsidR="00CB46A0" w:rsidRPr="00EF1A5B">
        <w:rPr>
          <w:rFonts w:ascii="Arial" w:hAnsi="Arial" w:cs="Arial"/>
          <w:lang w:val="es-ES_tradnl"/>
        </w:rPr>
        <w:t>,</w:t>
      </w:r>
      <w:r w:rsidR="00885698" w:rsidRPr="00EF1A5B">
        <w:rPr>
          <w:rFonts w:ascii="Arial" w:hAnsi="Arial" w:cs="Arial"/>
          <w:lang w:val="es-ES_tradnl"/>
        </w:rPr>
        <w:t xml:space="preserve"> </w:t>
      </w:r>
      <w:r w:rsidR="00E52DB5">
        <w:rPr>
          <w:rFonts w:ascii="Arial" w:hAnsi="Arial" w:cs="Arial"/>
          <w:lang w:val="es-ES_tradnl"/>
        </w:rPr>
        <w:t>y donde</w:t>
      </w:r>
      <w:r w:rsidR="0040265D">
        <w:rPr>
          <w:rFonts w:ascii="Arial" w:hAnsi="Arial" w:cs="Arial"/>
          <w:lang w:val="es-ES_tradnl"/>
        </w:rPr>
        <w:t xml:space="preserve"> </w:t>
      </w:r>
      <w:r w:rsidR="00685DB4" w:rsidRPr="00EF1A5B">
        <w:rPr>
          <w:rFonts w:ascii="Arial" w:hAnsi="Arial" w:cs="Arial"/>
          <w:lang w:val="es-ES_tradnl"/>
        </w:rPr>
        <w:t>en muchas ocasiones no</w:t>
      </w:r>
      <w:r w:rsidR="00390FF7">
        <w:rPr>
          <w:rFonts w:ascii="Arial" w:hAnsi="Arial" w:cs="Arial"/>
          <w:lang w:val="es-ES_tradnl"/>
        </w:rPr>
        <w:t xml:space="preserve"> </w:t>
      </w:r>
      <w:r w:rsidR="00483414">
        <w:rPr>
          <w:rFonts w:ascii="Arial" w:hAnsi="Arial" w:cs="Arial"/>
          <w:lang w:val="es-ES_tradnl"/>
        </w:rPr>
        <w:t xml:space="preserve">se </w:t>
      </w:r>
      <w:r w:rsidR="007703E3">
        <w:rPr>
          <w:rFonts w:ascii="Arial" w:hAnsi="Arial" w:cs="Arial"/>
          <w:lang w:val="es-ES_tradnl"/>
        </w:rPr>
        <w:t>consideran</w:t>
      </w:r>
      <w:r w:rsidR="00390FF7">
        <w:rPr>
          <w:rFonts w:ascii="Arial" w:hAnsi="Arial" w:cs="Arial"/>
          <w:lang w:val="es-ES_tradnl"/>
        </w:rPr>
        <w:t xml:space="preserve"> los aspectos de </w:t>
      </w:r>
      <w:r w:rsidR="00885698" w:rsidRPr="00EF1A5B">
        <w:rPr>
          <w:rFonts w:ascii="Arial" w:hAnsi="Arial" w:cs="Arial"/>
          <w:lang w:val="es-ES_tradnl"/>
        </w:rPr>
        <w:t>demanda</w:t>
      </w:r>
      <w:r w:rsidR="00CB46A0" w:rsidRPr="00EF1A5B">
        <w:rPr>
          <w:rFonts w:ascii="Arial" w:hAnsi="Arial" w:cs="Arial"/>
          <w:lang w:val="es-ES_tradnl"/>
        </w:rPr>
        <w:t xml:space="preserve"> </w:t>
      </w:r>
      <w:r w:rsidR="00133ED3">
        <w:rPr>
          <w:rFonts w:ascii="Arial" w:hAnsi="Arial" w:cs="Arial"/>
          <w:lang w:val="es-ES_tradnl"/>
        </w:rPr>
        <w:t xml:space="preserve">de </w:t>
      </w:r>
      <w:r w:rsidR="00390FF7">
        <w:rPr>
          <w:rFonts w:ascii="Arial" w:hAnsi="Arial" w:cs="Arial"/>
          <w:lang w:val="es-ES_tradnl"/>
        </w:rPr>
        <w:t xml:space="preserve">la población </w:t>
      </w:r>
      <w:r w:rsidR="00CB46A0" w:rsidRPr="00EF1A5B">
        <w:rPr>
          <w:rFonts w:ascii="Arial" w:hAnsi="Arial" w:cs="Arial"/>
          <w:lang w:val="es-ES_tradnl"/>
        </w:rPr>
        <w:t xml:space="preserve">ni </w:t>
      </w:r>
      <w:r w:rsidR="00133ED3">
        <w:rPr>
          <w:rFonts w:ascii="Arial" w:hAnsi="Arial" w:cs="Arial"/>
          <w:lang w:val="es-ES_tradnl"/>
        </w:rPr>
        <w:t>los</w:t>
      </w:r>
      <w:r w:rsidR="00483414">
        <w:rPr>
          <w:rFonts w:ascii="Arial" w:hAnsi="Arial" w:cs="Arial"/>
          <w:lang w:val="es-ES_tradnl"/>
        </w:rPr>
        <w:t xml:space="preserve"> de cambio de comportamiento para adquirir </w:t>
      </w:r>
      <w:r w:rsidR="00CB46A0" w:rsidRPr="00EF1A5B">
        <w:rPr>
          <w:rFonts w:ascii="Arial" w:hAnsi="Arial" w:cs="Arial"/>
          <w:lang w:val="es-ES_tradnl"/>
        </w:rPr>
        <w:t>hábito</w:t>
      </w:r>
      <w:r w:rsidR="0040265D">
        <w:rPr>
          <w:rFonts w:ascii="Arial" w:hAnsi="Arial" w:cs="Arial"/>
          <w:lang w:val="es-ES_tradnl"/>
        </w:rPr>
        <w:t xml:space="preserve">s </w:t>
      </w:r>
      <w:r w:rsidR="00BC390C">
        <w:rPr>
          <w:rFonts w:ascii="Arial" w:hAnsi="Arial" w:cs="Arial"/>
          <w:lang w:val="es-ES_tradnl"/>
        </w:rPr>
        <w:t>adecuados</w:t>
      </w:r>
      <w:r w:rsidR="0001665B">
        <w:rPr>
          <w:rFonts w:ascii="Arial" w:hAnsi="Arial" w:cs="Arial"/>
          <w:lang w:val="es-ES_tradnl"/>
        </w:rPr>
        <w:t xml:space="preserve"> de higiene y</w:t>
      </w:r>
      <w:r w:rsidR="00BC390C">
        <w:rPr>
          <w:rFonts w:ascii="Arial" w:hAnsi="Arial" w:cs="Arial"/>
          <w:lang w:val="es-ES_tradnl"/>
        </w:rPr>
        <w:t xml:space="preserve"> </w:t>
      </w:r>
      <w:r w:rsidR="00483414">
        <w:rPr>
          <w:rFonts w:ascii="Arial" w:hAnsi="Arial" w:cs="Arial"/>
          <w:lang w:val="es-ES_tradnl"/>
        </w:rPr>
        <w:t xml:space="preserve">fomentar </w:t>
      </w:r>
      <w:r w:rsidR="00E52DB5">
        <w:rPr>
          <w:rFonts w:ascii="Arial" w:hAnsi="Arial" w:cs="Arial"/>
          <w:lang w:val="es-ES_tradnl"/>
        </w:rPr>
        <w:t xml:space="preserve">el uso </w:t>
      </w:r>
      <w:r w:rsidR="007703E3">
        <w:rPr>
          <w:rFonts w:ascii="Arial" w:hAnsi="Arial" w:cs="Arial"/>
          <w:lang w:val="es-ES_tradnl"/>
        </w:rPr>
        <w:t xml:space="preserve">correcto </w:t>
      </w:r>
      <w:r w:rsidR="00E52DB5">
        <w:rPr>
          <w:rFonts w:ascii="Arial" w:hAnsi="Arial" w:cs="Arial"/>
          <w:lang w:val="es-ES_tradnl"/>
        </w:rPr>
        <w:t>de las facilidades</w:t>
      </w:r>
      <w:r w:rsidR="00483414">
        <w:rPr>
          <w:rFonts w:ascii="Arial" w:hAnsi="Arial" w:cs="Arial"/>
          <w:lang w:val="es-ES_tradnl"/>
        </w:rPr>
        <w:t>, entre otros</w:t>
      </w:r>
      <w:r w:rsidR="005C76E9">
        <w:rPr>
          <w:rFonts w:ascii="Arial" w:hAnsi="Arial" w:cs="Arial"/>
          <w:lang w:val="es-ES_tradnl"/>
        </w:rPr>
        <w:t>.</w:t>
      </w:r>
      <w:r w:rsidR="00685DB4" w:rsidRPr="00EF1A5B">
        <w:rPr>
          <w:rFonts w:ascii="Arial" w:hAnsi="Arial" w:cs="Arial"/>
          <w:lang w:val="es-ES_tradnl"/>
        </w:rPr>
        <w:t xml:space="preserve"> </w:t>
      </w:r>
    </w:p>
    <w:p w14:paraId="04EB2D85" w14:textId="33D4E28D" w:rsidR="00024491" w:rsidRPr="001D1D66" w:rsidRDefault="00685DB4" w:rsidP="002049DE">
      <w:pPr>
        <w:pStyle w:val="ListParagraph"/>
        <w:numPr>
          <w:ilvl w:val="1"/>
          <w:numId w:val="5"/>
        </w:numPr>
        <w:spacing w:after="120" w:line="240" w:lineRule="auto"/>
        <w:ind w:left="360" w:hanging="540"/>
        <w:contextualSpacing w:val="0"/>
        <w:jc w:val="both"/>
        <w:rPr>
          <w:rFonts w:ascii="Arial" w:hAnsi="Arial" w:cs="Arial"/>
          <w:lang w:val="es-ES_tradnl"/>
        </w:rPr>
      </w:pPr>
      <w:r w:rsidRPr="00EF1A5B">
        <w:rPr>
          <w:rFonts w:ascii="Arial" w:hAnsi="Arial" w:cs="Arial"/>
          <w:lang w:val="es-ES_tradnl"/>
        </w:rPr>
        <w:t xml:space="preserve">Las coberturas </w:t>
      </w:r>
      <w:r w:rsidR="00CB46A0" w:rsidRPr="00EF1A5B">
        <w:rPr>
          <w:rFonts w:ascii="Arial" w:hAnsi="Arial" w:cs="Arial"/>
          <w:lang w:val="es-ES_tradnl"/>
        </w:rPr>
        <w:t>de servicios en las</w:t>
      </w:r>
      <w:r w:rsidRPr="00EF1A5B">
        <w:rPr>
          <w:rFonts w:ascii="Arial" w:hAnsi="Arial" w:cs="Arial"/>
          <w:lang w:val="es-ES_tradnl"/>
        </w:rPr>
        <w:t xml:space="preserve"> escuelas</w:t>
      </w:r>
      <w:r w:rsidR="00CB46A0" w:rsidRPr="00EF1A5B">
        <w:rPr>
          <w:rFonts w:ascii="Arial" w:hAnsi="Arial" w:cs="Arial"/>
          <w:lang w:val="es-ES_tradnl"/>
        </w:rPr>
        <w:t xml:space="preserve"> rurales también son peores que en las zonas urbanas</w:t>
      </w:r>
      <w:r w:rsidR="00B20246">
        <w:rPr>
          <w:rFonts w:ascii="Arial" w:hAnsi="Arial" w:cs="Arial"/>
          <w:lang w:val="es-ES_tradnl"/>
        </w:rPr>
        <w:t>. S</w:t>
      </w:r>
      <w:r w:rsidR="00CB46A0" w:rsidRPr="00EF1A5B">
        <w:rPr>
          <w:rFonts w:ascii="Arial" w:hAnsi="Arial" w:cs="Arial"/>
          <w:lang w:val="es-ES_tradnl"/>
        </w:rPr>
        <w:t>egún el JMP</w:t>
      </w:r>
      <w:r w:rsidR="007E02E1">
        <w:rPr>
          <w:rFonts w:ascii="Arial" w:hAnsi="Arial" w:cs="Arial"/>
          <w:lang w:val="es-ES_tradnl"/>
        </w:rPr>
        <w:t>,</w:t>
      </w:r>
      <w:r w:rsidR="00CB46A0" w:rsidRPr="00EF1A5B">
        <w:rPr>
          <w:rFonts w:ascii="Arial" w:hAnsi="Arial" w:cs="Arial"/>
          <w:lang w:val="es-ES_tradnl"/>
        </w:rPr>
        <w:t xml:space="preserve"> en 2016 el 71% de las escuelas</w:t>
      </w:r>
      <w:r w:rsidR="00E52DB5">
        <w:rPr>
          <w:rFonts w:ascii="Arial" w:hAnsi="Arial" w:cs="Arial"/>
          <w:lang w:val="es-ES_tradnl"/>
        </w:rPr>
        <w:t xml:space="preserve"> rurales</w:t>
      </w:r>
      <w:r w:rsidR="00CB46A0" w:rsidRPr="00EF1A5B">
        <w:rPr>
          <w:rFonts w:ascii="Arial" w:hAnsi="Arial" w:cs="Arial"/>
          <w:lang w:val="es-ES_tradnl"/>
        </w:rPr>
        <w:t xml:space="preserve"> tendría un servicio limitado de agua y el 29% no dispondría de este servicio</w:t>
      </w:r>
      <w:r w:rsidR="00B20246">
        <w:rPr>
          <w:rFonts w:ascii="Arial" w:hAnsi="Arial" w:cs="Arial"/>
          <w:lang w:val="es-ES_tradnl"/>
        </w:rPr>
        <w:t>. En el caso del saneamiento</w:t>
      </w:r>
      <w:r w:rsidR="00CB46A0" w:rsidRPr="00EF1A5B">
        <w:rPr>
          <w:rFonts w:ascii="Arial" w:hAnsi="Arial" w:cs="Arial"/>
          <w:lang w:val="es-ES_tradnl"/>
        </w:rPr>
        <w:t xml:space="preserve">, sólo el 65% de las escuelas dispondría de un </w:t>
      </w:r>
      <w:r w:rsidR="00B20246">
        <w:rPr>
          <w:rFonts w:ascii="Arial" w:hAnsi="Arial" w:cs="Arial"/>
          <w:lang w:val="es-ES_tradnl"/>
        </w:rPr>
        <w:t xml:space="preserve">servicio </w:t>
      </w:r>
      <w:r w:rsidR="00CB46A0" w:rsidRPr="00EF1A5B">
        <w:rPr>
          <w:rFonts w:ascii="Arial" w:hAnsi="Arial" w:cs="Arial"/>
          <w:lang w:val="es-ES_tradnl"/>
        </w:rPr>
        <w:t>básico</w:t>
      </w:r>
      <w:r w:rsidR="00B20246">
        <w:rPr>
          <w:rFonts w:ascii="Arial" w:hAnsi="Arial" w:cs="Arial"/>
          <w:lang w:val="es-ES_tradnl"/>
        </w:rPr>
        <w:t>,</w:t>
      </w:r>
      <w:r w:rsidR="00CB46A0" w:rsidRPr="00EF1A5B">
        <w:rPr>
          <w:rFonts w:ascii="Arial" w:hAnsi="Arial" w:cs="Arial"/>
          <w:lang w:val="es-ES_tradnl"/>
        </w:rPr>
        <w:t xml:space="preserve"> y en general habría una deficiencia generalizada en cuanto a las instalaciones higiénicas. </w:t>
      </w:r>
      <w:r w:rsidRPr="00EF1A5B">
        <w:rPr>
          <w:rFonts w:ascii="Arial" w:hAnsi="Arial" w:cs="Arial"/>
          <w:lang w:val="es-ES_tradnl"/>
        </w:rPr>
        <w:t xml:space="preserve">  </w:t>
      </w:r>
      <w:r w:rsidR="00885698" w:rsidRPr="00EF1A5B">
        <w:rPr>
          <w:rFonts w:ascii="Arial" w:hAnsi="Arial" w:cs="Arial"/>
          <w:lang w:val="es-ES_tradnl"/>
        </w:rPr>
        <w:t xml:space="preserve">   </w:t>
      </w:r>
      <w:r w:rsidR="0007397E" w:rsidRPr="00EF1A5B">
        <w:rPr>
          <w:rFonts w:ascii="Arial" w:hAnsi="Arial" w:cs="Arial"/>
          <w:lang w:val="es-ES_tradnl"/>
        </w:rPr>
        <w:t xml:space="preserve"> </w:t>
      </w:r>
      <w:r w:rsidR="0010670D" w:rsidRPr="00EF1A5B">
        <w:rPr>
          <w:rFonts w:ascii="Arial" w:hAnsi="Arial" w:cs="Arial"/>
          <w:lang w:val="es-ES_tradnl"/>
        </w:rPr>
        <w:t xml:space="preserve"> </w:t>
      </w:r>
    </w:p>
    <w:p w14:paraId="670E66FA" w14:textId="1D178C99" w:rsidR="00A86E7C" w:rsidRPr="001D1D66" w:rsidRDefault="00EF1A5B" w:rsidP="002049DE">
      <w:pPr>
        <w:pStyle w:val="ListParagraph"/>
        <w:numPr>
          <w:ilvl w:val="1"/>
          <w:numId w:val="5"/>
        </w:numPr>
        <w:spacing w:after="120" w:line="240" w:lineRule="auto"/>
        <w:ind w:left="360" w:hanging="540"/>
        <w:contextualSpacing w:val="0"/>
        <w:jc w:val="both"/>
        <w:rPr>
          <w:rFonts w:ascii="Arial" w:hAnsi="Arial" w:cs="Arial"/>
          <w:lang w:val="es-ES"/>
        </w:rPr>
      </w:pPr>
      <w:r w:rsidRPr="00D6315A">
        <w:rPr>
          <w:rFonts w:ascii="Arial" w:hAnsi="Arial" w:cs="Arial"/>
          <w:lang w:val="es-ES_tradnl"/>
        </w:rPr>
        <w:t>E</w:t>
      </w:r>
      <w:r w:rsidRPr="00D6315A">
        <w:rPr>
          <w:rFonts w:ascii="Arial" w:hAnsi="Arial" w:cs="Arial"/>
          <w:lang w:val="es-ES"/>
        </w:rPr>
        <w:t xml:space="preserve">l Fondo Español de Cooperación para Agua y Saneamiento en América Latina y el Caribe (FECASALC) </w:t>
      </w:r>
      <w:r w:rsidR="00C32830">
        <w:rPr>
          <w:rFonts w:ascii="Arial" w:hAnsi="Arial" w:cs="Arial"/>
          <w:lang w:val="es-ES"/>
        </w:rPr>
        <w:t>es</w:t>
      </w:r>
      <w:r w:rsidR="00C32830" w:rsidRPr="00D6315A">
        <w:rPr>
          <w:rFonts w:ascii="Arial" w:hAnsi="Arial" w:cs="Arial"/>
          <w:lang w:val="es-ES"/>
        </w:rPr>
        <w:t xml:space="preserve"> </w:t>
      </w:r>
      <w:r w:rsidRPr="00D6315A">
        <w:rPr>
          <w:rFonts w:ascii="Arial" w:hAnsi="Arial" w:cs="Arial"/>
          <w:lang w:val="es-ES"/>
        </w:rPr>
        <w:t xml:space="preserve">una alianza entre el Gobierno de España y el BID para impulsar el sector de </w:t>
      </w:r>
      <w:r w:rsidR="00C32830">
        <w:rPr>
          <w:rFonts w:ascii="Arial" w:hAnsi="Arial" w:cs="Arial"/>
          <w:lang w:val="es-ES"/>
        </w:rPr>
        <w:t>AyS</w:t>
      </w:r>
      <w:r w:rsidRPr="00D6315A">
        <w:rPr>
          <w:rFonts w:ascii="Arial" w:hAnsi="Arial" w:cs="Arial"/>
          <w:lang w:val="es-ES"/>
        </w:rPr>
        <w:t xml:space="preserve"> en la región</w:t>
      </w:r>
      <w:r w:rsidR="00C32830">
        <w:rPr>
          <w:rFonts w:ascii="Arial" w:hAnsi="Arial" w:cs="Arial"/>
          <w:lang w:val="es-ES"/>
        </w:rPr>
        <w:t xml:space="preserve"> de ALC</w:t>
      </w:r>
      <w:r w:rsidRPr="00D6315A">
        <w:rPr>
          <w:rFonts w:ascii="Arial" w:hAnsi="Arial" w:cs="Arial"/>
          <w:lang w:val="es-ES"/>
        </w:rPr>
        <w:t xml:space="preserve">. Hasta la fecha se han aprobado 18 </w:t>
      </w:r>
      <w:r w:rsidR="00E52DB5">
        <w:rPr>
          <w:rFonts w:ascii="Arial" w:hAnsi="Arial" w:cs="Arial"/>
          <w:lang w:val="es-ES"/>
        </w:rPr>
        <w:t xml:space="preserve">operaciones </w:t>
      </w:r>
      <w:r w:rsidR="00982F6E">
        <w:rPr>
          <w:rFonts w:ascii="Arial" w:hAnsi="Arial" w:cs="Arial"/>
          <w:lang w:val="es-ES"/>
        </w:rPr>
        <w:t xml:space="preserve">en países </w:t>
      </w:r>
      <w:r w:rsidRPr="00D6315A">
        <w:rPr>
          <w:rFonts w:ascii="Arial" w:hAnsi="Arial" w:cs="Arial"/>
          <w:lang w:val="es-ES"/>
        </w:rPr>
        <w:t xml:space="preserve">y dos cooperaciones técnicas </w:t>
      </w:r>
      <w:r w:rsidR="007629AB">
        <w:rPr>
          <w:rFonts w:ascii="Arial" w:hAnsi="Arial" w:cs="Arial"/>
          <w:lang w:val="es-ES"/>
        </w:rPr>
        <w:t>que han supuesto</w:t>
      </w:r>
      <w:r w:rsidR="00C32830">
        <w:rPr>
          <w:rFonts w:ascii="Arial" w:hAnsi="Arial" w:cs="Arial"/>
          <w:lang w:val="es-ES"/>
        </w:rPr>
        <w:t xml:space="preserve"> </w:t>
      </w:r>
      <w:r w:rsidR="00435D3B">
        <w:rPr>
          <w:rFonts w:ascii="Arial" w:hAnsi="Arial" w:cs="Arial"/>
          <w:lang w:val="es-ES"/>
        </w:rPr>
        <w:br/>
      </w:r>
      <w:r w:rsidRPr="00D6315A">
        <w:rPr>
          <w:rFonts w:ascii="Arial" w:hAnsi="Arial" w:cs="Arial"/>
          <w:lang w:val="es-ES"/>
        </w:rPr>
        <w:t>US$569 millones de donación del Gobierno de España, los cuales apalancaron recursos adicionales para conformar una cartera de US$1</w:t>
      </w:r>
      <w:r w:rsidR="002049DE">
        <w:rPr>
          <w:rFonts w:ascii="Arial" w:hAnsi="Arial" w:cs="Arial"/>
          <w:lang w:val="es-ES"/>
        </w:rPr>
        <w:t>.</w:t>
      </w:r>
      <w:r w:rsidRPr="00D6315A">
        <w:rPr>
          <w:rFonts w:ascii="Arial" w:hAnsi="Arial" w:cs="Arial"/>
          <w:lang w:val="es-ES"/>
        </w:rPr>
        <w:t xml:space="preserve">590 millones. Los programas del FECASALC han servido para realizar inversiones clave y reforzar las </w:t>
      </w:r>
      <w:r w:rsidRPr="00D6315A">
        <w:rPr>
          <w:rFonts w:ascii="Arial" w:hAnsi="Arial" w:cs="Arial"/>
          <w:lang w:val="es-ES"/>
        </w:rPr>
        <w:lastRenderedPageBreak/>
        <w:t xml:space="preserve">instituciones del sector </w:t>
      </w:r>
      <w:r w:rsidR="003E5E9E">
        <w:rPr>
          <w:rFonts w:ascii="Arial" w:hAnsi="Arial" w:cs="Arial"/>
          <w:lang w:val="es-ES"/>
        </w:rPr>
        <w:t xml:space="preserve">en ALC </w:t>
      </w:r>
      <w:r w:rsidRPr="00D6315A">
        <w:rPr>
          <w:rFonts w:ascii="Arial" w:hAnsi="Arial" w:cs="Arial"/>
          <w:lang w:val="es-ES"/>
        </w:rPr>
        <w:t xml:space="preserve">con el objetivo de garantizar el </w:t>
      </w:r>
      <w:proofErr w:type="spellStart"/>
      <w:r w:rsidR="00690C9E">
        <w:rPr>
          <w:rFonts w:ascii="Arial" w:hAnsi="Arial" w:cs="Arial"/>
          <w:lang w:val="es-ES"/>
        </w:rPr>
        <w:t>AyS</w:t>
      </w:r>
      <w:proofErr w:type="spellEnd"/>
      <w:r w:rsidRPr="00D6315A">
        <w:rPr>
          <w:rFonts w:ascii="Arial" w:hAnsi="Arial" w:cs="Arial"/>
          <w:lang w:val="es-ES"/>
        </w:rPr>
        <w:t xml:space="preserve"> </w:t>
      </w:r>
      <w:r w:rsidR="00C35667" w:rsidRPr="00D6315A">
        <w:rPr>
          <w:rFonts w:ascii="Arial" w:hAnsi="Arial" w:cs="Arial"/>
          <w:lang w:val="es-ES"/>
        </w:rPr>
        <w:t>a poblaciones</w:t>
      </w:r>
      <w:r w:rsidRPr="00D6315A">
        <w:rPr>
          <w:rFonts w:ascii="Arial" w:hAnsi="Arial" w:cs="Arial"/>
          <w:lang w:val="es-ES"/>
        </w:rPr>
        <w:t xml:space="preserve"> que carecían de un servicio adecuado</w:t>
      </w:r>
      <w:r>
        <w:rPr>
          <w:rFonts w:ascii="Arial" w:hAnsi="Arial" w:cs="Arial"/>
          <w:lang w:val="es-ES"/>
        </w:rPr>
        <w:t xml:space="preserve">, </w:t>
      </w:r>
      <w:r w:rsidR="00E52DB5">
        <w:rPr>
          <w:rFonts w:ascii="Arial" w:hAnsi="Arial" w:cs="Arial"/>
          <w:lang w:val="es-ES"/>
        </w:rPr>
        <w:t>poniendo</w:t>
      </w:r>
      <w:r>
        <w:rPr>
          <w:rFonts w:ascii="Arial" w:hAnsi="Arial" w:cs="Arial"/>
          <w:lang w:val="es-ES"/>
        </w:rPr>
        <w:t xml:space="preserve"> un especial acento en las poblaciones rurales</w:t>
      </w:r>
      <w:r w:rsidRPr="00D6315A">
        <w:rPr>
          <w:rFonts w:ascii="Arial" w:hAnsi="Arial" w:cs="Arial"/>
          <w:lang w:val="es-ES"/>
        </w:rPr>
        <w:t xml:space="preserve">. </w:t>
      </w:r>
      <w:r>
        <w:rPr>
          <w:rFonts w:ascii="Arial" w:hAnsi="Arial" w:cs="Arial"/>
          <w:lang w:val="es-ES"/>
        </w:rPr>
        <w:t xml:space="preserve">Los programas han </w:t>
      </w:r>
      <w:r w:rsidR="007629AB">
        <w:rPr>
          <w:rFonts w:ascii="Arial" w:hAnsi="Arial" w:cs="Arial"/>
          <w:lang w:val="es-ES"/>
        </w:rPr>
        <w:t>dirigido</w:t>
      </w:r>
      <w:r>
        <w:rPr>
          <w:rFonts w:ascii="Arial" w:hAnsi="Arial" w:cs="Arial"/>
          <w:lang w:val="es-ES"/>
        </w:rPr>
        <w:t xml:space="preserve"> recursos a</w:t>
      </w:r>
      <w:r w:rsidR="005B2B8C">
        <w:rPr>
          <w:rFonts w:ascii="Arial" w:hAnsi="Arial" w:cs="Arial"/>
          <w:lang w:val="es-ES"/>
        </w:rPr>
        <w:t>l</w:t>
      </w:r>
      <w:r>
        <w:rPr>
          <w:rFonts w:ascii="Arial" w:hAnsi="Arial" w:cs="Arial"/>
          <w:lang w:val="es-ES"/>
        </w:rPr>
        <w:t xml:space="preserve"> sector </w:t>
      </w:r>
      <w:r w:rsidR="005B2B8C">
        <w:rPr>
          <w:rFonts w:ascii="Arial" w:hAnsi="Arial" w:cs="Arial"/>
          <w:lang w:val="es-ES"/>
        </w:rPr>
        <w:t>rural que se ha caracterizado por una</w:t>
      </w:r>
      <w:r>
        <w:rPr>
          <w:rFonts w:ascii="Arial" w:hAnsi="Arial" w:cs="Arial"/>
          <w:lang w:val="es-ES"/>
        </w:rPr>
        <w:t xml:space="preserve"> falta de financiamiento</w:t>
      </w:r>
      <w:r w:rsidR="005B2B8C">
        <w:rPr>
          <w:rFonts w:ascii="Arial" w:hAnsi="Arial" w:cs="Arial"/>
          <w:lang w:val="es-ES"/>
        </w:rPr>
        <w:t xml:space="preserve">, </w:t>
      </w:r>
      <w:r w:rsidR="00E52DB5">
        <w:rPr>
          <w:rFonts w:ascii="Arial" w:hAnsi="Arial" w:cs="Arial"/>
          <w:lang w:val="es-ES"/>
        </w:rPr>
        <w:t xml:space="preserve">y </w:t>
      </w:r>
      <w:r w:rsidR="005B2B8C">
        <w:rPr>
          <w:rFonts w:ascii="Arial" w:hAnsi="Arial" w:cs="Arial"/>
          <w:lang w:val="es-ES"/>
        </w:rPr>
        <w:t>ha</w:t>
      </w:r>
      <w:r w:rsidR="00E52DB5">
        <w:rPr>
          <w:rFonts w:ascii="Arial" w:hAnsi="Arial" w:cs="Arial"/>
          <w:lang w:val="es-ES"/>
        </w:rPr>
        <w:t>n</w:t>
      </w:r>
      <w:r w:rsidR="005B2B8C">
        <w:rPr>
          <w:rFonts w:ascii="Arial" w:hAnsi="Arial" w:cs="Arial"/>
          <w:lang w:val="es-ES"/>
        </w:rPr>
        <w:t xml:space="preserve"> servido para desarrollar </w:t>
      </w:r>
      <w:r w:rsidR="00BC390C">
        <w:rPr>
          <w:rFonts w:ascii="Arial" w:hAnsi="Arial" w:cs="Arial"/>
          <w:lang w:val="es-ES"/>
        </w:rPr>
        <w:t xml:space="preserve">programas integrales con </w:t>
      </w:r>
      <w:r w:rsidR="005B2B8C">
        <w:rPr>
          <w:rFonts w:ascii="Arial" w:hAnsi="Arial" w:cs="Arial"/>
          <w:lang w:val="es-ES"/>
        </w:rPr>
        <w:t xml:space="preserve">modelos de intervención </w:t>
      </w:r>
      <w:r w:rsidR="007629AB">
        <w:rPr>
          <w:rFonts w:ascii="Arial" w:hAnsi="Arial" w:cs="Arial"/>
          <w:lang w:val="es-ES"/>
        </w:rPr>
        <w:t>exitosos</w:t>
      </w:r>
      <w:r w:rsidR="005B2B8C">
        <w:rPr>
          <w:rFonts w:ascii="Arial" w:hAnsi="Arial" w:cs="Arial"/>
          <w:lang w:val="es-ES"/>
        </w:rPr>
        <w:t xml:space="preserve">. Desde el FECASALC </w:t>
      </w:r>
      <w:r w:rsidR="00A86E7C">
        <w:rPr>
          <w:rFonts w:ascii="Arial" w:hAnsi="Arial" w:cs="Arial"/>
          <w:lang w:val="es-ES"/>
        </w:rPr>
        <w:t xml:space="preserve">se tiene como </w:t>
      </w:r>
      <w:r w:rsidR="005C76E9">
        <w:rPr>
          <w:rFonts w:ascii="Arial" w:hAnsi="Arial" w:cs="Arial"/>
          <w:lang w:val="es-ES"/>
        </w:rPr>
        <w:t>tarea pendiente</w:t>
      </w:r>
      <w:r w:rsidR="00A86E7C">
        <w:rPr>
          <w:rFonts w:ascii="Arial" w:hAnsi="Arial" w:cs="Arial"/>
          <w:lang w:val="es-ES"/>
        </w:rPr>
        <w:t xml:space="preserve"> </w:t>
      </w:r>
      <w:r w:rsidR="00982F6E">
        <w:rPr>
          <w:rFonts w:ascii="Arial" w:hAnsi="Arial" w:cs="Arial"/>
          <w:lang w:val="es-ES"/>
        </w:rPr>
        <w:t>el sistematizar</w:t>
      </w:r>
      <w:r w:rsidR="005B2B8C">
        <w:rPr>
          <w:rFonts w:ascii="Arial" w:hAnsi="Arial" w:cs="Arial"/>
          <w:lang w:val="es-ES"/>
        </w:rPr>
        <w:t xml:space="preserve"> las experiencias </w:t>
      </w:r>
      <w:r w:rsidR="00982F6E">
        <w:rPr>
          <w:rFonts w:ascii="Arial" w:hAnsi="Arial" w:cs="Arial"/>
          <w:lang w:val="es-ES"/>
        </w:rPr>
        <w:t>y las lecciones aprendidas</w:t>
      </w:r>
      <w:r w:rsidR="00690C9E">
        <w:rPr>
          <w:rFonts w:ascii="Arial" w:hAnsi="Arial" w:cs="Arial"/>
          <w:lang w:val="es-ES"/>
        </w:rPr>
        <w:t xml:space="preserve">, profundizando en el análisis de los criterios técnicos (incluyendo innovación), financieros (incluyendo costos), institucionales (incluyendo mecanismos de asistencia técnica y financiera), comunitarios, entre otros, que contribuyan </w:t>
      </w:r>
      <w:r w:rsidR="007629AB">
        <w:rPr>
          <w:rFonts w:ascii="Arial" w:hAnsi="Arial" w:cs="Arial"/>
          <w:lang w:val="es-ES"/>
        </w:rPr>
        <w:t>a</w:t>
      </w:r>
      <w:r w:rsidR="005B2B8C">
        <w:rPr>
          <w:rFonts w:ascii="Arial" w:hAnsi="Arial" w:cs="Arial"/>
          <w:lang w:val="es-ES"/>
        </w:rPr>
        <w:t xml:space="preserve"> sentar </w:t>
      </w:r>
      <w:r w:rsidR="007629AB">
        <w:rPr>
          <w:rFonts w:ascii="Arial" w:hAnsi="Arial" w:cs="Arial"/>
          <w:lang w:val="es-ES"/>
        </w:rPr>
        <w:t>l</w:t>
      </w:r>
      <w:r w:rsidR="005B2B8C">
        <w:rPr>
          <w:rFonts w:ascii="Arial" w:hAnsi="Arial" w:cs="Arial"/>
          <w:lang w:val="es-ES"/>
        </w:rPr>
        <w:t xml:space="preserve">as bases para que el sector </w:t>
      </w:r>
      <w:proofErr w:type="spellStart"/>
      <w:r w:rsidR="00690C9E">
        <w:rPr>
          <w:rFonts w:ascii="Arial" w:hAnsi="Arial" w:cs="Arial"/>
          <w:lang w:val="es-ES"/>
        </w:rPr>
        <w:t>AyS</w:t>
      </w:r>
      <w:proofErr w:type="spellEnd"/>
      <w:r w:rsidR="00690C9E">
        <w:rPr>
          <w:rFonts w:ascii="Arial" w:hAnsi="Arial" w:cs="Arial"/>
          <w:lang w:val="es-ES"/>
        </w:rPr>
        <w:t xml:space="preserve"> en el área </w:t>
      </w:r>
      <w:r w:rsidR="005B2B8C">
        <w:rPr>
          <w:rFonts w:ascii="Arial" w:hAnsi="Arial" w:cs="Arial"/>
          <w:lang w:val="es-ES"/>
        </w:rPr>
        <w:t xml:space="preserve">rural se siga desarrollando. </w:t>
      </w:r>
      <w:r w:rsidR="004021FC">
        <w:rPr>
          <w:rFonts w:ascii="Arial" w:hAnsi="Arial" w:cs="Arial"/>
          <w:lang w:val="es-ES"/>
        </w:rPr>
        <w:t xml:space="preserve">Por </w:t>
      </w:r>
      <w:r w:rsidR="00982F6E">
        <w:rPr>
          <w:rFonts w:ascii="Arial" w:hAnsi="Arial" w:cs="Arial"/>
          <w:lang w:val="es-ES"/>
        </w:rPr>
        <w:t>otro</w:t>
      </w:r>
      <w:r w:rsidR="004021FC">
        <w:rPr>
          <w:rFonts w:ascii="Arial" w:hAnsi="Arial" w:cs="Arial"/>
          <w:lang w:val="es-ES"/>
        </w:rPr>
        <w:t xml:space="preserve"> lado, los fondos LAIF de la Unión Europea </w:t>
      </w:r>
      <w:r w:rsidR="00982F6E">
        <w:rPr>
          <w:rFonts w:ascii="Arial" w:hAnsi="Arial" w:cs="Arial"/>
          <w:lang w:val="es-ES"/>
        </w:rPr>
        <w:t>son complementarios a</w:t>
      </w:r>
      <w:r w:rsidR="007629AB">
        <w:rPr>
          <w:rFonts w:ascii="Arial" w:hAnsi="Arial" w:cs="Arial"/>
          <w:lang w:val="es-ES"/>
        </w:rPr>
        <w:t xml:space="preserve"> los del</w:t>
      </w:r>
      <w:r w:rsidR="00982F6E">
        <w:rPr>
          <w:rFonts w:ascii="Arial" w:hAnsi="Arial" w:cs="Arial"/>
          <w:lang w:val="es-ES"/>
        </w:rPr>
        <w:t xml:space="preserve"> FECASALC y </w:t>
      </w:r>
      <w:r w:rsidR="007629AB">
        <w:rPr>
          <w:rFonts w:ascii="Arial" w:hAnsi="Arial" w:cs="Arial"/>
          <w:lang w:val="es-ES"/>
        </w:rPr>
        <w:t>se dirigen a</w:t>
      </w:r>
      <w:r w:rsidR="00A86E7C">
        <w:rPr>
          <w:rFonts w:ascii="Arial" w:hAnsi="Arial" w:cs="Arial"/>
          <w:lang w:val="es-ES"/>
        </w:rPr>
        <w:t xml:space="preserve"> apoyar modelos de planificación y gestión rurales.</w:t>
      </w:r>
    </w:p>
    <w:p w14:paraId="481C23E7" w14:textId="09555197" w:rsidR="007553B3" w:rsidRDefault="00EF3063" w:rsidP="002049DE">
      <w:pPr>
        <w:pStyle w:val="ListParagraph"/>
        <w:numPr>
          <w:ilvl w:val="1"/>
          <w:numId w:val="5"/>
        </w:numPr>
        <w:spacing w:after="120" w:line="240" w:lineRule="auto"/>
        <w:ind w:left="360" w:hanging="540"/>
        <w:contextualSpacing w:val="0"/>
        <w:jc w:val="both"/>
        <w:rPr>
          <w:rFonts w:ascii="Arial" w:hAnsi="Arial" w:cs="Arial"/>
          <w:lang w:val="es-ES_tradnl"/>
        </w:rPr>
      </w:pPr>
      <w:r w:rsidRPr="00EF3063">
        <w:rPr>
          <w:rFonts w:ascii="Arial" w:hAnsi="Arial" w:cs="Arial"/>
          <w:lang w:val="es-ES_tradnl"/>
        </w:rPr>
        <w:t xml:space="preserve">Es </w:t>
      </w:r>
      <w:r w:rsidR="00982F6E">
        <w:rPr>
          <w:rFonts w:ascii="Arial" w:hAnsi="Arial" w:cs="Arial"/>
          <w:lang w:val="es-ES_tradnl"/>
        </w:rPr>
        <w:t xml:space="preserve">en </w:t>
      </w:r>
      <w:r w:rsidRPr="00EF3063">
        <w:rPr>
          <w:rFonts w:ascii="Arial" w:hAnsi="Arial" w:cs="Arial"/>
          <w:lang w:val="es-ES_tradnl"/>
        </w:rPr>
        <w:t xml:space="preserve">este contexto </w:t>
      </w:r>
      <w:r w:rsidR="00982F6E">
        <w:rPr>
          <w:rFonts w:ascii="Arial" w:hAnsi="Arial" w:cs="Arial"/>
          <w:lang w:val="es-ES_tradnl"/>
        </w:rPr>
        <w:t xml:space="preserve">donde </w:t>
      </w:r>
      <w:r w:rsidR="004021FC">
        <w:rPr>
          <w:rFonts w:ascii="Arial" w:hAnsi="Arial" w:cs="Arial"/>
          <w:lang w:val="es-ES_tradnl"/>
        </w:rPr>
        <w:t xml:space="preserve">se presenta </w:t>
      </w:r>
      <w:r w:rsidR="00982F6E">
        <w:rPr>
          <w:rFonts w:ascii="Arial" w:hAnsi="Arial" w:cs="Arial"/>
          <w:lang w:val="es-ES_tradnl"/>
        </w:rPr>
        <w:t xml:space="preserve">esta </w:t>
      </w:r>
      <w:r w:rsidRPr="00EF3063">
        <w:rPr>
          <w:rFonts w:ascii="Arial" w:hAnsi="Arial" w:cs="Arial"/>
          <w:lang w:val="es-ES_tradnl"/>
        </w:rPr>
        <w:t>cooperación técnica</w:t>
      </w:r>
      <w:r w:rsidR="004021FC">
        <w:rPr>
          <w:rFonts w:ascii="Arial" w:hAnsi="Arial" w:cs="Arial"/>
          <w:lang w:val="es-ES_tradnl"/>
        </w:rPr>
        <w:t xml:space="preserve"> (CT), cuyo </w:t>
      </w:r>
      <w:r w:rsidRPr="00EF3063">
        <w:rPr>
          <w:rFonts w:ascii="Arial" w:hAnsi="Arial" w:cs="Arial"/>
          <w:lang w:val="es-ES_tradnl"/>
        </w:rPr>
        <w:t>objetivo es contribuir a impulsar</w:t>
      </w:r>
      <w:r w:rsidR="004021FC">
        <w:rPr>
          <w:rFonts w:ascii="Arial" w:hAnsi="Arial" w:cs="Arial"/>
          <w:lang w:val="es-ES_tradnl"/>
        </w:rPr>
        <w:t xml:space="preserve"> el acceso a servicios seguros de AyS en</w:t>
      </w:r>
      <w:r w:rsidRPr="00EF3063">
        <w:rPr>
          <w:rFonts w:ascii="Arial" w:hAnsi="Arial" w:cs="Arial"/>
          <w:lang w:val="es-ES_tradnl"/>
        </w:rPr>
        <w:t xml:space="preserve"> el sector rural</w:t>
      </w:r>
      <w:r w:rsidR="007629AB">
        <w:rPr>
          <w:rFonts w:ascii="Arial" w:hAnsi="Arial" w:cs="Arial"/>
          <w:lang w:val="es-ES_tradnl"/>
        </w:rPr>
        <w:t xml:space="preserve"> de</w:t>
      </w:r>
      <w:r w:rsidR="004021FC">
        <w:rPr>
          <w:rFonts w:ascii="Arial" w:hAnsi="Arial" w:cs="Arial"/>
          <w:lang w:val="es-ES_tradnl"/>
        </w:rPr>
        <w:t xml:space="preserve"> A</w:t>
      </w:r>
      <w:r w:rsidR="00684C2C">
        <w:rPr>
          <w:rFonts w:ascii="Arial" w:hAnsi="Arial" w:cs="Arial"/>
          <w:lang w:val="es-ES_tradnl"/>
        </w:rPr>
        <w:t>mérica Latina</w:t>
      </w:r>
      <w:r w:rsidR="004021FC">
        <w:rPr>
          <w:rFonts w:ascii="Arial" w:hAnsi="Arial" w:cs="Arial"/>
          <w:lang w:val="es-ES_tradnl"/>
        </w:rPr>
        <w:t xml:space="preserve"> </w:t>
      </w:r>
      <w:r w:rsidRPr="00EF3063">
        <w:rPr>
          <w:rFonts w:ascii="Arial" w:hAnsi="Arial" w:cs="Arial"/>
          <w:lang w:val="es-ES_tradnl"/>
        </w:rPr>
        <w:t>a través de</w:t>
      </w:r>
      <w:r w:rsidR="004021FC">
        <w:rPr>
          <w:rFonts w:ascii="Arial" w:hAnsi="Arial" w:cs="Arial"/>
          <w:lang w:val="es-ES_tradnl"/>
        </w:rPr>
        <w:t>l desarrollo de</w:t>
      </w:r>
      <w:r w:rsidRPr="00EF3063">
        <w:rPr>
          <w:rFonts w:ascii="Arial" w:hAnsi="Arial" w:cs="Arial"/>
          <w:lang w:val="es-ES_tradnl"/>
        </w:rPr>
        <w:t xml:space="preserve"> estrategias basadas en </w:t>
      </w:r>
      <w:r w:rsidR="00690C9E">
        <w:rPr>
          <w:rFonts w:ascii="Arial" w:hAnsi="Arial" w:cs="Arial"/>
          <w:lang w:val="es-ES_tradnl"/>
        </w:rPr>
        <w:t xml:space="preserve">el análisis de </w:t>
      </w:r>
      <w:r w:rsidRPr="00EF3063">
        <w:rPr>
          <w:rFonts w:ascii="Arial" w:hAnsi="Arial" w:cs="Arial"/>
          <w:lang w:val="es-ES_tradnl"/>
        </w:rPr>
        <w:t xml:space="preserve">experiencias y </w:t>
      </w:r>
      <w:r w:rsidR="00690C9E">
        <w:rPr>
          <w:rFonts w:ascii="Arial" w:hAnsi="Arial" w:cs="Arial"/>
          <w:lang w:val="es-ES_tradnl"/>
        </w:rPr>
        <w:t xml:space="preserve">en el marco de los ODS y </w:t>
      </w:r>
      <w:r w:rsidR="00B42FF3">
        <w:rPr>
          <w:rFonts w:ascii="Arial" w:hAnsi="Arial" w:cs="Arial"/>
          <w:lang w:val="es-ES_tradnl"/>
        </w:rPr>
        <w:t xml:space="preserve">los </w:t>
      </w:r>
      <w:r w:rsidR="00690C9E">
        <w:rPr>
          <w:rFonts w:ascii="Arial" w:hAnsi="Arial" w:cs="Arial"/>
          <w:lang w:val="es-ES_tradnl"/>
        </w:rPr>
        <w:t xml:space="preserve">DHAS, </w:t>
      </w:r>
      <w:r w:rsidRPr="00EF3063">
        <w:rPr>
          <w:rFonts w:ascii="Arial" w:hAnsi="Arial" w:cs="Arial"/>
          <w:lang w:val="es-ES_tradnl"/>
        </w:rPr>
        <w:t xml:space="preserve">con un especial énfasis en la sostenibilidad de los servicios. Para ello se propone trabajar en cuatro </w:t>
      </w:r>
      <w:bookmarkStart w:id="2" w:name="_Hlk534885640"/>
      <w:r w:rsidR="00364158">
        <w:rPr>
          <w:rFonts w:ascii="Arial" w:hAnsi="Arial" w:cs="Arial"/>
          <w:lang w:val="es-ES_tradnl"/>
        </w:rPr>
        <w:t>ejes</w:t>
      </w:r>
      <w:r w:rsidRPr="00EF3063">
        <w:rPr>
          <w:rFonts w:ascii="Arial" w:hAnsi="Arial" w:cs="Arial"/>
          <w:lang w:val="es-ES_tradnl"/>
        </w:rPr>
        <w:t xml:space="preserve">: (i) </w:t>
      </w:r>
      <w:bookmarkStart w:id="3" w:name="_Hlk534639265"/>
      <w:r w:rsidRPr="00EF3063">
        <w:rPr>
          <w:rFonts w:ascii="Arial" w:hAnsi="Arial" w:cs="Arial"/>
          <w:lang w:val="es-ES_tradnl"/>
        </w:rPr>
        <w:t xml:space="preserve">apoyo al desarrollo </w:t>
      </w:r>
      <w:r w:rsidR="00690C9E">
        <w:rPr>
          <w:rFonts w:ascii="Arial" w:hAnsi="Arial" w:cs="Arial"/>
          <w:lang w:val="es-ES_tradnl"/>
        </w:rPr>
        <w:t xml:space="preserve">y aplicación </w:t>
      </w:r>
      <w:r w:rsidRPr="00EF3063">
        <w:rPr>
          <w:rFonts w:ascii="Arial" w:hAnsi="Arial" w:cs="Arial"/>
          <w:lang w:val="es-ES_tradnl"/>
        </w:rPr>
        <w:t>de sistemas de información</w:t>
      </w:r>
      <w:bookmarkEnd w:id="3"/>
      <w:r w:rsidRPr="00EF3063">
        <w:rPr>
          <w:rFonts w:ascii="Arial" w:hAnsi="Arial" w:cs="Arial"/>
          <w:lang w:val="es-ES_tradnl"/>
        </w:rPr>
        <w:t xml:space="preserve"> </w:t>
      </w:r>
      <w:r w:rsidR="00982F6E">
        <w:rPr>
          <w:rFonts w:ascii="Arial" w:hAnsi="Arial" w:cs="Arial"/>
          <w:lang w:val="es-ES_tradnl"/>
        </w:rPr>
        <w:t xml:space="preserve">para planificar tanto </w:t>
      </w:r>
      <w:r w:rsidR="004021FC">
        <w:rPr>
          <w:rFonts w:ascii="Arial" w:hAnsi="Arial" w:cs="Arial"/>
          <w:lang w:val="es-ES_tradnl"/>
        </w:rPr>
        <w:t xml:space="preserve">la </w:t>
      </w:r>
      <w:r w:rsidRPr="00EF3063">
        <w:rPr>
          <w:rFonts w:ascii="Arial" w:hAnsi="Arial" w:cs="Arial"/>
          <w:lang w:val="es-ES_tradnl"/>
        </w:rPr>
        <w:t xml:space="preserve">inversión </w:t>
      </w:r>
      <w:r w:rsidR="00982F6E">
        <w:rPr>
          <w:rFonts w:ascii="Arial" w:hAnsi="Arial" w:cs="Arial"/>
          <w:lang w:val="es-ES_tradnl"/>
        </w:rPr>
        <w:t xml:space="preserve">como el apoyo a la gestión </w:t>
      </w:r>
      <w:r w:rsidR="004021FC">
        <w:rPr>
          <w:rFonts w:ascii="Arial" w:hAnsi="Arial" w:cs="Arial"/>
          <w:lang w:val="es-ES_tradnl"/>
        </w:rPr>
        <w:t>de</w:t>
      </w:r>
      <w:r w:rsidRPr="00EF3063">
        <w:rPr>
          <w:rFonts w:ascii="Arial" w:hAnsi="Arial" w:cs="Arial"/>
          <w:lang w:val="es-ES_tradnl"/>
        </w:rPr>
        <w:t xml:space="preserve"> los servicios</w:t>
      </w:r>
      <w:r w:rsidR="00982F6E">
        <w:rPr>
          <w:rFonts w:ascii="Arial" w:hAnsi="Arial" w:cs="Arial"/>
          <w:lang w:val="es-ES_tradnl"/>
        </w:rPr>
        <w:t xml:space="preserve"> rurales</w:t>
      </w:r>
      <w:r w:rsidRPr="00EF3063">
        <w:rPr>
          <w:rFonts w:ascii="Arial" w:hAnsi="Arial" w:cs="Arial"/>
          <w:lang w:val="es-ES_tradnl"/>
        </w:rPr>
        <w:t>; (</w:t>
      </w:r>
      <w:proofErr w:type="spellStart"/>
      <w:r w:rsidRPr="00EF3063">
        <w:rPr>
          <w:rFonts w:ascii="Arial" w:hAnsi="Arial" w:cs="Arial"/>
          <w:lang w:val="es-ES_tradnl"/>
        </w:rPr>
        <w:t>ii</w:t>
      </w:r>
      <w:proofErr w:type="spellEnd"/>
      <w:r w:rsidRPr="00EF3063">
        <w:rPr>
          <w:rFonts w:ascii="Arial" w:hAnsi="Arial" w:cs="Arial"/>
          <w:lang w:val="es-ES_tradnl"/>
        </w:rPr>
        <w:t>) sistematización de experiencias</w:t>
      </w:r>
      <w:r w:rsidR="00690C9E">
        <w:rPr>
          <w:rFonts w:ascii="Arial" w:hAnsi="Arial" w:cs="Arial"/>
          <w:lang w:val="es-ES_tradnl"/>
        </w:rPr>
        <w:t>, modelos de intervención y lecciones aprendidas,</w:t>
      </w:r>
      <w:r w:rsidRPr="00EF3063">
        <w:rPr>
          <w:rFonts w:ascii="Arial" w:hAnsi="Arial" w:cs="Arial"/>
          <w:lang w:val="es-ES_tradnl"/>
        </w:rPr>
        <w:t xml:space="preserve"> y difusión del conocimiento</w:t>
      </w:r>
      <w:r w:rsidR="00690C9E">
        <w:rPr>
          <w:rFonts w:ascii="Arial" w:hAnsi="Arial" w:cs="Arial"/>
          <w:lang w:val="es-ES_tradnl"/>
        </w:rPr>
        <w:t xml:space="preserve">, que dé lugar al </w:t>
      </w:r>
      <w:bookmarkStart w:id="4" w:name="_Hlk534640516"/>
      <w:r w:rsidRPr="00EF3063">
        <w:rPr>
          <w:rFonts w:ascii="Arial" w:hAnsi="Arial" w:cs="Arial"/>
          <w:lang w:val="es-ES_tradnl"/>
        </w:rPr>
        <w:t xml:space="preserve">desarrollo de </w:t>
      </w:r>
      <w:r w:rsidR="00C35667">
        <w:rPr>
          <w:rFonts w:ascii="Arial" w:hAnsi="Arial" w:cs="Arial"/>
          <w:lang w:val="es-ES_tradnl"/>
        </w:rPr>
        <w:t>estrategias</w:t>
      </w:r>
      <w:r w:rsidRPr="00EF3063">
        <w:rPr>
          <w:rFonts w:ascii="Arial" w:hAnsi="Arial" w:cs="Arial"/>
          <w:lang w:val="es-ES_tradnl"/>
        </w:rPr>
        <w:t xml:space="preserve"> para </w:t>
      </w:r>
      <w:r w:rsidR="005C76E9">
        <w:rPr>
          <w:rFonts w:ascii="Arial" w:hAnsi="Arial" w:cs="Arial"/>
          <w:lang w:val="es-ES_tradnl"/>
        </w:rPr>
        <w:t xml:space="preserve">fomentar y </w:t>
      </w:r>
      <w:r w:rsidRPr="00EF3063">
        <w:rPr>
          <w:rFonts w:ascii="Arial" w:hAnsi="Arial" w:cs="Arial"/>
          <w:lang w:val="es-ES_tradnl"/>
        </w:rPr>
        <w:t>orientar futuras operaciones rurales</w:t>
      </w:r>
      <w:bookmarkEnd w:id="4"/>
      <w:r w:rsidR="007E02E1">
        <w:rPr>
          <w:rFonts w:ascii="Arial" w:hAnsi="Arial" w:cs="Arial"/>
          <w:lang w:val="es-ES_tradnl"/>
        </w:rPr>
        <w:t xml:space="preserve"> en la región</w:t>
      </w:r>
      <w:r w:rsidRPr="00EF3063">
        <w:rPr>
          <w:rFonts w:ascii="Arial" w:hAnsi="Arial" w:cs="Arial"/>
          <w:lang w:val="es-ES_tradnl"/>
        </w:rPr>
        <w:t xml:space="preserve">; </w:t>
      </w:r>
      <w:r w:rsidR="00BA32BA">
        <w:rPr>
          <w:rFonts w:ascii="Arial" w:hAnsi="Arial" w:cs="Arial"/>
          <w:lang w:val="es-ES_tradnl"/>
        </w:rPr>
        <w:t>(</w:t>
      </w:r>
      <w:proofErr w:type="spellStart"/>
      <w:r w:rsidRPr="00EF3063">
        <w:rPr>
          <w:rFonts w:ascii="Arial" w:hAnsi="Arial" w:cs="Arial"/>
          <w:lang w:val="es-ES_tradnl"/>
        </w:rPr>
        <w:t>i</w:t>
      </w:r>
      <w:r w:rsidR="00690C9E">
        <w:rPr>
          <w:rFonts w:ascii="Arial" w:hAnsi="Arial" w:cs="Arial"/>
          <w:lang w:val="es-ES_tradnl"/>
        </w:rPr>
        <w:t>ii</w:t>
      </w:r>
      <w:proofErr w:type="spellEnd"/>
      <w:r w:rsidRPr="00EF3063">
        <w:rPr>
          <w:rFonts w:ascii="Arial" w:hAnsi="Arial" w:cs="Arial"/>
          <w:lang w:val="es-ES_tradnl"/>
        </w:rPr>
        <w:t>) apoyo específico a programas rurales</w:t>
      </w:r>
      <w:r w:rsidR="004021FC">
        <w:rPr>
          <w:rFonts w:ascii="Arial" w:hAnsi="Arial" w:cs="Arial"/>
          <w:lang w:val="es-ES_tradnl"/>
        </w:rPr>
        <w:t xml:space="preserve"> </w:t>
      </w:r>
      <w:r w:rsidR="007629AB">
        <w:rPr>
          <w:rFonts w:ascii="Arial" w:hAnsi="Arial" w:cs="Arial"/>
          <w:lang w:val="es-ES_tradnl"/>
        </w:rPr>
        <w:t xml:space="preserve">de AyS </w:t>
      </w:r>
      <w:r w:rsidR="004021FC">
        <w:rPr>
          <w:rFonts w:ascii="Arial" w:hAnsi="Arial" w:cs="Arial"/>
          <w:lang w:val="es-ES_tradnl"/>
        </w:rPr>
        <w:t xml:space="preserve">para </w:t>
      </w:r>
      <w:r w:rsidRPr="00EF3063">
        <w:rPr>
          <w:rFonts w:ascii="Arial" w:hAnsi="Arial" w:cs="Arial"/>
          <w:lang w:val="es-ES_tradnl"/>
        </w:rPr>
        <w:t>mejorar la sostenibilidad de los servicios</w:t>
      </w:r>
      <w:r w:rsidR="004021FC">
        <w:rPr>
          <w:rFonts w:ascii="Arial" w:hAnsi="Arial" w:cs="Arial"/>
          <w:lang w:val="es-ES_tradnl"/>
        </w:rPr>
        <w:t xml:space="preserve"> y lograr los objetivos de los ODS</w:t>
      </w:r>
      <w:r w:rsidR="00690C9E">
        <w:rPr>
          <w:rFonts w:ascii="Arial" w:hAnsi="Arial" w:cs="Arial"/>
          <w:lang w:val="es-ES_tradnl"/>
        </w:rPr>
        <w:t xml:space="preserve"> y </w:t>
      </w:r>
      <w:r w:rsidR="00B42FF3">
        <w:rPr>
          <w:rFonts w:ascii="Arial" w:hAnsi="Arial" w:cs="Arial"/>
          <w:lang w:val="es-ES_tradnl"/>
        </w:rPr>
        <w:t>los</w:t>
      </w:r>
      <w:r w:rsidR="00690C9E">
        <w:rPr>
          <w:rFonts w:ascii="Arial" w:hAnsi="Arial" w:cs="Arial"/>
          <w:lang w:val="es-ES_tradnl"/>
        </w:rPr>
        <w:t xml:space="preserve"> DHAS; y </w:t>
      </w:r>
      <w:r w:rsidR="00BA32BA">
        <w:rPr>
          <w:rFonts w:ascii="Arial" w:hAnsi="Arial" w:cs="Arial"/>
          <w:lang w:val="es-ES_tradnl"/>
        </w:rPr>
        <w:t>(</w:t>
      </w:r>
      <w:proofErr w:type="spellStart"/>
      <w:r w:rsidR="00690C9E">
        <w:rPr>
          <w:rFonts w:ascii="Arial" w:hAnsi="Arial" w:cs="Arial"/>
          <w:lang w:val="es-ES_tradnl"/>
        </w:rPr>
        <w:t>iv</w:t>
      </w:r>
      <w:proofErr w:type="spellEnd"/>
      <w:r w:rsidR="00690C9E">
        <w:rPr>
          <w:rFonts w:ascii="Arial" w:hAnsi="Arial" w:cs="Arial"/>
          <w:lang w:val="es-ES_tradnl"/>
        </w:rPr>
        <w:t>)</w:t>
      </w:r>
      <w:r w:rsidR="00483414">
        <w:rPr>
          <w:rFonts w:ascii="Arial" w:hAnsi="Arial" w:cs="Arial"/>
          <w:lang w:val="es-ES_tradnl"/>
        </w:rPr>
        <w:t xml:space="preserve"> desarrollo de herramientas y productos de conocimiento y difusión de los mismos</w:t>
      </w:r>
      <w:r w:rsidRPr="00EF3063">
        <w:rPr>
          <w:rFonts w:ascii="Arial" w:hAnsi="Arial" w:cs="Arial"/>
          <w:lang w:val="es-ES_tradnl"/>
        </w:rPr>
        <w:t>.</w:t>
      </w:r>
      <w:bookmarkEnd w:id="2"/>
    </w:p>
    <w:p w14:paraId="418469D6" w14:textId="2927D03E" w:rsidR="00EF1A5B" w:rsidRPr="007553B3" w:rsidRDefault="00EF3063" w:rsidP="002049DE">
      <w:pPr>
        <w:pStyle w:val="ListParagraph"/>
        <w:numPr>
          <w:ilvl w:val="1"/>
          <w:numId w:val="5"/>
        </w:numPr>
        <w:spacing w:after="120" w:line="240" w:lineRule="auto"/>
        <w:ind w:left="360" w:hanging="540"/>
        <w:contextualSpacing w:val="0"/>
        <w:jc w:val="both"/>
        <w:rPr>
          <w:rFonts w:ascii="Arial" w:hAnsi="Arial" w:cs="Arial"/>
          <w:lang w:val="es-ES_tradnl"/>
        </w:rPr>
      </w:pPr>
      <w:r w:rsidRPr="007553B3">
        <w:rPr>
          <w:rFonts w:ascii="Arial" w:hAnsi="Arial" w:cs="Arial"/>
          <w:lang w:val="es-ES"/>
        </w:rPr>
        <w:t>Est</w:t>
      </w:r>
      <w:r w:rsidR="004021FC" w:rsidRPr="007553B3">
        <w:rPr>
          <w:rFonts w:ascii="Arial" w:hAnsi="Arial" w:cs="Arial"/>
          <w:lang w:val="es-ES"/>
        </w:rPr>
        <w:t xml:space="preserve">a CT </w:t>
      </w:r>
      <w:r w:rsidRPr="007553B3">
        <w:rPr>
          <w:rFonts w:ascii="Arial" w:hAnsi="Arial" w:cs="Arial"/>
          <w:lang w:val="es-ES"/>
        </w:rPr>
        <w:t xml:space="preserve">permitirá: (i) promover un diálogo con los gobiernos </w:t>
      </w:r>
      <w:r w:rsidR="004021FC" w:rsidRPr="007553B3">
        <w:rPr>
          <w:rFonts w:ascii="Arial" w:hAnsi="Arial" w:cs="Arial"/>
          <w:lang w:val="es-ES"/>
        </w:rPr>
        <w:t xml:space="preserve">y entre los gobiernos </w:t>
      </w:r>
      <w:r w:rsidRPr="007553B3">
        <w:rPr>
          <w:rFonts w:ascii="Arial" w:hAnsi="Arial" w:cs="Arial"/>
          <w:lang w:val="es-ES"/>
        </w:rPr>
        <w:t>para prestar una mayor</w:t>
      </w:r>
      <w:r w:rsidR="004021FC" w:rsidRPr="007553B3">
        <w:rPr>
          <w:rFonts w:ascii="Arial" w:hAnsi="Arial" w:cs="Arial"/>
          <w:lang w:val="es-ES"/>
        </w:rPr>
        <w:t xml:space="preserve"> y mejor </w:t>
      </w:r>
      <w:r w:rsidRPr="007553B3">
        <w:rPr>
          <w:rFonts w:ascii="Arial" w:hAnsi="Arial" w:cs="Arial"/>
          <w:lang w:val="es-ES"/>
        </w:rPr>
        <w:t>atención a las zonas rurales; (</w:t>
      </w:r>
      <w:proofErr w:type="spellStart"/>
      <w:r w:rsidRPr="007553B3">
        <w:rPr>
          <w:rFonts w:ascii="Arial" w:hAnsi="Arial" w:cs="Arial"/>
          <w:lang w:val="es-ES"/>
        </w:rPr>
        <w:t>ii</w:t>
      </w:r>
      <w:proofErr w:type="spellEnd"/>
      <w:r w:rsidRPr="007553B3">
        <w:rPr>
          <w:rFonts w:ascii="Arial" w:hAnsi="Arial" w:cs="Arial"/>
          <w:lang w:val="es-ES"/>
        </w:rPr>
        <w:t xml:space="preserve">) buscar fórmulas </w:t>
      </w:r>
      <w:r w:rsidR="001D6AA7">
        <w:rPr>
          <w:rFonts w:ascii="Arial" w:hAnsi="Arial" w:cs="Arial"/>
          <w:lang w:val="es-ES"/>
        </w:rPr>
        <w:t>y estrategias</w:t>
      </w:r>
      <w:r w:rsidR="00690C9E">
        <w:rPr>
          <w:rFonts w:ascii="Arial" w:hAnsi="Arial" w:cs="Arial"/>
          <w:lang w:val="es-ES"/>
        </w:rPr>
        <w:t xml:space="preserve"> innovadoras</w:t>
      </w:r>
      <w:r w:rsidR="001D6AA7">
        <w:rPr>
          <w:rFonts w:ascii="Arial" w:hAnsi="Arial" w:cs="Arial"/>
          <w:lang w:val="es-ES"/>
        </w:rPr>
        <w:t xml:space="preserve"> </w:t>
      </w:r>
      <w:r w:rsidRPr="007553B3">
        <w:rPr>
          <w:rFonts w:ascii="Arial" w:hAnsi="Arial" w:cs="Arial"/>
          <w:lang w:val="es-ES"/>
        </w:rPr>
        <w:t xml:space="preserve">de financiamiento que integren </w:t>
      </w:r>
      <w:r w:rsidR="007553B3" w:rsidRPr="007553B3">
        <w:rPr>
          <w:rFonts w:ascii="Arial" w:hAnsi="Arial" w:cs="Arial"/>
          <w:lang w:val="es-ES"/>
        </w:rPr>
        <w:t xml:space="preserve">la </w:t>
      </w:r>
      <w:r w:rsidRPr="007553B3">
        <w:rPr>
          <w:rFonts w:ascii="Arial" w:hAnsi="Arial" w:cs="Arial"/>
          <w:lang w:val="es-ES"/>
        </w:rPr>
        <w:t xml:space="preserve">atención a las poblaciones rurales; (iii) apoyar </w:t>
      </w:r>
      <w:r w:rsidR="007553B3" w:rsidRPr="007553B3">
        <w:rPr>
          <w:rFonts w:ascii="Arial" w:hAnsi="Arial" w:cs="Arial"/>
          <w:lang w:val="es-ES"/>
        </w:rPr>
        <w:t xml:space="preserve">a los países de </w:t>
      </w:r>
      <w:r w:rsidR="00684C2C" w:rsidRPr="007553B3">
        <w:rPr>
          <w:rFonts w:ascii="Arial" w:hAnsi="Arial" w:cs="Arial"/>
          <w:lang w:val="es-ES"/>
        </w:rPr>
        <w:t>A</w:t>
      </w:r>
      <w:r w:rsidR="00684C2C">
        <w:rPr>
          <w:rFonts w:ascii="Arial" w:hAnsi="Arial" w:cs="Arial"/>
          <w:lang w:val="es-ES"/>
        </w:rPr>
        <w:t>mérica Latina</w:t>
      </w:r>
      <w:r w:rsidR="00684C2C" w:rsidRPr="007553B3">
        <w:rPr>
          <w:rFonts w:ascii="Arial" w:hAnsi="Arial" w:cs="Arial"/>
          <w:lang w:val="es-ES"/>
        </w:rPr>
        <w:t xml:space="preserve"> </w:t>
      </w:r>
      <w:r w:rsidR="007553B3" w:rsidRPr="007553B3">
        <w:rPr>
          <w:rFonts w:ascii="Arial" w:hAnsi="Arial" w:cs="Arial"/>
          <w:lang w:val="es-ES"/>
        </w:rPr>
        <w:t xml:space="preserve">para desarrollar </w:t>
      </w:r>
      <w:r w:rsidR="00690C9E">
        <w:rPr>
          <w:rFonts w:ascii="Arial" w:hAnsi="Arial" w:cs="Arial"/>
          <w:lang w:val="es-ES"/>
        </w:rPr>
        <w:t xml:space="preserve">a través de políticas públicas y planes nacionales </w:t>
      </w:r>
      <w:r w:rsidRPr="007553B3">
        <w:rPr>
          <w:rFonts w:ascii="Arial" w:hAnsi="Arial" w:cs="Arial"/>
          <w:lang w:val="es-ES"/>
        </w:rPr>
        <w:t>procesos de planificación</w:t>
      </w:r>
      <w:r w:rsidR="00690C9E">
        <w:rPr>
          <w:rFonts w:ascii="Arial" w:hAnsi="Arial" w:cs="Arial"/>
          <w:lang w:val="es-ES"/>
        </w:rPr>
        <w:t xml:space="preserve"> y seguimiento</w:t>
      </w:r>
      <w:r w:rsidRPr="007553B3">
        <w:rPr>
          <w:rFonts w:ascii="Arial" w:hAnsi="Arial" w:cs="Arial"/>
          <w:lang w:val="es-ES"/>
        </w:rPr>
        <w:t xml:space="preserve"> eficientes teniendo en cuenta necesidades</w:t>
      </w:r>
      <w:r w:rsidR="0053494F" w:rsidRPr="007553B3">
        <w:rPr>
          <w:rFonts w:ascii="Arial" w:hAnsi="Arial" w:cs="Arial"/>
          <w:lang w:val="es-ES"/>
        </w:rPr>
        <w:t xml:space="preserve"> y prioridades más urgentes</w:t>
      </w:r>
      <w:r w:rsidR="007553B3" w:rsidRPr="007553B3">
        <w:rPr>
          <w:rFonts w:ascii="Arial" w:hAnsi="Arial" w:cs="Arial"/>
          <w:lang w:val="es-ES"/>
        </w:rPr>
        <w:t xml:space="preserve"> en las zonas rurales</w:t>
      </w:r>
      <w:r w:rsidRPr="007553B3">
        <w:rPr>
          <w:rFonts w:ascii="Arial" w:hAnsi="Arial" w:cs="Arial"/>
          <w:lang w:val="es-ES"/>
        </w:rPr>
        <w:t>; iv) apoyar la preparación y orientación de programas</w:t>
      </w:r>
      <w:r w:rsidR="007553B3" w:rsidRPr="007553B3">
        <w:rPr>
          <w:rFonts w:ascii="Arial" w:hAnsi="Arial" w:cs="Arial"/>
          <w:lang w:val="es-ES"/>
        </w:rPr>
        <w:t xml:space="preserve"> de AyS rural, </w:t>
      </w:r>
      <w:r w:rsidR="0053494F" w:rsidRPr="007553B3">
        <w:rPr>
          <w:rFonts w:ascii="Arial" w:hAnsi="Arial" w:cs="Arial"/>
          <w:lang w:val="es-ES"/>
        </w:rPr>
        <w:t>con</w:t>
      </w:r>
      <w:r w:rsidR="007553B3" w:rsidRPr="007553B3">
        <w:rPr>
          <w:rFonts w:ascii="Arial" w:hAnsi="Arial" w:cs="Arial"/>
          <w:lang w:val="es-ES"/>
        </w:rPr>
        <w:t xml:space="preserve"> énfasis </w:t>
      </w:r>
      <w:r w:rsidR="0053494F" w:rsidRPr="007553B3">
        <w:rPr>
          <w:rFonts w:ascii="Arial" w:hAnsi="Arial" w:cs="Arial"/>
          <w:lang w:val="es-ES"/>
        </w:rPr>
        <w:t xml:space="preserve">en esquemas de provisión de servicios </w:t>
      </w:r>
      <w:r w:rsidR="007553B3" w:rsidRPr="007553B3">
        <w:rPr>
          <w:rFonts w:ascii="Arial" w:hAnsi="Arial" w:cs="Arial"/>
          <w:lang w:val="es-ES"/>
        </w:rPr>
        <w:t xml:space="preserve">sostenibles; </w:t>
      </w:r>
      <w:r w:rsidR="0053494F" w:rsidRPr="007553B3">
        <w:rPr>
          <w:rFonts w:ascii="Arial" w:hAnsi="Arial" w:cs="Arial"/>
          <w:lang w:val="es-ES"/>
        </w:rPr>
        <w:t>y</w:t>
      </w:r>
      <w:r w:rsidRPr="007553B3">
        <w:rPr>
          <w:rFonts w:ascii="Arial" w:hAnsi="Arial" w:cs="Arial"/>
          <w:lang w:val="es-ES"/>
        </w:rPr>
        <w:t xml:space="preserve"> (v) </w:t>
      </w:r>
      <w:r w:rsidR="007553B3" w:rsidRPr="007553B3">
        <w:rPr>
          <w:rFonts w:ascii="Arial" w:hAnsi="Arial" w:cs="Arial"/>
          <w:lang w:val="es-ES"/>
        </w:rPr>
        <w:t xml:space="preserve">desarrollar y difundir </w:t>
      </w:r>
      <w:r w:rsidRPr="007553B3">
        <w:rPr>
          <w:rFonts w:ascii="Arial" w:hAnsi="Arial" w:cs="Arial"/>
          <w:lang w:val="es-ES"/>
        </w:rPr>
        <w:t xml:space="preserve">herramientas, </w:t>
      </w:r>
      <w:r w:rsidR="0053494F" w:rsidRPr="007553B3">
        <w:rPr>
          <w:rFonts w:ascii="Arial" w:hAnsi="Arial" w:cs="Arial"/>
          <w:lang w:val="es-ES"/>
        </w:rPr>
        <w:t>metodologías</w:t>
      </w:r>
      <w:r w:rsidRPr="007553B3">
        <w:rPr>
          <w:rFonts w:ascii="Arial" w:hAnsi="Arial" w:cs="Arial"/>
          <w:lang w:val="es-ES"/>
        </w:rPr>
        <w:t xml:space="preserve"> y experiencias </w:t>
      </w:r>
      <w:r w:rsidR="007553B3" w:rsidRPr="007553B3">
        <w:rPr>
          <w:rFonts w:ascii="Arial" w:hAnsi="Arial" w:cs="Arial"/>
          <w:lang w:val="es-ES"/>
        </w:rPr>
        <w:t>exitosas entre los actores del sector AyS en la región</w:t>
      </w:r>
      <w:r w:rsidR="0053494F" w:rsidRPr="007553B3">
        <w:rPr>
          <w:rFonts w:ascii="Arial" w:hAnsi="Arial" w:cs="Arial"/>
          <w:lang w:val="es-ES"/>
        </w:rPr>
        <w:t>.</w:t>
      </w:r>
    </w:p>
    <w:p w14:paraId="31AA55F7" w14:textId="03FD786D" w:rsidR="001D1D66" w:rsidRDefault="00D8501E" w:rsidP="002049DE">
      <w:pPr>
        <w:pStyle w:val="ListParagraph"/>
        <w:numPr>
          <w:ilvl w:val="1"/>
          <w:numId w:val="5"/>
        </w:numPr>
        <w:spacing w:after="120" w:line="240" w:lineRule="auto"/>
        <w:ind w:left="360" w:hanging="540"/>
        <w:contextualSpacing w:val="0"/>
        <w:jc w:val="both"/>
        <w:rPr>
          <w:rFonts w:ascii="Arial" w:hAnsi="Arial" w:cs="Arial"/>
          <w:lang w:val="es-ES"/>
        </w:rPr>
      </w:pPr>
      <w:r w:rsidRPr="007553B3">
        <w:rPr>
          <w:rFonts w:ascii="Arial" w:hAnsi="Arial" w:cs="Arial"/>
          <w:lang w:val="es-ES"/>
        </w:rPr>
        <w:t>La CT es consistente con la Actualización de la Estrategia Institucional</w:t>
      </w:r>
      <w:r w:rsidR="007553B3" w:rsidRPr="007553B3">
        <w:rPr>
          <w:rFonts w:ascii="Arial" w:hAnsi="Arial" w:cs="Arial"/>
          <w:lang w:val="es-ES"/>
        </w:rPr>
        <w:t xml:space="preserve"> </w:t>
      </w:r>
      <w:r w:rsidRPr="007553B3">
        <w:rPr>
          <w:rFonts w:ascii="Arial" w:hAnsi="Arial" w:cs="Arial"/>
          <w:lang w:val="es-ES"/>
        </w:rPr>
        <w:t>2010-2020 (</w:t>
      </w:r>
      <w:r w:rsidR="007553B3" w:rsidRPr="007553B3">
        <w:rPr>
          <w:rFonts w:ascii="Arial" w:hAnsi="Arial" w:cs="Arial"/>
          <w:lang w:val="es-ES"/>
        </w:rPr>
        <w:t xml:space="preserve">UIS, </w:t>
      </w:r>
      <w:r w:rsidRPr="007553B3">
        <w:rPr>
          <w:rFonts w:ascii="Arial" w:hAnsi="Arial" w:cs="Arial"/>
          <w:lang w:val="es-ES"/>
        </w:rPr>
        <w:t xml:space="preserve">AB-3008), específicamente </w:t>
      </w:r>
      <w:r w:rsidR="007553B3">
        <w:rPr>
          <w:rFonts w:ascii="Arial" w:hAnsi="Arial" w:cs="Arial"/>
          <w:lang w:val="es-ES"/>
        </w:rPr>
        <w:t>con el desafío transversal de inclusión social e igualdad, al contribuir a la mejora del acceso de servicios de AyS, asociados a mejoras en las condiciones de vida (salud, educación, productividad) de la población beneficiada</w:t>
      </w:r>
      <w:r w:rsidR="007553B3">
        <w:rPr>
          <w:rStyle w:val="FootnoteReference"/>
          <w:rFonts w:ascii="Arial" w:hAnsi="Arial" w:cs="Arial"/>
          <w:lang w:val="es-ES"/>
        </w:rPr>
        <w:footnoteReference w:id="6"/>
      </w:r>
      <w:r w:rsidRPr="007553B3">
        <w:rPr>
          <w:rFonts w:ascii="Arial" w:hAnsi="Arial" w:cs="Arial"/>
          <w:lang w:val="es-ES"/>
        </w:rPr>
        <w:t xml:space="preserve">. Asimismo, </w:t>
      </w:r>
      <w:r w:rsidR="007553B3">
        <w:rPr>
          <w:rFonts w:ascii="Arial" w:hAnsi="Arial" w:cs="Arial"/>
          <w:lang w:val="es-ES"/>
        </w:rPr>
        <w:t>l</w:t>
      </w:r>
      <w:r w:rsidRPr="007553B3">
        <w:rPr>
          <w:rFonts w:ascii="Arial" w:hAnsi="Arial" w:cs="Arial"/>
          <w:lang w:val="es-ES"/>
        </w:rPr>
        <w:t xml:space="preserve">a CT se alinea con las áreas transversales de: (i) </w:t>
      </w:r>
      <w:r w:rsidR="007553B3">
        <w:rPr>
          <w:rFonts w:ascii="Arial" w:hAnsi="Arial" w:cs="Arial"/>
          <w:lang w:val="es-ES"/>
        </w:rPr>
        <w:t>igualdad y diversidad de género</w:t>
      </w:r>
      <w:r w:rsidR="00802EF5">
        <w:rPr>
          <w:rFonts w:ascii="Arial" w:hAnsi="Arial" w:cs="Arial"/>
          <w:lang w:val="es-ES"/>
        </w:rPr>
        <w:t xml:space="preserve">, fortaleciendo el rol de la mujer en el sector </w:t>
      </w:r>
      <w:proofErr w:type="spellStart"/>
      <w:r w:rsidR="00802EF5">
        <w:rPr>
          <w:rFonts w:ascii="Arial" w:hAnsi="Arial" w:cs="Arial"/>
          <w:lang w:val="es-ES"/>
        </w:rPr>
        <w:t>AyS</w:t>
      </w:r>
      <w:proofErr w:type="spellEnd"/>
      <w:r w:rsidR="00802EF5">
        <w:rPr>
          <w:rFonts w:ascii="Arial" w:hAnsi="Arial" w:cs="Arial"/>
          <w:lang w:val="es-ES"/>
        </w:rPr>
        <w:t>;</w:t>
      </w:r>
      <w:r w:rsidR="007553B3">
        <w:rPr>
          <w:rFonts w:ascii="Arial" w:hAnsi="Arial" w:cs="Arial"/>
          <w:lang w:val="es-ES"/>
        </w:rPr>
        <w:t xml:space="preserve"> (</w:t>
      </w:r>
      <w:proofErr w:type="spellStart"/>
      <w:r w:rsidR="007553B3">
        <w:rPr>
          <w:rFonts w:ascii="Arial" w:hAnsi="Arial" w:cs="Arial"/>
          <w:lang w:val="es-ES"/>
        </w:rPr>
        <w:t>ii</w:t>
      </w:r>
      <w:proofErr w:type="spellEnd"/>
      <w:r w:rsidR="007553B3">
        <w:rPr>
          <w:rFonts w:ascii="Arial" w:hAnsi="Arial" w:cs="Arial"/>
          <w:lang w:val="es-ES"/>
        </w:rPr>
        <w:t xml:space="preserve">) </w:t>
      </w:r>
      <w:r w:rsidRPr="007553B3">
        <w:rPr>
          <w:rFonts w:ascii="Arial" w:hAnsi="Arial" w:cs="Arial"/>
          <w:lang w:val="es-ES"/>
        </w:rPr>
        <w:t xml:space="preserve">cambio climático y sostenibilidad </w:t>
      </w:r>
      <w:r w:rsidR="007553B3">
        <w:rPr>
          <w:rFonts w:ascii="Arial" w:hAnsi="Arial" w:cs="Arial"/>
          <w:lang w:val="es-ES"/>
        </w:rPr>
        <w:t>del medio ambiente</w:t>
      </w:r>
      <w:r w:rsidR="00802EF5">
        <w:rPr>
          <w:rFonts w:ascii="Arial" w:hAnsi="Arial" w:cs="Arial"/>
          <w:lang w:val="es-ES"/>
        </w:rPr>
        <w:t>, incentivando la sostenibilidad de los sistemas mejorados, tomando en consideración la gestión integral de los recursos hídricos</w:t>
      </w:r>
      <w:r w:rsidR="007553B3">
        <w:rPr>
          <w:rFonts w:ascii="Arial" w:hAnsi="Arial" w:cs="Arial"/>
          <w:lang w:val="es-ES"/>
        </w:rPr>
        <w:t>; y (</w:t>
      </w:r>
      <w:proofErr w:type="spellStart"/>
      <w:r w:rsidR="007553B3">
        <w:rPr>
          <w:rFonts w:ascii="Arial" w:hAnsi="Arial" w:cs="Arial"/>
          <w:lang w:val="es-ES"/>
        </w:rPr>
        <w:t>iii</w:t>
      </w:r>
      <w:proofErr w:type="spellEnd"/>
      <w:r w:rsidR="007553B3">
        <w:rPr>
          <w:rFonts w:ascii="Arial" w:hAnsi="Arial" w:cs="Arial"/>
          <w:lang w:val="es-ES"/>
        </w:rPr>
        <w:t>) capacidad institucional y estado de derecho</w:t>
      </w:r>
      <w:r w:rsidR="00802EF5">
        <w:rPr>
          <w:rFonts w:ascii="Arial" w:hAnsi="Arial" w:cs="Arial"/>
          <w:lang w:val="es-ES"/>
        </w:rPr>
        <w:t>, fortaleciendo las capacidades de las instituciones del sector AyS, en especial en el sector rural</w:t>
      </w:r>
      <w:r w:rsidR="00172C24" w:rsidRPr="007553B3">
        <w:rPr>
          <w:rFonts w:ascii="Arial" w:hAnsi="Arial" w:cs="Arial"/>
          <w:lang w:val="es-ES"/>
        </w:rPr>
        <w:t>.</w:t>
      </w:r>
    </w:p>
    <w:p w14:paraId="41C7B833" w14:textId="4215EEE7" w:rsidR="00364158" w:rsidRPr="00A06B61" w:rsidRDefault="00364158" w:rsidP="002049DE">
      <w:pPr>
        <w:pStyle w:val="ListParagraph"/>
        <w:numPr>
          <w:ilvl w:val="1"/>
          <w:numId w:val="5"/>
        </w:numPr>
        <w:spacing w:after="120" w:line="240" w:lineRule="auto"/>
        <w:ind w:left="360" w:hanging="540"/>
        <w:contextualSpacing w:val="0"/>
        <w:jc w:val="both"/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>Por otro lado, e</w:t>
      </w:r>
      <w:r w:rsidRPr="00EF1A5B">
        <w:rPr>
          <w:rFonts w:ascii="Arial" w:hAnsi="Arial" w:cs="Arial"/>
          <w:lang w:val="es-ES_tradnl"/>
        </w:rPr>
        <w:t>l Documento del Marco Sectorial de Agua y Saneamiento (</w:t>
      </w:r>
      <w:r>
        <w:rPr>
          <w:rFonts w:ascii="Arial" w:hAnsi="Arial" w:cs="Arial"/>
          <w:lang w:val="es-ES_tradnl"/>
        </w:rPr>
        <w:t xml:space="preserve">SFD, </w:t>
      </w:r>
      <w:r w:rsidR="00D015C1">
        <w:rPr>
          <w:rFonts w:ascii="Arial" w:hAnsi="Arial" w:cs="Arial"/>
          <w:lang w:val="es-ES_tradnl"/>
        </w:rPr>
        <w:br/>
      </w:r>
      <w:r w:rsidRPr="00EF1A5B">
        <w:rPr>
          <w:rFonts w:ascii="Arial" w:hAnsi="Arial" w:cs="Arial"/>
          <w:lang w:val="es-ES_tradnl"/>
        </w:rPr>
        <w:t xml:space="preserve">GN-2781-8) aprobado por el </w:t>
      </w:r>
      <w:r>
        <w:rPr>
          <w:rFonts w:ascii="Arial" w:hAnsi="Arial" w:cs="Arial"/>
          <w:lang w:val="es-ES_tradnl"/>
        </w:rPr>
        <w:t xml:space="preserve">BID </w:t>
      </w:r>
      <w:r w:rsidRPr="00EF1A5B">
        <w:rPr>
          <w:rFonts w:ascii="Arial" w:hAnsi="Arial" w:cs="Arial"/>
          <w:lang w:val="es-ES_tradnl"/>
        </w:rPr>
        <w:t xml:space="preserve">en diciembre de 2017, incide en la necesidad de </w:t>
      </w:r>
      <w:r w:rsidRPr="00EF1A5B">
        <w:rPr>
          <w:rFonts w:ascii="Arial" w:hAnsi="Arial" w:cs="Arial"/>
          <w:lang w:val="es-ES_tradnl"/>
        </w:rPr>
        <w:lastRenderedPageBreak/>
        <w:t xml:space="preserve">formular programas para atender segmentos </w:t>
      </w:r>
      <w:r>
        <w:rPr>
          <w:rFonts w:ascii="Arial" w:hAnsi="Arial" w:cs="Arial"/>
          <w:lang w:val="es-ES_tradnl"/>
        </w:rPr>
        <w:t xml:space="preserve">específicos </w:t>
      </w:r>
      <w:r w:rsidRPr="00EF1A5B">
        <w:rPr>
          <w:rFonts w:ascii="Arial" w:hAnsi="Arial" w:cs="Arial"/>
          <w:lang w:val="es-ES_tradnl"/>
        </w:rPr>
        <w:t xml:space="preserve">de población vulnerable y menos accesible, </w:t>
      </w:r>
      <w:r w:rsidRPr="00E94DAA">
        <w:rPr>
          <w:rFonts w:ascii="Arial" w:hAnsi="Arial" w:cs="Arial"/>
          <w:lang w:val="es-ES"/>
        </w:rPr>
        <w:t>como</w:t>
      </w:r>
      <w:r w:rsidRPr="00EF1A5B">
        <w:rPr>
          <w:rFonts w:ascii="Arial" w:hAnsi="Arial" w:cs="Arial"/>
          <w:lang w:val="es-ES_tradnl"/>
        </w:rPr>
        <w:t xml:space="preserve"> la rural y periurbana. De manera particular propone poner un mayor foco en las zonas rurales, priorizando la formulación de políticas, planes y programas orientados a </w:t>
      </w:r>
      <w:r>
        <w:rPr>
          <w:rFonts w:ascii="Arial" w:hAnsi="Arial" w:cs="Arial"/>
          <w:lang w:val="es-ES_tradnl"/>
        </w:rPr>
        <w:t>mejorar el acceso a servicios de AyS para poblaciones rurales concentradas y dispersas</w:t>
      </w:r>
      <w:r w:rsidRPr="00EF1A5B">
        <w:rPr>
          <w:rFonts w:ascii="Arial" w:hAnsi="Arial" w:cs="Arial"/>
          <w:lang w:val="es-ES_tradnl"/>
        </w:rPr>
        <w:t xml:space="preserve">. </w:t>
      </w:r>
      <w:r>
        <w:rPr>
          <w:rFonts w:ascii="Arial" w:hAnsi="Arial" w:cs="Arial"/>
          <w:lang w:val="es-ES_tradnl"/>
        </w:rPr>
        <w:t>El documento también pone énfasis en la manera que se deben definir y desarrollar las intervenciones, buscando la eficiencia, la implementación de soluciones adaptadas a las capacidades de las poblaciones, reforzando la gestión municipal y comunitaria, implementando proyectos integrales agua - saneamiento - higiene e incidiendo en el cambio de comportamiento.</w:t>
      </w:r>
    </w:p>
    <w:p w14:paraId="07245C9D" w14:textId="66442ACF" w:rsidR="0095711B" w:rsidRPr="009E39BA" w:rsidRDefault="00F00960" w:rsidP="002049DE">
      <w:pPr>
        <w:pStyle w:val="ListParagraph"/>
        <w:numPr>
          <w:ilvl w:val="0"/>
          <w:numId w:val="5"/>
        </w:numPr>
        <w:spacing w:after="120" w:line="240" w:lineRule="auto"/>
        <w:contextualSpacing w:val="0"/>
        <w:jc w:val="both"/>
        <w:rPr>
          <w:rFonts w:ascii="Arial" w:hAnsi="Arial" w:cs="Arial"/>
          <w:b/>
          <w:lang w:val="es-ES"/>
        </w:rPr>
      </w:pPr>
      <w:r w:rsidRPr="009F744D">
        <w:rPr>
          <w:rFonts w:ascii="Arial" w:hAnsi="Arial" w:cs="Arial"/>
          <w:b/>
          <w:lang w:val="es-ES"/>
        </w:rPr>
        <w:t xml:space="preserve">Descripción de las </w:t>
      </w:r>
      <w:r w:rsidR="003A0263">
        <w:rPr>
          <w:rFonts w:ascii="Arial" w:hAnsi="Arial" w:cs="Arial"/>
          <w:b/>
          <w:lang w:val="es-ES"/>
        </w:rPr>
        <w:t>A</w:t>
      </w:r>
      <w:r w:rsidR="00A12C27" w:rsidRPr="009F744D">
        <w:rPr>
          <w:rFonts w:ascii="Arial" w:hAnsi="Arial" w:cs="Arial"/>
          <w:b/>
          <w:lang w:val="es-ES"/>
        </w:rPr>
        <w:t>ctivi</w:t>
      </w:r>
      <w:r w:rsidRPr="009F744D">
        <w:rPr>
          <w:rFonts w:ascii="Arial" w:hAnsi="Arial" w:cs="Arial"/>
          <w:b/>
          <w:lang w:val="es-ES"/>
        </w:rPr>
        <w:t>dades</w:t>
      </w:r>
      <w:r w:rsidR="003A0263">
        <w:rPr>
          <w:rFonts w:ascii="Arial" w:hAnsi="Arial" w:cs="Arial"/>
          <w:b/>
          <w:lang w:val="es-ES"/>
        </w:rPr>
        <w:t xml:space="preserve"> y </w:t>
      </w:r>
      <w:r w:rsidR="00E94DAA">
        <w:rPr>
          <w:rFonts w:ascii="Arial" w:hAnsi="Arial" w:cs="Arial"/>
          <w:b/>
          <w:lang w:val="es-ES"/>
        </w:rPr>
        <w:t>Productos</w:t>
      </w:r>
      <w:r w:rsidR="00E94DAA" w:rsidRPr="009F744D">
        <w:rPr>
          <w:rFonts w:ascii="Arial" w:hAnsi="Arial" w:cs="Arial"/>
          <w:b/>
          <w:lang w:val="es-ES"/>
        </w:rPr>
        <w:t xml:space="preserve"> </w:t>
      </w:r>
    </w:p>
    <w:p w14:paraId="4DC64ED5" w14:textId="16D9B3B3" w:rsidR="00175AB1" w:rsidRPr="00175AB1" w:rsidRDefault="00600677" w:rsidP="002049DE">
      <w:pPr>
        <w:pStyle w:val="BodyText"/>
        <w:numPr>
          <w:ilvl w:val="1"/>
          <w:numId w:val="5"/>
        </w:numPr>
        <w:ind w:left="360" w:hanging="502"/>
        <w:jc w:val="both"/>
        <w:textAlignment w:val="auto"/>
        <w:rPr>
          <w:rFonts w:ascii="Arial" w:hAnsi="Arial" w:cs="Arial"/>
          <w:b/>
          <w:sz w:val="22"/>
          <w:szCs w:val="22"/>
          <w:lang w:val="es"/>
        </w:rPr>
      </w:pPr>
      <w:r w:rsidRPr="009F744D">
        <w:rPr>
          <w:rFonts w:ascii="Arial" w:hAnsi="Arial" w:cs="Arial"/>
          <w:b/>
          <w:sz w:val="22"/>
          <w:szCs w:val="22"/>
          <w:lang w:val="es"/>
        </w:rPr>
        <w:t>Componente I.</w:t>
      </w:r>
      <w:r w:rsidR="00175AB1" w:rsidRPr="00175AB1">
        <w:rPr>
          <w:rFonts w:ascii="Arial" w:hAnsi="Arial" w:cs="Arial"/>
          <w:b/>
          <w:sz w:val="22"/>
          <w:szCs w:val="22"/>
          <w:lang w:val="es"/>
        </w:rPr>
        <w:t xml:space="preserve"> </w:t>
      </w:r>
      <w:r w:rsidR="00175AB1">
        <w:rPr>
          <w:rFonts w:ascii="Arial" w:hAnsi="Arial" w:cs="Arial"/>
          <w:b/>
          <w:sz w:val="22"/>
          <w:szCs w:val="22"/>
          <w:lang w:val="es"/>
        </w:rPr>
        <w:t>A</w:t>
      </w:r>
      <w:r w:rsidR="00175AB1" w:rsidRPr="00175AB1">
        <w:rPr>
          <w:rFonts w:ascii="Arial" w:hAnsi="Arial" w:cs="Arial"/>
          <w:b/>
          <w:sz w:val="22"/>
          <w:szCs w:val="22"/>
          <w:lang w:val="es"/>
        </w:rPr>
        <w:t>poyo al desarrollo de sistemas de información</w:t>
      </w:r>
      <w:r w:rsidR="00175AB1">
        <w:rPr>
          <w:rFonts w:ascii="Arial" w:hAnsi="Arial" w:cs="Arial"/>
          <w:b/>
          <w:sz w:val="22"/>
          <w:szCs w:val="22"/>
          <w:lang w:val="es"/>
        </w:rPr>
        <w:t xml:space="preserve"> para </w:t>
      </w:r>
      <w:r w:rsidR="001D6AA7">
        <w:rPr>
          <w:rFonts w:ascii="Arial" w:hAnsi="Arial" w:cs="Arial"/>
          <w:b/>
          <w:sz w:val="22"/>
          <w:szCs w:val="22"/>
          <w:lang w:val="es"/>
        </w:rPr>
        <w:t xml:space="preserve">planificar las </w:t>
      </w:r>
      <w:r w:rsidR="00175AB1">
        <w:rPr>
          <w:rFonts w:ascii="Arial" w:hAnsi="Arial" w:cs="Arial"/>
          <w:b/>
          <w:sz w:val="22"/>
          <w:szCs w:val="22"/>
          <w:lang w:val="es"/>
        </w:rPr>
        <w:t xml:space="preserve">inversiones </w:t>
      </w:r>
      <w:r w:rsidR="001D6AA7">
        <w:rPr>
          <w:rFonts w:ascii="Arial" w:hAnsi="Arial" w:cs="Arial"/>
          <w:b/>
          <w:sz w:val="22"/>
          <w:szCs w:val="22"/>
          <w:lang w:val="es"/>
        </w:rPr>
        <w:t xml:space="preserve">de </w:t>
      </w:r>
      <w:proofErr w:type="spellStart"/>
      <w:r w:rsidR="001D6AA7">
        <w:rPr>
          <w:rFonts w:ascii="Arial" w:hAnsi="Arial" w:cs="Arial"/>
          <w:b/>
          <w:sz w:val="22"/>
          <w:szCs w:val="22"/>
          <w:lang w:val="es"/>
        </w:rPr>
        <w:t>AyS</w:t>
      </w:r>
      <w:proofErr w:type="spellEnd"/>
      <w:r w:rsidR="001D6AA7">
        <w:rPr>
          <w:rFonts w:ascii="Arial" w:hAnsi="Arial" w:cs="Arial"/>
          <w:b/>
          <w:sz w:val="22"/>
          <w:szCs w:val="22"/>
          <w:lang w:val="es"/>
        </w:rPr>
        <w:t xml:space="preserve"> </w:t>
      </w:r>
      <w:r w:rsidR="00175AB1">
        <w:rPr>
          <w:rFonts w:ascii="Arial" w:hAnsi="Arial" w:cs="Arial"/>
          <w:b/>
          <w:sz w:val="22"/>
          <w:szCs w:val="22"/>
          <w:lang w:val="es"/>
        </w:rPr>
        <w:t xml:space="preserve">y </w:t>
      </w:r>
      <w:r w:rsidR="001D6AA7">
        <w:rPr>
          <w:rFonts w:ascii="Arial" w:hAnsi="Arial" w:cs="Arial"/>
          <w:b/>
          <w:sz w:val="22"/>
          <w:szCs w:val="22"/>
          <w:lang w:val="es"/>
        </w:rPr>
        <w:t xml:space="preserve">el </w:t>
      </w:r>
      <w:r w:rsidR="00175AB1" w:rsidRPr="00175AB1">
        <w:rPr>
          <w:rFonts w:ascii="Arial" w:hAnsi="Arial" w:cs="Arial"/>
          <w:b/>
          <w:sz w:val="22"/>
          <w:szCs w:val="22"/>
          <w:lang w:val="es"/>
        </w:rPr>
        <w:t xml:space="preserve">apoyo a </w:t>
      </w:r>
      <w:r w:rsidR="001D6AA7">
        <w:rPr>
          <w:rFonts w:ascii="Arial" w:hAnsi="Arial" w:cs="Arial"/>
          <w:b/>
          <w:sz w:val="22"/>
          <w:szCs w:val="22"/>
          <w:lang w:val="es"/>
        </w:rPr>
        <w:t xml:space="preserve">la gestión de </w:t>
      </w:r>
      <w:r w:rsidR="00175AB1">
        <w:rPr>
          <w:rFonts w:ascii="Arial" w:hAnsi="Arial" w:cs="Arial"/>
          <w:b/>
          <w:sz w:val="22"/>
          <w:szCs w:val="22"/>
          <w:lang w:val="es"/>
        </w:rPr>
        <w:t>servicios</w:t>
      </w:r>
      <w:r w:rsidR="00802EF5">
        <w:rPr>
          <w:rFonts w:ascii="Arial" w:hAnsi="Arial" w:cs="Arial"/>
          <w:b/>
          <w:sz w:val="22"/>
          <w:szCs w:val="22"/>
          <w:lang w:val="es"/>
        </w:rPr>
        <w:t xml:space="preserve"> en el sector rural.</w:t>
      </w:r>
      <w:r w:rsidRPr="00175AB1">
        <w:rPr>
          <w:rFonts w:ascii="Arial" w:hAnsi="Arial" w:cs="Arial"/>
          <w:b/>
          <w:sz w:val="22"/>
          <w:szCs w:val="22"/>
          <w:lang w:val="es"/>
        </w:rPr>
        <w:t xml:space="preserve"> </w:t>
      </w:r>
      <w:r w:rsidR="00175AB1" w:rsidRPr="00175AB1">
        <w:rPr>
          <w:rFonts w:ascii="Arial" w:hAnsi="Arial" w:cs="Arial"/>
          <w:sz w:val="22"/>
          <w:szCs w:val="22"/>
          <w:lang w:val="es"/>
        </w:rPr>
        <w:t>Este componente financiará actividades para apoyar</w:t>
      </w:r>
      <w:r w:rsidR="00364158">
        <w:rPr>
          <w:rFonts w:ascii="Arial" w:hAnsi="Arial" w:cs="Arial"/>
          <w:sz w:val="22"/>
          <w:szCs w:val="22"/>
          <w:lang w:val="es"/>
        </w:rPr>
        <w:t xml:space="preserve"> el desarrollo e implementación d</w:t>
      </w:r>
      <w:r w:rsidR="00175AB1" w:rsidRPr="00175AB1">
        <w:rPr>
          <w:rFonts w:ascii="Arial" w:hAnsi="Arial" w:cs="Arial"/>
          <w:sz w:val="22"/>
          <w:szCs w:val="22"/>
          <w:lang w:val="es"/>
        </w:rPr>
        <w:t>el modelo SIASAR</w:t>
      </w:r>
      <w:r w:rsidR="00964634">
        <w:rPr>
          <w:rStyle w:val="FootnoteReference"/>
          <w:rFonts w:ascii="Arial" w:hAnsi="Arial" w:cs="Arial"/>
          <w:sz w:val="22"/>
          <w:szCs w:val="22"/>
          <w:lang w:val="es"/>
        </w:rPr>
        <w:footnoteReference w:id="7"/>
      </w:r>
      <w:r w:rsidR="00175AB1" w:rsidRPr="00175AB1">
        <w:rPr>
          <w:rFonts w:ascii="Arial" w:hAnsi="Arial" w:cs="Arial"/>
          <w:sz w:val="22"/>
          <w:szCs w:val="22"/>
          <w:lang w:val="es"/>
        </w:rPr>
        <w:t xml:space="preserve"> que se </w:t>
      </w:r>
      <w:r w:rsidR="00364158">
        <w:rPr>
          <w:rFonts w:ascii="Arial" w:hAnsi="Arial" w:cs="Arial"/>
          <w:sz w:val="22"/>
          <w:szCs w:val="22"/>
          <w:lang w:val="es"/>
        </w:rPr>
        <w:t>utiliza en</w:t>
      </w:r>
      <w:r w:rsidR="00175AB1" w:rsidRPr="00175AB1">
        <w:rPr>
          <w:rFonts w:ascii="Arial" w:hAnsi="Arial" w:cs="Arial"/>
          <w:sz w:val="22"/>
          <w:szCs w:val="22"/>
          <w:lang w:val="es"/>
        </w:rPr>
        <w:t xml:space="preserve"> varios países de </w:t>
      </w:r>
      <w:r w:rsidR="001D6AA7">
        <w:rPr>
          <w:rFonts w:ascii="Arial" w:hAnsi="Arial" w:cs="Arial"/>
          <w:sz w:val="22"/>
          <w:szCs w:val="22"/>
          <w:lang w:val="es"/>
        </w:rPr>
        <w:t>América Latina</w:t>
      </w:r>
      <w:r w:rsidR="006B0DF5">
        <w:rPr>
          <w:rStyle w:val="FootnoteReference"/>
          <w:rFonts w:ascii="Arial" w:hAnsi="Arial" w:cs="Arial"/>
          <w:sz w:val="22"/>
          <w:szCs w:val="22"/>
          <w:lang w:val="es"/>
        </w:rPr>
        <w:footnoteReference w:id="8"/>
      </w:r>
      <w:r w:rsidR="00175AB1" w:rsidRPr="00175AB1">
        <w:rPr>
          <w:rFonts w:ascii="Arial" w:hAnsi="Arial" w:cs="Arial"/>
          <w:sz w:val="22"/>
          <w:szCs w:val="22"/>
          <w:lang w:val="es"/>
        </w:rPr>
        <w:t xml:space="preserve"> con el apoyo del Banco Mundial, el BID y la Cooperación Española, entre otros, para promover un modelo de monitoreo y seguimiento </w:t>
      </w:r>
      <w:r w:rsidR="00802EF5">
        <w:rPr>
          <w:rFonts w:ascii="Arial" w:hAnsi="Arial" w:cs="Arial"/>
          <w:sz w:val="22"/>
          <w:szCs w:val="22"/>
          <w:lang w:val="es"/>
        </w:rPr>
        <w:t xml:space="preserve">de sistemas de </w:t>
      </w:r>
      <w:proofErr w:type="spellStart"/>
      <w:r w:rsidR="00802EF5">
        <w:rPr>
          <w:rFonts w:ascii="Arial" w:hAnsi="Arial" w:cs="Arial"/>
          <w:sz w:val="22"/>
          <w:szCs w:val="22"/>
          <w:lang w:val="es"/>
        </w:rPr>
        <w:t>AyS</w:t>
      </w:r>
      <w:proofErr w:type="spellEnd"/>
      <w:r w:rsidR="00802EF5">
        <w:rPr>
          <w:rFonts w:ascii="Arial" w:hAnsi="Arial" w:cs="Arial"/>
          <w:sz w:val="22"/>
          <w:szCs w:val="22"/>
          <w:lang w:val="es"/>
        </w:rPr>
        <w:t xml:space="preserve"> en zonas rurales </w:t>
      </w:r>
      <w:r w:rsidR="00175AB1" w:rsidRPr="00175AB1">
        <w:rPr>
          <w:rFonts w:ascii="Arial" w:hAnsi="Arial" w:cs="Arial"/>
          <w:sz w:val="22"/>
          <w:szCs w:val="22"/>
          <w:lang w:val="es"/>
        </w:rPr>
        <w:t>con implantación regional.</w:t>
      </w:r>
      <w:r w:rsidR="006F142C">
        <w:rPr>
          <w:rFonts w:ascii="Arial" w:hAnsi="Arial" w:cs="Arial"/>
          <w:sz w:val="22"/>
          <w:szCs w:val="22"/>
          <w:lang w:val="es"/>
        </w:rPr>
        <w:t xml:space="preserve"> Esta acción propon</w:t>
      </w:r>
      <w:r w:rsidR="006F142C" w:rsidRPr="0027103F">
        <w:rPr>
          <w:rFonts w:ascii="Arial" w:hAnsi="Arial" w:cs="Arial"/>
          <w:sz w:val="22"/>
          <w:szCs w:val="22"/>
          <w:lang w:val="es"/>
        </w:rPr>
        <w:t xml:space="preserve">e continuar apoyando la línea iniciada con la </w:t>
      </w:r>
      <w:r w:rsidR="00964634" w:rsidRPr="0027103F">
        <w:rPr>
          <w:rFonts w:ascii="Arial" w:hAnsi="Arial" w:cs="Arial"/>
          <w:sz w:val="22"/>
          <w:szCs w:val="22"/>
          <w:lang w:val="es"/>
        </w:rPr>
        <w:t>RG-T2693 (ATN/LA-15504-RG)</w:t>
      </w:r>
      <w:r w:rsidR="00690C9E">
        <w:rPr>
          <w:rStyle w:val="FootnoteReference"/>
          <w:rFonts w:ascii="Arial" w:hAnsi="Arial" w:cs="Arial"/>
          <w:sz w:val="22"/>
          <w:szCs w:val="22"/>
          <w:lang w:val="es"/>
        </w:rPr>
        <w:footnoteReference w:id="9"/>
      </w:r>
      <w:r w:rsidR="00FA701B">
        <w:rPr>
          <w:rFonts w:ascii="Arial" w:hAnsi="Arial" w:cs="Arial"/>
          <w:sz w:val="22"/>
          <w:szCs w:val="22"/>
          <w:lang w:val="es"/>
        </w:rPr>
        <w:t>.</w:t>
      </w:r>
    </w:p>
    <w:p w14:paraId="5511BA96" w14:textId="65490FB3" w:rsidR="00DB1FC1" w:rsidRPr="0001665B" w:rsidRDefault="00600677" w:rsidP="002049DE">
      <w:pPr>
        <w:pStyle w:val="BodyText"/>
        <w:numPr>
          <w:ilvl w:val="1"/>
          <w:numId w:val="5"/>
        </w:numPr>
        <w:ind w:left="360" w:hanging="502"/>
        <w:jc w:val="both"/>
        <w:textAlignment w:val="auto"/>
        <w:rPr>
          <w:rFonts w:ascii="Arial" w:hAnsi="Arial" w:cs="Arial"/>
          <w:sz w:val="22"/>
          <w:szCs w:val="22"/>
          <w:lang w:val="es"/>
        </w:rPr>
      </w:pPr>
      <w:r w:rsidRPr="009F744D">
        <w:rPr>
          <w:rFonts w:ascii="Arial" w:hAnsi="Arial" w:cs="Arial"/>
          <w:b/>
          <w:sz w:val="22"/>
          <w:szCs w:val="22"/>
          <w:lang w:val="es"/>
        </w:rPr>
        <w:t xml:space="preserve">Componente II. </w:t>
      </w:r>
      <w:r w:rsidR="00175AB1">
        <w:rPr>
          <w:rFonts w:ascii="Arial" w:hAnsi="Arial" w:cs="Arial"/>
          <w:b/>
          <w:sz w:val="22"/>
          <w:szCs w:val="22"/>
          <w:lang w:val="es"/>
        </w:rPr>
        <w:t>S</w:t>
      </w:r>
      <w:r w:rsidR="00175AB1" w:rsidRPr="00175AB1">
        <w:rPr>
          <w:rFonts w:ascii="Arial" w:hAnsi="Arial" w:cs="Arial"/>
          <w:b/>
          <w:sz w:val="22"/>
          <w:szCs w:val="22"/>
          <w:lang w:val="es"/>
        </w:rPr>
        <w:t xml:space="preserve">istematización de </w:t>
      </w:r>
      <w:r w:rsidR="00802EF5">
        <w:rPr>
          <w:rFonts w:ascii="Arial" w:hAnsi="Arial" w:cs="Arial"/>
          <w:b/>
          <w:sz w:val="22"/>
          <w:szCs w:val="22"/>
          <w:lang w:val="es"/>
        </w:rPr>
        <w:t>e</w:t>
      </w:r>
      <w:r w:rsidR="00175AB1" w:rsidRPr="00175AB1">
        <w:rPr>
          <w:rFonts w:ascii="Arial" w:hAnsi="Arial" w:cs="Arial"/>
          <w:b/>
          <w:sz w:val="22"/>
          <w:szCs w:val="22"/>
          <w:lang w:val="es"/>
        </w:rPr>
        <w:t xml:space="preserve">xperiencias </w:t>
      </w:r>
      <w:r w:rsidR="00852D9F">
        <w:rPr>
          <w:rFonts w:ascii="Arial" w:hAnsi="Arial" w:cs="Arial"/>
          <w:b/>
          <w:sz w:val="22"/>
          <w:szCs w:val="22"/>
          <w:lang w:val="es"/>
        </w:rPr>
        <w:t xml:space="preserve">y desarrollo de estrategias </w:t>
      </w:r>
      <w:r w:rsidR="00A84D7E">
        <w:rPr>
          <w:rFonts w:ascii="Arial" w:hAnsi="Arial" w:cs="Arial"/>
          <w:b/>
          <w:sz w:val="22"/>
          <w:szCs w:val="22"/>
          <w:lang w:val="es"/>
        </w:rPr>
        <w:t xml:space="preserve">para </w:t>
      </w:r>
      <w:r w:rsidR="00852D9F">
        <w:rPr>
          <w:rFonts w:ascii="Arial" w:hAnsi="Arial" w:cs="Arial"/>
          <w:b/>
          <w:sz w:val="22"/>
          <w:szCs w:val="22"/>
          <w:lang w:val="es"/>
        </w:rPr>
        <w:t xml:space="preserve">para </w:t>
      </w:r>
      <w:r w:rsidR="0001665B">
        <w:rPr>
          <w:rFonts w:ascii="Arial" w:hAnsi="Arial" w:cs="Arial"/>
          <w:b/>
          <w:sz w:val="22"/>
          <w:szCs w:val="22"/>
          <w:lang w:val="es"/>
        </w:rPr>
        <w:t xml:space="preserve">fomentar e implementar operaciones rurales en </w:t>
      </w:r>
      <w:proofErr w:type="spellStart"/>
      <w:r w:rsidR="0001665B">
        <w:rPr>
          <w:rFonts w:ascii="Arial" w:hAnsi="Arial" w:cs="Arial"/>
          <w:b/>
          <w:sz w:val="22"/>
          <w:szCs w:val="22"/>
          <w:lang w:val="es"/>
        </w:rPr>
        <w:t>AyS</w:t>
      </w:r>
      <w:proofErr w:type="spellEnd"/>
      <w:r w:rsidR="0001665B">
        <w:rPr>
          <w:rFonts w:ascii="Arial" w:hAnsi="Arial" w:cs="Arial"/>
          <w:b/>
          <w:sz w:val="22"/>
          <w:szCs w:val="22"/>
          <w:lang w:val="es"/>
        </w:rPr>
        <w:t>.</w:t>
      </w:r>
      <w:r w:rsidRPr="009F744D">
        <w:rPr>
          <w:rFonts w:ascii="Arial" w:hAnsi="Arial" w:cs="Arial"/>
          <w:b/>
          <w:sz w:val="22"/>
          <w:szCs w:val="22"/>
          <w:lang w:val="es"/>
        </w:rPr>
        <w:t xml:space="preserve"> </w:t>
      </w:r>
      <w:r w:rsidR="00DB1FC1" w:rsidRPr="00DB1FC1">
        <w:rPr>
          <w:rFonts w:ascii="Arial" w:hAnsi="Arial" w:cs="Arial"/>
          <w:sz w:val="22"/>
          <w:szCs w:val="22"/>
          <w:lang w:val="es"/>
        </w:rPr>
        <w:t xml:space="preserve">Este componente </w:t>
      </w:r>
      <w:r w:rsidR="0001665B">
        <w:rPr>
          <w:rFonts w:ascii="Arial" w:hAnsi="Arial" w:cs="Arial"/>
          <w:sz w:val="22"/>
          <w:szCs w:val="22"/>
          <w:lang w:val="es"/>
        </w:rPr>
        <w:t xml:space="preserve">financiará la sistematización y análisis </w:t>
      </w:r>
      <w:r w:rsidR="00DB1FC1">
        <w:rPr>
          <w:rFonts w:ascii="Arial" w:hAnsi="Arial" w:cs="Arial"/>
          <w:sz w:val="22"/>
          <w:szCs w:val="22"/>
          <w:lang w:val="es"/>
        </w:rPr>
        <w:t xml:space="preserve">de enfoques, metodologías, herramientas, experiencias, buenas prácticas y lecciones aprendidas a partir de la experiencia de los países </w:t>
      </w:r>
      <w:r w:rsidR="00802EF5">
        <w:rPr>
          <w:rFonts w:ascii="Arial" w:hAnsi="Arial" w:cs="Arial"/>
          <w:sz w:val="22"/>
          <w:szCs w:val="22"/>
          <w:lang w:val="es"/>
        </w:rPr>
        <w:t>de A</w:t>
      </w:r>
      <w:r w:rsidR="00684C2C">
        <w:rPr>
          <w:rFonts w:ascii="Arial" w:hAnsi="Arial" w:cs="Arial"/>
          <w:sz w:val="22"/>
          <w:szCs w:val="22"/>
          <w:lang w:val="es"/>
        </w:rPr>
        <w:t>mérica Latina</w:t>
      </w:r>
      <w:r w:rsidR="00802EF5">
        <w:rPr>
          <w:rFonts w:ascii="Arial" w:hAnsi="Arial" w:cs="Arial"/>
          <w:sz w:val="22"/>
          <w:szCs w:val="22"/>
          <w:lang w:val="es"/>
        </w:rPr>
        <w:t xml:space="preserve"> </w:t>
      </w:r>
      <w:r w:rsidR="00DB1FC1">
        <w:rPr>
          <w:rFonts w:ascii="Arial" w:hAnsi="Arial" w:cs="Arial"/>
          <w:sz w:val="22"/>
          <w:szCs w:val="22"/>
          <w:lang w:val="es"/>
        </w:rPr>
        <w:t xml:space="preserve">en </w:t>
      </w:r>
      <w:r w:rsidR="0001665B">
        <w:rPr>
          <w:rFonts w:ascii="Arial" w:hAnsi="Arial" w:cs="Arial"/>
          <w:sz w:val="22"/>
          <w:szCs w:val="22"/>
          <w:lang w:val="es"/>
        </w:rPr>
        <w:t xml:space="preserve">el desarrollo de </w:t>
      </w:r>
      <w:r w:rsidR="00DB1FC1">
        <w:rPr>
          <w:rFonts w:ascii="Arial" w:hAnsi="Arial" w:cs="Arial"/>
          <w:sz w:val="22"/>
          <w:szCs w:val="22"/>
          <w:lang w:val="es"/>
        </w:rPr>
        <w:t xml:space="preserve">programas rurales, poniendo un especial acento en las acciones desarrolladas en el marco del FECASALC. </w:t>
      </w:r>
      <w:r w:rsidR="0001665B">
        <w:rPr>
          <w:rFonts w:ascii="Arial" w:hAnsi="Arial" w:cs="Arial"/>
          <w:sz w:val="22"/>
          <w:szCs w:val="22"/>
          <w:lang w:val="es"/>
        </w:rPr>
        <w:t xml:space="preserve">A partir de estos análisis, y tomando en consideración las demandas de los países de </w:t>
      </w:r>
      <w:r w:rsidR="00EE212C">
        <w:rPr>
          <w:rFonts w:ascii="Arial" w:hAnsi="Arial" w:cs="Arial"/>
          <w:sz w:val="22"/>
          <w:szCs w:val="22"/>
          <w:lang w:val="es"/>
        </w:rPr>
        <w:t>América Latina</w:t>
      </w:r>
      <w:r w:rsidR="0001665B">
        <w:rPr>
          <w:rFonts w:ascii="Arial" w:hAnsi="Arial" w:cs="Arial"/>
          <w:sz w:val="22"/>
          <w:szCs w:val="22"/>
          <w:lang w:val="es"/>
        </w:rPr>
        <w:t>, se definirá</w:t>
      </w:r>
      <w:r w:rsidR="00F16651">
        <w:rPr>
          <w:rFonts w:ascii="Arial" w:hAnsi="Arial" w:cs="Arial"/>
          <w:sz w:val="22"/>
          <w:szCs w:val="22"/>
          <w:lang w:val="es"/>
        </w:rPr>
        <w:t>n</w:t>
      </w:r>
      <w:r w:rsidR="0001665B">
        <w:rPr>
          <w:rFonts w:ascii="Arial" w:hAnsi="Arial" w:cs="Arial"/>
          <w:sz w:val="22"/>
          <w:szCs w:val="22"/>
          <w:lang w:val="es"/>
        </w:rPr>
        <w:t xml:space="preserve"> </w:t>
      </w:r>
      <w:r w:rsidR="00F16651">
        <w:rPr>
          <w:rFonts w:ascii="Arial" w:hAnsi="Arial" w:cs="Arial"/>
          <w:sz w:val="22"/>
          <w:szCs w:val="22"/>
          <w:lang w:val="es"/>
        </w:rPr>
        <w:t>estrategias</w:t>
      </w:r>
      <w:r w:rsidR="0001665B">
        <w:rPr>
          <w:rFonts w:ascii="Arial" w:hAnsi="Arial" w:cs="Arial"/>
          <w:sz w:val="22"/>
          <w:szCs w:val="22"/>
          <w:lang w:val="es"/>
        </w:rPr>
        <w:t xml:space="preserve"> que incida</w:t>
      </w:r>
      <w:r w:rsidR="00F16651">
        <w:rPr>
          <w:rFonts w:ascii="Arial" w:hAnsi="Arial" w:cs="Arial"/>
          <w:sz w:val="22"/>
          <w:szCs w:val="22"/>
          <w:lang w:val="es"/>
        </w:rPr>
        <w:t>n</w:t>
      </w:r>
      <w:r w:rsidR="0001665B">
        <w:rPr>
          <w:rFonts w:ascii="Arial" w:hAnsi="Arial" w:cs="Arial"/>
          <w:sz w:val="22"/>
          <w:szCs w:val="22"/>
          <w:lang w:val="es"/>
        </w:rPr>
        <w:t xml:space="preserve"> en los aspectos esenciales para atraer recursos financieros hacia las zonas rurales</w:t>
      </w:r>
      <w:r w:rsidR="003F2194">
        <w:rPr>
          <w:rFonts w:ascii="Arial" w:hAnsi="Arial" w:cs="Arial"/>
          <w:sz w:val="22"/>
          <w:szCs w:val="22"/>
          <w:lang w:val="es"/>
        </w:rPr>
        <w:t xml:space="preserve"> y su adecuada aplicación,</w:t>
      </w:r>
      <w:r w:rsidR="0001665B">
        <w:rPr>
          <w:rFonts w:ascii="Arial" w:hAnsi="Arial" w:cs="Arial"/>
          <w:sz w:val="22"/>
          <w:szCs w:val="22"/>
          <w:lang w:val="es"/>
        </w:rPr>
        <w:t xml:space="preserve"> teniendo como referencia los compromisos de los ODS y el cumplimiento de</w:t>
      </w:r>
      <w:r w:rsidR="00B42FF3">
        <w:rPr>
          <w:rFonts w:ascii="Arial" w:hAnsi="Arial" w:cs="Arial"/>
          <w:sz w:val="22"/>
          <w:szCs w:val="22"/>
          <w:lang w:val="es"/>
        </w:rPr>
        <w:t xml:space="preserve"> los</w:t>
      </w:r>
      <w:r w:rsidR="0001665B">
        <w:rPr>
          <w:rFonts w:ascii="Arial" w:hAnsi="Arial" w:cs="Arial"/>
          <w:sz w:val="22"/>
          <w:szCs w:val="22"/>
          <w:lang w:val="es"/>
        </w:rPr>
        <w:t xml:space="preserve"> DHAS. Este proceso incluirá el desarrollo de </w:t>
      </w:r>
      <w:r w:rsidR="00DB1FC1" w:rsidRPr="0001665B">
        <w:rPr>
          <w:rFonts w:ascii="Arial" w:hAnsi="Arial" w:cs="Arial"/>
          <w:sz w:val="22"/>
          <w:szCs w:val="22"/>
          <w:lang w:val="es"/>
        </w:rPr>
        <w:t>talleres</w:t>
      </w:r>
      <w:r w:rsidR="00802EF5" w:rsidRPr="0001665B">
        <w:rPr>
          <w:rFonts w:ascii="Arial" w:hAnsi="Arial" w:cs="Arial"/>
          <w:sz w:val="22"/>
          <w:szCs w:val="22"/>
          <w:lang w:val="es"/>
        </w:rPr>
        <w:t xml:space="preserve"> y entrevistas con actores </w:t>
      </w:r>
      <w:r w:rsidR="00DB1FC1" w:rsidRPr="0001665B">
        <w:rPr>
          <w:rFonts w:ascii="Arial" w:hAnsi="Arial" w:cs="Arial"/>
          <w:sz w:val="22"/>
          <w:szCs w:val="22"/>
          <w:lang w:val="es"/>
        </w:rPr>
        <w:t>clave</w:t>
      </w:r>
      <w:r w:rsidR="00802EF5" w:rsidRPr="0001665B">
        <w:rPr>
          <w:rFonts w:ascii="Arial" w:hAnsi="Arial" w:cs="Arial"/>
          <w:sz w:val="22"/>
          <w:szCs w:val="22"/>
          <w:lang w:val="es"/>
        </w:rPr>
        <w:t xml:space="preserve"> en la región y con experiencia internacional</w:t>
      </w:r>
      <w:r w:rsidR="007E02E1" w:rsidRPr="0001665B">
        <w:rPr>
          <w:rFonts w:ascii="Arial" w:hAnsi="Arial" w:cs="Arial"/>
          <w:sz w:val="22"/>
          <w:szCs w:val="22"/>
          <w:lang w:val="es"/>
        </w:rPr>
        <w:t xml:space="preserve"> en el desarrollo de programas AyS en el sector rural</w:t>
      </w:r>
      <w:r w:rsidR="00802EF5" w:rsidRPr="0001665B">
        <w:rPr>
          <w:rFonts w:ascii="Arial" w:hAnsi="Arial" w:cs="Arial"/>
          <w:sz w:val="22"/>
          <w:szCs w:val="22"/>
          <w:lang w:val="es"/>
        </w:rPr>
        <w:t xml:space="preserve"> para complementar el </w:t>
      </w:r>
      <w:r w:rsidR="00707676" w:rsidRPr="0001665B">
        <w:rPr>
          <w:rFonts w:ascii="Arial" w:hAnsi="Arial" w:cs="Arial"/>
          <w:sz w:val="22"/>
          <w:szCs w:val="22"/>
          <w:lang w:val="es"/>
        </w:rPr>
        <w:t>análisis documental</w:t>
      </w:r>
      <w:r w:rsidR="006F142C" w:rsidRPr="0001665B">
        <w:rPr>
          <w:rFonts w:ascii="Arial" w:hAnsi="Arial" w:cs="Arial"/>
          <w:sz w:val="22"/>
          <w:szCs w:val="22"/>
          <w:lang w:val="es"/>
        </w:rPr>
        <w:t xml:space="preserve">. </w:t>
      </w:r>
    </w:p>
    <w:p w14:paraId="3B550396" w14:textId="22C4DFC1" w:rsidR="00483414" w:rsidRDefault="004D6E04" w:rsidP="002049DE">
      <w:pPr>
        <w:pStyle w:val="BodyText"/>
        <w:numPr>
          <w:ilvl w:val="1"/>
          <w:numId w:val="5"/>
        </w:numPr>
        <w:ind w:left="360" w:hanging="502"/>
        <w:jc w:val="both"/>
        <w:textAlignment w:val="auto"/>
        <w:rPr>
          <w:rFonts w:ascii="Arial" w:hAnsi="Arial" w:cs="Arial"/>
          <w:sz w:val="22"/>
          <w:szCs w:val="22"/>
          <w:lang w:val="es"/>
        </w:rPr>
      </w:pPr>
      <w:bookmarkStart w:id="5" w:name="_Hlk523408505"/>
      <w:r w:rsidRPr="004D6E04">
        <w:rPr>
          <w:rFonts w:ascii="Arial" w:hAnsi="Arial" w:cs="Arial"/>
          <w:b/>
          <w:sz w:val="22"/>
          <w:szCs w:val="22"/>
          <w:lang w:val="es"/>
        </w:rPr>
        <w:t>Componente I</w:t>
      </w:r>
      <w:r w:rsidR="0001665B">
        <w:rPr>
          <w:rFonts w:ascii="Arial" w:hAnsi="Arial" w:cs="Arial"/>
          <w:b/>
          <w:sz w:val="22"/>
          <w:szCs w:val="22"/>
          <w:lang w:val="es"/>
        </w:rPr>
        <w:t>II</w:t>
      </w:r>
      <w:r w:rsidRPr="004D6E04">
        <w:rPr>
          <w:rFonts w:ascii="Arial" w:hAnsi="Arial" w:cs="Arial"/>
          <w:b/>
          <w:sz w:val="22"/>
          <w:szCs w:val="22"/>
          <w:lang w:val="es"/>
        </w:rPr>
        <w:t>. Apoyo a operaciones rurales.</w:t>
      </w:r>
      <w:r w:rsidRPr="004D6E04">
        <w:rPr>
          <w:rFonts w:ascii="Arial" w:hAnsi="Arial" w:cs="Arial"/>
          <w:sz w:val="22"/>
          <w:szCs w:val="22"/>
          <w:lang w:val="es"/>
        </w:rPr>
        <w:t xml:space="preserve"> </w:t>
      </w:r>
      <w:r w:rsidR="00AA09DE">
        <w:rPr>
          <w:rFonts w:ascii="Arial" w:hAnsi="Arial" w:cs="Arial"/>
          <w:sz w:val="22"/>
          <w:szCs w:val="22"/>
          <w:lang w:val="es"/>
        </w:rPr>
        <w:t>S</w:t>
      </w:r>
      <w:r w:rsidR="004A7078">
        <w:rPr>
          <w:rFonts w:ascii="Arial" w:hAnsi="Arial" w:cs="Arial"/>
          <w:sz w:val="22"/>
          <w:szCs w:val="22"/>
          <w:lang w:val="es"/>
        </w:rPr>
        <w:t xml:space="preserve">e dará apoyo a operaciones que integren acciones en el ámbito rural en las fases de formulación, pre-inversión, ejecución y post-inversión, incidiendo en los aspectos que </w:t>
      </w:r>
      <w:r w:rsidR="00AA09DE">
        <w:rPr>
          <w:rFonts w:ascii="Arial" w:hAnsi="Arial" w:cs="Arial"/>
          <w:sz w:val="22"/>
          <w:szCs w:val="22"/>
          <w:lang w:val="es"/>
        </w:rPr>
        <w:t xml:space="preserve">ejecución, </w:t>
      </w:r>
      <w:r w:rsidR="004A7078">
        <w:rPr>
          <w:rFonts w:ascii="Arial" w:hAnsi="Arial" w:cs="Arial"/>
          <w:sz w:val="22"/>
          <w:szCs w:val="22"/>
          <w:lang w:val="es"/>
        </w:rPr>
        <w:t>sostenibilidad de los servicios</w:t>
      </w:r>
      <w:r w:rsidR="0025529C">
        <w:rPr>
          <w:rFonts w:ascii="Arial" w:hAnsi="Arial" w:cs="Arial"/>
          <w:sz w:val="22"/>
          <w:szCs w:val="22"/>
          <w:lang w:val="es"/>
        </w:rPr>
        <w:t xml:space="preserve"> y la definición de lineamientos de políticas públicas</w:t>
      </w:r>
      <w:r w:rsidR="004A7078">
        <w:rPr>
          <w:rFonts w:ascii="Arial" w:hAnsi="Arial" w:cs="Arial"/>
          <w:sz w:val="22"/>
          <w:szCs w:val="22"/>
          <w:lang w:val="es"/>
        </w:rPr>
        <w:t>.</w:t>
      </w:r>
      <w:bookmarkEnd w:id="5"/>
      <w:r w:rsidR="003F2194">
        <w:rPr>
          <w:rFonts w:ascii="Arial" w:hAnsi="Arial" w:cs="Arial"/>
          <w:sz w:val="22"/>
          <w:szCs w:val="22"/>
          <w:lang w:val="es"/>
        </w:rPr>
        <w:t xml:space="preserve"> Asimismo, se promoverá la visión multisectorial de la atención al medio rural.</w:t>
      </w:r>
      <w:r w:rsidR="0001665B">
        <w:rPr>
          <w:rFonts w:ascii="Arial" w:hAnsi="Arial" w:cs="Arial"/>
          <w:sz w:val="22"/>
          <w:szCs w:val="22"/>
          <w:lang w:val="es"/>
        </w:rPr>
        <w:t xml:space="preserve"> </w:t>
      </w:r>
      <w:r w:rsidR="00852D9F">
        <w:rPr>
          <w:rFonts w:ascii="Arial" w:hAnsi="Arial" w:cs="Arial"/>
          <w:sz w:val="22"/>
          <w:szCs w:val="22"/>
          <w:lang w:val="es"/>
        </w:rPr>
        <w:t xml:space="preserve">Los lineamientos estratégicos desarrollados </w:t>
      </w:r>
      <w:r w:rsidR="00B42FF3">
        <w:rPr>
          <w:rFonts w:ascii="Arial" w:hAnsi="Arial" w:cs="Arial"/>
          <w:sz w:val="22"/>
          <w:szCs w:val="22"/>
          <w:lang w:val="es"/>
        </w:rPr>
        <w:t xml:space="preserve">en </w:t>
      </w:r>
      <w:r w:rsidR="0001665B">
        <w:rPr>
          <w:rFonts w:ascii="Arial" w:hAnsi="Arial" w:cs="Arial"/>
          <w:sz w:val="22"/>
          <w:szCs w:val="22"/>
          <w:lang w:val="es"/>
        </w:rPr>
        <w:t xml:space="preserve">el componente II de esta CT, </w:t>
      </w:r>
      <w:r w:rsidR="00483414">
        <w:rPr>
          <w:rFonts w:ascii="Arial" w:hAnsi="Arial" w:cs="Arial"/>
          <w:sz w:val="22"/>
          <w:szCs w:val="22"/>
          <w:lang w:val="es"/>
        </w:rPr>
        <w:t>servirá</w:t>
      </w:r>
      <w:r w:rsidR="00852D9F">
        <w:rPr>
          <w:rFonts w:ascii="Arial" w:hAnsi="Arial" w:cs="Arial"/>
          <w:sz w:val="22"/>
          <w:szCs w:val="22"/>
          <w:lang w:val="es"/>
        </w:rPr>
        <w:t>n</w:t>
      </w:r>
      <w:r w:rsidR="00483414">
        <w:rPr>
          <w:rFonts w:ascii="Arial" w:hAnsi="Arial" w:cs="Arial"/>
          <w:sz w:val="22"/>
          <w:szCs w:val="22"/>
          <w:lang w:val="es"/>
        </w:rPr>
        <w:t xml:space="preserve"> como marco conceptual para definir las acciones que apoyarán las operaciones rurales en la región.</w:t>
      </w:r>
    </w:p>
    <w:p w14:paraId="1CF05722" w14:textId="2E8EC425" w:rsidR="000B3840" w:rsidRPr="004A7078" w:rsidRDefault="00483414" w:rsidP="002049DE">
      <w:pPr>
        <w:pStyle w:val="BodyText"/>
        <w:numPr>
          <w:ilvl w:val="1"/>
          <w:numId w:val="5"/>
        </w:numPr>
        <w:ind w:left="360" w:hanging="502"/>
        <w:jc w:val="both"/>
        <w:textAlignment w:val="auto"/>
        <w:rPr>
          <w:rFonts w:ascii="Arial" w:hAnsi="Arial" w:cs="Arial"/>
          <w:sz w:val="22"/>
          <w:szCs w:val="22"/>
          <w:lang w:val="es"/>
        </w:rPr>
      </w:pPr>
      <w:r>
        <w:rPr>
          <w:rFonts w:ascii="Arial" w:hAnsi="Arial" w:cs="Arial"/>
          <w:b/>
          <w:sz w:val="22"/>
          <w:szCs w:val="22"/>
          <w:lang w:val="es"/>
        </w:rPr>
        <w:lastRenderedPageBreak/>
        <w:t>Componente IV.</w:t>
      </w:r>
      <w:r>
        <w:rPr>
          <w:rFonts w:ascii="Arial" w:hAnsi="Arial" w:cs="Arial"/>
          <w:sz w:val="22"/>
          <w:szCs w:val="22"/>
          <w:lang w:val="es"/>
        </w:rPr>
        <w:t xml:space="preserve"> </w:t>
      </w:r>
      <w:r>
        <w:rPr>
          <w:rFonts w:ascii="Arial" w:hAnsi="Arial" w:cs="Arial"/>
          <w:b/>
          <w:sz w:val="22"/>
          <w:szCs w:val="22"/>
          <w:lang w:val="es"/>
        </w:rPr>
        <w:t>Desarrollo y difusión de conocimiento</w:t>
      </w:r>
      <w:r>
        <w:rPr>
          <w:rFonts w:ascii="Arial" w:hAnsi="Arial" w:cs="Arial"/>
          <w:sz w:val="22"/>
          <w:szCs w:val="22"/>
          <w:lang w:val="es"/>
        </w:rPr>
        <w:t xml:space="preserve">. Bajo este componente se desarrollarán herramientas y productos de difusión del conocimiento desarrollado en estudios, análisis y procesos de participación financiados con estas CT. Las herramientas o productos de conocimiento responderán a las demandas de los países y podrán incluir, entre otros, eventos con técnicos, </w:t>
      </w:r>
      <w:proofErr w:type="spellStart"/>
      <w:r>
        <w:rPr>
          <w:rFonts w:ascii="Arial" w:hAnsi="Arial" w:cs="Arial"/>
          <w:sz w:val="22"/>
          <w:szCs w:val="22"/>
          <w:lang w:val="es"/>
        </w:rPr>
        <w:t>infogramas</w:t>
      </w:r>
      <w:proofErr w:type="spellEnd"/>
      <w:r>
        <w:rPr>
          <w:rFonts w:ascii="Arial" w:hAnsi="Arial" w:cs="Arial"/>
          <w:sz w:val="22"/>
          <w:szCs w:val="22"/>
          <w:lang w:val="es"/>
        </w:rPr>
        <w:t>, guías, talleres, entre otros.</w:t>
      </w:r>
    </w:p>
    <w:p w14:paraId="32AC1EA8" w14:textId="359FDBA3" w:rsidR="00654F47" w:rsidRPr="009E39BA" w:rsidRDefault="00654F47" w:rsidP="002049DE">
      <w:pPr>
        <w:pStyle w:val="ListParagraph"/>
        <w:numPr>
          <w:ilvl w:val="0"/>
          <w:numId w:val="5"/>
        </w:numPr>
        <w:spacing w:after="120" w:line="240" w:lineRule="auto"/>
        <w:contextualSpacing w:val="0"/>
        <w:jc w:val="both"/>
        <w:rPr>
          <w:rFonts w:ascii="Arial" w:hAnsi="Arial" w:cs="Arial"/>
          <w:b/>
          <w:lang w:val="es-ES"/>
        </w:rPr>
      </w:pPr>
      <w:r>
        <w:rPr>
          <w:rFonts w:ascii="Arial" w:hAnsi="Arial" w:cs="Arial"/>
          <w:b/>
          <w:lang w:val="es-ES"/>
        </w:rPr>
        <w:t>Presupuesto</w:t>
      </w:r>
      <w:r w:rsidR="009E39BA" w:rsidRPr="009F744D">
        <w:rPr>
          <w:rFonts w:ascii="Arial" w:hAnsi="Arial" w:cs="Arial"/>
          <w:b/>
          <w:lang w:val="es-ES"/>
        </w:rPr>
        <w:t xml:space="preserve"> </w:t>
      </w:r>
      <w:r w:rsidR="00E94DAA">
        <w:rPr>
          <w:rFonts w:ascii="Arial" w:hAnsi="Arial" w:cs="Arial"/>
          <w:b/>
          <w:lang w:val="es-ES"/>
        </w:rPr>
        <w:t>indicativo</w:t>
      </w:r>
    </w:p>
    <w:p w14:paraId="75FBC69A" w14:textId="2304BE2C" w:rsidR="004F5BB4" w:rsidRPr="00483414" w:rsidRDefault="00E94DAA" w:rsidP="002049DE">
      <w:pPr>
        <w:pStyle w:val="BodyText"/>
        <w:numPr>
          <w:ilvl w:val="1"/>
          <w:numId w:val="5"/>
        </w:numPr>
        <w:ind w:left="360" w:hanging="502"/>
        <w:jc w:val="both"/>
        <w:textAlignment w:val="auto"/>
        <w:rPr>
          <w:rFonts w:ascii="Arial" w:hAnsi="Arial" w:cs="Arial"/>
          <w:b/>
          <w:lang w:val="es"/>
        </w:rPr>
      </w:pPr>
      <w:r>
        <w:rPr>
          <w:rFonts w:ascii="Arial" w:hAnsi="Arial" w:cs="Arial"/>
          <w:sz w:val="22"/>
          <w:szCs w:val="22"/>
          <w:lang w:val="es"/>
        </w:rPr>
        <w:t xml:space="preserve">La CT tendrá un </w:t>
      </w:r>
      <w:r w:rsidR="00654F47" w:rsidRPr="00AA09DE">
        <w:rPr>
          <w:rFonts w:ascii="Arial" w:hAnsi="Arial" w:cs="Arial"/>
          <w:sz w:val="22"/>
          <w:szCs w:val="22"/>
          <w:lang w:val="es"/>
        </w:rPr>
        <w:t xml:space="preserve">costo </w:t>
      </w:r>
      <w:r>
        <w:rPr>
          <w:rFonts w:ascii="Arial" w:hAnsi="Arial" w:cs="Arial"/>
          <w:sz w:val="22"/>
          <w:szCs w:val="22"/>
          <w:lang w:val="es"/>
        </w:rPr>
        <w:t xml:space="preserve">total </w:t>
      </w:r>
      <w:r w:rsidR="00654F47" w:rsidRPr="00AA09DE">
        <w:rPr>
          <w:rFonts w:ascii="Arial" w:hAnsi="Arial" w:cs="Arial"/>
          <w:sz w:val="22"/>
          <w:szCs w:val="22"/>
          <w:lang w:val="es"/>
        </w:rPr>
        <w:t xml:space="preserve">de </w:t>
      </w:r>
      <w:bookmarkStart w:id="6" w:name="_Hlk523410759"/>
      <w:r w:rsidR="00654F47" w:rsidRPr="00AA09DE">
        <w:rPr>
          <w:rFonts w:ascii="Arial" w:hAnsi="Arial" w:cs="Arial"/>
          <w:sz w:val="22"/>
          <w:szCs w:val="22"/>
          <w:lang w:val="es"/>
        </w:rPr>
        <w:t>US$</w:t>
      </w:r>
      <w:r w:rsidR="0098564A">
        <w:rPr>
          <w:rFonts w:ascii="Arial" w:hAnsi="Arial" w:cs="Arial"/>
          <w:sz w:val="22"/>
          <w:szCs w:val="22"/>
          <w:lang w:val="es"/>
        </w:rPr>
        <w:t>3</w:t>
      </w:r>
      <w:r w:rsidR="0098564A" w:rsidRPr="00AA09DE">
        <w:rPr>
          <w:rFonts w:ascii="Arial" w:hAnsi="Arial" w:cs="Arial"/>
          <w:sz w:val="22"/>
          <w:szCs w:val="22"/>
          <w:lang w:val="es"/>
        </w:rPr>
        <w:t>00</w:t>
      </w:r>
      <w:r w:rsidR="00D015C1">
        <w:rPr>
          <w:rFonts w:ascii="Arial" w:hAnsi="Arial" w:cs="Arial"/>
          <w:sz w:val="22"/>
          <w:szCs w:val="22"/>
          <w:lang w:val="es"/>
        </w:rPr>
        <w:t>,</w:t>
      </w:r>
      <w:r w:rsidR="00654F47" w:rsidRPr="00AA09DE">
        <w:rPr>
          <w:rFonts w:ascii="Arial" w:hAnsi="Arial" w:cs="Arial"/>
          <w:sz w:val="22"/>
          <w:szCs w:val="22"/>
          <w:lang w:val="es"/>
        </w:rPr>
        <w:t>000</w:t>
      </w:r>
      <w:bookmarkEnd w:id="6"/>
      <w:r w:rsidR="00654F47" w:rsidRPr="00AA09DE">
        <w:rPr>
          <w:rFonts w:ascii="Arial" w:hAnsi="Arial" w:cs="Arial"/>
          <w:sz w:val="22"/>
          <w:szCs w:val="22"/>
          <w:lang w:val="es"/>
        </w:rPr>
        <w:t>. Las actividades de esta CT serán financiad</w:t>
      </w:r>
      <w:r w:rsidR="00D07611" w:rsidRPr="00AA09DE">
        <w:rPr>
          <w:rFonts w:ascii="Arial" w:hAnsi="Arial" w:cs="Arial"/>
          <w:sz w:val="22"/>
          <w:szCs w:val="22"/>
          <w:lang w:val="es"/>
        </w:rPr>
        <w:t>a</w:t>
      </w:r>
      <w:r w:rsidR="00654F47" w:rsidRPr="00AA09DE">
        <w:rPr>
          <w:rFonts w:ascii="Arial" w:hAnsi="Arial" w:cs="Arial"/>
          <w:sz w:val="22"/>
          <w:szCs w:val="22"/>
          <w:lang w:val="es"/>
        </w:rPr>
        <w:t>s con recursos</w:t>
      </w:r>
      <w:r w:rsidR="00D07611" w:rsidRPr="00AA09DE">
        <w:rPr>
          <w:rFonts w:ascii="Arial" w:hAnsi="Arial" w:cs="Arial"/>
          <w:sz w:val="22"/>
          <w:szCs w:val="22"/>
          <w:lang w:val="es"/>
        </w:rPr>
        <w:t xml:space="preserve"> de</w:t>
      </w:r>
      <w:r w:rsidR="00AA09DE" w:rsidRPr="00AA09DE">
        <w:rPr>
          <w:rFonts w:ascii="Arial" w:hAnsi="Arial" w:cs="Arial"/>
          <w:sz w:val="22"/>
          <w:szCs w:val="22"/>
          <w:lang w:val="es"/>
        </w:rPr>
        <w:t xml:space="preserve"> </w:t>
      </w:r>
      <w:r w:rsidR="00654F47" w:rsidRPr="00AA09DE">
        <w:rPr>
          <w:rFonts w:ascii="Arial" w:hAnsi="Arial" w:cs="Arial"/>
          <w:sz w:val="22"/>
          <w:szCs w:val="22"/>
          <w:lang w:val="es"/>
        </w:rPr>
        <w:t>LAIF.</w:t>
      </w:r>
      <w:r w:rsidR="00F208A9">
        <w:rPr>
          <w:rFonts w:ascii="Arial" w:hAnsi="Arial" w:cs="Arial"/>
          <w:sz w:val="22"/>
          <w:szCs w:val="22"/>
          <w:lang w:val="es"/>
        </w:rPr>
        <w:t xml:space="preserve"> No se contará con contrapartida local.</w:t>
      </w:r>
    </w:p>
    <w:p w14:paraId="38FD6675" w14:textId="28527E68" w:rsidR="00D07611" w:rsidRPr="00D07611" w:rsidRDefault="00D07611" w:rsidP="002049DE">
      <w:pPr>
        <w:spacing w:after="120" w:line="240" w:lineRule="auto"/>
        <w:jc w:val="both"/>
        <w:rPr>
          <w:rFonts w:ascii="Arial" w:hAnsi="Arial" w:cs="Arial"/>
          <w:b/>
          <w:lang w:val="es-ES"/>
        </w:rPr>
      </w:pPr>
      <w:r w:rsidRPr="00D07611">
        <w:rPr>
          <w:rFonts w:ascii="Arial" w:hAnsi="Arial" w:cs="Arial"/>
          <w:b/>
          <w:lang w:val="es-ES"/>
        </w:rPr>
        <w:t>Presupuesto Indicativo</w:t>
      </w:r>
      <w:r w:rsidR="00E94DAA">
        <w:rPr>
          <w:rFonts w:ascii="Arial" w:hAnsi="Arial" w:cs="Arial"/>
          <w:b/>
          <w:lang w:val="es-ES"/>
        </w:rPr>
        <w:t xml:space="preserve"> (US$)</w:t>
      </w:r>
    </w:p>
    <w:tbl>
      <w:tblPr>
        <w:tblStyle w:val="TableGrid"/>
        <w:tblW w:w="8475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848"/>
        <w:gridCol w:w="1737"/>
        <w:gridCol w:w="1890"/>
      </w:tblGrid>
      <w:tr w:rsidR="00F64B11" w:rsidRPr="00D07611" w14:paraId="1F096E0D" w14:textId="77777777" w:rsidTr="00F64B11">
        <w:tc>
          <w:tcPr>
            <w:tcW w:w="4848" w:type="dxa"/>
            <w:vAlign w:val="center"/>
          </w:tcPr>
          <w:p w14:paraId="6C5066E6" w14:textId="77777777" w:rsidR="00F64B11" w:rsidRPr="00AA09DE" w:rsidRDefault="00F64B11" w:rsidP="002049DE">
            <w:pPr>
              <w:pStyle w:val="ListParagraph"/>
              <w:ind w:left="0"/>
              <w:contextualSpacing w:val="0"/>
              <w:jc w:val="both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AA09DE">
              <w:rPr>
                <w:rFonts w:ascii="Arial" w:hAnsi="Arial" w:cs="Arial"/>
                <w:b/>
                <w:sz w:val="20"/>
                <w:szCs w:val="20"/>
                <w:lang w:val="es-ES"/>
              </w:rPr>
              <w:t>Actividad/ Componente</w:t>
            </w:r>
          </w:p>
        </w:tc>
        <w:tc>
          <w:tcPr>
            <w:tcW w:w="1737" w:type="dxa"/>
          </w:tcPr>
          <w:p w14:paraId="6777DE0C" w14:textId="4F41F20D" w:rsidR="00F64B11" w:rsidRPr="00AA09DE" w:rsidRDefault="00F64B11" w:rsidP="002049DE">
            <w:pPr>
              <w:pStyle w:val="ListParagraph"/>
              <w:ind w:left="0"/>
              <w:contextualSpacing w:val="0"/>
              <w:jc w:val="both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ES"/>
              </w:rPr>
              <w:t>BID-LAIF</w:t>
            </w:r>
          </w:p>
        </w:tc>
        <w:tc>
          <w:tcPr>
            <w:tcW w:w="1890" w:type="dxa"/>
            <w:vAlign w:val="center"/>
          </w:tcPr>
          <w:p w14:paraId="647CB3C5" w14:textId="6DAED6EB" w:rsidR="00F64B11" w:rsidRPr="00AA09DE" w:rsidRDefault="00F64B11" w:rsidP="002049DE">
            <w:pPr>
              <w:pStyle w:val="ListParagraph"/>
              <w:ind w:left="0"/>
              <w:contextualSpacing w:val="0"/>
              <w:jc w:val="both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AA09DE">
              <w:rPr>
                <w:rFonts w:ascii="Arial" w:hAnsi="Arial" w:cs="Arial"/>
                <w:b/>
                <w:sz w:val="20"/>
                <w:szCs w:val="20"/>
                <w:lang w:val="es-ES"/>
              </w:rPr>
              <w:t>Total</w:t>
            </w:r>
          </w:p>
        </w:tc>
      </w:tr>
      <w:tr w:rsidR="00F64B11" w:rsidRPr="00B509AF" w14:paraId="5BB2CBBE" w14:textId="77777777" w:rsidTr="00F64B11">
        <w:tc>
          <w:tcPr>
            <w:tcW w:w="4848" w:type="dxa"/>
            <w:vAlign w:val="center"/>
          </w:tcPr>
          <w:p w14:paraId="47CFA843" w14:textId="2E833A3E" w:rsidR="00F64B11" w:rsidRPr="00AA09DE" w:rsidRDefault="00F64B11" w:rsidP="002049DE">
            <w:pPr>
              <w:pStyle w:val="ListParagraph"/>
              <w:ind w:left="0"/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AA09DE">
              <w:rPr>
                <w:rFonts w:ascii="Arial" w:hAnsi="Arial" w:cs="Arial"/>
                <w:sz w:val="20"/>
                <w:szCs w:val="20"/>
                <w:lang w:val="es-ES"/>
              </w:rPr>
              <w:t>Componente I. Apoyo al desarrollo de sistemas de información para planificar inversiones y apoyo a servicios</w:t>
            </w:r>
          </w:p>
        </w:tc>
        <w:tc>
          <w:tcPr>
            <w:tcW w:w="1737" w:type="dxa"/>
            <w:vAlign w:val="center"/>
          </w:tcPr>
          <w:p w14:paraId="7C137AEB" w14:textId="6AD946DC" w:rsidR="00F64B11" w:rsidRPr="00AA09DE" w:rsidDel="00F208A9" w:rsidRDefault="00F64B11" w:rsidP="002049DE">
            <w:pPr>
              <w:pStyle w:val="ListParagraph"/>
              <w:ind w:left="0"/>
              <w:contextualSpacing w:val="0"/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sz w:val="20"/>
                <w:szCs w:val="20"/>
                <w:lang w:val="es-ES"/>
              </w:rPr>
              <w:t>120.000</w:t>
            </w:r>
          </w:p>
        </w:tc>
        <w:tc>
          <w:tcPr>
            <w:tcW w:w="1890" w:type="dxa"/>
            <w:vAlign w:val="center"/>
          </w:tcPr>
          <w:p w14:paraId="244A913E" w14:textId="2C804635" w:rsidR="00F64B11" w:rsidRPr="00AA09DE" w:rsidRDefault="00F64B11" w:rsidP="002049DE">
            <w:pPr>
              <w:pStyle w:val="ListParagraph"/>
              <w:ind w:left="0"/>
              <w:contextualSpacing w:val="0"/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sz w:val="20"/>
                <w:szCs w:val="20"/>
                <w:lang w:val="es-ES"/>
              </w:rPr>
              <w:t>120</w:t>
            </w:r>
            <w:r w:rsidRPr="00AA09DE">
              <w:rPr>
                <w:rFonts w:ascii="Arial" w:hAnsi="Arial" w:cs="Arial"/>
                <w:sz w:val="20"/>
                <w:szCs w:val="20"/>
                <w:lang w:val="es-ES"/>
              </w:rPr>
              <w:t>.000</w:t>
            </w:r>
          </w:p>
        </w:tc>
      </w:tr>
      <w:tr w:rsidR="00F64B11" w:rsidRPr="00B509AF" w14:paraId="24754DE7" w14:textId="77777777" w:rsidTr="00F64B11">
        <w:tc>
          <w:tcPr>
            <w:tcW w:w="4848" w:type="dxa"/>
            <w:vAlign w:val="center"/>
          </w:tcPr>
          <w:p w14:paraId="753F1827" w14:textId="009CEBB7" w:rsidR="00F64B11" w:rsidRPr="00AA09DE" w:rsidRDefault="00F64B11" w:rsidP="002049DE">
            <w:pPr>
              <w:pStyle w:val="ListParagraph"/>
              <w:ind w:left="0"/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AA09DE">
              <w:rPr>
                <w:rFonts w:ascii="Arial" w:hAnsi="Arial" w:cs="Arial"/>
                <w:sz w:val="20"/>
                <w:szCs w:val="20"/>
                <w:lang w:val="es-ES"/>
              </w:rPr>
              <w:t>Componente II. Sistematización de experiencias</w:t>
            </w:r>
            <w:r>
              <w:rPr>
                <w:rFonts w:ascii="Arial" w:hAnsi="Arial" w:cs="Arial"/>
                <w:sz w:val="20"/>
                <w:szCs w:val="20"/>
                <w:lang w:val="es-ES"/>
              </w:rPr>
              <w:t xml:space="preserve"> y desarrollo de estrategias para orientar futuras operaciones rurales</w:t>
            </w:r>
            <w:r w:rsidRPr="00AA09DE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</w:p>
        </w:tc>
        <w:tc>
          <w:tcPr>
            <w:tcW w:w="1737" w:type="dxa"/>
            <w:vAlign w:val="center"/>
          </w:tcPr>
          <w:p w14:paraId="7433B4E8" w14:textId="105D212D" w:rsidR="00F64B11" w:rsidRPr="00AA09DE" w:rsidDel="00F208A9" w:rsidRDefault="00F64B11" w:rsidP="002049DE">
            <w:pPr>
              <w:pStyle w:val="ListParagraph"/>
              <w:ind w:left="0"/>
              <w:contextualSpacing w:val="0"/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sz w:val="20"/>
                <w:szCs w:val="20"/>
                <w:lang w:val="es-ES"/>
              </w:rPr>
              <w:t>80</w:t>
            </w:r>
            <w:r w:rsidR="00FA701B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  <w:r>
              <w:rPr>
                <w:rFonts w:ascii="Arial" w:hAnsi="Arial" w:cs="Arial"/>
                <w:sz w:val="20"/>
                <w:szCs w:val="20"/>
                <w:lang w:val="es-ES"/>
              </w:rPr>
              <w:t>000</w:t>
            </w:r>
          </w:p>
        </w:tc>
        <w:tc>
          <w:tcPr>
            <w:tcW w:w="1890" w:type="dxa"/>
            <w:vAlign w:val="center"/>
          </w:tcPr>
          <w:p w14:paraId="10944DB2" w14:textId="6DE47BD5" w:rsidR="00F64B11" w:rsidRPr="00AA09DE" w:rsidRDefault="00F64B11" w:rsidP="002049DE">
            <w:pPr>
              <w:pStyle w:val="ListParagraph"/>
              <w:ind w:left="0"/>
              <w:contextualSpacing w:val="0"/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sz w:val="20"/>
                <w:szCs w:val="20"/>
                <w:lang w:val="es-ES"/>
              </w:rPr>
              <w:t>80</w:t>
            </w:r>
            <w:r w:rsidRPr="00AA09DE">
              <w:rPr>
                <w:rFonts w:ascii="Arial" w:hAnsi="Arial" w:cs="Arial"/>
                <w:sz w:val="20"/>
                <w:szCs w:val="20"/>
                <w:lang w:val="es-ES"/>
              </w:rPr>
              <w:t>.000</w:t>
            </w:r>
          </w:p>
        </w:tc>
      </w:tr>
      <w:tr w:rsidR="00F64B11" w:rsidRPr="00B509AF" w14:paraId="21FF0FB7" w14:textId="77777777" w:rsidTr="00F64B11">
        <w:tc>
          <w:tcPr>
            <w:tcW w:w="4848" w:type="dxa"/>
            <w:vAlign w:val="center"/>
          </w:tcPr>
          <w:p w14:paraId="025BA95A" w14:textId="604CA892" w:rsidR="00F64B11" w:rsidRPr="00AA09DE" w:rsidRDefault="00F64B11" w:rsidP="002049DE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AA09DE">
              <w:rPr>
                <w:rFonts w:ascii="Arial" w:hAnsi="Arial" w:cs="Arial"/>
                <w:sz w:val="20"/>
                <w:szCs w:val="20"/>
                <w:lang w:val="es-ES"/>
              </w:rPr>
              <w:t>Componente I</w:t>
            </w:r>
            <w:r>
              <w:rPr>
                <w:rFonts w:ascii="Arial" w:hAnsi="Arial" w:cs="Arial"/>
                <w:sz w:val="20"/>
                <w:szCs w:val="20"/>
                <w:lang w:val="es-ES"/>
              </w:rPr>
              <w:t>II</w:t>
            </w:r>
            <w:r w:rsidRPr="00AA09DE">
              <w:rPr>
                <w:rFonts w:ascii="Arial" w:hAnsi="Arial" w:cs="Arial"/>
                <w:sz w:val="20"/>
                <w:szCs w:val="20"/>
                <w:lang w:val="es-ES"/>
              </w:rPr>
              <w:t>. Apoyo a operaciones rurales</w:t>
            </w:r>
          </w:p>
        </w:tc>
        <w:tc>
          <w:tcPr>
            <w:tcW w:w="1737" w:type="dxa"/>
            <w:vAlign w:val="center"/>
          </w:tcPr>
          <w:p w14:paraId="7AA2D194" w14:textId="3EDBB211" w:rsidR="00F64B11" w:rsidRPr="00AA09DE" w:rsidDel="00F208A9" w:rsidRDefault="00F64B11" w:rsidP="002049DE">
            <w:pPr>
              <w:pStyle w:val="ListParagraph"/>
              <w:ind w:left="0"/>
              <w:contextualSpacing w:val="0"/>
              <w:jc w:val="both"/>
              <w:rPr>
                <w:rFonts w:ascii="Arial" w:hAnsi="Arial" w:cs="Arial"/>
                <w:sz w:val="20"/>
                <w:szCs w:val="20"/>
                <w:lang w:val="es"/>
              </w:rPr>
            </w:pPr>
            <w:r>
              <w:rPr>
                <w:rFonts w:ascii="Arial" w:hAnsi="Arial" w:cs="Arial"/>
                <w:sz w:val="20"/>
                <w:szCs w:val="20"/>
                <w:lang w:val="es"/>
              </w:rPr>
              <w:t>80.000</w:t>
            </w:r>
          </w:p>
        </w:tc>
        <w:tc>
          <w:tcPr>
            <w:tcW w:w="1890" w:type="dxa"/>
            <w:vAlign w:val="center"/>
          </w:tcPr>
          <w:p w14:paraId="0B5A4B15" w14:textId="0D4B109E" w:rsidR="00F64B11" w:rsidRPr="00AA09DE" w:rsidRDefault="00F64B11" w:rsidP="002049DE">
            <w:pPr>
              <w:pStyle w:val="ListParagraph"/>
              <w:ind w:left="0"/>
              <w:contextualSpacing w:val="0"/>
              <w:jc w:val="both"/>
              <w:rPr>
                <w:rFonts w:ascii="Arial" w:hAnsi="Arial" w:cs="Arial"/>
                <w:sz w:val="20"/>
                <w:szCs w:val="20"/>
                <w:lang w:val="es"/>
              </w:rPr>
            </w:pPr>
            <w:r>
              <w:rPr>
                <w:rFonts w:ascii="Arial" w:hAnsi="Arial" w:cs="Arial"/>
                <w:sz w:val="20"/>
                <w:szCs w:val="20"/>
                <w:lang w:val="es"/>
              </w:rPr>
              <w:t>80</w:t>
            </w:r>
            <w:r w:rsidRPr="00AA09DE">
              <w:rPr>
                <w:rFonts w:ascii="Arial" w:hAnsi="Arial" w:cs="Arial"/>
                <w:sz w:val="20"/>
                <w:szCs w:val="20"/>
                <w:lang w:val="es"/>
              </w:rPr>
              <w:t>.000</w:t>
            </w:r>
          </w:p>
        </w:tc>
      </w:tr>
      <w:tr w:rsidR="00F64B11" w:rsidRPr="00F208A9" w14:paraId="10452D67" w14:textId="77777777" w:rsidTr="00F64B11">
        <w:tc>
          <w:tcPr>
            <w:tcW w:w="4848" w:type="dxa"/>
            <w:vAlign w:val="center"/>
          </w:tcPr>
          <w:p w14:paraId="32945FAA" w14:textId="6E5178CF" w:rsidR="00F64B11" w:rsidRPr="00AA09DE" w:rsidRDefault="00F64B11" w:rsidP="002049DE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sz w:val="20"/>
                <w:szCs w:val="20"/>
                <w:lang w:val="es-ES"/>
              </w:rPr>
              <w:t>Componente IV. Desarrollo y difusión del conocimiento</w:t>
            </w:r>
          </w:p>
        </w:tc>
        <w:tc>
          <w:tcPr>
            <w:tcW w:w="1737" w:type="dxa"/>
            <w:vAlign w:val="center"/>
          </w:tcPr>
          <w:p w14:paraId="1C96B02C" w14:textId="326D5B86" w:rsidR="00F64B11" w:rsidRPr="00AA09DE" w:rsidRDefault="00F64B11" w:rsidP="002049DE">
            <w:pPr>
              <w:pStyle w:val="ListParagraph"/>
              <w:ind w:left="0"/>
              <w:contextualSpacing w:val="0"/>
              <w:jc w:val="both"/>
              <w:rPr>
                <w:rFonts w:ascii="Arial" w:hAnsi="Arial" w:cs="Arial"/>
                <w:sz w:val="20"/>
                <w:szCs w:val="20"/>
                <w:lang w:val="es"/>
              </w:rPr>
            </w:pPr>
            <w:r>
              <w:rPr>
                <w:rFonts w:ascii="Arial" w:hAnsi="Arial" w:cs="Arial"/>
                <w:sz w:val="20"/>
                <w:szCs w:val="20"/>
                <w:lang w:val="es"/>
              </w:rPr>
              <w:t>20</w:t>
            </w:r>
            <w:r w:rsidR="00FA701B">
              <w:rPr>
                <w:rFonts w:ascii="Arial" w:hAnsi="Arial" w:cs="Arial"/>
                <w:sz w:val="20"/>
                <w:szCs w:val="20"/>
                <w:lang w:val="es"/>
              </w:rPr>
              <w:t>.</w:t>
            </w:r>
            <w:r>
              <w:rPr>
                <w:rFonts w:ascii="Arial" w:hAnsi="Arial" w:cs="Arial"/>
                <w:sz w:val="20"/>
                <w:szCs w:val="20"/>
                <w:lang w:val="es"/>
              </w:rPr>
              <w:t>000</w:t>
            </w:r>
          </w:p>
        </w:tc>
        <w:tc>
          <w:tcPr>
            <w:tcW w:w="1890" w:type="dxa"/>
            <w:vAlign w:val="center"/>
          </w:tcPr>
          <w:p w14:paraId="619AF210" w14:textId="4191F124" w:rsidR="00F64B11" w:rsidRPr="00AA09DE" w:rsidRDefault="00F64B11" w:rsidP="002049DE">
            <w:pPr>
              <w:pStyle w:val="ListParagraph"/>
              <w:ind w:left="0"/>
              <w:contextualSpacing w:val="0"/>
              <w:jc w:val="both"/>
              <w:rPr>
                <w:rFonts w:ascii="Arial" w:hAnsi="Arial" w:cs="Arial"/>
                <w:sz w:val="20"/>
                <w:szCs w:val="20"/>
                <w:lang w:val="es"/>
              </w:rPr>
            </w:pPr>
            <w:r>
              <w:rPr>
                <w:rFonts w:ascii="Arial" w:hAnsi="Arial" w:cs="Arial"/>
                <w:sz w:val="20"/>
                <w:szCs w:val="20"/>
                <w:lang w:val="es"/>
              </w:rPr>
              <w:t>20.000</w:t>
            </w:r>
          </w:p>
        </w:tc>
      </w:tr>
      <w:tr w:rsidR="00F64B11" w:rsidRPr="00B509AF" w14:paraId="1C588CA1" w14:textId="77777777" w:rsidTr="00F64B11">
        <w:trPr>
          <w:trHeight w:val="50"/>
        </w:trPr>
        <w:tc>
          <w:tcPr>
            <w:tcW w:w="4848" w:type="dxa"/>
            <w:vAlign w:val="center"/>
          </w:tcPr>
          <w:p w14:paraId="75444576" w14:textId="77777777" w:rsidR="00F64B11" w:rsidRPr="00AA09DE" w:rsidRDefault="00F64B11" w:rsidP="002049DE">
            <w:pPr>
              <w:pStyle w:val="ListParagraph"/>
              <w:ind w:left="0"/>
              <w:contextualSpacing w:val="0"/>
              <w:jc w:val="both"/>
              <w:rPr>
                <w:rFonts w:ascii="Arial" w:hAnsi="Arial" w:cs="Arial"/>
                <w:b/>
                <w:sz w:val="20"/>
                <w:szCs w:val="20"/>
                <w:lang w:val="es"/>
              </w:rPr>
            </w:pPr>
            <w:r w:rsidRPr="00AA09DE">
              <w:rPr>
                <w:rFonts w:ascii="Arial" w:hAnsi="Arial" w:cs="Arial"/>
                <w:b/>
                <w:sz w:val="20"/>
                <w:szCs w:val="20"/>
                <w:lang w:val="es-ES"/>
              </w:rPr>
              <w:t>TOTAL</w:t>
            </w:r>
          </w:p>
        </w:tc>
        <w:tc>
          <w:tcPr>
            <w:tcW w:w="1737" w:type="dxa"/>
            <w:vAlign w:val="center"/>
          </w:tcPr>
          <w:p w14:paraId="51662FA7" w14:textId="2803DA7F" w:rsidR="00F64B11" w:rsidRPr="00AA09DE" w:rsidDel="00F208A9" w:rsidRDefault="00F64B11" w:rsidP="002049DE">
            <w:pPr>
              <w:pStyle w:val="ListParagraph"/>
              <w:ind w:left="0"/>
              <w:contextualSpacing w:val="0"/>
              <w:jc w:val="both"/>
              <w:rPr>
                <w:rFonts w:ascii="Arial" w:hAnsi="Arial" w:cs="Arial"/>
                <w:b/>
                <w:sz w:val="20"/>
                <w:szCs w:val="20"/>
                <w:lang w:val="e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"/>
              </w:rPr>
              <w:t>300.000</w:t>
            </w:r>
          </w:p>
        </w:tc>
        <w:tc>
          <w:tcPr>
            <w:tcW w:w="1890" w:type="dxa"/>
            <w:vAlign w:val="center"/>
          </w:tcPr>
          <w:p w14:paraId="5FBE232E" w14:textId="2EE9AF28" w:rsidR="00F64B11" w:rsidRPr="00AA09DE" w:rsidRDefault="00F64B11" w:rsidP="002049DE">
            <w:pPr>
              <w:pStyle w:val="ListParagraph"/>
              <w:ind w:left="0"/>
              <w:contextualSpacing w:val="0"/>
              <w:jc w:val="both"/>
              <w:rPr>
                <w:rFonts w:ascii="Arial" w:hAnsi="Arial" w:cs="Arial"/>
                <w:b/>
                <w:sz w:val="20"/>
                <w:szCs w:val="20"/>
                <w:lang w:val="e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"/>
              </w:rPr>
              <w:t>3</w:t>
            </w:r>
            <w:r w:rsidRPr="00AA09DE">
              <w:rPr>
                <w:rFonts w:ascii="Arial" w:hAnsi="Arial" w:cs="Arial"/>
                <w:b/>
                <w:sz w:val="20"/>
                <w:szCs w:val="20"/>
                <w:lang w:val="es"/>
              </w:rPr>
              <w:t>00.000</w:t>
            </w:r>
          </w:p>
        </w:tc>
      </w:tr>
    </w:tbl>
    <w:p w14:paraId="0CA73FB4" w14:textId="77777777" w:rsidR="00F43576" w:rsidRDefault="00F43576" w:rsidP="002049DE">
      <w:pPr>
        <w:spacing w:after="120" w:line="240" w:lineRule="auto"/>
        <w:jc w:val="both"/>
        <w:rPr>
          <w:rFonts w:ascii="Arial" w:hAnsi="Arial" w:cs="Arial"/>
          <w:b/>
          <w:lang w:val="es-ES"/>
        </w:rPr>
      </w:pPr>
      <w:bookmarkStart w:id="7" w:name="_Hlk523410496"/>
    </w:p>
    <w:p w14:paraId="2C0E69CE" w14:textId="10DD990C" w:rsidR="0095711B" w:rsidRPr="009E39BA" w:rsidRDefault="00944D7A" w:rsidP="002049DE">
      <w:pPr>
        <w:pStyle w:val="ListParagraph"/>
        <w:numPr>
          <w:ilvl w:val="0"/>
          <w:numId w:val="5"/>
        </w:numPr>
        <w:spacing w:after="120" w:line="240" w:lineRule="auto"/>
        <w:contextualSpacing w:val="0"/>
        <w:jc w:val="both"/>
        <w:rPr>
          <w:rFonts w:ascii="Arial" w:hAnsi="Arial" w:cs="Arial"/>
          <w:b/>
          <w:lang w:val="es-ES"/>
        </w:rPr>
      </w:pPr>
      <w:r w:rsidRPr="009F744D">
        <w:rPr>
          <w:rFonts w:ascii="Arial" w:hAnsi="Arial" w:cs="Arial"/>
          <w:b/>
          <w:lang w:val="es-ES"/>
        </w:rPr>
        <w:t xml:space="preserve">Agencia Ejecutora y estructura de </w:t>
      </w:r>
      <w:r w:rsidR="00A139E6" w:rsidRPr="009F744D">
        <w:rPr>
          <w:rFonts w:ascii="Arial" w:hAnsi="Arial" w:cs="Arial"/>
          <w:b/>
          <w:lang w:val="es-ES"/>
        </w:rPr>
        <w:t>ejecución</w:t>
      </w:r>
      <w:r w:rsidR="009E39BA" w:rsidRPr="009F744D">
        <w:rPr>
          <w:rFonts w:ascii="Arial" w:hAnsi="Arial" w:cs="Arial"/>
          <w:b/>
          <w:lang w:val="es-ES"/>
        </w:rPr>
        <w:t xml:space="preserve"> </w:t>
      </w:r>
    </w:p>
    <w:p w14:paraId="355A7405" w14:textId="6833139C" w:rsidR="003947D4" w:rsidRPr="00E94DAA" w:rsidRDefault="00707676" w:rsidP="002049DE">
      <w:pPr>
        <w:pStyle w:val="BodyText"/>
        <w:numPr>
          <w:ilvl w:val="1"/>
          <w:numId w:val="5"/>
        </w:numPr>
        <w:ind w:left="360" w:hanging="502"/>
        <w:jc w:val="both"/>
        <w:textAlignment w:val="auto"/>
        <w:rPr>
          <w:rFonts w:ascii="Arial" w:hAnsi="Arial" w:cs="Arial"/>
          <w:sz w:val="22"/>
          <w:szCs w:val="22"/>
          <w:lang w:val="es"/>
        </w:rPr>
      </w:pPr>
      <w:r w:rsidRPr="00E94DAA">
        <w:rPr>
          <w:rFonts w:ascii="Arial" w:hAnsi="Arial" w:cs="Arial"/>
          <w:sz w:val="22"/>
          <w:szCs w:val="22"/>
          <w:lang w:val="es"/>
        </w:rPr>
        <w:t xml:space="preserve">La División de Agua y Saneamiento </w:t>
      </w:r>
      <w:r w:rsidR="00EC0A2A" w:rsidRPr="00E94DAA">
        <w:rPr>
          <w:rFonts w:ascii="Arial" w:hAnsi="Arial" w:cs="Arial"/>
          <w:sz w:val="22"/>
          <w:szCs w:val="22"/>
          <w:lang w:val="es"/>
        </w:rPr>
        <w:t>(INE/WSA)</w:t>
      </w:r>
      <w:r w:rsidRPr="00E94DAA">
        <w:rPr>
          <w:rFonts w:ascii="Arial" w:hAnsi="Arial" w:cs="Arial"/>
          <w:sz w:val="22"/>
          <w:szCs w:val="22"/>
          <w:lang w:val="es"/>
        </w:rPr>
        <w:t xml:space="preserve"> del BID</w:t>
      </w:r>
      <w:r w:rsidR="00EC0A2A" w:rsidRPr="00E94DAA">
        <w:rPr>
          <w:rFonts w:ascii="Arial" w:hAnsi="Arial" w:cs="Arial"/>
          <w:sz w:val="22"/>
          <w:szCs w:val="22"/>
          <w:lang w:val="es"/>
        </w:rPr>
        <w:t xml:space="preserve"> será responsable </w:t>
      </w:r>
      <w:r w:rsidR="00D7148C" w:rsidRPr="00E94DAA">
        <w:rPr>
          <w:rFonts w:ascii="Arial" w:hAnsi="Arial" w:cs="Arial"/>
          <w:sz w:val="22"/>
          <w:szCs w:val="22"/>
          <w:lang w:val="es"/>
        </w:rPr>
        <w:t>de</w:t>
      </w:r>
      <w:r w:rsidR="00EC0A2A" w:rsidRPr="00E94DAA">
        <w:rPr>
          <w:rFonts w:ascii="Arial" w:hAnsi="Arial" w:cs="Arial"/>
          <w:sz w:val="22"/>
          <w:szCs w:val="22"/>
          <w:lang w:val="es"/>
        </w:rPr>
        <w:t xml:space="preserve"> la </w:t>
      </w:r>
      <w:r w:rsidR="00AA09DE" w:rsidRPr="00E94DAA">
        <w:rPr>
          <w:rFonts w:ascii="Arial" w:hAnsi="Arial" w:cs="Arial"/>
          <w:sz w:val="22"/>
          <w:szCs w:val="22"/>
          <w:lang w:val="es"/>
        </w:rPr>
        <w:t>ejecución</w:t>
      </w:r>
      <w:r w:rsidR="00EC0A2A" w:rsidRPr="00E94DAA">
        <w:rPr>
          <w:rFonts w:ascii="Arial" w:hAnsi="Arial" w:cs="Arial"/>
          <w:sz w:val="22"/>
          <w:szCs w:val="22"/>
          <w:lang w:val="es"/>
        </w:rPr>
        <w:t xml:space="preserve"> de esta CT con el apoyo técnico de las diferentes instituciones sectoriales de los países a ser beneficiados. INE/WSA supervisará y coordinará las actividades previstas a través del equipo de proyecto</w:t>
      </w:r>
      <w:r w:rsidRPr="00E94DAA">
        <w:rPr>
          <w:rFonts w:ascii="Arial" w:hAnsi="Arial" w:cs="Arial"/>
          <w:sz w:val="22"/>
          <w:szCs w:val="22"/>
          <w:lang w:val="es"/>
        </w:rPr>
        <w:t xml:space="preserve"> y </w:t>
      </w:r>
      <w:r w:rsidR="00EC0A2A" w:rsidRPr="00E94DAA">
        <w:rPr>
          <w:rFonts w:ascii="Arial" w:hAnsi="Arial" w:cs="Arial"/>
          <w:sz w:val="22"/>
          <w:szCs w:val="22"/>
          <w:lang w:val="es"/>
        </w:rPr>
        <w:t xml:space="preserve">el apoyo de los especialistas </w:t>
      </w:r>
      <w:r w:rsidRPr="00E94DAA">
        <w:rPr>
          <w:rFonts w:ascii="Arial" w:hAnsi="Arial" w:cs="Arial"/>
          <w:sz w:val="22"/>
          <w:szCs w:val="22"/>
          <w:lang w:val="es"/>
        </w:rPr>
        <w:t xml:space="preserve">de la División en </w:t>
      </w:r>
      <w:r w:rsidR="00EC0A2A" w:rsidRPr="00E94DAA">
        <w:rPr>
          <w:rFonts w:ascii="Arial" w:hAnsi="Arial" w:cs="Arial"/>
          <w:sz w:val="22"/>
          <w:szCs w:val="22"/>
          <w:lang w:val="es"/>
        </w:rPr>
        <w:t xml:space="preserve">las </w:t>
      </w:r>
      <w:r w:rsidRPr="00E94DAA">
        <w:rPr>
          <w:rFonts w:ascii="Arial" w:hAnsi="Arial" w:cs="Arial"/>
          <w:sz w:val="22"/>
          <w:szCs w:val="22"/>
          <w:lang w:val="es"/>
        </w:rPr>
        <w:t>oficinas de país</w:t>
      </w:r>
      <w:r w:rsidR="00EC0A2A" w:rsidRPr="00E94DAA">
        <w:rPr>
          <w:rFonts w:ascii="Arial" w:hAnsi="Arial" w:cs="Arial"/>
          <w:sz w:val="22"/>
          <w:szCs w:val="22"/>
          <w:lang w:val="es"/>
        </w:rPr>
        <w:t xml:space="preserve">. </w:t>
      </w:r>
      <w:r w:rsidR="00AE6BE5" w:rsidRPr="00E94DAA">
        <w:rPr>
          <w:rFonts w:ascii="Arial" w:hAnsi="Arial" w:cs="Arial"/>
          <w:sz w:val="22"/>
          <w:szCs w:val="22"/>
          <w:lang w:val="es"/>
        </w:rPr>
        <w:t xml:space="preserve">Las contrataciones se realizarán de conformidad con lo establecido en las políticas de adquisiciones aplicables del BID. </w:t>
      </w:r>
    </w:p>
    <w:p w14:paraId="00947AB6" w14:textId="0DEE8149" w:rsidR="00991CB0" w:rsidRPr="00A06B61" w:rsidRDefault="00EC0A2A" w:rsidP="002049DE">
      <w:pPr>
        <w:pStyle w:val="BodyText"/>
        <w:numPr>
          <w:ilvl w:val="1"/>
          <w:numId w:val="5"/>
        </w:numPr>
        <w:ind w:left="360" w:hanging="502"/>
        <w:jc w:val="both"/>
        <w:textAlignment w:val="auto"/>
        <w:rPr>
          <w:rFonts w:ascii="Arial" w:hAnsi="Arial" w:cs="Arial"/>
          <w:sz w:val="22"/>
          <w:szCs w:val="22"/>
          <w:lang w:val="es-ES"/>
        </w:rPr>
      </w:pPr>
      <w:r w:rsidRPr="00BC390C">
        <w:rPr>
          <w:rFonts w:ascii="Arial" w:hAnsi="Arial" w:cs="Arial"/>
          <w:sz w:val="22"/>
          <w:szCs w:val="22"/>
          <w:lang w:val="es"/>
        </w:rPr>
        <w:t xml:space="preserve">El periodo de ejecución será </w:t>
      </w:r>
      <w:r w:rsidR="0025529C" w:rsidRPr="00BC390C">
        <w:rPr>
          <w:rFonts w:ascii="Arial" w:hAnsi="Arial" w:cs="Arial"/>
          <w:sz w:val="22"/>
          <w:szCs w:val="22"/>
          <w:lang w:val="es"/>
        </w:rPr>
        <w:t xml:space="preserve">máximo </w:t>
      </w:r>
      <w:r w:rsidRPr="00BC390C">
        <w:rPr>
          <w:rFonts w:ascii="Arial" w:hAnsi="Arial" w:cs="Arial"/>
          <w:sz w:val="22"/>
          <w:szCs w:val="22"/>
          <w:lang w:val="es"/>
        </w:rPr>
        <w:t xml:space="preserve">de </w:t>
      </w:r>
      <w:r w:rsidR="0098564A">
        <w:rPr>
          <w:rFonts w:ascii="Arial" w:hAnsi="Arial" w:cs="Arial"/>
          <w:sz w:val="22"/>
          <w:szCs w:val="22"/>
          <w:lang w:val="es"/>
        </w:rPr>
        <w:t xml:space="preserve">18 </w:t>
      </w:r>
      <w:r w:rsidRPr="00BC390C">
        <w:rPr>
          <w:rFonts w:ascii="Arial" w:eastAsia="Arial" w:hAnsi="Arial" w:cs="Arial"/>
          <w:sz w:val="22"/>
          <w:szCs w:val="22"/>
          <w:lang w:val="es-ES"/>
        </w:rPr>
        <w:t>meses</w:t>
      </w:r>
      <w:r w:rsidR="001A352A" w:rsidRPr="00BC390C">
        <w:rPr>
          <w:rStyle w:val="FootnoteReference"/>
          <w:rFonts w:ascii="Arial" w:eastAsia="Arial" w:hAnsi="Arial" w:cs="Arial"/>
          <w:sz w:val="22"/>
          <w:szCs w:val="22"/>
          <w:lang w:val="es-ES"/>
        </w:rPr>
        <w:footnoteReference w:id="10"/>
      </w:r>
      <w:r w:rsidR="00FA701B">
        <w:rPr>
          <w:rFonts w:ascii="Arial" w:eastAsia="Arial" w:hAnsi="Arial" w:cs="Arial"/>
          <w:sz w:val="22"/>
          <w:szCs w:val="22"/>
          <w:lang w:val="es-ES"/>
        </w:rPr>
        <w:t>.</w:t>
      </w:r>
      <w:r w:rsidRPr="00BC390C">
        <w:rPr>
          <w:rFonts w:ascii="Arial" w:eastAsia="Arial" w:hAnsi="Arial" w:cs="Arial"/>
          <w:sz w:val="22"/>
          <w:szCs w:val="22"/>
          <w:lang w:val="es-ES"/>
        </w:rPr>
        <w:t xml:space="preserve"> </w:t>
      </w:r>
    </w:p>
    <w:bookmarkEnd w:id="7"/>
    <w:p w14:paraId="2309C2C7" w14:textId="27710FD0" w:rsidR="0095711B" w:rsidRPr="009F744D" w:rsidRDefault="00707676" w:rsidP="002049DE">
      <w:pPr>
        <w:pStyle w:val="ListParagraph"/>
        <w:numPr>
          <w:ilvl w:val="0"/>
          <w:numId w:val="5"/>
        </w:numPr>
        <w:spacing w:after="120" w:line="240" w:lineRule="auto"/>
        <w:contextualSpacing w:val="0"/>
        <w:jc w:val="both"/>
        <w:rPr>
          <w:rFonts w:ascii="Arial" w:hAnsi="Arial" w:cs="Arial"/>
          <w:b/>
          <w:lang w:val="es-ES"/>
        </w:rPr>
      </w:pPr>
      <w:r>
        <w:rPr>
          <w:rFonts w:ascii="Arial" w:hAnsi="Arial" w:cs="Arial"/>
          <w:b/>
          <w:lang w:val="es-ES"/>
        </w:rPr>
        <w:t>Principales r</w:t>
      </w:r>
      <w:r w:rsidR="0023182E" w:rsidRPr="009F744D">
        <w:rPr>
          <w:rFonts w:ascii="Arial" w:hAnsi="Arial" w:cs="Arial"/>
          <w:b/>
          <w:lang w:val="es-ES"/>
        </w:rPr>
        <w:t xml:space="preserve">iesgos </w:t>
      </w:r>
      <w:bookmarkStart w:id="8" w:name="_Hlk523412705"/>
    </w:p>
    <w:bookmarkEnd w:id="8"/>
    <w:p w14:paraId="7F31D742" w14:textId="66EEFAEF" w:rsidR="009E39BA" w:rsidRPr="00E94DAA" w:rsidRDefault="00A25DF9" w:rsidP="002049DE">
      <w:pPr>
        <w:pStyle w:val="BodyText"/>
        <w:numPr>
          <w:ilvl w:val="1"/>
          <w:numId w:val="5"/>
        </w:numPr>
        <w:ind w:left="360" w:hanging="502"/>
        <w:jc w:val="both"/>
        <w:textAlignment w:val="auto"/>
        <w:rPr>
          <w:rFonts w:ascii="Arial" w:hAnsi="Arial" w:cs="Arial"/>
          <w:sz w:val="22"/>
          <w:szCs w:val="22"/>
          <w:lang w:val="es"/>
        </w:rPr>
      </w:pPr>
      <w:r w:rsidRPr="00E94DAA">
        <w:rPr>
          <w:rFonts w:ascii="Arial" w:hAnsi="Arial" w:cs="Arial"/>
          <w:sz w:val="22"/>
          <w:szCs w:val="22"/>
          <w:lang w:val="es"/>
        </w:rPr>
        <w:t xml:space="preserve">El principal riesgo asociado a la CT es la </w:t>
      </w:r>
      <w:r w:rsidR="00F43576" w:rsidRPr="00E94DAA">
        <w:rPr>
          <w:rFonts w:ascii="Arial" w:hAnsi="Arial" w:cs="Arial"/>
          <w:sz w:val="22"/>
          <w:szCs w:val="22"/>
          <w:lang w:val="es"/>
        </w:rPr>
        <w:t xml:space="preserve">capacidad de las entidades </w:t>
      </w:r>
      <w:r w:rsidR="00B32D2B" w:rsidRPr="00E94DAA">
        <w:rPr>
          <w:rFonts w:ascii="Arial" w:hAnsi="Arial" w:cs="Arial"/>
          <w:sz w:val="22"/>
          <w:szCs w:val="22"/>
          <w:lang w:val="es"/>
        </w:rPr>
        <w:t xml:space="preserve">locales de </w:t>
      </w:r>
      <w:r w:rsidR="0044125A" w:rsidRPr="00E94DAA">
        <w:rPr>
          <w:rFonts w:ascii="Arial" w:hAnsi="Arial" w:cs="Arial"/>
          <w:sz w:val="22"/>
          <w:szCs w:val="22"/>
          <w:lang w:val="es"/>
        </w:rPr>
        <w:t>integrar las orientaciones estratégicas desarrolladas</w:t>
      </w:r>
      <w:r w:rsidR="00AF5A26" w:rsidRPr="00E94DAA">
        <w:rPr>
          <w:rFonts w:ascii="Arial" w:hAnsi="Arial" w:cs="Arial"/>
          <w:sz w:val="22"/>
          <w:szCs w:val="22"/>
          <w:lang w:val="es"/>
        </w:rPr>
        <w:t xml:space="preserve"> con</w:t>
      </w:r>
      <w:r w:rsidR="0044125A" w:rsidRPr="00E94DAA">
        <w:rPr>
          <w:rFonts w:ascii="Arial" w:hAnsi="Arial" w:cs="Arial"/>
          <w:sz w:val="22"/>
          <w:szCs w:val="22"/>
          <w:lang w:val="es"/>
        </w:rPr>
        <w:t xml:space="preserve"> la CT dentro de nuevas operaciones</w:t>
      </w:r>
      <w:r w:rsidRPr="00E94DAA">
        <w:rPr>
          <w:rFonts w:ascii="Arial" w:hAnsi="Arial" w:cs="Arial"/>
          <w:sz w:val="22"/>
          <w:szCs w:val="22"/>
          <w:lang w:val="es"/>
        </w:rPr>
        <w:t>. Para mitigar estos riesgos</w:t>
      </w:r>
      <w:r w:rsidR="00AF5A26" w:rsidRPr="00E94DAA">
        <w:rPr>
          <w:rFonts w:ascii="Arial" w:hAnsi="Arial" w:cs="Arial"/>
          <w:sz w:val="22"/>
          <w:szCs w:val="22"/>
          <w:lang w:val="es"/>
        </w:rPr>
        <w:t xml:space="preserve"> es importante </w:t>
      </w:r>
      <w:r w:rsidR="00D7148C" w:rsidRPr="00E94DAA">
        <w:rPr>
          <w:rFonts w:ascii="Arial" w:hAnsi="Arial" w:cs="Arial"/>
          <w:sz w:val="22"/>
          <w:szCs w:val="22"/>
          <w:lang w:val="es"/>
        </w:rPr>
        <w:t xml:space="preserve">el acompañamiento cercano desde las oficinas de país, su implicación en el desarrollo </w:t>
      </w:r>
      <w:r w:rsidR="0025529C" w:rsidRPr="00E94DAA">
        <w:rPr>
          <w:rFonts w:ascii="Arial" w:hAnsi="Arial" w:cs="Arial"/>
          <w:sz w:val="22"/>
          <w:szCs w:val="22"/>
          <w:lang w:val="es"/>
        </w:rPr>
        <w:t xml:space="preserve">y difusión </w:t>
      </w:r>
      <w:r w:rsidR="00D7148C" w:rsidRPr="00E94DAA">
        <w:rPr>
          <w:rFonts w:ascii="Arial" w:hAnsi="Arial" w:cs="Arial"/>
          <w:sz w:val="22"/>
          <w:szCs w:val="22"/>
          <w:lang w:val="es"/>
        </w:rPr>
        <w:t>de los productos de esta CT</w:t>
      </w:r>
      <w:r w:rsidR="0025529C" w:rsidRPr="00E94DAA">
        <w:rPr>
          <w:rFonts w:ascii="Arial" w:hAnsi="Arial" w:cs="Arial"/>
          <w:sz w:val="22"/>
          <w:szCs w:val="22"/>
          <w:lang w:val="es"/>
        </w:rPr>
        <w:t>, así como en la implementación de las orientaciones desarrolladas y lecciones aprendidas en cada uno de los componentes</w:t>
      </w:r>
      <w:r w:rsidR="00D7148C" w:rsidRPr="00E94DAA">
        <w:rPr>
          <w:rFonts w:ascii="Arial" w:hAnsi="Arial" w:cs="Arial"/>
          <w:sz w:val="22"/>
          <w:szCs w:val="22"/>
          <w:lang w:val="es"/>
        </w:rPr>
        <w:t>.</w:t>
      </w:r>
    </w:p>
    <w:p w14:paraId="7E0F3CEC" w14:textId="7FD0B532" w:rsidR="00E94DAA" w:rsidRDefault="00E94DAA" w:rsidP="002049DE">
      <w:pPr>
        <w:pStyle w:val="ListParagraph"/>
        <w:numPr>
          <w:ilvl w:val="0"/>
          <w:numId w:val="5"/>
        </w:numPr>
        <w:spacing w:after="120" w:line="240" w:lineRule="auto"/>
        <w:contextualSpacing w:val="0"/>
        <w:jc w:val="both"/>
        <w:rPr>
          <w:rFonts w:ascii="Arial" w:hAnsi="Arial" w:cs="Arial"/>
          <w:b/>
          <w:lang w:val="es-ES"/>
        </w:rPr>
      </w:pPr>
      <w:r>
        <w:rPr>
          <w:rFonts w:ascii="Arial" w:hAnsi="Arial" w:cs="Arial"/>
          <w:b/>
          <w:lang w:val="es-ES"/>
        </w:rPr>
        <w:t>Excepciones a las políticas del Banco</w:t>
      </w:r>
    </w:p>
    <w:p w14:paraId="04C44DD5" w14:textId="2DBF8F3F" w:rsidR="00E94DAA" w:rsidRPr="00BC390C" w:rsidRDefault="00E94DAA" w:rsidP="002049DE">
      <w:pPr>
        <w:pStyle w:val="BodyText"/>
        <w:numPr>
          <w:ilvl w:val="1"/>
          <w:numId w:val="5"/>
        </w:numPr>
        <w:ind w:left="360" w:hanging="502"/>
        <w:jc w:val="both"/>
        <w:textAlignment w:val="auto"/>
        <w:rPr>
          <w:rFonts w:ascii="Arial" w:hAnsi="Arial" w:cs="Arial"/>
          <w:sz w:val="22"/>
          <w:szCs w:val="22"/>
          <w:lang w:val="es"/>
        </w:rPr>
      </w:pPr>
      <w:r w:rsidRPr="00E94DAA">
        <w:rPr>
          <w:rFonts w:ascii="Arial" w:hAnsi="Arial" w:cs="Arial"/>
          <w:sz w:val="22"/>
          <w:szCs w:val="22"/>
          <w:lang w:val="es"/>
        </w:rPr>
        <w:t>No hay excepciones a las pol</w:t>
      </w:r>
      <w:r>
        <w:rPr>
          <w:rFonts w:ascii="Arial" w:hAnsi="Arial" w:cs="Arial"/>
          <w:sz w:val="22"/>
          <w:szCs w:val="22"/>
          <w:lang w:val="es"/>
        </w:rPr>
        <w:t>í</w:t>
      </w:r>
      <w:r w:rsidRPr="00E94DAA">
        <w:rPr>
          <w:rFonts w:ascii="Arial" w:hAnsi="Arial" w:cs="Arial"/>
          <w:sz w:val="22"/>
          <w:szCs w:val="22"/>
          <w:lang w:val="es"/>
        </w:rPr>
        <w:t xml:space="preserve">ticas del Banco. </w:t>
      </w:r>
    </w:p>
    <w:p w14:paraId="76EADBFA" w14:textId="766ED249" w:rsidR="0095711B" w:rsidRPr="009F744D" w:rsidRDefault="00E94DAA" w:rsidP="002049DE">
      <w:pPr>
        <w:pStyle w:val="ListParagraph"/>
        <w:numPr>
          <w:ilvl w:val="0"/>
          <w:numId w:val="5"/>
        </w:numPr>
        <w:spacing w:before="120" w:after="120" w:line="240" w:lineRule="auto"/>
        <w:contextualSpacing w:val="0"/>
        <w:jc w:val="both"/>
        <w:rPr>
          <w:rFonts w:ascii="Arial" w:hAnsi="Arial" w:cs="Arial"/>
          <w:b/>
          <w:lang w:val="es-ES"/>
        </w:rPr>
      </w:pPr>
      <w:r>
        <w:rPr>
          <w:rFonts w:ascii="Arial" w:hAnsi="Arial" w:cs="Arial"/>
          <w:b/>
          <w:lang w:val="es-ES"/>
        </w:rPr>
        <w:t>Clasificación ambiental y social</w:t>
      </w:r>
      <w:r w:rsidR="00531E51" w:rsidRPr="009F744D">
        <w:rPr>
          <w:rFonts w:ascii="Arial" w:hAnsi="Arial" w:cs="Arial"/>
          <w:b/>
          <w:lang w:val="es-ES"/>
        </w:rPr>
        <w:t xml:space="preserve"> </w:t>
      </w:r>
    </w:p>
    <w:p w14:paraId="1D36B323" w14:textId="6EDE273D" w:rsidR="003F6C7D" w:rsidRPr="00901F7B" w:rsidRDefault="00A25DF9" w:rsidP="002049DE">
      <w:pPr>
        <w:pStyle w:val="BodyText"/>
        <w:numPr>
          <w:ilvl w:val="1"/>
          <w:numId w:val="5"/>
        </w:numPr>
        <w:ind w:left="360" w:hanging="502"/>
        <w:jc w:val="both"/>
        <w:textAlignment w:val="auto"/>
        <w:rPr>
          <w:rFonts w:ascii="Arial" w:hAnsi="Arial" w:cs="Arial"/>
          <w:sz w:val="22"/>
          <w:szCs w:val="22"/>
          <w:lang w:val="es"/>
        </w:rPr>
      </w:pPr>
      <w:r w:rsidRPr="00E94DAA">
        <w:rPr>
          <w:rFonts w:ascii="Arial" w:hAnsi="Arial" w:cs="Arial"/>
          <w:sz w:val="22"/>
          <w:szCs w:val="22"/>
          <w:lang w:val="es"/>
        </w:rPr>
        <w:t>Por su naturaleza, las actividades financiadas en esta operación no tendrán impactos ambientales o sociales negativos. Por el contrario, los proyectos a ser preparados con esta CT</w:t>
      </w:r>
      <w:r w:rsidR="001A352A" w:rsidRPr="00E94DAA">
        <w:rPr>
          <w:rFonts w:ascii="Arial" w:hAnsi="Arial" w:cs="Arial"/>
          <w:sz w:val="22"/>
          <w:szCs w:val="22"/>
          <w:lang w:val="es"/>
        </w:rPr>
        <w:t xml:space="preserve"> </w:t>
      </w:r>
      <w:r w:rsidRPr="00E94DAA">
        <w:rPr>
          <w:rFonts w:ascii="Arial" w:hAnsi="Arial" w:cs="Arial"/>
          <w:sz w:val="22"/>
          <w:szCs w:val="22"/>
          <w:lang w:val="es"/>
        </w:rPr>
        <w:t xml:space="preserve">tendrán impactos ambientales y sociales positivos, ya que el principal </w:t>
      </w:r>
      <w:r w:rsidRPr="00E94DAA">
        <w:rPr>
          <w:rFonts w:ascii="Arial" w:hAnsi="Arial" w:cs="Arial"/>
          <w:sz w:val="22"/>
          <w:szCs w:val="22"/>
          <w:lang w:val="es"/>
        </w:rPr>
        <w:lastRenderedPageBreak/>
        <w:t>beneficio de la ejecución de los proyectos está relacionado con una mejora en la calidad de vida de las personas beneficiadas por los proyectos</w:t>
      </w:r>
      <w:r w:rsidR="009E39BA" w:rsidRPr="00E94DAA">
        <w:rPr>
          <w:rFonts w:ascii="Arial" w:hAnsi="Arial" w:cs="Arial"/>
          <w:sz w:val="22"/>
          <w:szCs w:val="22"/>
          <w:lang w:val="es"/>
        </w:rPr>
        <w:t>. Esta CT recibe la clasificación “C”</w:t>
      </w:r>
      <w:r w:rsidR="00E94DAA" w:rsidRPr="00E94DAA">
        <w:rPr>
          <w:rFonts w:ascii="Arial" w:hAnsi="Arial" w:cs="Arial"/>
          <w:sz w:val="22"/>
          <w:szCs w:val="22"/>
          <w:lang w:val="es"/>
        </w:rPr>
        <w:t>, de acuerdo con la Política de Salvaguardias Ambientales del Banco (OP-703)</w:t>
      </w:r>
      <w:r w:rsidR="009E39BA" w:rsidRPr="00E94DAA">
        <w:rPr>
          <w:rFonts w:ascii="Arial" w:hAnsi="Arial" w:cs="Arial"/>
          <w:sz w:val="22"/>
          <w:szCs w:val="22"/>
          <w:lang w:val="es"/>
        </w:rPr>
        <w:t xml:space="preserve">. </w:t>
      </w:r>
    </w:p>
    <w:p w14:paraId="5683197C" w14:textId="77777777" w:rsidR="003F6C7D" w:rsidRDefault="003F6C7D" w:rsidP="002049DE">
      <w:pPr>
        <w:spacing w:after="120" w:line="240" w:lineRule="auto"/>
        <w:jc w:val="both"/>
        <w:rPr>
          <w:rFonts w:ascii="Arial" w:hAnsi="Arial" w:cs="Arial"/>
          <w:b/>
          <w:lang w:val="es-ES"/>
        </w:rPr>
      </w:pPr>
    </w:p>
    <w:sectPr w:rsidR="003F6C7D" w:rsidSect="00FA701B">
      <w:footerReference w:type="default" r:id="rId8"/>
      <w:pgSz w:w="12240" w:h="15840"/>
      <w:pgMar w:top="1440" w:right="1800" w:bottom="153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81AF255" w14:textId="77777777" w:rsidR="00EF6A5E" w:rsidRDefault="00EF6A5E" w:rsidP="0095711B">
      <w:pPr>
        <w:spacing w:after="0" w:line="240" w:lineRule="auto"/>
      </w:pPr>
      <w:r>
        <w:separator/>
      </w:r>
    </w:p>
  </w:endnote>
  <w:endnote w:type="continuationSeparator" w:id="0">
    <w:p w14:paraId="72ABE06E" w14:textId="77777777" w:rsidR="00EF6A5E" w:rsidRDefault="00EF6A5E" w:rsidP="009571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altName w:val="Palatino Linotype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33875126"/>
      <w:docPartObj>
        <w:docPartGallery w:val="Page Numbers (Bottom of Page)"/>
        <w:docPartUnique/>
      </w:docPartObj>
    </w:sdtPr>
    <w:sdtEndPr/>
    <w:sdtContent>
      <w:p w14:paraId="0AF92723" w14:textId="77777777" w:rsidR="00802EF5" w:rsidRDefault="00802EF5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14:paraId="135F2895" w14:textId="77777777" w:rsidR="00802EF5" w:rsidRDefault="00802EF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FF7055F" w14:textId="77777777" w:rsidR="00EF6A5E" w:rsidRDefault="00EF6A5E" w:rsidP="0095711B">
      <w:pPr>
        <w:spacing w:after="0" w:line="240" w:lineRule="auto"/>
      </w:pPr>
      <w:r>
        <w:separator/>
      </w:r>
    </w:p>
  </w:footnote>
  <w:footnote w:type="continuationSeparator" w:id="0">
    <w:p w14:paraId="7F4BB1CF" w14:textId="77777777" w:rsidR="00EF6A5E" w:rsidRDefault="00EF6A5E" w:rsidP="0095711B">
      <w:pPr>
        <w:spacing w:after="0" w:line="240" w:lineRule="auto"/>
      </w:pPr>
      <w:r>
        <w:continuationSeparator/>
      </w:r>
    </w:p>
  </w:footnote>
  <w:footnote w:id="1">
    <w:p w14:paraId="49D83466" w14:textId="738359B9" w:rsidR="00AB22FA" w:rsidRPr="00133ED3" w:rsidRDefault="00AB22FA" w:rsidP="00FA701B">
      <w:pPr>
        <w:pStyle w:val="FootnoteText"/>
        <w:ind w:left="270" w:hanging="270"/>
        <w:jc w:val="both"/>
        <w:rPr>
          <w:rFonts w:ascii="Arial" w:hAnsi="Arial" w:cs="Arial"/>
          <w:sz w:val="18"/>
          <w:szCs w:val="18"/>
          <w:lang w:val="es-ES"/>
        </w:rPr>
      </w:pPr>
      <w:r w:rsidRPr="00B37FA5">
        <w:rPr>
          <w:rStyle w:val="FootnoteReference"/>
          <w:rFonts w:ascii="Arial" w:hAnsi="Arial" w:cs="Arial"/>
          <w:sz w:val="18"/>
          <w:szCs w:val="18"/>
          <w:lang w:val="es-ES"/>
        </w:rPr>
        <w:footnoteRef/>
      </w:r>
      <w:r w:rsidRPr="00B37FA5">
        <w:rPr>
          <w:rFonts w:ascii="Arial" w:hAnsi="Arial" w:cs="Arial"/>
          <w:sz w:val="18"/>
          <w:szCs w:val="18"/>
          <w:lang w:val="es-ES"/>
        </w:rPr>
        <w:t xml:space="preserve"> </w:t>
      </w:r>
      <w:r>
        <w:rPr>
          <w:rFonts w:ascii="Arial" w:hAnsi="Arial" w:cs="Arial"/>
          <w:sz w:val="18"/>
          <w:szCs w:val="18"/>
          <w:lang w:val="es-ES"/>
        </w:rPr>
        <w:tab/>
      </w:r>
      <w:r w:rsidR="00A76059">
        <w:rPr>
          <w:rFonts w:ascii="Arial" w:hAnsi="Arial" w:cs="Arial"/>
          <w:sz w:val="18"/>
          <w:szCs w:val="18"/>
          <w:lang w:val="es-ES"/>
        </w:rPr>
        <w:t xml:space="preserve">Contempla </w:t>
      </w:r>
      <w:r w:rsidR="00E07DAE">
        <w:rPr>
          <w:rFonts w:ascii="Arial" w:hAnsi="Arial" w:cs="Arial"/>
          <w:sz w:val="18"/>
          <w:szCs w:val="18"/>
          <w:lang w:val="es-ES"/>
        </w:rPr>
        <w:t xml:space="preserve">recursos </w:t>
      </w:r>
      <w:r w:rsidR="00A76059">
        <w:rPr>
          <w:rFonts w:ascii="Arial" w:hAnsi="Arial" w:cs="Arial"/>
          <w:sz w:val="18"/>
          <w:szCs w:val="18"/>
          <w:lang w:val="es-ES"/>
        </w:rPr>
        <w:t xml:space="preserve">de </w:t>
      </w:r>
      <w:r w:rsidRPr="00B37FA5">
        <w:rPr>
          <w:rFonts w:ascii="Arial" w:hAnsi="Arial" w:cs="Arial"/>
          <w:sz w:val="18"/>
          <w:szCs w:val="18"/>
          <w:lang w:val="es-ES"/>
        </w:rPr>
        <w:t>Subvención de LAIF para Cambio Climático (CC) y Agua y Saneamiento (</w:t>
      </w:r>
      <w:proofErr w:type="spellStart"/>
      <w:r w:rsidRPr="00B37FA5">
        <w:rPr>
          <w:rFonts w:ascii="Arial" w:hAnsi="Arial" w:cs="Arial"/>
          <w:sz w:val="18"/>
          <w:szCs w:val="18"/>
          <w:lang w:val="es-ES"/>
        </w:rPr>
        <w:t>AyS</w:t>
      </w:r>
      <w:proofErr w:type="spellEnd"/>
      <w:r w:rsidRPr="00B37FA5">
        <w:rPr>
          <w:rFonts w:ascii="Arial" w:hAnsi="Arial" w:cs="Arial"/>
          <w:sz w:val="18"/>
          <w:szCs w:val="18"/>
          <w:lang w:val="es-ES"/>
        </w:rPr>
        <w:t xml:space="preserve">)” otorgada mediante “Resolución de Concesión de Subvención” de 5 de junio de 2014 de la Presidencia de la Agencia Española de Cooperación Internacional para el Desarrollo (AECID), con recursos provenientes de la “Facilidad de </w:t>
      </w:r>
      <w:r w:rsidRPr="00133ED3">
        <w:rPr>
          <w:rFonts w:ascii="Arial" w:hAnsi="Arial" w:cs="Arial"/>
          <w:sz w:val="18"/>
          <w:szCs w:val="18"/>
          <w:lang w:val="es-ES"/>
        </w:rPr>
        <w:t>Inversiones en América Latina” (LAIF) de la Unión Europea, para la financiación del programa “Promover la adaptación al cambio climático y la gestión integral de los recursos hídricos en el sector del agua y saneamiento en América Latina”; aceptada por el Banco mediante el instrumento de “Aceptación del Beneficiario de una Subvención de Cooperación Internacional” de fecha 13 de junio de 2014.</w:t>
      </w:r>
    </w:p>
  </w:footnote>
  <w:footnote w:id="2">
    <w:p w14:paraId="3F3922BB" w14:textId="75CC28CC" w:rsidR="009D3762" w:rsidRPr="00B37FA5" w:rsidRDefault="009D3762" w:rsidP="00FA701B">
      <w:pPr>
        <w:pStyle w:val="FootnoteText"/>
        <w:ind w:left="270" w:hanging="270"/>
        <w:rPr>
          <w:lang w:val="es-ES"/>
        </w:rPr>
      </w:pPr>
      <w:r w:rsidRPr="00133ED3">
        <w:rPr>
          <w:rStyle w:val="FootnoteReference"/>
          <w:rFonts w:ascii="Arial" w:hAnsi="Arial" w:cs="Arial"/>
          <w:sz w:val="18"/>
          <w:szCs w:val="18"/>
          <w:lang w:val="es-ES"/>
        </w:rPr>
        <w:footnoteRef/>
      </w:r>
      <w:r w:rsidRPr="00133ED3">
        <w:rPr>
          <w:rFonts w:ascii="Arial" w:hAnsi="Arial" w:cs="Arial"/>
          <w:sz w:val="18"/>
          <w:szCs w:val="18"/>
          <w:lang w:val="es-ES"/>
        </w:rPr>
        <w:t xml:space="preserve"> </w:t>
      </w:r>
      <w:r w:rsidR="00142CF7">
        <w:rPr>
          <w:rFonts w:ascii="Arial" w:hAnsi="Arial" w:cs="Arial"/>
          <w:sz w:val="18"/>
          <w:szCs w:val="18"/>
          <w:lang w:val="es-ES"/>
        </w:rPr>
        <w:tab/>
      </w:r>
      <w:r w:rsidRPr="00133ED3">
        <w:rPr>
          <w:rFonts w:ascii="Arial" w:hAnsi="Arial" w:cs="Arial"/>
          <w:sz w:val="18"/>
          <w:szCs w:val="18"/>
          <w:lang w:val="es-ES"/>
        </w:rPr>
        <w:t>Resolución A/RES/64/292. Asamblea General de las Naciones Unidas. Julio 2010</w:t>
      </w:r>
      <w:r w:rsidR="00133ED3">
        <w:rPr>
          <w:rFonts w:ascii="Arial" w:hAnsi="Arial" w:cs="Arial"/>
          <w:sz w:val="18"/>
          <w:szCs w:val="18"/>
          <w:lang w:val="es-ES"/>
        </w:rPr>
        <w:t>.</w:t>
      </w:r>
    </w:p>
  </w:footnote>
  <w:footnote w:id="3">
    <w:p w14:paraId="03C031E7" w14:textId="2EEDA77E" w:rsidR="00AD4D47" w:rsidRPr="00133ED3" w:rsidRDefault="00AD4D47" w:rsidP="00FA701B">
      <w:pPr>
        <w:pStyle w:val="FootnoteText"/>
        <w:ind w:left="270" w:hanging="270"/>
        <w:rPr>
          <w:rFonts w:ascii="Arial" w:hAnsi="Arial" w:cs="Arial"/>
          <w:sz w:val="18"/>
          <w:szCs w:val="18"/>
          <w:lang w:val="es-ES"/>
        </w:rPr>
      </w:pPr>
      <w:r w:rsidRPr="00133ED3">
        <w:rPr>
          <w:rStyle w:val="FootnoteReference"/>
          <w:rFonts w:ascii="Arial" w:hAnsi="Arial" w:cs="Arial"/>
          <w:sz w:val="18"/>
          <w:szCs w:val="18"/>
          <w:lang w:val="es-ES"/>
        </w:rPr>
        <w:footnoteRef/>
      </w:r>
      <w:r w:rsidRPr="00133ED3">
        <w:rPr>
          <w:rFonts w:ascii="Arial" w:hAnsi="Arial" w:cs="Arial"/>
          <w:sz w:val="18"/>
          <w:szCs w:val="18"/>
          <w:lang w:val="es-ES"/>
        </w:rPr>
        <w:t xml:space="preserve"> </w:t>
      </w:r>
      <w:r w:rsidR="00A06B61">
        <w:rPr>
          <w:rFonts w:ascii="Arial" w:hAnsi="Arial" w:cs="Arial"/>
          <w:sz w:val="18"/>
          <w:szCs w:val="18"/>
          <w:lang w:val="es-ES"/>
        </w:rPr>
        <w:tab/>
      </w:r>
      <w:r w:rsidR="00EF6A5E">
        <w:fldChar w:fldCharType="begin"/>
      </w:r>
      <w:r w:rsidR="00EF6A5E" w:rsidRPr="00022715">
        <w:rPr>
          <w:lang w:val="es-PR"/>
        </w:rPr>
        <w:instrText xml:space="preserve"> HYPERLINK "http://www.fao.org/3/CA2275ES/ca2275es.pdf" </w:instrText>
      </w:r>
      <w:r w:rsidR="00EF6A5E">
        <w:fldChar w:fldCharType="separate"/>
      </w:r>
      <w:r w:rsidRPr="00A06B61">
        <w:rPr>
          <w:rStyle w:val="Hyperlink"/>
          <w:rFonts w:ascii="Arial" w:hAnsi="Arial" w:cs="Arial"/>
          <w:sz w:val="18"/>
          <w:szCs w:val="18"/>
          <w:lang w:val="es-ES"/>
        </w:rPr>
        <w:t xml:space="preserve">FAO, </w:t>
      </w:r>
      <w:r w:rsidR="00133ED3" w:rsidRPr="00A06B61">
        <w:rPr>
          <w:rStyle w:val="Hyperlink"/>
          <w:rFonts w:ascii="Arial" w:hAnsi="Arial" w:cs="Arial"/>
          <w:sz w:val="18"/>
          <w:szCs w:val="18"/>
          <w:lang w:val="es-ES"/>
        </w:rPr>
        <w:t>(</w:t>
      </w:r>
      <w:r w:rsidRPr="00A06B61">
        <w:rPr>
          <w:rStyle w:val="Hyperlink"/>
          <w:rFonts w:ascii="Arial" w:hAnsi="Arial" w:cs="Arial"/>
          <w:sz w:val="18"/>
          <w:szCs w:val="18"/>
          <w:lang w:val="es-ES"/>
        </w:rPr>
        <w:t>2018</w:t>
      </w:r>
      <w:r w:rsidR="00EF6A5E">
        <w:rPr>
          <w:rStyle w:val="Hyperlink"/>
          <w:rFonts w:ascii="Arial" w:hAnsi="Arial" w:cs="Arial"/>
          <w:sz w:val="18"/>
          <w:szCs w:val="18"/>
          <w:lang w:val="es-ES"/>
        </w:rPr>
        <w:fldChar w:fldCharType="end"/>
      </w:r>
      <w:r w:rsidR="00133ED3" w:rsidRPr="00AB22FA">
        <w:rPr>
          <w:rStyle w:val="Hyperlink"/>
          <w:rFonts w:ascii="Arial" w:hAnsi="Arial" w:cs="Arial"/>
          <w:sz w:val="18"/>
          <w:szCs w:val="18"/>
          <w:lang w:val="es-PR"/>
        </w:rPr>
        <w:t>)</w:t>
      </w:r>
      <w:r w:rsidR="00133ED3" w:rsidRPr="00A06B61">
        <w:rPr>
          <w:rFonts w:ascii="Arial" w:hAnsi="Arial" w:cs="Arial"/>
          <w:sz w:val="18"/>
          <w:szCs w:val="18"/>
          <w:lang w:val="es-ES"/>
        </w:rPr>
        <w:t>.</w:t>
      </w:r>
    </w:p>
  </w:footnote>
  <w:footnote w:id="4">
    <w:p w14:paraId="7FAE60A5" w14:textId="257213C3" w:rsidR="00802EF5" w:rsidRPr="00133ED3" w:rsidRDefault="00802EF5" w:rsidP="00FA701B">
      <w:pPr>
        <w:pStyle w:val="FootnoteText"/>
        <w:ind w:left="270" w:hanging="270"/>
        <w:jc w:val="both"/>
        <w:rPr>
          <w:rFonts w:ascii="Arial" w:hAnsi="Arial" w:cs="Arial"/>
          <w:sz w:val="18"/>
          <w:szCs w:val="18"/>
          <w:lang w:val="es-ES"/>
        </w:rPr>
      </w:pPr>
      <w:r w:rsidRPr="00133ED3">
        <w:rPr>
          <w:rStyle w:val="FootnoteReference"/>
          <w:rFonts w:ascii="Arial" w:hAnsi="Arial" w:cs="Arial"/>
          <w:sz w:val="18"/>
          <w:szCs w:val="18"/>
          <w:lang w:val="es-ES"/>
        </w:rPr>
        <w:footnoteRef/>
      </w:r>
      <w:r w:rsidRPr="00133ED3">
        <w:rPr>
          <w:rFonts w:ascii="Arial" w:hAnsi="Arial" w:cs="Arial"/>
          <w:sz w:val="18"/>
          <w:szCs w:val="18"/>
          <w:lang w:val="es-ES"/>
        </w:rPr>
        <w:t xml:space="preserve"> </w:t>
      </w:r>
      <w:r w:rsidR="00A06B61">
        <w:rPr>
          <w:rFonts w:ascii="Arial" w:hAnsi="Arial" w:cs="Arial"/>
          <w:sz w:val="18"/>
          <w:szCs w:val="18"/>
          <w:lang w:val="es-ES"/>
        </w:rPr>
        <w:tab/>
      </w:r>
      <w:r w:rsidRPr="00133ED3">
        <w:rPr>
          <w:rFonts w:ascii="Arial" w:hAnsi="Arial" w:cs="Arial"/>
          <w:sz w:val="18"/>
          <w:szCs w:val="18"/>
          <w:lang w:val="es-ES"/>
        </w:rPr>
        <w:t>Según la CAF (2017), es necesario invertir el 0,3% del PIB hasta 2030 para lograr la demanda de infraestructura hídrica.</w:t>
      </w:r>
    </w:p>
  </w:footnote>
  <w:footnote w:id="5">
    <w:p w14:paraId="68C27F19" w14:textId="3E106477" w:rsidR="00802EF5" w:rsidRPr="00133ED3" w:rsidRDefault="00802EF5" w:rsidP="00FA701B">
      <w:pPr>
        <w:pStyle w:val="FootnoteText"/>
        <w:ind w:left="270" w:hanging="270"/>
        <w:rPr>
          <w:rFonts w:ascii="Arial" w:hAnsi="Arial" w:cs="Arial"/>
          <w:sz w:val="18"/>
          <w:szCs w:val="18"/>
          <w:lang w:val="es-ES"/>
        </w:rPr>
      </w:pPr>
      <w:r w:rsidRPr="00133ED3">
        <w:rPr>
          <w:rStyle w:val="FootnoteReference"/>
          <w:rFonts w:ascii="Arial" w:hAnsi="Arial" w:cs="Arial"/>
          <w:sz w:val="18"/>
          <w:szCs w:val="18"/>
          <w:lang w:val="es-ES"/>
        </w:rPr>
        <w:footnoteRef/>
      </w:r>
      <w:r w:rsidRPr="00133ED3">
        <w:rPr>
          <w:rFonts w:ascii="Arial" w:hAnsi="Arial" w:cs="Arial"/>
          <w:sz w:val="18"/>
          <w:szCs w:val="18"/>
          <w:lang w:val="es-ES"/>
        </w:rPr>
        <w:t xml:space="preserve"> </w:t>
      </w:r>
      <w:r w:rsidR="00A06B61">
        <w:rPr>
          <w:rFonts w:ascii="Arial" w:hAnsi="Arial" w:cs="Arial"/>
          <w:sz w:val="18"/>
          <w:szCs w:val="18"/>
          <w:lang w:val="es-ES"/>
        </w:rPr>
        <w:tab/>
      </w:r>
      <w:r w:rsidRPr="00133ED3">
        <w:rPr>
          <w:rFonts w:ascii="Arial" w:hAnsi="Arial" w:cs="Arial"/>
          <w:sz w:val="18"/>
          <w:szCs w:val="18"/>
          <w:lang w:val="es-ES"/>
        </w:rPr>
        <w:t>Álvarez, L. (2015).</w:t>
      </w:r>
    </w:p>
  </w:footnote>
  <w:footnote w:id="6">
    <w:p w14:paraId="2C6ED90C" w14:textId="740DFB22" w:rsidR="00802EF5" w:rsidRPr="00B37FA5" w:rsidRDefault="00802EF5" w:rsidP="00FA701B">
      <w:pPr>
        <w:pStyle w:val="FootnoteText"/>
        <w:ind w:left="270" w:hanging="270"/>
        <w:rPr>
          <w:rFonts w:ascii="Arial" w:hAnsi="Arial" w:cs="Arial"/>
          <w:sz w:val="18"/>
          <w:szCs w:val="18"/>
          <w:lang w:val="es-ES"/>
        </w:rPr>
      </w:pPr>
      <w:r w:rsidRPr="00B37FA5">
        <w:rPr>
          <w:rStyle w:val="FootnoteReference"/>
          <w:rFonts w:ascii="Arial" w:hAnsi="Arial" w:cs="Arial"/>
          <w:sz w:val="18"/>
          <w:szCs w:val="18"/>
          <w:lang w:val="es-ES"/>
        </w:rPr>
        <w:footnoteRef/>
      </w:r>
      <w:r w:rsidRPr="00B37FA5">
        <w:rPr>
          <w:rFonts w:ascii="Arial" w:hAnsi="Arial" w:cs="Arial"/>
          <w:sz w:val="18"/>
          <w:szCs w:val="18"/>
          <w:lang w:val="es-ES"/>
        </w:rPr>
        <w:t xml:space="preserve"> </w:t>
      </w:r>
      <w:r w:rsidR="00A06B61">
        <w:rPr>
          <w:rFonts w:ascii="Arial" w:hAnsi="Arial" w:cs="Arial"/>
          <w:sz w:val="18"/>
          <w:szCs w:val="18"/>
          <w:lang w:val="es-ES"/>
        </w:rPr>
        <w:tab/>
      </w:r>
      <w:r w:rsidRPr="00B37FA5">
        <w:rPr>
          <w:rFonts w:ascii="Arial" w:hAnsi="Arial" w:cs="Arial"/>
          <w:sz w:val="18"/>
          <w:szCs w:val="18"/>
          <w:lang w:val="es-ES"/>
        </w:rPr>
        <w:t>Documento de Marco Sectorial de Agua y Saneamiento. División de Agua y Saneamiento, junio 2017.</w:t>
      </w:r>
    </w:p>
  </w:footnote>
  <w:footnote w:id="7">
    <w:p w14:paraId="36F8A979" w14:textId="3AA15984" w:rsidR="00964634" w:rsidRPr="00B37FA5" w:rsidRDefault="00964634" w:rsidP="00FA701B">
      <w:pPr>
        <w:pStyle w:val="FootnoteText"/>
        <w:ind w:left="270" w:hanging="270"/>
        <w:jc w:val="both"/>
        <w:rPr>
          <w:rFonts w:ascii="Arial" w:hAnsi="Arial" w:cs="Arial"/>
          <w:sz w:val="18"/>
          <w:szCs w:val="18"/>
          <w:lang w:val="es-ES"/>
        </w:rPr>
      </w:pPr>
      <w:r w:rsidRPr="00B37FA5">
        <w:rPr>
          <w:rStyle w:val="FootnoteReference"/>
          <w:rFonts w:ascii="Arial" w:hAnsi="Arial" w:cs="Arial"/>
          <w:sz w:val="18"/>
          <w:szCs w:val="18"/>
          <w:lang w:val="es-ES"/>
        </w:rPr>
        <w:footnoteRef/>
      </w:r>
      <w:r w:rsidRPr="00B37FA5">
        <w:rPr>
          <w:rFonts w:ascii="Arial" w:hAnsi="Arial" w:cs="Arial"/>
          <w:sz w:val="18"/>
          <w:szCs w:val="18"/>
          <w:lang w:val="es-ES"/>
        </w:rPr>
        <w:t xml:space="preserve"> </w:t>
      </w:r>
      <w:r w:rsidR="00A06B61">
        <w:rPr>
          <w:rFonts w:ascii="Arial" w:hAnsi="Arial" w:cs="Arial"/>
          <w:sz w:val="18"/>
          <w:szCs w:val="18"/>
          <w:lang w:val="es-ES"/>
        </w:rPr>
        <w:tab/>
      </w:r>
      <w:r w:rsidRPr="00B37FA5">
        <w:rPr>
          <w:rFonts w:ascii="Arial" w:hAnsi="Arial" w:cs="Arial"/>
          <w:sz w:val="18"/>
          <w:szCs w:val="18"/>
          <w:lang w:val="es-ES"/>
        </w:rPr>
        <w:t>Sistema de Información de Agua y Saneamiento Rural.</w:t>
      </w:r>
    </w:p>
  </w:footnote>
  <w:footnote w:id="8">
    <w:p w14:paraId="761B0FB4" w14:textId="2523E2BC" w:rsidR="006B0DF5" w:rsidRPr="00B37FA5" w:rsidRDefault="006B0DF5" w:rsidP="00FA701B">
      <w:pPr>
        <w:pStyle w:val="FootnoteText"/>
        <w:ind w:left="270" w:hanging="270"/>
        <w:jc w:val="both"/>
        <w:rPr>
          <w:rFonts w:ascii="Arial" w:hAnsi="Arial" w:cs="Arial"/>
          <w:sz w:val="18"/>
          <w:szCs w:val="18"/>
          <w:lang w:val="es-ES"/>
        </w:rPr>
      </w:pPr>
      <w:r w:rsidRPr="00B37FA5">
        <w:rPr>
          <w:rStyle w:val="FootnoteReference"/>
          <w:rFonts w:ascii="Arial" w:hAnsi="Arial" w:cs="Arial"/>
          <w:sz w:val="18"/>
          <w:szCs w:val="18"/>
          <w:lang w:val="es-ES"/>
        </w:rPr>
        <w:footnoteRef/>
      </w:r>
      <w:r w:rsidRPr="00B37FA5">
        <w:rPr>
          <w:rFonts w:ascii="Arial" w:hAnsi="Arial" w:cs="Arial"/>
          <w:sz w:val="18"/>
          <w:szCs w:val="18"/>
          <w:lang w:val="es-ES"/>
        </w:rPr>
        <w:t xml:space="preserve"> </w:t>
      </w:r>
      <w:r w:rsidR="00A06B61">
        <w:rPr>
          <w:rFonts w:ascii="Arial" w:hAnsi="Arial" w:cs="Arial"/>
          <w:sz w:val="18"/>
          <w:szCs w:val="18"/>
          <w:lang w:val="es-ES"/>
        </w:rPr>
        <w:tab/>
      </w:r>
      <w:r w:rsidRPr="00B37FA5">
        <w:rPr>
          <w:rFonts w:ascii="Arial" w:hAnsi="Arial" w:cs="Arial"/>
          <w:sz w:val="18"/>
          <w:szCs w:val="18"/>
          <w:lang w:val="es-ES"/>
        </w:rPr>
        <w:t>Honduras, Nicaragua, Panamá, República Dominicana, Costa Rica, Oaxaca (México), Perú, Bolivia, Paraguay, Ceará (Brasil) y Bolivia.</w:t>
      </w:r>
    </w:p>
  </w:footnote>
  <w:footnote w:id="9">
    <w:p w14:paraId="4D6253D3" w14:textId="56968930" w:rsidR="00690C9E" w:rsidRPr="00B37FA5" w:rsidRDefault="00690C9E" w:rsidP="00FA701B">
      <w:pPr>
        <w:pStyle w:val="FootnoteText"/>
        <w:ind w:left="270" w:hanging="270"/>
        <w:jc w:val="both"/>
        <w:rPr>
          <w:rFonts w:ascii="Arial" w:hAnsi="Arial" w:cs="Arial"/>
          <w:sz w:val="18"/>
          <w:szCs w:val="18"/>
          <w:vertAlign w:val="superscript"/>
          <w:lang w:val="es-ES"/>
        </w:rPr>
      </w:pPr>
      <w:r w:rsidRPr="00B37FA5">
        <w:rPr>
          <w:rStyle w:val="FootnoteReference"/>
          <w:rFonts w:ascii="Arial" w:hAnsi="Arial" w:cs="Arial"/>
          <w:sz w:val="18"/>
          <w:szCs w:val="18"/>
          <w:lang w:val="es-ES"/>
        </w:rPr>
        <w:footnoteRef/>
      </w:r>
      <w:r w:rsidRPr="00B37FA5">
        <w:rPr>
          <w:rStyle w:val="FootnoteReference"/>
          <w:rFonts w:ascii="Arial" w:hAnsi="Arial" w:cs="Arial"/>
          <w:sz w:val="18"/>
          <w:szCs w:val="18"/>
          <w:lang w:val="es-ES"/>
        </w:rPr>
        <w:t xml:space="preserve"> </w:t>
      </w:r>
      <w:r w:rsidR="00A06B61">
        <w:rPr>
          <w:rStyle w:val="FootnoteReference"/>
          <w:rFonts w:ascii="Arial" w:hAnsi="Arial" w:cs="Arial"/>
          <w:sz w:val="18"/>
          <w:szCs w:val="18"/>
          <w:lang w:val="es-ES"/>
        </w:rPr>
        <w:tab/>
      </w:r>
      <w:r w:rsidRPr="00B37FA5">
        <w:rPr>
          <w:rStyle w:val="FootnoteReference"/>
          <w:rFonts w:ascii="Arial" w:hAnsi="Arial" w:cs="Arial"/>
          <w:sz w:val="18"/>
          <w:szCs w:val="18"/>
          <w:vertAlign w:val="baseline"/>
          <w:lang w:val="es-ES"/>
        </w:rPr>
        <w:t>El objetivo</w:t>
      </w:r>
      <w:r w:rsidR="00B37FA5" w:rsidRPr="00B37FA5">
        <w:rPr>
          <w:rStyle w:val="FootnoteReference"/>
          <w:rFonts w:ascii="Arial" w:hAnsi="Arial" w:cs="Arial"/>
          <w:sz w:val="18"/>
          <w:szCs w:val="18"/>
          <w:vertAlign w:val="baseline"/>
          <w:lang w:val="es-ES"/>
        </w:rPr>
        <w:t xml:space="preserve"> de esta CT es promover una mayor sostenibilidad de los servicios rurales y municipales: (i) definiendo un modelo de asistencia </w:t>
      </w:r>
      <w:r w:rsidR="003F2194" w:rsidRPr="00B37FA5">
        <w:rPr>
          <w:rStyle w:val="FootnoteReference"/>
          <w:rFonts w:ascii="Arial" w:hAnsi="Arial" w:cs="Arial"/>
          <w:sz w:val="18"/>
          <w:szCs w:val="18"/>
          <w:vertAlign w:val="baseline"/>
          <w:lang w:val="es-ES"/>
        </w:rPr>
        <w:t>técnica</w:t>
      </w:r>
      <w:r w:rsidR="00B37FA5" w:rsidRPr="00B37FA5">
        <w:rPr>
          <w:rStyle w:val="FootnoteReference"/>
          <w:rFonts w:ascii="Arial" w:hAnsi="Arial" w:cs="Arial"/>
          <w:sz w:val="18"/>
          <w:szCs w:val="18"/>
          <w:vertAlign w:val="baseline"/>
          <w:lang w:val="es-ES"/>
        </w:rPr>
        <w:t xml:space="preserve"> municipal para los proveedores de servicios rurales en la fase </w:t>
      </w:r>
      <w:proofErr w:type="spellStart"/>
      <w:r w:rsidR="00B37FA5" w:rsidRPr="00B37FA5">
        <w:rPr>
          <w:rStyle w:val="FootnoteReference"/>
          <w:rFonts w:ascii="Arial" w:hAnsi="Arial" w:cs="Arial"/>
          <w:sz w:val="18"/>
          <w:szCs w:val="18"/>
          <w:vertAlign w:val="baseline"/>
          <w:lang w:val="es-ES"/>
        </w:rPr>
        <w:t>post-construcción</w:t>
      </w:r>
      <w:proofErr w:type="spellEnd"/>
      <w:r w:rsidR="00B37FA5" w:rsidRPr="00B37FA5">
        <w:rPr>
          <w:rStyle w:val="FootnoteReference"/>
          <w:rFonts w:ascii="Arial" w:hAnsi="Arial" w:cs="Arial"/>
          <w:sz w:val="18"/>
          <w:szCs w:val="18"/>
          <w:vertAlign w:val="baseline"/>
          <w:lang w:val="es-ES"/>
        </w:rPr>
        <w:t>; (</w:t>
      </w:r>
      <w:proofErr w:type="spellStart"/>
      <w:r w:rsidR="00B37FA5" w:rsidRPr="00B37FA5">
        <w:rPr>
          <w:rStyle w:val="FootnoteReference"/>
          <w:rFonts w:ascii="Arial" w:hAnsi="Arial" w:cs="Arial"/>
          <w:sz w:val="18"/>
          <w:szCs w:val="18"/>
          <w:vertAlign w:val="baseline"/>
          <w:lang w:val="es-ES"/>
        </w:rPr>
        <w:t>ii</w:t>
      </w:r>
      <w:proofErr w:type="spellEnd"/>
      <w:r w:rsidR="00B37FA5" w:rsidRPr="00B37FA5">
        <w:rPr>
          <w:rStyle w:val="FootnoteReference"/>
          <w:rFonts w:ascii="Arial" w:hAnsi="Arial" w:cs="Arial"/>
          <w:sz w:val="18"/>
          <w:szCs w:val="18"/>
          <w:vertAlign w:val="baseline"/>
          <w:lang w:val="es-ES"/>
        </w:rPr>
        <w:t xml:space="preserve">) desarrollando un modelo escalable de monitoreo de los sistemas rurales que permita articular mecanismos de apoyo a nivel estatal, departamental o municipal; y (iii) promoviendo modelos de mejora en la </w:t>
      </w:r>
      <w:r w:rsidR="003F2194" w:rsidRPr="00B37FA5">
        <w:rPr>
          <w:rStyle w:val="FootnoteReference"/>
          <w:rFonts w:ascii="Arial" w:hAnsi="Arial" w:cs="Arial"/>
          <w:sz w:val="18"/>
          <w:szCs w:val="18"/>
          <w:vertAlign w:val="baseline"/>
          <w:lang w:val="es-ES"/>
        </w:rPr>
        <w:t>gestión</w:t>
      </w:r>
      <w:r w:rsidR="00B37FA5" w:rsidRPr="00B37FA5">
        <w:rPr>
          <w:rStyle w:val="FootnoteReference"/>
          <w:rFonts w:ascii="Arial" w:hAnsi="Arial" w:cs="Arial"/>
          <w:sz w:val="18"/>
          <w:szCs w:val="18"/>
          <w:vertAlign w:val="baseline"/>
          <w:lang w:val="es-ES"/>
        </w:rPr>
        <w:t xml:space="preserve"> municipal y herramientas para la </w:t>
      </w:r>
      <w:r w:rsidR="003F2194" w:rsidRPr="00B37FA5">
        <w:rPr>
          <w:rStyle w:val="FootnoteReference"/>
          <w:rFonts w:ascii="Arial" w:hAnsi="Arial" w:cs="Arial"/>
          <w:sz w:val="18"/>
          <w:szCs w:val="18"/>
          <w:vertAlign w:val="baseline"/>
          <w:lang w:val="es-ES"/>
        </w:rPr>
        <w:t>gestión</w:t>
      </w:r>
      <w:r w:rsidR="00B37FA5" w:rsidRPr="00B37FA5">
        <w:rPr>
          <w:rStyle w:val="FootnoteReference"/>
          <w:rFonts w:ascii="Arial" w:hAnsi="Arial" w:cs="Arial"/>
          <w:sz w:val="18"/>
          <w:szCs w:val="18"/>
          <w:vertAlign w:val="baseline"/>
          <w:lang w:val="es-ES"/>
        </w:rPr>
        <w:t xml:space="preserve"> de los sistemas que permitan mejorar la </w:t>
      </w:r>
      <w:r w:rsidR="003F2194" w:rsidRPr="00B37FA5">
        <w:rPr>
          <w:rStyle w:val="FootnoteReference"/>
          <w:rFonts w:ascii="Arial" w:hAnsi="Arial" w:cs="Arial"/>
          <w:sz w:val="18"/>
          <w:szCs w:val="18"/>
          <w:vertAlign w:val="baseline"/>
          <w:lang w:val="es-ES"/>
        </w:rPr>
        <w:t>prestación</w:t>
      </w:r>
      <w:r w:rsidR="00B37FA5" w:rsidRPr="00B37FA5">
        <w:rPr>
          <w:rStyle w:val="FootnoteReference"/>
          <w:rFonts w:ascii="Arial" w:hAnsi="Arial" w:cs="Arial"/>
          <w:sz w:val="18"/>
          <w:szCs w:val="18"/>
          <w:vertAlign w:val="baseline"/>
          <w:lang w:val="es-ES"/>
        </w:rPr>
        <w:t xml:space="preserve"> del servicio.</w:t>
      </w:r>
      <w:r w:rsidR="00B37FA5" w:rsidRPr="00B37FA5">
        <w:rPr>
          <w:rStyle w:val="FootnoteReference"/>
          <w:rFonts w:ascii="Arial" w:hAnsi="Arial" w:cs="Arial"/>
          <w:sz w:val="18"/>
          <w:szCs w:val="18"/>
          <w:lang w:val="es-ES"/>
        </w:rPr>
        <w:t xml:space="preserve"> </w:t>
      </w:r>
    </w:p>
  </w:footnote>
  <w:footnote w:id="10">
    <w:p w14:paraId="404249E2" w14:textId="6D2038DF" w:rsidR="00802EF5" w:rsidRPr="00B37FA5" w:rsidRDefault="00802EF5" w:rsidP="00FA701B">
      <w:pPr>
        <w:pStyle w:val="FootnoteText"/>
        <w:ind w:left="270" w:hanging="270"/>
        <w:rPr>
          <w:rFonts w:ascii="Arial" w:hAnsi="Arial" w:cs="Arial"/>
          <w:sz w:val="18"/>
          <w:szCs w:val="18"/>
          <w:lang w:val="es-ES"/>
        </w:rPr>
      </w:pPr>
      <w:r w:rsidRPr="00B37FA5">
        <w:rPr>
          <w:rStyle w:val="FootnoteReference"/>
          <w:rFonts w:ascii="Arial" w:hAnsi="Arial" w:cs="Arial"/>
          <w:sz w:val="18"/>
          <w:szCs w:val="18"/>
          <w:lang w:val="es-ES"/>
        </w:rPr>
        <w:footnoteRef/>
      </w:r>
      <w:r w:rsidRPr="00B37FA5">
        <w:rPr>
          <w:rFonts w:ascii="Arial" w:hAnsi="Arial" w:cs="Arial"/>
          <w:sz w:val="18"/>
          <w:szCs w:val="18"/>
          <w:lang w:val="es-ES"/>
        </w:rPr>
        <w:t xml:space="preserve"> </w:t>
      </w:r>
      <w:r w:rsidR="00FA701B">
        <w:rPr>
          <w:rFonts w:ascii="Arial" w:hAnsi="Arial" w:cs="Arial"/>
          <w:sz w:val="18"/>
          <w:szCs w:val="18"/>
          <w:lang w:val="es-ES"/>
        </w:rPr>
        <w:tab/>
      </w:r>
      <w:r w:rsidR="0025529C" w:rsidRPr="00B37FA5">
        <w:rPr>
          <w:rFonts w:ascii="Arial" w:hAnsi="Arial" w:cs="Arial"/>
          <w:sz w:val="18"/>
          <w:szCs w:val="18"/>
          <w:lang w:val="es-ES"/>
        </w:rPr>
        <w:t>Según las directrices asociadas a</w:t>
      </w:r>
      <w:r w:rsidR="0098564A">
        <w:rPr>
          <w:rFonts w:ascii="Arial" w:hAnsi="Arial" w:cs="Arial"/>
          <w:sz w:val="18"/>
          <w:szCs w:val="18"/>
          <w:lang w:val="es-ES"/>
        </w:rPr>
        <w:t>l</w:t>
      </w:r>
      <w:r w:rsidR="0025529C" w:rsidRPr="00B37FA5">
        <w:rPr>
          <w:rFonts w:ascii="Arial" w:hAnsi="Arial" w:cs="Arial"/>
          <w:sz w:val="18"/>
          <w:szCs w:val="18"/>
          <w:lang w:val="es-ES"/>
        </w:rPr>
        <w:t xml:space="preserve"> fondo de financiación.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42708"/>
    <w:multiLevelType w:val="multilevel"/>
    <w:tmpl w:val="427E58A2"/>
    <w:lvl w:ilvl="0">
      <w:start w:val="1"/>
      <w:numFmt w:val="upperRoman"/>
      <w:lvlText w:val="%1."/>
      <w:lvlJc w:val="right"/>
      <w:pPr>
        <w:ind w:left="360" w:hanging="360"/>
      </w:pPr>
      <w:rPr>
        <w:color w:val="auto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."/>
      <w:lvlJc w:val="right"/>
      <w:pPr>
        <w:ind w:left="144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A2564E0"/>
    <w:multiLevelType w:val="hybridMultilevel"/>
    <w:tmpl w:val="48FE8DAC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AE65187"/>
    <w:multiLevelType w:val="hybridMultilevel"/>
    <w:tmpl w:val="BE28976A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C665631"/>
    <w:multiLevelType w:val="hybridMultilevel"/>
    <w:tmpl w:val="BC78F4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9F5DCE"/>
    <w:multiLevelType w:val="hybridMultilevel"/>
    <w:tmpl w:val="C2D01D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E579D0"/>
    <w:multiLevelType w:val="multilevel"/>
    <w:tmpl w:val="72EE7700"/>
    <w:lvl w:ilvl="0">
      <w:start w:val="1"/>
      <w:numFmt w:val="upperRoman"/>
      <w:lvlText w:val="%1."/>
      <w:lvlJc w:val="right"/>
      <w:pPr>
        <w:ind w:left="360" w:hanging="360"/>
      </w:pPr>
      <w:rPr>
        <w:color w:val="auto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18F40862"/>
    <w:multiLevelType w:val="multilevel"/>
    <w:tmpl w:val="072EDFD2"/>
    <w:lvl w:ilvl="0">
      <w:start w:val="1"/>
      <w:numFmt w:val="upperRoman"/>
      <w:lvlText w:val="%1."/>
      <w:lvlJc w:val="righ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."/>
      <w:lvlJc w:val="right"/>
      <w:pPr>
        <w:ind w:left="1440" w:hanging="720"/>
      </w:pPr>
      <w:rPr>
        <w:rFonts w:hint="default"/>
        <w:color w:val="auto"/>
      </w:rPr>
    </w:lvl>
    <w:lvl w:ilvl="3">
      <w:start w:val="1"/>
      <w:numFmt w:val="lowerRoman"/>
      <w:lvlText w:val="%4."/>
      <w:lvlJc w:val="right"/>
      <w:pPr>
        <w:ind w:left="180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1C8A0E03"/>
    <w:multiLevelType w:val="hybridMultilevel"/>
    <w:tmpl w:val="B394B99C"/>
    <w:lvl w:ilvl="0" w:tplc="7526C6D0">
      <w:start w:val="1"/>
      <w:numFmt w:val="lowerLetter"/>
      <w:lvlText w:val="%1."/>
      <w:lvlJc w:val="left"/>
      <w:pPr>
        <w:ind w:left="720" w:hanging="360"/>
      </w:pPr>
      <w:rPr>
        <w:rFonts w:hint="default"/>
        <w:color w:val="333333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354963"/>
    <w:multiLevelType w:val="hybridMultilevel"/>
    <w:tmpl w:val="95EAD726"/>
    <w:lvl w:ilvl="0" w:tplc="AC6C38CE">
      <w:numFmt w:val="bullet"/>
      <w:lvlText w:val=""/>
      <w:lvlJc w:val="left"/>
      <w:pPr>
        <w:ind w:left="39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9" w15:restartNumberingAfterBreak="0">
    <w:nsid w:val="292E025C"/>
    <w:multiLevelType w:val="hybridMultilevel"/>
    <w:tmpl w:val="B2248766"/>
    <w:lvl w:ilvl="0" w:tplc="C700CC4A">
      <w:numFmt w:val="bullet"/>
      <w:lvlText w:val=""/>
      <w:lvlJc w:val="left"/>
      <w:pPr>
        <w:ind w:left="75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10" w15:restartNumberingAfterBreak="0">
    <w:nsid w:val="2B8F397A"/>
    <w:multiLevelType w:val="multilevel"/>
    <w:tmpl w:val="7FB6D77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C2F5421"/>
    <w:multiLevelType w:val="hybridMultilevel"/>
    <w:tmpl w:val="0B1458B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BD0B9B"/>
    <w:multiLevelType w:val="hybridMultilevel"/>
    <w:tmpl w:val="D51891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877E9E"/>
    <w:multiLevelType w:val="multilevel"/>
    <w:tmpl w:val="26D04C9C"/>
    <w:lvl w:ilvl="0">
      <w:start w:val="1"/>
      <w:numFmt w:val="upperRoman"/>
      <w:lvlText w:val="%1."/>
      <w:lvlJc w:val="righ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."/>
      <w:lvlJc w:val="right"/>
      <w:pPr>
        <w:ind w:left="1440" w:hanging="720"/>
      </w:pPr>
      <w:rPr>
        <w:rFonts w:hint="default"/>
        <w:color w:val="auto"/>
      </w:rPr>
    </w:lvl>
    <w:lvl w:ilvl="3">
      <w:start w:val="1"/>
      <w:numFmt w:val="lowerRoman"/>
      <w:lvlText w:val="%4."/>
      <w:lvlJc w:val="right"/>
      <w:pPr>
        <w:ind w:left="180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3CC10A8F"/>
    <w:multiLevelType w:val="hybridMultilevel"/>
    <w:tmpl w:val="92400A9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DCD140E"/>
    <w:multiLevelType w:val="multilevel"/>
    <w:tmpl w:val="72EE7700"/>
    <w:lvl w:ilvl="0">
      <w:start w:val="1"/>
      <w:numFmt w:val="upperRoman"/>
      <w:lvlText w:val="%1."/>
      <w:lvlJc w:val="right"/>
      <w:pPr>
        <w:ind w:left="360" w:hanging="360"/>
      </w:pPr>
      <w:rPr>
        <w:color w:val="auto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4ACB180A"/>
    <w:multiLevelType w:val="hybridMultilevel"/>
    <w:tmpl w:val="CAD250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DD94A7E"/>
    <w:multiLevelType w:val="hybridMultilevel"/>
    <w:tmpl w:val="1102F0CE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8" w15:restartNumberingAfterBreak="0">
    <w:nsid w:val="4E183EB3"/>
    <w:multiLevelType w:val="hybridMultilevel"/>
    <w:tmpl w:val="59BC09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065662"/>
    <w:multiLevelType w:val="hybridMultilevel"/>
    <w:tmpl w:val="49304134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9EC69E2"/>
    <w:multiLevelType w:val="multilevel"/>
    <w:tmpl w:val="72EE7700"/>
    <w:lvl w:ilvl="0">
      <w:start w:val="1"/>
      <w:numFmt w:val="upperRoman"/>
      <w:lvlText w:val="%1."/>
      <w:lvlJc w:val="right"/>
      <w:pPr>
        <w:ind w:left="360" w:hanging="360"/>
      </w:pPr>
      <w:rPr>
        <w:color w:val="auto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5C0747DB"/>
    <w:multiLevelType w:val="hybridMultilevel"/>
    <w:tmpl w:val="E130B1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0DB0E83"/>
    <w:multiLevelType w:val="hybridMultilevel"/>
    <w:tmpl w:val="72CEE17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7D1193A"/>
    <w:multiLevelType w:val="hybridMultilevel"/>
    <w:tmpl w:val="358A6460"/>
    <w:lvl w:ilvl="0" w:tplc="14E61880">
      <w:start w:val="15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8834871"/>
    <w:multiLevelType w:val="multilevel"/>
    <w:tmpl w:val="D59C67DA"/>
    <w:lvl w:ilvl="0">
      <w:start w:val="1"/>
      <w:numFmt w:val="upperRoman"/>
      <w:lvlText w:val="%1."/>
      <w:lvlJc w:val="right"/>
      <w:pPr>
        <w:ind w:left="360" w:hanging="360"/>
      </w:pPr>
      <w:rPr>
        <w:color w:val="auto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6A9402EE"/>
    <w:multiLevelType w:val="multilevel"/>
    <w:tmpl w:val="427E58A2"/>
    <w:lvl w:ilvl="0">
      <w:start w:val="1"/>
      <w:numFmt w:val="upperRoman"/>
      <w:lvlText w:val="%1."/>
      <w:lvlJc w:val="right"/>
      <w:pPr>
        <w:ind w:left="360" w:hanging="360"/>
      </w:pPr>
      <w:rPr>
        <w:color w:val="auto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."/>
      <w:lvlJc w:val="right"/>
      <w:pPr>
        <w:ind w:left="144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70751694"/>
    <w:multiLevelType w:val="multilevel"/>
    <w:tmpl w:val="A11E6F26"/>
    <w:lvl w:ilvl="0">
      <w:start w:val="1"/>
      <w:numFmt w:val="upperRoman"/>
      <w:lvlText w:val="%1."/>
      <w:lvlJc w:val="right"/>
      <w:pPr>
        <w:ind w:left="360" w:hanging="360"/>
      </w:pPr>
      <w:rPr>
        <w:color w:val="auto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73DA472B"/>
    <w:multiLevelType w:val="multilevel"/>
    <w:tmpl w:val="693E096A"/>
    <w:lvl w:ilvl="0">
      <w:start w:val="1"/>
      <w:numFmt w:val="upperRoman"/>
      <w:lvlText w:val="%1."/>
      <w:lvlJc w:val="right"/>
      <w:pPr>
        <w:ind w:left="360" w:hanging="360"/>
      </w:pPr>
      <w:rPr>
        <w:color w:val="auto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7D893AA1"/>
    <w:multiLevelType w:val="multilevel"/>
    <w:tmpl w:val="E52C49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EFF446C"/>
    <w:multiLevelType w:val="multilevel"/>
    <w:tmpl w:val="44C6DA58"/>
    <w:lvl w:ilvl="0">
      <w:start w:val="1"/>
      <w:numFmt w:val="upperRoman"/>
      <w:lvlText w:val="%1."/>
      <w:lvlJc w:val="right"/>
      <w:pPr>
        <w:ind w:left="360" w:hanging="360"/>
      </w:pPr>
      <w:rPr>
        <w:color w:val="auto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."/>
      <w:lvlJc w:val="right"/>
      <w:pPr>
        <w:ind w:left="1440" w:hanging="720"/>
      </w:pPr>
      <w:rPr>
        <w:rFonts w:hint="default"/>
        <w:color w:val="auto"/>
      </w:rPr>
    </w:lvl>
    <w:lvl w:ilvl="3">
      <w:start w:val="1"/>
      <w:numFmt w:val="lowerRoman"/>
      <w:lvlText w:val="%4."/>
      <w:lvlJc w:val="right"/>
      <w:pPr>
        <w:ind w:left="180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30" w15:restartNumberingAfterBreak="0">
    <w:nsid w:val="7F5C51C3"/>
    <w:multiLevelType w:val="hybridMultilevel"/>
    <w:tmpl w:val="7C0C5914"/>
    <w:lvl w:ilvl="0" w:tplc="E2FC76B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4"/>
  </w:num>
  <w:num w:numId="3">
    <w:abstractNumId w:val="18"/>
  </w:num>
  <w:num w:numId="4">
    <w:abstractNumId w:val="30"/>
  </w:num>
  <w:num w:numId="5">
    <w:abstractNumId w:val="27"/>
  </w:num>
  <w:num w:numId="6">
    <w:abstractNumId w:val="8"/>
  </w:num>
  <w:num w:numId="7">
    <w:abstractNumId w:val="9"/>
  </w:num>
  <w:num w:numId="8">
    <w:abstractNumId w:val="12"/>
  </w:num>
  <w:num w:numId="9">
    <w:abstractNumId w:val="21"/>
  </w:num>
  <w:num w:numId="10">
    <w:abstractNumId w:val="22"/>
  </w:num>
  <w:num w:numId="11">
    <w:abstractNumId w:val="3"/>
  </w:num>
  <w:num w:numId="12">
    <w:abstractNumId w:val="11"/>
  </w:num>
  <w:num w:numId="13">
    <w:abstractNumId w:val="19"/>
  </w:num>
  <w:num w:numId="14">
    <w:abstractNumId w:val="2"/>
  </w:num>
  <w:num w:numId="15">
    <w:abstractNumId w:val="1"/>
  </w:num>
  <w:num w:numId="16">
    <w:abstractNumId w:val="7"/>
  </w:num>
  <w:num w:numId="17">
    <w:abstractNumId w:val="25"/>
  </w:num>
  <w:num w:numId="1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0"/>
  </w:num>
  <w:num w:numId="20">
    <w:abstractNumId w:val="29"/>
  </w:num>
  <w:num w:numId="21">
    <w:abstractNumId w:val="13"/>
  </w:num>
  <w:num w:numId="22">
    <w:abstractNumId w:val="28"/>
  </w:num>
  <w:num w:numId="23">
    <w:abstractNumId w:val="6"/>
  </w:num>
  <w:num w:numId="24">
    <w:abstractNumId w:val="17"/>
  </w:num>
  <w:num w:numId="25">
    <w:abstractNumId w:val="20"/>
  </w:num>
  <w:num w:numId="26">
    <w:abstractNumId w:val="15"/>
  </w:num>
  <w:num w:numId="27">
    <w:abstractNumId w:val="5"/>
  </w:num>
  <w:num w:numId="28">
    <w:abstractNumId w:val="24"/>
  </w:num>
  <w:num w:numId="29">
    <w:abstractNumId w:val="23"/>
  </w:num>
  <w:num w:numId="30">
    <w:abstractNumId w:val="26"/>
  </w:num>
  <w:num w:numId="3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Formatting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711B"/>
    <w:rsid w:val="00000FC6"/>
    <w:rsid w:val="00001935"/>
    <w:rsid w:val="0001665B"/>
    <w:rsid w:val="0001726D"/>
    <w:rsid w:val="00017B41"/>
    <w:rsid w:val="00022715"/>
    <w:rsid w:val="00024491"/>
    <w:rsid w:val="000269F9"/>
    <w:rsid w:val="00032AF8"/>
    <w:rsid w:val="00062699"/>
    <w:rsid w:val="0007397E"/>
    <w:rsid w:val="00075F42"/>
    <w:rsid w:val="00086650"/>
    <w:rsid w:val="00086CFF"/>
    <w:rsid w:val="00091396"/>
    <w:rsid w:val="000922E9"/>
    <w:rsid w:val="000924AA"/>
    <w:rsid w:val="00095046"/>
    <w:rsid w:val="000B3840"/>
    <w:rsid w:val="000C16F9"/>
    <w:rsid w:val="000D15D5"/>
    <w:rsid w:val="000D4C6B"/>
    <w:rsid w:val="000F2091"/>
    <w:rsid w:val="000F2F4F"/>
    <w:rsid w:val="000F39D2"/>
    <w:rsid w:val="00102DAE"/>
    <w:rsid w:val="00102EE1"/>
    <w:rsid w:val="0010670D"/>
    <w:rsid w:val="00111D7B"/>
    <w:rsid w:val="00121CC8"/>
    <w:rsid w:val="00124040"/>
    <w:rsid w:val="001316E2"/>
    <w:rsid w:val="00133ED3"/>
    <w:rsid w:val="00142CF7"/>
    <w:rsid w:val="0017216B"/>
    <w:rsid w:val="00172C24"/>
    <w:rsid w:val="00175AB1"/>
    <w:rsid w:val="00194A45"/>
    <w:rsid w:val="001A14F0"/>
    <w:rsid w:val="001A352A"/>
    <w:rsid w:val="001C1143"/>
    <w:rsid w:val="001C18FD"/>
    <w:rsid w:val="001D1D66"/>
    <w:rsid w:val="001D3ECA"/>
    <w:rsid w:val="001D5B95"/>
    <w:rsid w:val="001D6AA7"/>
    <w:rsid w:val="001E0873"/>
    <w:rsid w:val="001E3E6D"/>
    <w:rsid w:val="001E7981"/>
    <w:rsid w:val="001F41E2"/>
    <w:rsid w:val="001F7559"/>
    <w:rsid w:val="002012E4"/>
    <w:rsid w:val="002049DE"/>
    <w:rsid w:val="00210317"/>
    <w:rsid w:val="002150E9"/>
    <w:rsid w:val="00225B5A"/>
    <w:rsid w:val="00231773"/>
    <w:rsid w:val="0023182E"/>
    <w:rsid w:val="00232F7E"/>
    <w:rsid w:val="0023302F"/>
    <w:rsid w:val="00236249"/>
    <w:rsid w:val="00244A9D"/>
    <w:rsid w:val="00251100"/>
    <w:rsid w:val="0025529C"/>
    <w:rsid w:val="0027103F"/>
    <w:rsid w:val="0028127C"/>
    <w:rsid w:val="00281955"/>
    <w:rsid w:val="00283316"/>
    <w:rsid w:val="002A07DA"/>
    <w:rsid w:val="002A46A6"/>
    <w:rsid w:val="002C7A4F"/>
    <w:rsid w:val="002D4B50"/>
    <w:rsid w:val="00302426"/>
    <w:rsid w:val="00305D2E"/>
    <w:rsid w:val="00335B4C"/>
    <w:rsid w:val="00336451"/>
    <w:rsid w:val="00340BC1"/>
    <w:rsid w:val="00346E79"/>
    <w:rsid w:val="00355449"/>
    <w:rsid w:val="003622D9"/>
    <w:rsid w:val="00364158"/>
    <w:rsid w:val="00366058"/>
    <w:rsid w:val="00370421"/>
    <w:rsid w:val="00382513"/>
    <w:rsid w:val="003835F0"/>
    <w:rsid w:val="00390FF7"/>
    <w:rsid w:val="003947D4"/>
    <w:rsid w:val="00395A99"/>
    <w:rsid w:val="003A0263"/>
    <w:rsid w:val="003C128C"/>
    <w:rsid w:val="003D2892"/>
    <w:rsid w:val="003D5073"/>
    <w:rsid w:val="003D609D"/>
    <w:rsid w:val="003E5E9E"/>
    <w:rsid w:val="003F2194"/>
    <w:rsid w:val="003F3865"/>
    <w:rsid w:val="003F5817"/>
    <w:rsid w:val="003F5F31"/>
    <w:rsid w:val="003F6C7D"/>
    <w:rsid w:val="004021FC"/>
    <w:rsid w:val="0040265D"/>
    <w:rsid w:val="00405B94"/>
    <w:rsid w:val="00416432"/>
    <w:rsid w:val="00417FB9"/>
    <w:rsid w:val="004311D4"/>
    <w:rsid w:val="00433246"/>
    <w:rsid w:val="00435D3B"/>
    <w:rsid w:val="0044125A"/>
    <w:rsid w:val="0045509F"/>
    <w:rsid w:val="00456C77"/>
    <w:rsid w:val="00466C7E"/>
    <w:rsid w:val="00473364"/>
    <w:rsid w:val="004735FB"/>
    <w:rsid w:val="00476558"/>
    <w:rsid w:val="00476B8D"/>
    <w:rsid w:val="00477D7B"/>
    <w:rsid w:val="00482240"/>
    <w:rsid w:val="00483414"/>
    <w:rsid w:val="0048799B"/>
    <w:rsid w:val="004979FF"/>
    <w:rsid w:val="004A7078"/>
    <w:rsid w:val="004D5823"/>
    <w:rsid w:val="004D6E04"/>
    <w:rsid w:val="004D7049"/>
    <w:rsid w:val="004E0EED"/>
    <w:rsid w:val="004E2E74"/>
    <w:rsid w:val="004F386F"/>
    <w:rsid w:val="004F5BB4"/>
    <w:rsid w:val="0050104A"/>
    <w:rsid w:val="00507B57"/>
    <w:rsid w:val="00512024"/>
    <w:rsid w:val="005140D4"/>
    <w:rsid w:val="00515FBA"/>
    <w:rsid w:val="00520F58"/>
    <w:rsid w:val="00531100"/>
    <w:rsid w:val="00531E51"/>
    <w:rsid w:val="0053494F"/>
    <w:rsid w:val="005364CE"/>
    <w:rsid w:val="00542662"/>
    <w:rsid w:val="00544613"/>
    <w:rsid w:val="00545670"/>
    <w:rsid w:val="00571902"/>
    <w:rsid w:val="0058137A"/>
    <w:rsid w:val="005833C9"/>
    <w:rsid w:val="00590599"/>
    <w:rsid w:val="0059456F"/>
    <w:rsid w:val="005A1056"/>
    <w:rsid w:val="005A5772"/>
    <w:rsid w:val="005B2B8C"/>
    <w:rsid w:val="005C200C"/>
    <w:rsid w:val="005C76E9"/>
    <w:rsid w:val="005D330B"/>
    <w:rsid w:val="005E713C"/>
    <w:rsid w:val="005F459D"/>
    <w:rsid w:val="00600677"/>
    <w:rsid w:val="006121CC"/>
    <w:rsid w:val="0062725A"/>
    <w:rsid w:val="00641ED4"/>
    <w:rsid w:val="00643C8F"/>
    <w:rsid w:val="00654F47"/>
    <w:rsid w:val="00675E7A"/>
    <w:rsid w:val="00684C2C"/>
    <w:rsid w:val="00685DB4"/>
    <w:rsid w:val="00690C9E"/>
    <w:rsid w:val="00692DA0"/>
    <w:rsid w:val="00694916"/>
    <w:rsid w:val="006A1798"/>
    <w:rsid w:val="006A291C"/>
    <w:rsid w:val="006A30A7"/>
    <w:rsid w:val="006B0DF5"/>
    <w:rsid w:val="006B44D8"/>
    <w:rsid w:val="006C6059"/>
    <w:rsid w:val="006E24E0"/>
    <w:rsid w:val="006F142C"/>
    <w:rsid w:val="006F5164"/>
    <w:rsid w:val="007018D3"/>
    <w:rsid w:val="00702A56"/>
    <w:rsid w:val="00707676"/>
    <w:rsid w:val="00714BFD"/>
    <w:rsid w:val="0072221C"/>
    <w:rsid w:val="00724881"/>
    <w:rsid w:val="00725899"/>
    <w:rsid w:val="007436EA"/>
    <w:rsid w:val="00746260"/>
    <w:rsid w:val="00747FA9"/>
    <w:rsid w:val="007553B3"/>
    <w:rsid w:val="007629AB"/>
    <w:rsid w:val="007703E3"/>
    <w:rsid w:val="007A78F4"/>
    <w:rsid w:val="007B0420"/>
    <w:rsid w:val="007B500B"/>
    <w:rsid w:val="007B6B61"/>
    <w:rsid w:val="007C3374"/>
    <w:rsid w:val="007D5844"/>
    <w:rsid w:val="007E02E1"/>
    <w:rsid w:val="007E36EF"/>
    <w:rsid w:val="007E7A4C"/>
    <w:rsid w:val="007F7228"/>
    <w:rsid w:val="00800744"/>
    <w:rsid w:val="00801D9C"/>
    <w:rsid w:val="00802EF5"/>
    <w:rsid w:val="00803A02"/>
    <w:rsid w:val="00804876"/>
    <w:rsid w:val="008052A0"/>
    <w:rsid w:val="00807C07"/>
    <w:rsid w:val="00816488"/>
    <w:rsid w:val="0084101D"/>
    <w:rsid w:val="00841608"/>
    <w:rsid w:val="00852D9F"/>
    <w:rsid w:val="00865A6F"/>
    <w:rsid w:val="0087190C"/>
    <w:rsid w:val="008739E3"/>
    <w:rsid w:val="008776B9"/>
    <w:rsid w:val="008813B9"/>
    <w:rsid w:val="00885698"/>
    <w:rsid w:val="008902BA"/>
    <w:rsid w:val="008F4286"/>
    <w:rsid w:val="008F4BD7"/>
    <w:rsid w:val="008F6C4C"/>
    <w:rsid w:val="00901F7B"/>
    <w:rsid w:val="00914021"/>
    <w:rsid w:val="0091508A"/>
    <w:rsid w:val="00915206"/>
    <w:rsid w:val="00921049"/>
    <w:rsid w:val="00925C27"/>
    <w:rsid w:val="00933A84"/>
    <w:rsid w:val="009421B5"/>
    <w:rsid w:val="00944D7A"/>
    <w:rsid w:val="0095122E"/>
    <w:rsid w:val="00953879"/>
    <w:rsid w:val="0095613A"/>
    <w:rsid w:val="0095711B"/>
    <w:rsid w:val="00964634"/>
    <w:rsid w:val="0097075D"/>
    <w:rsid w:val="00982F6E"/>
    <w:rsid w:val="0098564A"/>
    <w:rsid w:val="00991CB0"/>
    <w:rsid w:val="009B35CC"/>
    <w:rsid w:val="009C5C06"/>
    <w:rsid w:val="009D3762"/>
    <w:rsid w:val="009E39BA"/>
    <w:rsid w:val="009F33FF"/>
    <w:rsid w:val="009F3CA2"/>
    <w:rsid w:val="009F744D"/>
    <w:rsid w:val="009F7524"/>
    <w:rsid w:val="00A0628B"/>
    <w:rsid w:val="00A067E6"/>
    <w:rsid w:val="00A06B61"/>
    <w:rsid w:val="00A10CD5"/>
    <w:rsid w:val="00A12C27"/>
    <w:rsid w:val="00A139E6"/>
    <w:rsid w:val="00A13EE1"/>
    <w:rsid w:val="00A20379"/>
    <w:rsid w:val="00A210C6"/>
    <w:rsid w:val="00A2474F"/>
    <w:rsid w:val="00A25DF9"/>
    <w:rsid w:val="00A357F7"/>
    <w:rsid w:val="00A37C9C"/>
    <w:rsid w:val="00A44563"/>
    <w:rsid w:val="00A50ABE"/>
    <w:rsid w:val="00A57185"/>
    <w:rsid w:val="00A7257A"/>
    <w:rsid w:val="00A76059"/>
    <w:rsid w:val="00A84D7E"/>
    <w:rsid w:val="00A86E7C"/>
    <w:rsid w:val="00A876E7"/>
    <w:rsid w:val="00A9761C"/>
    <w:rsid w:val="00AA09DE"/>
    <w:rsid w:val="00AA5389"/>
    <w:rsid w:val="00AB22FA"/>
    <w:rsid w:val="00AB4AE6"/>
    <w:rsid w:val="00AC081B"/>
    <w:rsid w:val="00AD0781"/>
    <w:rsid w:val="00AD2513"/>
    <w:rsid w:val="00AD3653"/>
    <w:rsid w:val="00AD4D47"/>
    <w:rsid w:val="00AD5177"/>
    <w:rsid w:val="00AE4D59"/>
    <w:rsid w:val="00AE6BE5"/>
    <w:rsid w:val="00AF2F55"/>
    <w:rsid w:val="00AF5A26"/>
    <w:rsid w:val="00AF5C75"/>
    <w:rsid w:val="00B10C5D"/>
    <w:rsid w:val="00B13125"/>
    <w:rsid w:val="00B17586"/>
    <w:rsid w:val="00B20246"/>
    <w:rsid w:val="00B307EC"/>
    <w:rsid w:val="00B32D2B"/>
    <w:rsid w:val="00B33130"/>
    <w:rsid w:val="00B347ED"/>
    <w:rsid w:val="00B37FA5"/>
    <w:rsid w:val="00B41C0C"/>
    <w:rsid w:val="00B42FF3"/>
    <w:rsid w:val="00B509AF"/>
    <w:rsid w:val="00B50AC9"/>
    <w:rsid w:val="00B56CDC"/>
    <w:rsid w:val="00B61CD7"/>
    <w:rsid w:val="00B62E14"/>
    <w:rsid w:val="00B8351E"/>
    <w:rsid w:val="00B967BD"/>
    <w:rsid w:val="00BA32BA"/>
    <w:rsid w:val="00BA5AD2"/>
    <w:rsid w:val="00BB2778"/>
    <w:rsid w:val="00BB378B"/>
    <w:rsid w:val="00BB612A"/>
    <w:rsid w:val="00BC390C"/>
    <w:rsid w:val="00BC4769"/>
    <w:rsid w:val="00BF7989"/>
    <w:rsid w:val="00C24EC7"/>
    <w:rsid w:val="00C32830"/>
    <w:rsid w:val="00C3492D"/>
    <w:rsid w:val="00C35667"/>
    <w:rsid w:val="00C433DE"/>
    <w:rsid w:val="00C43E24"/>
    <w:rsid w:val="00C5184A"/>
    <w:rsid w:val="00C5730B"/>
    <w:rsid w:val="00C61F82"/>
    <w:rsid w:val="00C73BA8"/>
    <w:rsid w:val="00C85C3E"/>
    <w:rsid w:val="00CA490B"/>
    <w:rsid w:val="00CB0D03"/>
    <w:rsid w:val="00CB46A0"/>
    <w:rsid w:val="00CC716E"/>
    <w:rsid w:val="00CD109E"/>
    <w:rsid w:val="00CD54D1"/>
    <w:rsid w:val="00CE0643"/>
    <w:rsid w:val="00CE6CDE"/>
    <w:rsid w:val="00CF0083"/>
    <w:rsid w:val="00CF6F43"/>
    <w:rsid w:val="00CF6F60"/>
    <w:rsid w:val="00D015C1"/>
    <w:rsid w:val="00D07611"/>
    <w:rsid w:val="00D07EB4"/>
    <w:rsid w:val="00D143F1"/>
    <w:rsid w:val="00D15AE2"/>
    <w:rsid w:val="00D2491C"/>
    <w:rsid w:val="00D35902"/>
    <w:rsid w:val="00D36406"/>
    <w:rsid w:val="00D53BA8"/>
    <w:rsid w:val="00D55EA9"/>
    <w:rsid w:val="00D57DA2"/>
    <w:rsid w:val="00D6315A"/>
    <w:rsid w:val="00D707BB"/>
    <w:rsid w:val="00D7148C"/>
    <w:rsid w:val="00D8501E"/>
    <w:rsid w:val="00D93016"/>
    <w:rsid w:val="00D95606"/>
    <w:rsid w:val="00DA5D1E"/>
    <w:rsid w:val="00DB1BAD"/>
    <w:rsid w:val="00DB1FC1"/>
    <w:rsid w:val="00DC16F5"/>
    <w:rsid w:val="00DC1E68"/>
    <w:rsid w:val="00DC7688"/>
    <w:rsid w:val="00DE0DD0"/>
    <w:rsid w:val="00DF475D"/>
    <w:rsid w:val="00E07DAE"/>
    <w:rsid w:val="00E10E54"/>
    <w:rsid w:val="00E20EBD"/>
    <w:rsid w:val="00E25949"/>
    <w:rsid w:val="00E2625C"/>
    <w:rsid w:val="00E33333"/>
    <w:rsid w:val="00E52408"/>
    <w:rsid w:val="00E5259A"/>
    <w:rsid w:val="00E52DB5"/>
    <w:rsid w:val="00E57D20"/>
    <w:rsid w:val="00E61F1F"/>
    <w:rsid w:val="00E65098"/>
    <w:rsid w:val="00E6675A"/>
    <w:rsid w:val="00E75CB3"/>
    <w:rsid w:val="00E94DAA"/>
    <w:rsid w:val="00EA3919"/>
    <w:rsid w:val="00EB435F"/>
    <w:rsid w:val="00EC0A2A"/>
    <w:rsid w:val="00EC206B"/>
    <w:rsid w:val="00EC4075"/>
    <w:rsid w:val="00ED70D1"/>
    <w:rsid w:val="00EE0122"/>
    <w:rsid w:val="00EE212C"/>
    <w:rsid w:val="00EE47F6"/>
    <w:rsid w:val="00EF1A5B"/>
    <w:rsid w:val="00EF3063"/>
    <w:rsid w:val="00EF41CE"/>
    <w:rsid w:val="00EF6A5E"/>
    <w:rsid w:val="00F00960"/>
    <w:rsid w:val="00F01EA0"/>
    <w:rsid w:val="00F16651"/>
    <w:rsid w:val="00F16677"/>
    <w:rsid w:val="00F208A9"/>
    <w:rsid w:val="00F22D13"/>
    <w:rsid w:val="00F27748"/>
    <w:rsid w:val="00F36007"/>
    <w:rsid w:val="00F373D0"/>
    <w:rsid w:val="00F43576"/>
    <w:rsid w:val="00F455F8"/>
    <w:rsid w:val="00F50742"/>
    <w:rsid w:val="00F6363D"/>
    <w:rsid w:val="00F64B11"/>
    <w:rsid w:val="00F72625"/>
    <w:rsid w:val="00F72899"/>
    <w:rsid w:val="00F80562"/>
    <w:rsid w:val="00F87CA3"/>
    <w:rsid w:val="00F93F7E"/>
    <w:rsid w:val="00FA701B"/>
    <w:rsid w:val="00FB4590"/>
    <w:rsid w:val="00FB7299"/>
    <w:rsid w:val="00FD064A"/>
    <w:rsid w:val="00FE14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F35570"/>
  <w15:docId w15:val="{A24C7D23-91EC-4B80-BF6B-6F7860F4CC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A0628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fuente"/>
    <w:basedOn w:val="Normal"/>
    <w:link w:val="ListParagraphChar"/>
    <w:qFormat/>
    <w:rsid w:val="0095711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95711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5711B"/>
  </w:style>
  <w:style w:type="paragraph" w:styleId="Footer">
    <w:name w:val="footer"/>
    <w:basedOn w:val="Normal"/>
    <w:link w:val="FooterChar"/>
    <w:uiPriority w:val="99"/>
    <w:unhideWhenUsed/>
    <w:rsid w:val="0095711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5711B"/>
  </w:style>
  <w:style w:type="paragraph" w:styleId="BalloonText">
    <w:name w:val="Balloon Text"/>
    <w:basedOn w:val="Normal"/>
    <w:link w:val="BalloonTextChar"/>
    <w:uiPriority w:val="99"/>
    <w:semiHidden/>
    <w:unhideWhenUsed/>
    <w:rsid w:val="00A10C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0CD5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A13EE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13EE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13EE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13EE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13EE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A13EE1"/>
    <w:pPr>
      <w:spacing w:after="0" w:line="240" w:lineRule="auto"/>
    </w:pPr>
  </w:style>
  <w:style w:type="table" w:styleId="TableGrid">
    <w:name w:val="Table Grid"/>
    <w:basedOn w:val="TableNormal"/>
    <w:uiPriority w:val="59"/>
    <w:rsid w:val="00F636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ps">
    <w:name w:val="hps"/>
    <w:basedOn w:val="DefaultParagraphFont"/>
    <w:rsid w:val="0023182E"/>
  </w:style>
  <w:style w:type="character" w:customStyle="1" w:styleId="ListParagraphChar">
    <w:name w:val="List Paragraph Char"/>
    <w:aliases w:val="fuente Char"/>
    <w:basedOn w:val="DefaultParagraphFont"/>
    <w:link w:val="ListParagraph"/>
    <w:uiPriority w:val="34"/>
    <w:locked/>
    <w:rsid w:val="00382513"/>
  </w:style>
  <w:style w:type="paragraph" w:styleId="FootnoteText">
    <w:name w:val="footnote text"/>
    <w:basedOn w:val="Normal"/>
    <w:link w:val="FootnoteTextChar"/>
    <w:uiPriority w:val="99"/>
    <w:unhideWhenUsed/>
    <w:rsid w:val="0009504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95046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95046"/>
    <w:rPr>
      <w:vertAlign w:val="superscript"/>
    </w:rPr>
  </w:style>
  <w:style w:type="paragraph" w:styleId="BodyText">
    <w:name w:val="Body Text"/>
    <w:basedOn w:val="Normal"/>
    <w:link w:val="BodyTextChar"/>
    <w:uiPriority w:val="99"/>
    <w:rsid w:val="00600677"/>
    <w:pPr>
      <w:suppressAutoHyphens/>
      <w:autoSpaceDN w:val="0"/>
      <w:spacing w:after="12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rsid w:val="00600677"/>
    <w:rPr>
      <w:rFonts w:ascii="Times New Roman" w:eastAsia="Times New Roman" w:hAnsi="Times New Roman" w:cs="Times New Roman"/>
      <w:sz w:val="24"/>
      <w:szCs w:val="20"/>
    </w:rPr>
  </w:style>
  <w:style w:type="paragraph" w:customStyle="1" w:styleId="Default">
    <w:name w:val="Default"/>
    <w:rsid w:val="007A78F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es-ES"/>
    </w:rPr>
  </w:style>
  <w:style w:type="paragraph" w:styleId="BodyText2">
    <w:name w:val="Body Text 2"/>
    <w:basedOn w:val="Normal"/>
    <w:link w:val="BodyText2Char"/>
    <w:rsid w:val="003F6C7D"/>
    <w:pPr>
      <w:suppressAutoHyphens/>
      <w:autoSpaceDN w:val="0"/>
      <w:spacing w:after="120" w:line="480" w:lineRule="auto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BodyText2Char">
    <w:name w:val="Body Text 2 Char"/>
    <w:basedOn w:val="DefaultParagraphFont"/>
    <w:link w:val="BodyText2"/>
    <w:rsid w:val="003F6C7D"/>
    <w:rPr>
      <w:rFonts w:ascii="Times New Roman" w:eastAsia="Times New Roman" w:hAnsi="Times New Roman" w:cs="Times New Roman"/>
      <w:sz w:val="24"/>
      <w:szCs w:val="20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D15AE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D15AE2"/>
    <w:rPr>
      <w:rFonts w:ascii="Courier New" w:eastAsia="Times New Roman" w:hAnsi="Courier New" w:cs="Courier New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B20246"/>
    <w:pPr>
      <w:spacing w:line="240" w:lineRule="auto"/>
    </w:pPr>
    <w:rPr>
      <w:i/>
      <w:iCs/>
      <w:color w:val="1F497D" w:themeColor="text2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A0628B"/>
    <w:rPr>
      <w:rFonts w:ascii="Times New Roman" w:eastAsia="Times New Roman" w:hAnsi="Times New Roman" w:cs="Times New Roman"/>
      <w:b/>
      <w:bCs/>
      <w:kern w:val="36"/>
      <w:sz w:val="48"/>
      <w:szCs w:val="48"/>
      <w:lang w:eastAsia="ja-JP"/>
    </w:rPr>
  </w:style>
  <w:style w:type="character" w:styleId="Hyperlink">
    <w:name w:val="Hyperlink"/>
    <w:basedOn w:val="DefaultParagraphFont"/>
    <w:uiPriority w:val="99"/>
    <w:unhideWhenUsed/>
    <w:rsid w:val="00A0628B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0628B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E94D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062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1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69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92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68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2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0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32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42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16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231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8615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9796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5840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350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60921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55207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57479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0" w:color="F5F5F5"/>
                                        <w:left w:val="single" w:sz="6" w:space="0" w:color="F5F5F5"/>
                                        <w:bottom w:val="single" w:sz="6" w:space="0" w:color="F5F5F5"/>
                                        <w:right w:val="single" w:sz="6" w:space="0" w:color="F5F5F5"/>
                                      </w:divBdr>
                                      <w:divsChild>
                                        <w:div w:id="15038157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250666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632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230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60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240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938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3373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9445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83296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17973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0" w:color="F5F5F5"/>
                                        <w:left w:val="single" w:sz="6" w:space="0" w:color="F5F5F5"/>
                                        <w:bottom w:val="single" w:sz="6" w:space="0" w:color="F5F5F5"/>
                                        <w:right w:val="single" w:sz="6" w:space="0" w:color="F5F5F5"/>
                                      </w:divBdr>
                                      <w:divsChild>
                                        <w:div w:id="6424639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08543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323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429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6069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7284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880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6485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10023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171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02371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0" w:color="F5F5F5"/>
                                        <w:left w:val="single" w:sz="6" w:space="0" w:color="F5F5F5"/>
                                        <w:bottom w:val="single" w:sz="6" w:space="0" w:color="F5F5F5"/>
                                        <w:right w:val="single" w:sz="6" w:space="0" w:color="F5F5F5"/>
                                      </w:divBdr>
                                      <w:divsChild>
                                        <w:div w:id="15209718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59912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642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867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681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0545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318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1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1877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7916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7779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7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SharedContentType xmlns="Microsoft.SharePoint.Taxonomy.ContentTypeSync" SourceId="ae61f9b1-e23d-4f49-b3d7-56b991556c4b" ContentTypeId="0x0101001A458A224826124E8B45B1D613300CFC" PreviousValue="false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1A458A224826124E8B45B1D613300CFC00CEB9F3545884A24A9DCB16CF04F7C76F" ma:contentTypeVersion="2225" ma:contentTypeDescription="A content type to manage public (operations) IDB documents" ma:contentTypeScope="" ma:versionID="1de6131dc8be93344e0be6c5ff626e8c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86902fe59b720ae609f3a9c8d8a67c3c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e46fe2894295491da65140ffd2369f49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b26cdb1da78c4bb4b1c1bac2f6ac5911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g511464f9e53401d84b16fa9b379a574" minOccurs="0"/>
                <xsd:element ref="ns2:nddeef1749674d76abdbe4b239a70bc6" minOccurs="0"/>
                <xsd:element ref="ns2:b2ec7cfb18674cb8803df6b262e8b107" minOccurs="0"/>
                <xsd:element ref="ns2:Document_x0020_Language_x0020_IDB"/>
                <xsd:element ref="ns2:Division_x0020_or_x0020_Unit"/>
                <xsd:element ref="ns2:Identifier" minOccurs="0"/>
                <xsd:element ref="ns2:Fiscal_x0020_Year_x0020_IDB" minOccurs="0"/>
                <xsd:element ref="ns2:ic46d7e087fd4a108fb86518ca413cc6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Disclosed" minOccurs="0"/>
                <xsd:element ref="ns2:Record_x0020_Number" minOccurs="0"/>
                <xsd:element ref="ns2:Related_x0020_SisCor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e46fe2894295491da65140ffd2369f49" ma:index="11" ma:taxonomy="true" ma:internalName="e46fe2894295491da65140ffd2369f49" ma:taxonomyFieldName="Function_x0020_Operations_x0020_IDB" ma:displayName="Function Operations IDB" ma:readOnly="false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b26cdb1da78c4bb4b1c1bac2f6ac5911" ma:index="16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g511464f9e53401d84b16fa9b379a574" ma:index="24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26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28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33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34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6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7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8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9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40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1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2" nillable="true" ma:displayName="Abstract" ma:internalName="Abstract">
      <xsd:simpleType>
        <xsd:restriction base="dms:Note"/>
      </xsd:simpleType>
    </xsd:element>
    <xsd:element name="Migration_x0020_Info" ma:index="43" nillable="true" ma:displayName="Migration Info" ma:internalName="Migration_x0020_Info">
      <xsd:simpleType>
        <xsd:restriction base="dms:Note"/>
      </xsd:simpleType>
    </xsd:element>
    <xsd:element name="SISCOR_x0020_Number" ma:index="44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5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Editor1" ma:index="46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7" nillable="true" ma:displayName="Issue Date" ma:format="DateOnly" ma:internalName="Issue_x0020_Date">
      <xsd:simpleType>
        <xsd:restriction base="dms:DateTime"/>
      </xsd:simpleType>
    </xsd:element>
    <xsd:element name="Publishing_x0020_House" ma:index="48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9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50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1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Disclosed" ma:index="52" nillable="true" ma:displayName="Disclosed" ma:default="0" ma:internalName="Disclosed">
      <xsd:simpleType>
        <xsd:restriction base="dms:Boolean"/>
      </xsd:simpleType>
    </xsd:element>
    <xsd:element name="Record_x0020_Number" ma:index="53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54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6.xml><?xml version="1.0" encoding="utf-8"?>
<?mso-contentType ?>
<FormUrls xmlns="http://schemas.microsoft.com/sharepoint/v3/contenttype/forms/url">
  <Display>_catalogs/masterpage/ECMForms/OperationsCT/View.aspx</Display>
  <Edit>_catalogs/masterpage/ECMForms/OperationsCT/Edit.aspx</Edit>
</FormUrls>
</file>

<file path=customXml/item7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Document_x0020_Type xmlns="cdc7663a-08f0-4737-9e8c-148ce897a09c" xsi:nil="true"/>
    <Record_x0020_Number xmlns="cdc7663a-08f0-4737-9e8c-148ce897a09c" xsi:nil="true"/>
    <Key_x0020_Document xmlns="cdc7663a-08f0-4737-9e8c-148ce897a09c">false</Key_x0020_Document>
    <Division_x0020_or_x0020_Unit xmlns="cdc7663a-08f0-4737-9e8c-148ce897a09c">INE/WSA</Division_x0020_or_x0020_Unit>
    <Other_x0020_Author xmlns="cdc7663a-08f0-4737-9e8c-148ce897a09c" xsi:nil="true"/>
    <IDBDocs_x0020_Number xmlns="cdc7663a-08f0-4737-9e8c-148ce897a09c" xsi:nil="true"/>
    <Document_x0020_Author xmlns="cdc7663a-08f0-4737-9e8c-148ce897a09c">Guerrero Rivera, Marilyn Ivette</Document_x0020_Author>
    <_dlc_DocId xmlns="cdc7663a-08f0-4737-9e8c-148ce897a09c">EZSHARE-1163329079-1</_dlc_DocId>
    <Operation_x0020_Type xmlns="cdc7663a-08f0-4737-9e8c-148ce897a09c">Technical Cooperation</Operation_x0020_Type>
    <ic46d7e087fd4a108fb86518ca413c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Regional</TermName>
          <TermId xmlns="http://schemas.microsoft.com/office/infopath/2007/PartnerControls">2537a5b7-6d8e-482c-94dc-32c3cc44ff65</TermId>
        </TermInfo>
      </Terms>
    </ic46d7e087fd4a108fb86518ca413cc6>
    <TaxCatchAll xmlns="cdc7663a-08f0-4737-9e8c-148ce897a09c">
      <Value>33</Value>
      <Value>555</Value>
      <Value>44</Value>
      <Value>345</Value>
      <Value>237</Value>
      <Value>1</Value>
    </TaxCatchAll>
    <Fiscal_x0020_Year_x0020_IDB xmlns="cdc7663a-08f0-4737-9e8c-148ce897a09c">2019</Fiscal_x0020_Year_x0020_IDB>
    <b26cdb1da78c4bb4b1c1bac2f6ac5911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TC Abstract</TermName>
          <TermId xmlns="http://schemas.microsoft.com/office/infopath/2007/PartnerControls">7d12d2c9-3b07-4a95-a4b4-99c2881b0472</TermId>
        </TermInfo>
      </Terms>
    </b26cdb1da78c4bb4b1c1bac2f6ac5911>
    <Project_x0020_Number xmlns="cdc7663a-08f0-4737-9e8c-148ce897a09c">RG-T3422</Project_x0020_Number>
    <Package_x0020_Code xmlns="cdc7663a-08f0-4737-9e8c-148ce897a09c" xsi:nil="true"/>
    <Migration_x0020_Info xmlns="cdc7663a-08f0-4737-9e8c-148ce897a09c" xsi:nil="true"/>
    <Related_x0020_SisCor_x0020_Number xmlns="cdc7663a-08f0-4737-9e8c-148ce897a09c" xsi:nil="true"/>
    <Approval_x0020_Number xmlns="cdc7663a-08f0-4737-9e8c-148ce897a09c" xsi:nil="true"/>
    <Business_x0020_Area xmlns="cdc7663a-08f0-4737-9e8c-148ce897a09c" xsi:nil="true"/>
    <SISCOR_x0020_Number xmlns="cdc7663a-08f0-4737-9e8c-148ce897a09c" xsi:nil="true"/>
    <e46fe2894295491da65140ffd2369f49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Project Preparation, Planning and Design</TermName>
          <TermId xmlns="http://schemas.microsoft.com/office/infopath/2007/PartnerControls">29ca0c72-1fc4-435f-a09c-28585cb5eac9</TermId>
        </TermInfo>
      </Terms>
    </e46fe2894295491da65140ffd2369f49>
    <Access_x0020_to_x0020_Information_x00a0_Policy xmlns="cdc7663a-08f0-4737-9e8c-148ce897a09c">Public</Access_x0020_to_x0020_Information_x00a0_Policy>
    <Identifier xmlns="cdc7663a-08f0-4737-9e8c-148ce897a09c" xsi:nil="true"/>
    <g511464f9e53401d84b16fa9b379a574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LAF</TermName>
          <TermId xmlns="http://schemas.microsoft.com/office/infopath/2007/PartnerControls">2647e268-a843-40db-87c2-bb6c97591047</TermId>
        </TermInfo>
      </Terms>
    </g511464f9e53401d84b16fa9b379a574>
    <nddeef1749674d76abdbe4b239a70b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WATER AND SANITATION</TermName>
          <TermId xmlns="http://schemas.microsoft.com/office/infopath/2007/PartnerControls">ba6b63cd-e402-47cb-9357-08149f7ce046</TermId>
        </TermInfo>
      </Terms>
    </nddeef1749674d76abdbe4b239a70bc6>
    <b2ec7cfb18674cb8803df6b262e8b107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SANITATION RURAL AND PERI-URBAN</TermName>
          <TermId xmlns="http://schemas.microsoft.com/office/infopath/2007/PartnerControls">0f78f9dc-77d0-4b08-ac4d-eb159161fb0f</TermId>
        </TermInfo>
      </Terms>
    </b2ec7cfb18674cb8803df6b262e8b107>
    <Document_x0020_Language_x0020_IDB xmlns="cdc7663a-08f0-4737-9e8c-148ce897a09c">Spanish</Document_x0020_Language_x0020_IDB>
    <_dlc_DocIdUrl xmlns="cdc7663a-08f0-4737-9e8c-148ce897a09c">
      <Url>https://idbg.sharepoint.com/teams/EZ-RG-TCP/RG-T3422/_layouts/15/DocIdRedir.aspx?ID=EZSHARE-1163329079-1</Url>
      <Description>EZSHARE-1163329079-1</Description>
    </_dlc_DocIdUrl>
    <Phase xmlns="cdc7663a-08f0-4737-9e8c-148ce897a09c" xsi:nil="true"/>
    <Disclosure_x0020_Activity xmlns="cdc7663a-08f0-4737-9e8c-148ce897a09c">TC Abstract</Disclosure_x0020_Activity>
    <Issue_x0020_Date xmlns="cdc7663a-08f0-4737-9e8c-148ce897a09c" xsi:nil="true"/>
    <KP_x0020_Topics xmlns="cdc7663a-08f0-4737-9e8c-148ce897a09c" xsi:nil="true"/>
    <Disclosed xmlns="cdc7663a-08f0-4737-9e8c-148ce897a09c">false</Disclosed>
    <Publication_x0020_Type xmlns="cdc7663a-08f0-4737-9e8c-148ce897a09c" xsi:nil="true"/>
    <Editor1 xmlns="cdc7663a-08f0-4737-9e8c-148ce897a09c" xsi:nil="true"/>
    <Region xmlns="cdc7663a-08f0-4737-9e8c-148ce897a09c" xsi:nil="true"/>
    <Webtopic xmlns="cdc7663a-08f0-4737-9e8c-148ce897a09c">Water and Sanitation;</Webtopic>
    <Abstract xmlns="cdc7663a-08f0-4737-9e8c-148ce897a09c" xsi:nil="true"/>
    <Publishing_x0020_House xmlns="cdc7663a-08f0-4737-9e8c-148ce897a09c" xsi:nil="true"/>
  </documentManagement>
</p:properties>
</file>

<file path=customXml/itemProps1.xml><?xml version="1.0" encoding="utf-8"?>
<ds:datastoreItem xmlns:ds="http://schemas.openxmlformats.org/officeDocument/2006/customXml" ds:itemID="{3A5B0EA9-8490-4920-8D4E-5FDC91BD21A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966942F-2AF2-44C2-B658-4B8C90F8B918}"/>
</file>

<file path=customXml/itemProps3.xml><?xml version="1.0" encoding="utf-8"?>
<ds:datastoreItem xmlns:ds="http://schemas.openxmlformats.org/officeDocument/2006/customXml" ds:itemID="{891328EC-F6D6-42E9-9F15-EBD642D185CB}"/>
</file>

<file path=customXml/itemProps4.xml><?xml version="1.0" encoding="utf-8"?>
<ds:datastoreItem xmlns:ds="http://schemas.openxmlformats.org/officeDocument/2006/customXml" ds:itemID="{B8657104-4D9E-487F-9B0B-1BDCBD353298}"/>
</file>

<file path=customXml/itemProps5.xml><?xml version="1.0" encoding="utf-8"?>
<ds:datastoreItem xmlns:ds="http://schemas.openxmlformats.org/officeDocument/2006/customXml" ds:itemID="{C3DD8D6F-016B-47BB-BFF5-C7913300D735}"/>
</file>

<file path=customXml/itemProps6.xml><?xml version="1.0" encoding="utf-8"?>
<ds:datastoreItem xmlns:ds="http://schemas.openxmlformats.org/officeDocument/2006/customXml" ds:itemID="{95D0068C-8AF1-4AED-9ED9-A5AE4FE86D72}"/>
</file>

<file path=customXml/itemProps7.xml><?xml version="1.0" encoding="utf-8"?>
<ds:datastoreItem xmlns:ds="http://schemas.openxmlformats.org/officeDocument/2006/customXml" ds:itemID="{47E4FA14-6F64-4893-B564-A9B5AE3E1B0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6</Pages>
  <Words>2278</Words>
  <Characters>12989</Characters>
  <Application>Microsoft Office Word</Application>
  <DocSecurity>0</DocSecurity>
  <Lines>108</Lines>
  <Paragraphs>30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Inter-American Development Bank</Company>
  <LinksUpToDate>false</LinksUpToDate>
  <CharactersWithSpaces>15237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Yolanda Strachan</dc:creator>
  <cp:keywords/>
  <cp:lastModifiedBy>Guerrero Rivera, Marilyn Ivette</cp:lastModifiedBy>
  <cp:revision>5</cp:revision>
  <cp:lastPrinted>2012-08-24T17:26:00Z</cp:lastPrinted>
  <dcterms:created xsi:type="dcterms:W3CDTF">2019-05-09T23:17:00Z</dcterms:created>
  <dcterms:modified xsi:type="dcterms:W3CDTF">2019-06-03T15:33:00Z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axKeyword">
    <vt:lpwstr/>
  </property>
  <property fmtid="{D5CDD505-2E9C-101B-9397-08002B2CF9AE}" pid="4" name="TaxKeywordTaxHTField">
    <vt:lpwstr/>
  </property>
  <property fmtid="{D5CDD505-2E9C-101B-9397-08002B2CF9AE}" pid="5" name="Series Operations IDB">
    <vt:lpwstr>33;#TC Abstract|7d12d2c9-3b07-4a95-a4b4-99c2881b0472</vt:lpwstr>
  </property>
  <property fmtid="{D5CDD505-2E9C-101B-9397-08002B2CF9AE}" pid="6" name="Sub-Sector">
    <vt:lpwstr>555;#SANITATION RURAL AND PERI-URBAN|0f78f9dc-77d0-4b08-ac4d-eb159161fb0f</vt:lpwstr>
  </property>
  <property fmtid="{D5CDD505-2E9C-101B-9397-08002B2CF9AE}" pid="7" name="Country">
    <vt:lpwstr>44;#Regional|2537a5b7-6d8e-482c-94dc-32c3cc44ff65</vt:lpwstr>
  </property>
  <property fmtid="{D5CDD505-2E9C-101B-9397-08002B2CF9AE}" pid="8" name="Fund IDB">
    <vt:lpwstr>345;#LAF|2647e268-a843-40db-87c2-bb6c97591047</vt:lpwstr>
  </property>
  <property fmtid="{D5CDD505-2E9C-101B-9397-08002B2CF9AE}" pid="9" name="_dlc_DocIdItemGuid">
    <vt:lpwstr>0a643809-daa8-4a76-b007-ba3859c29482</vt:lpwstr>
  </property>
  <property fmtid="{D5CDD505-2E9C-101B-9397-08002B2CF9AE}" pid="10" name="Sector IDB">
    <vt:lpwstr>237;#WATER AND SANITATION|ba6b63cd-e402-47cb-9357-08149f7ce046</vt:lpwstr>
  </property>
  <property fmtid="{D5CDD505-2E9C-101B-9397-08002B2CF9AE}" pid="11" name="Function Operations IDB">
    <vt:lpwstr>1;#Project Preparation, Planning and Design|29ca0c72-1fc4-435f-a09c-28585cb5eac9</vt:lpwstr>
  </property>
  <property fmtid="{D5CDD505-2E9C-101B-9397-08002B2CF9AE}" pid="12" name="ContentTypeId">
    <vt:lpwstr>0x0101001A458A224826124E8B45B1D613300CFC00CEB9F3545884A24A9DCB16CF04F7C76F</vt:lpwstr>
  </property>
</Properties>
</file>