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harts/chart6.xml" ContentType="application/vnd.openxmlformats-officedocument.drawingml.chart+xml"/>
  <Override PartName="/word/theme/theme1.xml" ContentType="application/vnd.openxmlformats-officedocument.theme+xml"/>
  <Override PartName="/word/charts/chart3.xml" ContentType="application/vnd.openxmlformats-officedocument.drawingml.chart+xml"/>
  <Override PartName="/word/charts/chart2.xml" ContentType="application/vnd.openxmlformats-officedocument.drawingml.chart+xml"/>
  <Override PartName="/word/charts/chart1.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settings.xml" ContentType="application/vnd.openxmlformats-officedocument.wordprocessingml.setting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6.xml" ContentType="application/vnd.openxmlformats-officedocument.customXml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7.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displacedByCustomXml="next"/>
    <w:bookmarkEnd w:id="0" w:displacedByCustomXml="next"/>
    <w:sdt>
      <w:sdtPr>
        <w:rPr>
          <w:rFonts w:asciiTheme="majorHAnsi" w:eastAsiaTheme="majorEastAsia" w:hAnsiTheme="majorHAnsi" w:cstheme="majorBidi"/>
          <w:caps/>
          <w:sz w:val="24"/>
          <w:lang w:eastAsia="en-US"/>
        </w:rPr>
        <w:id w:val="-2084747865"/>
        <w:docPartObj>
          <w:docPartGallery w:val="Cover Pages"/>
          <w:docPartUnique/>
        </w:docPartObj>
      </w:sdtPr>
      <w:sdtEndPr>
        <w:rPr>
          <w:rFonts w:ascii="Times New Roman" w:eastAsiaTheme="minorEastAsia" w:hAnsi="Times New Roman" w:cs="Times New Roman"/>
          <w:caps w:val="0"/>
          <w:smallCaps/>
        </w:rPr>
      </w:sdtEndPr>
      <w:sdtContent>
        <w:tbl>
          <w:tblPr>
            <w:tblpPr w:leftFromText="180" w:rightFromText="180" w:vertAnchor="page" w:horzAnchor="margin" w:tblpY="3661"/>
            <w:tblW w:w="5000" w:type="pct"/>
            <w:tblLook w:val="04A0" w:firstRow="1" w:lastRow="0" w:firstColumn="1" w:lastColumn="0" w:noHBand="0" w:noVBand="1"/>
          </w:tblPr>
          <w:tblGrid>
            <w:gridCol w:w="8528"/>
          </w:tblGrid>
          <w:tr w:rsidR="001A49BA" w:rsidRPr="00E60504" w:rsidTr="00A652A9">
            <w:trPr>
              <w:trHeight w:val="2703"/>
            </w:trPr>
            <w:tc>
              <w:tcPr>
                <w:tcW w:w="5000" w:type="pct"/>
              </w:tcPr>
              <w:p w:rsidR="0067525B" w:rsidRPr="00E60504" w:rsidRDefault="0067525B" w:rsidP="00A652A9">
                <w:pPr>
                  <w:pStyle w:val="NoSpacing"/>
                  <w:rPr>
                    <w:rFonts w:asciiTheme="majorHAnsi" w:eastAsiaTheme="majorEastAsia" w:hAnsiTheme="majorHAnsi" w:cstheme="majorBidi"/>
                    <w:caps/>
                    <w:sz w:val="24"/>
                  </w:rPr>
                </w:pPr>
              </w:p>
            </w:tc>
          </w:tr>
          <w:tr w:rsidR="001A49BA" w:rsidRPr="00E60504" w:rsidTr="00E60504">
            <w:trPr>
              <w:trHeight w:val="1440"/>
            </w:trPr>
            <w:sdt>
              <w:sdtPr>
                <w:rPr>
                  <w:rStyle w:val="Heading5Char"/>
                  <w:rFonts w:ascii="Times New Roman" w:hAnsi="Times New Roman" w:cs="Times New Roman"/>
                  <w:b/>
                  <w:bCs/>
                  <w:smallCaps/>
                  <w:color w:val="auto"/>
                  <w:spacing w:val="5"/>
                  <w:sz w:val="24"/>
                  <w:lang w:val="es-ES"/>
                </w:rPr>
                <w:alias w:val="Title"/>
                <w:id w:val="15524250"/>
                <w:dataBinding w:prefixMappings="xmlns:ns0='http://schemas.openxmlformats.org/package/2006/metadata/core-properties' xmlns:ns1='http://purl.org/dc/elements/1.1/'" w:xpath="/ns0:coreProperties[1]/ns1:title[1]" w:storeItemID="{6C3C8BC8-F283-45AE-878A-BAB7291924A1}"/>
                <w:text/>
              </w:sdtPr>
              <w:sdtEndPr>
                <w:rPr>
                  <w:rStyle w:val="Heading5Char"/>
                </w:rPr>
              </w:sdtEndPr>
              <w:sdtContent>
                <w:tc>
                  <w:tcPr>
                    <w:tcW w:w="5000" w:type="pct"/>
                    <w:vAlign w:val="center"/>
                  </w:tcPr>
                  <w:p w:rsidR="0067525B" w:rsidRPr="00E60504" w:rsidRDefault="0067525B" w:rsidP="00E60504">
                    <w:pPr>
                      <w:pStyle w:val="NoSpacing"/>
                      <w:jc w:val="center"/>
                      <w:rPr>
                        <w:rFonts w:asciiTheme="majorHAnsi" w:eastAsiaTheme="majorEastAsia" w:hAnsiTheme="majorHAnsi" w:cstheme="majorBidi"/>
                        <w:sz w:val="24"/>
                        <w:szCs w:val="80"/>
                        <w:lang w:val="es-ES"/>
                      </w:rPr>
                    </w:pPr>
                    <w:r w:rsidRPr="00E60504">
                      <w:rPr>
                        <w:rStyle w:val="Heading5Char"/>
                        <w:rFonts w:ascii="Times New Roman" w:hAnsi="Times New Roman" w:cs="Times New Roman"/>
                        <w:b/>
                        <w:bCs/>
                        <w:smallCaps/>
                        <w:color w:val="auto"/>
                        <w:spacing w:val="5"/>
                        <w:sz w:val="24"/>
                        <w:lang w:val="es-ES"/>
                      </w:rPr>
                      <w:t>REPÚBLICA DE EL SALVADOR                                                                                       ANÁLISIS DE DEMANDA DE CRÉDITO DE INVERSIÓN PARA MIPYMES</w:t>
                    </w:r>
                  </w:p>
                </w:tc>
              </w:sdtContent>
            </w:sdt>
          </w:tr>
          <w:tr w:rsidR="001A49BA" w:rsidRPr="00E60504" w:rsidTr="00E60504">
            <w:trPr>
              <w:trHeight w:val="720"/>
            </w:trPr>
            <w:tc>
              <w:tcPr>
                <w:tcW w:w="5000" w:type="pct"/>
                <w:vAlign w:val="center"/>
              </w:tcPr>
              <w:p w:rsidR="0067525B" w:rsidRPr="00E60504" w:rsidRDefault="0067525B" w:rsidP="00E60504">
                <w:pPr>
                  <w:pStyle w:val="NoSpacing"/>
                  <w:jc w:val="center"/>
                  <w:rPr>
                    <w:rFonts w:asciiTheme="majorHAnsi" w:eastAsiaTheme="majorEastAsia" w:hAnsiTheme="majorHAnsi" w:cstheme="majorBidi"/>
                    <w:sz w:val="24"/>
                    <w:szCs w:val="44"/>
                    <w:lang w:val="es-ES"/>
                  </w:rPr>
                </w:pPr>
              </w:p>
            </w:tc>
          </w:tr>
          <w:tr w:rsidR="001A49BA" w:rsidRPr="00E60504" w:rsidTr="00E60504">
            <w:trPr>
              <w:trHeight w:val="360"/>
            </w:trPr>
            <w:tc>
              <w:tcPr>
                <w:tcW w:w="5000" w:type="pct"/>
                <w:vAlign w:val="center"/>
              </w:tcPr>
              <w:p w:rsidR="0067525B" w:rsidRPr="00E60504" w:rsidRDefault="0067525B" w:rsidP="00E60504">
                <w:pPr>
                  <w:pStyle w:val="NoSpacing"/>
                  <w:jc w:val="center"/>
                  <w:rPr>
                    <w:sz w:val="24"/>
                    <w:lang w:val="es-ES"/>
                  </w:rPr>
                </w:pPr>
              </w:p>
            </w:tc>
          </w:tr>
          <w:tr w:rsidR="001A49BA" w:rsidRPr="00651882" w:rsidTr="00E60504">
            <w:trPr>
              <w:trHeight w:val="360"/>
            </w:trPr>
            <w:sdt>
              <w:sdtPr>
                <w:rPr>
                  <w:rFonts w:ascii="Times New Roman" w:hAnsi="Times New Roman" w:cs="Times New Roman"/>
                  <w:b/>
                  <w:bCs/>
                  <w:sz w:val="24"/>
                  <w:lang w:val="es-ES_tradnl"/>
                </w:rPr>
                <w:alias w:val="Author"/>
                <w:id w:val="15524260"/>
                <w:dataBinding w:prefixMappings="xmlns:ns0='http://schemas.openxmlformats.org/package/2006/metadata/core-properties' xmlns:ns1='http://purl.org/dc/elements/1.1/'" w:xpath="/ns0:coreProperties[1]/ns1:creator[1]" w:storeItemID="{6C3C8BC8-F283-45AE-878A-BAB7291924A1}"/>
                <w:text/>
              </w:sdtPr>
              <w:sdtEndPr/>
              <w:sdtContent>
                <w:tc>
                  <w:tcPr>
                    <w:tcW w:w="5000" w:type="pct"/>
                    <w:vAlign w:val="center"/>
                  </w:tcPr>
                  <w:p w:rsidR="0067525B" w:rsidRPr="00E60504" w:rsidRDefault="00AB1418" w:rsidP="00E60504">
                    <w:pPr>
                      <w:pStyle w:val="NoSpacing"/>
                      <w:jc w:val="center"/>
                      <w:rPr>
                        <w:b/>
                        <w:bCs/>
                        <w:sz w:val="24"/>
                        <w:lang w:val="es-ES_tradnl"/>
                      </w:rPr>
                    </w:pPr>
                    <w:r w:rsidRPr="00E60504">
                      <w:rPr>
                        <w:rFonts w:ascii="Times New Roman" w:hAnsi="Times New Roman" w:cs="Times New Roman"/>
                        <w:b/>
                        <w:bCs/>
                        <w:sz w:val="24"/>
                        <w:lang w:val="es-ES_tradnl"/>
                      </w:rPr>
                      <w:t>Carlos Puig y Pablo Carrió</w:t>
                    </w:r>
                    <w:r w:rsidR="0067525B" w:rsidRPr="00E60504">
                      <w:rPr>
                        <w:rFonts w:ascii="Times New Roman" w:hAnsi="Times New Roman" w:cs="Times New Roman"/>
                        <w:b/>
                        <w:bCs/>
                        <w:sz w:val="24"/>
                        <w:lang w:val="es-ES_tradnl"/>
                      </w:rPr>
                      <w:t>n</w:t>
                    </w:r>
                  </w:p>
                </w:tc>
              </w:sdtContent>
            </w:sdt>
          </w:tr>
          <w:tr w:rsidR="001A49BA" w:rsidRPr="00E60504" w:rsidTr="00E60504">
            <w:trPr>
              <w:trHeight w:val="360"/>
            </w:trPr>
            <w:sdt>
              <w:sdtPr>
                <w:rPr>
                  <w:rFonts w:ascii="Times New Roman" w:hAnsi="Times New Roman" w:cs="Times New Roman"/>
                  <w:b/>
                  <w:bCs/>
                  <w:sz w:val="24"/>
                </w:rPr>
                <w:alias w:val="Date"/>
                <w:id w:val="516659546"/>
                <w:dataBinding w:prefixMappings="xmlns:ns0='http://schemas.microsoft.com/office/2006/coverPageProps'" w:xpath="/ns0:CoverPageProperties[1]/ns0:PublishDate[1]" w:storeItemID="{55AF091B-3C7A-41E3-B477-F2FDAA23CFDA}"/>
                <w:date>
                  <w:dateFormat w:val="M/d/yyyy"/>
                  <w:lid w:val="en-US"/>
                  <w:storeMappedDataAs w:val="dateTime"/>
                  <w:calendar w:val="gregorian"/>
                </w:date>
              </w:sdtPr>
              <w:sdtEndPr/>
              <w:sdtContent>
                <w:tc>
                  <w:tcPr>
                    <w:tcW w:w="5000" w:type="pct"/>
                    <w:vAlign w:val="center"/>
                  </w:tcPr>
                  <w:p w:rsidR="0067525B" w:rsidRPr="00E60504" w:rsidRDefault="000F68E1" w:rsidP="00E60504">
                    <w:pPr>
                      <w:pStyle w:val="NoSpacing"/>
                      <w:jc w:val="center"/>
                      <w:rPr>
                        <w:b/>
                        <w:bCs/>
                        <w:sz w:val="24"/>
                      </w:rPr>
                    </w:pPr>
                    <w:r w:rsidRPr="00E60504">
                      <w:rPr>
                        <w:rFonts w:ascii="Times New Roman" w:hAnsi="Times New Roman" w:cs="Times New Roman"/>
                        <w:b/>
                        <w:bCs/>
                        <w:sz w:val="24"/>
                      </w:rPr>
                      <w:t>4 de marzo de 2014</w:t>
                    </w:r>
                  </w:p>
                </w:tc>
              </w:sdtContent>
            </w:sdt>
          </w:tr>
        </w:tbl>
        <w:p w:rsidR="0067525B" w:rsidRDefault="0067525B"/>
        <w:p w:rsidR="0067525B" w:rsidRDefault="0067525B"/>
        <w:p w:rsidR="00E60504" w:rsidRDefault="00E60504"/>
        <w:p w:rsidR="00E60504" w:rsidRDefault="00E60504"/>
        <w:p w:rsidR="00E60504" w:rsidRDefault="00E60504"/>
        <w:p w:rsidR="0067525B" w:rsidRDefault="0067525B"/>
        <w:p w:rsidR="0067525B" w:rsidRPr="006A5FED" w:rsidRDefault="0067525B" w:rsidP="006A5FED">
          <w:pPr>
            <w:rPr>
              <w:rFonts w:ascii="Times New Roman" w:hAnsi="Times New Roman" w:cs="Times New Roman"/>
              <w:smallCaps/>
              <w:sz w:val="24"/>
            </w:rPr>
          </w:pPr>
          <w:r>
            <w:rPr>
              <w:rFonts w:ascii="Times New Roman" w:hAnsi="Times New Roman" w:cs="Times New Roman"/>
              <w:smallCaps/>
              <w:sz w:val="24"/>
            </w:rPr>
            <w:br w:type="page"/>
          </w:r>
        </w:p>
      </w:sdtContent>
    </w:sdt>
    <w:p w:rsidR="0067525B" w:rsidRPr="0067525B" w:rsidRDefault="0067525B" w:rsidP="0067525B">
      <w:pPr>
        <w:jc w:val="center"/>
        <w:rPr>
          <w:rFonts w:ascii="Times New Roman" w:hAnsi="Times New Roman" w:cs="Times New Roman"/>
          <w:b/>
          <w:smallCaps/>
          <w:sz w:val="24"/>
          <w:szCs w:val="24"/>
          <w:lang w:val="es-ES"/>
        </w:rPr>
      </w:pPr>
      <w:r w:rsidRPr="0067525B">
        <w:rPr>
          <w:rFonts w:ascii="Times New Roman" w:hAnsi="Times New Roman" w:cs="Times New Roman"/>
          <w:b/>
          <w:smallCaps/>
          <w:sz w:val="24"/>
          <w:szCs w:val="24"/>
          <w:lang w:val="es-ES"/>
        </w:rPr>
        <w:lastRenderedPageBreak/>
        <w:t>Índice</w:t>
      </w:r>
    </w:p>
    <w:p w:rsidR="0067525B" w:rsidRPr="0067525B" w:rsidRDefault="0067525B" w:rsidP="0067525B">
      <w:pPr>
        <w:tabs>
          <w:tab w:val="right" w:leader="dot" w:pos="8741"/>
        </w:tabs>
        <w:spacing w:after="0"/>
        <w:rPr>
          <w:smallCaps/>
          <w:noProof/>
          <w:lang w:val="es-ES_tradnl"/>
        </w:rPr>
      </w:pPr>
      <w:r>
        <w:fldChar w:fldCharType="begin"/>
      </w:r>
      <w:r w:rsidRPr="0067525B">
        <w:rPr>
          <w:lang w:val="es-ES_tradnl"/>
        </w:rPr>
        <w:instrText xml:space="preserve"> TOC \f \t "Chapter,1,FirstHeading,2,SecHeading,3" </w:instrText>
      </w:r>
      <w:r>
        <w:fldChar w:fldCharType="separate"/>
      </w:r>
    </w:p>
    <w:p w:rsidR="0067525B" w:rsidRDefault="0067525B" w:rsidP="0067525B">
      <w:pPr>
        <w:pStyle w:val="TOC1"/>
        <w:spacing w:before="0" w:after="0"/>
        <w:rPr>
          <w:noProof/>
        </w:rPr>
      </w:pPr>
      <w:r>
        <w:rPr>
          <w:noProof/>
          <w:lang w:val="es-ES_tradnl"/>
        </w:rPr>
        <w:fldChar w:fldCharType="begin"/>
      </w:r>
      <w:r>
        <w:rPr>
          <w:noProof/>
          <w:lang w:val="es-ES_tradnl"/>
        </w:rPr>
        <w:instrText xml:space="preserve"> TOC \f \t "Chapter,1,FirstHeading,2,SecHeading,3" </w:instrText>
      </w:r>
      <w:r>
        <w:rPr>
          <w:noProof/>
          <w:lang w:val="es-ES_tradnl"/>
        </w:rPr>
        <w:fldChar w:fldCharType="separate"/>
      </w:r>
      <w:r w:rsidRPr="00DD024F">
        <w:rPr>
          <w:noProof/>
          <w:lang w:val="es-ES"/>
        </w:rPr>
        <w:t>I.</w:t>
      </w:r>
      <w:r>
        <w:rPr>
          <w:rFonts w:asciiTheme="minorHAnsi" w:hAnsiTheme="minorHAnsi" w:cstheme="minorBidi"/>
          <w:smallCaps w:val="0"/>
          <w:noProof/>
          <w:sz w:val="22"/>
        </w:rPr>
        <w:tab/>
      </w:r>
      <w:r w:rsidRPr="00DD024F">
        <w:rPr>
          <w:noProof/>
          <w:lang w:val="es-ES"/>
        </w:rPr>
        <w:t>Introducción</w:t>
      </w:r>
      <w:r>
        <w:rPr>
          <w:noProof/>
        </w:rPr>
        <w:tab/>
      </w:r>
      <w:r>
        <w:rPr>
          <w:noProof/>
        </w:rPr>
        <w:fldChar w:fldCharType="begin"/>
      </w:r>
      <w:r>
        <w:rPr>
          <w:noProof/>
        </w:rPr>
        <w:instrText xml:space="preserve"> PAGEREF _Toc388181667 \h </w:instrText>
      </w:r>
      <w:r>
        <w:rPr>
          <w:noProof/>
        </w:rPr>
      </w:r>
      <w:r>
        <w:rPr>
          <w:noProof/>
        </w:rPr>
        <w:fldChar w:fldCharType="separate"/>
      </w:r>
      <w:r w:rsidR="00E60504">
        <w:rPr>
          <w:noProof/>
        </w:rPr>
        <w:t>3</w:t>
      </w:r>
      <w:r>
        <w:rPr>
          <w:noProof/>
        </w:rPr>
        <w:fldChar w:fldCharType="end"/>
      </w:r>
    </w:p>
    <w:p w:rsidR="0067525B" w:rsidRPr="0067525B" w:rsidRDefault="0067525B" w:rsidP="0067525B">
      <w:pPr>
        <w:rPr>
          <w:noProof/>
        </w:rPr>
      </w:pPr>
    </w:p>
    <w:p w:rsidR="0067525B" w:rsidRDefault="0067525B" w:rsidP="0067525B">
      <w:pPr>
        <w:pStyle w:val="TOC1"/>
        <w:spacing w:before="0" w:after="0"/>
        <w:rPr>
          <w:rFonts w:asciiTheme="minorHAnsi" w:hAnsiTheme="minorHAnsi" w:cstheme="minorBidi"/>
          <w:smallCaps w:val="0"/>
          <w:noProof/>
          <w:sz w:val="22"/>
        </w:rPr>
      </w:pPr>
      <w:r w:rsidRPr="00DD024F">
        <w:rPr>
          <w:noProof/>
          <w:lang w:val="es-ES"/>
        </w:rPr>
        <w:t>II.</w:t>
      </w:r>
      <w:r>
        <w:rPr>
          <w:rFonts w:asciiTheme="minorHAnsi" w:hAnsiTheme="minorHAnsi" w:cstheme="minorBidi"/>
          <w:smallCaps w:val="0"/>
          <w:noProof/>
          <w:sz w:val="22"/>
        </w:rPr>
        <w:tab/>
      </w:r>
      <w:r w:rsidR="00D2006B">
        <w:rPr>
          <w:noProof/>
          <w:lang w:val="es-ES"/>
        </w:rPr>
        <w:t xml:space="preserve">Indicadores </w:t>
      </w:r>
      <w:r w:rsidRPr="00DD024F">
        <w:rPr>
          <w:noProof/>
          <w:lang w:val="es-ES"/>
        </w:rPr>
        <w:t>de la potencial demanda de crédito</w:t>
      </w:r>
      <w:r>
        <w:rPr>
          <w:noProof/>
        </w:rPr>
        <w:tab/>
      </w:r>
      <w:r>
        <w:rPr>
          <w:noProof/>
        </w:rPr>
        <w:fldChar w:fldCharType="begin"/>
      </w:r>
      <w:r>
        <w:rPr>
          <w:noProof/>
        </w:rPr>
        <w:instrText xml:space="preserve"> PAGEREF _Toc388181668 \h </w:instrText>
      </w:r>
      <w:r>
        <w:rPr>
          <w:noProof/>
        </w:rPr>
      </w:r>
      <w:r>
        <w:rPr>
          <w:noProof/>
        </w:rPr>
        <w:fldChar w:fldCharType="separate"/>
      </w:r>
      <w:r w:rsidR="00E60504">
        <w:rPr>
          <w:noProof/>
        </w:rPr>
        <w:t>3</w:t>
      </w:r>
      <w:r>
        <w:rPr>
          <w:noProof/>
        </w:rPr>
        <w:fldChar w:fldCharType="end"/>
      </w:r>
    </w:p>
    <w:p w:rsidR="0067525B" w:rsidRDefault="0067525B" w:rsidP="0067525B">
      <w:pPr>
        <w:pStyle w:val="TOC2"/>
        <w:rPr>
          <w:rFonts w:asciiTheme="minorHAnsi" w:hAnsiTheme="minorHAnsi" w:cstheme="minorBidi"/>
          <w:noProof/>
          <w:sz w:val="22"/>
        </w:rPr>
      </w:pPr>
      <w:r w:rsidRPr="00DD024F">
        <w:rPr>
          <w:noProof/>
          <w:lang w:val="es-ES"/>
        </w:rPr>
        <w:t>A.</w:t>
      </w:r>
      <w:r>
        <w:rPr>
          <w:rFonts w:asciiTheme="minorHAnsi" w:hAnsiTheme="minorHAnsi" w:cstheme="minorBidi"/>
          <w:noProof/>
          <w:sz w:val="22"/>
        </w:rPr>
        <w:tab/>
      </w:r>
      <w:r w:rsidRPr="00DD024F">
        <w:rPr>
          <w:noProof/>
          <w:lang w:val="es-ES"/>
        </w:rPr>
        <w:t>Consideraciones sobre el espacio para la intervención pública</w:t>
      </w:r>
      <w:r>
        <w:rPr>
          <w:noProof/>
        </w:rPr>
        <w:tab/>
      </w:r>
      <w:r>
        <w:rPr>
          <w:noProof/>
        </w:rPr>
        <w:fldChar w:fldCharType="begin"/>
      </w:r>
      <w:r>
        <w:rPr>
          <w:noProof/>
        </w:rPr>
        <w:instrText xml:space="preserve"> PAGEREF _Toc388181669 \h </w:instrText>
      </w:r>
      <w:r>
        <w:rPr>
          <w:noProof/>
        </w:rPr>
      </w:r>
      <w:r>
        <w:rPr>
          <w:noProof/>
        </w:rPr>
        <w:fldChar w:fldCharType="separate"/>
      </w:r>
      <w:r w:rsidR="00E60504">
        <w:rPr>
          <w:noProof/>
        </w:rPr>
        <w:t>3</w:t>
      </w:r>
      <w:r>
        <w:rPr>
          <w:noProof/>
        </w:rPr>
        <w:fldChar w:fldCharType="end"/>
      </w:r>
    </w:p>
    <w:p w:rsidR="0067525B" w:rsidRDefault="0067525B" w:rsidP="0067525B">
      <w:pPr>
        <w:pStyle w:val="TOC2"/>
        <w:rPr>
          <w:rFonts w:asciiTheme="minorHAnsi" w:hAnsiTheme="minorHAnsi" w:cstheme="minorBidi"/>
          <w:noProof/>
          <w:sz w:val="22"/>
        </w:rPr>
      </w:pPr>
      <w:r w:rsidRPr="00DD024F">
        <w:rPr>
          <w:noProof/>
          <w:lang w:val="es-ES"/>
        </w:rPr>
        <w:t>B.</w:t>
      </w:r>
      <w:r>
        <w:rPr>
          <w:rFonts w:asciiTheme="minorHAnsi" w:hAnsiTheme="minorHAnsi" w:cstheme="minorBidi"/>
          <w:noProof/>
          <w:sz w:val="22"/>
        </w:rPr>
        <w:tab/>
      </w:r>
      <w:r w:rsidRPr="00DD024F">
        <w:rPr>
          <w:noProof/>
          <w:lang w:val="es-ES"/>
        </w:rPr>
        <w:t>Proyecciones de demanda basadas en datos macro</w:t>
      </w:r>
      <w:r>
        <w:rPr>
          <w:noProof/>
        </w:rPr>
        <w:tab/>
      </w:r>
      <w:r>
        <w:rPr>
          <w:noProof/>
        </w:rPr>
        <w:fldChar w:fldCharType="begin"/>
      </w:r>
      <w:r>
        <w:rPr>
          <w:noProof/>
        </w:rPr>
        <w:instrText xml:space="preserve"> PAGEREF _Toc388181670 \h </w:instrText>
      </w:r>
      <w:r>
        <w:rPr>
          <w:noProof/>
        </w:rPr>
      </w:r>
      <w:r>
        <w:rPr>
          <w:noProof/>
        </w:rPr>
        <w:fldChar w:fldCharType="separate"/>
      </w:r>
      <w:r w:rsidR="00E60504">
        <w:rPr>
          <w:noProof/>
        </w:rPr>
        <w:t>6</w:t>
      </w:r>
      <w:r>
        <w:rPr>
          <w:noProof/>
        </w:rPr>
        <w:fldChar w:fldCharType="end"/>
      </w:r>
    </w:p>
    <w:p w:rsidR="0067525B" w:rsidRDefault="0067525B" w:rsidP="0067525B">
      <w:pPr>
        <w:pStyle w:val="TOC2"/>
        <w:rPr>
          <w:noProof/>
        </w:rPr>
      </w:pPr>
      <w:r w:rsidRPr="00DD024F">
        <w:rPr>
          <w:noProof/>
          <w:lang w:val="es-ES"/>
        </w:rPr>
        <w:t>C.</w:t>
      </w:r>
      <w:r>
        <w:rPr>
          <w:rFonts w:asciiTheme="minorHAnsi" w:hAnsiTheme="minorHAnsi" w:cstheme="minorBidi"/>
          <w:noProof/>
          <w:sz w:val="22"/>
        </w:rPr>
        <w:tab/>
      </w:r>
      <w:r w:rsidRPr="00DD024F">
        <w:rPr>
          <w:noProof/>
          <w:lang w:val="es-ES"/>
        </w:rPr>
        <w:t>Consideraciones sobre de demanda de crédito basadas en encuestas a las instituciones financieras</w:t>
      </w:r>
      <w:r>
        <w:rPr>
          <w:noProof/>
        </w:rPr>
        <w:tab/>
      </w:r>
      <w:r>
        <w:rPr>
          <w:noProof/>
        </w:rPr>
        <w:fldChar w:fldCharType="begin"/>
      </w:r>
      <w:r>
        <w:rPr>
          <w:noProof/>
        </w:rPr>
        <w:instrText xml:space="preserve"> PAGEREF _Toc388181671 \h </w:instrText>
      </w:r>
      <w:r>
        <w:rPr>
          <w:noProof/>
        </w:rPr>
      </w:r>
      <w:r>
        <w:rPr>
          <w:noProof/>
        </w:rPr>
        <w:fldChar w:fldCharType="separate"/>
      </w:r>
      <w:r w:rsidR="00E60504">
        <w:rPr>
          <w:noProof/>
        </w:rPr>
        <w:t>9</w:t>
      </w:r>
      <w:r>
        <w:rPr>
          <w:noProof/>
        </w:rPr>
        <w:fldChar w:fldCharType="end"/>
      </w:r>
    </w:p>
    <w:p w:rsidR="0067525B" w:rsidRDefault="0067525B" w:rsidP="0067525B">
      <w:pPr>
        <w:rPr>
          <w:rFonts w:ascii="Times New Roman" w:hAnsi="Times New Roman" w:cs="Times New Roman"/>
          <w:noProof/>
        </w:rPr>
      </w:pPr>
    </w:p>
    <w:p w:rsidR="003C1B7B" w:rsidRDefault="003C1B7B" w:rsidP="003C1B7B">
      <w:pPr>
        <w:pStyle w:val="TOC1"/>
        <w:spacing w:before="0" w:after="0"/>
        <w:rPr>
          <w:rFonts w:asciiTheme="minorHAnsi" w:hAnsiTheme="minorHAnsi" w:cstheme="minorBidi"/>
          <w:smallCaps w:val="0"/>
          <w:noProof/>
          <w:sz w:val="22"/>
        </w:rPr>
      </w:pPr>
      <w:r w:rsidRPr="00DD024F">
        <w:rPr>
          <w:noProof/>
          <w:lang w:val="es-ES"/>
        </w:rPr>
        <w:t>II</w:t>
      </w:r>
      <w:r>
        <w:rPr>
          <w:noProof/>
          <w:lang w:val="es-ES"/>
        </w:rPr>
        <w:t>I</w:t>
      </w:r>
      <w:r w:rsidRPr="00DD024F">
        <w:rPr>
          <w:noProof/>
          <w:lang w:val="es-ES"/>
        </w:rPr>
        <w:t>.</w:t>
      </w:r>
      <w:r>
        <w:rPr>
          <w:rFonts w:asciiTheme="minorHAnsi" w:hAnsiTheme="minorHAnsi" w:cstheme="minorBidi"/>
          <w:smallCaps w:val="0"/>
          <w:noProof/>
          <w:sz w:val="22"/>
        </w:rPr>
        <w:tab/>
      </w:r>
      <w:r>
        <w:rPr>
          <w:noProof/>
          <w:lang w:val="es-ES"/>
        </w:rPr>
        <w:t>conclusiones</w:t>
      </w:r>
      <w:r w:rsidR="004C2A17">
        <w:rPr>
          <w:noProof/>
        </w:rPr>
        <w:tab/>
        <w:t>11</w:t>
      </w:r>
    </w:p>
    <w:p w:rsidR="0067525B" w:rsidRPr="0067525B" w:rsidRDefault="0067525B" w:rsidP="0067525B">
      <w:pPr>
        <w:rPr>
          <w:noProof/>
        </w:rPr>
      </w:pPr>
    </w:p>
    <w:p w:rsidR="0067525B" w:rsidRDefault="0067525B" w:rsidP="0067525B">
      <w:pPr>
        <w:pStyle w:val="TOC1"/>
        <w:spacing w:before="0" w:after="0"/>
        <w:rPr>
          <w:rFonts w:asciiTheme="minorHAnsi" w:hAnsiTheme="minorHAnsi" w:cstheme="minorBidi"/>
          <w:smallCaps w:val="0"/>
          <w:noProof/>
          <w:sz w:val="22"/>
        </w:rPr>
      </w:pPr>
      <w:r w:rsidRPr="00DD024F">
        <w:rPr>
          <w:noProof/>
          <w:lang w:val="es-ES"/>
        </w:rPr>
        <w:t>Anexo I: Algunas características de las operaciones de Bandesal</w:t>
      </w:r>
      <w:r>
        <w:rPr>
          <w:noProof/>
        </w:rPr>
        <w:tab/>
      </w:r>
      <w:r w:rsidR="004C2A17">
        <w:rPr>
          <w:noProof/>
        </w:rPr>
        <w:t>12</w:t>
      </w:r>
    </w:p>
    <w:p w:rsidR="0067525B" w:rsidRDefault="0067525B" w:rsidP="0067525B">
      <w:pPr>
        <w:pStyle w:val="TOC1"/>
        <w:spacing w:before="0" w:after="0"/>
        <w:rPr>
          <w:rFonts w:asciiTheme="minorHAnsi" w:hAnsiTheme="minorHAnsi" w:cstheme="minorBidi"/>
          <w:smallCaps w:val="0"/>
          <w:noProof/>
          <w:sz w:val="22"/>
        </w:rPr>
      </w:pPr>
      <w:r w:rsidRPr="00DD024F">
        <w:rPr>
          <w:noProof/>
          <w:lang w:val="es-ES"/>
        </w:rPr>
        <w:t>Anexo II: Gráficos con resultados encuestas con instituciones financieras</w:t>
      </w:r>
      <w:r>
        <w:rPr>
          <w:noProof/>
        </w:rPr>
        <w:tab/>
      </w:r>
      <w:r>
        <w:rPr>
          <w:noProof/>
        </w:rPr>
        <w:fldChar w:fldCharType="begin"/>
      </w:r>
      <w:r>
        <w:rPr>
          <w:noProof/>
        </w:rPr>
        <w:instrText xml:space="preserve"> PAGEREF _Toc388181674 \h </w:instrText>
      </w:r>
      <w:r>
        <w:rPr>
          <w:noProof/>
        </w:rPr>
      </w:r>
      <w:r>
        <w:rPr>
          <w:noProof/>
        </w:rPr>
        <w:fldChar w:fldCharType="separate"/>
      </w:r>
      <w:r w:rsidR="00E60504">
        <w:rPr>
          <w:noProof/>
        </w:rPr>
        <w:t>15</w:t>
      </w:r>
      <w:r>
        <w:rPr>
          <w:noProof/>
        </w:rPr>
        <w:fldChar w:fldCharType="end"/>
      </w:r>
    </w:p>
    <w:p w:rsidR="0067525B" w:rsidRDefault="0067525B" w:rsidP="0067525B">
      <w:pPr>
        <w:pStyle w:val="TOC1"/>
        <w:spacing w:before="0" w:after="0"/>
        <w:rPr>
          <w:rFonts w:asciiTheme="minorHAnsi" w:hAnsiTheme="minorHAnsi" w:cstheme="minorBidi"/>
          <w:smallCaps w:val="0"/>
          <w:noProof/>
          <w:sz w:val="22"/>
        </w:rPr>
      </w:pPr>
      <w:r w:rsidRPr="00DD024F">
        <w:rPr>
          <w:noProof/>
          <w:lang w:val="es-ES"/>
        </w:rPr>
        <w:t>Anexo III: Metodología de  encuestas a instituciones financieras</w:t>
      </w:r>
      <w:r>
        <w:rPr>
          <w:noProof/>
        </w:rPr>
        <w:tab/>
      </w:r>
      <w:r>
        <w:rPr>
          <w:noProof/>
        </w:rPr>
        <w:fldChar w:fldCharType="begin"/>
      </w:r>
      <w:r>
        <w:rPr>
          <w:noProof/>
        </w:rPr>
        <w:instrText xml:space="preserve"> PAGEREF _Toc388181675 \h </w:instrText>
      </w:r>
      <w:r>
        <w:rPr>
          <w:noProof/>
        </w:rPr>
      </w:r>
      <w:r>
        <w:rPr>
          <w:noProof/>
        </w:rPr>
        <w:fldChar w:fldCharType="separate"/>
      </w:r>
      <w:r w:rsidR="00E60504">
        <w:rPr>
          <w:noProof/>
        </w:rPr>
        <w:t>20</w:t>
      </w:r>
      <w:r>
        <w:rPr>
          <w:noProof/>
        </w:rPr>
        <w:fldChar w:fldCharType="end"/>
      </w:r>
    </w:p>
    <w:p w:rsidR="0067525B" w:rsidRDefault="0067525B" w:rsidP="0067525B">
      <w:pPr>
        <w:pStyle w:val="TOC1"/>
        <w:spacing w:before="0" w:after="0"/>
        <w:rPr>
          <w:noProof/>
        </w:rPr>
      </w:pPr>
      <w:r w:rsidRPr="00DD024F">
        <w:rPr>
          <w:noProof/>
          <w:lang w:val="es-ES"/>
        </w:rPr>
        <w:t>Anexo IV: Lista de instituciones financieras encuestadas</w:t>
      </w:r>
      <w:r>
        <w:rPr>
          <w:noProof/>
        </w:rPr>
        <w:tab/>
      </w:r>
      <w:r>
        <w:rPr>
          <w:noProof/>
        </w:rPr>
        <w:fldChar w:fldCharType="begin"/>
      </w:r>
      <w:r>
        <w:rPr>
          <w:noProof/>
        </w:rPr>
        <w:instrText xml:space="preserve"> PAGEREF _Toc388181676 \h </w:instrText>
      </w:r>
      <w:r>
        <w:rPr>
          <w:noProof/>
        </w:rPr>
      </w:r>
      <w:r>
        <w:rPr>
          <w:noProof/>
        </w:rPr>
        <w:fldChar w:fldCharType="separate"/>
      </w:r>
      <w:r w:rsidR="00E60504">
        <w:rPr>
          <w:noProof/>
        </w:rPr>
        <w:t>26</w:t>
      </w:r>
      <w:r>
        <w:rPr>
          <w:noProof/>
        </w:rPr>
        <w:fldChar w:fldCharType="end"/>
      </w:r>
    </w:p>
    <w:p w:rsidR="0067525B" w:rsidRPr="0067525B" w:rsidRDefault="0067525B" w:rsidP="0067525B">
      <w:pPr>
        <w:rPr>
          <w:noProof/>
        </w:rPr>
      </w:pPr>
    </w:p>
    <w:p w:rsidR="0067525B" w:rsidRDefault="0067525B" w:rsidP="0067525B">
      <w:pPr>
        <w:pStyle w:val="TOC1"/>
        <w:spacing w:before="0" w:after="0"/>
        <w:rPr>
          <w:rFonts w:asciiTheme="minorHAnsi" w:hAnsiTheme="minorHAnsi" w:cstheme="minorBidi"/>
          <w:smallCaps w:val="0"/>
          <w:noProof/>
          <w:sz w:val="22"/>
        </w:rPr>
      </w:pPr>
      <w:r w:rsidRPr="00DD024F">
        <w:rPr>
          <w:noProof/>
          <w:lang w:val="es-ES"/>
        </w:rPr>
        <w:t>Bibliografia y referencias:</w:t>
      </w:r>
      <w:r>
        <w:rPr>
          <w:noProof/>
        </w:rPr>
        <w:tab/>
      </w:r>
      <w:r>
        <w:rPr>
          <w:noProof/>
        </w:rPr>
        <w:fldChar w:fldCharType="begin"/>
      </w:r>
      <w:r>
        <w:rPr>
          <w:noProof/>
        </w:rPr>
        <w:instrText xml:space="preserve"> PAGEREF _Toc388181677 \h </w:instrText>
      </w:r>
      <w:r>
        <w:rPr>
          <w:noProof/>
        </w:rPr>
      </w:r>
      <w:r>
        <w:rPr>
          <w:noProof/>
        </w:rPr>
        <w:fldChar w:fldCharType="separate"/>
      </w:r>
      <w:r w:rsidR="00E60504">
        <w:rPr>
          <w:noProof/>
        </w:rPr>
        <w:t>27</w:t>
      </w:r>
      <w:r>
        <w:rPr>
          <w:noProof/>
        </w:rPr>
        <w:fldChar w:fldCharType="end"/>
      </w:r>
    </w:p>
    <w:p w:rsidR="0067525B" w:rsidRPr="0067525B" w:rsidRDefault="0067525B" w:rsidP="0067525B">
      <w:pPr>
        <w:pStyle w:val="TOC3"/>
        <w:rPr>
          <w:noProof/>
          <w:lang w:val="es-ES_tradnl"/>
        </w:rPr>
      </w:pPr>
      <w:r>
        <w:rPr>
          <w:noProof/>
          <w:lang w:val="es-ES_tradnl"/>
        </w:rPr>
        <w:fldChar w:fldCharType="end"/>
      </w:r>
    </w:p>
    <w:p w:rsidR="0067525B" w:rsidRDefault="0067525B" w:rsidP="0067525B">
      <w:pPr>
        <w:pStyle w:val="TOC3"/>
      </w:pPr>
      <w:r>
        <w:fldChar w:fldCharType="end"/>
      </w:r>
    </w:p>
    <w:p w:rsidR="00A26315" w:rsidRDefault="00A26315">
      <w:r>
        <w:br w:type="page"/>
      </w:r>
    </w:p>
    <w:tbl>
      <w:tblPr>
        <w:tblW w:w="8640" w:type="dxa"/>
        <w:tblInd w:w="108" w:type="dxa"/>
        <w:tblLook w:val="01E0" w:firstRow="1" w:lastRow="1" w:firstColumn="1" w:lastColumn="1" w:noHBand="0" w:noVBand="0"/>
      </w:tblPr>
      <w:tblGrid>
        <w:gridCol w:w="1563"/>
        <w:gridCol w:w="7077"/>
      </w:tblGrid>
      <w:tr w:rsidR="00A26315" w:rsidRPr="002F0759" w:rsidTr="00A26315">
        <w:trPr>
          <w:cantSplit/>
          <w:trHeight w:val="1027"/>
        </w:trPr>
        <w:tc>
          <w:tcPr>
            <w:tcW w:w="8640" w:type="dxa"/>
            <w:gridSpan w:val="2"/>
            <w:vAlign w:val="center"/>
          </w:tcPr>
          <w:p w:rsidR="00A26315" w:rsidRPr="00A26315" w:rsidRDefault="00A26315" w:rsidP="00C614DC">
            <w:pPr>
              <w:jc w:val="center"/>
              <w:rPr>
                <w:rFonts w:ascii="Times New Roman" w:eastAsia="Arial Unicode MS" w:hAnsi="Times New Roman" w:cs="Times New Roman"/>
                <w:b/>
                <w:bCs/>
                <w:smallCaps/>
                <w:sz w:val="24"/>
                <w:szCs w:val="24"/>
                <w:lang w:val="es-ES"/>
              </w:rPr>
            </w:pPr>
            <w:r w:rsidRPr="00A26315">
              <w:rPr>
                <w:rFonts w:ascii="Times New Roman" w:hAnsi="Times New Roman" w:cs="Times New Roman"/>
                <w:sz w:val="24"/>
                <w:szCs w:val="24"/>
                <w:lang w:val="es-ES"/>
              </w:rPr>
              <w:lastRenderedPageBreak/>
              <w:cr/>
            </w:r>
            <w:r w:rsidRPr="00A26315">
              <w:rPr>
                <w:rFonts w:ascii="Times New Roman" w:hAnsi="Times New Roman" w:cs="Times New Roman"/>
                <w:sz w:val="24"/>
                <w:szCs w:val="24"/>
                <w:lang w:val="es-ES"/>
              </w:rPr>
              <w:br w:type="page"/>
            </w:r>
            <w:r w:rsidRPr="00A26315">
              <w:rPr>
                <w:rFonts w:ascii="Times New Roman" w:eastAsia="Arial Unicode MS" w:hAnsi="Times New Roman" w:cs="Times New Roman"/>
                <w:b/>
                <w:bCs/>
                <w:smallCaps/>
                <w:sz w:val="24"/>
                <w:szCs w:val="24"/>
                <w:lang w:val="es-ES"/>
              </w:rPr>
              <w:t>Siglas y Abreviaturas</w:t>
            </w:r>
          </w:p>
          <w:p w:rsidR="00A26315" w:rsidRPr="00A26315" w:rsidRDefault="00A26315" w:rsidP="00C614DC">
            <w:pPr>
              <w:jc w:val="center"/>
              <w:rPr>
                <w:rFonts w:ascii="Times New Roman" w:hAnsi="Times New Roman" w:cs="Times New Roman"/>
                <w:b/>
                <w:smallCaps/>
                <w:sz w:val="24"/>
                <w:szCs w:val="24"/>
                <w:lang w:val="es-ES"/>
              </w:rPr>
            </w:pPr>
          </w:p>
        </w:tc>
      </w:tr>
      <w:tr w:rsidR="00BD4085" w:rsidRPr="00651882" w:rsidTr="00C614DC">
        <w:trPr>
          <w:cantSplit/>
        </w:trPr>
        <w:tc>
          <w:tcPr>
            <w:tcW w:w="1563" w:type="dxa"/>
          </w:tcPr>
          <w:p w:rsidR="00BD4085" w:rsidRDefault="00BD4085" w:rsidP="00C614DC">
            <w:pPr>
              <w:rPr>
                <w:rFonts w:ascii="Times New Roman" w:hAnsi="Times New Roman" w:cs="Times New Roman"/>
                <w:sz w:val="24"/>
                <w:szCs w:val="24"/>
                <w:lang w:val="es-ES"/>
              </w:rPr>
            </w:pPr>
            <w:r>
              <w:rPr>
                <w:rFonts w:ascii="Times New Roman" w:hAnsi="Times New Roman" w:cs="Times New Roman"/>
                <w:sz w:val="24"/>
                <w:szCs w:val="24"/>
                <w:lang w:val="es-ES"/>
              </w:rPr>
              <w:t>ALC</w:t>
            </w:r>
          </w:p>
        </w:tc>
        <w:tc>
          <w:tcPr>
            <w:tcW w:w="7077" w:type="dxa"/>
          </w:tcPr>
          <w:p w:rsidR="00BD4085" w:rsidRDefault="00BD4085" w:rsidP="00C614DC">
            <w:pPr>
              <w:rPr>
                <w:rFonts w:ascii="Times New Roman" w:hAnsi="Times New Roman" w:cs="Times New Roman"/>
                <w:sz w:val="24"/>
                <w:szCs w:val="24"/>
                <w:lang w:val="es-ES"/>
              </w:rPr>
            </w:pPr>
            <w:r>
              <w:rPr>
                <w:rFonts w:ascii="Times New Roman" w:hAnsi="Times New Roman" w:cs="Times New Roman"/>
                <w:sz w:val="24"/>
                <w:szCs w:val="24"/>
                <w:lang w:val="es-ES"/>
              </w:rPr>
              <w:t>América Latina y el Caribe</w:t>
            </w:r>
          </w:p>
        </w:tc>
      </w:tr>
      <w:tr w:rsidR="00564C00" w:rsidRPr="00564C00" w:rsidTr="00C614DC">
        <w:trPr>
          <w:cantSplit/>
        </w:trPr>
        <w:tc>
          <w:tcPr>
            <w:tcW w:w="1563" w:type="dxa"/>
          </w:tcPr>
          <w:p w:rsidR="00564C00" w:rsidRPr="00A26315" w:rsidRDefault="00564C00" w:rsidP="00C614DC">
            <w:pPr>
              <w:rPr>
                <w:rFonts w:ascii="Times New Roman" w:hAnsi="Times New Roman" w:cs="Times New Roman"/>
                <w:sz w:val="24"/>
                <w:szCs w:val="24"/>
                <w:lang w:val="es-ES"/>
              </w:rPr>
            </w:pPr>
            <w:r>
              <w:rPr>
                <w:rFonts w:ascii="Times New Roman" w:hAnsi="Times New Roman" w:cs="Times New Roman"/>
                <w:sz w:val="24"/>
                <w:szCs w:val="24"/>
                <w:lang w:val="es-ES"/>
              </w:rPr>
              <w:t>BCR</w:t>
            </w:r>
          </w:p>
        </w:tc>
        <w:tc>
          <w:tcPr>
            <w:tcW w:w="7077" w:type="dxa"/>
          </w:tcPr>
          <w:p w:rsidR="00564C00" w:rsidRPr="00A26315" w:rsidRDefault="00564C00" w:rsidP="00C614DC">
            <w:pPr>
              <w:rPr>
                <w:rFonts w:ascii="Times New Roman" w:hAnsi="Times New Roman" w:cs="Times New Roman"/>
                <w:sz w:val="24"/>
                <w:szCs w:val="24"/>
                <w:lang w:val="es-ES"/>
              </w:rPr>
            </w:pPr>
            <w:r>
              <w:rPr>
                <w:rFonts w:ascii="Times New Roman" w:hAnsi="Times New Roman" w:cs="Times New Roman"/>
                <w:sz w:val="24"/>
                <w:szCs w:val="24"/>
                <w:lang w:val="es-ES"/>
              </w:rPr>
              <w:t>Banco Central de Reserva de El Salvador</w:t>
            </w:r>
          </w:p>
        </w:tc>
      </w:tr>
      <w:tr w:rsidR="00A26315" w:rsidRPr="002F0759" w:rsidTr="00C614DC">
        <w:trPr>
          <w:cantSplit/>
        </w:trPr>
        <w:tc>
          <w:tcPr>
            <w:tcW w:w="1563" w:type="dxa"/>
          </w:tcPr>
          <w:p w:rsidR="00A26315" w:rsidRPr="00A26315" w:rsidRDefault="00A26315" w:rsidP="00C614DC">
            <w:pPr>
              <w:rPr>
                <w:rFonts w:ascii="Times New Roman" w:hAnsi="Times New Roman" w:cs="Times New Roman"/>
                <w:sz w:val="24"/>
                <w:szCs w:val="24"/>
                <w:lang w:val="es-ES"/>
              </w:rPr>
            </w:pPr>
            <w:r w:rsidRPr="00A26315">
              <w:rPr>
                <w:rFonts w:ascii="Times New Roman" w:hAnsi="Times New Roman" w:cs="Times New Roman"/>
                <w:sz w:val="24"/>
                <w:szCs w:val="24"/>
                <w:lang w:val="es-ES"/>
              </w:rPr>
              <w:t>BID</w:t>
            </w:r>
          </w:p>
        </w:tc>
        <w:tc>
          <w:tcPr>
            <w:tcW w:w="7077" w:type="dxa"/>
          </w:tcPr>
          <w:p w:rsidR="00A26315" w:rsidRPr="00A26315" w:rsidRDefault="00A26315" w:rsidP="00C614DC">
            <w:pPr>
              <w:rPr>
                <w:rFonts w:ascii="Times New Roman" w:hAnsi="Times New Roman" w:cs="Times New Roman"/>
                <w:sz w:val="24"/>
                <w:szCs w:val="24"/>
                <w:lang w:val="es-ES"/>
              </w:rPr>
            </w:pPr>
            <w:r w:rsidRPr="00A26315">
              <w:rPr>
                <w:rFonts w:ascii="Times New Roman" w:hAnsi="Times New Roman" w:cs="Times New Roman"/>
                <w:sz w:val="24"/>
                <w:szCs w:val="24"/>
                <w:lang w:val="es-ES"/>
              </w:rPr>
              <w:t>Banco Interamericano de Desarrollo</w:t>
            </w:r>
          </w:p>
        </w:tc>
      </w:tr>
      <w:tr w:rsidR="00A26315" w:rsidRPr="00651882" w:rsidTr="00C614DC">
        <w:trPr>
          <w:cantSplit/>
        </w:trPr>
        <w:tc>
          <w:tcPr>
            <w:tcW w:w="1563" w:type="dxa"/>
          </w:tcPr>
          <w:p w:rsidR="00A26315" w:rsidRPr="00A26315" w:rsidRDefault="006F2988" w:rsidP="00C614DC">
            <w:pPr>
              <w:rPr>
                <w:rFonts w:ascii="Times New Roman" w:hAnsi="Times New Roman" w:cs="Times New Roman"/>
                <w:sz w:val="24"/>
                <w:szCs w:val="24"/>
                <w:lang w:val="es-ES"/>
              </w:rPr>
            </w:pPr>
            <w:r w:rsidRPr="00364CCD">
              <w:rPr>
                <w:rFonts w:ascii="Times New Roman" w:hAnsi="Times New Roman" w:cs="Times New Roman"/>
                <w:sz w:val="24"/>
                <w:szCs w:val="24"/>
                <w:lang w:val="es-ES"/>
              </w:rPr>
              <w:t>BMCU</w:t>
            </w:r>
          </w:p>
        </w:tc>
        <w:tc>
          <w:tcPr>
            <w:tcW w:w="7077" w:type="dxa"/>
          </w:tcPr>
          <w:p w:rsidR="00A26315" w:rsidRPr="00364CCD" w:rsidRDefault="006F2988" w:rsidP="006F2988">
            <w:pPr>
              <w:rPr>
                <w:rFonts w:ascii="Times New Roman" w:hAnsi="Times New Roman" w:cs="Times New Roman"/>
                <w:sz w:val="24"/>
                <w:szCs w:val="24"/>
                <w:lang w:val="es-ES"/>
              </w:rPr>
            </w:pPr>
            <w:r w:rsidRPr="00364CCD">
              <w:rPr>
                <w:rFonts w:ascii="Times New Roman" w:hAnsi="Times New Roman" w:cs="Times New Roman"/>
                <w:sz w:val="24"/>
                <w:szCs w:val="24"/>
                <w:lang w:val="es-ES"/>
              </w:rPr>
              <w:t xml:space="preserve">Brasil, </w:t>
            </w:r>
            <w:r w:rsidR="001C7F78">
              <w:rPr>
                <w:rFonts w:ascii="Times New Roman" w:hAnsi="Times New Roman" w:cs="Times New Roman"/>
                <w:sz w:val="24"/>
                <w:szCs w:val="24"/>
                <w:lang w:val="es-ES"/>
              </w:rPr>
              <w:t>México, Chile</w:t>
            </w:r>
            <w:r w:rsidRPr="00364CCD">
              <w:rPr>
                <w:rFonts w:ascii="Times New Roman" w:hAnsi="Times New Roman" w:cs="Times New Roman"/>
                <w:sz w:val="24"/>
                <w:szCs w:val="24"/>
                <w:lang w:val="es-ES"/>
              </w:rPr>
              <w:t xml:space="preserve"> y Uruguay </w:t>
            </w:r>
          </w:p>
        </w:tc>
      </w:tr>
      <w:tr w:rsidR="00A26315" w:rsidRPr="00651882" w:rsidTr="00C614DC">
        <w:trPr>
          <w:cantSplit/>
        </w:trPr>
        <w:tc>
          <w:tcPr>
            <w:tcW w:w="1563" w:type="dxa"/>
          </w:tcPr>
          <w:p w:rsidR="00A26315" w:rsidRPr="00A26315" w:rsidRDefault="006F2988" w:rsidP="00C614DC">
            <w:pPr>
              <w:rPr>
                <w:rFonts w:ascii="Times New Roman" w:hAnsi="Times New Roman" w:cs="Times New Roman"/>
                <w:sz w:val="24"/>
                <w:szCs w:val="24"/>
                <w:lang w:val="es-ES"/>
              </w:rPr>
            </w:pPr>
            <w:r w:rsidRPr="00364CCD">
              <w:rPr>
                <w:rFonts w:ascii="Times New Roman" w:hAnsi="Times New Roman" w:cs="Times New Roman"/>
                <w:sz w:val="24"/>
                <w:szCs w:val="24"/>
                <w:lang w:val="es-ES"/>
              </w:rPr>
              <w:t>CARD</w:t>
            </w:r>
          </w:p>
        </w:tc>
        <w:tc>
          <w:tcPr>
            <w:tcW w:w="7077" w:type="dxa"/>
          </w:tcPr>
          <w:p w:rsidR="00A26315" w:rsidRPr="00A26315" w:rsidRDefault="00235F2B" w:rsidP="006F2988">
            <w:pPr>
              <w:rPr>
                <w:rFonts w:ascii="Times New Roman" w:hAnsi="Times New Roman" w:cs="Times New Roman"/>
                <w:sz w:val="24"/>
                <w:szCs w:val="24"/>
                <w:lang w:val="es-ES"/>
              </w:rPr>
            </w:pPr>
            <w:r>
              <w:rPr>
                <w:rFonts w:ascii="Times New Roman" w:hAnsi="Times New Roman" w:cs="Times New Roman"/>
                <w:sz w:val="24"/>
                <w:szCs w:val="24"/>
                <w:lang w:val="es-ES"/>
              </w:rPr>
              <w:t>Centroa</w:t>
            </w:r>
            <w:r w:rsidR="006F2988" w:rsidRPr="00364CCD">
              <w:rPr>
                <w:rFonts w:ascii="Times New Roman" w:hAnsi="Times New Roman" w:cs="Times New Roman"/>
                <w:sz w:val="24"/>
                <w:szCs w:val="24"/>
                <w:lang w:val="es-ES"/>
              </w:rPr>
              <w:t>mérica y la República Dominicana</w:t>
            </w:r>
          </w:p>
        </w:tc>
      </w:tr>
      <w:tr w:rsidR="00A26315" w:rsidRPr="002F0759" w:rsidTr="00C614DC">
        <w:trPr>
          <w:cantSplit/>
        </w:trPr>
        <w:tc>
          <w:tcPr>
            <w:tcW w:w="1563" w:type="dxa"/>
          </w:tcPr>
          <w:p w:rsidR="00A26315" w:rsidRPr="00A26315" w:rsidRDefault="006F2988" w:rsidP="00C614DC">
            <w:pPr>
              <w:rPr>
                <w:rFonts w:ascii="Times New Roman" w:hAnsi="Times New Roman" w:cs="Times New Roman"/>
                <w:sz w:val="24"/>
                <w:szCs w:val="24"/>
                <w:lang w:val="es-ES"/>
              </w:rPr>
            </w:pPr>
            <w:r w:rsidRPr="00364CCD">
              <w:rPr>
                <w:rFonts w:ascii="Times New Roman" w:hAnsi="Times New Roman" w:cs="Times New Roman"/>
                <w:sz w:val="24"/>
                <w:szCs w:val="24"/>
                <w:lang w:val="es-ES"/>
              </w:rPr>
              <w:t>CAWI</w:t>
            </w:r>
          </w:p>
        </w:tc>
        <w:tc>
          <w:tcPr>
            <w:tcW w:w="7077" w:type="dxa"/>
          </w:tcPr>
          <w:p w:rsidR="00A26315" w:rsidRPr="00364CCD" w:rsidRDefault="006F2988" w:rsidP="00C614DC">
            <w:pPr>
              <w:rPr>
                <w:rFonts w:ascii="Times New Roman" w:hAnsi="Times New Roman" w:cs="Times New Roman"/>
                <w:sz w:val="24"/>
                <w:szCs w:val="24"/>
                <w:lang w:val="es-ES"/>
              </w:rPr>
            </w:pPr>
            <w:r w:rsidRPr="00364CCD">
              <w:rPr>
                <w:rFonts w:ascii="Times New Roman" w:hAnsi="Times New Roman" w:cs="Times New Roman"/>
                <w:sz w:val="24"/>
                <w:szCs w:val="24"/>
                <w:lang w:val="es-ES"/>
              </w:rPr>
              <w:t>Computer Assisted Web Interview</w:t>
            </w:r>
          </w:p>
        </w:tc>
      </w:tr>
      <w:tr w:rsidR="00A26315" w:rsidRPr="00AB1418" w:rsidTr="00C614DC">
        <w:trPr>
          <w:cantSplit/>
        </w:trPr>
        <w:tc>
          <w:tcPr>
            <w:tcW w:w="1563" w:type="dxa"/>
          </w:tcPr>
          <w:p w:rsidR="00A26315" w:rsidRPr="00A26315" w:rsidRDefault="006F2988" w:rsidP="00C614DC">
            <w:pPr>
              <w:rPr>
                <w:rFonts w:ascii="Times New Roman" w:hAnsi="Times New Roman" w:cs="Times New Roman"/>
                <w:sz w:val="24"/>
                <w:szCs w:val="24"/>
                <w:lang w:val="es-ES"/>
              </w:rPr>
            </w:pPr>
            <w:r w:rsidRPr="00364CCD">
              <w:rPr>
                <w:rFonts w:ascii="Times New Roman" w:hAnsi="Times New Roman" w:cs="Times New Roman"/>
                <w:sz w:val="24"/>
                <w:szCs w:val="24"/>
                <w:lang w:val="es-ES"/>
              </w:rPr>
              <w:t>GPI</w:t>
            </w:r>
          </w:p>
        </w:tc>
        <w:tc>
          <w:tcPr>
            <w:tcW w:w="7077" w:type="dxa"/>
          </w:tcPr>
          <w:p w:rsidR="00A26315" w:rsidRPr="00A26315" w:rsidRDefault="00235F2B" w:rsidP="006F2988">
            <w:pPr>
              <w:rPr>
                <w:rFonts w:ascii="Times New Roman" w:hAnsi="Times New Roman" w:cs="Times New Roman"/>
                <w:sz w:val="24"/>
                <w:szCs w:val="24"/>
                <w:lang w:val="es-ES"/>
              </w:rPr>
            </w:pPr>
            <w:r>
              <w:rPr>
                <w:rFonts w:ascii="Times New Roman" w:hAnsi="Times New Roman" w:cs="Times New Roman"/>
                <w:sz w:val="24"/>
                <w:szCs w:val="24"/>
                <w:lang w:val="es-ES"/>
              </w:rPr>
              <w:t>Grupo de Pares por I</w:t>
            </w:r>
            <w:r w:rsidR="0076379A">
              <w:rPr>
                <w:rFonts w:ascii="Times New Roman" w:hAnsi="Times New Roman" w:cs="Times New Roman"/>
                <w:sz w:val="24"/>
                <w:szCs w:val="24"/>
                <w:lang w:val="es-ES"/>
              </w:rPr>
              <w:t>ngreso PPA</w:t>
            </w:r>
          </w:p>
        </w:tc>
      </w:tr>
      <w:tr w:rsidR="00A26315" w:rsidRPr="00651882" w:rsidTr="00C614DC">
        <w:trPr>
          <w:cantSplit/>
        </w:trPr>
        <w:tc>
          <w:tcPr>
            <w:tcW w:w="1563" w:type="dxa"/>
          </w:tcPr>
          <w:p w:rsidR="00A26315" w:rsidRPr="00A26315" w:rsidRDefault="00A26315" w:rsidP="00C614DC">
            <w:pPr>
              <w:rPr>
                <w:rFonts w:ascii="Times New Roman" w:hAnsi="Times New Roman" w:cs="Times New Roman"/>
                <w:sz w:val="24"/>
                <w:szCs w:val="24"/>
                <w:lang w:val="es-ES"/>
              </w:rPr>
            </w:pPr>
            <w:r w:rsidRPr="00A26315">
              <w:rPr>
                <w:rFonts w:ascii="Times New Roman" w:hAnsi="Times New Roman" w:cs="Times New Roman"/>
                <w:sz w:val="24"/>
                <w:szCs w:val="24"/>
                <w:lang w:val="es-ES"/>
              </w:rPr>
              <w:t>IFIs</w:t>
            </w:r>
          </w:p>
        </w:tc>
        <w:tc>
          <w:tcPr>
            <w:tcW w:w="7077" w:type="dxa"/>
          </w:tcPr>
          <w:p w:rsidR="00A26315" w:rsidRPr="00A26315" w:rsidRDefault="00A26315" w:rsidP="00C614DC">
            <w:pPr>
              <w:rPr>
                <w:rFonts w:ascii="Times New Roman" w:hAnsi="Times New Roman" w:cs="Times New Roman"/>
                <w:sz w:val="24"/>
                <w:szCs w:val="24"/>
                <w:lang w:val="es-ES"/>
              </w:rPr>
            </w:pPr>
            <w:r w:rsidRPr="00A26315">
              <w:rPr>
                <w:rFonts w:ascii="Times New Roman" w:hAnsi="Times New Roman" w:cs="Times New Roman"/>
                <w:sz w:val="24"/>
                <w:szCs w:val="24"/>
                <w:lang w:val="es-ES"/>
              </w:rPr>
              <w:t>Instituciones Financieras Intermediarias (bancarias y no bancarias)</w:t>
            </w:r>
          </w:p>
        </w:tc>
      </w:tr>
      <w:tr w:rsidR="00A26315" w:rsidRPr="00651882" w:rsidTr="00C614DC">
        <w:trPr>
          <w:cantSplit/>
        </w:trPr>
        <w:tc>
          <w:tcPr>
            <w:tcW w:w="1563" w:type="dxa"/>
          </w:tcPr>
          <w:p w:rsidR="00A26315" w:rsidRPr="00A26315" w:rsidRDefault="00A26315" w:rsidP="00C614DC">
            <w:pPr>
              <w:rPr>
                <w:rFonts w:ascii="Times New Roman" w:hAnsi="Times New Roman" w:cs="Times New Roman"/>
                <w:sz w:val="24"/>
                <w:szCs w:val="24"/>
                <w:lang w:val="es-ES"/>
              </w:rPr>
            </w:pPr>
            <w:r w:rsidRPr="00A26315">
              <w:rPr>
                <w:rFonts w:ascii="Times New Roman" w:hAnsi="Times New Roman" w:cs="Times New Roman"/>
                <w:sz w:val="24"/>
                <w:szCs w:val="24"/>
                <w:lang w:val="es-ES"/>
              </w:rPr>
              <w:t>MIPYMES</w:t>
            </w:r>
          </w:p>
        </w:tc>
        <w:tc>
          <w:tcPr>
            <w:tcW w:w="7077" w:type="dxa"/>
          </w:tcPr>
          <w:p w:rsidR="00A26315" w:rsidRPr="00A26315" w:rsidRDefault="00A26315" w:rsidP="00C614DC">
            <w:pPr>
              <w:rPr>
                <w:rFonts w:ascii="Times New Roman" w:hAnsi="Times New Roman" w:cs="Times New Roman"/>
                <w:sz w:val="24"/>
                <w:szCs w:val="24"/>
                <w:lang w:val="es-ES"/>
              </w:rPr>
            </w:pPr>
            <w:r w:rsidRPr="00A26315">
              <w:rPr>
                <w:rFonts w:ascii="Times New Roman" w:hAnsi="Times New Roman" w:cs="Times New Roman"/>
                <w:sz w:val="24"/>
                <w:szCs w:val="24"/>
                <w:lang w:val="es-ES"/>
              </w:rPr>
              <w:t>Micro, Pequeñas y Medianas Empresas</w:t>
            </w:r>
          </w:p>
        </w:tc>
      </w:tr>
      <w:tr w:rsidR="00A26315" w:rsidRPr="002F0759" w:rsidTr="00C614DC">
        <w:trPr>
          <w:cantSplit/>
        </w:trPr>
        <w:tc>
          <w:tcPr>
            <w:tcW w:w="1563" w:type="dxa"/>
          </w:tcPr>
          <w:p w:rsidR="00A26315" w:rsidRPr="00A26315" w:rsidRDefault="006F2988" w:rsidP="00235F2B">
            <w:pPr>
              <w:rPr>
                <w:rFonts w:ascii="Times New Roman" w:hAnsi="Times New Roman" w:cs="Times New Roman"/>
                <w:sz w:val="24"/>
                <w:szCs w:val="24"/>
                <w:lang w:val="es-ES"/>
              </w:rPr>
            </w:pPr>
            <w:r>
              <w:rPr>
                <w:rFonts w:ascii="Times New Roman" w:hAnsi="Times New Roman" w:cs="Times New Roman"/>
                <w:sz w:val="24"/>
                <w:szCs w:val="24"/>
                <w:lang w:val="es-ES"/>
              </w:rPr>
              <w:t xml:space="preserve">PBI </w:t>
            </w:r>
          </w:p>
        </w:tc>
        <w:tc>
          <w:tcPr>
            <w:tcW w:w="7077" w:type="dxa"/>
          </w:tcPr>
          <w:p w:rsidR="00A26315" w:rsidRPr="00A26315" w:rsidRDefault="00A26315" w:rsidP="00235F2B">
            <w:pPr>
              <w:rPr>
                <w:rFonts w:ascii="Times New Roman" w:hAnsi="Times New Roman" w:cs="Times New Roman"/>
                <w:sz w:val="24"/>
                <w:szCs w:val="24"/>
                <w:lang w:val="es-ES"/>
              </w:rPr>
            </w:pPr>
            <w:r w:rsidRPr="00A26315">
              <w:rPr>
                <w:rFonts w:ascii="Times New Roman" w:hAnsi="Times New Roman" w:cs="Times New Roman"/>
                <w:sz w:val="24"/>
                <w:szCs w:val="24"/>
                <w:lang w:val="es-ES"/>
              </w:rPr>
              <w:t>Producto Bruto</w:t>
            </w:r>
            <w:r w:rsidR="00235F2B">
              <w:rPr>
                <w:rFonts w:ascii="Times New Roman" w:hAnsi="Times New Roman" w:cs="Times New Roman"/>
                <w:sz w:val="24"/>
                <w:szCs w:val="24"/>
                <w:lang w:val="es-ES"/>
              </w:rPr>
              <w:t xml:space="preserve"> </w:t>
            </w:r>
            <w:r w:rsidR="00235F2B" w:rsidRPr="00A26315">
              <w:rPr>
                <w:rFonts w:ascii="Times New Roman" w:hAnsi="Times New Roman" w:cs="Times New Roman"/>
                <w:sz w:val="24"/>
                <w:szCs w:val="24"/>
                <w:lang w:val="es-ES"/>
              </w:rPr>
              <w:t>Interno</w:t>
            </w:r>
          </w:p>
        </w:tc>
      </w:tr>
      <w:tr w:rsidR="00364CCD" w:rsidRPr="002F0759" w:rsidTr="00C614DC">
        <w:trPr>
          <w:cantSplit/>
        </w:trPr>
        <w:tc>
          <w:tcPr>
            <w:tcW w:w="1563" w:type="dxa"/>
          </w:tcPr>
          <w:p w:rsidR="00364CCD" w:rsidRPr="00A26315" w:rsidRDefault="0076379A" w:rsidP="00C614DC">
            <w:pPr>
              <w:rPr>
                <w:rFonts w:ascii="Times New Roman" w:hAnsi="Times New Roman" w:cs="Times New Roman"/>
                <w:sz w:val="24"/>
                <w:szCs w:val="24"/>
                <w:lang w:val="es-ES"/>
              </w:rPr>
            </w:pPr>
            <w:r>
              <w:rPr>
                <w:rFonts w:ascii="Times New Roman" w:hAnsi="Times New Roman" w:cs="Times New Roman"/>
                <w:sz w:val="24"/>
                <w:szCs w:val="24"/>
                <w:lang w:val="es-ES"/>
              </w:rPr>
              <w:t>PPA</w:t>
            </w:r>
          </w:p>
        </w:tc>
        <w:tc>
          <w:tcPr>
            <w:tcW w:w="7077" w:type="dxa"/>
          </w:tcPr>
          <w:p w:rsidR="00364CCD" w:rsidRPr="00A26315" w:rsidRDefault="00364CCD" w:rsidP="0076379A">
            <w:pPr>
              <w:rPr>
                <w:rFonts w:ascii="Times New Roman" w:hAnsi="Times New Roman" w:cs="Times New Roman"/>
                <w:sz w:val="24"/>
                <w:szCs w:val="24"/>
                <w:lang w:val="es-ES"/>
              </w:rPr>
            </w:pPr>
            <w:r>
              <w:rPr>
                <w:rFonts w:ascii="Times New Roman" w:hAnsi="Times New Roman" w:cs="Times New Roman"/>
                <w:sz w:val="24"/>
                <w:szCs w:val="24"/>
                <w:lang w:val="es-ES"/>
              </w:rPr>
              <w:t>P</w:t>
            </w:r>
            <w:r w:rsidRPr="00364CCD">
              <w:rPr>
                <w:rFonts w:ascii="Times New Roman" w:hAnsi="Times New Roman" w:cs="Times New Roman"/>
                <w:sz w:val="24"/>
                <w:szCs w:val="24"/>
                <w:lang w:val="es-ES"/>
              </w:rPr>
              <w:t xml:space="preserve">aridad de </w:t>
            </w:r>
            <w:r w:rsidR="0076379A">
              <w:rPr>
                <w:rFonts w:ascii="Times New Roman" w:hAnsi="Times New Roman" w:cs="Times New Roman"/>
                <w:sz w:val="24"/>
                <w:szCs w:val="24"/>
                <w:lang w:val="es-ES"/>
              </w:rPr>
              <w:t>Poder Adquisitivo</w:t>
            </w:r>
            <w:r w:rsidRPr="00364CCD">
              <w:rPr>
                <w:rFonts w:ascii="Times New Roman" w:hAnsi="Times New Roman" w:cs="Times New Roman"/>
                <w:sz w:val="24"/>
                <w:szCs w:val="24"/>
                <w:lang w:val="es-ES"/>
              </w:rPr>
              <w:t xml:space="preserve"> </w:t>
            </w:r>
          </w:p>
        </w:tc>
      </w:tr>
      <w:tr w:rsidR="00364CCD" w:rsidRPr="00651882" w:rsidTr="00C614DC">
        <w:trPr>
          <w:cantSplit/>
        </w:trPr>
        <w:tc>
          <w:tcPr>
            <w:tcW w:w="1563" w:type="dxa"/>
          </w:tcPr>
          <w:p w:rsidR="00364CCD" w:rsidRPr="00A26315" w:rsidRDefault="00364CCD" w:rsidP="00C614DC">
            <w:pPr>
              <w:rPr>
                <w:rFonts w:ascii="Times New Roman" w:hAnsi="Times New Roman" w:cs="Times New Roman"/>
                <w:sz w:val="24"/>
                <w:szCs w:val="24"/>
                <w:lang w:val="es-ES"/>
              </w:rPr>
            </w:pPr>
            <w:r w:rsidRPr="00A26315">
              <w:rPr>
                <w:rFonts w:ascii="Times New Roman" w:hAnsi="Times New Roman" w:cs="Times New Roman"/>
                <w:sz w:val="24"/>
                <w:szCs w:val="24"/>
                <w:lang w:val="es-ES"/>
              </w:rPr>
              <w:t>SSF</w:t>
            </w:r>
          </w:p>
        </w:tc>
        <w:tc>
          <w:tcPr>
            <w:tcW w:w="7077" w:type="dxa"/>
          </w:tcPr>
          <w:p w:rsidR="00364CCD" w:rsidRPr="00A26315" w:rsidRDefault="00364CCD" w:rsidP="00C614DC">
            <w:pPr>
              <w:rPr>
                <w:rFonts w:ascii="Times New Roman" w:hAnsi="Times New Roman" w:cs="Times New Roman"/>
                <w:sz w:val="24"/>
                <w:szCs w:val="24"/>
                <w:lang w:val="es-ES"/>
              </w:rPr>
            </w:pPr>
            <w:r w:rsidRPr="00A26315">
              <w:rPr>
                <w:rFonts w:ascii="Times New Roman" w:hAnsi="Times New Roman" w:cs="Times New Roman"/>
                <w:sz w:val="24"/>
                <w:szCs w:val="24"/>
                <w:lang w:val="es-ES"/>
              </w:rPr>
              <w:t xml:space="preserve">Superintendencia del Sistema Financiero de El Salvador </w:t>
            </w:r>
          </w:p>
        </w:tc>
      </w:tr>
      <w:tr w:rsidR="00364CCD" w:rsidRPr="002F0759" w:rsidTr="00C614DC">
        <w:trPr>
          <w:cantSplit/>
        </w:trPr>
        <w:tc>
          <w:tcPr>
            <w:tcW w:w="1563" w:type="dxa"/>
          </w:tcPr>
          <w:p w:rsidR="00364CCD" w:rsidRPr="00A26315" w:rsidRDefault="00364CCD" w:rsidP="00C614DC">
            <w:pPr>
              <w:rPr>
                <w:rFonts w:ascii="Times New Roman" w:hAnsi="Times New Roman" w:cs="Times New Roman"/>
                <w:sz w:val="24"/>
                <w:szCs w:val="24"/>
                <w:lang w:val="es-ES"/>
              </w:rPr>
            </w:pPr>
            <w:r w:rsidRPr="00A26315">
              <w:rPr>
                <w:rFonts w:ascii="Times New Roman" w:hAnsi="Times New Roman" w:cs="Times New Roman"/>
                <w:sz w:val="24"/>
                <w:szCs w:val="24"/>
                <w:lang w:val="es-ES"/>
              </w:rPr>
              <w:t>US$</w:t>
            </w:r>
          </w:p>
        </w:tc>
        <w:tc>
          <w:tcPr>
            <w:tcW w:w="7077" w:type="dxa"/>
          </w:tcPr>
          <w:p w:rsidR="00364CCD" w:rsidRPr="00A26315" w:rsidRDefault="00364CCD" w:rsidP="00C614DC">
            <w:pPr>
              <w:rPr>
                <w:rFonts w:ascii="Times New Roman" w:hAnsi="Times New Roman" w:cs="Times New Roman"/>
                <w:sz w:val="24"/>
                <w:szCs w:val="24"/>
                <w:lang w:val="es-ES"/>
              </w:rPr>
            </w:pPr>
            <w:r w:rsidRPr="00A26315">
              <w:rPr>
                <w:rFonts w:ascii="Times New Roman" w:hAnsi="Times New Roman" w:cs="Times New Roman"/>
                <w:sz w:val="24"/>
                <w:szCs w:val="24"/>
                <w:lang w:val="es-ES"/>
              </w:rPr>
              <w:t>Dólares Estadounidenses</w:t>
            </w:r>
          </w:p>
        </w:tc>
      </w:tr>
    </w:tbl>
    <w:p w:rsidR="00A26315" w:rsidRPr="002F0759" w:rsidRDefault="00A26315" w:rsidP="00A26315">
      <w:pPr>
        <w:rPr>
          <w:lang w:val="es-ES"/>
        </w:rPr>
      </w:pPr>
    </w:p>
    <w:p w:rsidR="0067525B" w:rsidRDefault="0067525B">
      <w:pPr>
        <w:rPr>
          <w:rFonts w:ascii="Times New Roman" w:hAnsi="Times New Roman" w:cs="Times New Roman"/>
          <w:sz w:val="24"/>
        </w:rPr>
      </w:pPr>
      <w:r>
        <w:br w:type="page"/>
      </w:r>
    </w:p>
    <w:p w:rsidR="00E72647" w:rsidRPr="00A02B10" w:rsidRDefault="00581CA5" w:rsidP="00E72647">
      <w:pPr>
        <w:pStyle w:val="Chapter"/>
        <w:numPr>
          <w:ilvl w:val="0"/>
          <w:numId w:val="32"/>
        </w:numPr>
        <w:spacing w:before="120" w:after="120"/>
        <w:rPr>
          <w:lang w:val="es-ES"/>
        </w:rPr>
      </w:pPr>
      <w:bookmarkStart w:id="1" w:name="_Toc388181667"/>
      <w:r>
        <w:rPr>
          <w:lang w:val="es-ES"/>
        </w:rPr>
        <w:lastRenderedPageBreak/>
        <w:t>Introducción</w:t>
      </w:r>
      <w:bookmarkEnd w:id="1"/>
      <w:r>
        <w:rPr>
          <w:lang w:val="es-ES"/>
        </w:rPr>
        <w:t xml:space="preserve"> </w:t>
      </w:r>
    </w:p>
    <w:p w:rsidR="00581CA5" w:rsidRPr="008E507C" w:rsidRDefault="00A26315" w:rsidP="00F10FF1">
      <w:pPr>
        <w:pStyle w:val="Paragraph"/>
        <w:tabs>
          <w:tab w:val="clear" w:pos="720"/>
          <w:tab w:val="num" w:pos="2196"/>
        </w:tabs>
        <w:ind w:left="0" w:firstLine="0"/>
        <w:rPr>
          <w:lang w:val="es-ES"/>
        </w:rPr>
      </w:pPr>
      <w:r w:rsidRPr="00A26315">
        <w:rPr>
          <w:lang w:val="es-ES"/>
        </w:rPr>
        <w:t>E</w:t>
      </w:r>
      <w:r w:rsidR="008E507C">
        <w:rPr>
          <w:lang w:val="es-ES"/>
        </w:rPr>
        <w:t xml:space="preserve">l objetivo del siguiente documento es estimar la </w:t>
      </w:r>
      <w:r w:rsidRPr="008E507C">
        <w:rPr>
          <w:lang w:val="es-ES"/>
        </w:rPr>
        <w:t xml:space="preserve">demanda de crédito </w:t>
      </w:r>
      <w:r w:rsidR="008E507C">
        <w:rPr>
          <w:lang w:val="es-ES"/>
        </w:rPr>
        <w:t>p</w:t>
      </w:r>
      <w:r w:rsidRPr="008E507C">
        <w:rPr>
          <w:lang w:val="es-ES"/>
        </w:rPr>
        <w:t>a</w:t>
      </w:r>
      <w:r w:rsidR="008E507C">
        <w:rPr>
          <w:lang w:val="es-ES"/>
        </w:rPr>
        <w:t>ra</w:t>
      </w:r>
      <w:r w:rsidRPr="008E507C">
        <w:rPr>
          <w:lang w:val="es-ES"/>
        </w:rPr>
        <w:t xml:space="preserve"> inversiones productivas por parte de las Micro, Pequeñas y Medianas Empresas (MIPYMES)</w:t>
      </w:r>
      <w:r w:rsidRPr="00A26315">
        <w:rPr>
          <w:vertAlign w:val="superscript"/>
        </w:rPr>
        <w:footnoteReference w:id="1"/>
      </w:r>
      <w:r w:rsidRPr="008E507C">
        <w:rPr>
          <w:lang w:val="es-ES"/>
        </w:rPr>
        <w:t xml:space="preserve"> de El Salvador.  La nota </w:t>
      </w:r>
      <w:r w:rsidR="00581CA5" w:rsidRPr="008E507C">
        <w:rPr>
          <w:lang w:val="es-ES"/>
        </w:rPr>
        <w:t xml:space="preserve">se compone </w:t>
      </w:r>
      <w:r w:rsidR="008E507C">
        <w:rPr>
          <w:lang w:val="es-ES"/>
        </w:rPr>
        <w:t>de</w:t>
      </w:r>
      <w:r w:rsidR="00581CA5" w:rsidRPr="008E507C">
        <w:rPr>
          <w:lang w:val="es-ES"/>
        </w:rPr>
        <w:t xml:space="preserve"> </w:t>
      </w:r>
      <w:r w:rsidR="00F23CDD">
        <w:rPr>
          <w:lang w:val="es-ES"/>
        </w:rPr>
        <w:t>tres</w:t>
      </w:r>
      <w:r w:rsidR="00581CA5" w:rsidRPr="008E507C">
        <w:rPr>
          <w:lang w:val="es-ES"/>
        </w:rPr>
        <w:t xml:space="preserve"> partes, un análisis sobre el espacio para intervenciones públicas, una </w:t>
      </w:r>
      <w:r w:rsidR="008C3DC3">
        <w:rPr>
          <w:lang w:val="es-ES"/>
        </w:rPr>
        <w:t>estimación</w:t>
      </w:r>
      <w:r w:rsidR="00581CA5" w:rsidRPr="008E507C">
        <w:rPr>
          <w:lang w:val="es-ES"/>
        </w:rPr>
        <w:t xml:space="preserve"> cuantitativa de la demanda potencial de crédito, y </w:t>
      </w:r>
      <w:r w:rsidR="008C3DC3">
        <w:rPr>
          <w:lang w:val="es-ES"/>
        </w:rPr>
        <w:t>una aproximación basada</w:t>
      </w:r>
      <w:r w:rsidR="00581CA5" w:rsidRPr="008E507C">
        <w:rPr>
          <w:lang w:val="es-ES"/>
        </w:rPr>
        <w:t xml:space="preserve"> en encuestas a instituciones financieras. </w:t>
      </w:r>
    </w:p>
    <w:p w:rsidR="007F3849" w:rsidRPr="00A00563" w:rsidRDefault="00F23CDD" w:rsidP="00F10FF1">
      <w:pPr>
        <w:pStyle w:val="Paragraph"/>
        <w:tabs>
          <w:tab w:val="clear" w:pos="720"/>
          <w:tab w:val="num" w:pos="2196"/>
        </w:tabs>
        <w:ind w:left="0" w:firstLine="0"/>
        <w:rPr>
          <w:lang w:val="es-ES"/>
        </w:rPr>
      </w:pPr>
      <w:r>
        <w:rPr>
          <w:lang w:val="es-ES"/>
        </w:rPr>
        <w:t xml:space="preserve">Las limitaciones en cuanto a información se refiere restringen </w:t>
      </w:r>
      <w:r w:rsidR="00C614DC">
        <w:rPr>
          <w:lang w:val="es-ES"/>
        </w:rPr>
        <w:t>la aplicación de técnicas econométricas más intensiva</w:t>
      </w:r>
      <w:r w:rsidR="00581CA5" w:rsidRPr="00933B53">
        <w:rPr>
          <w:lang w:val="es-ES"/>
        </w:rPr>
        <w:t xml:space="preserve">s </w:t>
      </w:r>
      <w:r w:rsidR="00C614DC">
        <w:rPr>
          <w:lang w:val="es-ES"/>
        </w:rPr>
        <w:t>que nos permita</w:t>
      </w:r>
      <w:r w:rsidR="00581CA5" w:rsidRPr="00933B53">
        <w:rPr>
          <w:lang w:val="es-ES"/>
        </w:rPr>
        <w:t xml:space="preserve"> identificar el potencial incremento de la demanda.</w:t>
      </w:r>
      <w:r w:rsidR="00C427A0">
        <w:rPr>
          <w:lang w:val="es-ES"/>
        </w:rPr>
        <w:t xml:space="preserve"> Esta falta de datos se manifiesta de las siguientes maneras. En primer lugar, el último censo económico de El Salvador se realizó en 2005</w:t>
      </w:r>
      <w:r w:rsidR="00C427A0">
        <w:rPr>
          <w:rStyle w:val="FootnoteReference"/>
          <w:lang w:val="es-ES"/>
        </w:rPr>
        <w:footnoteReference w:id="2"/>
      </w:r>
      <w:r w:rsidR="00C427A0">
        <w:rPr>
          <w:lang w:val="es-ES"/>
        </w:rPr>
        <w:t xml:space="preserve">, y por lo tanto </w:t>
      </w:r>
      <w:r w:rsidR="00CB1CE0">
        <w:rPr>
          <w:lang w:val="es-ES"/>
        </w:rPr>
        <w:t>no recoge los efectos de la crisis financiera internacional de 2008</w:t>
      </w:r>
      <w:r w:rsidR="00137F34">
        <w:rPr>
          <w:lang w:val="es-ES"/>
        </w:rPr>
        <w:t xml:space="preserve"> en el país</w:t>
      </w:r>
      <w:r w:rsidR="00CB1CE0">
        <w:rPr>
          <w:lang w:val="es-ES"/>
        </w:rPr>
        <w:t xml:space="preserve">. </w:t>
      </w:r>
      <w:r w:rsidR="00853964">
        <w:rPr>
          <w:lang w:val="es-ES"/>
        </w:rPr>
        <w:t xml:space="preserve">En segundo lugar, </w:t>
      </w:r>
      <w:r w:rsidR="00137F34">
        <w:rPr>
          <w:lang w:val="es-ES"/>
        </w:rPr>
        <w:t>los estudios realizados sobre la financiación de las MIPYMES en El Salvador utilizan datos que debido a su antigüedad no arrojan luz sobre la situación actual</w:t>
      </w:r>
      <w:r w:rsidR="00137F34">
        <w:rPr>
          <w:rStyle w:val="FootnoteReference"/>
          <w:lang w:val="es-ES"/>
        </w:rPr>
        <w:footnoteReference w:id="3"/>
      </w:r>
      <w:r w:rsidR="00137F34">
        <w:rPr>
          <w:lang w:val="es-ES"/>
        </w:rPr>
        <w:t xml:space="preserve">. </w:t>
      </w:r>
      <w:r w:rsidR="00A00563">
        <w:rPr>
          <w:lang w:val="es-ES"/>
        </w:rPr>
        <w:t xml:space="preserve">Finalmente, </w:t>
      </w:r>
      <w:r w:rsidR="007F3849" w:rsidRPr="00A00563">
        <w:rPr>
          <w:lang w:val="es-ES"/>
        </w:rPr>
        <w:t>a pesar del apoyo</w:t>
      </w:r>
      <w:r w:rsidR="000F404C" w:rsidRPr="00A00563">
        <w:rPr>
          <w:lang w:val="es-ES"/>
        </w:rPr>
        <w:t xml:space="preserve"> </w:t>
      </w:r>
      <w:r w:rsidR="007F3849" w:rsidRPr="00A00563">
        <w:rPr>
          <w:lang w:val="es-ES"/>
        </w:rPr>
        <w:t>prestado</w:t>
      </w:r>
      <w:r w:rsidR="000F404C" w:rsidRPr="00A00563">
        <w:rPr>
          <w:lang w:val="es-ES"/>
        </w:rPr>
        <w:t xml:space="preserve"> </w:t>
      </w:r>
      <w:r w:rsidR="007F3849" w:rsidRPr="00A00563">
        <w:rPr>
          <w:lang w:val="es-ES"/>
        </w:rPr>
        <w:t>por el</w:t>
      </w:r>
      <w:r w:rsidR="000F404C" w:rsidRPr="00A00563">
        <w:rPr>
          <w:lang w:val="es-ES"/>
        </w:rPr>
        <w:t xml:space="preserve"> B</w:t>
      </w:r>
      <w:r w:rsidR="007519C3" w:rsidRPr="00A00563">
        <w:rPr>
          <w:lang w:val="es-ES"/>
        </w:rPr>
        <w:t>anco Central de Reserva de El Salvador</w:t>
      </w:r>
      <w:r w:rsidR="007F3849" w:rsidRPr="00A00563">
        <w:rPr>
          <w:lang w:val="es-ES"/>
        </w:rPr>
        <w:t xml:space="preserve"> (BCR)</w:t>
      </w:r>
      <w:r w:rsidR="007519C3" w:rsidRPr="00A00563">
        <w:rPr>
          <w:lang w:val="es-ES"/>
        </w:rPr>
        <w:t xml:space="preserve"> y BANDESAL, no</w:t>
      </w:r>
      <w:r w:rsidR="007F3849" w:rsidRPr="00A00563">
        <w:rPr>
          <w:lang w:val="es-ES"/>
        </w:rPr>
        <w:t xml:space="preserve"> </w:t>
      </w:r>
      <w:r w:rsidR="007519C3" w:rsidRPr="00A00563">
        <w:rPr>
          <w:lang w:val="es-ES"/>
        </w:rPr>
        <w:t xml:space="preserve"> </w:t>
      </w:r>
      <w:r w:rsidR="007F3849" w:rsidRPr="00A00563">
        <w:rPr>
          <w:lang w:val="es-ES"/>
        </w:rPr>
        <w:t xml:space="preserve">se pudo entrevistar a las 25 instituciones financieras que operan en el país, siendo el número final de </w:t>
      </w:r>
      <w:r w:rsidR="00A00563">
        <w:rPr>
          <w:lang w:val="es-ES"/>
        </w:rPr>
        <w:t>doce</w:t>
      </w:r>
      <w:r w:rsidR="00F10FF1">
        <w:rPr>
          <w:lang w:val="es-ES"/>
        </w:rPr>
        <w:t xml:space="preserve"> (12) – véase anexo IV</w:t>
      </w:r>
      <w:r w:rsidR="00A00563">
        <w:rPr>
          <w:lang w:val="es-ES"/>
        </w:rPr>
        <w:t xml:space="preserve">. </w:t>
      </w:r>
      <w:r w:rsidR="00644375" w:rsidRPr="00A00563">
        <w:rPr>
          <w:lang w:val="es-AR"/>
        </w:rPr>
        <w:t xml:space="preserve"> </w:t>
      </w:r>
      <w:r w:rsidR="007F3849" w:rsidRPr="00A00563">
        <w:rPr>
          <w:lang w:val="es-AR"/>
        </w:rPr>
        <w:t xml:space="preserve"> </w:t>
      </w:r>
    </w:p>
    <w:p w:rsidR="00581CA5" w:rsidRDefault="00581CA5" w:rsidP="00F10FF1">
      <w:pPr>
        <w:pStyle w:val="Paragraph"/>
        <w:tabs>
          <w:tab w:val="clear" w:pos="720"/>
          <w:tab w:val="num" w:pos="2196"/>
        </w:tabs>
        <w:ind w:left="0" w:firstLine="0"/>
        <w:rPr>
          <w:lang w:val="es-ES"/>
        </w:rPr>
      </w:pPr>
      <w:r w:rsidRPr="00581CA5">
        <w:rPr>
          <w:lang w:val="es-ES"/>
        </w:rPr>
        <w:t>En luz de estas limitaciones el presente estudio ha procedido a estimar la demanda de crédito en base de: (i) una aproximación a la demanda potencial de crédito a partir de las relaciones observadas para El Salvador utilizando datos macroeconómicos;</w:t>
      </w:r>
      <w:r w:rsidR="00F10FF1">
        <w:rPr>
          <w:lang w:val="es-ES"/>
        </w:rPr>
        <w:t xml:space="preserve"> y (ii) </w:t>
      </w:r>
      <w:r w:rsidR="008A72BB">
        <w:rPr>
          <w:lang w:val="es-ES"/>
        </w:rPr>
        <w:t>una serie de encuestas cuyo fin es</w:t>
      </w:r>
      <w:r w:rsidRPr="00581CA5">
        <w:rPr>
          <w:lang w:val="es-ES"/>
        </w:rPr>
        <w:t xml:space="preserve"> recopilar información directamente de los intermediarios financieros que distribuirán los recursos de la línea. </w:t>
      </w:r>
    </w:p>
    <w:p w:rsidR="00D32F78" w:rsidRDefault="00D32F78" w:rsidP="00F10FF1">
      <w:pPr>
        <w:pStyle w:val="Paragraph"/>
        <w:tabs>
          <w:tab w:val="clear" w:pos="720"/>
          <w:tab w:val="num" w:pos="2196"/>
        </w:tabs>
        <w:ind w:left="0" w:firstLine="0"/>
        <w:rPr>
          <w:lang w:val="es-ES"/>
        </w:rPr>
      </w:pPr>
      <w:r>
        <w:rPr>
          <w:lang w:val="es-ES"/>
        </w:rPr>
        <w:t xml:space="preserve">Información relativa a la cartera de BANDESAL (véase Anexo I) se ha considerado para estimar la tendencia de demanda.  </w:t>
      </w:r>
    </w:p>
    <w:p w:rsidR="00B75E90" w:rsidRPr="00ED46BF" w:rsidRDefault="0011641B" w:rsidP="0011641B">
      <w:pPr>
        <w:pStyle w:val="Chapter"/>
        <w:numPr>
          <w:ilvl w:val="0"/>
          <w:numId w:val="32"/>
        </w:numPr>
        <w:spacing w:before="120" w:after="120"/>
        <w:rPr>
          <w:lang w:val="es-ES"/>
        </w:rPr>
      </w:pPr>
      <w:bookmarkStart w:id="2" w:name="_Toc388181597"/>
      <w:bookmarkStart w:id="3" w:name="_Toc388181668"/>
      <w:r>
        <w:rPr>
          <w:lang w:val="es-ES"/>
        </w:rPr>
        <w:t xml:space="preserve">Indicadores </w:t>
      </w:r>
      <w:r w:rsidR="00DE5562" w:rsidRPr="00933B53">
        <w:rPr>
          <w:lang w:val="es-ES"/>
        </w:rPr>
        <w:t>de la potencial demanda de crédito</w:t>
      </w:r>
      <w:bookmarkEnd w:id="2"/>
      <w:bookmarkEnd w:id="3"/>
    </w:p>
    <w:p w:rsidR="00B75E90" w:rsidRPr="00581CA5" w:rsidRDefault="00526A95" w:rsidP="00B75E90">
      <w:pPr>
        <w:pStyle w:val="FirstHeading"/>
        <w:numPr>
          <w:ilvl w:val="0"/>
          <w:numId w:val="3"/>
        </w:numPr>
        <w:ind w:left="720"/>
        <w:rPr>
          <w:lang w:val="es-ES"/>
        </w:rPr>
      </w:pPr>
      <w:r w:rsidRPr="00933B53">
        <w:rPr>
          <w:lang w:val="es-ES"/>
        </w:rPr>
        <w:fldChar w:fldCharType="begin"/>
      </w:r>
      <w:r w:rsidRPr="00933B53">
        <w:rPr>
          <w:lang w:val="es-ES"/>
        </w:rPr>
        <w:instrText xml:space="preserve"> SEQ "</w:instrText>
      </w:r>
      <w:r w:rsidR="0097334F" w:rsidRPr="00933B53">
        <w:fldChar w:fldCharType="begin"/>
      </w:r>
      <w:r w:rsidR="0097334F" w:rsidRPr="00933B53">
        <w:rPr>
          <w:lang w:val="es-AR"/>
        </w:rPr>
        <w:instrText xml:space="preserve"> SECTION  \* MERGEFORMAT </w:instrText>
      </w:r>
      <w:r w:rsidR="0097334F" w:rsidRPr="00933B53">
        <w:fldChar w:fldCharType="separate"/>
      </w:r>
      <w:r w:rsidR="004013C1" w:rsidRPr="00933B53">
        <w:rPr>
          <w:lang w:val="es-ES"/>
        </w:rPr>
        <w:instrText>1</w:instrText>
      </w:r>
      <w:r w:rsidR="0097334F" w:rsidRPr="00933B53">
        <w:rPr>
          <w:lang w:val="es-ES"/>
        </w:rPr>
        <w:fldChar w:fldCharType="end"/>
      </w:r>
      <w:r w:rsidRPr="00933B53">
        <w:rPr>
          <w:lang w:val="es-ES"/>
        </w:rPr>
        <w:instrText xml:space="preserve">#"\* ALPHABETIC \* MERGEFORMAT </w:instrText>
      </w:r>
      <w:r w:rsidRPr="00933B53">
        <w:rPr>
          <w:lang w:val="es-ES"/>
        </w:rPr>
        <w:fldChar w:fldCharType="separate"/>
      </w:r>
      <w:bookmarkStart w:id="4" w:name="_Toc388181598"/>
      <w:bookmarkStart w:id="5" w:name="_Toc388181669"/>
      <w:r w:rsidR="004013C1" w:rsidRPr="00933B53">
        <w:rPr>
          <w:noProof/>
          <w:lang w:val="es-ES"/>
        </w:rPr>
        <w:t>A</w:t>
      </w:r>
      <w:r w:rsidRPr="00933B53">
        <w:rPr>
          <w:lang w:val="es-ES"/>
        </w:rPr>
        <w:fldChar w:fldCharType="end"/>
      </w:r>
      <w:r w:rsidRPr="00933B53">
        <w:rPr>
          <w:lang w:val="es-ES"/>
        </w:rPr>
        <w:t>.</w:t>
      </w:r>
      <w:r w:rsidRPr="00933B53">
        <w:rPr>
          <w:lang w:val="es-ES"/>
        </w:rPr>
        <w:tab/>
      </w:r>
      <w:r w:rsidR="00B75E90" w:rsidRPr="00933B53">
        <w:rPr>
          <w:lang w:val="es-ES"/>
        </w:rPr>
        <w:t>Consideraciones sobre el espacio para la intervención pública</w:t>
      </w:r>
      <w:bookmarkEnd w:id="4"/>
      <w:bookmarkEnd w:id="5"/>
    </w:p>
    <w:p w:rsidR="00643690" w:rsidRPr="00581CA5" w:rsidRDefault="00A1784D" w:rsidP="00F10FF1">
      <w:pPr>
        <w:pStyle w:val="Paragraph"/>
        <w:tabs>
          <w:tab w:val="clear" w:pos="720"/>
          <w:tab w:val="num" w:pos="2196"/>
        </w:tabs>
        <w:ind w:left="0" w:firstLine="0"/>
        <w:rPr>
          <w:lang w:val="es-ES"/>
        </w:rPr>
      </w:pPr>
      <w:r w:rsidRPr="00581CA5">
        <w:rPr>
          <w:lang w:val="es-ES"/>
        </w:rPr>
        <w:t>En esta sección se presenta</w:t>
      </w:r>
      <w:r w:rsidR="00B75E90" w:rsidRPr="00581CA5">
        <w:rPr>
          <w:lang w:val="es-ES"/>
        </w:rPr>
        <w:t xml:space="preserve">n una serie de indicadores </w:t>
      </w:r>
      <w:r w:rsidR="007F5562" w:rsidRPr="00581CA5">
        <w:rPr>
          <w:lang w:val="es-ES"/>
        </w:rPr>
        <w:t xml:space="preserve">que ponen en perspectiva la situación </w:t>
      </w:r>
      <w:r w:rsidR="00761288">
        <w:rPr>
          <w:lang w:val="es-ES"/>
        </w:rPr>
        <w:t>de</w:t>
      </w:r>
      <w:r w:rsidR="007F5562" w:rsidRPr="00581CA5">
        <w:rPr>
          <w:lang w:val="es-ES"/>
        </w:rPr>
        <w:t xml:space="preserve"> los mercados de crédito en El Salvador en relación a otros países</w:t>
      </w:r>
      <w:r w:rsidR="003E6AAD" w:rsidRPr="00581CA5">
        <w:rPr>
          <w:lang w:val="es-ES"/>
        </w:rPr>
        <w:t xml:space="preserve"> de referencia</w:t>
      </w:r>
      <w:r w:rsidR="007F5562" w:rsidRPr="00581CA5">
        <w:rPr>
          <w:lang w:val="es-ES"/>
        </w:rPr>
        <w:t>.</w:t>
      </w:r>
      <w:r w:rsidRPr="00581CA5">
        <w:rPr>
          <w:lang w:val="es-ES"/>
        </w:rPr>
        <w:t xml:space="preserve"> </w:t>
      </w:r>
      <w:r w:rsidR="00643690" w:rsidRPr="00581CA5">
        <w:rPr>
          <w:lang w:val="es-ES"/>
        </w:rPr>
        <w:t xml:space="preserve">Para comenzar este análisis se identifican tres grupos de referencia que se utilizaran para comparar la situación de El Salvador. El primer grupo de referencia se construye en función del ingreso per cápita ajustado por paridad de </w:t>
      </w:r>
      <w:r w:rsidR="0076379A">
        <w:rPr>
          <w:lang w:val="es-ES"/>
        </w:rPr>
        <w:t>poder adquisitivo (PPA</w:t>
      </w:r>
      <w:r w:rsidR="00643690" w:rsidRPr="00581CA5">
        <w:rPr>
          <w:lang w:val="es-ES"/>
        </w:rPr>
        <w:t>).</w:t>
      </w:r>
      <w:r w:rsidR="00474229" w:rsidRPr="00581CA5">
        <w:rPr>
          <w:lang w:val="es-ES"/>
        </w:rPr>
        <w:t xml:space="preserve"> Est</w:t>
      </w:r>
      <w:r w:rsidR="0076379A">
        <w:rPr>
          <w:lang w:val="es-ES"/>
        </w:rPr>
        <w:t>e grupo</w:t>
      </w:r>
      <w:r w:rsidR="00F448D1">
        <w:rPr>
          <w:lang w:val="es-ES"/>
        </w:rPr>
        <w:t xml:space="preserve"> de pares por ingreso, a partir de ahora GPI,</w:t>
      </w:r>
      <w:r w:rsidR="00474229" w:rsidRPr="00581CA5">
        <w:rPr>
          <w:lang w:val="es-ES"/>
        </w:rPr>
        <w:t xml:space="preserve"> está conformado por </w:t>
      </w:r>
      <w:r w:rsidR="00474229" w:rsidRPr="00581CA5">
        <w:rPr>
          <w:lang w:val="es-ES"/>
        </w:rPr>
        <w:lastRenderedPageBreak/>
        <w:t>países que muestran un ingreso per cápita un 10 por ciento superior o inferior al de El Salvador.</w:t>
      </w:r>
      <w:r w:rsidR="00474229" w:rsidRPr="00933B53">
        <w:rPr>
          <w:rStyle w:val="FootnoteReference"/>
          <w:lang w:val="es-ES"/>
        </w:rPr>
        <w:footnoteReference w:id="4"/>
      </w:r>
      <w:r w:rsidR="00474229" w:rsidRPr="00581CA5">
        <w:rPr>
          <w:lang w:val="es-ES"/>
        </w:rPr>
        <w:t xml:space="preserve"> El segundo grupo de referencia está</w:t>
      </w:r>
      <w:r w:rsidR="00235F2B">
        <w:rPr>
          <w:lang w:val="es-ES"/>
        </w:rPr>
        <w:t xml:space="preserve"> dado por los países de Centroa</w:t>
      </w:r>
      <w:r w:rsidR="00474229" w:rsidRPr="00581CA5">
        <w:rPr>
          <w:lang w:val="es-ES"/>
        </w:rPr>
        <w:t>mérica y la República Dominicana (a partir de ahora CARD).</w:t>
      </w:r>
      <w:r w:rsidR="00474229" w:rsidRPr="00933B53">
        <w:rPr>
          <w:rStyle w:val="FootnoteReference"/>
          <w:lang w:val="es-ES"/>
        </w:rPr>
        <w:footnoteReference w:id="5"/>
      </w:r>
      <w:r w:rsidR="00F54B82" w:rsidRPr="00581CA5">
        <w:rPr>
          <w:lang w:val="es-ES"/>
        </w:rPr>
        <w:t xml:space="preserve"> Finalmente, el tercer grupo de referencia está dado por Brasil, México, Chile, y Uruguay (BMCU).</w:t>
      </w:r>
      <w:r w:rsidR="006D51D0">
        <w:rPr>
          <w:lang w:val="es-AR"/>
        </w:rPr>
        <w:t xml:space="preserve"> Este último grupo intenta captar las relaciones en las economías con los mercados más grandes y de relativa estabilidad y sofisticación.</w:t>
      </w:r>
    </w:p>
    <w:p w:rsidR="00FA5745" w:rsidRPr="00D7405A" w:rsidRDefault="00E158BB" w:rsidP="00F10FF1">
      <w:pPr>
        <w:pStyle w:val="Paragraph"/>
        <w:tabs>
          <w:tab w:val="clear" w:pos="720"/>
          <w:tab w:val="num" w:pos="2196"/>
        </w:tabs>
        <w:ind w:left="0" w:firstLine="0"/>
        <w:rPr>
          <w:lang w:val="es-ES"/>
        </w:rPr>
      </w:pPr>
      <w:r>
        <w:rPr>
          <w:lang w:val="es-ES"/>
        </w:rPr>
        <w:t>Como se muestra en el G</w:t>
      </w:r>
      <w:r w:rsidR="00201873" w:rsidRPr="00D7405A">
        <w:rPr>
          <w:lang w:val="es-ES"/>
        </w:rPr>
        <w:t xml:space="preserve">ráfico </w:t>
      </w:r>
      <w:r w:rsidR="00D525DA" w:rsidRPr="00D7405A">
        <w:rPr>
          <w:lang w:val="es-ES"/>
        </w:rPr>
        <w:t>1</w:t>
      </w:r>
      <w:r w:rsidR="00201873" w:rsidRPr="00D7405A">
        <w:rPr>
          <w:lang w:val="es-ES"/>
        </w:rPr>
        <w:t>, la evolución típica</w:t>
      </w:r>
      <w:r w:rsidR="00201873" w:rsidRPr="00D7405A">
        <w:rPr>
          <w:rStyle w:val="FootnoteReference"/>
          <w:lang w:val="es-ES"/>
        </w:rPr>
        <w:footnoteReference w:id="6"/>
      </w:r>
      <w:r w:rsidR="00201873" w:rsidRPr="00D7405A">
        <w:rPr>
          <w:lang w:val="es-ES"/>
        </w:rPr>
        <w:t xml:space="preserve"> de la relación crédito-P</w:t>
      </w:r>
      <w:r w:rsidR="00235F2B">
        <w:rPr>
          <w:lang w:val="es-ES"/>
        </w:rPr>
        <w:t>BI</w:t>
      </w:r>
      <w:r w:rsidR="00926644" w:rsidRPr="00D7405A">
        <w:rPr>
          <w:lang w:val="es-ES"/>
        </w:rPr>
        <w:t xml:space="preserve"> para los distintos grupos: (i) ha guardado un relativa proporcionalidad con la evolución del crédito en El Salvador a la vez que una relativamente alta correlación lo cual es consistente con un grado relativamente alto de influencia de factores externos en la evolución del crédito doméstico en estas economías</w:t>
      </w:r>
      <w:r w:rsidR="00CB0FEE" w:rsidRPr="00D7405A">
        <w:rPr>
          <w:lang w:val="es-ES"/>
        </w:rPr>
        <w:t xml:space="preserve">. Considerando esta información se observa que existe un amplio espacio para la expansión del crédito doméstico en El Salvador </w:t>
      </w:r>
      <w:r w:rsidR="00D15645" w:rsidRPr="00D7405A">
        <w:rPr>
          <w:lang w:val="es-ES"/>
        </w:rPr>
        <w:t xml:space="preserve">de </w:t>
      </w:r>
      <w:r w:rsidR="0029301F" w:rsidRPr="00D7405A">
        <w:rPr>
          <w:lang w:val="es-ES"/>
        </w:rPr>
        <w:t>1.9 puntos de PBI considerando al GPI, 9 puntos de PBI si se compara con CARD y 7.9 puntos con BMCU.</w:t>
      </w:r>
    </w:p>
    <w:p w:rsidR="00FA5745" w:rsidRDefault="00FA5745" w:rsidP="00A26315">
      <w:pPr>
        <w:pStyle w:val="Paragraph"/>
        <w:tabs>
          <w:tab w:val="clear" w:pos="720"/>
          <w:tab w:val="num" w:pos="1566"/>
          <w:tab w:val="num" w:pos="2088"/>
          <w:tab w:val="num" w:pos="2196"/>
        </w:tabs>
        <w:autoSpaceDE w:val="0"/>
        <w:autoSpaceDN w:val="0"/>
        <w:adjustRightInd w:val="0"/>
        <w:spacing w:after="0"/>
        <w:ind w:firstLine="0"/>
        <w:jc w:val="center"/>
        <w:rPr>
          <w:b/>
          <w:lang w:val="es-ES"/>
        </w:rPr>
      </w:pPr>
      <w:r w:rsidRPr="00933B53">
        <w:rPr>
          <w:b/>
          <w:lang w:val="es-ES"/>
        </w:rPr>
        <w:t xml:space="preserve">Gráfico </w:t>
      </w:r>
      <w:r w:rsidR="00B9053C">
        <w:rPr>
          <w:b/>
          <w:lang w:val="es-ES"/>
        </w:rPr>
        <w:t>1. E</w:t>
      </w:r>
      <w:r w:rsidRPr="00933B53">
        <w:rPr>
          <w:b/>
          <w:lang w:val="es-ES"/>
        </w:rPr>
        <w:t>v</w:t>
      </w:r>
      <w:r w:rsidR="00B9053C">
        <w:rPr>
          <w:b/>
          <w:lang w:val="es-ES"/>
        </w:rPr>
        <w:t xml:space="preserve">olución </w:t>
      </w:r>
      <w:r w:rsidR="00B65BDB">
        <w:rPr>
          <w:b/>
          <w:lang w:val="es-ES"/>
        </w:rPr>
        <w:t>relación crédito-</w:t>
      </w:r>
      <w:r w:rsidR="00B9053C">
        <w:rPr>
          <w:b/>
          <w:lang w:val="es-ES"/>
        </w:rPr>
        <w:t xml:space="preserve">PBI </w:t>
      </w:r>
    </w:p>
    <w:p w:rsidR="00B9053C" w:rsidRPr="00933B53" w:rsidRDefault="00B9053C" w:rsidP="00A26315">
      <w:pPr>
        <w:pStyle w:val="Paragraph"/>
        <w:tabs>
          <w:tab w:val="clear" w:pos="720"/>
          <w:tab w:val="num" w:pos="1566"/>
          <w:tab w:val="num" w:pos="2088"/>
          <w:tab w:val="num" w:pos="2196"/>
        </w:tabs>
        <w:autoSpaceDE w:val="0"/>
        <w:autoSpaceDN w:val="0"/>
        <w:adjustRightInd w:val="0"/>
        <w:spacing w:after="0"/>
        <w:ind w:firstLine="0"/>
        <w:jc w:val="center"/>
        <w:rPr>
          <w:lang w:val="es-ES"/>
        </w:rPr>
      </w:pPr>
      <w:r>
        <w:rPr>
          <w:noProof/>
        </w:rPr>
        <w:drawing>
          <wp:inline distT="0" distB="0" distL="0" distR="0" wp14:anchorId="07663B2A" wp14:editId="337C622A">
            <wp:extent cx="5278120" cy="2217431"/>
            <wp:effectExtent l="0" t="0" r="17780" b="11430"/>
            <wp:docPr id="57" name="Chart 57"/>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FA5745" w:rsidRPr="00A76FF2" w:rsidRDefault="00A76FF2" w:rsidP="00A76FF2">
      <w:pPr>
        <w:pStyle w:val="Paragraph"/>
        <w:tabs>
          <w:tab w:val="clear" w:pos="720"/>
          <w:tab w:val="num" w:pos="1566"/>
          <w:tab w:val="num" w:pos="2088"/>
          <w:tab w:val="num" w:pos="2196"/>
        </w:tabs>
        <w:autoSpaceDE w:val="0"/>
        <w:autoSpaceDN w:val="0"/>
        <w:adjustRightInd w:val="0"/>
        <w:spacing w:before="0" w:after="0"/>
        <w:ind w:left="0" w:firstLine="0"/>
        <w:rPr>
          <w:i/>
          <w:sz w:val="20"/>
          <w:lang w:val="es-ES"/>
        </w:rPr>
      </w:pPr>
      <w:r>
        <w:rPr>
          <w:lang w:val="es-ES"/>
        </w:rPr>
        <w:t xml:space="preserve">            </w:t>
      </w:r>
      <w:r w:rsidRPr="00A76FF2">
        <w:rPr>
          <w:i/>
          <w:sz w:val="20"/>
          <w:lang w:val="es-ES"/>
        </w:rPr>
        <w:t xml:space="preserve">Fuente: </w:t>
      </w:r>
      <w:hyperlink r:id="rId11" w:history="1">
        <w:r w:rsidRPr="00761BAB">
          <w:rPr>
            <w:rStyle w:val="Hyperlink"/>
            <w:i/>
            <w:sz w:val="20"/>
            <w:lang w:val="es-ES"/>
          </w:rPr>
          <w:t>Banco Mundial</w:t>
        </w:r>
      </w:hyperlink>
    </w:p>
    <w:p w:rsidR="00CA38AB" w:rsidRDefault="00B9053C" w:rsidP="00F10FF1">
      <w:pPr>
        <w:pStyle w:val="Paragraph"/>
        <w:tabs>
          <w:tab w:val="clear" w:pos="720"/>
          <w:tab w:val="num" w:pos="2196"/>
        </w:tabs>
        <w:ind w:left="0" w:firstLine="0"/>
        <w:rPr>
          <w:lang w:val="es-ES_tradnl"/>
        </w:rPr>
      </w:pPr>
      <w:r>
        <w:rPr>
          <w:lang w:val="es-ES"/>
        </w:rPr>
        <w:t>El G</w:t>
      </w:r>
      <w:r w:rsidR="00A356D9" w:rsidRPr="00933B53">
        <w:rPr>
          <w:lang w:val="es-ES"/>
        </w:rPr>
        <w:t>r</w:t>
      </w:r>
      <w:r w:rsidR="00A356D9" w:rsidRPr="00933B53">
        <w:rPr>
          <w:lang w:val="es-ES_tradnl"/>
        </w:rPr>
        <w:t xml:space="preserve">áfico </w:t>
      </w:r>
      <w:r w:rsidR="00E9047D" w:rsidRPr="00933B53">
        <w:rPr>
          <w:lang w:val="es-ES_tradnl"/>
        </w:rPr>
        <w:t>2</w:t>
      </w:r>
      <w:r w:rsidR="00A356D9" w:rsidRPr="00933B53">
        <w:rPr>
          <w:lang w:val="es-ES_tradnl"/>
        </w:rPr>
        <w:t xml:space="preserve"> muestra los niveles promedio de distribución de cartera entre crédito para vivienda, </w:t>
      </w:r>
      <w:r w:rsidR="00662EB0">
        <w:rPr>
          <w:lang w:val="es-ES_tradnl"/>
        </w:rPr>
        <w:t>empresas y</w:t>
      </w:r>
      <w:r w:rsidR="00A356D9" w:rsidRPr="00933B53">
        <w:rPr>
          <w:lang w:val="es-ES_tradnl"/>
        </w:rPr>
        <w:t xml:space="preserve"> consumo. Adicionalmente estos datos ponen de relevancia como la banca privada ha estado cambiando la composición de su cartera en el margen hacia crédito de consumo en detrimento del crédito al sector productivo y al financiamiento de viviendas. Se observa que el crédito de la banca privada al sector produc</w:t>
      </w:r>
      <w:r w:rsidR="00332778">
        <w:rPr>
          <w:lang w:val="es-ES_tradnl"/>
        </w:rPr>
        <w:t>tivo se encuentra en torno al 44</w:t>
      </w:r>
      <w:r w:rsidR="00670217" w:rsidRPr="00933B53">
        <w:rPr>
          <w:lang w:val="es-ES_tradnl"/>
        </w:rPr>
        <w:t>,</w:t>
      </w:r>
      <w:r w:rsidR="00332778">
        <w:rPr>
          <w:lang w:val="es-ES_tradnl"/>
        </w:rPr>
        <w:t>27</w:t>
      </w:r>
      <w:r w:rsidR="00A356D9" w:rsidRPr="00933B53">
        <w:rPr>
          <w:lang w:val="es-ES_tradnl"/>
        </w:rPr>
        <w:t>% promedio con una contracción en el mar</w:t>
      </w:r>
      <w:r w:rsidR="00332778">
        <w:rPr>
          <w:lang w:val="es-ES_tradnl"/>
        </w:rPr>
        <w:t>gen que ha puesto el valor en 43</w:t>
      </w:r>
      <w:r w:rsidR="00670217" w:rsidRPr="00933B53">
        <w:rPr>
          <w:lang w:val="es-ES_tradnl"/>
        </w:rPr>
        <w:t>,</w:t>
      </w:r>
      <w:r w:rsidR="00332778">
        <w:rPr>
          <w:lang w:val="es-ES_tradnl"/>
        </w:rPr>
        <w:t>2</w:t>
      </w:r>
      <w:r w:rsidR="00A356D9" w:rsidRPr="00933B53">
        <w:rPr>
          <w:lang w:val="es-ES_tradnl"/>
        </w:rPr>
        <w:t>%</w:t>
      </w:r>
      <w:r w:rsidR="00670217" w:rsidRPr="00933B53">
        <w:rPr>
          <w:lang w:val="es-ES_tradnl"/>
        </w:rPr>
        <w:t xml:space="preserve"> en 2013 (en tanto que el crédito destinado a consumo que ha girado </w:t>
      </w:r>
      <w:r w:rsidR="00332778">
        <w:rPr>
          <w:lang w:val="es-ES_tradnl"/>
        </w:rPr>
        <w:t>en torno al 30,5</w:t>
      </w:r>
      <w:r w:rsidR="00670217" w:rsidRPr="00933B53">
        <w:rPr>
          <w:lang w:val="es-ES_tradnl"/>
        </w:rPr>
        <w:t>% en los últimos años se ha ex</w:t>
      </w:r>
      <w:r w:rsidR="00332778">
        <w:rPr>
          <w:lang w:val="es-ES_tradnl"/>
        </w:rPr>
        <w:t>pandido en el margen hasta el 33</w:t>
      </w:r>
      <w:r w:rsidR="00670217" w:rsidRPr="00933B53">
        <w:rPr>
          <w:lang w:val="es-ES_tradnl"/>
        </w:rPr>
        <w:t>.2</w:t>
      </w:r>
      <w:r w:rsidR="00332778">
        <w:rPr>
          <w:lang w:val="es-ES_tradnl"/>
        </w:rPr>
        <w:t>8</w:t>
      </w:r>
      <w:r w:rsidR="00670217" w:rsidRPr="00933B53">
        <w:rPr>
          <w:lang w:val="es-ES_tradnl"/>
        </w:rPr>
        <w:t xml:space="preserve">%). </w:t>
      </w:r>
      <w:r w:rsidR="00907A25" w:rsidRPr="00933B53">
        <w:rPr>
          <w:lang w:val="es-ES_tradnl"/>
        </w:rPr>
        <w:t xml:space="preserve">Cabe </w:t>
      </w:r>
      <w:r w:rsidR="00332778">
        <w:rPr>
          <w:lang w:val="es-ES_tradnl"/>
        </w:rPr>
        <w:t>destacar</w:t>
      </w:r>
      <w:r w:rsidR="00907A25" w:rsidRPr="00933B53">
        <w:rPr>
          <w:lang w:val="es-ES_tradnl"/>
        </w:rPr>
        <w:t xml:space="preserve"> que la información disponible sugiere que esta caída en el margen del crédito privado al sector productivo no ha sido el resultado de un desplazamiento por parte de la banca públi</w:t>
      </w:r>
      <w:r w:rsidR="00355B95">
        <w:rPr>
          <w:lang w:val="es-ES_tradnl"/>
        </w:rPr>
        <w:t>ca como puede observarse en el G</w:t>
      </w:r>
      <w:r w:rsidR="00907A25" w:rsidRPr="00933B53">
        <w:rPr>
          <w:lang w:val="es-ES_tradnl"/>
        </w:rPr>
        <w:t xml:space="preserve">ráfico </w:t>
      </w:r>
      <w:r w:rsidR="00E9047D" w:rsidRPr="00933B53">
        <w:rPr>
          <w:lang w:val="es-ES_tradnl"/>
        </w:rPr>
        <w:t>3</w:t>
      </w:r>
      <w:r w:rsidR="00907A25" w:rsidRPr="00933B53">
        <w:rPr>
          <w:lang w:val="es-ES_tradnl"/>
        </w:rPr>
        <w:t xml:space="preserve">. </w:t>
      </w:r>
      <w:r w:rsidR="00670217" w:rsidRPr="00933B53">
        <w:rPr>
          <w:lang w:val="es-ES_tradnl"/>
        </w:rPr>
        <w:t xml:space="preserve">De mantenerse esta tendencia en los </w:t>
      </w:r>
      <w:r w:rsidR="00CA38AB">
        <w:rPr>
          <w:lang w:val="es-ES_tradnl"/>
        </w:rPr>
        <w:t xml:space="preserve">dos </w:t>
      </w:r>
      <w:r w:rsidR="00670217" w:rsidRPr="00933B53">
        <w:rPr>
          <w:lang w:val="es-ES_tradnl"/>
        </w:rPr>
        <w:t>próximos años</w:t>
      </w:r>
      <w:r w:rsidR="00CA38AB">
        <w:rPr>
          <w:lang w:val="es-ES_tradnl"/>
        </w:rPr>
        <w:t>,</w:t>
      </w:r>
      <w:r w:rsidR="00670217" w:rsidRPr="00933B53">
        <w:rPr>
          <w:lang w:val="es-ES_tradnl"/>
        </w:rPr>
        <w:t xml:space="preserve"> habría </w:t>
      </w:r>
      <w:r w:rsidR="00CA38AB">
        <w:rPr>
          <w:lang w:val="es-ES_tradnl"/>
        </w:rPr>
        <w:t>margen</w:t>
      </w:r>
      <w:r w:rsidR="00670217" w:rsidRPr="00933B53">
        <w:rPr>
          <w:lang w:val="es-ES_tradnl"/>
        </w:rPr>
        <w:t xml:space="preserve"> para </w:t>
      </w:r>
      <w:r w:rsidR="00CA38AB">
        <w:rPr>
          <w:lang w:val="es-ES_tradnl"/>
        </w:rPr>
        <w:t xml:space="preserve">una </w:t>
      </w:r>
      <w:r w:rsidR="00670217" w:rsidRPr="00933B53">
        <w:rPr>
          <w:lang w:val="es-ES_tradnl"/>
        </w:rPr>
        <w:t>intervención pública</w:t>
      </w:r>
      <w:r w:rsidR="00CA38AB">
        <w:rPr>
          <w:lang w:val="es-ES_tradnl"/>
        </w:rPr>
        <w:t xml:space="preserve"> que contribuya a recompone</w:t>
      </w:r>
      <w:r w:rsidR="00487FFC">
        <w:rPr>
          <w:lang w:val="es-ES_tradnl"/>
        </w:rPr>
        <w:t>r</w:t>
      </w:r>
      <w:r w:rsidR="00670217" w:rsidRPr="00933B53">
        <w:rPr>
          <w:lang w:val="es-ES_tradnl"/>
        </w:rPr>
        <w:t xml:space="preserve"> el financiamiento al sector productivo con escasa probabilidad de reemplazar simplemente fuentes existentes de </w:t>
      </w:r>
      <w:r w:rsidR="00670217" w:rsidRPr="00933B53">
        <w:rPr>
          <w:lang w:val="es-ES_tradnl"/>
        </w:rPr>
        <w:lastRenderedPageBreak/>
        <w:t>financiamiento por US$</w:t>
      </w:r>
      <w:r w:rsidR="00E9047D" w:rsidRPr="00933B53">
        <w:rPr>
          <w:lang w:val="es-ES_tradnl"/>
        </w:rPr>
        <w:t xml:space="preserve"> 544</w:t>
      </w:r>
      <w:r w:rsidR="00CA38AB">
        <w:rPr>
          <w:lang w:val="es-ES_tradnl"/>
        </w:rPr>
        <w:t xml:space="preserve"> millones. Esto supondría que habrá una demanda no cubierta de financiamiento de US$ 98 millones para MIPYMEs</w:t>
      </w:r>
      <w:r w:rsidR="00CA38AB" w:rsidRPr="00933B53">
        <w:rPr>
          <w:lang w:val="es-ES_tradnl"/>
        </w:rPr>
        <w:t>.</w:t>
      </w:r>
      <w:r w:rsidR="00CA38AB" w:rsidRPr="00933B53">
        <w:rPr>
          <w:rStyle w:val="FootnoteReference"/>
          <w:lang w:val="es-ES_tradnl"/>
        </w:rPr>
        <w:footnoteReference w:id="7"/>
      </w:r>
    </w:p>
    <w:p w:rsidR="00E9047D" w:rsidRDefault="008A57DC" w:rsidP="00A26315">
      <w:pPr>
        <w:pStyle w:val="Paragraph"/>
        <w:tabs>
          <w:tab w:val="clear" w:pos="720"/>
          <w:tab w:val="num" w:pos="1566"/>
          <w:tab w:val="num" w:pos="2088"/>
          <w:tab w:val="num" w:pos="2196"/>
        </w:tabs>
        <w:autoSpaceDE w:val="0"/>
        <w:autoSpaceDN w:val="0"/>
        <w:adjustRightInd w:val="0"/>
        <w:spacing w:after="0"/>
        <w:ind w:firstLine="0"/>
        <w:jc w:val="center"/>
        <w:rPr>
          <w:b/>
          <w:lang w:val="es-ES"/>
        </w:rPr>
      </w:pPr>
      <w:r>
        <w:rPr>
          <w:b/>
          <w:lang w:val="es-ES"/>
        </w:rPr>
        <w:t>Gráfico 2. D</w:t>
      </w:r>
      <w:r w:rsidR="00E9047D" w:rsidRPr="00ED46BF">
        <w:rPr>
          <w:b/>
          <w:lang w:val="es-ES"/>
        </w:rPr>
        <w:t>istribución cartera de la banca privada</w:t>
      </w:r>
    </w:p>
    <w:p w:rsidR="00355B95" w:rsidRPr="00933B53" w:rsidRDefault="00355B95" w:rsidP="00A26315">
      <w:pPr>
        <w:pStyle w:val="Paragraph"/>
        <w:tabs>
          <w:tab w:val="clear" w:pos="720"/>
          <w:tab w:val="num" w:pos="1566"/>
          <w:tab w:val="num" w:pos="2088"/>
          <w:tab w:val="num" w:pos="2196"/>
        </w:tabs>
        <w:autoSpaceDE w:val="0"/>
        <w:autoSpaceDN w:val="0"/>
        <w:adjustRightInd w:val="0"/>
        <w:spacing w:after="0"/>
        <w:ind w:firstLine="0"/>
        <w:jc w:val="center"/>
        <w:rPr>
          <w:b/>
          <w:lang w:val="es-ES"/>
        </w:rPr>
      </w:pPr>
      <w:r>
        <w:rPr>
          <w:noProof/>
        </w:rPr>
        <w:drawing>
          <wp:inline distT="0" distB="0" distL="0" distR="0" wp14:anchorId="1034EB70" wp14:editId="74A189EA">
            <wp:extent cx="5278120" cy="2730716"/>
            <wp:effectExtent l="0" t="0" r="17780" b="12700"/>
            <wp:docPr id="58" name="Chart 58"/>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A26315" w:rsidRPr="00DE68B6" w:rsidRDefault="0091438E" w:rsidP="00DE68B6">
      <w:pPr>
        <w:pStyle w:val="Paragraph"/>
        <w:tabs>
          <w:tab w:val="clear" w:pos="720"/>
          <w:tab w:val="num" w:pos="1566"/>
          <w:tab w:val="num" w:pos="2088"/>
          <w:tab w:val="num" w:pos="2196"/>
        </w:tabs>
        <w:autoSpaceDE w:val="0"/>
        <w:autoSpaceDN w:val="0"/>
        <w:adjustRightInd w:val="0"/>
        <w:ind w:firstLine="0"/>
        <w:jc w:val="left"/>
        <w:rPr>
          <w:i/>
          <w:sz w:val="20"/>
          <w:lang w:val="es-ES"/>
        </w:rPr>
      </w:pPr>
      <w:r>
        <w:rPr>
          <w:i/>
          <w:sz w:val="20"/>
          <w:lang w:val="es-ES"/>
        </w:rPr>
        <w:t xml:space="preserve">Fuente: </w:t>
      </w:r>
      <w:hyperlink r:id="rId13" w:history="1">
        <w:r w:rsidRPr="007B1E72">
          <w:rPr>
            <w:rStyle w:val="Hyperlink"/>
            <w:i/>
            <w:sz w:val="20"/>
            <w:lang w:val="es-ES"/>
          </w:rPr>
          <w:t>Superintendencia del Sistema Financiero de El Salvador</w:t>
        </w:r>
      </w:hyperlink>
    </w:p>
    <w:p w:rsidR="005A753C" w:rsidRDefault="005A753C" w:rsidP="00112669">
      <w:pPr>
        <w:pStyle w:val="Paragraph"/>
        <w:tabs>
          <w:tab w:val="clear" w:pos="720"/>
          <w:tab w:val="num" w:pos="1566"/>
          <w:tab w:val="num" w:pos="2088"/>
          <w:tab w:val="num" w:pos="2196"/>
        </w:tabs>
        <w:autoSpaceDE w:val="0"/>
        <w:autoSpaceDN w:val="0"/>
        <w:adjustRightInd w:val="0"/>
        <w:ind w:firstLine="0"/>
        <w:jc w:val="center"/>
        <w:rPr>
          <w:b/>
          <w:lang w:val="es-ES"/>
        </w:rPr>
      </w:pPr>
      <w:r w:rsidRPr="00933B53">
        <w:rPr>
          <w:b/>
          <w:lang w:val="es-ES"/>
        </w:rPr>
        <w:t>G</w:t>
      </w:r>
      <w:r w:rsidR="00485683">
        <w:rPr>
          <w:b/>
          <w:lang w:val="es-ES"/>
        </w:rPr>
        <w:t>ráfico 3. D</w:t>
      </w:r>
      <w:r w:rsidRPr="00933B53">
        <w:rPr>
          <w:b/>
          <w:lang w:val="es-ES"/>
        </w:rPr>
        <w:t xml:space="preserve">istribución cartera banca pública excluyendo </w:t>
      </w:r>
      <w:r w:rsidR="00485683">
        <w:rPr>
          <w:b/>
          <w:lang w:val="es-ES"/>
        </w:rPr>
        <w:t>BANDESAL</w:t>
      </w:r>
    </w:p>
    <w:p w:rsidR="005E6EA8" w:rsidRPr="00C50602" w:rsidRDefault="00C50602" w:rsidP="00AF560A">
      <w:pPr>
        <w:pStyle w:val="Paragraph"/>
        <w:tabs>
          <w:tab w:val="clear" w:pos="720"/>
          <w:tab w:val="num" w:pos="1566"/>
          <w:tab w:val="num" w:pos="2088"/>
          <w:tab w:val="num" w:pos="2196"/>
        </w:tabs>
        <w:autoSpaceDE w:val="0"/>
        <w:autoSpaceDN w:val="0"/>
        <w:adjustRightInd w:val="0"/>
        <w:ind w:firstLine="0"/>
        <w:jc w:val="left"/>
        <w:rPr>
          <w:b/>
          <w:lang w:val="es-ES"/>
        </w:rPr>
      </w:pPr>
      <w:r>
        <w:rPr>
          <w:noProof/>
        </w:rPr>
        <w:drawing>
          <wp:inline distT="0" distB="0" distL="0" distR="0" wp14:anchorId="445D9F12" wp14:editId="56AC4FE6">
            <wp:extent cx="5278120" cy="2763279"/>
            <wp:effectExtent l="0" t="0" r="17780" b="18415"/>
            <wp:docPr id="59" name="Chart 59"/>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r w:rsidR="005E6EA8">
        <w:rPr>
          <w:i/>
          <w:sz w:val="20"/>
          <w:lang w:val="es-ES"/>
        </w:rPr>
        <w:t xml:space="preserve">Fuente: </w:t>
      </w:r>
      <w:hyperlink r:id="rId15" w:history="1">
        <w:r w:rsidR="005E6EA8" w:rsidRPr="007B1E72">
          <w:rPr>
            <w:rStyle w:val="Hyperlink"/>
            <w:i/>
            <w:sz w:val="20"/>
            <w:lang w:val="es-ES"/>
          </w:rPr>
          <w:t>Superintendencia del Sistema Financiero de El Salvador</w:t>
        </w:r>
      </w:hyperlink>
    </w:p>
    <w:p w:rsidR="00AB41CA" w:rsidRPr="00933B53" w:rsidRDefault="00ED46BF" w:rsidP="00F10FF1">
      <w:pPr>
        <w:pStyle w:val="Paragraph"/>
        <w:tabs>
          <w:tab w:val="clear" w:pos="720"/>
          <w:tab w:val="num" w:pos="2196"/>
        </w:tabs>
        <w:ind w:left="0" w:firstLine="0"/>
        <w:rPr>
          <w:lang w:val="es-ES"/>
        </w:rPr>
      </w:pPr>
      <w:r>
        <w:rPr>
          <w:lang w:val="es-ES"/>
        </w:rPr>
        <w:t>Otra</w:t>
      </w:r>
      <w:r w:rsidR="006450E3" w:rsidRPr="00933B53">
        <w:rPr>
          <w:lang w:val="es-ES"/>
        </w:rPr>
        <w:t xml:space="preserve"> característica que da cuenta de las dificultades que enfrentan las firmas en El Salvador para obtener crédit</w:t>
      </w:r>
      <w:r w:rsidR="005412C5">
        <w:rPr>
          <w:lang w:val="es-ES"/>
        </w:rPr>
        <w:t xml:space="preserve">o por parte de las instituciones financieras </w:t>
      </w:r>
      <w:r w:rsidR="00B67E4F">
        <w:rPr>
          <w:lang w:val="es-ES"/>
        </w:rPr>
        <w:t>puede observarse en los G</w:t>
      </w:r>
      <w:r w:rsidR="006450E3" w:rsidRPr="00933B53">
        <w:rPr>
          <w:lang w:val="es-ES"/>
        </w:rPr>
        <w:t xml:space="preserve">ráficos </w:t>
      </w:r>
      <w:r w:rsidR="00443A1D" w:rsidRPr="00933B53">
        <w:rPr>
          <w:lang w:val="es-ES"/>
        </w:rPr>
        <w:t>4</w:t>
      </w:r>
      <w:r w:rsidR="00B8797D">
        <w:rPr>
          <w:lang w:val="es-ES"/>
        </w:rPr>
        <w:t xml:space="preserve"> y</w:t>
      </w:r>
      <w:r w:rsidR="006450E3" w:rsidRPr="00933B53">
        <w:rPr>
          <w:lang w:val="es-ES"/>
        </w:rPr>
        <w:t xml:space="preserve"> </w:t>
      </w:r>
      <w:r w:rsidR="00443A1D" w:rsidRPr="00933B53">
        <w:rPr>
          <w:lang w:val="es-ES"/>
        </w:rPr>
        <w:t>5</w:t>
      </w:r>
      <w:r w:rsidR="006450E3" w:rsidRPr="00933B53">
        <w:rPr>
          <w:lang w:val="es-ES"/>
        </w:rPr>
        <w:t>.</w:t>
      </w:r>
      <w:r w:rsidR="00867258" w:rsidRPr="00933B53">
        <w:rPr>
          <w:lang w:val="es-ES"/>
        </w:rPr>
        <w:t xml:space="preserve"> En estos gráficos puede verse como las empresas en El Salvador, en particular las pequeñas y medianas empresas, deben recurrir al crédito de proveedores para cubrir sus necesidades de financiamiento tanto de capital de trabajo como de inversión. Este tipo de financiamiento es importante en sí mismo y tiene su lugar en el mix óptimo de fuentes de financiamiento de las empresas. Sin embargo, la dimensión de este tipo de financiamiento sugiere también la presencia de </w:t>
      </w:r>
      <w:r w:rsidR="00867258" w:rsidRPr="00933B53">
        <w:rPr>
          <w:lang w:val="es-ES"/>
        </w:rPr>
        <w:lastRenderedPageBreak/>
        <w:t>fuertes ineficiencias asignativas ya que el mismo se distribuye fundamentalmente en función de relaciones comerciales y por su naturaleza se restringen en su dimensión y distribución. Esto sugiere nuevamente que existe espacio para expandir el crédito al sector productivo mediante intervenciones públicas sin que las mismas desplacen financiamiento de las entidades financieras privadas.</w:t>
      </w:r>
    </w:p>
    <w:p w:rsidR="00443A1D" w:rsidRDefault="00443A1D" w:rsidP="00443A1D">
      <w:pPr>
        <w:pStyle w:val="Paragraph"/>
        <w:tabs>
          <w:tab w:val="clear" w:pos="720"/>
          <w:tab w:val="num" w:pos="1566"/>
          <w:tab w:val="num" w:pos="2088"/>
          <w:tab w:val="num" w:pos="2196"/>
        </w:tabs>
        <w:autoSpaceDE w:val="0"/>
        <w:autoSpaceDN w:val="0"/>
        <w:adjustRightInd w:val="0"/>
        <w:ind w:firstLine="0"/>
        <w:jc w:val="center"/>
        <w:rPr>
          <w:b/>
          <w:lang w:val="es-ES"/>
        </w:rPr>
      </w:pPr>
      <w:r w:rsidRPr="00933B53">
        <w:rPr>
          <w:b/>
          <w:lang w:val="es-ES"/>
        </w:rPr>
        <w:t>G</w:t>
      </w:r>
      <w:r w:rsidR="009C65F7">
        <w:rPr>
          <w:b/>
          <w:lang w:val="es-ES"/>
        </w:rPr>
        <w:t>ráfico 4.</w:t>
      </w:r>
      <w:r w:rsidR="00BD4085">
        <w:rPr>
          <w:b/>
          <w:lang w:val="es-ES"/>
        </w:rPr>
        <w:t xml:space="preserve"> Porcentaje</w:t>
      </w:r>
      <w:r w:rsidRPr="00933B53">
        <w:rPr>
          <w:b/>
          <w:lang w:val="es-ES"/>
        </w:rPr>
        <w:t xml:space="preserve"> de inversiones financiada por proveedores</w:t>
      </w:r>
    </w:p>
    <w:p w:rsidR="00BD4085" w:rsidRPr="00933B53" w:rsidRDefault="00BD4085" w:rsidP="008209BB">
      <w:pPr>
        <w:pStyle w:val="Paragraph"/>
        <w:tabs>
          <w:tab w:val="clear" w:pos="720"/>
          <w:tab w:val="num" w:pos="1566"/>
          <w:tab w:val="num" w:pos="2088"/>
          <w:tab w:val="num" w:pos="2196"/>
        </w:tabs>
        <w:autoSpaceDE w:val="0"/>
        <w:autoSpaceDN w:val="0"/>
        <w:adjustRightInd w:val="0"/>
        <w:spacing w:before="0" w:after="0"/>
        <w:ind w:firstLine="0"/>
        <w:jc w:val="center"/>
        <w:rPr>
          <w:b/>
          <w:lang w:val="es-ES"/>
        </w:rPr>
      </w:pPr>
      <w:r>
        <w:rPr>
          <w:noProof/>
        </w:rPr>
        <w:drawing>
          <wp:inline distT="0" distB="0" distL="0" distR="0" wp14:anchorId="160D3F7D" wp14:editId="15495A6E">
            <wp:extent cx="4552950" cy="2638425"/>
            <wp:effectExtent l="0" t="0" r="19050" b="9525"/>
            <wp:docPr id="60" name="Chart 60"/>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443A1D" w:rsidRPr="00A26315" w:rsidRDefault="0079577E" w:rsidP="008209BB">
      <w:pPr>
        <w:pStyle w:val="Paragraph"/>
        <w:tabs>
          <w:tab w:val="clear" w:pos="720"/>
          <w:tab w:val="num" w:pos="1566"/>
          <w:tab w:val="num" w:pos="2088"/>
          <w:tab w:val="num" w:pos="2196"/>
        </w:tabs>
        <w:autoSpaceDE w:val="0"/>
        <w:autoSpaceDN w:val="0"/>
        <w:adjustRightInd w:val="0"/>
        <w:spacing w:before="0" w:after="0"/>
        <w:ind w:firstLine="0"/>
        <w:jc w:val="left"/>
        <w:rPr>
          <w:sz w:val="20"/>
          <w:lang w:val="es-ES"/>
        </w:rPr>
      </w:pPr>
      <w:r>
        <w:rPr>
          <w:lang w:val="es-ES"/>
        </w:rPr>
        <w:t xml:space="preserve">   </w:t>
      </w:r>
      <w:r w:rsidRPr="0079577E">
        <w:rPr>
          <w:i/>
          <w:sz w:val="20"/>
          <w:lang w:val="es-ES"/>
        </w:rPr>
        <w:t>Fuente:</w:t>
      </w:r>
      <w:r w:rsidRPr="0079577E">
        <w:rPr>
          <w:sz w:val="20"/>
          <w:lang w:val="es-ES"/>
        </w:rPr>
        <w:t xml:space="preserve"> </w:t>
      </w:r>
      <w:hyperlink r:id="rId17" w:anchor="finance" w:history="1">
        <w:r w:rsidRPr="0079577E">
          <w:rPr>
            <w:rStyle w:val="Hyperlink"/>
            <w:i/>
            <w:sz w:val="20"/>
            <w:lang w:val="es-ES"/>
          </w:rPr>
          <w:t>Enterprise Surveys</w:t>
        </w:r>
      </w:hyperlink>
    </w:p>
    <w:p w:rsidR="00443A1D" w:rsidRDefault="00B642C7" w:rsidP="00443A1D">
      <w:pPr>
        <w:pStyle w:val="Paragraph"/>
        <w:tabs>
          <w:tab w:val="clear" w:pos="720"/>
          <w:tab w:val="num" w:pos="1566"/>
          <w:tab w:val="num" w:pos="2088"/>
          <w:tab w:val="num" w:pos="2196"/>
        </w:tabs>
        <w:autoSpaceDE w:val="0"/>
        <w:autoSpaceDN w:val="0"/>
        <w:adjustRightInd w:val="0"/>
        <w:ind w:firstLine="0"/>
        <w:jc w:val="center"/>
        <w:rPr>
          <w:b/>
          <w:lang w:val="es-ES"/>
        </w:rPr>
      </w:pPr>
      <w:r>
        <w:rPr>
          <w:b/>
          <w:lang w:val="es-ES"/>
        </w:rPr>
        <w:t>Gráfico 5.</w:t>
      </w:r>
      <w:r w:rsidR="00443A1D" w:rsidRPr="00933B53">
        <w:rPr>
          <w:b/>
          <w:lang w:val="es-ES"/>
        </w:rPr>
        <w:t xml:space="preserve"> Proporción del capital de trabajo financiada por proveedores</w:t>
      </w:r>
    </w:p>
    <w:p w:rsidR="008209BB" w:rsidRPr="00933B53" w:rsidRDefault="008209BB" w:rsidP="008209BB">
      <w:pPr>
        <w:pStyle w:val="Paragraph"/>
        <w:tabs>
          <w:tab w:val="clear" w:pos="720"/>
          <w:tab w:val="num" w:pos="1566"/>
          <w:tab w:val="num" w:pos="2088"/>
          <w:tab w:val="num" w:pos="2196"/>
        </w:tabs>
        <w:autoSpaceDE w:val="0"/>
        <w:autoSpaceDN w:val="0"/>
        <w:adjustRightInd w:val="0"/>
        <w:spacing w:before="0" w:after="0"/>
        <w:ind w:firstLine="0"/>
        <w:jc w:val="center"/>
        <w:rPr>
          <w:b/>
          <w:lang w:val="es-ES"/>
        </w:rPr>
      </w:pPr>
      <w:r>
        <w:rPr>
          <w:noProof/>
        </w:rPr>
        <w:drawing>
          <wp:inline distT="0" distB="0" distL="0" distR="0" wp14:anchorId="77AA107A" wp14:editId="52470198">
            <wp:extent cx="4552950" cy="2609850"/>
            <wp:effectExtent l="0" t="0" r="19050" b="19050"/>
            <wp:docPr id="61" name="Chart 61"/>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rsidR="00A26315" w:rsidRDefault="0079577E" w:rsidP="008209BB">
      <w:pPr>
        <w:pStyle w:val="FirstHeading"/>
        <w:numPr>
          <w:ilvl w:val="0"/>
          <w:numId w:val="0"/>
        </w:numPr>
        <w:spacing w:before="0" w:after="0"/>
        <w:rPr>
          <w:b w:val="0"/>
          <w:i/>
          <w:sz w:val="20"/>
          <w:lang w:val="es-ES"/>
        </w:rPr>
      </w:pPr>
      <w:bookmarkStart w:id="6" w:name="_Toc388181599"/>
      <w:bookmarkStart w:id="7" w:name="_Toc388181670"/>
      <w:r>
        <w:rPr>
          <w:b w:val="0"/>
          <w:sz w:val="20"/>
          <w:lang w:val="es-ES"/>
        </w:rPr>
        <w:t xml:space="preserve">             </w:t>
      </w:r>
      <w:r w:rsidRPr="00F25F14">
        <w:rPr>
          <w:b w:val="0"/>
          <w:i/>
          <w:sz w:val="20"/>
          <w:lang w:val="es-ES"/>
        </w:rPr>
        <w:t>Fuente</w:t>
      </w:r>
      <w:r w:rsidRPr="00F25F14">
        <w:rPr>
          <w:i/>
          <w:sz w:val="20"/>
          <w:lang w:val="es-ES"/>
        </w:rPr>
        <w:t>:</w:t>
      </w:r>
      <w:r w:rsidRPr="0079577E">
        <w:rPr>
          <w:sz w:val="20"/>
          <w:lang w:val="es-ES"/>
        </w:rPr>
        <w:t xml:space="preserve"> </w:t>
      </w:r>
      <w:hyperlink r:id="rId19" w:anchor="finance" w:history="1">
        <w:r w:rsidRPr="0079577E">
          <w:rPr>
            <w:rStyle w:val="Hyperlink"/>
            <w:b w:val="0"/>
            <w:i/>
            <w:sz w:val="20"/>
            <w:lang w:val="es-ES"/>
          </w:rPr>
          <w:t>Enterprise Surveys</w:t>
        </w:r>
      </w:hyperlink>
    </w:p>
    <w:p w:rsidR="00CE51C9" w:rsidRDefault="00CE51C9" w:rsidP="00B7613B">
      <w:pPr>
        <w:pStyle w:val="FirstHeading"/>
        <w:numPr>
          <w:ilvl w:val="0"/>
          <w:numId w:val="3"/>
        </w:numPr>
        <w:ind w:left="720"/>
        <w:rPr>
          <w:lang w:val="es-ES"/>
        </w:rPr>
      </w:pPr>
    </w:p>
    <w:p w:rsidR="00B7613B" w:rsidRPr="00933B53" w:rsidRDefault="00B7613B" w:rsidP="00B7613B">
      <w:pPr>
        <w:pStyle w:val="FirstHeading"/>
        <w:numPr>
          <w:ilvl w:val="0"/>
          <w:numId w:val="3"/>
        </w:numPr>
        <w:ind w:left="720"/>
        <w:rPr>
          <w:lang w:val="es-ES"/>
        </w:rPr>
      </w:pPr>
      <w:r w:rsidRPr="00933B53">
        <w:rPr>
          <w:lang w:val="es-ES"/>
        </w:rPr>
        <w:t>B.</w:t>
      </w:r>
      <w:r w:rsidRPr="00933B53">
        <w:rPr>
          <w:lang w:val="es-ES"/>
        </w:rPr>
        <w:tab/>
      </w:r>
      <w:r w:rsidR="007F5562" w:rsidRPr="00933B53">
        <w:rPr>
          <w:lang w:val="es-ES"/>
        </w:rPr>
        <w:t>Proyecciones de demanda basadas en datos macro</w:t>
      </w:r>
      <w:bookmarkEnd w:id="6"/>
      <w:bookmarkEnd w:id="7"/>
    </w:p>
    <w:p w:rsidR="00576BA1" w:rsidRDefault="000A281D" w:rsidP="00F10FF1">
      <w:pPr>
        <w:pStyle w:val="Paragraph"/>
        <w:tabs>
          <w:tab w:val="clear" w:pos="720"/>
          <w:tab w:val="num" w:pos="2196"/>
        </w:tabs>
        <w:ind w:left="0" w:firstLine="0"/>
        <w:rPr>
          <w:lang w:val="es-ES"/>
        </w:rPr>
      </w:pPr>
      <w:r w:rsidRPr="00933B53">
        <w:rPr>
          <w:lang w:val="es-ES"/>
        </w:rPr>
        <w:t xml:space="preserve">En </w:t>
      </w:r>
      <w:r w:rsidR="00785B03" w:rsidRPr="00933B53">
        <w:rPr>
          <w:lang w:val="es-ES"/>
        </w:rPr>
        <w:t>la sección anterior</w:t>
      </w:r>
      <w:r w:rsidRPr="00933B53">
        <w:rPr>
          <w:lang w:val="es-ES"/>
        </w:rPr>
        <w:t xml:space="preserve"> se ha argumentado que existe espacio para la intervención públi</w:t>
      </w:r>
      <w:r w:rsidR="00050459">
        <w:rPr>
          <w:lang w:val="es-ES"/>
        </w:rPr>
        <w:t>ca en el mercado de crédito. La</w:t>
      </w:r>
      <w:r w:rsidRPr="00933B53">
        <w:rPr>
          <w:lang w:val="es-ES"/>
        </w:rPr>
        <w:t xml:space="preserve"> evidencia empírica sugiere que </w:t>
      </w:r>
      <w:r w:rsidR="00DB0F4B">
        <w:rPr>
          <w:lang w:val="es-ES"/>
        </w:rPr>
        <w:t>una intervención para proveer fondeo a las MIPYMES</w:t>
      </w:r>
      <w:r w:rsidR="00DB0F4B" w:rsidRPr="00933B53">
        <w:rPr>
          <w:lang w:val="es-ES"/>
        </w:rPr>
        <w:t xml:space="preserve"> en el sector productivo </w:t>
      </w:r>
      <w:r w:rsidR="00DB0F4B">
        <w:rPr>
          <w:lang w:val="es-ES"/>
        </w:rPr>
        <w:t xml:space="preserve">bajo </w:t>
      </w:r>
      <w:r w:rsidRPr="00933B53">
        <w:rPr>
          <w:lang w:val="es-ES"/>
        </w:rPr>
        <w:t xml:space="preserve">las condiciones </w:t>
      </w:r>
      <w:r w:rsidR="00050459">
        <w:rPr>
          <w:lang w:val="es-ES"/>
        </w:rPr>
        <w:t>actuales</w:t>
      </w:r>
      <w:r w:rsidRPr="00933B53">
        <w:rPr>
          <w:lang w:val="es-ES"/>
        </w:rPr>
        <w:t xml:space="preserve"> no produciría un desplazamiento de fuentes de financiamiento existentes.</w:t>
      </w:r>
      <w:r w:rsidR="001A7D8F" w:rsidRPr="00933B53">
        <w:rPr>
          <w:lang w:val="es-ES"/>
        </w:rPr>
        <w:t xml:space="preserve"> </w:t>
      </w:r>
    </w:p>
    <w:p w:rsidR="001A7D8F" w:rsidRPr="00933B53" w:rsidRDefault="001A7D8F" w:rsidP="00F10FF1">
      <w:pPr>
        <w:pStyle w:val="Paragraph"/>
        <w:tabs>
          <w:tab w:val="clear" w:pos="720"/>
          <w:tab w:val="num" w:pos="2196"/>
        </w:tabs>
        <w:ind w:left="0" w:firstLine="0"/>
        <w:rPr>
          <w:lang w:val="es-ES"/>
        </w:rPr>
      </w:pPr>
      <w:r w:rsidRPr="00933B53">
        <w:rPr>
          <w:lang w:val="es-ES"/>
        </w:rPr>
        <w:lastRenderedPageBreak/>
        <w:t>En</w:t>
      </w:r>
      <w:r w:rsidR="00785B03" w:rsidRPr="00933B53">
        <w:rPr>
          <w:lang w:val="es-ES"/>
        </w:rPr>
        <w:t xml:space="preserve"> esta </w:t>
      </w:r>
      <w:r w:rsidR="00785B03" w:rsidRPr="00933B53">
        <w:rPr>
          <w:lang w:val="es-ES_tradnl"/>
        </w:rPr>
        <w:t xml:space="preserve">sección </w:t>
      </w:r>
      <w:r w:rsidRPr="00933B53">
        <w:rPr>
          <w:lang w:val="es-ES"/>
        </w:rPr>
        <w:t>se presenta</w:t>
      </w:r>
      <w:r w:rsidR="00785B03" w:rsidRPr="00933B53">
        <w:rPr>
          <w:lang w:val="es-ES"/>
        </w:rPr>
        <w:t xml:space="preserve">n proyecciones cuantitativas </w:t>
      </w:r>
      <w:r w:rsidRPr="00933B53">
        <w:rPr>
          <w:lang w:val="es-ES"/>
        </w:rPr>
        <w:t>de la demanda potencial de crédito en El Salvador y</w:t>
      </w:r>
      <w:r w:rsidR="00785B03" w:rsidRPr="00933B53">
        <w:rPr>
          <w:lang w:val="es-ES"/>
        </w:rPr>
        <w:t>,</w:t>
      </w:r>
      <w:r w:rsidRPr="00933B53">
        <w:rPr>
          <w:lang w:val="es-ES"/>
        </w:rPr>
        <w:t xml:space="preserve"> por extensión</w:t>
      </w:r>
      <w:r w:rsidR="00785B03" w:rsidRPr="00933B53">
        <w:rPr>
          <w:lang w:val="es-ES"/>
        </w:rPr>
        <w:t>,</w:t>
      </w:r>
      <w:r w:rsidRPr="00933B53">
        <w:rPr>
          <w:lang w:val="es-ES"/>
        </w:rPr>
        <w:t xml:space="preserve"> de sus sectores productivos basadas en un modelo econométrico parsimonioso que se ajusta al enfoque de la literatura en esta área.</w:t>
      </w:r>
    </w:p>
    <w:p w:rsidR="00277404" w:rsidRPr="00933B53" w:rsidRDefault="00277404" w:rsidP="00F10FF1">
      <w:pPr>
        <w:pStyle w:val="Paragraph"/>
        <w:tabs>
          <w:tab w:val="clear" w:pos="720"/>
          <w:tab w:val="num" w:pos="2196"/>
        </w:tabs>
        <w:ind w:left="0" w:firstLine="0"/>
        <w:rPr>
          <w:lang w:val="es-ES"/>
        </w:rPr>
      </w:pPr>
      <w:r w:rsidRPr="00933B53">
        <w:rPr>
          <w:lang w:val="es-ES"/>
        </w:rPr>
        <w:t>Una primera aproximación a la demanda potencial de crédito para 2014 y 2015 surge de extrapolar la dinámica que presenta la relación crédito/PBI a partir de su recuperació</w:t>
      </w:r>
      <w:r w:rsidR="00870EBD">
        <w:rPr>
          <w:lang w:val="es-ES"/>
        </w:rPr>
        <w:t>n. Como puede observarse en el G</w:t>
      </w:r>
      <w:r w:rsidRPr="00933B53">
        <w:rPr>
          <w:lang w:val="es-ES"/>
        </w:rPr>
        <w:t xml:space="preserve">ráfico </w:t>
      </w:r>
      <w:r w:rsidR="0038703B" w:rsidRPr="00933B53">
        <w:rPr>
          <w:lang w:val="es-ES"/>
        </w:rPr>
        <w:t>6</w:t>
      </w:r>
      <w:r w:rsidRPr="00933B53">
        <w:rPr>
          <w:lang w:val="es-ES"/>
        </w:rPr>
        <w:t xml:space="preserve">, en base a datos elaborados por el Consejo Monetario Centroamericano, la intermediación crediticia se contrajo 5,5 puntos del PBI coincidiendo con la crisis financiera internacional. Este proceso de desintermediación cambia de dirección con claridad a parir de 2011. En particular, la tasa de expansión de la relación crédito/PBI ha sido hasta el momento similar a la observada cuando El Salvador mostraba niveles equivalente de intermediación crediticia en el período 2003-2004. </w:t>
      </w:r>
    </w:p>
    <w:p w:rsidR="0038703B" w:rsidRPr="00933B53" w:rsidRDefault="00870EBD" w:rsidP="0038703B">
      <w:pPr>
        <w:pStyle w:val="Paragraph"/>
        <w:tabs>
          <w:tab w:val="clear" w:pos="720"/>
          <w:tab w:val="num" w:pos="1566"/>
          <w:tab w:val="num" w:pos="2088"/>
          <w:tab w:val="num" w:pos="2196"/>
        </w:tabs>
        <w:autoSpaceDE w:val="0"/>
        <w:autoSpaceDN w:val="0"/>
        <w:adjustRightInd w:val="0"/>
        <w:ind w:firstLine="0"/>
        <w:jc w:val="center"/>
        <w:rPr>
          <w:b/>
          <w:lang w:val="es-ES"/>
        </w:rPr>
      </w:pPr>
      <w:r>
        <w:rPr>
          <w:b/>
          <w:lang w:val="es-ES"/>
        </w:rPr>
        <w:t>Gráfico 6.</w:t>
      </w:r>
      <w:r w:rsidR="00DF5CF8">
        <w:rPr>
          <w:b/>
          <w:lang w:val="es-ES"/>
        </w:rPr>
        <w:t xml:space="preserve"> E</w:t>
      </w:r>
      <w:r w:rsidR="0038703B" w:rsidRPr="00933B53">
        <w:rPr>
          <w:b/>
          <w:lang w:val="es-ES"/>
        </w:rPr>
        <w:t>volución mens</w:t>
      </w:r>
      <w:r w:rsidR="00DF5CF8">
        <w:rPr>
          <w:b/>
          <w:lang w:val="es-ES"/>
        </w:rPr>
        <w:t xml:space="preserve">ual de la relación crédito/PBI </w:t>
      </w:r>
    </w:p>
    <w:p w:rsidR="00277404" w:rsidRDefault="00277404" w:rsidP="00277404">
      <w:pPr>
        <w:pStyle w:val="Paragraph"/>
        <w:tabs>
          <w:tab w:val="clear" w:pos="720"/>
          <w:tab w:val="num" w:pos="1566"/>
          <w:tab w:val="num" w:pos="2088"/>
          <w:tab w:val="num" w:pos="2196"/>
        </w:tabs>
        <w:autoSpaceDE w:val="0"/>
        <w:autoSpaceDN w:val="0"/>
        <w:adjustRightInd w:val="0"/>
        <w:ind w:firstLine="0"/>
        <w:jc w:val="center"/>
        <w:rPr>
          <w:lang w:val="es-ES"/>
        </w:rPr>
      </w:pPr>
      <w:r w:rsidRPr="00933B53">
        <w:rPr>
          <w:noProof/>
        </w:rPr>
        <w:drawing>
          <wp:inline distT="0" distB="0" distL="0" distR="0" wp14:anchorId="3C5EB293" wp14:editId="17F591B0">
            <wp:extent cx="4287328" cy="3067218"/>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4284402" cy="3065124"/>
                    </a:xfrm>
                    <a:prstGeom prst="rect">
                      <a:avLst/>
                    </a:prstGeom>
                    <a:noFill/>
                  </pic:spPr>
                </pic:pic>
              </a:graphicData>
            </a:graphic>
          </wp:inline>
        </w:drawing>
      </w:r>
    </w:p>
    <w:p w:rsidR="005803B8" w:rsidRPr="00870EBD" w:rsidRDefault="00870EBD" w:rsidP="00870EBD">
      <w:pPr>
        <w:pStyle w:val="Paragraph"/>
        <w:tabs>
          <w:tab w:val="clear" w:pos="720"/>
          <w:tab w:val="num" w:pos="1566"/>
          <w:tab w:val="num" w:pos="2088"/>
          <w:tab w:val="num" w:pos="2196"/>
        </w:tabs>
        <w:autoSpaceDE w:val="0"/>
        <w:autoSpaceDN w:val="0"/>
        <w:adjustRightInd w:val="0"/>
        <w:spacing w:before="0" w:after="0"/>
        <w:ind w:firstLine="0"/>
        <w:jc w:val="left"/>
        <w:rPr>
          <w:i/>
          <w:sz w:val="20"/>
          <w:szCs w:val="18"/>
          <w:lang w:val="es-ES"/>
        </w:rPr>
      </w:pPr>
      <w:r>
        <w:rPr>
          <w:sz w:val="18"/>
          <w:szCs w:val="18"/>
          <w:lang w:val="es-ES"/>
        </w:rPr>
        <w:t xml:space="preserve">         </w:t>
      </w:r>
      <w:r w:rsidRPr="00870EBD">
        <w:rPr>
          <w:i/>
          <w:sz w:val="18"/>
          <w:szCs w:val="18"/>
          <w:lang w:val="es-ES"/>
        </w:rPr>
        <w:t>F</w:t>
      </w:r>
      <w:r w:rsidRPr="00870EBD">
        <w:rPr>
          <w:i/>
          <w:sz w:val="20"/>
          <w:szCs w:val="18"/>
          <w:lang w:val="es-ES"/>
        </w:rPr>
        <w:t xml:space="preserve">uente: </w:t>
      </w:r>
      <w:hyperlink r:id="rId21" w:history="1">
        <w:r w:rsidRPr="00870EBD">
          <w:rPr>
            <w:rStyle w:val="Hyperlink"/>
            <w:i/>
            <w:sz w:val="20"/>
            <w:szCs w:val="18"/>
            <w:lang w:val="es-ES"/>
          </w:rPr>
          <w:t>Consejo Monetario Centroamericano</w:t>
        </w:r>
      </w:hyperlink>
    </w:p>
    <w:p w:rsidR="00277404" w:rsidRPr="00933B53" w:rsidRDefault="00277404" w:rsidP="00F10FF1">
      <w:pPr>
        <w:pStyle w:val="Paragraph"/>
        <w:tabs>
          <w:tab w:val="clear" w:pos="720"/>
          <w:tab w:val="num" w:pos="2196"/>
        </w:tabs>
        <w:ind w:left="0" w:firstLine="0"/>
        <w:rPr>
          <w:lang w:val="es-ES"/>
        </w:rPr>
      </w:pPr>
      <w:r w:rsidRPr="00933B53">
        <w:rPr>
          <w:lang w:val="es-ES"/>
        </w:rPr>
        <w:t xml:space="preserve">Partiendo de la similitud observada por estas dinámicas, es posible considerar como una primera aproximación a la demanda de crédito para 2014, y 2015 la que resultaría de mantenerse la dinámica de este proceso. Bajo esta hipótesis, se espera que </w:t>
      </w:r>
      <w:r w:rsidR="00030D45" w:rsidRPr="00933B53">
        <w:rPr>
          <w:lang w:val="es-ES"/>
        </w:rPr>
        <w:t xml:space="preserve">el </w:t>
      </w:r>
      <w:r w:rsidRPr="00933B53">
        <w:rPr>
          <w:lang w:val="es-ES"/>
        </w:rPr>
        <w:t xml:space="preserve">crédito se expanda </w:t>
      </w:r>
      <w:r w:rsidR="00030D45" w:rsidRPr="00933B53">
        <w:rPr>
          <w:lang w:val="es-ES"/>
        </w:rPr>
        <w:t xml:space="preserve">0,7 puntos del PBI hacia fines de 2014 (aproximadamente US$ 303 millones), y 2,45 puntos del PBI hacia fines de 2015 (acumulado aproximado de US$ 595 millones). Cabe notar aquí </w:t>
      </w:r>
      <w:r w:rsidR="002A51AA" w:rsidRPr="00933B53">
        <w:rPr>
          <w:lang w:val="es-ES"/>
        </w:rPr>
        <w:t>que estos son cálculos de relativamente baja precisión pero que ofrecen una primera aproximación a la demanda de crédito, cual todavía está a 4,4 puntos del PBI para alcanzar los niveles de pre-crisis.</w:t>
      </w:r>
    </w:p>
    <w:p w:rsidR="00811732" w:rsidRPr="00933B53" w:rsidRDefault="002E0A63" w:rsidP="00F10FF1">
      <w:pPr>
        <w:pStyle w:val="Paragraph"/>
        <w:tabs>
          <w:tab w:val="clear" w:pos="720"/>
          <w:tab w:val="num" w:pos="2196"/>
        </w:tabs>
        <w:ind w:left="0" w:firstLine="0"/>
        <w:rPr>
          <w:lang w:val="es-ES"/>
        </w:rPr>
      </w:pPr>
      <w:r>
        <w:rPr>
          <w:lang w:val="es-ES"/>
        </w:rPr>
        <w:t>Con el fin</w:t>
      </w:r>
      <w:r w:rsidR="009612DA" w:rsidRPr="00933B53">
        <w:rPr>
          <w:lang w:val="es-ES"/>
        </w:rPr>
        <w:t xml:space="preserve"> de realizar una proyección basada en </w:t>
      </w:r>
      <w:r w:rsidR="002E56C5" w:rsidRPr="00933B53">
        <w:rPr>
          <w:lang w:val="es-ES"/>
        </w:rPr>
        <w:t xml:space="preserve">un análisis más riguroso </w:t>
      </w:r>
      <w:r w:rsidR="009612DA" w:rsidRPr="00933B53">
        <w:rPr>
          <w:lang w:val="es-ES"/>
        </w:rPr>
        <w:t xml:space="preserve">se procedió a la estimación de un modelo econométrico </w:t>
      </w:r>
      <w:r w:rsidR="00AE051B" w:rsidRPr="00933B53">
        <w:rPr>
          <w:lang w:val="es-ES"/>
        </w:rPr>
        <w:t>en línea con la literatura de demanda de crédito a nivel agregado</w:t>
      </w:r>
      <w:r w:rsidR="009612DA" w:rsidRPr="00933B53">
        <w:rPr>
          <w:lang w:val="es-ES"/>
        </w:rPr>
        <w:t xml:space="preserve">. </w:t>
      </w:r>
      <w:r w:rsidR="00AE051B" w:rsidRPr="00933B53">
        <w:rPr>
          <w:lang w:val="es-ES"/>
        </w:rPr>
        <w:t>La hipótesis</w:t>
      </w:r>
      <w:r w:rsidR="006B6ED5" w:rsidRPr="00933B53">
        <w:rPr>
          <w:lang w:val="es-ES"/>
        </w:rPr>
        <w:t xml:space="preserve"> detrás</w:t>
      </w:r>
      <w:r w:rsidR="00AE051B" w:rsidRPr="00933B53">
        <w:rPr>
          <w:lang w:val="es-ES"/>
        </w:rPr>
        <w:t xml:space="preserve"> del modelo es que la demanda de crédito depend</w:t>
      </w:r>
      <w:r w:rsidR="00112715">
        <w:rPr>
          <w:lang w:val="es-ES"/>
        </w:rPr>
        <w:t>e de una variable de actividad, en nuestro caso PBI real, y del costo de los créditos, para lo que utilizaremos</w:t>
      </w:r>
      <w:r w:rsidR="00AE051B" w:rsidRPr="00933B53">
        <w:rPr>
          <w:lang w:val="es-ES"/>
        </w:rPr>
        <w:t xml:space="preserve"> el diferencial de inflación co</w:t>
      </w:r>
      <w:r w:rsidR="00E64FDD">
        <w:rPr>
          <w:lang w:val="es-ES"/>
        </w:rPr>
        <w:t>n relación a los Estados Unidos</w:t>
      </w:r>
      <w:r w:rsidR="00AE051B" w:rsidRPr="00933B53">
        <w:rPr>
          <w:lang w:val="es-ES"/>
        </w:rPr>
        <w:t xml:space="preserve">. Cabe notar que esta especificación supone que se está representando la </w:t>
      </w:r>
      <w:r w:rsidR="00AE051B" w:rsidRPr="00933B53">
        <w:rPr>
          <w:lang w:val="es-ES"/>
        </w:rPr>
        <w:lastRenderedPageBreak/>
        <w:t>demanda y que para reducir los problemas de endogeneidad</w:t>
      </w:r>
      <w:r w:rsidR="00811732" w:rsidRPr="00933B53">
        <w:rPr>
          <w:lang w:val="es-ES"/>
        </w:rPr>
        <w:t xml:space="preserve"> se utiliza</w:t>
      </w:r>
      <w:r w:rsidR="00AE051B" w:rsidRPr="00933B53">
        <w:rPr>
          <w:lang w:val="es-ES"/>
        </w:rPr>
        <w:t xml:space="preserve">n valores rezagados de las variables dependientes. </w:t>
      </w:r>
    </w:p>
    <w:p w:rsidR="00811732" w:rsidRPr="00933B53" w:rsidRDefault="00811732" w:rsidP="00F10FF1">
      <w:pPr>
        <w:pStyle w:val="Paragraph"/>
        <w:tabs>
          <w:tab w:val="clear" w:pos="720"/>
          <w:tab w:val="num" w:pos="2196"/>
        </w:tabs>
        <w:rPr>
          <w:lang w:val="es-ES"/>
        </w:rPr>
      </w:pPr>
      <w:r w:rsidRPr="00933B53">
        <w:rPr>
          <w:lang w:val="es-ES"/>
        </w:rPr>
        <w:t>Específicamente, el modelo que se estima es:</w:t>
      </w:r>
    </w:p>
    <w:p w:rsidR="00AE051B" w:rsidRPr="00933B53" w:rsidRDefault="00811732" w:rsidP="00F10FF1">
      <w:pPr>
        <w:pStyle w:val="Paragraph"/>
        <w:tabs>
          <w:tab w:val="clear" w:pos="720"/>
          <w:tab w:val="num" w:pos="1566"/>
          <w:tab w:val="num" w:pos="2088"/>
          <w:tab w:val="num" w:pos="2196"/>
        </w:tabs>
        <w:autoSpaceDE w:val="0"/>
        <w:autoSpaceDN w:val="0"/>
        <w:adjustRightInd w:val="0"/>
        <w:ind w:left="0" w:firstLine="0"/>
        <w:jc w:val="center"/>
        <w:rPr>
          <w:lang w:val="es-ES"/>
        </w:rPr>
      </w:pPr>
      <m:oMath>
        <m:r>
          <m:rPr>
            <m:sty m:val="p"/>
          </m:rPr>
          <w:rPr>
            <w:rFonts w:ascii="Cambria Math" w:hAnsi="Cambria Math"/>
            <w:lang w:val="es-ES"/>
          </w:rPr>
          <m:t>Δ</m:t>
        </m:r>
        <m:func>
          <m:funcPr>
            <m:ctrlPr>
              <w:rPr>
                <w:rFonts w:ascii="Cambria Math" w:hAnsi="Cambria Math"/>
                <w:i/>
                <w:lang w:val="es-ES"/>
              </w:rPr>
            </m:ctrlPr>
          </m:funcPr>
          <m:fName>
            <m:r>
              <m:rPr>
                <m:sty m:val="p"/>
              </m:rPr>
              <w:rPr>
                <w:rFonts w:ascii="Cambria Math" w:hAnsi="Cambria Math"/>
                <w:lang w:val="es-ES"/>
              </w:rPr>
              <m:t>log</m:t>
            </m:r>
          </m:fName>
          <m:e>
            <m:sSub>
              <m:sSubPr>
                <m:ctrlPr>
                  <w:rPr>
                    <w:rFonts w:ascii="Cambria Math" w:hAnsi="Cambria Math"/>
                    <w:i/>
                    <w:lang w:val="es-ES"/>
                  </w:rPr>
                </m:ctrlPr>
              </m:sSubPr>
              <m:e>
                <m:r>
                  <w:rPr>
                    <w:rFonts w:ascii="Cambria Math" w:hAnsi="Cambria Math"/>
                    <w:lang w:val="es-ES"/>
                  </w:rPr>
                  <m:t>c</m:t>
                </m:r>
              </m:e>
              <m:sub>
                <m:r>
                  <w:rPr>
                    <w:rFonts w:ascii="Cambria Math" w:hAnsi="Cambria Math"/>
                    <w:lang w:val="es-ES"/>
                  </w:rPr>
                  <m:t>t</m:t>
                </m:r>
              </m:sub>
            </m:sSub>
          </m:e>
        </m:func>
        <m:r>
          <w:rPr>
            <w:rFonts w:ascii="Cambria Math" w:hAnsi="Cambria Math"/>
            <w:lang w:val="es-ES"/>
          </w:rPr>
          <m:t>=</m:t>
        </m:r>
        <m:sSub>
          <m:sSubPr>
            <m:ctrlPr>
              <w:rPr>
                <w:rFonts w:ascii="Cambria Math" w:hAnsi="Cambria Math"/>
                <w:i/>
                <w:lang w:val="es-ES"/>
              </w:rPr>
            </m:ctrlPr>
          </m:sSubPr>
          <m:e>
            <m:r>
              <w:rPr>
                <w:rFonts w:ascii="Cambria Math" w:hAnsi="Cambria Math"/>
                <w:lang w:val="es-ES"/>
              </w:rPr>
              <m:t>β</m:t>
            </m:r>
          </m:e>
          <m:sub>
            <m:r>
              <w:rPr>
                <w:rFonts w:ascii="Cambria Math" w:hAnsi="Cambria Math"/>
                <w:lang w:val="es-ES"/>
              </w:rPr>
              <m:t>0</m:t>
            </m:r>
          </m:sub>
        </m:sSub>
        <m:r>
          <w:rPr>
            <w:rFonts w:ascii="Cambria Math" w:hAnsi="Cambria Math"/>
            <w:lang w:val="es-ES"/>
          </w:rPr>
          <m:t>+</m:t>
        </m:r>
        <m:sSub>
          <m:sSubPr>
            <m:ctrlPr>
              <w:rPr>
                <w:rFonts w:ascii="Cambria Math" w:hAnsi="Cambria Math"/>
                <w:i/>
                <w:lang w:val="es-ES"/>
              </w:rPr>
            </m:ctrlPr>
          </m:sSubPr>
          <m:e>
            <m:r>
              <w:rPr>
                <w:rFonts w:ascii="Cambria Math" w:hAnsi="Cambria Math"/>
                <w:lang w:val="es-ES"/>
              </w:rPr>
              <m:t>β</m:t>
            </m:r>
          </m:e>
          <m:sub>
            <m:r>
              <w:rPr>
                <w:rFonts w:ascii="Cambria Math" w:hAnsi="Cambria Math"/>
                <w:lang w:val="es-ES"/>
              </w:rPr>
              <m:t>1</m:t>
            </m:r>
          </m:sub>
        </m:sSub>
        <m:r>
          <m:rPr>
            <m:sty m:val="p"/>
          </m:rPr>
          <w:rPr>
            <w:rFonts w:ascii="Cambria Math" w:hAnsi="Cambria Math"/>
            <w:lang w:val="es-ES"/>
          </w:rPr>
          <m:t>Δ</m:t>
        </m:r>
        <m:func>
          <m:funcPr>
            <m:ctrlPr>
              <w:rPr>
                <w:rFonts w:ascii="Cambria Math" w:hAnsi="Cambria Math"/>
                <w:i/>
                <w:lang w:val="es-ES"/>
              </w:rPr>
            </m:ctrlPr>
          </m:funcPr>
          <m:fName>
            <m:r>
              <m:rPr>
                <m:sty m:val="p"/>
              </m:rPr>
              <w:rPr>
                <w:rFonts w:ascii="Cambria Math" w:hAnsi="Cambria Math"/>
                <w:lang w:val="es-ES"/>
              </w:rPr>
              <m:t>log</m:t>
            </m:r>
          </m:fName>
          <m:e>
            <m:sSub>
              <m:sSubPr>
                <m:ctrlPr>
                  <w:rPr>
                    <w:rFonts w:ascii="Cambria Math" w:hAnsi="Cambria Math"/>
                    <w:i/>
                    <w:lang w:val="es-ES"/>
                  </w:rPr>
                </m:ctrlPr>
              </m:sSubPr>
              <m:e>
                <m:r>
                  <w:rPr>
                    <w:rFonts w:ascii="Cambria Math" w:hAnsi="Cambria Math"/>
                    <w:lang w:val="es-ES"/>
                  </w:rPr>
                  <m:t>Y</m:t>
                </m:r>
              </m:e>
              <m:sub>
                <m:r>
                  <w:rPr>
                    <w:rFonts w:ascii="Cambria Math" w:hAnsi="Cambria Math"/>
                    <w:lang w:val="es-ES"/>
                  </w:rPr>
                  <m:t>t-1</m:t>
                </m:r>
              </m:sub>
            </m:sSub>
          </m:e>
        </m:func>
        <m:r>
          <w:rPr>
            <w:rFonts w:ascii="Cambria Math" w:hAnsi="Cambria Math"/>
            <w:lang w:val="es-ES"/>
          </w:rPr>
          <m:t>+</m:t>
        </m:r>
        <m:sSub>
          <m:sSubPr>
            <m:ctrlPr>
              <w:rPr>
                <w:rFonts w:ascii="Cambria Math" w:hAnsi="Cambria Math"/>
                <w:i/>
                <w:lang w:val="es-ES"/>
              </w:rPr>
            </m:ctrlPr>
          </m:sSubPr>
          <m:e>
            <m:r>
              <w:rPr>
                <w:rFonts w:ascii="Cambria Math" w:hAnsi="Cambria Math"/>
                <w:lang w:val="es-ES"/>
              </w:rPr>
              <m:t>β</m:t>
            </m:r>
          </m:e>
          <m:sub>
            <m:r>
              <w:rPr>
                <w:rFonts w:ascii="Cambria Math" w:hAnsi="Cambria Math"/>
                <w:lang w:val="es-ES"/>
              </w:rPr>
              <m:t>2</m:t>
            </m:r>
          </m:sub>
        </m:sSub>
        <m:sSubSup>
          <m:sSubSupPr>
            <m:ctrlPr>
              <w:rPr>
                <w:rFonts w:ascii="Cambria Math" w:hAnsi="Cambria Math"/>
                <w:i/>
                <w:lang w:val="es-ES"/>
              </w:rPr>
            </m:ctrlPr>
          </m:sSubSupPr>
          <m:e>
            <m:r>
              <w:rPr>
                <w:rFonts w:ascii="Cambria Math" w:hAnsi="Cambria Math"/>
                <w:lang w:val="es-ES"/>
              </w:rPr>
              <m:t>π</m:t>
            </m:r>
          </m:e>
          <m:sub>
            <m:r>
              <w:rPr>
                <w:rFonts w:ascii="Cambria Math" w:hAnsi="Cambria Math"/>
                <w:lang w:val="es-ES"/>
              </w:rPr>
              <m:t>t-1</m:t>
            </m:r>
          </m:sub>
          <m:sup>
            <m:r>
              <w:rPr>
                <w:rFonts w:ascii="Cambria Math" w:hAnsi="Cambria Math"/>
                <w:lang w:val="es-ES"/>
              </w:rPr>
              <m:t>*</m:t>
            </m:r>
          </m:sup>
        </m:sSubSup>
        <m:r>
          <w:rPr>
            <w:rFonts w:ascii="Cambria Math" w:hAnsi="Cambria Math"/>
            <w:lang w:val="es-ES"/>
          </w:rPr>
          <m:t>+</m:t>
        </m:r>
        <m:sSub>
          <m:sSubPr>
            <m:ctrlPr>
              <w:rPr>
                <w:rFonts w:ascii="Cambria Math" w:hAnsi="Cambria Math"/>
                <w:i/>
                <w:lang w:val="es-ES"/>
              </w:rPr>
            </m:ctrlPr>
          </m:sSubPr>
          <m:e>
            <m:r>
              <w:rPr>
                <w:rFonts w:ascii="Cambria Math" w:hAnsi="Cambria Math"/>
                <w:lang w:val="es-ES"/>
              </w:rPr>
              <m:t>ε</m:t>
            </m:r>
          </m:e>
          <m:sub>
            <m:r>
              <w:rPr>
                <w:rFonts w:ascii="Cambria Math" w:hAnsi="Cambria Math"/>
                <w:lang w:val="es-ES"/>
              </w:rPr>
              <m:t>t</m:t>
            </m:r>
          </m:sub>
        </m:sSub>
      </m:oMath>
      <w:r w:rsidR="003354D1" w:rsidRPr="00933B53">
        <w:rPr>
          <w:lang w:val="es-ES"/>
        </w:rPr>
        <w:tab/>
        <w:t>(1)</w:t>
      </w:r>
    </w:p>
    <w:p w:rsidR="00811732" w:rsidRPr="00933B53" w:rsidRDefault="00811732" w:rsidP="00F10FF1">
      <w:pPr>
        <w:pStyle w:val="Paragraph"/>
        <w:tabs>
          <w:tab w:val="clear" w:pos="720"/>
          <w:tab w:val="num" w:pos="1566"/>
          <w:tab w:val="num" w:pos="2088"/>
          <w:tab w:val="num" w:pos="2196"/>
        </w:tabs>
        <w:autoSpaceDE w:val="0"/>
        <w:autoSpaceDN w:val="0"/>
        <w:adjustRightInd w:val="0"/>
        <w:ind w:left="0" w:firstLine="0"/>
        <w:rPr>
          <w:lang w:val="es-ES"/>
        </w:rPr>
      </w:pPr>
      <w:r w:rsidRPr="00933B53">
        <w:rPr>
          <w:lang w:val="es-ES"/>
        </w:rPr>
        <w:t xml:space="preserve">donde </w:t>
      </w:r>
      <m:oMath>
        <m:r>
          <m:rPr>
            <m:sty m:val="p"/>
          </m:rPr>
          <w:rPr>
            <w:rFonts w:ascii="Cambria Math" w:hAnsi="Cambria Math"/>
            <w:lang w:val="es-ES"/>
          </w:rPr>
          <m:t>Δ</m:t>
        </m:r>
        <m:func>
          <m:funcPr>
            <m:ctrlPr>
              <w:rPr>
                <w:rFonts w:ascii="Cambria Math" w:hAnsi="Cambria Math"/>
                <w:i/>
                <w:lang w:val="es-ES"/>
              </w:rPr>
            </m:ctrlPr>
          </m:funcPr>
          <m:fName>
            <m:r>
              <m:rPr>
                <m:sty m:val="p"/>
              </m:rPr>
              <w:rPr>
                <w:rFonts w:ascii="Cambria Math" w:hAnsi="Cambria Math"/>
                <w:lang w:val="es-ES"/>
              </w:rPr>
              <m:t>log</m:t>
            </m:r>
          </m:fName>
          <m:e>
            <m:sSub>
              <m:sSubPr>
                <m:ctrlPr>
                  <w:rPr>
                    <w:rFonts w:ascii="Cambria Math" w:hAnsi="Cambria Math"/>
                    <w:i/>
                    <w:lang w:val="es-ES"/>
                  </w:rPr>
                </m:ctrlPr>
              </m:sSubPr>
              <m:e>
                <m:r>
                  <w:rPr>
                    <w:rFonts w:ascii="Cambria Math" w:hAnsi="Cambria Math"/>
                    <w:lang w:val="es-ES"/>
                  </w:rPr>
                  <m:t>c</m:t>
                </m:r>
              </m:e>
              <m:sub>
                <m:r>
                  <w:rPr>
                    <w:rFonts w:ascii="Cambria Math" w:hAnsi="Cambria Math"/>
                    <w:lang w:val="es-ES"/>
                  </w:rPr>
                  <m:t>t</m:t>
                </m:r>
              </m:sub>
            </m:sSub>
          </m:e>
        </m:func>
      </m:oMath>
      <w:r w:rsidRPr="00933B53">
        <w:rPr>
          <w:lang w:val="es-ES"/>
        </w:rPr>
        <w:t xml:space="preserve"> representa las primeras diferencias del logaritmo natural de la medida de crédito en términos reales, </w:t>
      </w:r>
      <m:oMath>
        <m:r>
          <m:rPr>
            <m:sty m:val="p"/>
          </m:rPr>
          <w:rPr>
            <w:rFonts w:ascii="Cambria Math" w:hAnsi="Cambria Math"/>
            <w:lang w:val="es-ES"/>
          </w:rPr>
          <m:t>Δ</m:t>
        </m:r>
        <m:func>
          <m:funcPr>
            <m:ctrlPr>
              <w:rPr>
                <w:rFonts w:ascii="Cambria Math" w:hAnsi="Cambria Math"/>
                <w:i/>
                <w:lang w:val="es-ES"/>
              </w:rPr>
            </m:ctrlPr>
          </m:funcPr>
          <m:fName>
            <m:r>
              <m:rPr>
                <m:sty m:val="p"/>
              </m:rPr>
              <w:rPr>
                <w:rFonts w:ascii="Cambria Math" w:hAnsi="Cambria Math"/>
                <w:lang w:val="es-ES"/>
              </w:rPr>
              <m:t>log</m:t>
            </m:r>
          </m:fName>
          <m:e>
            <m:sSub>
              <m:sSubPr>
                <m:ctrlPr>
                  <w:rPr>
                    <w:rFonts w:ascii="Cambria Math" w:hAnsi="Cambria Math"/>
                    <w:i/>
                    <w:lang w:val="es-ES"/>
                  </w:rPr>
                </m:ctrlPr>
              </m:sSubPr>
              <m:e>
                <m:r>
                  <w:rPr>
                    <w:rFonts w:ascii="Cambria Math" w:hAnsi="Cambria Math"/>
                    <w:lang w:val="es-ES"/>
                  </w:rPr>
                  <m:t>Y</m:t>
                </m:r>
              </m:e>
              <m:sub>
                <m:r>
                  <w:rPr>
                    <w:rFonts w:ascii="Cambria Math" w:hAnsi="Cambria Math"/>
                    <w:lang w:val="es-ES"/>
                  </w:rPr>
                  <m:t>t-1</m:t>
                </m:r>
              </m:sub>
            </m:sSub>
          </m:e>
        </m:func>
      </m:oMath>
      <w:r w:rsidR="00B1051C" w:rsidRPr="00933B53">
        <w:rPr>
          <w:lang w:val="es-ES"/>
        </w:rPr>
        <w:t xml:space="preserve"> el valor rezagado de las primeras diferencias del logaritmo natural del PBI en términos reales, y </w:t>
      </w:r>
      <m:oMath>
        <m:sSubSup>
          <m:sSubSupPr>
            <m:ctrlPr>
              <w:rPr>
                <w:rFonts w:ascii="Cambria Math" w:hAnsi="Cambria Math"/>
                <w:i/>
                <w:lang w:val="es-ES"/>
              </w:rPr>
            </m:ctrlPr>
          </m:sSubSupPr>
          <m:e>
            <m:r>
              <w:rPr>
                <w:rFonts w:ascii="Cambria Math" w:hAnsi="Cambria Math"/>
                <w:lang w:val="es-ES"/>
              </w:rPr>
              <m:t>π</m:t>
            </m:r>
          </m:e>
          <m:sub>
            <m:r>
              <w:rPr>
                <w:rFonts w:ascii="Cambria Math" w:hAnsi="Cambria Math"/>
                <w:lang w:val="es-ES"/>
              </w:rPr>
              <m:t>t-1</m:t>
            </m:r>
          </m:sub>
          <m:sup>
            <m:r>
              <w:rPr>
                <w:rFonts w:ascii="Cambria Math" w:hAnsi="Cambria Math"/>
                <w:lang w:val="es-ES"/>
              </w:rPr>
              <m:t>*</m:t>
            </m:r>
          </m:sup>
        </m:sSubSup>
      </m:oMath>
      <w:r w:rsidR="00B1051C" w:rsidRPr="00933B53">
        <w:rPr>
          <w:lang w:val="es-ES"/>
        </w:rPr>
        <w:t xml:space="preserve"> el valor rezagado del diferencial de inflación entre El Salvador y los Estados Unidos.</w:t>
      </w:r>
      <w:r w:rsidR="003354D1" w:rsidRPr="00933B53">
        <w:rPr>
          <w:lang w:val="es-ES"/>
        </w:rPr>
        <w:t xml:space="preserve"> La ecuación (1) se estima para el crédito total y para el crédito al sector privado. </w:t>
      </w:r>
      <w:r w:rsidR="00A31B9E" w:rsidRPr="00933B53">
        <w:rPr>
          <w:lang w:val="es-ES"/>
        </w:rPr>
        <w:t>Los resultados de la estimación se presentan en la tabla</w:t>
      </w:r>
      <w:r w:rsidR="00383A4B" w:rsidRPr="00933B53">
        <w:rPr>
          <w:lang w:val="es-ES"/>
        </w:rPr>
        <w:t xml:space="preserve"> 1</w:t>
      </w:r>
      <w:r w:rsidR="00A80FE6" w:rsidRPr="00933B53">
        <w:rPr>
          <w:lang w:val="es-ES"/>
        </w:rPr>
        <w:t>.</w:t>
      </w:r>
    </w:p>
    <w:p w:rsidR="005728E4" w:rsidRPr="00933B53" w:rsidRDefault="003239C0" w:rsidP="005728E4">
      <w:pPr>
        <w:pStyle w:val="Paragraph"/>
        <w:tabs>
          <w:tab w:val="clear" w:pos="720"/>
          <w:tab w:val="num" w:pos="1566"/>
          <w:tab w:val="num" w:pos="2088"/>
          <w:tab w:val="num" w:pos="2196"/>
        </w:tabs>
        <w:autoSpaceDE w:val="0"/>
        <w:autoSpaceDN w:val="0"/>
        <w:adjustRightInd w:val="0"/>
        <w:ind w:firstLine="0"/>
        <w:jc w:val="center"/>
        <w:rPr>
          <w:b/>
          <w:lang w:val="es-ES"/>
        </w:rPr>
      </w:pPr>
      <w:r>
        <w:rPr>
          <w:b/>
          <w:lang w:val="es-ES"/>
        </w:rPr>
        <w:t>Tabla 1. R</w:t>
      </w:r>
      <w:r w:rsidR="005728E4" w:rsidRPr="00933B53">
        <w:rPr>
          <w:b/>
          <w:lang w:val="es-ES"/>
        </w:rPr>
        <w:t>esultados estimación ecuación (1)</w:t>
      </w:r>
    </w:p>
    <w:tbl>
      <w:tblPr>
        <w:tblStyle w:val="TableGrid"/>
        <w:tblW w:w="0" w:type="auto"/>
        <w:jc w:val="right"/>
        <w:tblInd w:w="33" w:type="dxa"/>
        <w:tblLook w:val="04A0" w:firstRow="1" w:lastRow="0" w:firstColumn="1" w:lastColumn="0" w:noHBand="0" w:noVBand="1"/>
      </w:tblPr>
      <w:tblGrid>
        <w:gridCol w:w="2392"/>
        <w:gridCol w:w="1096"/>
        <w:gridCol w:w="1161"/>
        <w:gridCol w:w="1302"/>
        <w:gridCol w:w="1199"/>
        <w:gridCol w:w="1270"/>
      </w:tblGrid>
      <w:tr w:rsidR="0068636B" w:rsidRPr="00933B53" w:rsidTr="00E64FDD">
        <w:trPr>
          <w:jc w:val="right"/>
        </w:trPr>
        <w:tc>
          <w:tcPr>
            <w:tcW w:w="2392" w:type="dxa"/>
          </w:tcPr>
          <w:p w:rsidR="0068636B" w:rsidRPr="00933B53" w:rsidRDefault="0068636B" w:rsidP="00E64FDD">
            <w:pPr>
              <w:pStyle w:val="Paragraph"/>
              <w:tabs>
                <w:tab w:val="clear" w:pos="720"/>
                <w:tab w:val="num" w:pos="1566"/>
                <w:tab w:val="num" w:pos="2088"/>
                <w:tab w:val="num" w:pos="2196"/>
              </w:tabs>
              <w:autoSpaceDE w:val="0"/>
              <w:autoSpaceDN w:val="0"/>
              <w:adjustRightInd w:val="0"/>
              <w:spacing w:before="0" w:after="0"/>
              <w:ind w:left="0" w:firstLine="0"/>
              <w:rPr>
                <w:b/>
                <w:sz w:val="20"/>
                <w:lang w:val="es-ES"/>
              </w:rPr>
            </w:pPr>
          </w:p>
        </w:tc>
        <w:tc>
          <w:tcPr>
            <w:tcW w:w="1096" w:type="dxa"/>
          </w:tcPr>
          <w:p w:rsidR="0068636B" w:rsidRPr="00933B53" w:rsidRDefault="00651882" w:rsidP="00E64FDD">
            <w:pPr>
              <w:pStyle w:val="Paragraph"/>
              <w:tabs>
                <w:tab w:val="clear" w:pos="720"/>
                <w:tab w:val="num" w:pos="1566"/>
                <w:tab w:val="num" w:pos="2088"/>
                <w:tab w:val="num" w:pos="2196"/>
              </w:tabs>
              <w:autoSpaceDE w:val="0"/>
              <w:autoSpaceDN w:val="0"/>
              <w:adjustRightInd w:val="0"/>
              <w:spacing w:before="0" w:after="0"/>
              <w:ind w:left="0" w:firstLine="0"/>
              <w:rPr>
                <w:b/>
                <w:sz w:val="20"/>
                <w:lang w:val="es-ES"/>
              </w:rPr>
            </w:pPr>
            <m:oMathPara>
              <m:oMath>
                <m:sSub>
                  <m:sSubPr>
                    <m:ctrlPr>
                      <w:rPr>
                        <w:rFonts w:ascii="Cambria Math" w:hAnsi="Cambria Math"/>
                        <w:b/>
                        <w:i/>
                        <w:sz w:val="20"/>
                        <w:lang w:val="es-ES"/>
                      </w:rPr>
                    </m:ctrlPr>
                  </m:sSubPr>
                  <m:e>
                    <m:r>
                      <m:rPr>
                        <m:sty m:val="bi"/>
                      </m:rPr>
                      <w:rPr>
                        <w:rFonts w:ascii="Cambria Math" w:hAnsi="Cambria Math"/>
                        <w:sz w:val="20"/>
                        <w:lang w:val="es-ES"/>
                      </w:rPr>
                      <m:t>β</m:t>
                    </m:r>
                  </m:e>
                  <m:sub>
                    <m:r>
                      <m:rPr>
                        <m:sty m:val="bi"/>
                      </m:rPr>
                      <w:rPr>
                        <w:rFonts w:ascii="Cambria Math" w:hAnsi="Cambria Math"/>
                        <w:sz w:val="20"/>
                        <w:lang w:val="es-ES"/>
                      </w:rPr>
                      <m:t>0</m:t>
                    </m:r>
                  </m:sub>
                </m:sSub>
              </m:oMath>
            </m:oMathPara>
          </w:p>
        </w:tc>
        <w:tc>
          <w:tcPr>
            <w:tcW w:w="1161" w:type="dxa"/>
          </w:tcPr>
          <w:p w:rsidR="0068636B" w:rsidRPr="00933B53" w:rsidRDefault="00651882" w:rsidP="00E64FDD">
            <w:pPr>
              <w:pStyle w:val="Paragraph"/>
              <w:tabs>
                <w:tab w:val="clear" w:pos="720"/>
                <w:tab w:val="num" w:pos="1566"/>
                <w:tab w:val="num" w:pos="2088"/>
                <w:tab w:val="num" w:pos="2196"/>
              </w:tabs>
              <w:autoSpaceDE w:val="0"/>
              <w:autoSpaceDN w:val="0"/>
              <w:adjustRightInd w:val="0"/>
              <w:spacing w:before="0" w:after="0"/>
              <w:ind w:left="0" w:firstLine="0"/>
              <w:rPr>
                <w:b/>
                <w:sz w:val="20"/>
                <w:lang w:val="es-ES"/>
              </w:rPr>
            </w:pPr>
            <m:oMathPara>
              <m:oMath>
                <m:sSub>
                  <m:sSubPr>
                    <m:ctrlPr>
                      <w:rPr>
                        <w:rFonts w:ascii="Cambria Math" w:hAnsi="Cambria Math"/>
                        <w:b/>
                        <w:i/>
                        <w:sz w:val="20"/>
                        <w:lang w:val="es-ES"/>
                      </w:rPr>
                    </m:ctrlPr>
                  </m:sSubPr>
                  <m:e>
                    <m:r>
                      <m:rPr>
                        <m:sty m:val="bi"/>
                      </m:rPr>
                      <w:rPr>
                        <w:rFonts w:ascii="Cambria Math" w:hAnsi="Cambria Math"/>
                        <w:sz w:val="20"/>
                        <w:lang w:val="es-ES"/>
                      </w:rPr>
                      <m:t>β</m:t>
                    </m:r>
                  </m:e>
                  <m:sub>
                    <m:r>
                      <m:rPr>
                        <m:sty m:val="bi"/>
                      </m:rPr>
                      <w:rPr>
                        <w:rFonts w:ascii="Cambria Math" w:hAnsi="Cambria Math"/>
                        <w:sz w:val="20"/>
                        <w:lang w:val="es-ES"/>
                      </w:rPr>
                      <m:t>1</m:t>
                    </m:r>
                  </m:sub>
                </m:sSub>
              </m:oMath>
            </m:oMathPara>
          </w:p>
        </w:tc>
        <w:tc>
          <w:tcPr>
            <w:tcW w:w="1302" w:type="dxa"/>
          </w:tcPr>
          <w:p w:rsidR="0068636B" w:rsidRPr="00933B53" w:rsidRDefault="00651882" w:rsidP="00E64FDD">
            <w:pPr>
              <w:pStyle w:val="Paragraph"/>
              <w:tabs>
                <w:tab w:val="clear" w:pos="720"/>
                <w:tab w:val="num" w:pos="1566"/>
                <w:tab w:val="num" w:pos="2088"/>
                <w:tab w:val="num" w:pos="2196"/>
              </w:tabs>
              <w:autoSpaceDE w:val="0"/>
              <w:autoSpaceDN w:val="0"/>
              <w:adjustRightInd w:val="0"/>
              <w:spacing w:before="0" w:after="0"/>
              <w:ind w:left="0" w:firstLine="0"/>
              <w:rPr>
                <w:b/>
                <w:sz w:val="20"/>
                <w:lang w:val="es-ES"/>
              </w:rPr>
            </w:pPr>
            <m:oMathPara>
              <m:oMath>
                <m:sSub>
                  <m:sSubPr>
                    <m:ctrlPr>
                      <w:rPr>
                        <w:rFonts w:ascii="Cambria Math" w:hAnsi="Cambria Math"/>
                        <w:b/>
                        <w:i/>
                        <w:sz w:val="20"/>
                        <w:lang w:val="es-ES"/>
                      </w:rPr>
                    </m:ctrlPr>
                  </m:sSubPr>
                  <m:e>
                    <m:r>
                      <m:rPr>
                        <m:sty m:val="bi"/>
                      </m:rPr>
                      <w:rPr>
                        <w:rFonts w:ascii="Cambria Math" w:hAnsi="Cambria Math"/>
                        <w:sz w:val="20"/>
                        <w:lang w:val="es-ES"/>
                      </w:rPr>
                      <m:t>β</m:t>
                    </m:r>
                  </m:e>
                  <m:sub>
                    <m:r>
                      <m:rPr>
                        <m:sty m:val="bi"/>
                      </m:rPr>
                      <w:rPr>
                        <w:rFonts w:ascii="Cambria Math" w:hAnsi="Cambria Math"/>
                        <w:sz w:val="20"/>
                        <w:lang w:val="es-ES"/>
                      </w:rPr>
                      <m:t>2</m:t>
                    </m:r>
                  </m:sub>
                </m:sSub>
              </m:oMath>
            </m:oMathPara>
          </w:p>
        </w:tc>
        <w:tc>
          <w:tcPr>
            <w:tcW w:w="1199" w:type="dxa"/>
          </w:tcPr>
          <w:p w:rsidR="0068636B" w:rsidRPr="00933B53" w:rsidRDefault="00651882" w:rsidP="00E64FDD">
            <w:pPr>
              <w:pStyle w:val="Paragraph"/>
              <w:tabs>
                <w:tab w:val="clear" w:pos="720"/>
                <w:tab w:val="num" w:pos="1566"/>
                <w:tab w:val="num" w:pos="2088"/>
                <w:tab w:val="num" w:pos="2196"/>
              </w:tabs>
              <w:autoSpaceDE w:val="0"/>
              <w:autoSpaceDN w:val="0"/>
              <w:adjustRightInd w:val="0"/>
              <w:spacing w:before="0" w:after="0"/>
              <w:ind w:left="0" w:firstLine="0"/>
              <w:rPr>
                <w:b/>
                <w:sz w:val="20"/>
                <w:lang w:val="es-ES"/>
              </w:rPr>
            </w:pPr>
            <m:oMathPara>
              <m:oMath>
                <m:sSup>
                  <m:sSupPr>
                    <m:ctrlPr>
                      <w:rPr>
                        <w:rFonts w:ascii="Cambria Math" w:hAnsi="Cambria Math"/>
                        <w:b/>
                        <w:i/>
                        <w:sz w:val="20"/>
                        <w:lang w:val="es-ES"/>
                      </w:rPr>
                    </m:ctrlPr>
                  </m:sSupPr>
                  <m:e>
                    <m:acc>
                      <m:accPr>
                        <m:chr m:val="̅"/>
                        <m:ctrlPr>
                          <w:rPr>
                            <w:rFonts w:ascii="Cambria Math" w:hAnsi="Cambria Math"/>
                            <w:b/>
                            <w:i/>
                            <w:sz w:val="20"/>
                            <w:lang w:val="es-ES"/>
                          </w:rPr>
                        </m:ctrlPr>
                      </m:accPr>
                      <m:e>
                        <m:r>
                          <m:rPr>
                            <m:sty m:val="bi"/>
                          </m:rPr>
                          <w:rPr>
                            <w:rFonts w:ascii="Cambria Math" w:hAnsi="Cambria Math"/>
                            <w:sz w:val="20"/>
                            <w:lang w:val="es-ES"/>
                          </w:rPr>
                          <m:t>R</m:t>
                        </m:r>
                      </m:e>
                    </m:acc>
                  </m:e>
                  <m:sup>
                    <m:r>
                      <m:rPr>
                        <m:sty m:val="bi"/>
                      </m:rPr>
                      <w:rPr>
                        <w:rFonts w:ascii="Cambria Math" w:hAnsi="Cambria Math"/>
                        <w:sz w:val="20"/>
                        <w:lang w:val="es-ES"/>
                      </w:rPr>
                      <m:t>2</m:t>
                    </m:r>
                  </m:sup>
                </m:sSup>
              </m:oMath>
            </m:oMathPara>
          </w:p>
        </w:tc>
        <w:tc>
          <w:tcPr>
            <w:tcW w:w="1270" w:type="dxa"/>
          </w:tcPr>
          <w:p w:rsidR="0068636B" w:rsidRPr="00933B53" w:rsidRDefault="0068636B" w:rsidP="00E64FDD">
            <w:pPr>
              <w:pStyle w:val="Paragraph"/>
              <w:tabs>
                <w:tab w:val="clear" w:pos="720"/>
                <w:tab w:val="num" w:pos="1566"/>
                <w:tab w:val="num" w:pos="2088"/>
                <w:tab w:val="num" w:pos="2196"/>
              </w:tabs>
              <w:autoSpaceDE w:val="0"/>
              <w:autoSpaceDN w:val="0"/>
              <w:adjustRightInd w:val="0"/>
              <w:spacing w:before="0" w:after="0"/>
              <w:ind w:left="0" w:firstLine="0"/>
              <w:rPr>
                <w:b/>
                <w:sz w:val="20"/>
                <w:lang w:val="es-ES"/>
              </w:rPr>
            </w:pPr>
            <m:oMathPara>
              <m:oMath>
                <m:r>
                  <m:rPr>
                    <m:sty m:val="bi"/>
                  </m:rPr>
                  <w:rPr>
                    <w:rFonts w:ascii="Cambria Math" w:hAnsi="Cambria Math"/>
                    <w:sz w:val="20"/>
                    <w:lang w:val="es-ES"/>
                  </w:rPr>
                  <m:t>obs.</m:t>
                </m:r>
              </m:oMath>
            </m:oMathPara>
          </w:p>
        </w:tc>
      </w:tr>
      <w:tr w:rsidR="0068636B" w:rsidRPr="00933B53" w:rsidTr="00E64FDD">
        <w:trPr>
          <w:jc w:val="right"/>
        </w:trPr>
        <w:tc>
          <w:tcPr>
            <w:tcW w:w="2392" w:type="dxa"/>
          </w:tcPr>
          <w:p w:rsidR="0068636B" w:rsidRPr="00933B53" w:rsidRDefault="0068636B" w:rsidP="00E64FDD">
            <w:pPr>
              <w:pStyle w:val="Paragraph"/>
              <w:tabs>
                <w:tab w:val="clear" w:pos="720"/>
                <w:tab w:val="num" w:pos="1566"/>
                <w:tab w:val="num" w:pos="2088"/>
                <w:tab w:val="num" w:pos="2196"/>
              </w:tabs>
              <w:autoSpaceDE w:val="0"/>
              <w:autoSpaceDN w:val="0"/>
              <w:adjustRightInd w:val="0"/>
              <w:spacing w:before="0" w:after="0"/>
              <w:ind w:left="0" w:firstLine="0"/>
              <w:jc w:val="left"/>
              <w:rPr>
                <w:b/>
                <w:sz w:val="20"/>
                <w:lang w:val="es-ES"/>
              </w:rPr>
            </w:pPr>
            <w:r w:rsidRPr="00933B53">
              <w:rPr>
                <w:b/>
                <w:sz w:val="20"/>
                <w:lang w:val="es-ES"/>
              </w:rPr>
              <w:t>Crédito total</w:t>
            </w:r>
          </w:p>
        </w:tc>
        <w:tc>
          <w:tcPr>
            <w:tcW w:w="1096" w:type="dxa"/>
          </w:tcPr>
          <w:p w:rsidR="0068636B" w:rsidRPr="00933B53" w:rsidRDefault="0068636B" w:rsidP="00E64FDD">
            <w:pPr>
              <w:pStyle w:val="Paragraph"/>
              <w:tabs>
                <w:tab w:val="clear" w:pos="720"/>
                <w:tab w:val="num" w:pos="1566"/>
                <w:tab w:val="num" w:pos="2088"/>
                <w:tab w:val="num" w:pos="2196"/>
              </w:tabs>
              <w:autoSpaceDE w:val="0"/>
              <w:autoSpaceDN w:val="0"/>
              <w:adjustRightInd w:val="0"/>
              <w:spacing w:before="0" w:after="0"/>
              <w:ind w:left="0" w:firstLine="0"/>
              <w:jc w:val="center"/>
              <w:rPr>
                <w:sz w:val="20"/>
                <w:vertAlign w:val="superscript"/>
                <w:lang w:val="es-ES"/>
              </w:rPr>
            </w:pPr>
            <w:r w:rsidRPr="00933B53">
              <w:rPr>
                <w:sz w:val="20"/>
                <w:lang w:val="es-ES"/>
              </w:rPr>
              <w:t>.0497617</w:t>
            </w:r>
            <w:r w:rsidRPr="00933B53">
              <w:rPr>
                <w:sz w:val="20"/>
                <w:vertAlign w:val="superscript"/>
                <w:lang w:val="es-ES"/>
              </w:rPr>
              <w:t>**</w:t>
            </w:r>
          </w:p>
        </w:tc>
        <w:tc>
          <w:tcPr>
            <w:tcW w:w="1161" w:type="dxa"/>
          </w:tcPr>
          <w:p w:rsidR="0068636B" w:rsidRPr="00933B53" w:rsidRDefault="0068636B" w:rsidP="00E64FDD">
            <w:pPr>
              <w:pStyle w:val="Paragraph"/>
              <w:tabs>
                <w:tab w:val="clear" w:pos="720"/>
                <w:tab w:val="num" w:pos="1566"/>
                <w:tab w:val="num" w:pos="2088"/>
                <w:tab w:val="num" w:pos="2196"/>
              </w:tabs>
              <w:autoSpaceDE w:val="0"/>
              <w:autoSpaceDN w:val="0"/>
              <w:adjustRightInd w:val="0"/>
              <w:spacing w:before="0" w:after="0"/>
              <w:ind w:left="0" w:firstLine="0"/>
              <w:jc w:val="center"/>
              <w:rPr>
                <w:sz w:val="20"/>
                <w:lang w:val="es-ES"/>
              </w:rPr>
            </w:pPr>
            <w:r w:rsidRPr="00933B53">
              <w:rPr>
                <w:sz w:val="20"/>
                <w:lang w:val="es-ES"/>
              </w:rPr>
              <w:t>.7367979</w:t>
            </w:r>
          </w:p>
        </w:tc>
        <w:tc>
          <w:tcPr>
            <w:tcW w:w="1302" w:type="dxa"/>
          </w:tcPr>
          <w:p w:rsidR="0068636B" w:rsidRPr="00933B53" w:rsidRDefault="0068636B" w:rsidP="00E64FDD">
            <w:pPr>
              <w:pStyle w:val="Paragraph"/>
              <w:tabs>
                <w:tab w:val="clear" w:pos="720"/>
                <w:tab w:val="num" w:pos="1566"/>
                <w:tab w:val="num" w:pos="2088"/>
                <w:tab w:val="num" w:pos="2196"/>
              </w:tabs>
              <w:autoSpaceDE w:val="0"/>
              <w:autoSpaceDN w:val="0"/>
              <w:adjustRightInd w:val="0"/>
              <w:spacing w:before="0" w:after="0"/>
              <w:ind w:left="0" w:firstLine="0"/>
              <w:jc w:val="center"/>
              <w:rPr>
                <w:sz w:val="20"/>
                <w:lang w:val="es-ES"/>
              </w:rPr>
            </w:pPr>
            <w:r w:rsidRPr="00933B53">
              <w:rPr>
                <w:sz w:val="20"/>
                <w:lang w:val="es-ES"/>
              </w:rPr>
              <w:t>-.4423291</w:t>
            </w:r>
          </w:p>
        </w:tc>
        <w:tc>
          <w:tcPr>
            <w:tcW w:w="1199" w:type="dxa"/>
          </w:tcPr>
          <w:p w:rsidR="0068636B" w:rsidRPr="00933B53" w:rsidRDefault="0068636B" w:rsidP="00E64FDD">
            <w:pPr>
              <w:pStyle w:val="Paragraph"/>
              <w:tabs>
                <w:tab w:val="clear" w:pos="720"/>
                <w:tab w:val="num" w:pos="1566"/>
                <w:tab w:val="num" w:pos="2088"/>
                <w:tab w:val="num" w:pos="2196"/>
              </w:tabs>
              <w:autoSpaceDE w:val="0"/>
              <w:autoSpaceDN w:val="0"/>
              <w:adjustRightInd w:val="0"/>
              <w:spacing w:before="0" w:after="0"/>
              <w:ind w:left="0" w:firstLine="0"/>
              <w:jc w:val="center"/>
              <w:rPr>
                <w:sz w:val="20"/>
                <w:lang w:val="es-ES"/>
              </w:rPr>
            </w:pPr>
            <w:r w:rsidRPr="00933B53">
              <w:rPr>
                <w:sz w:val="20"/>
                <w:lang w:val="es-ES"/>
              </w:rPr>
              <w:t>0.1044</w:t>
            </w:r>
          </w:p>
        </w:tc>
        <w:tc>
          <w:tcPr>
            <w:tcW w:w="1270" w:type="dxa"/>
          </w:tcPr>
          <w:p w:rsidR="0068636B" w:rsidRPr="00933B53" w:rsidRDefault="0068636B" w:rsidP="00E64FDD">
            <w:pPr>
              <w:pStyle w:val="Paragraph"/>
              <w:tabs>
                <w:tab w:val="clear" w:pos="720"/>
                <w:tab w:val="num" w:pos="1566"/>
                <w:tab w:val="num" w:pos="2088"/>
                <w:tab w:val="num" w:pos="2196"/>
              </w:tabs>
              <w:autoSpaceDE w:val="0"/>
              <w:autoSpaceDN w:val="0"/>
              <w:adjustRightInd w:val="0"/>
              <w:spacing w:before="0" w:after="0"/>
              <w:ind w:left="0" w:firstLine="0"/>
              <w:jc w:val="center"/>
              <w:rPr>
                <w:sz w:val="20"/>
                <w:lang w:val="es-ES"/>
              </w:rPr>
            </w:pPr>
            <w:r w:rsidRPr="00933B53">
              <w:rPr>
                <w:sz w:val="20"/>
                <w:lang w:val="es-ES"/>
              </w:rPr>
              <w:t>46</w:t>
            </w:r>
          </w:p>
        </w:tc>
      </w:tr>
      <w:tr w:rsidR="0068636B" w:rsidRPr="00933B53" w:rsidTr="00E64FDD">
        <w:trPr>
          <w:jc w:val="right"/>
        </w:trPr>
        <w:tc>
          <w:tcPr>
            <w:tcW w:w="2392" w:type="dxa"/>
          </w:tcPr>
          <w:p w:rsidR="0068636B" w:rsidRPr="00933B53" w:rsidRDefault="0068636B" w:rsidP="00E64FDD">
            <w:pPr>
              <w:pStyle w:val="Paragraph"/>
              <w:tabs>
                <w:tab w:val="clear" w:pos="720"/>
                <w:tab w:val="num" w:pos="1566"/>
                <w:tab w:val="num" w:pos="2088"/>
                <w:tab w:val="num" w:pos="2196"/>
              </w:tabs>
              <w:autoSpaceDE w:val="0"/>
              <w:autoSpaceDN w:val="0"/>
              <w:adjustRightInd w:val="0"/>
              <w:spacing w:before="0" w:after="0"/>
              <w:ind w:left="0" w:firstLine="0"/>
              <w:jc w:val="left"/>
              <w:rPr>
                <w:b/>
                <w:sz w:val="20"/>
                <w:lang w:val="es-ES"/>
              </w:rPr>
            </w:pPr>
            <w:r w:rsidRPr="00933B53">
              <w:rPr>
                <w:b/>
                <w:sz w:val="20"/>
                <w:lang w:val="es-ES"/>
              </w:rPr>
              <w:t>Crédito al sector privado</w:t>
            </w:r>
          </w:p>
        </w:tc>
        <w:tc>
          <w:tcPr>
            <w:tcW w:w="1096" w:type="dxa"/>
          </w:tcPr>
          <w:p w:rsidR="0068636B" w:rsidRPr="00933B53" w:rsidRDefault="0068636B" w:rsidP="00E64FDD">
            <w:pPr>
              <w:pStyle w:val="Paragraph"/>
              <w:tabs>
                <w:tab w:val="clear" w:pos="720"/>
                <w:tab w:val="num" w:pos="1566"/>
                <w:tab w:val="num" w:pos="2088"/>
                <w:tab w:val="num" w:pos="2196"/>
              </w:tabs>
              <w:autoSpaceDE w:val="0"/>
              <w:autoSpaceDN w:val="0"/>
              <w:adjustRightInd w:val="0"/>
              <w:spacing w:before="0" w:after="0"/>
              <w:ind w:left="0" w:firstLine="0"/>
              <w:jc w:val="center"/>
              <w:rPr>
                <w:sz w:val="20"/>
                <w:lang w:val="es-ES"/>
              </w:rPr>
            </w:pPr>
            <w:r w:rsidRPr="00933B53">
              <w:rPr>
                <w:sz w:val="20"/>
                <w:lang w:val="es-ES"/>
              </w:rPr>
              <w:t>.0116123</w:t>
            </w:r>
          </w:p>
        </w:tc>
        <w:tc>
          <w:tcPr>
            <w:tcW w:w="1161" w:type="dxa"/>
          </w:tcPr>
          <w:p w:rsidR="0068636B" w:rsidRPr="00933B53" w:rsidRDefault="0068636B" w:rsidP="00E64FDD">
            <w:pPr>
              <w:pStyle w:val="Paragraph"/>
              <w:tabs>
                <w:tab w:val="clear" w:pos="720"/>
                <w:tab w:val="num" w:pos="1566"/>
                <w:tab w:val="num" w:pos="2088"/>
                <w:tab w:val="num" w:pos="2196"/>
              </w:tabs>
              <w:autoSpaceDE w:val="0"/>
              <w:autoSpaceDN w:val="0"/>
              <w:adjustRightInd w:val="0"/>
              <w:spacing w:before="0" w:after="0"/>
              <w:ind w:left="0" w:firstLine="0"/>
              <w:jc w:val="center"/>
              <w:rPr>
                <w:sz w:val="20"/>
                <w:lang w:val="es-ES"/>
              </w:rPr>
            </w:pPr>
            <w:r w:rsidRPr="00933B53">
              <w:rPr>
                <w:sz w:val="20"/>
                <w:lang w:val="es-ES"/>
              </w:rPr>
              <w:t>1.355292</w:t>
            </w:r>
            <w:r w:rsidRPr="00933B53">
              <w:rPr>
                <w:sz w:val="20"/>
                <w:vertAlign w:val="superscript"/>
                <w:lang w:val="es-ES"/>
              </w:rPr>
              <w:t>***</w:t>
            </w:r>
          </w:p>
        </w:tc>
        <w:tc>
          <w:tcPr>
            <w:tcW w:w="1302" w:type="dxa"/>
          </w:tcPr>
          <w:p w:rsidR="0068636B" w:rsidRPr="00933B53" w:rsidRDefault="0068636B" w:rsidP="00E64FDD">
            <w:pPr>
              <w:pStyle w:val="Paragraph"/>
              <w:tabs>
                <w:tab w:val="clear" w:pos="720"/>
                <w:tab w:val="num" w:pos="1566"/>
                <w:tab w:val="num" w:pos="2088"/>
                <w:tab w:val="num" w:pos="2196"/>
              </w:tabs>
              <w:autoSpaceDE w:val="0"/>
              <w:autoSpaceDN w:val="0"/>
              <w:adjustRightInd w:val="0"/>
              <w:spacing w:before="0" w:after="0"/>
              <w:ind w:left="0" w:firstLine="0"/>
              <w:jc w:val="center"/>
              <w:rPr>
                <w:sz w:val="20"/>
                <w:lang w:val="es-ES"/>
              </w:rPr>
            </w:pPr>
            <w:r w:rsidRPr="00933B53">
              <w:rPr>
                <w:sz w:val="20"/>
                <w:lang w:val="es-ES"/>
              </w:rPr>
              <w:t>-.1391697</w:t>
            </w:r>
          </w:p>
        </w:tc>
        <w:tc>
          <w:tcPr>
            <w:tcW w:w="1199" w:type="dxa"/>
          </w:tcPr>
          <w:p w:rsidR="0068636B" w:rsidRPr="00933B53" w:rsidRDefault="0068636B" w:rsidP="00E64FDD">
            <w:pPr>
              <w:pStyle w:val="Paragraph"/>
              <w:tabs>
                <w:tab w:val="clear" w:pos="720"/>
                <w:tab w:val="num" w:pos="1566"/>
                <w:tab w:val="num" w:pos="2088"/>
                <w:tab w:val="num" w:pos="2196"/>
              </w:tabs>
              <w:autoSpaceDE w:val="0"/>
              <w:autoSpaceDN w:val="0"/>
              <w:adjustRightInd w:val="0"/>
              <w:spacing w:before="0" w:after="0"/>
              <w:ind w:left="0" w:firstLine="0"/>
              <w:jc w:val="center"/>
              <w:rPr>
                <w:sz w:val="20"/>
                <w:lang w:val="es-ES"/>
              </w:rPr>
            </w:pPr>
            <w:r w:rsidRPr="00933B53">
              <w:rPr>
                <w:sz w:val="20"/>
                <w:lang w:val="es-ES"/>
              </w:rPr>
              <w:t>0.1451</w:t>
            </w:r>
          </w:p>
        </w:tc>
        <w:tc>
          <w:tcPr>
            <w:tcW w:w="1270" w:type="dxa"/>
          </w:tcPr>
          <w:p w:rsidR="0068636B" w:rsidRPr="00933B53" w:rsidRDefault="0068636B" w:rsidP="00E64FDD">
            <w:pPr>
              <w:pStyle w:val="Paragraph"/>
              <w:tabs>
                <w:tab w:val="clear" w:pos="720"/>
                <w:tab w:val="num" w:pos="1566"/>
                <w:tab w:val="num" w:pos="2088"/>
                <w:tab w:val="num" w:pos="2196"/>
              </w:tabs>
              <w:autoSpaceDE w:val="0"/>
              <w:autoSpaceDN w:val="0"/>
              <w:adjustRightInd w:val="0"/>
              <w:spacing w:before="0" w:after="0"/>
              <w:ind w:left="0" w:firstLine="0"/>
              <w:jc w:val="center"/>
              <w:rPr>
                <w:sz w:val="20"/>
                <w:lang w:val="es-ES"/>
              </w:rPr>
            </w:pPr>
            <w:r w:rsidRPr="00933B53">
              <w:rPr>
                <w:sz w:val="20"/>
                <w:lang w:val="es-ES"/>
              </w:rPr>
              <w:t>46</w:t>
            </w:r>
          </w:p>
        </w:tc>
      </w:tr>
    </w:tbl>
    <w:p w:rsidR="003A6420" w:rsidRPr="00933B53" w:rsidRDefault="00A80FE6" w:rsidP="00F10FF1">
      <w:pPr>
        <w:pStyle w:val="Paragraph"/>
        <w:tabs>
          <w:tab w:val="clear" w:pos="720"/>
          <w:tab w:val="num" w:pos="2196"/>
        </w:tabs>
        <w:ind w:left="0" w:firstLine="0"/>
        <w:rPr>
          <w:lang w:val="es-ES"/>
        </w:rPr>
      </w:pPr>
      <w:r w:rsidRPr="00933B53">
        <w:rPr>
          <w:lang w:val="es-ES"/>
        </w:rPr>
        <w:t xml:space="preserve">A partir de estos resultados es posible realizar una proyección de la demanda de crédito en función de proyecciones de crecimiento de la actividad y la evolución del diferencial de inflación. </w:t>
      </w:r>
      <w:r w:rsidR="00383A4B" w:rsidRPr="00933B53">
        <w:rPr>
          <w:lang w:val="es-ES"/>
        </w:rPr>
        <w:t>Como paso preliminar para evaluar la capacidad predictiva del mo</w:t>
      </w:r>
      <w:r w:rsidR="003239C0">
        <w:rPr>
          <w:lang w:val="es-ES"/>
        </w:rPr>
        <w:t xml:space="preserve">delo </w:t>
      </w:r>
      <w:r w:rsidR="00383A4B" w:rsidRPr="00933B53">
        <w:rPr>
          <w:lang w:val="es-AR"/>
        </w:rPr>
        <w:t xml:space="preserve">se calcula el valor predicho por el modelo para 2013; para este año, el modelo indica una expansión de la demanda de crédito </w:t>
      </w:r>
      <w:r w:rsidR="00306DFA" w:rsidRPr="00933B53">
        <w:rPr>
          <w:lang w:val="es-AR"/>
        </w:rPr>
        <w:t>que lleva el total a</w:t>
      </w:r>
      <w:r w:rsidR="00383A4B" w:rsidRPr="00933B53">
        <w:rPr>
          <w:lang w:val="es-AR"/>
        </w:rPr>
        <w:t xml:space="preserve"> US$ </w:t>
      </w:r>
      <w:r w:rsidR="00306DFA" w:rsidRPr="00933B53">
        <w:rPr>
          <w:lang w:val="es-AR"/>
        </w:rPr>
        <w:t xml:space="preserve">8.654 millones –muy cercano a los </w:t>
      </w:r>
      <w:r w:rsidR="00383A4B" w:rsidRPr="00933B53">
        <w:rPr>
          <w:lang w:val="es-AR"/>
        </w:rPr>
        <w:t xml:space="preserve">US$ </w:t>
      </w:r>
      <w:r w:rsidR="00306DFA" w:rsidRPr="00933B53">
        <w:rPr>
          <w:lang w:val="es-AR"/>
        </w:rPr>
        <w:t>8.540</w:t>
      </w:r>
      <w:r w:rsidR="00383A4B" w:rsidRPr="00933B53">
        <w:rPr>
          <w:lang w:val="es-AR"/>
        </w:rPr>
        <w:t xml:space="preserve"> millones</w:t>
      </w:r>
      <w:r w:rsidR="00306DFA" w:rsidRPr="00933B53">
        <w:rPr>
          <w:lang w:val="es-AR"/>
        </w:rPr>
        <w:t xml:space="preserve"> efectivamente observados</w:t>
      </w:r>
      <w:r w:rsidR="008B1676" w:rsidRPr="00933B53">
        <w:rPr>
          <w:lang w:val="es-AR"/>
        </w:rPr>
        <w:t xml:space="preserve">. Considerando el crédito al sector privado, se observa que el modelo </w:t>
      </w:r>
      <w:r w:rsidR="00D544F3" w:rsidRPr="00933B53">
        <w:rPr>
          <w:lang w:val="es-AR"/>
        </w:rPr>
        <w:t>predice un total de</w:t>
      </w:r>
      <w:r w:rsidR="008B1676" w:rsidRPr="00933B53">
        <w:rPr>
          <w:lang w:val="es-AR"/>
        </w:rPr>
        <w:t xml:space="preserve"> US$ </w:t>
      </w:r>
      <w:r w:rsidR="00D544F3" w:rsidRPr="00933B53">
        <w:rPr>
          <w:lang w:val="es-AR"/>
        </w:rPr>
        <w:t>8.265</w:t>
      </w:r>
      <w:r w:rsidR="008B1676" w:rsidRPr="00933B53">
        <w:rPr>
          <w:lang w:val="es-AR"/>
        </w:rPr>
        <w:t xml:space="preserve"> millones, en tanto que </w:t>
      </w:r>
      <w:r w:rsidR="00D544F3" w:rsidRPr="00933B53">
        <w:rPr>
          <w:lang w:val="es-AR"/>
        </w:rPr>
        <w:t>el valor</w:t>
      </w:r>
      <w:r w:rsidR="008B1676" w:rsidRPr="00933B53">
        <w:rPr>
          <w:lang w:val="es-AR"/>
        </w:rPr>
        <w:t xml:space="preserve"> efectiv</w:t>
      </w:r>
      <w:r w:rsidR="00D544F3" w:rsidRPr="00933B53">
        <w:rPr>
          <w:lang w:val="es-AR"/>
        </w:rPr>
        <w:t>o</w:t>
      </w:r>
      <w:r w:rsidR="008B1676" w:rsidRPr="00933B53">
        <w:rPr>
          <w:lang w:val="es-AR"/>
        </w:rPr>
        <w:t xml:space="preserve"> para el período fue de US$ </w:t>
      </w:r>
      <w:r w:rsidR="00D544F3" w:rsidRPr="00933B53">
        <w:rPr>
          <w:lang w:val="es-AR"/>
        </w:rPr>
        <w:t>8.320</w:t>
      </w:r>
      <w:r w:rsidR="008B1676" w:rsidRPr="00933B53">
        <w:rPr>
          <w:lang w:val="es-AR"/>
        </w:rPr>
        <w:t xml:space="preserve"> millones. </w:t>
      </w:r>
      <w:r w:rsidR="00D544F3" w:rsidRPr="00933B53">
        <w:rPr>
          <w:lang w:val="es-AR"/>
        </w:rPr>
        <w:t>Partiendo de est</w:t>
      </w:r>
      <w:r w:rsidR="00667A47" w:rsidRPr="00933B53">
        <w:rPr>
          <w:lang w:val="es-AR"/>
        </w:rPr>
        <w:t>e modelo</w:t>
      </w:r>
      <w:r w:rsidR="00D544F3" w:rsidRPr="00933B53">
        <w:rPr>
          <w:lang w:val="es-AR"/>
        </w:rPr>
        <w:t xml:space="preserve"> y extrapolando la participación promedio de las MIPYMES se procede luego a calcular la demanda de crédito de estas empresas.</w:t>
      </w:r>
    </w:p>
    <w:p w:rsidR="00AA6370" w:rsidRPr="00933B53" w:rsidRDefault="003A6420" w:rsidP="00F10FF1">
      <w:pPr>
        <w:pStyle w:val="Paragraph"/>
        <w:tabs>
          <w:tab w:val="clear" w:pos="720"/>
          <w:tab w:val="num" w:pos="2196"/>
        </w:tabs>
        <w:ind w:left="0" w:firstLine="0"/>
        <w:rPr>
          <w:lang w:val="es-AR"/>
        </w:rPr>
      </w:pPr>
      <w:r w:rsidRPr="00933B53">
        <w:rPr>
          <w:lang w:val="es-ES"/>
        </w:rPr>
        <w:t>La tabla 2 a continuación muestra la demanda proyectada de crédito de MIPYMEs en un horizonte de 5 años tomando como parámetros base para el cálculo en la ecuación (1) las proyecciones del FMI.</w:t>
      </w:r>
      <w:r w:rsidRPr="00933B53">
        <w:rPr>
          <w:rStyle w:val="FootnoteReference"/>
          <w:lang w:val="es-ES"/>
        </w:rPr>
        <w:footnoteReference w:id="8"/>
      </w:r>
      <w:r w:rsidR="008B1676" w:rsidRPr="00933B53">
        <w:rPr>
          <w:lang w:val="es-AR"/>
        </w:rPr>
        <w:t xml:space="preserve"> </w:t>
      </w:r>
      <w:r w:rsidR="008D0207" w:rsidRPr="00933B53">
        <w:rPr>
          <w:lang w:val="es-AR"/>
        </w:rPr>
        <w:t>Puede observarse que el monto de la línea representa alrededor de 6%. La tabla presenta además varios escenarios de sensibilizaciones, con caídas del crecimiento esperado de 25% y 50%, y con sorpresas inflacionarias de 1% y 2%. De los valores de estas sensibilizaciones cabe notar el incremento de los montos</w:t>
      </w:r>
      <w:r w:rsidR="00B61CE1">
        <w:rPr>
          <w:lang w:val="es-AR"/>
        </w:rPr>
        <w:t xml:space="preserve"> ante sorpresas inflacionarias, </w:t>
      </w:r>
      <w:r w:rsidR="008D0207" w:rsidRPr="00933B53">
        <w:rPr>
          <w:lang w:val="es-AR"/>
        </w:rPr>
        <w:t>proxy de incremento</w:t>
      </w:r>
      <w:r w:rsidR="00B61CE1">
        <w:rPr>
          <w:lang w:val="es-AR"/>
        </w:rPr>
        <w:t>s en el costo de financiamiento</w:t>
      </w:r>
      <w:r w:rsidR="008D0207" w:rsidRPr="00933B53">
        <w:rPr>
          <w:lang w:val="es-AR"/>
        </w:rPr>
        <w:t>. Esto se debe a que si bien la demanda real de crédito ha de caer, el tamaño del efecto inflacionario es tal que los valores nominales se ven incrementados en última instancia.</w:t>
      </w:r>
    </w:p>
    <w:p w:rsidR="00AA6370" w:rsidRPr="00933B53" w:rsidRDefault="003239C0" w:rsidP="00ED46BF">
      <w:pPr>
        <w:pStyle w:val="Paragraph"/>
        <w:keepNext/>
        <w:tabs>
          <w:tab w:val="clear" w:pos="720"/>
          <w:tab w:val="num" w:pos="1566"/>
          <w:tab w:val="num" w:pos="2088"/>
          <w:tab w:val="num" w:pos="2196"/>
        </w:tabs>
        <w:autoSpaceDE w:val="0"/>
        <w:autoSpaceDN w:val="0"/>
        <w:adjustRightInd w:val="0"/>
        <w:ind w:firstLine="0"/>
        <w:jc w:val="center"/>
        <w:rPr>
          <w:b/>
          <w:lang w:val="es-ES"/>
        </w:rPr>
      </w:pPr>
      <w:r>
        <w:rPr>
          <w:b/>
          <w:lang w:val="es-AR"/>
        </w:rPr>
        <w:lastRenderedPageBreak/>
        <w:t>Tabla 2. D</w:t>
      </w:r>
      <w:r w:rsidR="00AA6370" w:rsidRPr="00933B53">
        <w:rPr>
          <w:b/>
          <w:lang w:val="es-AR"/>
        </w:rPr>
        <w:t>emanda proyectada MIPYMES y sensibilizaciones (</w:t>
      </w:r>
      <w:r w:rsidR="00B61CE1">
        <w:rPr>
          <w:b/>
          <w:lang w:val="es-AR"/>
        </w:rPr>
        <w:t xml:space="preserve">Mill. </w:t>
      </w:r>
      <w:r w:rsidR="00B61CE1" w:rsidRPr="00B61CE1">
        <w:rPr>
          <w:b/>
          <w:lang w:val="es-AR"/>
        </w:rPr>
        <w:t>US$</w:t>
      </w:r>
      <w:r w:rsidR="00AA6370" w:rsidRPr="00933B53">
        <w:rPr>
          <w:b/>
          <w:lang w:val="es-AR"/>
        </w:rPr>
        <w:t>)</w:t>
      </w:r>
    </w:p>
    <w:p w:rsidR="00AA6370" w:rsidRPr="00933B53" w:rsidRDefault="00AA6370" w:rsidP="00B61CE1">
      <w:pPr>
        <w:pStyle w:val="Paragraph"/>
        <w:tabs>
          <w:tab w:val="clear" w:pos="720"/>
          <w:tab w:val="num" w:pos="1566"/>
          <w:tab w:val="num" w:pos="2088"/>
          <w:tab w:val="num" w:pos="2196"/>
        </w:tabs>
        <w:autoSpaceDE w:val="0"/>
        <w:autoSpaceDN w:val="0"/>
        <w:adjustRightInd w:val="0"/>
        <w:ind w:firstLine="0"/>
        <w:jc w:val="center"/>
        <w:rPr>
          <w:lang w:val="es-AR"/>
        </w:rPr>
      </w:pPr>
      <w:r w:rsidRPr="00933B53">
        <w:rPr>
          <w:noProof/>
        </w:rPr>
        <w:drawing>
          <wp:inline distT="0" distB="0" distL="0" distR="0" wp14:anchorId="42E2D013" wp14:editId="12553927">
            <wp:extent cx="4532244" cy="1761916"/>
            <wp:effectExtent l="0" t="0" r="1905"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4529944" cy="1761022"/>
                    </a:xfrm>
                    <a:prstGeom prst="rect">
                      <a:avLst/>
                    </a:prstGeom>
                    <a:noFill/>
                    <a:ln>
                      <a:noFill/>
                    </a:ln>
                  </pic:spPr>
                </pic:pic>
              </a:graphicData>
            </a:graphic>
          </wp:inline>
        </w:drawing>
      </w:r>
    </w:p>
    <w:p w:rsidR="003268D7" w:rsidRPr="00933B53" w:rsidRDefault="003268D7" w:rsidP="003268D7">
      <w:pPr>
        <w:pStyle w:val="FirstHeading"/>
        <w:numPr>
          <w:ilvl w:val="0"/>
          <w:numId w:val="3"/>
        </w:numPr>
        <w:ind w:left="720"/>
        <w:rPr>
          <w:lang w:val="es-ES"/>
        </w:rPr>
      </w:pPr>
      <w:bookmarkStart w:id="8" w:name="_Toc388181600"/>
      <w:bookmarkStart w:id="9" w:name="_Toc388181671"/>
      <w:r w:rsidRPr="00933B53">
        <w:rPr>
          <w:lang w:val="es-ES"/>
        </w:rPr>
        <w:t>C.</w:t>
      </w:r>
      <w:r w:rsidRPr="00933B53">
        <w:rPr>
          <w:lang w:val="es-ES"/>
        </w:rPr>
        <w:tab/>
      </w:r>
      <w:r w:rsidR="00995109" w:rsidRPr="00933B53">
        <w:rPr>
          <w:lang w:val="es-ES"/>
        </w:rPr>
        <w:t>Consideraciones sobre</w:t>
      </w:r>
      <w:r w:rsidR="00DE0402" w:rsidRPr="00933B53">
        <w:rPr>
          <w:lang w:val="es-ES"/>
        </w:rPr>
        <w:t xml:space="preserve"> de demanda</w:t>
      </w:r>
      <w:r w:rsidR="00995109" w:rsidRPr="00933B53">
        <w:rPr>
          <w:lang w:val="es-ES"/>
        </w:rPr>
        <w:t xml:space="preserve"> de crédito</w:t>
      </w:r>
      <w:r w:rsidR="00DE0402" w:rsidRPr="00933B53">
        <w:rPr>
          <w:lang w:val="es-ES"/>
        </w:rPr>
        <w:t xml:space="preserve"> basadas en encuestas a las instituciones financieras</w:t>
      </w:r>
      <w:r w:rsidR="00995109" w:rsidRPr="00933B53">
        <w:rPr>
          <w:rStyle w:val="FootnoteReference"/>
          <w:b w:val="0"/>
          <w:lang w:val="es-ES"/>
        </w:rPr>
        <w:footnoteReference w:id="9"/>
      </w:r>
      <w:bookmarkEnd w:id="8"/>
      <w:bookmarkEnd w:id="9"/>
    </w:p>
    <w:p w:rsidR="00A62E17" w:rsidRDefault="00421850" w:rsidP="00F10FF1">
      <w:pPr>
        <w:pStyle w:val="Paragraph"/>
        <w:tabs>
          <w:tab w:val="clear" w:pos="720"/>
          <w:tab w:val="num" w:pos="2196"/>
        </w:tabs>
        <w:ind w:left="0" w:firstLine="0"/>
        <w:rPr>
          <w:lang w:val="es-ES"/>
        </w:rPr>
      </w:pPr>
      <w:r w:rsidRPr="00933B53">
        <w:rPr>
          <w:lang w:val="es-ES"/>
        </w:rPr>
        <w:t>Para complementar la inf</w:t>
      </w:r>
      <w:r w:rsidR="00A62E17">
        <w:rPr>
          <w:lang w:val="es-ES"/>
        </w:rPr>
        <w:t>ormación de la sección anterior</w:t>
      </w:r>
      <w:r w:rsidRPr="00933B53">
        <w:rPr>
          <w:lang w:val="es-ES"/>
        </w:rPr>
        <w:t xml:space="preserve"> </w:t>
      </w:r>
      <w:r w:rsidR="006F2988">
        <w:rPr>
          <w:lang w:val="es-ES"/>
        </w:rPr>
        <w:t xml:space="preserve">se </w:t>
      </w:r>
      <w:r w:rsidRPr="00933B53">
        <w:rPr>
          <w:lang w:val="es-ES"/>
        </w:rPr>
        <w:t xml:space="preserve">llevó </w:t>
      </w:r>
      <w:r w:rsidR="007516D9">
        <w:rPr>
          <w:lang w:val="es-ES"/>
        </w:rPr>
        <w:t>a cabo</w:t>
      </w:r>
      <w:r w:rsidRPr="00933B53">
        <w:rPr>
          <w:lang w:val="es-ES"/>
        </w:rPr>
        <w:t xml:space="preserve"> una serie de encues</w:t>
      </w:r>
      <w:r w:rsidR="00A62E17">
        <w:rPr>
          <w:lang w:val="es-ES"/>
        </w:rPr>
        <w:t>tas entre entidades financieras</w:t>
      </w:r>
      <w:r w:rsidRPr="00933B53">
        <w:rPr>
          <w:lang w:val="es-ES"/>
        </w:rPr>
        <w:t xml:space="preserve"> del El Salvador</w:t>
      </w:r>
      <w:r w:rsidR="00A62E17">
        <w:rPr>
          <w:lang w:val="es-ES"/>
        </w:rPr>
        <w:t xml:space="preserve">. La encuesta buscaba recopilar </w:t>
      </w:r>
      <w:r w:rsidRPr="00A62E17">
        <w:rPr>
          <w:lang w:val="es-ES"/>
        </w:rPr>
        <w:t xml:space="preserve">información cualitativa y cuantitativa sobre la demanda de crédito potencial. </w:t>
      </w:r>
    </w:p>
    <w:p w:rsidR="00D24A14" w:rsidRPr="00A62E17" w:rsidRDefault="00421850" w:rsidP="00F10FF1">
      <w:pPr>
        <w:pStyle w:val="Paragraph"/>
        <w:tabs>
          <w:tab w:val="clear" w:pos="720"/>
          <w:tab w:val="num" w:pos="2196"/>
        </w:tabs>
        <w:ind w:left="0" w:firstLine="0"/>
        <w:rPr>
          <w:lang w:val="es-ES"/>
        </w:rPr>
      </w:pPr>
      <w:r w:rsidRPr="00A62E17">
        <w:rPr>
          <w:lang w:val="es-ES"/>
        </w:rPr>
        <w:t>Como marco inicial de referencia, l</w:t>
      </w:r>
      <w:r w:rsidR="006B02ED" w:rsidRPr="00A62E17">
        <w:rPr>
          <w:lang w:val="es-ES"/>
        </w:rPr>
        <w:t>a perspectiva típica</w:t>
      </w:r>
      <w:r w:rsidR="006B02ED" w:rsidRPr="00933B53">
        <w:rPr>
          <w:rStyle w:val="FootnoteReference"/>
          <w:lang w:val="es-ES"/>
        </w:rPr>
        <w:footnoteReference w:id="10"/>
      </w:r>
      <w:r w:rsidR="006B02ED" w:rsidRPr="00A62E17">
        <w:rPr>
          <w:lang w:val="es-ES"/>
        </w:rPr>
        <w:t xml:space="preserve"> de las entidades financieras es que la economía se expand</w:t>
      </w:r>
      <w:r w:rsidR="004A558D" w:rsidRPr="00A62E17">
        <w:rPr>
          <w:lang w:val="es-ES"/>
        </w:rPr>
        <w:t>irá</w:t>
      </w:r>
      <w:r w:rsidR="006B02ED" w:rsidRPr="00A62E17">
        <w:rPr>
          <w:lang w:val="es-ES"/>
        </w:rPr>
        <w:t xml:space="preserve"> un 2% </w:t>
      </w:r>
      <w:r w:rsidR="004A558D" w:rsidRPr="00A62E17">
        <w:rPr>
          <w:lang w:val="es-ES"/>
        </w:rPr>
        <w:t xml:space="preserve">anual </w:t>
      </w:r>
      <w:r w:rsidR="006B02ED" w:rsidRPr="00A62E17">
        <w:rPr>
          <w:lang w:val="es-ES"/>
        </w:rPr>
        <w:t>durante los próximos dos años</w:t>
      </w:r>
      <w:r w:rsidR="004A558D" w:rsidRPr="00A62E17">
        <w:rPr>
          <w:lang w:val="es-ES"/>
        </w:rPr>
        <w:t xml:space="preserve">, estimando </w:t>
      </w:r>
      <w:r w:rsidR="006B02ED" w:rsidRPr="00A62E17">
        <w:rPr>
          <w:lang w:val="es-ES"/>
        </w:rPr>
        <w:t>que los niveles de riesgo agregado</w:t>
      </w:r>
      <w:r w:rsidR="004A558D" w:rsidRPr="00A62E17">
        <w:rPr>
          <w:lang w:val="es-ES"/>
        </w:rPr>
        <w:t xml:space="preserve"> se </w:t>
      </w:r>
      <w:r w:rsidR="006B02ED" w:rsidRPr="00A62E17">
        <w:rPr>
          <w:lang w:val="es-ES"/>
        </w:rPr>
        <w:t>mantengan en niveles aceptables</w:t>
      </w:r>
      <w:r w:rsidR="006B02ED" w:rsidRPr="00933B53">
        <w:rPr>
          <w:rStyle w:val="FootnoteReference"/>
          <w:lang w:val="es-ES"/>
        </w:rPr>
        <w:footnoteReference w:id="11"/>
      </w:r>
      <w:r w:rsidR="004A558D" w:rsidRPr="00A62E17">
        <w:rPr>
          <w:lang w:val="es-ES"/>
        </w:rPr>
        <w:t xml:space="preserve">. Se observa además que las entidades financieras perciben una relación riesgo-rentabilidad más desfavorable entre los sectores típicamente transables de la economía en relación con los sectores más orientados hacia la producción de bienes no transables (comercio, restaurantes, y hoteles). Esta situación puede ser en parte generada por una apreciación real del tipo de cambio por el peso relativo de los flujos de remesas en la economía </w:t>
      </w:r>
      <w:r w:rsidR="00E33425" w:rsidRPr="00A62E17">
        <w:rPr>
          <w:lang w:val="es-ES"/>
        </w:rPr>
        <w:t>de El Salvador</w:t>
      </w:r>
      <w:r w:rsidR="00E33425" w:rsidRPr="00933B53">
        <w:rPr>
          <w:rStyle w:val="FootnoteReference"/>
          <w:lang w:val="es-ES"/>
        </w:rPr>
        <w:footnoteReference w:id="12"/>
      </w:r>
      <w:r w:rsidR="00E33425" w:rsidRPr="00A62E17">
        <w:rPr>
          <w:lang w:val="es-ES"/>
        </w:rPr>
        <w:t>.</w:t>
      </w:r>
      <w:r w:rsidR="00D24A14" w:rsidRPr="00A62E17">
        <w:rPr>
          <w:lang w:val="es-ES"/>
        </w:rPr>
        <w:t xml:space="preserve"> Esta situación es de relevancia dado que las </w:t>
      </w:r>
      <w:r w:rsidR="006B02ED" w:rsidRPr="00A62E17">
        <w:rPr>
          <w:lang w:val="es-ES"/>
        </w:rPr>
        <w:t>actividades</w:t>
      </w:r>
      <w:r w:rsidR="00175244" w:rsidRPr="00A62E17">
        <w:rPr>
          <w:lang w:val="es-ES"/>
        </w:rPr>
        <w:t xml:space="preserve"> transables internacionalmente</w:t>
      </w:r>
      <w:r w:rsidR="00D24A14" w:rsidRPr="00A62E17">
        <w:rPr>
          <w:lang w:val="es-ES"/>
        </w:rPr>
        <w:t xml:space="preserve"> tienden a presentar mejoras productivas más aceleradas que el resto de la economía. Otro aspecto relevante que también se</w:t>
      </w:r>
      <w:r w:rsidR="00D7405A" w:rsidRPr="00A62E17">
        <w:rPr>
          <w:lang w:val="es-ES"/>
        </w:rPr>
        <w:t xml:space="preserve"> puede apreciar en el </w:t>
      </w:r>
      <w:r w:rsidR="003B6D86" w:rsidRPr="003B6D86">
        <w:rPr>
          <w:lang w:val="es-ES"/>
        </w:rPr>
        <w:t>G</w:t>
      </w:r>
      <w:r w:rsidR="00D7405A" w:rsidRPr="003B6D86">
        <w:rPr>
          <w:lang w:val="es-ES"/>
        </w:rPr>
        <w:t xml:space="preserve">ráfico </w:t>
      </w:r>
      <w:r w:rsidR="00D24A14" w:rsidRPr="003B6D86">
        <w:rPr>
          <w:lang w:val="es-ES"/>
        </w:rPr>
        <w:t xml:space="preserve">1 </w:t>
      </w:r>
      <w:r w:rsidR="003B6D86">
        <w:rPr>
          <w:lang w:val="es-ES"/>
        </w:rPr>
        <w:t>del A</w:t>
      </w:r>
      <w:r w:rsidR="00D7405A" w:rsidRPr="003B6D86">
        <w:rPr>
          <w:lang w:val="es-ES"/>
        </w:rPr>
        <w:t>nexo II</w:t>
      </w:r>
      <w:r w:rsidR="00D7405A" w:rsidRPr="00A62E17">
        <w:rPr>
          <w:lang w:val="es-ES"/>
        </w:rPr>
        <w:t xml:space="preserve"> </w:t>
      </w:r>
      <w:r w:rsidR="00D24A14" w:rsidRPr="00A62E17">
        <w:rPr>
          <w:lang w:val="es-ES"/>
        </w:rPr>
        <w:t xml:space="preserve">es que la percepción típica de riesgo entre las entidades no difiere entre los sectores más importantes de la economía. </w:t>
      </w:r>
      <w:r w:rsidR="00716901" w:rsidRPr="00A62E17">
        <w:rPr>
          <w:lang w:val="es-ES"/>
        </w:rPr>
        <w:t xml:space="preserve">Esto </w:t>
      </w:r>
      <w:r w:rsidR="00D24A14" w:rsidRPr="00A62E17">
        <w:rPr>
          <w:lang w:val="es-ES"/>
        </w:rPr>
        <w:t>es consistente con una situación en la</w:t>
      </w:r>
      <w:r w:rsidR="00A541A2" w:rsidRPr="00A62E17">
        <w:rPr>
          <w:lang w:val="es-ES"/>
        </w:rPr>
        <w:t xml:space="preserve"> </w:t>
      </w:r>
      <w:r w:rsidR="00D24A14" w:rsidRPr="00A62E17">
        <w:rPr>
          <w:lang w:val="es-ES"/>
        </w:rPr>
        <w:t xml:space="preserve">cual  el sistema financiero no presta mucha atención a las diferencias de riesgo idiosincrático. Este es un tipo de situación </w:t>
      </w:r>
      <w:r w:rsidR="00941E9A" w:rsidRPr="00A62E17">
        <w:rPr>
          <w:lang w:val="es-ES"/>
        </w:rPr>
        <w:t>en la cual se puede</w:t>
      </w:r>
      <w:r w:rsidR="00D24A14" w:rsidRPr="00A62E17">
        <w:rPr>
          <w:lang w:val="es-ES"/>
        </w:rPr>
        <w:t xml:space="preserve"> presentar </w:t>
      </w:r>
      <w:r w:rsidR="00941E9A" w:rsidRPr="00A62E17">
        <w:rPr>
          <w:lang w:val="es-ES"/>
        </w:rPr>
        <w:t>una situación de racionamiento crediticio particularmente severa y que sugiere potenciales beneficios de una intervención pública.</w:t>
      </w:r>
    </w:p>
    <w:p w:rsidR="001230D1" w:rsidRPr="00933B53" w:rsidRDefault="001230D1" w:rsidP="00F10FF1">
      <w:pPr>
        <w:pStyle w:val="Paragraph"/>
        <w:tabs>
          <w:tab w:val="clear" w:pos="720"/>
          <w:tab w:val="num" w:pos="2196"/>
        </w:tabs>
        <w:ind w:left="0" w:firstLine="0"/>
        <w:rPr>
          <w:lang w:val="es-ES"/>
        </w:rPr>
      </w:pPr>
      <w:r w:rsidRPr="00933B53">
        <w:rPr>
          <w:lang w:val="es-ES"/>
        </w:rPr>
        <w:t>A los efectos de explorar la posibilidad de un crecimiento de una demanda de crédito insatisfecha, se investigó la percepción de crecimiento de la demanda de créditos y de la tasa de rechazo</w:t>
      </w:r>
      <w:r w:rsidR="00716901" w:rsidRPr="00933B53">
        <w:rPr>
          <w:lang w:val="es-ES"/>
        </w:rPr>
        <w:t>.</w:t>
      </w:r>
      <w:r w:rsidRPr="00933B53">
        <w:rPr>
          <w:lang w:val="es-ES"/>
        </w:rPr>
        <w:t xml:space="preserve"> Como</w:t>
      </w:r>
      <w:r w:rsidR="00D7405A">
        <w:rPr>
          <w:lang w:val="es-ES"/>
        </w:rPr>
        <w:t xml:space="preserve"> se puede ver en los </w:t>
      </w:r>
      <w:r w:rsidR="004E3B4C" w:rsidRPr="004E3B4C">
        <w:rPr>
          <w:lang w:val="es-ES"/>
        </w:rPr>
        <w:t>G</w:t>
      </w:r>
      <w:r w:rsidR="00D7405A" w:rsidRPr="004E3B4C">
        <w:rPr>
          <w:lang w:val="es-ES"/>
        </w:rPr>
        <w:t xml:space="preserve">ráficos 3 y </w:t>
      </w:r>
      <w:r w:rsidRPr="004E3B4C">
        <w:rPr>
          <w:lang w:val="es-ES"/>
        </w:rPr>
        <w:t>4</w:t>
      </w:r>
      <w:r w:rsidR="004E3B4C" w:rsidRPr="004E3B4C">
        <w:rPr>
          <w:lang w:val="es-ES"/>
        </w:rPr>
        <w:t xml:space="preserve"> del A</w:t>
      </w:r>
      <w:r w:rsidR="00D7405A" w:rsidRPr="004E3B4C">
        <w:rPr>
          <w:lang w:val="es-ES"/>
        </w:rPr>
        <w:t>nexo II</w:t>
      </w:r>
      <w:r w:rsidRPr="004E3B4C">
        <w:rPr>
          <w:lang w:val="es-ES"/>
        </w:rPr>
        <w:t>,</w:t>
      </w:r>
      <w:r w:rsidRPr="00933B53">
        <w:rPr>
          <w:lang w:val="es-ES"/>
        </w:rPr>
        <w:t xml:space="preserve"> l</w:t>
      </w:r>
      <w:r w:rsidR="0038455C" w:rsidRPr="00933B53">
        <w:rPr>
          <w:lang w:val="es-ES"/>
        </w:rPr>
        <w:t>as instituciones financieras anticipan un incremento a un año en el número de solicitudes de crédito de aproximadamente 13% r</w:t>
      </w:r>
      <w:r w:rsidRPr="00933B53">
        <w:rPr>
          <w:lang w:val="es-ES"/>
        </w:rPr>
        <w:t xml:space="preserve">especto de los niveles actuales (en el segmento de </w:t>
      </w:r>
      <w:r w:rsidR="00CE63B9" w:rsidRPr="004E3B4C">
        <w:rPr>
          <w:lang w:val="es-ES"/>
        </w:rPr>
        <w:t>MI</w:t>
      </w:r>
      <w:r w:rsidRPr="004E3B4C">
        <w:rPr>
          <w:lang w:val="es-ES"/>
        </w:rPr>
        <w:t>PYMEs)</w:t>
      </w:r>
      <w:r w:rsidRPr="00933B53">
        <w:rPr>
          <w:lang w:val="es-ES"/>
        </w:rPr>
        <w:t xml:space="preserve">. </w:t>
      </w:r>
      <w:r w:rsidR="0038455C" w:rsidRPr="00933B53">
        <w:rPr>
          <w:lang w:val="es-ES"/>
        </w:rPr>
        <w:t xml:space="preserve">El mayor crecimiento se espera en el segmento de empresas de entre </w:t>
      </w:r>
      <w:r w:rsidR="0038455C" w:rsidRPr="00933B53">
        <w:rPr>
          <w:lang w:val="es-ES"/>
        </w:rPr>
        <w:lastRenderedPageBreak/>
        <w:t>50 y 100 empleados (medianas), con un 14.3%, seguidas por micro empresas (13%), y pequeñas (12.1%)</w:t>
      </w:r>
      <w:r w:rsidRPr="00933B53">
        <w:rPr>
          <w:rStyle w:val="FootnoteReference"/>
          <w:lang w:val="es-ES"/>
        </w:rPr>
        <w:footnoteReference w:id="13"/>
      </w:r>
      <w:r w:rsidRPr="00933B53">
        <w:rPr>
          <w:lang w:val="es-ES"/>
        </w:rPr>
        <w:t>.</w:t>
      </w:r>
      <w:r w:rsidR="0038455C" w:rsidRPr="00933B53">
        <w:rPr>
          <w:lang w:val="es-ES"/>
        </w:rPr>
        <w:t xml:space="preserve"> Este incremento en la demanda de créditos solicitados no se espera sea acompañado por un cambio en la </w:t>
      </w:r>
      <w:r w:rsidRPr="00933B53">
        <w:rPr>
          <w:lang w:val="es-ES"/>
        </w:rPr>
        <w:t xml:space="preserve">proporción de </w:t>
      </w:r>
      <w:r w:rsidR="0038455C" w:rsidRPr="00933B53">
        <w:rPr>
          <w:lang w:val="es-ES"/>
        </w:rPr>
        <w:t>aprobación de líneas de cr</w:t>
      </w:r>
      <w:r w:rsidR="00065374" w:rsidRPr="00933B53">
        <w:rPr>
          <w:lang w:val="es-ES"/>
        </w:rPr>
        <w:t xml:space="preserve">édito para pequeñas y medianas empresas, pero si con una disminución de los rechazos en micro empresas </w:t>
      </w:r>
      <w:r w:rsidR="00065374" w:rsidRPr="004231DD">
        <w:rPr>
          <w:lang w:val="es-ES"/>
        </w:rPr>
        <w:t>(</w:t>
      </w:r>
      <w:r w:rsidRPr="004231DD">
        <w:rPr>
          <w:lang w:val="es-ES"/>
        </w:rPr>
        <w:t xml:space="preserve">ver </w:t>
      </w:r>
      <w:r w:rsidR="004231DD">
        <w:rPr>
          <w:lang w:val="es-ES"/>
        </w:rPr>
        <w:t>G</w:t>
      </w:r>
      <w:r w:rsidR="00D7405A" w:rsidRPr="004231DD">
        <w:rPr>
          <w:lang w:val="es-ES"/>
        </w:rPr>
        <w:t xml:space="preserve">ráficos 4 y </w:t>
      </w:r>
      <w:r w:rsidRPr="004231DD">
        <w:rPr>
          <w:lang w:val="es-ES"/>
        </w:rPr>
        <w:t>5</w:t>
      </w:r>
      <w:r w:rsidR="00D7405A" w:rsidRPr="004231DD">
        <w:rPr>
          <w:lang w:val="es-ES"/>
        </w:rPr>
        <w:t xml:space="preserve"> del anexo II</w:t>
      </w:r>
      <w:r w:rsidR="00065374" w:rsidRPr="004231DD">
        <w:rPr>
          <w:lang w:val="es-ES"/>
        </w:rPr>
        <w:t>).</w:t>
      </w:r>
      <w:r w:rsidR="00065374" w:rsidRPr="00933B53">
        <w:rPr>
          <w:lang w:val="es-ES"/>
        </w:rPr>
        <w:t xml:space="preserve"> Esto implica que el flujo de solicitudes rechazadas entre pequeñas y medianas empresas se incrementará en una proporción </w:t>
      </w:r>
      <w:r w:rsidRPr="00933B53">
        <w:rPr>
          <w:lang w:val="es-ES"/>
        </w:rPr>
        <w:t>de entre 12.1% y 14.3% respectivamente</w:t>
      </w:r>
      <w:r w:rsidR="00065374" w:rsidRPr="00933B53">
        <w:rPr>
          <w:lang w:val="es-ES"/>
        </w:rPr>
        <w:t>.</w:t>
      </w:r>
    </w:p>
    <w:p w:rsidR="0038455C" w:rsidRPr="00933B53" w:rsidRDefault="00065374" w:rsidP="00F10FF1">
      <w:pPr>
        <w:pStyle w:val="Paragraph"/>
        <w:tabs>
          <w:tab w:val="clear" w:pos="720"/>
          <w:tab w:val="num" w:pos="2196"/>
        </w:tabs>
        <w:ind w:left="0" w:firstLine="0"/>
        <w:rPr>
          <w:lang w:val="es-ES"/>
        </w:rPr>
      </w:pPr>
      <w:r w:rsidRPr="00933B53">
        <w:rPr>
          <w:lang w:val="es-ES"/>
        </w:rPr>
        <w:t>Teniendo en cuenta que las entidades financieras esperan que los niveles de riesgo se mantengan estables</w:t>
      </w:r>
      <w:r w:rsidR="00B81D21" w:rsidRPr="00933B53">
        <w:rPr>
          <w:lang w:val="es-ES"/>
        </w:rPr>
        <w:t xml:space="preserve"> (</w:t>
      </w:r>
      <w:r w:rsidR="001230D1" w:rsidRPr="000372D4">
        <w:rPr>
          <w:lang w:val="es-ES"/>
        </w:rPr>
        <w:t xml:space="preserve">ver gráfico </w:t>
      </w:r>
      <w:r w:rsidR="000372D4" w:rsidRPr="000372D4">
        <w:rPr>
          <w:lang w:val="es-ES"/>
        </w:rPr>
        <w:t>1 del A</w:t>
      </w:r>
      <w:r w:rsidR="00D7405A" w:rsidRPr="000372D4">
        <w:rPr>
          <w:lang w:val="es-ES"/>
        </w:rPr>
        <w:t>nexo II</w:t>
      </w:r>
      <w:r w:rsidR="00B81D21" w:rsidRPr="000372D4">
        <w:rPr>
          <w:lang w:val="es-ES"/>
        </w:rPr>
        <w:t>)</w:t>
      </w:r>
      <w:r w:rsidRPr="000372D4">
        <w:rPr>
          <w:lang w:val="es-ES"/>
        </w:rPr>
        <w:t>,</w:t>
      </w:r>
      <w:r w:rsidRPr="00933B53">
        <w:rPr>
          <w:lang w:val="es-ES"/>
        </w:rPr>
        <w:t xml:space="preserve"> puede inferirse que</w:t>
      </w:r>
      <w:r w:rsidR="001230D1" w:rsidRPr="00933B53">
        <w:rPr>
          <w:lang w:val="es-ES"/>
        </w:rPr>
        <w:t xml:space="preserve"> las entidades financieras anticipan</w:t>
      </w:r>
      <w:r w:rsidRPr="00933B53">
        <w:rPr>
          <w:lang w:val="es-ES"/>
        </w:rPr>
        <w:t xml:space="preserve"> un empeoramiento de las condiciones de selección adversa y racionamiento de crédito, que </w:t>
      </w:r>
      <w:r w:rsidR="001230D1" w:rsidRPr="00933B53">
        <w:rPr>
          <w:lang w:val="es-ES"/>
        </w:rPr>
        <w:t xml:space="preserve">puede afectar la realización de </w:t>
      </w:r>
      <w:r w:rsidRPr="00933B53">
        <w:rPr>
          <w:lang w:val="es-ES"/>
        </w:rPr>
        <w:t xml:space="preserve">proyectos productivos. </w:t>
      </w:r>
      <w:r w:rsidR="0001188D" w:rsidRPr="00933B53">
        <w:rPr>
          <w:lang w:val="es-ES"/>
        </w:rPr>
        <w:t xml:space="preserve">Adicionalmente cabe notar </w:t>
      </w:r>
      <w:r w:rsidRPr="00933B53">
        <w:rPr>
          <w:lang w:val="es-ES"/>
        </w:rPr>
        <w:t>que las entidades</w:t>
      </w:r>
      <w:r w:rsidR="0001188D" w:rsidRPr="00933B53">
        <w:rPr>
          <w:lang w:val="es-ES"/>
        </w:rPr>
        <w:t xml:space="preserve"> financieras encuestadas</w:t>
      </w:r>
      <w:r w:rsidRPr="00933B53">
        <w:rPr>
          <w:lang w:val="es-ES"/>
        </w:rPr>
        <w:t xml:space="preserve"> anticipan extender más crédito a micro empresas –las cuales típicamente tienen una productividad substancialmente menor que las </w:t>
      </w:r>
      <w:r w:rsidR="00D7405A">
        <w:rPr>
          <w:lang w:val="es-ES"/>
        </w:rPr>
        <w:t>MIPY</w:t>
      </w:r>
      <w:r w:rsidRPr="00933B53">
        <w:rPr>
          <w:lang w:val="es-ES"/>
        </w:rPr>
        <w:t xml:space="preserve">MEs. </w:t>
      </w:r>
    </w:p>
    <w:p w:rsidR="0001188D" w:rsidRPr="00933B53" w:rsidRDefault="00620524" w:rsidP="00F10FF1">
      <w:pPr>
        <w:pStyle w:val="Paragraph"/>
        <w:tabs>
          <w:tab w:val="clear" w:pos="720"/>
          <w:tab w:val="num" w:pos="2196"/>
        </w:tabs>
        <w:ind w:left="0" w:firstLine="0"/>
        <w:rPr>
          <w:lang w:val="es-ES"/>
        </w:rPr>
      </w:pPr>
      <w:r>
        <w:rPr>
          <w:lang w:val="es-ES"/>
        </w:rPr>
        <w:t>L</w:t>
      </w:r>
      <w:r w:rsidR="00BA6EBA" w:rsidRPr="00933B53">
        <w:rPr>
          <w:lang w:val="es-ES"/>
        </w:rPr>
        <w:t xml:space="preserve">as entidades financieras consultadas no esperan un cambio en la situación de riesgo a nivel de empresa cuando se considera el promedio de </w:t>
      </w:r>
      <w:r w:rsidR="00B30048" w:rsidRPr="00933B53">
        <w:rPr>
          <w:lang w:val="es-ES"/>
        </w:rPr>
        <w:t>las respuestas</w:t>
      </w:r>
      <w:r w:rsidR="00BA6EBA" w:rsidRPr="00933B53">
        <w:rPr>
          <w:lang w:val="es-ES"/>
        </w:rPr>
        <w:t>, pero sí en caso de que se considere la mediana</w:t>
      </w:r>
      <w:r w:rsidR="00BA6EBA" w:rsidRPr="00933B53">
        <w:rPr>
          <w:rStyle w:val="FootnoteReference"/>
          <w:lang w:val="es-ES"/>
        </w:rPr>
        <w:footnoteReference w:id="14"/>
      </w:r>
      <w:r w:rsidR="00BA6EBA" w:rsidRPr="00933B53">
        <w:rPr>
          <w:lang w:val="es-ES"/>
        </w:rPr>
        <w:t>.</w:t>
      </w:r>
      <w:r w:rsidR="00B30048" w:rsidRPr="00933B53">
        <w:rPr>
          <w:lang w:val="es-ES"/>
        </w:rPr>
        <w:t xml:space="preserve"> En particular, utilizando la mediana se observa una caída del riesgo esperado en empresas medianas –situación que se da en un contexto donde no se esperan cambios en </w:t>
      </w:r>
      <w:r w:rsidR="00D7405A">
        <w:rPr>
          <w:lang w:val="es-ES"/>
        </w:rPr>
        <w:t>la tasa de rechazos (</w:t>
      </w:r>
      <w:r w:rsidR="00D7405A" w:rsidRPr="001D0259">
        <w:rPr>
          <w:lang w:val="es-ES"/>
        </w:rPr>
        <w:t xml:space="preserve">gráficos 4 y </w:t>
      </w:r>
      <w:r w:rsidR="00B30048" w:rsidRPr="001D0259">
        <w:rPr>
          <w:lang w:val="es-ES"/>
        </w:rPr>
        <w:t>5</w:t>
      </w:r>
      <w:r>
        <w:rPr>
          <w:lang w:val="es-ES"/>
        </w:rPr>
        <w:t xml:space="preserve"> del A</w:t>
      </w:r>
      <w:r w:rsidR="00D7405A" w:rsidRPr="001D0259">
        <w:rPr>
          <w:lang w:val="es-ES"/>
        </w:rPr>
        <w:t>nexo II</w:t>
      </w:r>
      <w:r w:rsidR="00B30048" w:rsidRPr="00933B53">
        <w:rPr>
          <w:lang w:val="es-ES"/>
        </w:rPr>
        <w:t>).</w:t>
      </w:r>
    </w:p>
    <w:p w:rsidR="0059174B" w:rsidRPr="00933B53" w:rsidRDefault="007A7C65" w:rsidP="00F10FF1">
      <w:pPr>
        <w:pStyle w:val="Paragraph"/>
        <w:tabs>
          <w:tab w:val="clear" w:pos="720"/>
          <w:tab w:val="num" w:pos="2196"/>
        </w:tabs>
        <w:ind w:left="0" w:firstLine="0"/>
        <w:rPr>
          <w:lang w:val="es-ES"/>
        </w:rPr>
      </w:pPr>
      <w:r w:rsidRPr="00933B53">
        <w:rPr>
          <w:lang w:val="es-ES"/>
        </w:rPr>
        <w:t>En cuanto a los montos de préstamos típicos por tamaño de empresa, la encuesta permitió identificar los siguientes valores: US$ 20.000 para empresas pequeñas, US$100.000 para medianas, y US$450.000 para empresas grandes</w:t>
      </w:r>
      <w:r w:rsidR="00A26315">
        <w:rPr>
          <w:lang w:val="es-ES"/>
        </w:rPr>
        <w:t xml:space="preserve"> </w:t>
      </w:r>
      <w:r w:rsidR="00A26315" w:rsidRPr="00620524">
        <w:rPr>
          <w:lang w:val="es-ES"/>
        </w:rPr>
        <w:t>(</w:t>
      </w:r>
      <w:r w:rsidR="00620524" w:rsidRPr="00620524">
        <w:rPr>
          <w:lang w:val="es-ES"/>
        </w:rPr>
        <w:t>ver G</w:t>
      </w:r>
      <w:r w:rsidR="00A26315" w:rsidRPr="00620524">
        <w:rPr>
          <w:lang w:val="es-ES"/>
        </w:rPr>
        <w:t xml:space="preserve">ráfico </w:t>
      </w:r>
      <w:r w:rsidR="000D6D8E" w:rsidRPr="00620524">
        <w:rPr>
          <w:lang w:val="es-ES"/>
        </w:rPr>
        <w:t>8</w:t>
      </w:r>
      <w:r w:rsidR="00620524" w:rsidRPr="00620524">
        <w:rPr>
          <w:lang w:val="es-ES"/>
        </w:rPr>
        <w:t xml:space="preserve"> del A</w:t>
      </w:r>
      <w:r w:rsidR="00A26315" w:rsidRPr="00620524">
        <w:rPr>
          <w:lang w:val="es-ES"/>
        </w:rPr>
        <w:t>nexo II</w:t>
      </w:r>
      <w:r w:rsidR="000D6D8E" w:rsidRPr="00620524">
        <w:rPr>
          <w:lang w:val="es-ES"/>
        </w:rPr>
        <w:t>)</w:t>
      </w:r>
      <w:r w:rsidRPr="00620524">
        <w:rPr>
          <w:lang w:val="es-ES"/>
        </w:rPr>
        <w:t>.</w:t>
      </w:r>
      <w:r w:rsidR="000D6D8E" w:rsidRPr="00620524">
        <w:rPr>
          <w:lang w:val="es-ES"/>
        </w:rPr>
        <w:t xml:space="preserve"> De estos montos, las empresas pequeñas y medianas utilizan un 70% como capital de trabajo, y sólo un 25%-35%  para inversiones (ver </w:t>
      </w:r>
      <w:r w:rsidR="00620524" w:rsidRPr="00620524">
        <w:rPr>
          <w:lang w:val="es-ES"/>
        </w:rPr>
        <w:t>G</w:t>
      </w:r>
      <w:r w:rsidR="00A26315" w:rsidRPr="00620524">
        <w:rPr>
          <w:lang w:val="es-ES"/>
        </w:rPr>
        <w:t xml:space="preserve">ráfico </w:t>
      </w:r>
      <w:r w:rsidR="000D6D8E" w:rsidRPr="00620524">
        <w:rPr>
          <w:lang w:val="es-ES"/>
        </w:rPr>
        <w:t>9</w:t>
      </w:r>
      <w:r w:rsidR="00620524" w:rsidRPr="00620524">
        <w:rPr>
          <w:lang w:val="es-ES"/>
        </w:rPr>
        <w:t xml:space="preserve"> del A</w:t>
      </w:r>
      <w:r w:rsidR="00A26315" w:rsidRPr="00620524">
        <w:rPr>
          <w:lang w:val="es-ES"/>
        </w:rPr>
        <w:t>nexo II</w:t>
      </w:r>
      <w:r w:rsidR="000D6D8E" w:rsidRPr="00620524">
        <w:rPr>
          <w:lang w:val="es-ES"/>
        </w:rPr>
        <w:t xml:space="preserve">). </w:t>
      </w:r>
      <w:r w:rsidR="00D7405A" w:rsidRPr="00620524">
        <w:rPr>
          <w:lang w:val="es-ES"/>
        </w:rPr>
        <w:t xml:space="preserve">Adicionalmente, el </w:t>
      </w:r>
      <w:r w:rsidR="00620524" w:rsidRPr="00620524">
        <w:rPr>
          <w:lang w:val="es-ES"/>
        </w:rPr>
        <w:t>G</w:t>
      </w:r>
      <w:r w:rsidR="00D7405A" w:rsidRPr="00620524">
        <w:rPr>
          <w:lang w:val="es-ES"/>
        </w:rPr>
        <w:t xml:space="preserve">ráfico </w:t>
      </w:r>
      <w:r w:rsidR="00B72664" w:rsidRPr="00620524">
        <w:rPr>
          <w:lang w:val="es-ES"/>
        </w:rPr>
        <w:t xml:space="preserve">10 </w:t>
      </w:r>
      <w:r w:rsidR="00620524" w:rsidRPr="00620524">
        <w:rPr>
          <w:lang w:val="es-ES"/>
        </w:rPr>
        <w:t>del A</w:t>
      </w:r>
      <w:r w:rsidR="00D7405A" w:rsidRPr="00620524">
        <w:rPr>
          <w:lang w:val="es-ES"/>
        </w:rPr>
        <w:t xml:space="preserve">nexo II </w:t>
      </w:r>
      <w:r w:rsidR="00B72664" w:rsidRPr="00620524">
        <w:rPr>
          <w:lang w:val="es-ES"/>
        </w:rPr>
        <w:t>muestra que el grueso del componente de inversión es destinado hacia recursos</w:t>
      </w:r>
      <w:r w:rsidR="00B72664" w:rsidRPr="00933B53">
        <w:rPr>
          <w:lang w:val="es-ES"/>
        </w:rPr>
        <w:t xml:space="preserve"> tradicionales (maquinaria, infraestructura), y solo marginalmente al desarrollo de nuevos mercados y </w:t>
      </w:r>
      <w:r w:rsidR="0059174B" w:rsidRPr="00933B53">
        <w:rPr>
          <w:lang w:val="es-ES"/>
        </w:rPr>
        <w:t>tecnología.</w:t>
      </w:r>
    </w:p>
    <w:p w:rsidR="007A7C65" w:rsidRPr="00933B53" w:rsidRDefault="0059174B" w:rsidP="00F10FF1">
      <w:pPr>
        <w:pStyle w:val="Paragraph"/>
        <w:tabs>
          <w:tab w:val="clear" w:pos="720"/>
          <w:tab w:val="num" w:pos="2196"/>
        </w:tabs>
        <w:ind w:left="0" w:firstLine="0"/>
        <w:rPr>
          <w:lang w:val="es-ES"/>
        </w:rPr>
      </w:pPr>
      <w:r w:rsidRPr="00933B53">
        <w:rPr>
          <w:lang w:val="es-ES"/>
        </w:rPr>
        <w:t>En conclusión, la información recogida mediante encuestas a las instituciones financieras presenta  evidencia consistente con: (i) falta de diferenciación en la percepción de riesgos</w:t>
      </w:r>
      <w:r w:rsidRPr="00933B53">
        <w:rPr>
          <w:lang w:val="es-AR"/>
        </w:rPr>
        <w:t xml:space="preserve">; (ii) </w:t>
      </w:r>
      <w:r w:rsidR="00FB7EC7" w:rsidRPr="00933B53">
        <w:rPr>
          <w:lang w:val="es-AR"/>
        </w:rPr>
        <w:t>re</w:t>
      </w:r>
      <w:r w:rsidR="00ED46BF">
        <w:rPr>
          <w:lang w:val="es-AR"/>
        </w:rPr>
        <w:t>-</w:t>
      </w:r>
      <w:r w:rsidR="00FB7EC7" w:rsidRPr="00933B53">
        <w:rPr>
          <w:lang w:val="es-AR"/>
        </w:rPr>
        <w:t>direccionamiento</w:t>
      </w:r>
      <w:r w:rsidRPr="00933B53">
        <w:rPr>
          <w:lang w:val="es-AR"/>
        </w:rPr>
        <w:t xml:space="preserve"> en el margen hacia empresas de baja productividad (micro empresas); (iii) aumento de la demanda de crédito; (iv) aumento de la demanda de crédito insatisfecha (racionamiento); (v) las empresas pequeñas destinan típicamente 19,5% de su financiamiento bancario a la </w:t>
      </w:r>
      <w:r w:rsidR="00A513D1" w:rsidRPr="00933B53">
        <w:rPr>
          <w:lang w:val="es-AR"/>
        </w:rPr>
        <w:t>adquisición</w:t>
      </w:r>
      <w:r w:rsidRPr="00933B53">
        <w:rPr>
          <w:lang w:val="es-AR"/>
        </w:rPr>
        <w:t xml:space="preserve"> de maquinar e infraestructura</w:t>
      </w:r>
      <w:r w:rsidR="00A513D1" w:rsidRPr="00933B53">
        <w:rPr>
          <w:lang w:val="es-AR"/>
        </w:rPr>
        <w:t xml:space="preserve"> y 4% a desarrollar mercados y adquirir/desarrollar tecnología, y el resto es destinado a capital de trabajo</w:t>
      </w:r>
      <w:r w:rsidRPr="00933B53">
        <w:rPr>
          <w:lang w:val="es-AR"/>
        </w:rPr>
        <w:t>; (vi)</w:t>
      </w:r>
      <w:r w:rsidR="00A513D1" w:rsidRPr="00933B53">
        <w:rPr>
          <w:lang w:val="es-AR"/>
        </w:rPr>
        <w:t xml:space="preserve"> las empresas pequeñas destinan típicamente 19,5% de su financiamiento bancario a la adquisición de maquinar e infraestructura y 4% a desarrollar mercados y adquirir/desarrollar tecnología; (vi) en el caso de empresas medianas, la adquisición de maquinarias e infraestructura representa un 22,5% de los recursos obtenidos por préstamos de estas entidades y un 4.5% va a desarrollo de mercado y tecnología y; finalmente, las empresas grandes destinan un 30,8% de estos recursos a la adquisición del tecnología.</w:t>
      </w:r>
    </w:p>
    <w:p w:rsidR="003954F6" w:rsidRPr="00933B53" w:rsidRDefault="003954F6" w:rsidP="00CF28E7">
      <w:pPr>
        <w:pStyle w:val="Chapter"/>
        <w:numPr>
          <w:ilvl w:val="0"/>
          <w:numId w:val="32"/>
        </w:numPr>
        <w:spacing w:before="120" w:after="120"/>
        <w:rPr>
          <w:lang w:val="es-ES"/>
        </w:rPr>
      </w:pPr>
      <w:bookmarkStart w:id="10" w:name="_Toc388181601"/>
      <w:bookmarkStart w:id="11" w:name="_Toc388181672"/>
      <w:r w:rsidRPr="00933B53">
        <w:rPr>
          <w:lang w:val="es-ES"/>
        </w:rPr>
        <w:lastRenderedPageBreak/>
        <w:t>conclusiones</w:t>
      </w:r>
      <w:bookmarkEnd w:id="10"/>
      <w:bookmarkEnd w:id="11"/>
    </w:p>
    <w:p w:rsidR="003954F6" w:rsidRPr="00933B53" w:rsidRDefault="00237756" w:rsidP="00F10FF1">
      <w:pPr>
        <w:pStyle w:val="Paragraph"/>
        <w:tabs>
          <w:tab w:val="clear" w:pos="720"/>
        </w:tabs>
        <w:ind w:left="0" w:firstLine="0"/>
        <w:rPr>
          <w:lang w:val="es-ES"/>
        </w:rPr>
      </w:pPr>
      <w:r w:rsidRPr="00933B53">
        <w:rPr>
          <w:lang w:val="es-ES"/>
        </w:rPr>
        <w:t xml:space="preserve">Este documento ha explorado la evolución esperada de la demanda de crédito productivo en El Salvador. Dicho análisis toma como punto de partida un análisis descriptivo complementado por extrapolaciones directas basadas en información histórica. Este enfoque inicial es seguido por un análisis analítico basado </w:t>
      </w:r>
      <w:r w:rsidR="00305DDE">
        <w:rPr>
          <w:lang w:val="es-ES"/>
        </w:rPr>
        <w:t xml:space="preserve">en una estimación econométrica </w:t>
      </w:r>
      <w:r w:rsidR="00DA0868" w:rsidRPr="00933B53">
        <w:rPr>
          <w:lang w:val="es-ES"/>
        </w:rPr>
        <w:t>con análisis de sensibilización. Finalmente, el estudio se completa con información recogida mediante encuestas enviadas a las instituciones financieras.</w:t>
      </w:r>
    </w:p>
    <w:p w:rsidR="00573AFC" w:rsidRPr="00933B53" w:rsidRDefault="00A6182A" w:rsidP="00F10FF1">
      <w:pPr>
        <w:pStyle w:val="Paragraph"/>
        <w:tabs>
          <w:tab w:val="clear" w:pos="720"/>
        </w:tabs>
        <w:ind w:left="0" w:firstLine="0"/>
        <w:rPr>
          <w:lang w:val="es-ES"/>
        </w:rPr>
      </w:pPr>
      <w:r w:rsidRPr="00933B53">
        <w:rPr>
          <w:lang w:val="es-ES"/>
        </w:rPr>
        <w:t xml:space="preserve">Pasando directamente a los resultados analíticos basados en un modelo econométrico, acompañado de sensibilizaciones, se encuentra que </w:t>
      </w:r>
      <w:r w:rsidR="00CE63B9">
        <w:rPr>
          <w:lang w:val="es-ES"/>
        </w:rPr>
        <w:t>la demanda de MIPY</w:t>
      </w:r>
      <w:r w:rsidR="00E062CF" w:rsidRPr="00933B53">
        <w:rPr>
          <w:lang w:val="es-ES"/>
        </w:rPr>
        <w:t xml:space="preserve">MEs excede con holgura la inyección de fondos prevista por el programa (ver tabla 2). Más aún, el análisis de las encuestas realizadas indica que el volumen de solicitudes de crédito rechazadas de pequeñas y medianas empresas se incrementará entre un 12.1% y 14.3% en 2015. Tanto el tamaño total de la demanda esperada, como el incremento esperado en el volumen de crédito rechazado deja abierto un espacio para la intervención de </w:t>
      </w:r>
      <w:r w:rsidR="00F34695">
        <w:rPr>
          <w:lang w:val="es-ES"/>
        </w:rPr>
        <w:t>BANDESAL</w:t>
      </w:r>
      <w:r w:rsidR="00E062CF" w:rsidRPr="00933B53">
        <w:rPr>
          <w:lang w:val="es-ES"/>
        </w:rPr>
        <w:t>. El espacio de intervención se revela más claramente cuando se considera la diferente naturaleza de los préstamos involucrados. En efecto, de acuerdo con las encuestas realizadas, el monto típico de un préstamo para empresas medianas por parte de la banca privada es de US$100,000</w:t>
      </w:r>
      <w:r w:rsidR="00782D4B" w:rsidRPr="00933B53">
        <w:rPr>
          <w:lang w:val="es-ES"/>
        </w:rPr>
        <w:t xml:space="preserve"> en tanto que el préstamo promedio a medianas empresas provisto por </w:t>
      </w:r>
      <w:r w:rsidR="00F34695">
        <w:rPr>
          <w:lang w:val="es-ES"/>
        </w:rPr>
        <w:t>BANDESAL</w:t>
      </w:r>
      <w:r w:rsidR="00782D4B" w:rsidRPr="00933B53">
        <w:rPr>
          <w:lang w:val="es-ES"/>
        </w:rPr>
        <w:t xml:space="preserve"> fue de US$175,000 durante el ejercicio 2013; en forma similar, las pequeñas empresas obtienen un préstamo típico de US$20,000 por parte de los bancos privados, en tanto que </w:t>
      </w:r>
      <w:r w:rsidR="00F34695">
        <w:rPr>
          <w:lang w:val="es-ES"/>
        </w:rPr>
        <w:t>BANDESAL</w:t>
      </w:r>
      <w:r w:rsidR="00782D4B" w:rsidRPr="00933B53">
        <w:rPr>
          <w:lang w:val="es-ES"/>
        </w:rPr>
        <w:t xml:space="preserve"> provee un préstamo promedio de US$50,000  (nuevamente para el ejercicio 2013)</w:t>
      </w:r>
      <w:r w:rsidR="005803B8">
        <w:rPr>
          <w:rStyle w:val="FootnoteReference"/>
          <w:lang w:val="es-ES"/>
        </w:rPr>
        <w:footnoteReference w:id="15"/>
      </w:r>
      <w:r w:rsidR="00782D4B" w:rsidRPr="00933B53">
        <w:rPr>
          <w:lang w:val="es-ES"/>
        </w:rPr>
        <w:t>. En síntesis, el tamaño de la demanda estimada y las características de las ofertas privadas comparadas con</w:t>
      </w:r>
      <w:r w:rsidR="00573AFC" w:rsidRPr="00933B53">
        <w:rPr>
          <w:lang w:val="es-ES"/>
        </w:rPr>
        <w:t xml:space="preserve"> las de </w:t>
      </w:r>
      <w:r w:rsidR="00F34695">
        <w:rPr>
          <w:lang w:val="es-ES"/>
        </w:rPr>
        <w:t>BANDESAL</w:t>
      </w:r>
      <w:r w:rsidR="00573AFC" w:rsidRPr="00933B53">
        <w:rPr>
          <w:lang w:val="es-ES"/>
        </w:rPr>
        <w:t xml:space="preserve"> indican un mínimo riesgo de “crowding-out” por parte de la intervención pública en consideración.</w:t>
      </w:r>
    </w:p>
    <w:p w:rsidR="00C5222D" w:rsidRPr="00933B53" w:rsidRDefault="00573AFC" w:rsidP="00ED46BF">
      <w:pPr>
        <w:pStyle w:val="Chapter"/>
        <w:tabs>
          <w:tab w:val="clear" w:pos="648"/>
          <w:tab w:val="clear" w:pos="1440"/>
          <w:tab w:val="left" w:pos="720"/>
        </w:tabs>
        <w:spacing w:before="120" w:after="120"/>
        <w:ind w:firstLine="0"/>
        <w:rPr>
          <w:lang w:val="es-ES"/>
        </w:rPr>
      </w:pPr>
      <w:r w:rsidRPr="00933B53">
        <w:rPr>
          <w:lang w:val="es-ES"/>
        </w:rPr>
        <w:br w:type="page"/>
      </w:r>
      <w:bookmarkStart w:id="12" w:name="_Toc388181602"/>
      <w:bookmarkStart w:id="13" w:name="_Toc388181673"/>
      <w:r w:rsidR="00C5222D" w:rsidRPr="00933B53">
        <w:rPr>
          <w:lang w:val="es-ES"/>
        </w:rPr>
        <w:lastRenderedPageBreak/>
        <w:t xml:space="preserve">Anexo </w:t>
      </w:r>
      <w:r w:rsidR="00C13066">
        <w:rPr>
          <w:lang w:val="es-ES"/>
        </w:rPr>
        <w:t>I.</w:t>
      </w:r>
      <w:r w:rsidR="00C5222D">
        <w:rPr>
          <w:lang w:val="es-ES"/>
        </w:rPr>
        <w:t xml:space="preserve"> características de las operaciones de Bandesal</w:t>
      </w:r>
      <w:bookmarkEnd w:id="12"/>
      <w:bookmarkEnd w:id="13"/>
    </w:p>
    <w:p w:rsidR="00C5222D" w:rsidRDefault="001454B2" w:rsidP="00ED46BF">
      <w:pPr>
        <w:pStyle w:val="Paragraph"/>
        <w:tabs>
          <w:tab w:val="clear" w:pos="720"/>
          <w:tab w:val="num" w:pos="810"/>
          <w:tab w:val="num" w:pos="2196"/>
        </w:tabs>
        <w:autoSpaceDE w:val="0"/>
        <w:autoSpaceDN w:val="0"/>
        <w:adjustRightInd w:val="0"/>
        <w:ind w:left="270" w:firstLine="0"/>
        <w:rPr>
          <w:lang w:val="es-AR"/>
        </w:rPr>
      </w:pPr>
      <w:r>
        <w:rPr>
          <w:lang w:val="es-ES"/>
        </w:rPr>
        <w:t>E</w:t>
      </w:r>
      <w:r w:rsidR="00ED46BF">
        <w:rPr>
          <w:lang w:val="es-AR"/>
        </w:rPr>
        <w:t>ste anexo</w:t>
      </w:r>
      <w:r w:rsidR="00C5222D">
        <w:rPr>
          <w:lang w:val="es-AR"/>
        </w:rPr>
        <w:t xml:space="preserve"> presenta una caracterización de las actividad</w:t>
      </w:r>
      <w:r w:rsidR="00ED46BF">
        <w:rPr>
          <w:lang w:val="es-AR"/>
        </w:rPr>
        <w:t xml:space="preserve">es de </w:t>
      </w:r>
      <w:r w:rsidR="00F34695">
        <w:rPr>
          <w:lang w:val="es-AR"/>
        </w:rPr>
        <w:t>BANDESAL</w:t>
      </w:r>
      <w:r w:rsidR="00ED46BF">
        <w:rPr>
          <w:lang w:val="es-AR"/>
        </w:rPr>
        <w:t xml:space="preserve">. El cuadro </w:t>
      </w:r>
      <w:r w:rsidR="008A333C">
        <w:rPr>
          <w:lang w:val="es-AR"/>
        </w:rPr>
        <w:t xml:space="preserve">1 recoge </w:t>
      </w:r>
      <w:r w:rsidR="00C5222D">
        <w:rPr>
          <w:lang w:val="es-AR"/>
        </w:rPr>
        <w:t xml:space="preserve">los montos </w:t>
      </w:r>
      <w:r w:rsidR="008A333C">
        <w:rPr>
          <w:lang w:val="es-AR"/>
        </w:rPr>
        <w:t xml:space="preserve">prestados </w:t>
      </w:r>
      <w:r w:rsidR="00C5222D">
        <w:rPr>
          <w:lang w:val="es-AR"/>
        </w:rPr>
        <w:t xml:space="preserve">por tamaño de empresa. En particular, cabe resaltar el notable incremento del apoyo provisto por </w:t>
      </w:r>
      <w:r w:rsidR="00F34695">
        <w:rPr>
          <w:lang w:val="es-AR"/>
        </w:rPr>
        <w:t>BANDESAL</w:t>
      </w:r>
      <w:r w:rsidR="00C5222D">
        <w:rPr>
          <w:lang w:val="es-AR"/>
        </w:rPr>
        <w:t xml:space="preserve"> </w:t>
      </w:r>
      <w:r w:rsidR="008A333C">
        <w:rPr>
          <w:lang w:val="es-AR"/>
        </w:rPr>
        <w:t>a la pequeña y mediana empresa,</w:t>
      </w:r>
      <w:r w:rsidR="00C5222D">
        <w:rPr>
          <w:lang w:val="es-AR"/>
        </w:rPr>
        <w:t xml:space="preserve"> con volúmenes </w:t>
      </w:r>
      <w:r w:rsidR="00C5222D" w:rsidRPr="00C5222D">
        <w:rPr>
          <w:lang w:val="es-AR"/>
        </w:rPr>
        <w:t>qu</w:t>
      </w:r>
      <w:r w:rsidR="00C5222D">
        <w:rPr>
          <w:lang w:val="es-AR"/>
        </w:rPr>
        <w:t>e  s</w:t>
      </w:r>
      <w:r>
        <w:rPr>
          <w:lang w:val="es-AR"/>
        </w:rPr>
        <w:t xml:space="preserve">e han incrementado en 299% para </w:t>
      </w:r>
      <w:r w:rsidR="00C5222D">
        <w:rPr>
          <w:lang w:val="es-AR"/>
        </w:rPr>
        <w:t>medianas y 327% p</w:t>
      </w:r>
      <w:r>
        <w:rPr>
          <w:lang w:val="es-AR"/>
        </w:rPr>
        <w:t>ara pequeñas empresas entre 2009 y 2013</w:t>
      </w:r>
      <w:r w:rsidR="00C5222D">
        <w:rPr>
          <w:lang w:val="es-AR"/>
        </w:rPr>
        <w:t>.</w:t>
      </w:r>
    </w:p>
    <w:p w:rsidR="00C5222D" w:rsidRPr="00C5222D" w:rsidRDefault="00ED46BF" w:rsidP="00DF7F64">
      <w:pPr>
        <w:pStyle w:val="Paragraph"/>
        <w:tabs>
          <w:tab w:val="clear" w:pos="720"/>
          <w:tab w:val="num" w:pos="1566"/>
          <w:tab w:val="num" w:pos="2088"/>
          <w:tab w:val="num" w:pos="2196"/>
        </w:tabs>
        <w:autoSpaceDE w:val="0"/>
        <w:autoSpaceDN w:val="0"/>
        <w:adjustRightInd w:val="0"/>
        <w:ind w:firstLine="0"/>
        <w:jc w:val="center"/>
        <w:rPr>
          <w:b/>
          <w:lang w:val="es-AR"/>
        </w:rPr>
      </w:pPr>
      <w:r>
        <w:rPr>
          <w:b/>
          <w:lang w:val="es-AR"/>
        </w:rPr>
        <w:t xml:space="preserve">Cuadro </w:t>
      </w:r>
      <w:r w:rsidR="00C5222D" w:rsidRPr="00C5222D">
        <w:rPr>
          <w:b/>
          <w:lang w:val="es-AR"/>
        </w:rPr>
        <w:t>1</w:t>
      </w:r>
      <w:r w:rsidR="00DF7F64">
        <w:rPr>
          <w:b/>
          <w:lang w:val="es-AR"/>
        </w:rPr>
        <w:t xml:space="preserve">. Préstamos </w:t>
      </w:r>
      <w:r w:rsidR="00C5222D" w:rsidRPr="00C5222D">
        <w:rPr>
          <w:b/>
          <w:lang w:val="es-AR"/>
        </w:rPr>
        <w:t>por tamaño  de empresa 2009-2014</w:t>
      </w:r>
      <w:r w:rsidR="00706E16">
        <w:rPr>
          <w:rStyle w:val="FootnoteReference"/>
          <w:b/>
          <w:lang w:val="es-AR"/>
        </w:rPr>
        <w:footnoteReference w:id="16"/>
      </w:r>
      <w:r w:rsidR="00C5222D" w:rsidRPr="00C5222D">
        <w:rPr>
          <w:b/>
          <w:lang w:val="es-AR"/>
        </w:rPr>
        <w:t xml:space="preserve"> (miles de US$)</w:t>
      </w:r>
    </w:p>
    <w:p w:rsidR="00C5222D" w:rsidRDefault="00C5222D" w:rsidP="00ED46BF">
      <w:pPr>
        <w:pStyle w:val="Paragraph"/>
        <w:tabs>
          <w:tab w:val="clear" w:pos="720"/>
          <w:tab w:val="num" w:pos="1566"/>
          <w:tab w:val="num" w:pos="2088"/>
          <w:tab w:val="num" w:pos="2196"/>
        </w:tabs>
        <w:autoSpaceDE w:val="0"/>
        <w:autoSpaceDN w:val="0"/>
        <w:adjustRightInd w:val="0"/>
        <w:spacing w:before="0" w:after="0"/>
        <w:ind w:firstLine="0"/>
        <w:rPr>
          <w:lang w:val="es-AR"/>
        </w:rPr>
      </w:pPr>
      <w:r w:rsidRPr="00C5222D">
        <w:rPr>
          <w:noProof/>
        </w:rPr>
        <w:drawing>
          <wp:inline distT="0" distB="0" distL="0" distR="0" wp14:anchorId="6A7E553F" wp14:editId="0B99480D">
            <wp:extent cx="5274310" cy="1166993"/>
            <wp:effectExtent l="0" t="0" r="254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274310" cy="1166993"/>
                    </a:xfrm>
                    <a:prstGeom prst="rect">
                      <a:avLst/>
                    </a:prstGeom>
                    <a:noFill/>
                    <a:ln>
                      <a:noFill/>
                    </a:ln>
                  </pic:spPr>
                </pic:pic>
              </a:graphicData>
            </a:graphic>
          </wp:inline>
        </w:drawing>
      </w:r>
    </w:p>
    <w:p w:rsidR="00C5222D" w:rsidRPr="0058249C" w:rsidRDefault="00C5222D" w:rsidP="0058249C">
      <w:pPr>
        <w:pStyle w:val="Paragraph"/>
        <w:tabs>
          <w:tab w:val="clear" w:pos="720"/>
          <w:tab w:val="num" w:pos="1566"/>
          <w:tab w:val="num" w:pos="2088"/>
          <w:tab w:val="num" w:pos="2196"/>
        </w:tabs>
        <w:autoSpaceDE w:val="0"/>
        <w:autoSpaceDN w:val="0"/>
        <w:adjustRightInd w:val="0"/>
        <w:spacing w:before="0"/>
        <w:ind w:firstLine="0"/>
        <w:jc w:val="left"/>
        <w:rPr>
          <w:i/>
          <w:sz w:val="20"/>
          <w:lang w:val="es-AR"/>
        </w:rPr>
      </w:pPr>
      <w:r w:rsidRPr="0058249C">
        <w:rPr>
          <w:i/>
          <w:sz w:val="20"/>
          <w:lang w:val="es-AR"/>
        </w:rPr>
        <w:t xml:space="preserve">Fuente: </w:t>
      </w:r>
      <w:r w:rsidR="00F34695" w:rsidRPr="0058249C">
        <w:rPr>
          <w:i/>
          <w:sz w:val="20"/>
          <w:lang w:val="es-AR"/>
        </w:rPr>
        <w:t>BANDESAL</w:t>
      </w:r>
    </w:p>
    <w:p w:rsidR="00C5222D" w:rsidRDefault="00ED46BF" w:rsidP="00ED46BF">
      <w:pPr>
        <w:pStyle w:val="Paragraph"/>
        <w:tabs>
          <w:tab w:val="clear" w:pos="720"/>
          <w:tab w:val="num" w:pos="810"/>
          <w:tab w:val="num" w:pos="2196"/>
        </w:tabs>
        <w:autoSpaceDE w:val="0"/>
        <w:autoSpaceDN w:val="0"/>
        <w:adjustRightInd w:val="0"/>
        <w:ind w:left="270" w:firstLine="0"/>
        <w:rPr>
          <w:lang w:val="es-AR"/>
        </w:rPr>
      </w:pPr>
      <w:r>
        <w:rPr>
          <w:lang w:val="es-AR"/>
        </w:rPr>
        <w:t xml:space="preserve">El cuadro </w:t>
      </w:r>
      <w:r w:rsidR="004B5EE8">
        <w:rPr>
          <w:lang w:val="es-AR"/>
        </w:rPr>
        <w:t xml:space="preserve">2 muestra la evolución del número de préstamos por tamaño de empresa. Como puede observarse, la expansión del apoyo brindado por </w:t>
      </w:r>
      <w:r w:rsidR="00F34695">
        <w:rPr>
          <w:lang w:val="es-AR"/>
        </w:rPr>
        <w:t>BANDESAL</w:t>
      </w:r>
      <w:r w:rsidR="004B5EE8">
        <w:rPr>
          <w:lang w:val="es-AR"/>
        </w:rPr>
        <w:t xml:space="preserve"> ha sido tanto en forma extensiva como intensiva, es decir, cubriendo con mayor fondeo promedio a un mayor número de empresas.</w:t>
      </w:r>
    </w:p>
    <w:p w:rsidR="004B5EE8" w:rsidRPr="004B5EE8" w:rsidRDefault="00ED46BF" w:rsidP="00EB2E25">
      <w:pPr>
        <w:pStyle w:val="Paragraph"/>
        <w:tabs>
          <w:tab w:val="clear" w:pos="720"/>
          <w:tab w:val="num" w:pos="1566"/>
          <w:tab w:val="num" w:pos="2088"/>
          <w:tab w:val="num" w:pos="2196"/>
        </w:tabs>
        <w:autoSpaceDE w:val="0"/>
        <w:autoSpaceDN w:val="0"/>
        <w:adjustRightInd w:val="0"/>
        <w:ind w:firstLine="0"/>
        <w:jc w:val="center"/>
        <w:rPr>
          <w:b/>
          <w:lang w:val="es-AR"/>
        </w:rPr>
      </w:pPr>
      <w:r>
        <w:rPr>
          <w:b/>
          <w:lang w:val="es-AR"/>
        </w:rPr>
        <w:t xml:space="preserve">Cuadro </w:t>
      </w:r>
      <w:r w:rsidR="004B5EE8" w:rsidRPr="004B5EE8">
        <w:rPr>
          <w:b/>
          <w:lang w:val="es-AR"/>
        </w:rPr>
        <w:t>2</w:t>
      </w:r>
      <w:r w:rsidR="00EB2E25">
        <w:rPr>
          <w:b/>
          <w:lang w:val="es-AR"/>
        </w:rPr>
        <w:t xml:space="preserve">. </w:t>
      </w:r>
      <w:r w:rsidR="004B5EE8" w:rsidRPr="004B5EE8">
        <w:rPr>
          <w:b/>
          <w:lang w:val="es-AR"/>
        </w:rPr>
        <w:t>Número de préstamos por tamaño de empresa 2009- 2014</w:t>
      </w:r>
    </w:p>
    <w:p w:rsidR="004B5EE8" w:rsidRPr="004B5EE8" w:rsidRDefault="004B5EE8" w:rsidP="00ED46BF">
      <w:pPr>
        <w:pStyle w:val="Paragraph"/>
        <w:tabs>
          <w:tab w:val="clear" w:pos="720"/>
          <w:tab w:val="num" w:pos="1566"/>
          <w:tab w:val="num" w:pos="2088"/>
          <w:tab w:val="num" w:pos="2196"/>
        </w:tabs>
        <w:autoSpaceDE w:val="0"/>
        <w:autoSpaceDN w:val="0"/>
        <w:adjustRightInd w:val="0"/>
        <w:spacing w:before="0" w:after="0"/>
        <w:ind w:firstLine="0"/>
        <w:jc w:val="center"/>
        <w:rPr>
          <w:b/>
          <w:lang w:val="es-AR"/>
        </w:rPr>
      </w:pPr>
      <w:r w:rsidRPr="004B5EE8">
        <w:rPr>
          <w:noProof/>
        </w:rPr>
        <w:drawing>
          <wp:inline distT="0" distB="0" distL="0" distR="0" wp14:anchorId="126DDF5C" wp14:editId="1C1E8E96">
            <wp:extent cx="5274310" cy="1150108"/>
            <wp:effectExtent l="0" t="0" r="254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274310" cy="1150108"/>
                    </a:xfrm>
                    <a:prstGeom prst="rect">
                      <a:avLst/>
                    </a:prstGeom>
                    <a:noFill/>
                    <a:ln>
                      <a:noFill/>
                    </a:ln>
                  </pic:spPr>
                </pic:pic>
              </a:graphicData>
            </a:graphic>
          </wp:inline>
        </w:drawing>
      </w:r>
    </w:p>
    <w:p w:rsidR="00EB2E25" w:rsidRPr="0058249C" w:rsidRDefault="00EB2E25" w:rsidP="00EB2E25">
      <w:pPr>
        <w:pStyle w:val="Paragraph"/>
        <w:tabs>
          <w:tab w:val="clear" w:pos="720"/>
          <w:tab w:val="num" w:pos="1566"/>
          <w:tab w:val="num" w:pos="2088"/>
          <w:tab w:val="num" w:pos="2196"/>
        </w:tabs>
        <w:autoSpaceDE w:val="0"/>
        <w:autoSpaceDN w:val="0"/>
        <w:adjustRightInd w:val="0"/>
        <w:spacing w:before="0"/>
        <w:ind w:firstLine="0"/>
        <w:jc w:val="left"/>
        <w:rPr>
          <w:i/>
          <w:sz w:val="20"/>
          <w:lang w:val="es-AR"/>
        </w:rPr>
      </w:pPr>
      <w:r w:rsidRPr="0058249C">
        <w:rPr>
          <w:i/>
          <w:sz w:val="20"/>
          <w:lang w:val="es-AR"/>
        </w:rPr>
        <w:t>Fuente: BANDESAL</w:t>
      </w:r>
    </w:p>
    <w:p w:rsidR="004B5EE8" w:rsidRDefault="004B5EE8" w:rsidP="00ED46BF">
      <w:pPr>
        <w:pStyle w:val="Paragraph"/>
        <w:tabs>
          <w:tab w:val="clear" w:pos="720"/>
          <w:tab w:val="num" w:pos="1566"/>
          <w:tab w:val="num" w:pos="2088"/>
          <w:tab w:val="num" w:pos="2196"/>
        </w:tabs>
        <w:autoSpaceDE w:val="0"/>
        <w:autoSpaceDN w:val="0"/>
        <w:adjustRightInd w:val="0"/>
        <w:ind w:left="270" w:firstLine="0"/>
        <w:rPr>
          <w:lang w:val="es-AR"/>
        </w:rPr>
      </w:pPr>
      <w:r>
        <w:rPr>
          <w:lang w:val="es-AR"/>
        </w:rPr>
        <w:t xml:space="preserve">Como resultado de lo anterior, resulta entonces destacable el incremento del crédito promedio que </w:t>
      </w:r>
      <w:r w:rsidR="00F34695">
        <w:rPr>
          <w:lang w:val="es-AR"/>
        </w:rPr>
        <w:t>BANDESAL</w:t>
      </w:r>
      <w:r>
        <w:rPr>
          <w:lang w:val="es-AR"/>
        </w:rPr>
        <w:t xml:space="preserve"> ayuda a proveer a la empresa pequeña y mediana en El Salvador, que pasó de unos US$22.000 y US$102.000 en 2009 a US$50.000 y US$175.000 en 2013.</w:t>
      </w:r>
    </w:p>
    <w:p w:rsidR="004B5EE8" w:rsidRPr="004B5EE8" w:rsidRDefault="00ED46BF" w:rsidP="00706E16">
      <w:pPr>
        <w:pStyle w:val="Paragraph"/>
        <w:keepNext/>
        <w:tabs>
          <w:tab w:val="clear" w:pos="720"/>
          <w:tab w:val="num" w:pos="1566"/>
          <w:tab w:val="num" w:pos="2088"/>
          <w:tab w:val="num" w:pos="2196"/>
        </w:tabs>
        <w:autoSpaceDE w:val="0"/>
        <w:autoSpaceDN w:val="0"/>
        <w:adjustRightInd w:val="0"/>
        <w:ind w:firstLine="0"/>
        <w:jc w:val="center"/>
        <w:rPr>
          <w:b/>
          <w:lang w:val="es-AR"/>
        </w:rPr>
      </w:pPr>
      <w:r>
        <w:rPr>
          <w:b/>
          <w:lang w:val="es-AR"/>
        </w:rPr>
        <w:t xml:space="preserve">Cuadro </w:t>
      </w:r>
      <w:r w:rsidR="004B5EE8" w:rsidRPr="004B5EE8">
        <w:rPr>
          <w:b/>
          <w:lang w:val="es-AR"/>
        </w:rPr>
        <w:t>3</w:t>
      </w:r>
      <w:r w:rsidR="00706E16">
        <w:rPr>
          <w:b/>
          <w:lang w:val="es-AR"/>
        </w:rPr>
        <w:t xml:space="preserve">. </w:t>
      </w:r>
      <w:r w:rsidR="004B5EE8" w:rsidRPr="004B5EE8">
        <w:rPr>
          <w:b/>
          <w:lang w:val="es-AR"/>
        </w:rPr>
        <w:t>Valor promedio de préstamos por tamaño de empresa 2009- 2014 (miles US$)</w:t>
      </w:r>
    </w:p>
    <w:p w:rsidR="004B5EE8" w:rsidRPr="004B5EE8" w:rsidRDefault="004B5EE8" w:rsidP="00ED46BF">
      <w:pPr>
        <w:pStyle w:val="Paragraph"/>
        <w:tabs>
          <w:tab w:val="clear" w:pos="720"/>
          <w:tab w:val="num" w:pos="1566"/>
          <w:tab w:val="num" w:pos="2088"/>
          <w:tab w:val="num" w:pos="2196"/>
        </w:tabs>
        <w:autoSpaceDE w:val="0"/>
        <w:autoSpaceDN w:val="0"/>
        <w:adjustRightInd w:val="0"/>
        <w:spacing w:before="0" w:after="0"/>
        <w:ind w:firstLine="0"/>
        <w:jc w:val="center"/>
        <w:rPr>
          <w:b/>
          <w:lang w:val="es-AR"/>
        </w:rPr>
      </w:pPr>
      <w:r w:rsidRPr="004B5EE8">
        <w:rPr>
          <w:b/>
          <w:noProof/>
        </w:rPr>
        <w:drawing>
          <wp:inline distT="0" distB="0" distL="0" distR="0" wp14:anchorId="5B50D2E1" wp14:editId="46B6D908">
            <wp:extent cx="5274310" cy="1150108"/>
            <wp:effectExtent l="0" t="0" r="254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274310" cy="1150108"/>
                    </a:xfrm>
                    <a:prstGeom prst="rect">
                      <a:avLst/>
                    </a:prstGeom>
                    <a:noFill/>
                    <a:ln>
                      <a:noFill/>
                    </a:ln>
                  </pic:spPr>
                </pic:pic>
              </a:graphicData>
            </a:graphic>
          </wp:inline>
        </w:drawing>
      </w:r>
    </w:p>
    <w:p w:rsidR="00646863" w:rsidRPr="0058249C" w:rsidRDefault="00646863" w:rsidP="00646863">
      <w:pPr>
        <w:pStyle w:val="Paragraph"/>
        <w:tabs>
          <w:tab w:val="clear" w:pos="720"/>
          <w:tab w:val="num" w:pos="1566"/>
          <w:tab w:val="num" w:pos="2088"/>
          <w:tab w:val="num" w:pos="2196"/>
        </w:tabs>
        <w:autoSpaceDE w:val="0"/>
        <w:autoSpaceDN w:val="0"/>
        <w:adjustRightInd w:val="0"/>
        <w:spacing w:before="0"/>
        <w:ind w:firstLine="0"/>
        <w:jc w:val="left"/>
        <w:rPr>
          <w:i/>
          <w:sz w:val="20"/>
          <w:lang w:val="es-AR"/>
        </w:rPr>
      </w:pPr>
      <w:r w:rsidRPr="0058249C">
        <w:rPr>
          <w:i/>
          <w:sz w:val="20"/>
          <w:lang w:val="es-AR"/>
        </w:rPr>
        <w:t>Fuente: BANDESAL</w:t>
      </w:r>
    </w:p>
    <w:p w:rsidR="00F4295B" w:rsidRDefault="00F4295B" w:rsidP="00ED46BF">
      <w:pPr>
        <w:pStyle w:val="Paragraph"/>
        <w:tabs>
          <w:tab w:val="clear" w:pos="720"/>
          <w:tab w:val="num" w:pos="1566"/>
          <w:tab w:val="num" w:pos="2088"/>
          <w:tab w:val="num" w:pos="2196"/>
        </w:tabs>
        <w:autoSpaceDE w:val="0"/>
        <w:autoSpaceDN w:val="0"/>
        <w:adjustRightInd w:val="0"/>
        <w:ind w:left="270" w:firstLine="0"/>
        <w:rPr>
          <w:lang w:val="es-AR"/>
        </w:rPr>
      </w:pPr>
      <w:r>
        <w:rPr>
          <w:lang w:val="es-AR"/>
        </w:rPr>
        <w:lastRenderedPageBreak/>
        <w:t xml:space="preserve">Cabe destacar aquí, que el crédito promedio a MIPYMEs provisto por </w:t>
      </w:r>
      <w:r w:rsidR="00F34695">
        <w:rPr>
          <w:lang w:val="es-AR"/>
        </w:rPr>
        <w:t>BANDESAL</w:t>
      </w:r>
      <w:r>
        <w:rPr>
          <w:lang w:val="es-AR"/>
        </w:rPr>
        <w:t xml:space="preserve"> a plazos promedios superiores a dos años es de unos US$21,828.</w:t>
      </w:r>
    </w:p>
    <w:p w:rsidR="004B5EE8" w:rsidRDefault="004B5EE8" w:rsidP="00ED46BF">
      <w:pPr>
        <w:pStyle w:val="Paragraph"/>
        <w:tabs>
          <w:tab w:val="clear" w:pos="720"/>
          <w:tab w:val="num" w:pos="810"/>
          <w:tab w:val="num" w:pos="2196"/>
        </w:tabs>
        <w:autoSpaceDE w:val="0"/>
        <w:autoSpaceDN w:val="0"/>
        <w:adjustRightInd w:val="0"/>
        <w:ind w:left="270" w:firstLine="0"/>
        <w:rPr>
          <w:lang w:val="es-AR"/>
        </w:rPr>
      </w:pPr>
      <w:r>
        <w:rPr>
          <w:lang w:val="es-AR"/>
        </w:rPr>
        <w:t xml:space="preserve">En cuanto a la distribución del apoyo brindado por </w:t>
      </w:r>
      <w:r w:rsidR="00F34695">
        <w:rPr>
          <w:lang w:val="es-AR"/>
        </w:rPr>
        <w:t>BANDESAL</w:t>
      </w:r>
      <w:r>
        <w:rPr>
          <w:lang w:val="es-AR"/>
        </w:rPr>
        <w:t xml:space="preserve"> por sector económico, se observa que el monto contratado </w:t>
      </w:r>
      <w:r w:rsidR="004A41CA">
        <w:rPr>
          <w:lang w:val="es-AR"/>
        </w:rPr>
        <w:t>por sector se ha incrementado en prácticamente todos los sectores considerando los promedios 2012-2013 vs 2009-2010. En particular, en el sector de minería y canteras se ha incrementado en 550%, electricidad, gas, agua y servicios sanitarios un 326%, transporte, almacenaje y comunicaciones un 208%, y el total general en un 63% en promedio entre los períodos referidos.</w:t>
      </w:r>
    </w:p>
    <w:p w:rsidR="004A41CA" w:rsidRPr="00390237" w:rsidRDefault="00ED46BF" w:rsidP="00AA49ED">
      <w:pPr>
        <w:pStyle w:val="Paragraph"/>
        <w:tabs>
          <w:tab w:val="clear" w:pos="720"/>
          <w:tab w:val="num" w:pos="1566"/>
          <w:tab w:val="num" w:pos="2088"/>
          <w:tab w:val="num" w:pos="2196"/>
        </w:tabs>
        <w:autoSpaceDE w:val="0"/>
        <w:autoSpaceDN w:val="0"/>
        <w:adjustRightInd w:val="0"/>
        <w:ind w:firstLine="0"/>
        <w:jc w:val="center"/>
        <w:rPr>
          <w:b/>
          <w:lang w:val="es-AR"/>
        </w:rPr>
      </w:pPr>
      <w:r>
        <w:rPr>
          <w:b/>
          <w:lang w:val="es-AR"/>
        </w:rPr>
        <w:t xml:space="preserve">Cuadro </w:t>
      </w:r>
      <w:r w:rsidR="004A41CA" w:rsidRPr="00390237">
        <w:rPr>
          <w:b/>
          <w:lang w:val="es-AR"/>
        </w:rPr>
        <w:t>4</w:t>
      </w:r>
      <w:r w:rsidR="00AA49ED">
        <w:rPr>
          <w:b/>
          <w:lang w:val="es-AR"/>
        </w:rPr>
        <w:t>. Mont</w:t>
      </w:r>
      <w:r w:rsidR="004A41CA" w:rsidRPr="00390237">
        <w:rPr>
          <w:b/>
          <w:lang w:val="es-AR"/>
        </w:rPr>
        <w:t xml:space="preserve">o </w:t>
      </w:r>
      <w:r w:rsidR="00AA49ED">
        <w:rPr>
          <w:b/>
          <w:lang w:val="es-AR"/>
        </w:rPr>
        <w:t xml:space="preserve">promedio </w:t>
      </w:r>
      <w:r w:rsidR="004A41CA" w:rsidRPr="00390237">
        <w:rPr>
          <w:b/>
          <w:lang w:val="es-AR"/>
        </w:rPr>
        <w:t>contratado por sector</w:t>
      </w:r>
    </w:p>
    <w:p w:rsidR="004A41CA" w:rsidRDefault="004A41CA" w:rsidP="00AA49ED">
      <w:pPr>
        <w:pStyle w:val="Paragraph"/>
        <w:tabs>
          <w:tab w:val="clear" w:pos="720"/>
          <w:tab w:val="num" w:pos="1566"/>
          <w:tab w:val="num" w:pos="2088"/>
          <w:tab w:val="num" w:pos="2196"/>
        </w:tabs>
        <w:autoSpaceDE w:val="0"/>
        <w:autoSpaceDN w:val="0"/>
        <w:adjustRightInd w:val="0"/>
        <w:spacing w:before="0" w:after="0"/>
        <w:ind w:firstLine="0"/>
        <w:rPr>
          <w:lang w:val="es-AR"/>
        </w:rPr>
      </w:pPr>
      <w:r w:rsidRPr="004A41CA">
        <w:rPr>
          <w:noProof/>
        </w:rPr>
        <w:drawing>
          <wp:inline distT="0" distB="0" distL="0" distR="0" wp14:anchorId="0F041A8C" wp14:editId="2B7B183F">
            <wp:extent cx="5274310" cy="1154022"/>
            <wp:effectExtent l="0" t="0" r="2540" b="8255"/>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5274310" cy="1154022"/>
                    </a:xfrm>
                    <a:prstGeom prst="rect">
                      <a:avLst/>
                    </a:prstGeom>
                    <a:noFill/>
                    <a:ln>
                      <a:noFill/>
                    </a:ln>
                  </pic:spPr>
                </pic:pic>
              </a:graphicData>
            </a:graphic>
          </wp:inline>
        </w:drawing>
      </w:r>
    </w:p>
    <w:p w:rsidR="00646863" w:rsidRPr="0058249C" w:rsidRDefault="00646863" w:rsidP="00AA49ED">
      <w:pPr>
        <w:pStyle w:val="Paragraph"/>
        <w:tabs>
          <w:tab w:val="clear" w:pos="720"/>
          <w:tab w:val="num" w:pos="1566"/>
          <w:tab w:val="num" w:pos="2088"/>
          <w:tab w:val="num" w:pos="2196"/>
        </w:tabs>
        <w:autoSpaceDE w:val="0"/>
        <w:autoSpaceDN w:val="0"/>
        <w:adjustRightInd w:val="0"/>
        <w:spacing w:before="0" w:after="0"/>
        <w:ind w:firstLine="0"/>
        <w:jc w:val="left"/>
        <w:rPr>
          <w:i/>
          <w:sz w:val="20"/>
          <w:lang w:val="es-AR"/>
        </w:rPr>
      </w:pPr>
      <w:r w:rsidRPr="0058249C">
        <w:rPr>
          <w:i/>
          <w:sz w:val="20"/>
          <w:lang w:val="es-AR"/>
        </w:rPr>
        <w:t>Fuente: BANDESAL</w:t>
      </w:r>
    </w:p>
    <w:p w:rsidR="004A41CA" w:rsidRDefault="004A41CA" w:rsidP="00ED46BF">
      <w:pPr>
        <w:pStyle w:val="Paragraph"/>
        <w:tabs>
          <w:tab w:val="clear" w:pos="720"/>
          <w:tab w:val="num" w:pos="1566"/>
          <w:tab w:val="num" w:pos="2088"/>
          <w:tab w:val="num" w:pos="2196"/>
        </w:tabs>
        <w:autoSpaceDE w:val="0"/>
        <w:autoSpaceDN w:val="0"/>
        <w:adjustRightInd w:val="0"/>
        <w:ind w:left="270" w:firstLine="0"/>
        <w:rPr>
          <w:lang w:val="es-AR"/>
        </w:rPr>
      </w:pPr>
      <w:r>
        <w:rPr>
          <w:lang w:val="es-AR"/>
        </w:rPr>
        <w:t xml:space="preserve">El número de préstamos contratado también se ha incrementado, y como consecuencia, también el monto promedio contratado en un 46% 2012-2013 </w:t>
      </w:r>
      <w:r w:rsidR="00640094">
        <w:rPr>
          <w:lang w:val="es-AR"/>
        </w:rPr>
        <w:t>en comparación con</w:t>
      </w:r>
      <w:r>
        <w:rPr>
          <w:lang w:val="es-AR"/>
        </w:rPr>
        <w:t xml:space="preserve"> 2009-2010, con una  expansión típica de 31%.</w:t>
      </w:r>
    </w:p>
    <w:p w:rsidR="004A41CA" w:rsidRPr="004A41CA" w:rsidRDefault="00ED46BF" w:rsidP="00AA49ED">
      <w:pPr>
        <w:pStyle w:val="Paragraph"/>
        <w:tabs>
          <w:tab w:val="clear" w:pos="720"/>
          <w:tab w:val="num" w:pos="1566"/>
          <w:tab w:val="num" w:pos="2088"/>
          <w:tab w:val="num" w:pos="2196"/>
        </w:tabs>
        <w:autoSpaceDE w:val="0"/>
        <w:autoSpaceDN w:val="0"/>
        <w:adjustRightInd w:val="0"/>
        <w:ind w:firstLine="0"/>
        <w:jc w:val="center"/>
        <w:rPr>
          <w:b/>
          <w:lang w:val="es-AR"/>
        </w:rPr>
      </w:pPr>
      <w:r>
        <w:rPr>
          <w:b/>
          <w:lang w:val="es-AR"/>
        </w:rPr>
        <w:t xml:space="preserve">Cuadro </w:t>
      </w:r>
      <w:r w:rsidR="004A41CA" w:rsidRPr="004A41CA">
        <w:rPr>
          <w:b/>
          <w:lang w:val="es-AR"/>
        </w:rPr>
        <w:t>5</w:t>
      </w:r>
      <w:r w:rsidR="00AA49ED">
        <w:rPr>
          <w:b/>
          <w:lang w:val="es-AR"/>
        </w:rPr>
        <w:t>. Número</w:t>
      </w:r>
      <w:r w:rsidR="004A41CA" w:rsidRPr="004A41CA">
        <w:rPr>
          <w:b/>
          <w:lang w:val="es-AR"/>
        </w:rPr>
        <w:t xml:space="preserve"> de crédito contratado por sector</w:t>
      </w:r>
    </w:p>
    <w:p w:rsidR="004A41CA" w:rsidRDefault="004A41CA" w:rsidP="00AA49ED">
      <w:pPr>
        <w:pStyle w:val="Paragraph"/>
        <w:tabs>
          <w:tab w:val="clear" w:pos="720"/>
          <w:tab w:val="num" w:pos="1566"/>
          <w:tab w:val="num" w:pos="2088"/>
          <w:tab w:val="num" w:pos="2196"/>
        </w:tabs>
        <w:autoSpaceDE w:val="0"/>
        <w:autoSpaceDN w:val="0"/>
        <w:adjustRightInd w:val="0"/>
        <w:spacing w:after="0"/>
        <w:ind w:firstLine="0"/>
        <w:jc w:val="center"/>
        <w:rPr>
          <w:lang w:val="es-AR"/>
        </w:rPr>
      </w:pPr>
      <w:r w:rsidRPr="004A41CA">
        <w:rPr>
          <w:noProof/>
        </w:rPr>
        <w:drawing>
          <wp:inline distT="0" distB="0" distL="0" distR="0" wp14:anchorId="353BA373" wp14:editId="4BFA3384">
            <wp:extent cx="5274310" cy="1138294"/>
            <wp:effectExtent l="0" t="0" r="2540" b="508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5274310" cy="1138294"/>
                    </a:xfrm>
                    <a:prstGeom prst="rect">
                      <a:avLst/>
                    </a:prstGeom>
                    <a:noFill/>
                    <a:ln>
                      <a:noFill/>
                    </a:ln>
                  </pic:spPr>
                </pic:pic>
              </a:graphicData>
            </a:graphic>
          </wp:inline>
        </w:drawing>
      </w:r>
    </w:p>
    <w:p w:rsidR="00646863" w:rsidRPr="0058249C" w:rsidRDefault="00646863" w:rsidP="00AA49ED">
      <w:pPr>
        <w:pStyle w:val="Paragraph"/>
        <w:tabs>
          <w:tab w:val="clear" w:pos="720"/>
          <w:tab w:val="num" w:pos="1566"/>
          <w:tab w:val="num" w:pos="2088"/>
          <w:tab w:val="num" w:pos="2196"/>
        </w:tabs>
        <w:autoSpaceDE w:val="0"/>
        <w:autoSpaceDN w:val="0"/>
        <w:adjustRightInd w:val="0"/>
        <w:spacing w:before="0" w:after="0"/>
        <w:ind w:firstLine="0"/>
        <w:jc w:val="left"/>
        <w:rPr>
          <w:i/>
          <w:sz w:val="20"/>
          <w:lang w:val="es-AR"/>
        </w:rPr>
      </w:pPr>
      <w:r w:rsidRPr="0058249C">
        <w:rPr>
          <w:i/>
          <w:sz w:val="20"/>
          <w:lang w:val="es-AR"/>
        </w:rPr>
        <w:t>Fuente: BANDESAL</w:t>
      </w:r>
    </w:p>
    <w:p w:rsidR="004A41CA" w:rsidRPr="004A41CA" w:rsidRDefault="00ED46BF" w:rsidP="0076677C">
      <w:pPr>
        <w:pStyle w:val="Paragraph"/>
        <w:tabs>
          <w:tab w:val="clear" w:pos="720"/>
          <w:tab w:val="num" w:pos="1566"/>
          <w:tab w:val="num" w:pos="2088"/>
          <w:tab w:val="num" w:pos="2196"/>
        </w:tabs>
        <w:autoSpaceDE w:val="0"/>
        <w:autoSpaceDN w:val="0"/>
        <w:adjustRightInd w:val="0"/>
        <w:ind w:firstLine="0"/>
        <w:jc w:val="center"/>
        <w:rPr>
          <w:b/>
          <w:lang w:val="es-AR"/>
        </w:rPr>
      </w:pPr>
      <w:r>
        <w:rPr>
          <w:b/>
          <w:lang w:val="es-AR"/>
        </w:rPr>
        <w:t xml:space="preserve">Cuadro </w:t>
      </w:r>
      <w:r w:rsidR="004A41CA" w:rsidRPr="004A41CA">
        <w:rPr>
          <w:b/>
          <w:lang w:val="es-AR"/>
        </w:rPr>
        <w:t>6</w:t>
      </w:r>
      <w:r w:rsidR="0076677C">
        <w:rPr>
          <w:b/>
          <w:lang w:val="es-AR"/>
        </w:rPr>
        <w:t xml:space="preserve">. </w:t>
      </w:r>
      <w:r w:rsidR="004A41CA" w:rsidRPr="004A41CA">
        <w:rPr>
          <w:b/>
          <w:lang w:val="es-AR"/>
        </w:rPr>
        <w:t>Valor promedio contratado por sector</w:t>
      </w:r>
    </w:p>
    <w:p w:rsidR="004A41CA" w:rsidRDefault="004A41CA" w:rsidP="00640094">
      <w:pPr>
        <w:pStyle w:val="Paragraph"/>
        <w:tabs>
          <w:tab w:val="clear" w:pos="720"/>
          <w:tab w:val="num" w:pos="1566"/>
          <w:tab w:val="num" w:pos="2088"/>
          <w:tab w:val="num" w:pos="2196"/>
        </w:tabs>
        <w:autoSpaceDE w:val="0"/>
        <w:autoSpaceDN w:val="0"/>
        <w:adjustRightInd w:val="0"/>
        <w:spacing w:before="0" w:after="0"/>
        <w:ind w:firstLine="0"/>
        <w:rPr>
          <w:lang w:val="es-AR"/>
        </w:rPr>
      </w:pPr>
      <w:r w:rsidRPr="004A41CA">
        <w:rPr>
          <w:noProof/>
        </w:rPr>
        <w:drawing>
          <wp:inline distT="0" distB="0" distL="0" distR="0" wp14:anchorId="212D4C6D" wp14:editId="61D9B628">
            <wp:extent cx="5274310" cy="1138294"/>
            <wp:effectExtent l="0" t="0" r="2540" b="508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5274310" cy="1138294"/>
                    </a:xfrm>
                    <a:prstGeom prst="rect">
                      <a:avLst/>
                    </a:prstGeom>
                    <a:noFill/>
                    <a:ln>
                      <a:noFill/>
                    </a:ln>
                  </pic:spPr>
                </pic:pic>
              </a:graphicData>
            </a:graphic>
          </wp:inline>
        </w:drawing>
      </w:r>
    </w:p>
    <w:p w:rsidR="00646863" w:rsidRPr="0058249C" w:rsidRDefault="00646863" w:rsidP="00640094">
      <w:pPr>
        <w:pStyle w:val="Paragraph"/>
        <w:tabs>
          <w:tab w:val="clear" w:pos="720"/>
          <w:tab w:val="num" w:pos="1566"/>
          <w:tab w:val="num" w:pos="2088"/>
          <w:tab w:val="num" w:pos="2196"/>
        </w:tabs>
        <w:autoSpaceDE w:val="0"/>
        <w:autoSpaceDN w:val="0"/>
        <w:adjustRightInd w:val="0"/>
        <w:spacing w:before="0" w:after="0"/>
        <w:ind w:firstLine="0"/>
        <w:jc w:val="left"/>
        <w:rPr>
          <w:i/>
          <w:sz w:val="20"/>
          <w:lang w:val="es-AR"/>
        </w:rPr>
      </w:pPr>
      <w:r w:rsidRPr="0058249C">
        <w:rPr>
          <w:i/>
          <w:sz w:val="20"/>
          <w:lang w:val="es-AR"/>
        </w:rPr>
        <w:t>Fuente: BANDESAL</w:t>
      </w:r>
    </w:p>
    <w:p w:rsidR="004A41CA" w:rsidRDefault="00F34695" w:rsidP="00ED46BF">
      <w:pPr>
        <w:pStyle w:val="Paragraph"/>
        <w:tabs>
          <w:tab w:val="clear" w:pos="720"/>
          <w:tab w:val="num" w:pos="810"/>
          <w:tab w:val="num" w:pos="2196"/>
        </w:tabs>
        <w:autoSpaceDE w:val="0"/>
        <w:autoSpaceDN w:val="0"/>
        <w:adjustRightInd w:val="0"/>
        <w:ind w:left="270" w:firstLine="0"/>
        <w:rPr>
          <w:lang w:val="es-AR"/>
        </w:rPr>
      </w:pPr>
      <w:r>
        <w:rPr>
          <w:lang w:val="es-AR"/>
        </w:rPr>
        <w:t>BANDESAL</w:t>
      </w:r>
      <w:r w:rsidR="004A41CA">
        <w:rPr>
          <w:lang w:val="es-AR"/>
        </w:rPr>
        <w:t xml:space="preserve"> realiza además operaciones de crédito directo (primer piso), </w:t>
      </w:r>
      <w:r w:rsidR="004A71D3">
        <w:rPr>
          <w:lang w:val="es-AR"/>
        </w:rPr>
        <w:t>apoyando proyecto de mayor envergadura, como así  también operando a través del Fondo de Desarrollo Económico (FDE).</w:t>
      </w:r>
    </w:p>
    <w:p w:rsidR="004A71D3" w:rsidRPr="004A71D3" w:rsidRDefault="00ED46BF" w:rsidP="00373E9A">
      <w:pPr>
        <w:pStyle w:val="Paragraph"/>
        <w:keepNext/>
        <w:tabs>
          <w:tab w:val="clear" w:pos="720"/>
          <w:tab w:val="num" w:pos="1566"/>
          <w:tab w:val="num" w:pos="2088"/>
          <w:tab w:val="num" w:pos="2196"/>
        </w:tabs>
        <w:autoSpaceDE w:val="0"/>
        <w:autoSpaceDN w:val="0"/>
        <w:adjustRightInd w:val="0"/>
        <w:ind w:firstLine="0"/>
        <w:jc w:val="center"/>
        <w:rPr>
          <w:b/>
          <w:lang w:val="es-AR"/>
        </w:rPr>
      </w:pPr>
      <w:r>
        <w:rPr>
          <w:b/>
          <w:lang w:val="es-AR"/>
        </w:rPr>
        <w:lastRenderedPageBreak/>
        <w:t xml:space="preserve">Cuadro </w:t>
      </w:r>
      <w:r w:rsidR="004A71D3" w:rsidRPr="004A71D3">
        <w:rPr>
          <w:b/>
          <w:lang w:val="es-AR"/>
        </w:rPr>
        <w:t>7</w:t>
      </w:r>
      <w:r w:rsidR="00373E9A">
        <w:rPr>
          <w:b/>
          <w:lang w:val="es-AR"/>
        </w:rPr>
        <w:t xml:space="preserve">. </w:t>
      </w:r>
      <w:r w:rsidR="004A71D3" w:rsidRPr="004A71D3">
        <w:rPr>
          <w:b/>
          <w:lang w:val="es-AR"/>
        </w:rPr>
        <w:t xml:space="preserve">Crédito directo </w:t>
      </w:r>
      <w:r w:rsidR="00F34695">
        <w:rPr>
          <w:b/>
          <w:lang w:val="es-AR"/>
        </w:rPr>
        <w:t>BANDESAL</w:t>
      </w:r>
    </w:p>
    <w:p w:rsidR="004A71D3" w:rsidRDefault="004A71D3" w:rsidP="004A71D3">
      <w:pPr>
        <w:pStyle w:val="Paragraph"/>
        <w:tabs>
          <w:tab w:val="clear" w:pos="720"/>
          <w:tab w:val="num" w:pos="1566"/>
          <w:tab w:val="num" w:pos="2088"/>
          <w:tab w:val="num" w:pos="2196"/>
        </w:tabs>
        <w:autoSpaceDE w:val="0"/>
        <w:autoSpaceDN w:val="0"/>
        <w:adjustRightInd w:val="0"/>
        <w:ind w:firstLine="0"/>
        <w:rPr>
          <w:lang w:val="es-AR"/>
        </w:rPr>
      </w:pPr>
      <w:r w:rsidRPr="004A71D3">
        <w:rPr>
          <w:noProof/>
        </w:rPr>
        <w:drawing>
          <wp:inline distT="0" distB="0" distL="0" distR="0" wp14:anchorId="248B0CBC" wp14:editId="057451A8">
            <wp:extent cx="5278029" cy="2059388"/>
            <wp:effectExtent l="0" t="0" r="0"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5274310" cy="2057937"/>
                    </a:xfrm>
                    <a:prstGeom prst="rect">
                      <a:avLst/>
                    </a:prstGeom>
                    <a:noFill/>
                    <a:ln>
                      <a:noFill/>
                    </a:ln>
                  </pic:spPr>
                </pic:pic>
              </a:graphicData>
            </a:graphic>
          </wp:inline>
        </w:drawing>
      </w:r>
    </w:p>
    <w:p w:rsidR="00646863" w:rsidRPr="0058249C" w:rsidRDefault="00646863" w:rsidP="00646863">
      <w:pPr>
        <w:pStyle w:val="Paragraph"/>
        <w:tabs>
          <w:tab w:val="clear" w:pos="720"/>
          <w:tab w:val="num" w:pos="1566"/>
          <w:tab w:val="num" w:pos="2088"/>
          <w:tab w:val="num" w:pos="2196"/>
        </w:tabs>
        <w:autoSpaceDE w:val="0"/>
        <w:autoSpaceDN w:val="0"/>
        <w:adjustRightInd w:val="0"/>
        <w:spacing w:before="0"/>
        <w:ind w:firstLine="0"/>
        <w:jc w:val="left"/>
        <w:rPr>
          <w:i/>
          <w:sz w:val="20"/>
          <w:lang w:val="es-AR"/>
        </w:rPr>
      </w:pPr>
      <w:r w:rsidRPr="0058249C">
        <w:rPr>
          <w:i/>
          <w:sz w:val="20"/>
          <w:lang w:val="es-AR"/>
        </w:rPr>
        <w:t>Fuente: BANDESAL</w:t>
      </w:r>
    </w:p>
    <w:p w:rsidR="004A71D3" w:rsidRDefault="004A71D3" w:rsidP="004A71D3">
      <w:pPr>
        <w:pStyle w:val="Paragraph"/>
        <w:tabs>
          <w:tab w:val="clear" w:pos="720"/>
          <w:tab w:val="num" w:pos="1566"/>
          <w:tab w:val="num" w:pos="2088"/>
          <w:tab w:val="num" w:pos="2196"/>
        </w:tabs>
        <w:autoSpaceDE w:val="0"/>
        <w:autoSpaceDN w:val="0"/>
        <w:adjustRightInd w:val="0"/>
        <w:ind w:firstLine="0"/>
        <w:rPr>
          <w:lang w:val="es-AR"/>
        </w:rPr>
      </w:pPr>
    </w:p>
    <w:p w:rsidR="00ED46BF" w:rsidRDefault="00ED46BF" w:rsidP="00373E9A">
      <w:pPr>
        <w:pStyle w:val="Paragraph"/>
        <w:tabs>
          <w:tab w:val="clear" w:pos="720"/>
          <w:tab w:val="num" w:pos="1566"/>
          <w:tab w:val="num" w:pos="2088"/>
          <w:tab w:val="num" w:pos="2196"/>
        </w:tabs>
        <w:autoSpaceDE w:val="0"/>
        <w:autoSpaceDN w:val="0"/>
        <w:adjustRightInd w:val="0"/>
        <w:ind w:firstLine="0"/>
        <w:jc w:val="center"/>
        <w:rPr>
          <w:b/>
          <w:lang w:val="es-AR"/>
        </w:rPr>
      </w:pPr>
      <w:r>
        <w:rPr>
          <w:b/>
          <w:lang w:val="es-AR"/>
        </w:rPr>
        <w:t xml:space="preserve">Cuadro </w:t>
      </w:r>
      <w:r w:rsidR="004A71D3" w:rsidRPr="004A71D3">
        <w:rPr>
          <w:b/>
          <w:lang w:val="es-AR"/>
        </w:rPr>
        <w:t>8</w:t>
      </w:r>
      <w:r w:rsidR="00373E9A">
        <w:rPr>
          <w:b/>
          <w:lang w:val="es-AR"/>
        </w:rPr>
        <w:t>.</w:t>
      </w:r>
      <w:r>
        <w:rPr>
          <w:b/>
          <w:lang w:val="es-AR"/>
        </w:rPr>
        <w:t xml:space="preserve"> </w:t>
      </w:r>
      <w:r w:rsidRPr="004A71D3">
        <w:rPr>
          <w:b/>
          <w:lang w:val="es-AR"/>
        </w:rPr>
        <w:t>Gestión  comercial del FDE</w:t>
      </w:r>
    </w:p>
    <w:p w:rsidR="004A71D3" w:rsidRPr="004A71D3" w:rsidRDefault="004A71D3" w:rsidP="00373E9A">
      <w:pPr>
        <w:pStyle w:val="Paragraph"/>
        <w:tabs>
          <w:tab w:val="clear" w:pos="720"/>
          <w:tab w:val="num" w:pos="1566"/>
          <w:tab w:val="num" w:pos="2088"/>
          <w:tab w:val="num" w:pos="2196"/>
        </w:tabs>
        <w:autoSpaceDE w:val="0"/>
        <w:autoSpaceDN w:val="0"/>
        <w:adjustRightInd w:val="0"/>
        <w:spacing w:before="0" w:after="0"/>
        <w:ind w:firstLine="0"/>
        <w:jc w:val="center"/>
        <w:rPr>
          <w:b/>
          <w:lang w:val="es-AR"/>
        </w:rPr>
      </w:pPr>
      <w:r w:rsidRPr="004A71D3">
        <w:rPr>
          <w:noProof/>
        </w:rPr>
        <w:drawing>
          <wp:inline distT="0" distB="0" distL="0" distR="0" wp14:anchorId="4899A34C" wp14:editId="491A84EF">
            <wp:extent cx="3434963" cy="1661823"/>
            <wp:effectExtent l="0" t="0" r="0" b="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3438797" cy="1663678"/>
                    </a:xfrm>
                    <a:prstGeom prst="rect">
                      <a:avLst/>
                    </a:prstGeom>
                    <a:noFill/>
                    <a:ln>
                      <a:noFill/>
                    </a:ln>
                  </pic:spPr>
                </pic:pic>
              </a:graphicData>
            </a:graphic>
          </wp:inline>
        </w:drawing>
      </w:r>
    </w:p>
    <w:p w:rsidR="00646863" w:rsidRPr="0058249C" w:rsidRDefault="00373E9A" w:rsidP="00373E9A">
      <w:pPr>
        <w:pStyle w:val="Paragraph"/>
        <w:tabs>
          <w:tab w:val="clear" w:pos="720"/>
          <w:tab w:val="num" w:pos="1566"/>
          <w:tab w:val="num" w:pos="2088"/>
          <w:tab w:val="num" w:pos="2196"/>
        </w:tabs>
        <w:autoSpaceDE w:val="0"/>
        <w:autoSpaceDN w:val="0"/>
        <w:adjustRightInd w:val="0"/>
        <w:spacing w:before="0" w:after="0"/>
        <w:ind w:firstLine="0"/>
        <w:jc w:val="left"/>
        <w:rPr>
          <w:i/>
          <w:sz w:val="20"/>
          <w:lang w:val="es-AR"/>
        </w:rPr>
      </w:pPr>
      <w:r>
        <w:rPr>
          <w:i/>
          <w:sz w:val="20"/>
          <w:lang w:val="es-AR"/>
        </w:rPr>
        <w:t xml:space="preserve">                      </w:t>
      </w:r>
      <w:r w:rsidR="00646863" w:rsidRPr="0058249C">
        <w:rPr>
          <w:i/>
          <w:sz w:val="20"/>
          <w:lang w:val="es-AR"/>
        </w:rPr>
        <w:t>Fuente: BANDESAL</w:t>
      </w:r>
    </w:p>
    <w:p w:rsidR="000F216A" w:rsidRDefault="000F216A" w:rsidP="00ED46BF">
      <w:pPr>
        <w:pStyle w:val="Paragraph"/>
        <w:tabs>
          <w:tab w:val="clear" w:pos="720"/>
          <w:tab w:val="num" w:pos="1566"/>
          <w:tab w:val="num" w:pos="2088"/>
          <w:tab w:val="num" w:pos="2196"/>
        </w:tabs>
        <w:autoSpaceDE w:val="0"/>
        <w:autoSpaceDN w:val="0"/>
        <w:adjustRightInd w:val="0"/>
        <w:ind w:left="270" w:firstLine="0"/>
        <w:rPr>
          <w:lang w:val="es-AR"/>
        </w:rPr>
      </w:pPr>
      <w:r>
        <w:rPr>
          <w:lang w:val="es-AR"/>
        </w:rPr>
        <w:t>Este tipo de operaciones resulta particularmente importante para el sector industrial y de energía  como deja de relieve el siguiente cuadro.</w:t>
      </w:r>
    </w:p>
    <w:p w:rsidR="000F216A" w:rsidRPr="000F216A" w:rsidRDefault="00ED46BF" w:rsidP="00BF5841">
      <w:pPr>
        <w:pStyle w:val="Paragraph"/>
        <w:tabs>
          <w:tab w:val="clear" w:pos="720"/>
          <w:tab w:val="num" w:pos="1566"/>
          <w:tab w:val="num" w:pos="2088"/>
          <w:tab w:val="num" w:pos="2196"/>
        </w:tabs>
        <w:autoSpaceDE w:val="0"/>
        <w:autoSpaceDN w:val="0"/>
        <w:adjustRightInd w:val="0"/>
        <w:ind w:firstLine="0"/>
        <w:jc w:val="center"/>
        <w:rPr>
          <w:b/>
          <w:lang w:val="es-AR"/>
        </w:rPr>
      </w:pPr>
      <w:r>
        <w:rPr>
          <w:b/>
          <w:lang w:val="es-AR"/>
        </w:rPr>
        <w:t xml:space="preserve">Cuadro </w:t>
      </w:r>
      <w:r w:rsidR="000F216A" w:rsidRPr="000F216A">
        <w:rPr>
          <w:b/>
          <w:lang w:val="es-AR"/>
        </w:rPr>
        <w:t>9</w:t>
      </w:r>
      <w:r w:rsidR="00BF5841">
        <w:rPr>
          <w:b/>
          <w:lang w:val="es-AR"/>
        </w:rPr>
        <w:t xml:space="preserve">. </w:t>
      </w:r>
      <w:r w:rsidR="000F216A" w:rsidRPr="000F216A">
        <w:rPr>
          <w:b/>
          <w:lang w:val="es-AR"/>
        </w:rPr>
        <w:t>Crédito directo a la industria y el sector energía</w:t>
      </w:r>
    </w:p>
    <w:p w:rsidR="000F216A" w:rsidRDefault="000F216A" w:rsidP="00BF5841">
      <w:pPr>
        <w:pStyle w:val="Paragraph"/>
        <w:tabs>
          <w:tab w:val="clear" w:pos="720"/>
          <w:tab w:val="num" w:pos="1566"/>
          <w:tab w:val="num" w:pos="2088"/>
          <w:tab w:val="num" w:pos="2196"/>
        </w:tabs>
        <w:autoSpaceDE w:val="0"/>
        <w:autoSpaceDN w:val="0"/>
        <w:adjustRightInd w:val="0"/>
        <w:spacing w:before="0" w:after="0"/>
        <w:ind w:firstLine="0"/>
        <w:rPr>
          <w:lang w:val="es-AR"/>
        </w:rPr>
      </w:pPr>
      <w:r w:rsidRPr="000F216A">
        <w:rPr>
          <w:noProof/>
        </w:rPr>
        <w:drawing>
          <wp:inline distT="0" distB="0" distL="0" distR="0" wp14:anchorId="64E93455" wp14:editId="61899145">
            <wp:extent cx="5274310" cy="1207296"/>
            <wp:effectExtent l="0" t="0" r="2540" b="0"/>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5274310" cy="1207296"/>
                    </a:xfrm>
                    <a:prstGeom prst="rect">
                      <a:avLst/>
                    </a:prstGeom>
                    <a:noFill/>
                    <a:ln>
                      <a:noFill/>
                    </a:ln>
                  </pic:spPr>
                </pic:pic>
              </a:graphicData>
            </a:graphic>
          </wp:inline>
        </w:drawing>
      </w:r>
    </w:p>
    <w:p w:rsidR="00646863" w:rsidRPr="0058249C" w:rsidRDefault="00646863" w:rsidP="00BF5841">
      <w:pPr>
        <w:pStyle w:val="Paragraph"/>
        <w:tabs>
          <w:tab w:val="clear" w:pos="720"/>
          <w:tab w:val="num" w:pos="1566"/>
          <w:tab w:val="num" w:pos="2088"/>
          <w:tab w:val="num" w:pos="2196"/>
        </w:tabs>
        <w:autoSpaceDE w:val="0"/>
        <w:autoSpaceDN w:val="0"/>
        <w:adjustRightInd w:val="0"/>
        <w:spacing w:before="0" w:after="0"/>
        <w:ind w:firstLine="0"/>
        <w:jc w:val="left"/>
        <w:rPr>
          <w:i/>
          <w:sz w:val="20"/>
          <w:lang w:val="es-AR"/>
        </w:rPr>
      </w:pPr>
      <w:r w:rsidRPr="0058249C">
        <w:rPr>
          <w:i/>
          <w:sz w:val="20"/>
          <w:lang w:val="es-AR"/>
        </w:rPr>
        <w:t>Fuente: BANDESAL</w:t>
      </w:r>
    </w:p>
    <w:p w:rsidR="00573AFC" w:rsidRPr="00390237" w:rsidRDefault="00F4295B" w:rsidP="00390237">
      <w:pPr>
        <w:rPr>
          <w:rFonts w:ascii="Times New Roman" w:eastAsia="Times New Roman" w:hAnsi="Times New Roman" w:cs="Times New Roman"/>
          <w:sz w:val="24"/>
          <w:szCs w:val="20"/>
          <w:lang w:val="es-AR"/>
        </w:rPr>
      </w:pPr>
      <w:r>
        <w:rPr>
          <w:lang w:val="es-AR"/>
        </w:rPr>
        <w:br w:type="page"/>
      </w:r>
    </w:p>
    <w:p w:rsidR="003954F6" w:rsidRPr="00933B53" w:rsidRDefault="00ED46BF" w:rsidP="00ED46BF">
      <w:pPr>
        <w:pStyle w:val="Chapter"/>
        <w:tabs>
          <w:tab w:val="clear" w:pos="648"/>
          <w:tab w:val="clear" w:pos="1440"/>
          <w:tab w:val="left" w:pos="720"/>
        </w:tabs>
        <w:spacing w:before="120" w:after="120"/>
        <w:ind w:firstLine="0"/>
        <w:rPr>
          <w:lang w:val="es-ES"/>
        </w:rPr>
      </w:pPr>
      <w:bookmarkStart w:id="14" w:name="_Toc388181603"/>
      <w:bookmarkStart w:id="15" w:name="_Toc388181674"/>
      <w:r w:rsidRPr="00933B53">
        <w:rPr>
          <w:lang w:val="es-ES"/>
        </w:rPr>
        <w:lastRenderedPageBreak/>
        <w:t xml:space="preserve">Anexo </w:t>
      </w:r>
      <w:r>
        <w:rPr>
          <w:lang w:val="es-ES"/>
        </w:rPr>
        <w:t xml:space="preserve">II: </w:t>
      </w:r>
      <w:r w:rsidR="00573AFC" w:rsidRPr="00933B53">
        <w:rPr>
          <w:lang w:val="es-ES"/>
        </w:rPr>
        <w:t>Gráficos</w:t>
      </w:r>
      <w:r>
        <w:rPr>
          <w:lang w:val="es-ES"/>
        </w:rPr>
        <w:t xml:space="preserve"> encuestas con instituciones financieras</w:t>
      </w:r>
      <w:bookmarkEnd w:id="14"/>
      <w:bookmarkEnd w:id="15"/>
      <w:r>
        <w:rPr>
          <w:lang w:val="es-ES"/>
        </w:rPr>
        <w:t xml:space="preserve"> </w:t>
      </w:r>
    </w:p>
    <w:p w:rsidR="00716901" w:rsidRPr="00933B53" w:rsidRDefault="00716901" w:rsidP="003D6076">
      <w:pPr>
        <w:pStyle w:val="Paragraph"/>
        <w:tabs>
          <w:tab w:val="clear" w:pos="720"/>
          <w:tab w:val="num" w:pos="1566"/>
          <w:tab w:val="num" w:pos="2088"/>
          <w:tab w:val="num" w:pos="2196"/>
        </w:tabs>
        <w:autoSpaceDE w:val="0"/>
        <w:autoSpaceDN w:val="0"/>
        <w:adjustRightInd w:val="0"/>
        <w:spacing w:before="0" w:after="0"/>
        <w:ind w:firstLine="0"/>
        <w:jc w:val="center"/>
        <w:rPr>
          <w:b/>
          <w:lang w:val="es-ES"/>
        </w:rPr>
      </w:pPr>
      <w:r w:rsidRPr="00933B53">
        <w:rPr>
          <w:b/>
          <w:lang w:val="es-ES"/>
        </w:rPr>
        <w:t xml:space="preserve">Gráfico </w:t>
      </w:r>
      <w:r w:rsidR="004A558D" w:rsidRPr="00933B53">
        <w:rPr>
          <w:b/>
          <w:lang w:val="es-ES"/>
        </w:rPr>
        <w:t>1</w:t>
      </w:r>
      <w:r w:rsidR="00A779AB">
        <w:rPr>
          <w:b/>
          <w:lang w:val="es-ES"/>
        </w:rPr>
        <w:t>.</w:t>
      </w:r>
      <w:r w:rsidR="003D6076">
        <w:rPr>
          <w:b/>
          <w:lang w:val="es-ES"/>
        </w:rPr>
        <w:t xml:space="preserve"> </w:t>
      </w:r>
      <w:r w:rsidRPr="00933B53">
        <w:rPr>
          <w:b/>
          <w:lang w:val="es-ES"/>
        </w:rPr>
        <w:t>Expectativas de crecimiento y percepción de riesgo</w:t>
      </w:r>
      <w:r w:rsidR="0075419D" w:rsidRPr="00933B53">
        <w:rPr>
          <w:b/>
          <w:lang w:val="es-ES"/>
        </w:rPr>
        <w:t>, por sectores de mayor contribución a la economía y a nivel agregado.</w:t>
      </w:r>
    </w:p>
    <w:p w:rsidR="001A7D8F" w:rsidRPr="00933B53" w:rsidRDefault="006B02ED" w:rsidP="00A513D1">
      <w:pPr>
        <w:pStyle w:val="Paragraph"/>
        <w:tabs>
          <w:tab w:val="clear" w:pos="720"/>
          <w:tab w:val="num" w:pos="1566"/>
          <w:tab w:val="num" w:pos="2088"/>
          <w:tab w:val="num" w:pos="2196"/>
        </w:tabs>
        <w:autoSpaceDE w:val="0"/>
        <w:autoSpaceDN w:val="0"/>
        <w:adjustRightInd w:val="0"/>
        <w:spacing w:before="0" w:after="0"/>
        <w:ind w:firstLine="0"/>
        <w:jc w:val="center"/>
        <w:rPr>
          <w:lang w:val="es-ES"/>
        </w:rPr>
      </w:pPr>
      <w:r w:rsidRPr="00933B53">
        <w:rPr>
          <w:noProof/>
        </w:rPr>
        <w:drawing>
          <wp:inline distT="0" distB="0" distL="0" distR="0" wp14:anchorId="411503FE" wp14:editId="5E46EBAE">
            <wp:extent cx="4753155" cy="334299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4753373" cy="3343143"/>
                    </a:xfrm>
                    <a:prstGeom prst="rect">
                      <a:avLst/>
                    </a:prstGeom>
                    <a:noFill/>
                    <a:ln>
                      <a:noFill/>
                    </a:ln>
                  </pic:spPr>
                </pic:pic>
              </a:graphicData>
            </a:graphic>
          </wp:inline>
        </w:drawing>
      </w:r>
    </w:p>
    <w:p w:rsidR="00A513D1" w:rsidRPr="00A779AB" w:rsidRDefault="0075419D" w:rsidP="00A779AB">
      <w:pPr>
        <w:pStyle w:val="Paragraph"/>
        <w:tabs>
          <w:tab w:val="clear" w:pos="720"/>
          <w:tab w:val="num" w:pos="1566"/>
          <w:tab w:val="num" w:pos="2088"/>
          <w:tab w:val="num" w:pos="2196"/>
        </w:tabs>
        <w:autoSpaceDE w:val="0"/>
        <w:autoSpaceDN w:val="0"/>
        <w:adjustRightInd w:val="0"/>
        <w:spacing w:before="0" w:after="0"/>
        <w:ind w:firstLine="0"/>
        <w:jc w:val="left"/>
        <w:rPr>
          <w:i/>
          <w:sz w:val="20"/>
          <w:lang w:val="es-ES"/>
        </w:rPr>
      </w:pPr>
      <w:r w:rsidRPr="00A779AB">
        <w:rPr>
          <w:i/>
          <w:sz w:val="20"/>
          <w:lang w:val="es-ES"/>
        </w:rPr>
        <w:t xml:space="preserve">Fuente: </w:t>
      </w:r>
      <w:r w:rsidR="00A779AB" w:rsidRPr="00A779AB">
        <w:rPr>
          <w:i/>
          <w:sz w:val="20"/>
          <w:lang w:val="es-ES"/>
        </w:rPr>
        <w:t>Elaboración propia</w:t>
      </w:r>
      <w:r w:rsidR="00ED46BF" w:rsidRPr="00A779AB">
        <w:rPr>
          <w:i/>
          <w:sz w:val="20"/>
          <w:lang w:val="es-ES"/>
        </w:rPr>
        <w:t xml:space="preserve"> </w:t>
      </w:r>
      <w:r w:rsidR="003D6076">
        <w:rPr>
          <w:i/>
          <w:sz w:val="20"/>
          <w:lang w:val="es-ES"/>
        </w:rPr>
        <w:t>en base a encuestas</w:t>
      </w:r>
    </w:p>
    <w:p w:rsidR="00573AFC" w:rsidRPr="00933B53" w:rsidRDefault="00573AFC" w:rsidP="00573AFC">
      <w:pPr>
        <w:pStyle w:val="Paragraph"/>
        <w:tabs>
          <w:tab w:val="clear" w:pos="720"/>
          <w:tab w:val="num" w:pos="1566"/>
          <w:tab w:val="num" w:pos="2088"/>
          <w:tab w:val="num" w:pos="2196"/>
        </w:tabs>
        <w:autoSpaceDE w:val="0"/>
        <w:autoSpaceDN w:val="0"/>
        <w:adjustRightInd w:val="0"/>
        <w:spacing w:before="0" w:after="0"/>
        <w:ind w:firstLine="0"/>
        <w:rPr>
          <w:b/>
          <w:lang w:val="es-ES"/>
        </w:rPr>
      </w:pPr>
    </w:p>
    <w:p w:rsidR="002D6007" w:rsidRPr="00933B53" w:rsidRDefault="002D6007" w:rsidP="003D6076">
      <w:pPr>
        <w:pStyle w:val="Paragraph"/>
        <w:tabs>
          <w:tab w:val="clear" w:pos="720"/>
          <w:tab w:val="num" w:pos="1566"/>
          <w:tab w:val="num" w:pos="2088"/>
          <w:tab w:val="num" w:pos="2196"/>
        </w:tabs>
        <w:autoSpaceDE w:val="0"/>
        <w:autoSpaceDN w:val="0"/>
        <w:adjustRightInd w:val="0"/>
        <w:spacing w:before="0" w:after="0"/>
        <w:ind w:firstLine="0"/>
        <w:jc w:val="center"/>
        <w:rPr>
          <w:b/>
          <w:lang w:val="es-ES"/>
        </w:rPr>
      </w:pPr>
      <w:r w:rsidRPr="00933B53">
        <w:rPr>
          <w:b/>
          <w:lang w:val="es-ES"/>
        </w:rPr>
        <w:t xml:space="preserve">Gráfico </w:t>
      </w:r>
      <w:r w:rsidR="001230D1" w:rsidRPr="00933B53">
        <w:rPr>
          <w:b/>
          <w:lang w:val="es-ES"/>
        </w:rPr>
        <w:t>2</w:t>
      </w:r>
      <w:r w:rsidR="003D6076">
        <w:rPr>
          <w:b/>
          <w:lang w:val="es-ES"/>
        </w:rPr>
        <w:t xml:space="preserve">. Clasificación </w:t>
      </w:r>
      <w:r w:rsidRPr="00933B53">
        <w:rPr>
          <w:b/>
          <w:lang w:val="es-ES"/>
        </w:rPr>
        <w:t>de  tamaño de empresas por part</w:t>
      </w:r>
      <w:r w:rsidR="003D6076">
        <w:rPr>
          <w:b/>
          <w:lang w:val="es-ES"/>
        </w:rPr>
        <w:t xml:space="preserve">e de las entidades financieras </w:t>
      </w:r>
    </w:p>
    <w:p w:rsidR="002D6007" w:rsidRPr="00933B53" w:rsidRDefault="002D6007" w:rsidP="00A513D1">
      <w:pPr>
        <w:pStyle w:val="Paragraph"/>
        <w:tabs>
          <w:tab w:val="clear" w:pos="720"/>
          <w:tab w:val="num" w:pos="1566"/>
          <w:tab w:val="num" w:pos="2088"/>
          <w:tab w:val="num" w:pos="2196"/>
        </w:tabs>
        <w:autoSpaceDE w:val="0"/>
        <w:autoSpaceDN w:val="0"/>
        <w:adjustRightInd w:val="0"/>
        <w:spacing w:before="0" w:after="0"/>
        <w:ind w:firstLine="0"/>
        <w:jc w:val="center"/>
        <w:rPr>
          <w:lang w:val="es-ES"/>
        </w:rPr>
      </w:pPr>
      <w:r w:rsidRPr="00933B53">
        <w:rPr>
          <w:noProof/>
        </w:rPr>
        <w:drawing>
          <wp:inline distT="0" distB="0" distL="0" distR="0" wp14:anchorId="61CC6C31" wp14:editId="7A5F88E9">
            <wp:extent cx="4788165" cy="3372928"/>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4784814" cy="3370567"/>
                    </a:xfrm>
                    <a:prstGeom prst="rect">
                      <a:avLst/>
                    </a:prstGeom>
                    <a:noFill/>
                    <a:ln>
                      <a:noFill/>
                    </a:ln>
                  </pic:spPr>
                </pic:pic>
              </a:graphicData>
            </a:graphic>
          </wp:inline>
        </w:drawing>
      </w:r>
    </w:p>
    <w:p w:rsidR="003D6076" w:rsidRPr="00A779AB" w:rsidRDefault="003D6076" w:rsidP="003D6076">
      <w:pPr>
        <w:pStyle w:val="Paragraph"/>
        <w:tabs>
          <w:tab w:val="clear" w:pos="720"/>
          <w:tab w:val="num" w:pos="1566"/>
          <w:tab w:val="num" w:pos="2088"/>
          <w:tab w:val="num" w:pos="2196"/>
        </w:tabs>
        <w:autoSpaceDE w:val="0"/>
        <w:autoSpaceDN w:val="0"/>
        <w:adjustRightInd w:val="0"/>
        <w:spacing w:before="0" w:after="0"/>
        <w:ind w:firstLine="0"/>
        <w:jc w:val="left"/>
        <w:rPr>
          <w:i/>
          <w:sz w:val="20"/>
          <w:lang w:val="es-ES"/>
        </w:rPr>
      </w:pPr>
      <w:r w:rsidRPr="00A779AB">
        <w:rPr>
          <w:i/>
          <w:sz w:val="20"/>
          <w:lang w:val="es-ES"/>
        </w:rPr>
        <w:t xml:space="preserve">Fuente: Elaboración propia </w:t>
      </w:r>
      <w:r>
        <w:rPr>
          <w:i/>
          <w:sz w:val="20"/>
          <w:lang w:val="es-ES"/>
        </w:rPr>
        <w:t>en base a encuestas</w:t>
      </w:r>
    </w:p>
    <w:p w:rsidR="002D6007" w:rsidRPr="00ED46BF" w:rsidRDefault="002D6007" w:rsidP="00ED46BF">
      <w:pPr>
        <w:pStyle w:val="Paragraph"/>
        <w:tabs>
          <w:tab w:val="clear" w:pos="720"/>
          <w:tab w:val="num" w:pos="1566"/>
          <w:tab w:val="num" w:pos="2088"/>
          <w:tab w:val="num" w:pos="2196"/>
        </w:tabs>
        <w:autoSpaceDE w:val="0"/>
        <w:autoSpaceDN w:val="0"/>
        <w:adjustRightInd w:val="0"/>
        <w:spacing w:before="0" w:after="0"/>
        <w:ind w:firstLine="0"/>
        <w:jc w:val="center"/>
        <w:rPr>
          <w:sz w:val="20"/>
          <w:lang w:val="es-ES"/>
        </w:rPr>
      </w:pPr>
    </w:p>
    <w:p w:rsidR="002D6007" w:rsidRPr="00933B53" w:rsidRDefault="002D6007" w:rsidP="00A513D1">
      <w:pPr>
        <w:pStyle w:val="Paragraph"/>
        <w:tabs>
          <w:tab w:val="clear" w:pos="720"/>
          <w:tab w:val="num" w:pos="1566"/>
          <w:tab w:val="num" w:pos="2088"/>
          <w:tab w:val="num" w:pos="2196"/>
        </w:tabs>
        <w:autoSpaceDE w:val="0"/>
        <w:autoSpaceDN w:val="0"/>
        <w:adjustRightInd w:val="0"/>
        <w:spacing w:before="0" w:after="0"/>
        <w:ind w:firstLine="0"/>
        <w:rPr>
          <w:lang w:val="es-ES"/>
        </w:rPr>
      </w:pPr>
    </w:p>
    <w:p w:rsidR="002D6007" w:rsidRPr="00933B53" w:rsidRDefault="002D6007" w:rsidP="00F10FF1">
      <w:pPr>
        <w:pStyle w:val="Paragraph"/>
        <w:keepNext/>
        <w:tabs>
          <w:tab w:val="clear" w:pos="720"/>
          <w:tab w:val="num" w:pos="1566"/>
          <w:tab w:val="num" w:pos="2088"/>
          <w:tab w:val="num" w:pos="2196"/>
        </w:tabs>
        <w:autoSpaceDE w:val="0"/>
        <w:autoSpaceDN w:val="0"/>
        <w:adjustRightInd w:val="0"/>
        <w:spacing w:before="0" w:after="0"/>
        <w:ind w:firstLine="0"/>
        <w:jc w:val="center"/>
        <w:rPr>
          <w:b/>
          <w:lang w:val="es-ES"/>
        </w:rPr>
      </w:pPr>
      <w:r w:rsidRPr="00933B53">
        <w:rPr>
          <w:b/>
          <w:lang w:val="es-ES"/>
        </w:rPr>
        <w:lastRenderedPageBreak/>
        <w:t xml:space="preserve">Gráfico </w:t>
      </w:r>
      <w:r w:rsidR="001230D1" w:rsidRPr="00933B53">
        <w:rPr>
          <w:b/>
          <w:lang w:val="es-ES"/>
        </w:rPr>
        <w:t>3</w:t>
      </w:r>
      <w:r w:rsidR="003D6076">
        <w:rPr>
          <w:b/>
          <w:lang w:val="es-ES"/>
        </w:rPr>
        <w:t xml:space="preserve">. </w:t>
      </w:r>
      <w:r w:rsidR="00794A32" w:rsidRPr="00933B53">
        <w:rPr>
          <w:b/>
          <w:lang w:val="es-ES"/>
        </w:rPr>
        <w:t>Cambios esperados en el número de solicitudes de crédito por tamaño de empresa</w:t>
      </w:r>
    </w:p>
    <w:p w:rsidR="002D6007" w:rsidRPr="00933B53" w:rsidRDefault="00794A32" w:rsidP="00A513D1">
      <w:pPr>
        <w:pStyle w:val="Paragraph"/>
        <w:tabs>
          <w:tab w:val="clear" w:pos="720"/>
          <w:tab w:val="num" w:pos="1566"/>
          <w:tab w:val="num" w:pos="2088"/>
          <w:tab w:val="num" w:pos="2196"/>
        </w:tabs>
        <w:autoSpaceDE w:val="0"/>
        <w:autoSpaceDN w:val="0"/>
        <w:adjustRightInd w:val="0"/>
        <w:spacing w:before="0" w:after="0"/>
        <w:ind w:firstLine="0"/>
        <w:rPr>
          <w:lang w:val="es-ES"/>
        </w:rPr>
      </w:pPr>
      <w:r w:rsidRPr="00933B53">
        <w:rPr>
          <w:noProof/>
        </w:rPr>
        <w:drawing>
          <wp:inline distT="0" distB="0" distL="0" distR="0" wp14:anchorId="3E144F2D" wp14:editId="2C2E46D8">
            <wp:extent cx="4796287" cy="3386219"/>
            <wp:effectExtent l="0" t="0" r="4445" b="508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4792548" cy="3383579"/>
                    </a:xfrm>
                    <a:prstGeom prst="rect">
                      <a:avLst/>
                    </a:prstGeom>
                    <a:noFill/>
                    <a:ln>
                      <a:noFill/>
                    </a:ln>
                  </pic:spPr>
                </pic:pic>
              </a:graphicData>
            </a:graphic>
          </wp:inline>
        </w:drawing>
      </w:r>
    </w:p>
    <w:p w:rsidR="004D3C4A" w:rsidRPr="00A779AB" w:rsidRDefault="004D3C4A" w:rsidP="004D3C4A">
      <w:pPr>
        <w:pStyle w:val="Paragraph"/>
        <w:tabs>
          <w:tab w:val="clear" w:pos="720"/>
          <w:tab w:val="num" w:pos="1566"/>
          <w:tab w:val="num" w:pos="2088"/>
          <w:tab w:val="num" w:pos="2196"/>
        </w:tabs>
        <w:autoSpaceDE w:val="0"/>
        <w:autoSpaceDN w:val="0"/>
        <w:adjustRightInd w:val="0"/>
        <w:spacing w:before="0" w:after="0"/>
        <w:ind w:firstLine="0"/>
        <w:jc w:val="left"/>
        <w:rPr>
          <w:i/>
          <w:sz w:val="20"/>
          <w:lang w:val="es-ES"/>
        </w:rPr>
      </w:pPr>
      <w:r w:rsidRPr="00A779AB">
        <w:rPr>
          <w:i/>
          <w:sz w:val="20"/>
          <w:lang w:val="es-ES"/>
        </w:rPr>
        <w:t xml:space="preserve">Fuente: Elaboración propia </w:t>
      </w:r>
      <w:r>
        <w:rPr>
          <w:i/>
          <w:sz w:val="20"/>
          <w:lang w:val="es-ES"/>
        </w:rPr>
        <w:t>en base a encuestas</w:t>
      </w:r>
    </w:p>
    <w:p w:rsidR="002D6007" w:rsidRPr="00933B53" w:rsidRDefault="002D6007" w:rsidP="00A513D1">
      <w:pPr>
        <w:pStyle w:val="Paragraph"/>
        <w:tabs>
          <w:tab w:val="clear" w:pos="720"/>
          <w:tab w:val="num" w:pos="1566"/>
          <w:tab w:val="num" w:pos="2088"/>
          <w:tab w:val="num" w:pos="2196"/>
        </w:tabs>
        <w:autoSpaceDE w:val="0"/>
        <w:autoSpaceDN w:val="0"/>
        <w:adjustRightInd w:val="0"/>
        <w:spacing w:before="0" w:after="0"/>
        <w:ind w:firstLine="0"/>
        <w:rPr>
          <w:lang w:val="es-ES"/>
        </w:rPr>
      </w:pPr>
    </w:p>
    <w:p w:rsidR="002D6007" w:rsidRPr="00933B53" w:rsidRDefault="002D6007" w:rsidP="00A513D1">
      <w:pPr>
        <w:pStyle w:val="Paragraph"/>
        <w:tabs>
          <w:tab w:val="clear" w:pos="720"/>
          <w:tab w:val="num" w:pos="1566"/>
          <w:tab w:val="num" w:pos="2088"/>
          <w:tab w:val="num" w:pos="2196"/>
        </w:tabs>
        <w:autoSpaceDE w:val="0"/>
        <w:autoSpaceDN w:val="0"/>
        <w:adjustRightInd w:val="0"/>
        <w:spacing w:before="0" w:after="0"/>
        <w:ind w:firstLine="0"/>
        <w:rPr>
          <w:lang w:val="es-ES"/>
        </w:rPr>
      </w:pPr>
    </w:p>
    <w:p w:rsidR="002D6007" w:rsidRPr="00933B53" w:rsidRDefault="00ED46BF" w:rsidP="004D3C4A">
      <w:pPr>
        <w:pStyle w:val="Paragraph"/>
        <w:tabs>
          <w:tab w:val="clear" w:pos="720"/>
          <w:tab w:val="num" w:pos="1566"/>
          <w:tab w:val="num" w:pos="2088"/>
          <w:tab w:val="num" w:pos="2196"/>
        </w:tabs>
        <w:autoSpaceDE w:val="0"/>
        <w:autoSpaceDN w:val="0"/>
        <w:adjustRightInd w:val="0"/>
        <w:spacing w:before="0" w:after="0"/>
        <w:ind w:firstLine="0"/>
        <w:jc w:val="center"/>
        <w:rPr>
          <w:b/>
          <w:lang w:val="es-ES"/>
        </w:rPr>
      </w:pPr>
      <w:r>
        <w:rPr>
          <w:b/>
          <w:lang w:val="es-ES"/>
        </w:rPr>
        <w:t xml:space="preserve">Gráfico </w:t>
      </w:r>
      <w:r w:rsidR="001230D1" w:rsidRPr="00933B53">
        <w:rPr>
          <w:b/>
          <w:lang w:val="es-ES"/>
        </w:rPr>
        <w:t>4</w:t>
      </w:r>
      <w:r w:rsidR="004D3C4A">
        <w:rPr>
          <w:b/>
          <w:lang w:val="es-ES"/>
        </w:rPr>
        <w:t xml:space="preserve">. </w:t>
      </w:r>
      <w:r w:rsidR="00794A32" w:rsidRPr="00933B53">
        <w:rPr>
          <w:b/>
          <w:lang w:val="es-ES"/>
        </w:rPr>
        <w:t>Solicitudes de crédito rechazadas (mediana), por tamaño de empresa</w:t>
      </w:r>
    </w:p>
    <w:p w:rsidR="00794A32" w:rsidRPr="00933B53" w:rsidRDefault="00794A32" w:rsidP="00A513D1">
      <w:pPr>
        <w:pStyle w:val="Paragraph"/>
        <w:tabs>
          <w:tab w:val="clear" w:pos="720"/>
          <w:tab w:val="num" w:pos="1566"/>
          <w:tab w:val="num" w:pos="2088"/>
          <w:tab w:val="num" w:pos="2196"/>
        </w:tabs>
        <w:autoSpaceDE w:val="0"/>
        <w:autoSpaceDN w:val="0"/>
        <w:adjustRightInd w:val="0"/>
        <w:spacing w:before="0" w:after="0"/>
        <w:ind w:firstLine="0"/>
        <w:jc w:val="center"/>
        <w:rPr>
          <w:b/>
          <w:lang w:val="es-ES"/>
        </w:rPr>
      </w:pPr>
      <w:r w:rsidRPr="00933B53">
        <w:rPr>
          <w:noProof/>
        </w:rPr>
        <w:drawing>
          <wp:inline distT="0" distB="0" distL="0" distR="0" wp14:anchorId="0660899D" wp14:editId="408C07E7">
            <wp:extent cx="4796287" cy="3400653"/>
            <wp:effectExtent l="0" t="0" r="23495" b="9525"/>
            <wp:docPr id="12" name="Chart 12"/>
            <wp:cNvGraphicFramePr/>
            <a:graphic xmlns:a="http://schemas.openxmlformats.org/drawingml/2006/main">
              <a:graphicData uri="http://schemas.openxmlformats.org/drawingml/2006/chart">
                <c:chart xmlns:c="http://schemas.openxmlformats.org/drawingml/2006/chart" xmlns:r="http://schemas.openxmlformats.org/officeDocument/2006/relationships" r:id="rId35"/>
              </a:graphicData>
            </a:graphic>
          </wp:inline>
        </w:drawing>
      </w:r>
    </w:p>
    <w:p w:rsidR="004D3C4A" w:rsidRPr="00A779AB" w:rsidRDefault="004D3C4A" w:rsidP="004D3C4A">
      <w:pPr>
        <w:pStyle w:val="Paragraph"/>
        <w:tabs>
          <w:tab w:val="clear" w:pos="720"/>
          <w:tab w:val="num" w:pos="1566"/>
          <w:tab w:val="num" w:pos="2088"/>
          <w:tab w:val="num" w:pos="2196"/>
        </w:tabs>
        <w:autoSpaceDE w:val="0"/>
        <w:autoSpaceDN w:val="0"/>
        <w:adjustRightInd w:val="0"/>
        <w:spacing w:before="0" w:after="0"/>
        <w:ind w:firstLine="0"/>
        <w:jc w:val="left"/>
        <w:rPr>
          <w:i/>
          <w:sz w:val="20"/>
          <w:lang w:val="es-ES"/>
        </w:rPr>
      </w:pPr>
      <w:r w:rsidRPr="00A779AB">
        <w:rPr>
          <w:i/>
          <w:sz w:val="20"/>
          <w:lang w:val="es-ES"/>
        </w:rPr>
        <w:t xml:space="preserve">Fuente: Elaboración propia </w:t>
      </w:r>
      <w:r>
        <w:rPr>
          <w:i/>
          <w:sz w:val="20"/>
          <w:lang w:val="es-ES"/>
        </w:rPr>
        <w:t>en base a encuestas</w:t>
      </w:r>
    </w:p>
    <w:p w:rsidR="002D6007" w:rsidRPr="00933B53" w:rsidRDefault="002D6007" w:rsidP="00A513D1">
      <w:pPr>
        <w:pStyle w:val="Paragraph"/>
        <w:tabs>
          <w:tab w:val="clear" w:pos="720"/>
          <w:tab w:val="num" w:pos="1566"/>
          <w:tab w:val="num" w:pos="2088"/>
          <w:tab w:val="num" w:pos="2196"/>
        </w:tabs>
        <w:autoSpaceDE w:val="0"/>
        <w:autoSpaceDN w:val="0"/>
        <w:adjustRightInd w:val="0"/>
        <w:spacing w:before="0" w:after="0"/>
        <w:ind w:firstLine="0"/>
        <w:rPr>
          <w:lang w:val="es-ES"/>
        </w:rPr>
      </w:pPr>
    </w:p>
    <w:p w:rsidR="0038455C" w:rsidRPr="00933B53" w:rsidRDefault="002D6007" w:rsidP="004D3C4A">
      <w:pPr>
        <w:pStyle w:val="Paragraph"/>
        <w:keepNext/>
        <w:tabs>
          <w:tab w:val="clear" w:pos="720"/>
          <w:tab w:val="num" w:pos="1566"/>
          <w:tab w:val="num" w:pos="2088"/>
          <w:tab w:val="num" w:pos="2196"/>
        </w:tabs>
        <w:autoSpaceDE w:val="0"/>
        <w:autoSpaceDN w:val="0"/>
        <w:adjustRightInd w:val="0"/>
        <w:spacing w:before="0" w:after="0"/>
        <w:ind w:firstLine="0"/>
        <w:jc w:val="center"/>
        <w:rPr>
          <w:b/>
          <w:lang w:val="es-ES"/>
        </w:rPr>
      </w:pPr>
      <w:r w:rsidRPr="00933B53">
        <w:rPr>
          <w:b/>
          <w:lang w:val="es-ES"/>
        </w:rPr>
        <w:lastRenderedPageBreak/>
        <w:t xml:space="preserve">Gráfico </w:t>
      </w:r>
      <w:r w:rsidR="001230D1" w:rsidRPr="00933B53">
        <w:rPr>
          <w:b/>
          <w:lang w:val="es-ES"/>
        </w:rPr>
        <w:t>5</w:t>
      </w:r>
      <w:r w:rsidR="004D3C4A">
        <w:rPr>
          <w:b/>
          <w:lang w:val="es-ES"/>
        </w:rPr>
        <w:t xml:space="preserve">. </w:t>
      </w:r>
      <w:r w:rsidR="0038455C" w:rsidRPr="00933B53">
        <w:rPr>
          <w:b/>
          <w:lang w:val="es-ES"/>
        </w:rPr>
        <w:t>Solicitudes de crédito rechazadas (promedio), por tamaño de empresa</w:t>
      </w:r>
    </w:p>
    <w:p w:rsidR="002D6007" w:rsidRPr="00933B53" w:rsidRDefault="0038455C" w:rsidP="00A513D1">
      <w:pPr>
        <w:pStyle w:val="Paragraph"/>
        <w:tabs>
          <w:tab w:val="clear" w:pos="720"/>
          <w:tab w:val="num" w:pos="1566"/>
          <w:tab w:val="num" w:pos="2088"/>
          <w:tab w:val="num" w:pos="2196"/>
        </w:tabs>
        <w:autoSpaceDE w:val="0"/>
        <w:autoSpaceDN w:val="0"/>
        <w:adjustRightInd w:val="0"/>
        <w:spacing w:before="0" w:after="0"/>
        <w:ind w:firstLine="0"/>
        <w:jc w:val="center"/>
        <w:rPr>
          <w:lang w:val="es-ES"/>
        </w:rPr>
      </w:pPr>
      <w:r w:rsidRPr="00933B53">
        <w:rPr>
          <w:noProof/>
        </w:rPr>
        <w:drawing>
          <wp:inline distT="0" distB="0" distL="0" distR="0" wp14:anchorId="571807C7" wp14:editId="4FEF357C">
            <wp:extent cx="4747515" cy="3381866"/>
            <wp:effectExtent l="0" t="0" r="0" b="952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4753379" cy="3386043"/>
                    </a:xfrm>
                    <a:prstGeom prst="rect">
                      <a:avLst/>
                    </a:prstGeom>
                    <a:noFill/>
                    <a:ln>
                      <a:noFill/>
                    </a:ln>
                  </pic:spPr>
                </pic:pic>
              </a:graphicData>
            </a:graphic>
          </wp:inline>
        </w:drawing>
      </w:r>
    </w:p>
    <w:p w:rsidR="00A513D1" w:rsidRDefault="004D3C4A" w:rsidP="004D3C4A">
      <w:pPr>
        <w:pStyle w:val="Paragraph"/>
        <w:tabs>
          <w:tab w:val="clear" w:pos="720"/>
          <w:tab w:val="num" w:pos="1566"/>
          <w:tab w:val="num" w:pos="2088"/>
          <w:tab w:val="num" w:pos="2196"/>
        </w:tabs>
        <w:autoSpaceDE w:val="0"/>
        <w:autoSpaceDN w:val="0"/>
        <w:adjustRightInd w:val="0"/>
        <w:spacing w:before="0" w:after="0"/>
        <w:ind w:firstLine="0"/>
        <w:jc w:val="left"/>
        <w:rPr>
          <w:i/>
          <w:sz w:val="20"/>
          <w:lang w:val="es-ES"/>
        </w:rPr>
      </w:pPr>
      <w:r w:rsidRPr="00A779AB">
        <w:rPr>
          <w:i/>
          <w:sz w:val="20"/>
          <w:lang w:val="es-ES"/>
        </w:rPr>
        <w:t xml:space="preserve">Fuente: Elaboración propia </w:t>
      </w:r>
      <w:r>
        <w:rPr>
          <w:i/>
          <w:sz w:val="20"/>
          <w:lang w:val="es-ES"/>
        </w:rPr>
        <w:t>en base a encuestas</w:t>
      </w:r>
    </w:p>
    <w:p w:rsidR="004D3C4A" w:rsidRPr="004D3C4A" w:rsidRDefault="004D3C4A" w:rsidP="004D3C4A">
      <w:pPr>
        <w:pStyle w:val="Paragraph"/>
        <w:tabs>
          <w:tab w:val="clear" w:pos="720"/>
          <w:tab w:val="num" w:pos="1566"/>
          <w:tab w:val="num" w:pos="2088"/>
          <w:tab w:val="num" w:pos="2196"/>
        </w:tabs>
        <w:autoSpaceDE w:val="0"/>
        <w:autoSpaceDN w:val="0"/>
        <w:adjustRightInd w:val="0"/>
        <w:spacing w:before="0" w:after="0"/>
        <w:ind w:firstLine="0"/>
        <w:jc w:val="left"/>
        <w:rPr>
          <w:i/>
          <w:sz w:val="20"/>
          <w:lang w:val="es-ES"/>
        </w:rPr>
      </w:pPr>
    </w:p>
    <w:p w:rsidR="002D6007" w:rsidRPr="004D3C4A" w:rsidRDefault="002D6007" w:rsidP="004D3C4A">
      <w:pPr>
        <w:pStyle w:val="Paragraph"/>
        <w:tabs>
          <w:tab w:val="clear" w:pos="720"/>
          <w:tab w:val="num" w:pos="1566"/>
          <w:tab w:val="num" w:pos="2088"/>
          <w:tab w:val="num" w:pos="2196"/>
        </w:tabs>
        <w:autoSpaceDE w:val="0"/>
        <w:autoSpaceDN w:val="0"/>
        <w:adjustRightInd w:val="0"/>
        <w:spacing w:before="0" w:after="0"/>
        <w:ind w:firstLine="0"/>
        <w:jc w:val="center"/>
        <w:rPr>
          <w:b/>
          <w:lang w:val="es-ES"/>
        </w:rPr>
      </w:pPr>
      <w:r w:rsidRPr="00933B53">
        <w:rPr>
          <w:b/>
          <w:lang w:val="es-ES"/>
        </w:rPr>
        <w:t xml:space="preserve">Gráfico </w:t>
      </w:r>
      <w:r w:rsidR="001230D1" w:rsidRPr="00933B53">
        <w:rPr>
          <w:b/>
          <w:lang w:val="es-ES"/>
        </w:rPr>
        <w:t>6</w:t>
      </w:r>
      <w:r w:rsidR="004D3C4A">
        <w:rPr>
          <w:b/>
          <w:lang w:val="es-ES"/>
        </w:rPr>
        <w:t xml:space="preserve">. </w:t>
      </w:r>
      <w:r w:rsidR="004E5A30" w:rsidRPr="00933B53">
        <w:rPr>
          <w:b/>
          <w:lang w:val="es-ES"/>
        </w:rPr>
        <w:t>Percepción</w:t>
      </w:r>
      <w:r w:rsidR="004E5A30" w:rsidRPr="00933B53">
        <w:rPr>
          <w:b/>
          <w:lang w:val="es-AR"/>
        </w:rPr>
        <w:t xml:space="preserve"> de riesgo crediticio por tamaño de empresa, actual y esperado </w:t>
      </w:r>
    </w:p>
    <w:p w:rsidR="002D6007" w:rsidRPr="00933B53" w:rsidRDefault="004E5A30" w:rsidP="00A513D1">
      <w:pPr>
        <w:pStyle w:val="Paragraph"/>
        <w:tabs>
          <w:tab w:val="clear" w:pos="720"/>
          <w:tab w:val="num" w:pos="1566"/>
          <w:tab w:val="num" w:pos="2088"/>
          <w:tab w:val="num" w:pos="2196"/>
        </w:tabs>
        <w:autoSpaceDE w:val="0"/>
        <w:autoSpaceDN w:val="0"/>
        <w:adjustRightInd w:val="0"/>
        <w:spacing w:before="0" w:after="0"/>
        <w:ind w:firstLine="0"/>
        <w:jc w:val="center"/>
        <w:rPr>
          <w:lang w:val="es-ES"/>
        </w:rPr>
      </w:pPr>
      <w:r w:rsidRPr="00933B53">
        <w:rPr>
          <w:noProof/>
        </w:rPr>
        <w:drawing>
          <wp:inline distT="0" distB="0" distL="0" distR="0" wp14:anchorId="26E3A7DF" wp14:editId="06ABD6FA">
            <wp:extent cx="4796287" cy="3396557"/>
            <wp:effectExtent l="0" t="0" r="4445"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4796078" cy="3396409"/>
                    </a:xfrm>
                    <a:prstGeom prst="rect">
                      <a:avLst/>
                    </a:prstGeom>
                    <a:noFill/>
                    <a:ln>
                      <a:noFill/>
                    </a:ln>
                  </pic:spPr>
                </pic:pic>
              </a:graphicData>
            </a:graphic>
          </wp:inline>
        </w:drawing>
      </w:r>
    </w:p>
    <w:p w:rsidR="004D3C4A" w:rsidRPr="00A779AB" w:rsidRDefault="004D3C4A" w:rsidP="004D3C4A">
      <w:pPr>
        <w:pStyle w:val="Paragraph"/>
        <w:tabs>
          <w:tab w:val="clear" w:pos="720"/>
          <w:tab w:val="num" w:pos="1566"/>
          <w:tab w:val="num" w:pos="2088"/>
          <w:tab w:val="num" w:pos="2196"/>
        </w:tabs>
        <w:autoSpaceDE w:val="0"/>
        <w:autoSpaceDN w:val="0"/>
        <w:adjustRightInd w:val="0"/>
        <w:spacing w:before="0" w:after="0"/>
        <w:ind w:firstLine="0"/>
        <w:jc w:val="left"/>
        <w:rPr>
          <w:i/>
          <w:sz w:val="20"/>
          <w:lang w:val="es-ES"/>
        </w:rPr>
      </w:pPr>
      <w:r w:rsidRPr="00A779AB">
        <w:rPr>
          <w:i/>
          <w:sz w:val="20"/>
          <w:lang w:val="es-ES"/>
        </w:rPr>
        <w:t xml:space="preserve">Fuente: Elaboración propia </w:t>
      </w:r>
      <w:r>
        <w:rPr>
          <w:i/>
          <w:sz w:val="20"/>
          <w:lang w:val="es-ES"/>
        </w:rPr>
        <w:t>en base a encuestas</w:t>
      </w:r>
    </w:p>
    <w:p w:rsidR="002D6007" w:rsidRPr="00ED46BF" w:rsidRDefault="002D6007" w:rsidP="00A513D1">
      <w:pPr>
        <w:pStyle w:val="Paragraph"/>
        <w:tabs>
          <w:tab w:val="clear" w:pos="720"/>
          <w:tab w:val="num" w:pos="1566"/>
          <w:tab w:val="num" w:pos="2088"/>
          <w:tab w:val="num" w:pos="2196"/>
        </w:tabs>
        <w:autoSpaceDE w:val="0"/>
        <w:autoSpaceDN w:val="0"/>
        <w:adjustRightInd w:val="0"/>
        <w:spacing w:before="0" w:after="0"/>
        <w:ind w:firstLine="0"/>
        <w:rPr>
          <w:lang w:val="es-ES"/>
        </w:rPr>
      </w:pPr>
    </w:p>
    <w:p w:rsidR="00573AFC" w:rsidRPr="00933B53" w:rsidRDefault="00573AFC">
      <w:pPr>
        <w:rPr>
          <w:rFonts w:ascii="Times New Roman" w:eastAsia="Times New Roman" w:hAnsi="Times New Roman" w:cs="Times New Roman"/>
          <w:b/>
          <w:sz w:val="24"/>
          <w:szCs w:val="20"/>
          <w:lang w:val="es-ES"/>
        </w:rPr>
      </w:pPr>
      <w:r w:rsidRPr="00933B53">
        <w:rPr>
          <w:b/>
          <w:lang w:val="es-ES"/>
        </w:rPr>
        <w:br w:type="page"/>
      </w:r>
    </w:p>
    <w:p w:rsidR="002D6007" w:rsidRPr="004D3C4A" w:rsidRDefault="002D6007" w:rsidP="004D3C4A">
      <w:pPr>
        <w:pStyle w:val="Paragraph"/>
        <w:tabs>
          <w:tab w:val="clear" w:pos="720"/>
          <w:tab w:val="num" w:pos="1566"/>
          <w:tab w:val="num" w:pos="2088"/>
          <w:tab w:val="num" w:pos="2196"/>
        </w:tabs>
        <w:autoSpaceDE w:val="0"/>
        <w:autoSpaceDN w:val="0"/>
        <w:adjustRightInd w:val="0"/>
        <w:spacing w:before="0" w:after="0"/>
        <w:ind w:firstLine="0"/>
        <w:jc w:val="center"/>
        <w:rPr>
          <w:b/>
          <w:lang w:val="es-ES"/>
        </w:rPr>
      </w:pPr>
      <w:r w:rsidRPr="00933B53">
        <w:rPr>
          <w:b/>
          <w:lang w:val="es-ES"/>
        </w:rPr>
        <w:lastRenderedPageBreak/>
        <w:t xml:space="preserve">Gráfico </w:t>
      </w:r>
      <w:r w:rsidR="001230D1" w:rsidRPr="00933B53">
        <w:rPr>
          <w:b/>
          <w:lang w:val="es-ES"/>
        </w:rPr>
        <w:t>7</w:t>
      </w:r>
      <w:r w:rsidR="004D3C4A">
        <w:rPr>
          <w:b/>
          <w:lang w:val="es-ES"/>
        </w:rPr>
        <w:t xml:space="preserve">. </w:t>
      </w:r>
      <w:r w:rsidR="006A4961" w:rsidRPr="00933B53">
        <w:rPr>
          <w:b/>
          <w:lang w:val="es-ES"/>
        </w:rPr>
        <w:t>Importancia de las razones de rechazo de una solicitud de préstamo, por tamaño de empresa (</w:t>
      </w:r>
      <w:r w:rsidR="00933B53" w:rsidRPr="00933B53">
        <w:rPr>
          <w:b/>
          <w:lang w:val="es-ES"/>
        </w:rPr>
        <w:t>1=muy baja importancia</w:t>
      </w:r>
      <w:r w:rsidR="006A4961" w:rsidRPr="00933B53">
        <w:rPr>
          <w:b/>
          <w:lang w:val="es-ES"/>
        </w:rPr>
        <w:t xml:space="preserve">, </w:t>
      </w:r>
      <w:r w:rsidR="00933B53" w:rsidRPr="00933B53">
        <w:rPr>
          <w:b/>
          <w:lang w:val="es-ES"/>
        </w:rPr>
        <w:t>5</w:t>
      </w:r>
      <w:r w:rsidR="006A4961" w:rsidRPr="00933B53">
        <w:rPr>
          <w:b/>
          <w:lang w:val="es-ES"/>
        </w:rPr>
        <w:t>=muy</w:t>
      </w:r>
      <w:r w:rsidR="00933B53" w:rsidRPr="00933B53">
        <w:rPr>
          <w:b/>
          <w:lang w:val="es-ES"/>
        </w:rPr>
        <w:t xml:space="preserve"> alta impor</w:t>
      </w:r>
      <w:r w:rsidR="004D3C4A">
        <w:rPr>
          <w:b/>
          <w:lang w:val="es-ES"/>
        </w:rPr>
        <w:t>t</w:t>
      </w:r>
      <w:r w:rsidR="00933B53" w:rsidRPr="00933B53">
        <w:rPr>
          <w:b/>
          <w:lang w:val="es-ES"/>
        </w:rPr>
        <w:t>ancia</w:t>
      </w:r>
      <w:r w:rsidR="006A4961" w:rsidRPr="00933B53">
        <w:rPr>
          <w:b/>
          <w:lang w:val="es-ES"/>
        </w:rPr>
        <w:t>)</w:t>
      </w:r>
    </w:p>
    <w:p w:rsidR="002D6007" w:rsidRPr="00933B53" w:rsidRDefault="00933B53" w:rsidP="00A513D1">
      <w:pPr>
        <w:pStyle w:val="Paragraph"/>
        <w:tabs>
          <w:tab w:val="clear" w:pos="720"/>
          <w:tab w:val="num" w:pos="1566"/>
          <w:tab w:val="num" w:pos="2088"/>
          <w:tab w:val="num" w:pos="2196"/>
        </w:tabs>
        <w:autoSpaceDE w:val="0"/>
        <w:autoSpaceDN w:val="0"/>
        <w:adjustRightInd w:val="0"/>
        <w:spacing w:before="0" w:after="0"/>
        <w:ind w:firstLine="0"/>
        <w:jc w:val="center"/>
        <w:rPr>
          <w:lang w:val="es-ES"/>
        </w:rPr>
      </w:pPr>
      <w:r w:rsidRPr="00933B53">
        <w:rPr>
          <w:noProof/>
        </w:rPr>
        <w:drawing>
          <wp:inline distT="0" distB="0" distL="0" distR="0" wp14:anchorId="0962FACF" wp14:editId="353C7D57">
            <wp:extent cx="4731026" cy="3333453"/>
            <wp:effectExtent l="0" t="0" r="0" b="63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4734833" cy="3336135"/>
                    </a:xfrm>
                    <a:prstGeom prst="rect">
                      <a:avLst/>
                    </a:prstGeom>
                    <a:noFill/>
                    <a:ln>
                      <a:noFill/>
                    </a:ln>
                  </pic:spPr>
                </pic:pic>
              </a:graphicData>
            </a:graphic>
          </wp:inline>
        </w:drawing>
      </w:r>
    </w:p>
    <w:p w:rsidR="004D3C4A" w:rsidRPr="00A779AB" w:rsidRDefault="004D3C4A" w:rsidP="004D3C4A">
      <w:pPr>
        <w:pStyle w:val="Paragraph"/>
        <w:tabs>
          <w:tab w:val="clear" w:pos="720"/>
          <w:tab w:val="num" w:pos="1566"/>
          <w:tab w:val="num" w:pos="2088"/>
          <w:tab w:val="num" w:pos="2196"/>
        </w:tabs>
        <w:autoSpaceDE w:val="0"/>
        <w:autoSpaceDN w:val="0"/>
        <w:adjustRightInd w:val="0"/>
        <w:spacing w:before="0" w:after="0"/>
        <w:ind w:firstLine="0"/>
        <w:jc w:val="left"/>
        <w:rPr>
          <w:i/>
          <w:sz w:val="20"/>
          <w:lang w:val="es-ES"/>
        </w:rPr>
      </w:pPr>
      <w:r w:rsidRPr="00A779AB">
        <w:rPr>
          <w:i/>
          <w:sz w:val="20"/>
          <w:lang w:val="es-ES"/>
        </w:rPr>
        <w:t xml:space="preserve">Fuente: Elaboración propia </w:t>
      </w:r>
      <w:r>
        <w:rPr>
          <w:i/>
          <w:sz w:val="20"/>
          <w:lang w:val="es-ES"/>
        </w:rPr>
        <w:t>en base a encuestas</w:t>
      </w:r>
    </w:p>
    <w:p w:rsidR="00573AFC" w:rsidRPr="00933B53" w:rsidRDefault="00573AFC" w:rsidP="00573AFC">
      <w:pPr>
        <w:jc w:val="center"/>
        <w:rPr>
          <w:b/>
          <w:lang w:val="es-ES"/>
        </w:rPr>
      </w:pPr>
    </w:p>
    <w:p w:rsidR="002D6007" w:rsidRPr="004D3C4A" w:rsidRDefault="00ED46BF" w:rsidP="004D3C4A">
      <w:pPr>
        <w:pStyle w:val="Paragraph"/>
        <w:tabs>
          <w:tab w:val="clear" w:pos="720"/>
          <w:tab w:val="num" w:pos="1566"/>
          <w:tab w:val="num" w:pos="2088"/>
          <w:tab w:val="num" w:pos="2196"/>
        </w:tabs>
        <w:autoSpaceDE w:val="0"/>
        <w:autoSpaceDN w:val="0"/>
        <w:adjustRightInd w:val="0"/>
        <w:spacing w:before="0" w:after="0"/>
        <w:ind w:firstLine="0"/>
        <w:jc w:val="center"/>
        <w:rPr>
          <w:b/>
          <w:lang w:val="es-ES"/>
        </w:rPr>
      </w:pPr>
      <w:r>
        <w:rPr>
          <w:b/>
          <w:lang w:val="es-ES"/>
        </w:rPr>
        <w:t xml:space="preserve">Gráfico </w:t>
      </w:r>
      <w:r w:rsidR="001230D1" w:rsidRPr="00933B53">
        <w:rPr>
          <w:b/>
          <w:lang w:val="es-ES"/>
        </w:rPr>
        <w:t>8</w:t>
      </w:r>
      <w:r w:rsidR="004D3C4A">
        <w:rPr>
          <w:b/>
          <w:lang w:val="es-ES"/>
        </w:rPr>
        <w:t xml:space="preserve">. </w:t>
      </w:r>
      <w:r w:rsidR="00520C4E" w:rsidRPr="00933B53">
        <w:rPr>
          <w:b/>
          <w:lang w:val="es-ES"/>
        </w:rPr>
        <w:t>Pr</w:t>
      </w:r>
      <w:r w:rsidR="00520C4E" w:rsidRPr="00933B53">
        <w:rPr>
          <w:b/>
          <w:lang w:val="es-AR"/>
        </w:rPr>
        <w:t>éstamo típico por tamaño de empresa</w:t>
      </w:r>
    </w:p>
    <w:p w:rsidR="002D6007" w:rsidRPr="00933B53" w:rsidRDefault="00520C4E" w:rsidP="00A513D1">
      <w:pPr>
        <w:pStyle w:val="Paragraph"/>
        <w:tabs>
          <w:tab w:val="clear" w:pos="720"/>
          <w:tab w:val="num" w:pos="1566"/>
          <w:tab w:val="num" w:pos="2088"/>
          <w:tab w:val="num" w:pos="2196"/>
        </w:tabs>
        <w:autoSpaceDE w:val="0"/>
        <w:autoSpaceDN w:val="0"/>
        <w:adjustRightInd w:val="0"/>
        <w:spacing w:before="0" w:after="0"/>
        <w:ind w:firstLine="0"/>
        <w:jc w:val="center"/>
      </w:pPr>
      <w:r w:rsidRPr="00933B53">
        <w:rPr>
          <w:noProof/>
        </w:rPr>
        <w:drawing>
          <wp:inline distT="0" distB="0" distL="0" distR="0" wp14:anchorId="6CA13789" wp14:editId="7FDC872A">
            <wp:extent cx="4796287" cy="3400817"/>
            <wp:effectExtent l="0" t="0" r="4445" b="9525"/>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4802095" cy="3404935"/>
                    </a:xfrm>
                    <a:prstGeom prst="rect">
                      <a:avLst/>
                    </a:prstGeom>
                    <a:noFill/>
                    <a:ln>
                      <a:noFill/>
                    </a:ln>
                  </pic:spPr>
                </pic:pic>
              </a:graphicData>
            </a:graphic>
          </wp:inline>
        </w:drawing>
      </w:r>
    </w:p>
    <w:p w:rsidR="004D3C4A" w:rsidRPr="00A779AB" w:rsidRDefault="004D3C4A" w:rsidP="004D3C4A">
      <w:pPr>
        <w:pStyle w:val="Paragraph"/>
        <w:tabs>
          <w:tab w:val="clear" w:pos="720"/>
          <w:tab w:val="num" w:pos="1566"/>
          <w:tab w:val="num" w:pos="2088"/>
          <w:tab w:val="num" w:pos="2196"/>
        </w:tabs>
        <w:autoSpaceDE w:val="0"/>
        <w:autoSpaceDN w:val="0"/>
        <w:adjustRightInd w:val="0"/>
        <w:spacing w:before="0" w:after="0"/>
        <w:ind w:firstLine="0"/>
        <w:jc w:val="left"/>
        <w:rPr>
          <w:i/>
          <w:sz w:val="20"/>
          <w:lang w:val="es-ES"/>
        </w:rPr>
      </w:pPr>
      <w:r w:rsidRPr="00A779AB">
        <w:rPr>
          <w:i/>
          <w:sz w:val="20"/>
          <w:lang w:val="es-ES"/>
        </w:rPr>
        <w:t xml:space="preserve">Fuente: Elaboración propia </w:t>
      </w:r>
      <w:r>
        <w:rPr>
          <w:i/>
          <w:sz w:val="20"/>
          <w:lang w:val="es-ES"/>
        </w:rPr>
        <w:t>en base a encuestas</w:t>
      </w:r>
    </w:p>
    <w:p w:rsidR="00573AFC" w:rsidRPr="00933B53" w:rsidRDefault="00573AFC">
      <w:pPr>
        <w:rPr>
          <w:rFonts w:ascii="Times New Roman" w:eastAsia="Times New Roman" w:hAnsi="Times New Roman" w:cs="Times New Roman"/>
          <w:sz w:val="24"/>
          <w:szCs w:val="20"/>
          <w:lang w:val="es-ES"/>
        </w:rPr>
      </w:pPr>
      <w:r w:rsidRPr="00933B53">
        <w:rPr>
          <w:lang w:val="es-ES"/>
        </w:rPr>
        <w:br w:type="page"/>
      </w:r>
    </w:p>
    <w:p w:rsidR="002D6007" w:rsidRPr="00933B53" w:rsidRDefault="002D6007" w:rsidP="00A513D1">
      <w:pPr>
        <w:pStyle w:val="Paragraph"/>
        <w:tabs>
          <w:tab w:val="clear" w:pos="720"/>
          <w:tab w:val="num" w:pos="1566"/>
          <w:tab w:val="num" w:pos="2088"/>
          <w:tab w:val="num" w:pos="2196"/>
        </w:tabs>
        <w:autoSpaceDE w:val="0"/>
        <w:autoSpaceDN w:val="0"/>
        <w:adjustRightInd w:val="0"/>
        <w:spacing w:before="0" w:after="0"/>
        <w:ind w:firstLine="0"/>
        <w:rPr>
          <w:lang w:val="es-ES"/>
        </w:rPr>
      </w:pPr>
    </w:p>
    <w:p w:rsidR="002D6007" w:rsidRPr="008D2384" w:rsidRDefault="002D6007" w:rsidP="008D2384">
      <w:pPr>
        <w:pStyle w:val="Paragraph"/>
        <w:tabs>
          <w:tab w:val="clear" w:pos="720"/>
          <w:tab w:val="num" w:pos="1566"/>
          <w:tab w:val="num" w:pos="2088"/>
          <w:tab w:val="num" w:pos="2196"/>
        </w:tabs>
        <w:autoSpaceDE w:val="0"/>
        <w:autoSpaceDN w:val="0"/>
        <w:adjustRightInd w:val="0"/>
        <w:spacing w:before="0" w:after="0"/>
        <w:ind w:firstLine="0"/>
        <w:jc w:val="center"/>
        <w:rPr>
          <w:b/>
          <w:lang w:val="es-ES"/>
        </w:rPr>
      </w:pPr>
      <w:r w:rsidRPr="00933B53">
        <w:rPr>
          <w:b/>
          <w:lang w:val="es-ES"/>
        </w:rPr>
        <w:t xml:space="preserve">Gráfico </w:t>
      </w:r>
      <w:r w:rsidR="001230D1" w:rsidRPr="00933B53">
        <w:rPr>
          <w:b/>
          <w:lang w:val="es-ES"/>
        </w:rPr>
        <w:t>9</w:t>
      </w:r>
      <w:r w:rsidR="008D2384">
        <w:rPr>
          <w:b/>
          <w:lang w:val="es-ES"/>
        </w:rPr>
        <w:t xml:space="preserve">. </w:t>
      </w:r>
      <w:r w:rsidR="00A06B1C" w:rsidRPr="00F10FF1">
        <w:rPr>
          <w:b/>
          <w:lang w:val="es-ES"/>
        </w:rPr>
        <w:t>Destino de los préstamos por tamaño de empresa</w:t>
      </w:r>
    </w:p>
    <w:p w:rsidR="002D6007" w:rsidRPr="00933B53" w:rsidRDefault="00A06B1C" w:rsidP="00A513D1">
      <w:pPr>
        <w:pStyle w:val="Paragraph"/>
        <w:tabs>
          <w:tab w:val="clear" w:pos="720"/>
          <w:tab w:val="num" w:pos="1566"/>
          <w:tab w:val="num" w:pos="2088"/>
          <w:tab w:val="num" w:pos="2196"/>
        </w:tabs>
        <w:autoSpaceDE w:val="0"/>
        <w:autoSpaceDN w:val="0"/>
        <w:adjustRightInd w:val="0"/>
        <w:spacing w:before="0" w:after="0"/>
        <w:ind w:firstLine="0"/>
        <w:jc w:val="center"/>
      </w:pPr>
      <w:r w:rsidRPr="00933B53">
        <w:rPr>
          <w:noProof/>
        </w:rPr>
        <w:drawing>
          <wp:inline distT="0" distB="0" distL="0" distR="0" wp14:anchorId="4A3A54F6" wp14:editId="3ADA4133">
            <wp:extent cx="4826499" cy="3429312"/>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4831171" cy="3432632"/>
                    </a:xfrm>
                    <a:prstGeom prst="rect">
                      <a:avLst/>
                    </a:prstGeom>
                    <a:noFill/>
                    <a:ln>
                      <a:noFill/>
                    </a:ln>
                  </pic:spPr>
                </pic:pic>
              </a:graphicData>
            </a:graphic>
          </wp:inline>
        </w:drawing>
      </w:r>
    </w:p>
    <w:p w:rsidR="008D2384" w:rsidRPr="00A779AB" w:rsidRDefault="008D2384" w:rsidP="008D2384">
      <w:pPr>
        <w:pStyle w:val="Paragraph"/>
        <w:tabs>
          <w:tab w:val="clear" w:pos="720"/>
          <w:tab w:val="num" w:pos="1566"/>
          <w:tab w:val="num" w:pos="2088"/>
          <w:tab w:val="num" w:pos="2196"/>
        </w:tabs>
        <w:autoSpaceDE w:val="0"/>
        <w:autoSpaceDN w:val="0"/>
        <w:adjustRightInd w:val="0"/>
        <w:spacing w:before="0" w:after="0"/>
        <w:ind w:firstLine="0"/>
        <w:jc w:val="left"/>
        <w:rPr>
          <w:i/>
          <w:sz w:val="20"/>
          <w:lang w:val="es-ES"/>
        </w:rPr>
      </w:pPr>
      <w:r w:rsidRPr="00A779AB">
        <w:rPr>
          <w:i/>
          <w:sz w:val="20"/>
          <w:lang w:val="es-ES"/>
        </w:rPr>
        <w:t xml:space="preserve">Fuente: Elaboración propia </w:t>
      </w:r>
      <w:r>
        <w:rPr>
          <w:i/>
          <w:sz w:val="20"/>
          <w:lang w:val="es-ES"/>
        </w:rPr>
        <w:t>en base a encuestas</w:t>
      </w:r>
    </w:p>
    <w:p w:rsidR="00A513D1" w:rsidRPr="00933B53" w:rsidRDefault="00A513D1">
      <w:pPr>
        <w:rPr>
          <w:rFonts w:ascii="Times New Roman" w:eastAsia="Times New Roman" w:hAnsi="Times New Roman" w:cs="Times New Roman"/>
          <w:b/>
          <w:sz w:val="24"/>
          <w:szCs w:val="20"/>
          <w:lang w:val="es-ES"/>
        </w:rPr>
      </w:pPr>
    </w:p>
    <w:p w:rsidR="00794A32" w:rsidRPr="00F10FF1" w:rsidRDefault="00ED46BF" w:rsidP="008D2384">
      <w:pPr>
        <w:pStyle w:val="Paragraph"/>
        <w:tabs>
          <w:tab w:val="clear" w:pos="720"/>
          <w:tab w:val="num" w:pos="1566"/>
          <w:tab w:val="num" w:pos="2088"/>
          <w:tab w:val="num" w:pos="2196"/>
        </w:tabs>
        <w:autoSpaceDE w:val="0"/>
        <w:autoSpaceDN w:val="0"/>
        <w:adjustRightInd w:val="0"/>
        <w:spacing w:before="0" w:after="0"/>
        <w:ind w:firstLine="0"/>
        <w:jc w:val="center"/>
        <w:rPr>
          <w:b/>
          <w:lang w:val="es-ES"/>
        </w:rPr>
      </w:pPr>
      <w:r>
        <w:rPr>
          <w:b/>
          <w:lang w:val="es-ES"/>
        </w:rPr>
        <w:t xml:space="preserve">Gráfico </w:t>
      </w:r>
      <w:r w:rsidR="001230D1" w:rsidRPr="00933B53">
        <w:rPr>
          <w:b/>
          <w:lang w:val="es-ES"/>
        </w:rPr>
        <w:t>10</w:t>
      </w:r>
      <w:r w:rsidR="008D2384">
        <w:rPr>
          <w:b/>
          <w:lang w:val="es-ES"/>
        </w:rPr>
        <w:t xml:space="preserve">. </w:t>
      </w:r>
      <w:r w:rsidR="00F10FF1" w:rsidRPr="00F10FF1">
        <w:rPr>
          <w:b/>
          <w:lang w:val="es-ES"/>
        </w:rPr>
        <w:t>Destinos</w:t>
      </w:r>
      <w:r w:rsidR="00A06B1C" w:rsidRPr="00F10FF1">
        <w:rPr>
          <w:b/>
          <w:lang w:val="es-ES"/>
        </w:rPr>
        <w:t xml:space="preserve"> típicos de un préstamo de inversión, por tamaño de empresa</w:t>
      </w:r>
    </w:p>
    <w:p w:rsidR="00794A32" w:rsidRPr="00933B53" w:rsidRDefault="00A06B1C" w:rsidP="00A513D1">
      <w:pPr>
        <w:pStyle w:val="Paragraph"/>
        <w:tabs>
          <w:tab w:val="clear" w:pos="720"/>
          <w:tab w:val="num" w:pos="1566"/>
          <w:tab w:val="num" w:pos="2088"/>
          <w:tab w:val="num" w:pos="2196"/>
        </w:tabs>
        <w:autoSpaceDE w:val="0"/>
        <w:autoSpaceDN w:val="0"/>
        <w:adjustRightInd w:val="0"/>
        <w:spacing w:before="0" w:after="0"/>
        <w:ind w:firstLine="0"/>
        <w:jc w:val="center"/>
        <w:rPr>
          <w:lang w:val="es-AR"/>
        </w:rPr>
      </w:pPr>
      <w:r w:rsidRPr="00933B53">
        <w:rPr>
          <w:noProof/>
        </w:rPr>
        <w:drawing>
          <wp:inline distT="0" distB="0" distL="0" distR="0" wp14:anchorId="62042794" wp14:editId="546F41BD">
            <wp:extent cx="4743766" cy="3386179"/>
            <wp:effectExtent l="0" t="0" r="0" b="508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4748525" cy="3389576"/>
                    </a:xfrm>
                    <a:prstGeom prst="rect">
                      <a:avLst/>
                    </a:prstGeom>
                    <a:noFill/>
                    <a:ln>
                      <a:noFill/>
                    </a:ln>
                  </pic:spPr>
                </pic:pic>
              </a:graphicData>
            </a:graphic>
          </wp:inline>
        </w:drawing>
      </w:r>
    </w:p>
    <w:p w:rsidR="008D2384" w:rsidRPr="00A779AB" w:rsidRDefault="008D2384" w:rsidP="008D2384">
      <w:pPr>
        <w:pStyle w:val="Paragraph"/>
        <w:tabs>
          <w:tab w:val="clear" w:pos="720"/>
          <w:tab w:val="num" w:pos="1566"/>
          <w:tab w:val="num" w:pos="2088"/>
          <w:tab w:val="num" w:pos="2196"/>
        </w:tabs>
        <w:autoSpaceDE w:val="0"/>
        <w:autoSpaceDN w:val="0"/>
        <w:adjustRightInd w:val="0"/>
        <w:spacing w:before="0" w:after="0"/>
        <w:ind w:firstLine="0"/>
        <w:jc w:val="left"/>
        <w:rPr>
          <w:i/>
          <w:sz w:val="20"/>
          <w:lang w:val="es-ES"/>
        </w:rPr>
      </w:pPr>
      <w:r w:rsidRPr="00A779AB">
        <w:rPr>
          <w:i/>
          <w:sz w:val="20"/>
          <w:lang w:val="es-ES"/>
        </w:rPr>
        <w:t xml:space="preserve">Fuente: Elaboración propia </w:t>
      </w:r>
      <w:r>
        <w:rPr>
          <w:i/>
          <w:sz w:val="20"/>
          <w:lang w:val="es-ES"/>
        </w:rPr>
        <w:t>en base a encuestas</w:t>
      </w:r>
    </w:p>
    <w:p w:rsidR="00794A32" w:rsidRPr="00933B53" w:rsidRDefault="00933B53" w:rsidP="00933B53">
      <w:pPr>
        <w:rPr>
          <w:rFonts w:ascii="Times New Roman" w:eastAsia="Times New Roman" w:hAnsi="Times New Roman" w:cs="Times New Roman"/>
          <w:sz w:val="24"/>
          <w:szCs w:val="20"/>
          <w:lang w:val="es-ES"/>
        </w:rPr>
      </w:pPr>
      <w:r w:rsidRPr="00933B53">
        <w:rPr>
          <w:lang w:val="es-ES"/>
        </w:rPr>
        <w:br w:type="page"/>
      </w:r>
    </w:p>
    <w:p w:rsidR="00794A32" w:rsidRPr="00933B53" w:rsidRDefault="00933B53" w:rsidP="006A0340">
      <w:pPr>
        <w:pStyle w:val="Chapter"/>
        <w:tabs>
          <w:tab w:val="clear" w:pos="648"/>
          <w:tab w:val="clear" w:pos="1440"/>
          <w:tab w:val="left" w:pos="720"/>
        </w:tabs>
        <w:spacing w:before="120" w:after="120"/>
        <w:ind w:left="720" w:firstLine="0"/>
        <w:jc w:val="left"/>
        <w:rPr>
          <w:lang w:val="es-ES"/>
        </w:rPr>
      </w:pPr>
      <w:bookmarkStart w:id="16" w:name="_Toc388181604"/>
      <w:bookmarkStart w:id="17" w:name="_Toc388181675"/>
      <w:r w:rsidRPr="00933B53">
        <w:rPr>
          <w:lang w:val="es-ES"/>
        </w:rPr>
        <w:lastRenderedPageBreak/>
        <w:t>Anexo</w:t>
      </w:r>
      <w:r w:rsidR="009827C7">
        <w:rPr>
          <w:lang w:val="es-ES"/>
        </w:rPr>
        <w:t xml:space="preserve"> III.</w:t>
      </w:r>
      <w:r w:rsidR="006A0340">
        <w:rPr>
          <w:lang w:val="es-ES"/>
        </w:rPr>
        <w:t xml:space="preserve"> Metodología de </w:t>
      </w:r>
      <w:r w:rsidRPr="00933B53">
        <w:rPr>
          <w:lang w:val="es-ES"/>
        </w:rPr>
        <w:t xml:space="preserve"> encuestas</w:t>
      </w:r>
      <w:r w:rsidR="006A0340">
        <w:rPr>
          <w:lang w:val="es-ES"/>
        </w:rPr>
        <w:t xml:space="preserve"> a instituciones financieras</w:t>
      </w:r>
      <w:bookmarkEnd w:id="16"/>
      <w:bookmarkEnd w:id="17"/>
      <w:r w:rsidR="006A0340">
        <w:rPr>
          <w:lang w:val="es-ES"/>
        </w:rPr>
        <w:t xml:space="preserve"> </w:t>
      </w:r>
    </w:p>
    <w:p w:rsidR="00933B53" w:rsidRPr="00933B53" w:rsidRDefault="00933B53" w:rsidP="00CE63B9">
      <w:pPr>
        <w:pStyle w:val="Paragraph"/>
        <w:tabs>
          <w:tab w:val="num" w:pos="810"/>
          <w:tab w:val="num" w:pos="2196"/>
        </w:tabs>
        <w:autoSpaceDE w:val="0"/>
        <w:autoSpaceDN w:val="0"/>
        <w:adjustRightInd w:val="0"/>
        <w:ind w:left="0" w:firstLine="0"/>
        <w:rPr>
          <w:lang w:val="es-AR"/>
        </w:rPr>
      </w:pPr>
      <w:r w:rsidRPr="00933B53">
        <w:rPr>
          <w:lang w:val="es-AR"/>
        </w:rPr>
        <w:t xml:space="preserve">Dentro del estudio sobre las restricciones crediticias de las </w:t>
      </w:r>
      <w:r w:rsidR="00CE63B9">
        <w:rPr>
          <w:lang w:val="es-AR"/>
        </w:rPr>
        <w:t>MIPYMES</w:t>
      </w:r>
      <w:r w:rsidRPr="00933B53">
        <w:rPr>
          <w:lang w:val="es-AR"/>
        </w:rPr>
        <w:t xml:space="preserve"> en El Salvador, se ha utilizado el instrumento de las encuestas para recoger información al respecto. La encuesta utilizada tiene aspectos descriptivos, que permiten documentar las condiciones presentes, como también aspectos analíticas, que buscan explicar los porqués de la situación del crédito para las pequeñas y medianas empresas en El Salvador. </w:t>
      </w:r>
    </w:p>
    <w:p w:rsidR="00933B53" w:rsidRPr="00933B53" w:rsidRDefault="00933B53" w:rsidP="00CE63B9">
      <w:pPr>
        <w:pStyle w:val="Paragraph"/>
        <w:tabs>
          <w:tab w:val="num" w:pos="810"/>
          <w:tab w:val="num" w:pos="2196"/>
        </w:tabs>
        <w:autoSpaceDE w:val="0"/>
        <w:autoSpaceDN w:val="0"/>
        <w:adjustRightInd w:val="0"/>
        <w:ind w:left="0" w:firstLine="0"/>
        <w:rPr>
          <w:lang w:val="es-AR"/>
        </w:rPr>
      </w:pPr>
      <w:r w:rsidRPr="00933B53">
        <w:rPr>
          <w:lang w:val="es-AR"/>
        </w:rPr>
        <w:t xml:space="preserve">El objetivo principal de la encuesta es determinar la demanda de crédito de las pequeñas y medianas empresas en los próximos años en El Salvador. Para lo anterior se cuestionó sobre la variación en el crecimiento de distintos sectores y el conjunto de la economía, número de solicitudes y montos de los créditos concedidos actualmente y la expectativa en dos años, riesgos en la concesión de préstamos y utilización de los mismos. </w:t>
      </w:r>
    </w:p>
    <w:p w:rsidR="00933B53" w:rsidRPr="00933B53" w:rsidRDefault="00933B53" w:rsidP="00CE63B9">
      <w:pPr>
        <w:pStyle w:val="Paragraph"/>
        <w:tabs>
          <w:tab w:val="num" w:pos="810"/>
          <w:tab w:val="num" w:pos="2196"/>
        </w:tabs>
        <w:autoSpaceDE w:val="0"/>
        <w:autoSpaceDN w:val="0"/>
        <w:adjustRightInd w:val="0"/>
        <w:ind w:left="0" w:firstLine="0"/>
        <w:rPr>
          <w:lang w:val="es-AR"/>
        </w:rPr>
      </w:pPr>
      <w:r w:rsidRPr="00933B53">
        <w:rPr>
          <w:lang w:val="es-AR"/>
        </w:rPr>
        <w:t>En un principio la encuesta deseaba englobar el universo de las instituciones financieras de El Salvador que concediesen préstamos productivos y estuviesen reguladas por la superintendencia del sistema financiero. Entre el banco de desarrollo de El Salvador (</w:t>
      </w:r>
      <w:r w:rsidR="00F34695">
        <w:rPr>
          <w:lang w:val="es-AR"/>
        </w:rPr>
        <w:t>BANDESAL</w:t>
      </w:r>
      <w:r w:rsidRPr="00933B53">
        <w:rPr>
          <w:lang w:val="es-AR"/>
        </w:rPr>
        <w:t xml:space="preserve">) y el BID, se procedió a contactar a todas las instituciones. Finalmente, de las 25 instituciones que operan en el país, se logró que contestasen 12 instituciones. Estas doce instituciones representan el 24.97% de los préstamos concedidos en El Salvador.  </w:t>
      </w:r>
    </w:p>
    <w:p w:rsidR="00933B53" w:rsidRPr="00933B53" w:rsidRDefault="00933B53" w:rsidP="00CE63B9">
      <w:pPr>
        <w:pStyle w:val="Paragraph"/>
        <w:tabs>
          <w:tab w:val="num" w:pos="810"/>
          <w:tab w:val="num" w:pos="2196"/>
        </w:tabs>
        <w:autoSpaceDE w:val="0"/>
        <w:autoSpaceDN w:val="0"/>
        <w:adjustRightInd w:val="0"/>
        <w:ind w:left="0" w:firstLine="0"/>
        <w:rPr>
          <w:lang w:val="es-AR"/>
        </w:rPr>
      </w:pPr>
      <w:r w:rsidRPr="00933B53">
        <w:rPr>
          <w:lang w:val="es-AR"/>
        </w:rPr>
        <w:t>El medio de captura utilizado ha sido la Web</w:t>
      </w:r>
      <w:r w:rsidRPr="00CE63B9">
        <w:rPr>
          <w:vertAlign w:val="superscript"/>
          <w:lang w:val="es-AR"/>
        </w:rPr>
        <w:footnoteReference w:id="17"/>
      </w:r>
      <w:r w:rsidRPr="00933B53">
        <w:rPr>
          <w:lang w:val="es-AR"/>
        </w:rPr>
        <w:t xml:space="preserve"> (CAWI: Computer Assisted Web Interview). La plataforma utilizada para llevar a cabo la encuesta ha sido </w:t>
      </w:r>
      <w:hyperlink r:id="rId42" w:history="1">
        <w:r w:rsidRPr="00933B53">
          <w:rPr>
            <w:lang w:val="es-AR"/>
          </w:rPr>
          <w:t>SoGoSurvey</w:t>
        </w:r>
      </w:hyperlink>
      <w:r w:rsidRPr="00933B53">
        <w:rPr>
          <w:lang w:val="es-AR"/>
        </w:rPr>
        <w:t xml:space="preserve">. El problema que suelen presentar este tipo de encuestas es la baja tasa de respuestas debido a la falta de motivación del entrevistado. El apoyo de BANDESAL y la cercanía que tienen con sus clientes fue imprescindible para obtener una elevada tasa de respuestas. La combinación institucional del BID y BANDESAL aportó credibilidad al proceso y redujo los márgenes de resistencia de los encuestados.  El diseño de las preguntas se contempló desde una óptica donde fuesen fáciles de contestar y cuantificar, además de dar un carácter de uniformización a las respuestas, para lo cual se utilizaron preguntas cerradas. </w:t>
      </w:r>
    </w:p>
    <w:p w:rsidR="00933B53" w:rsidRPr="00933B53" w:rsidRDefault="00933B53" w:rsidP="00CE63B9">
      <w:pPr>
        <w:pStyle w:val="Paragraph"/>
        <w:tabs>
          <w:tab w:val="num" w:pos="810"/>
          <w:tab w:val="num" w:pos="2196"/>
        </w:tabs>
        <w:autoSpaceDE w:val="0"/>
        <w:autoSpaceDN w:val="0"/>
        <w:adjustRightInd w:val="0"/>
        <w:ind w:left="0" w:firstLine="0"/>
        <w:rPr>
          <w:lang w:val="es-AR"/>
        </w:rPr>
      </w:pPr>
      <w:r w:rsidRPr="00933B53">
        <w:rPr>
          <w:lang w:val="es-AR"/>
        </w:rPr>
        <w:t>El cuestionario se lanzó el 4 de abril de 2014 y llegó al encuestado a través de un enlace en un correo electrónico. Se realizaron dos recordatorios en forma de correo electrónico los días 11 y 23 de abril, tras lo cual se dió por cerrada la recogida de respuestas el 24 de abril. Antes de cualquier correo electrónico enviado se realizaba un contacto telefónico por parte de BANDESAL en el cual se avisaba del envío del mensaje y la conformidad del entrevistado.</w:t>
      </w:r>
    </w:p>
    <w:p w:rsidR="00933B53" w:rsidRPr="00933B53" w:rsidRDefault="00933B53" w:rsidP="00CE63B9">
      <w:pPr>
        <w:pStyle w:val="Paragraph"/>
        <w:tabs>
          <w:tab w:val="num" w:pos="810"/>
          <w:tab w:val="num" w:pos="2196"/>
        </w:tabs>
        <w:autoSpaceDE w:val="0"/>
        <w:autoSpaceDN w:val="0"/>
        <w:adjustRightInd w:val="0"/>
        <w:ind w:left="0" w:firstLine="0"/>
        <w:rPr>
          <w:lang w:val="es-AR"/>
        </w:rPr>
      </w:pPr>
      <w:r w:rsidRPr="00933B53">
        <w:rPr>
          <w:lang w:val="es-AR"/>
        </w:rPr>
        <w:t xml:space="preserve">La información recogida fue analizada y se muestra en la sección C del documento. El análisis de los resultados refleja con transparencia, objetividad y consistencia la información recopilada. Dentro de la transparencia se mantendrá en estricta confidencialidad la identidad de las instituciones que respondieron a la encuesta. </w:t>
      </w:r>
    </w:p>
    <w:p w:rsidR="00933B53" w:rsidRDefault="00933B53" w:rsidP="00933B53">
      <w:pPr>
        <w:rPr>
          <w:lang w:val="es-AR"/>
        </w:rPr>
      </w:pPr>
    </w:p>
    <w:p w:rsidR="00537007" w:rsidRDefault="00537007" w:rsidP="00933B53">
      <w:pPr>
        <w:rPr>
          <w:lang w:val="es-AR"/>
        </w:rPr>
      </w:pPr>
    </w:p>
    <w:p w:rsidR="00537007" w:rsidRPr="009827C7" w:rsidRDefault="00537007" w:rsidP="009827C7">
      <w:pPr>
        <w:jc w:val="center"/>
        <w:rPr>
          <w:rFonts w:ascii="Times New Roman" w:eastAsia="Times New Roman" w:hAnsi="Times New Roman" w:cs="Times New Roman"/>
          <w:b/>
          <w:smallCaps/>
          <w:sz w:val="24"/>
          <w:szCs w:val="20"/>
          <w:lang w:val="es-ES"/>
        </w:rPr>
      </w:pPr>
      <w:r w:rsidRPr="009827C7">
        <w:rPr>
          <w:rFonts w:ascii="Times New Roman" w:eastAsia="Times New Roman" w:hAnsi="Times New Roman" w:cs="Times New Roman"/>
          <w:b/>
          <w:smallCaps/>
          <w:sz w:val="24"/>
          <w:szCs w:val="20"/>
          <w:lang w:val="es-ES"/>
        </w:rPr>
        <w:lastRenderedPageBreak/>
        <w:t>Cuestionario</w:t>
      </w:r>
    </w:p>
    <w:p w:rsidR="00537007" w:rsidRDefault="00537007" w:rsidP="00933B53">
      <w:pPr>
        <w:rPr>
          <w:b/>
          <w:lang w:val="es-AR"/>
        </w:rPr>
      </w:pPr>
      <w:r>
        <w:rPr>
          <w:noProof/>
        </w:rPr>
        <w:drawing>
          <wp:inline distT="0" distB="0" distL="0" distR="0" wp14:anchorId="3BC0A486" wp14:editId="687471BC">
            <wp:extent cx="5274310" cy="7638290"/>
            <wp:effectExtent l="0" t="0" r="2540" b="127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3"/>
                    <a:stretch>
                      <a:fillRect/>
                    </a:stretch>
                  </pic:blipFill>
                  <pic:spPr>
                    <a:xfrm>
                      <a:off x="0" y="0"/>
                      <a:ext cx="5274310" cy="7638290"/>
                    </a:xfrm>
                    <a:prstGeom prst="rect">
                      <a:avLst/>
                    </a:prstGeom>
                  </pic:spPr>
                </pic:pic>
              </a:graphicData>
            </a:graphic>
          </wp:inline>
        </w:drawing>
      </w:r>
    </w:p>
    <w:p w:rsidR="00537007" w:rsidRDefault="00537007" w:rsidP="00933B53">
      <w:pPr>
        <w:rPr>
          <w:b/>
          <w:lang w:val="es-AR"/>
        </w:rPr>
      </w:pPr>
      <w:r>
        <w:rPr>
          <w:noProof/>
        </w:rPr>
        <w:lastRenderedPageBreak/>
        <w:drawing>
          <wp:inline distT="0" distB="0" distL="0" distR="0" wp14:anchorId="563C16F5" wp14:editId="5A4990CA">
            <wp:extent cx="5274310" cy="7829904"/>
            <wp:effectExtent l="0" t="0" r="254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4"/>
                    <a:stretch>
                      <a:fillRect/>
                    </a:stretch>
                  </pic:blipFill>
                  <pic:spPr>
                    <a:xfrm>
                      <a:off x="0" y="0"/>
                      <a:ext cx="5274310" cy="7829904"/>
                    </a:xfrm>
                    <a:prstGeom prst="rect">
                      <a:avLst/>
                    </a:prstGeom>
                  </pic:spPr>
                </pic:pic>
              </a:graphicData>
            </a:graphic>
          </wp:inline>
        </w:drawing>
      </w:r>
    </w:p>
    <w:p w:rsidR="00537007" w:rsidRDefault="00537007" w:rsidP="00933B53">
      <w:pPr>
        <w:rPr>
          <w:b/>
          <w:lang w:val="es-AR"/>
        </w:rPr>
      </w:pPr>
      <w:r>
        <w:rPr>
          <w:noProof/>
        </w:rPr>
        <w:lastRenderedPageBreak/>
        <w:drawing>
          <wp:inline distT="0" distB="0" distL="0" distR="0" wp14:anchorId="534482C7" wp14:editId="0659EDA1">
            <wp:extent cx="5274310" cy="7903232"/>
            <wp:effectExtent l="0" t="0" r="2540" b="254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5"/>
                    <a:stretch>
                      <a:fillRect/>
                    </a:stretch>
                  </pic:blipFill>
                  <pic:spPr>
                    <a:xfrm>
                      <a:off x="0" y="0"/>
                      <a:ext cx="5274310" cy="7903232"/>
                    </a:xfrm>
                    <a:prstGeom prst="rect">
                      <a:avLst/>
                    </a:prstGeom>
                  </pic:spPr>
                </pic:pic>
              </a:graphicData>
            </a:graphic>
          </wp:inline>
        </w:drawing>
      </w:r>
    </w:p>
    <w:p w:rsidR="00537007" w:rsidRDefault="00537007" w:rsidP="00933B53">
      <w:pPr>
        <w:rPr>
          <w:b/>
          <w:lang w:val="es-AR"/>
        </w:rPr>
      </w:pPr>
      <w:r>
        <w:rPr>
          <w:noProof/>
        </w:rPr>
        <w:lastRenderedPageBreak/>
        <w:drawing>
          <wp:inline distT="0" distB="0" distL="0" distR="0" wp14:anchorId="42FDEB17" wp14:editId="2230B4A3">
            <wp:extent cx="5274310" cy="7936266"/>
            <wp:effectExtent l="0" t="0" r="2540" b="762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6"/>
                    <a:stretch>
                      <a:fillRect/>
                    </a:stretch>
                  </pic:blipFill>
                  <pic:spPr>
                    <a:xfrm>
                      <a:off x="0" y="0"/>
                      <a:ext cx="5274310" cy="7936266"/>
                    </a:xfrm>
                    <a:prstGeom prst="rect">
                      <a:avLst/>
                    </a:prstGeom>
                  </pic:spPr>
                </pic:pic>
              </a:graphicData>
            </a:graphic>
          </wp:inline>
        </w:drawing>
      </w:r>
    </w:p>
    <w:p w:rsidR="00537007" w:rsidRDefault="00537007" w:rsidP="00933B53">
      <w:pPr>
        <w:rPr>
          <w:b/>
          <w:lang w:val="es-AR"/>
        </w:rPr>
      </w:pPr>
      <w:r>
        <w:rPr>
          <w:noProof/>
        </w:rPr>
        <w:lastRenderedPageBreak/>
        <w:drawing>
          <wp:inline distT="0" distB="0" distL="0" distR="0" wp14:anchorId="418E9E8B" wp14:editId="1764FF5C">
            <wp:extent cx="5274310" cy="6210275"/>
            <wp:effectExtent l="0" t="0" r="2540" b="635"/>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7"/>
                    <a:stretch>
                      <a:fillRect/>
                    </a:stretch>
                  </pic:blipFill>
                  <pic:spPr>
                    <a:xfrm>
                      <a:off x="0" y="0"/>
                      <a:ext cx="5274310" cy="6210275"/>
                    </a:xfrm>
                    <a:prstGeom prst="rect">
                      <a:avLst/>
                    </a:prstGeom>
                  </pic:spPr>
                </pic:pic>
              </a:graphicData>
            </a:graphic>
          </wp:inline>
        </w:drawing>
      </w:r>
    </w:p>
    <w:p w:rsidR="006A0340" w:rsidRDefault="006A0340" w:rsidP="00933B53">
      <w:pPr>
        <w:rPr>
          <w:b/>
          <w:lang w:val="es-AR"/>
        </w:rPr>
        <w:sectPr w:rsidR="006A0340" w:rsidSect="001A49BA">
          <w:footerReference w:type="default" r:id="rId48"/>
          <w:pgSz w:w="11906" w:h="16838"/>
          <w:pgMar w:top="1179" w:right="1797" w:bottom="1440" w:left="1797" w:header="709" w:footer="709" w:gutter="0"/>
          <w:pgNumType w:start="0"/>
          <w:cols w:space="708"/>
          <w:titlePg/>
          <w:docGrid w:linePitch="360"/>
        </w:sectPr>
      </w:pPr>
    </w:p>
    <w:p w:rsidR="006A0340" w:rsidRDefault="006A0340" w:rsidP="006A0340">
      <w:pPr>
        <w:pStyle w:val="Chapter"/>
        <w:tabs>
          <w:tab w:val="clear" w:pos="648"/>
          <w:tab w:val="clear" w:pos="1440"/>
          <w:tab w:val="left" w:pos="720"/>
        </w:tabs>
        <w:spacing w:before="120" w:after="120"/>
        <w:ind w:left="720" w:firstLine="0"/>
        <w:jc w:val="left"/>
        <w:rPr>
          <w:lang w:val="es-ES"/>
        </w:rPr>
      </w:pPr>
      <w:bookmarkStart w:id="18" w:name="_Toc388181605"/>
      <w:bookmarkStart w:id="19" w:name="_Toc388181676"/>
      <w:r w:rsidRPr="00933B53">
        <w:rPr>
          <w:lang w:val="es-ES"/>
        </w:rPr>
        <w:lastRenderedPageBreak/>
        <w:t>Anexo</w:t>
      </w:r>
      <w:r w:rsidR="00EF06C8">
        <w:rPr>
          <w:lang w:val="es-ES"/>
        </w:rPr>
        <w:t xml:space="preserve"> IV.</w:t>
      </w:r>
      <w:r>
        <w:rPr>
          <w:lang w:val="es-ES"/>
        </w:rPr>
        <w:t xml:space="preserve"> Lista de instituciones financieras encuestadas</w:t>
      </w:r>
      <w:bookmarkEnd w:id="18"/>
      <w:bookmarkEnd w:id="19"/>
    </w:p>
    <w:p w:rsidR="001D0259" w:rsidRDefault="001D0259">
      <w:pPr>
        <w:rPr>
          <w:lang w:val="es-E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tblBorders>
        <w:tblLook w:val="04A0" w:firstRow="1" w:lastRow="0" w:firstColumn="1" w:lastColumn="0" w:noHBand="0" w:noVBand="1"/>
      </w:tblPr>
      <w:tblGrid>
        <w:gridCol w:w="8446"/>
      </w:tblGrid>
      <w:tr w:rsidR="00EF06C8" w:rsidTr="00006EFF">
        <w:tc>
          <w:tcPr>
            <w:tcW w:w="8446" w:type="dxa"/>
          </w:tcPr>
          <w:p w:rsidR="00EF06C8" w:rsidRPr="00EF06C8" w:rsidRDefault="009A61E0" w:rsidP="009A61E0">
            <w:pPr>
              <w:rPr>
                <w:rFonts w:ascii="Times New Roman" w:hAnsi="Times New Roman" w:cs="Times New Roman"/>
                <w:lang w:val="es-ES"/>
              </w:rPr>
            </w:pPr>
            <w:r>
              <w:rPr>
                <w:rFonts w:ascii="Times New Roman" w:eastAsia="Times New Roman" w:hAnsi="Times New Roman" w:cs="Times New Roman"/>
                <w:color w:val="000000"/>
                <w:lang w:val="es-ES" w:eastAsia="es-ES"/>
              </w:rPr>
              <w:t xml:space="preserve">Banco de América Central </w:t>
            </w:r>
          </w:p>
        </w:tc>
      </w:tr>
      <w:tr w:rsidR="008327B0" w:rsidRPr="00651882" w:rsidTr="00006EFF">
        <w:tc>
          <w:tcPr>
            <w:tcW w:w="8446" w:type="dxa"/>
          </w:tcPr>
          <w:p w:rsidR="008327B0" w:rsidRPr="001D0259" w:rsidRDefault="008327B0">
            <w:pPr>
              <w:rPr>
                <w:rFonts w:ascii="Times New Roman" w:eastAsia="Times New Roman" w:hAnsi="Times New Roman" w:cs="Times New Roman"/>
                <w:color w:val="000000"/>
                <w:lang w:val="es-ES" w:eastAsia="es-ES"/>
              </w:rPr>
            </w:pPr>
            <w:r w:rsidRPr="001D0259">
              <w:rPr>
                <w:rFonts w:ascii="Times New Roman" w:eastAsia="Times New Roman" w:hAnsi="Times New Roman" w:cs="Times New Roman"/>
                <w:color w:val="000000"/>
                <w:lang w:val="es-ES" w:eastAsia="es-ES"/>
              </w:rPr>
              <w:t>Banco de los Trabajadores Salvadoreño</w:t>
            </w:r>
          </w:p>
        </w:tc>
      </w:tr>
      <w:tr w:rsidR="008327B0" w:rsidTr="00006EFF">
        <w:tc>
          <w:tcPr>
            <w:tcW w:w="8446" w:type="dxa"/>
          </w:tcPr>
          <w:p w:rsidR="008327B0" w:rsidRPr="001D0259" w:rsidRDefault="008327B0">
            <w:pPr>
              <w:rPr>
                <w:rFonts w:ascii="Times New Roman" w:eastAsia="Times New Roman" w:hAnsi="Times New Roman" w:cs="Times New Roman"/>
                <w:color w:val="000000"/>
                <w:lang w:val="es-ES" w:eastAsia="es-ES"/>
              </w:rPr>
            </w:pPr>
            <w:r w:rsidRPr="00EF06C8">
              <w:rPr>
                <w:rFonts w:ascii="Times New Roman" w:hAnsi="Times New Roman" w:cs="Times New Roman"/>
                <w:lang w:val="es-ES"/>
              </w:rPr>
              <w:t>Banco Industrial</w:t>
            </w:r>
          </w:p>
        </w:tc>
      </w:tr>
      <w:tr w:rsidR="008327B0" w:rsidRPr="00651882" w:rsidTr="00006EFF">
        <w:tc>
          <w:tcPr>
            <w:tcW w:w="8446" w:type="dxa"/>
          </w:tcPr>
          <w:p w:rsidR="008327B0" w:rsidRPr="001D0259" w:rsidRDefault="008327B0">
            <w:pPr>
              <w:rPr>
                <w:rFonts w:ascii="Times New Roman" w:eastAsia="Times New Roman" w:hAnsi="Times New Roman" w:cs="Times New Roman"/>
                <w:color w:val="000000"/>
                <w:lang w:val="es-ES" w:eastAsia="es-ES"/>
              </w:rPr>
            </w:pPr>
            <w:r w:rsidRPr="001D0259">
              <w:rPr>
                <w:rFonts w:ascii="Times New Roman" w:eastAsia="Times New Roman" w:hAnsi="Times New Roman" w:cs="Times New Roman"/>
                <w:color w:val="000000"/>
                <w:lang w:val="es-ES" w:eastAsia="es-ES"/>
              </w:rPr>
              <w:t>Banco Izalqueño de los Trabajadores</w:t>
            </w:r>
          </w:p>
        </w:tc>
      </w:tr>
      <w:tr w:rsidR="00EF06C8" w:rsidRPr="00651882" w:rsidTr="00006EFF">
        <w:tc>
          <w:tcPr>
            <w:tcW w:w="8446" w:type="dxa"/>
          </w:tcPr>
          <w:p w:rsidR="00EF06C8" w:rsidRPr="00EF06C8" w:rsidRDefault="008327B0">
            <w:pPr>
              <w:rPr>
                <w:rFonts w:ascii="Times New Roman" w:hAnsi="Times New Roman" w:cs="Times New Roman"/>
                <w:lang w:val="es-ES"/>
              </w:rPr>
            </w:pPr>
            <w:r w:rsidRPr="001D0259">
              <w:rPr>
                <w:rFonts w:ascii="Times New Roman" w:eastAsia="Times New Roman" w:hAnsi="Times New Roman" w:cs="Times New Roman"/>
                <w:color w:val="000000"/>
                <w:lang w:val="es-ES" w:eastAsia="es-ES"/>
              </w:rPr>
              <w:t>Banco Hipotecario de El Salvador</w:t>
            </w:r>
          </w:p>
        </w:tc>
      </w:tr>
      <w:tr w:rsidR="00EF06C8" w:rsidTr="00006EFF">
        <w:tc>
          <w:tcPr>
            <w:tcW w:w="8446" w:type="dxa"/>
          </w:tcPr>
          <w:p w:rsidR="00EF06C8" w:rsidRPr="00EF06C8" w:rsidRDefault="008327B0">
            <w:pPr>
              <w:rPr>
                <w:rFonts w:ascii="Times New Roman" w:hAnsi="Times New Roman" w:cs="Times New Roman"/>
                <w:lang w:val="es-ES"/>
              </w:rPr>
            </w:pPr>
            <w:r w:rsidRPr="001D0259">
              <w:rPr>
                <w:rFonts w:ascii="Times New Roman" w:eastAsia="Times New Roman" w:hAnsi="Times New Roman" w:cs="Times New Roman"/>
                <w:color w:val="000000"/>
                <w:lang w:val="es-ES" w:eastAsia="es-ES"/>
              </w:rPr>
              <w:t>Banco Promérica</w:t>
            </w:r>
          </w:p>
        </w:tc>
      </w:tr>
      <w:tr w:rsidR="00EF06C8" w:rsidRPr="00651882" w:rsidTr="00006EFF">
        <w:tc>
          <w:tcPr>
            <w:tcW w:w="8446" w:type="dxa"/>
          </w:tcPr>
          <w:p w:rsidR="00EF06C8" w:rsidRPr="00EF06C8" w:rsidRDefault="008327B0">
            <w:pPr>
              <w:rPr>
                <w:rFonts w:ascii="Times New Roman" w:hAnsi="Times New Roman" w:cs="Times New Roman"/>
                <w:lang w:val="es-ES"/>
              </w:rPr>
            </w:pPr>
            <w:r w:rsidRPr="00EF06C8">
              <w:rPr>
                <w:rFonts w:ascii="Times New Roman" w:eastAsia="Times New Roman" w:hAnsi="Times New Roman" w:cs="Times New Roman"/>
                <w:color w:val="000000"/>
                <w:lang w:val="es-ES" w:eastAsia="es-ES"/>
              </w:rPr>
              <w:t>Caja de Credito de San Vicente</w:t>
            </w:r>
          </w:p>
        </w:tc>
      </w:tr>
      <w:tr w:rsidR="00EF06C8" w:rsidRPr="00651882" w:rsidTr="00006EFF">
        <w:tc>
          <w:tcPr>
            <w:tcW w:w="8446" w:type="dxa"/>
            <w:vAlign w:val="bottom"/>
          </w:tcPr>
          <w:p w:rsidR="00EF06C8" w:rsidRPr="001D0259" w:rsidRDefault="008327B0" w:rsidP="00C84C8C">
            <w:pPr>
              <w:rPr>
                <w:rFonts w:ascii="Times New Roman" w:eastAsia="Times New Roman" w:hAnsi="Times New Roman" w:cs="Times New Roman"/>
                <w:color w:val="000000"/>
                <w:lang w:val="es-ES" w:eastAsia="es-ES"/>
              </w:rPr>
            </w:pPr>
            <w:r w:rsidRPr="00EF06C8">
              <w:rPr>
                <w:rFonts w:ascii="Times New Roman" w:eastAsia="Times New Roman" w:hAnsi="Times New Roman" w:cs="Times New Roman"/>
                <w:color w:val="000000"/>
                <w:lang w:val="es-ES" w:eastAsia="es-ES"/>
              </w:rPr>
              <w:t>Caja de Credito de Zacatecoluca</w:t>
            </w:r>
          </w:p>
        </w:tc>
      </w:tr>
      <w:tr w:rsidR="00EF06C8" w:rsidTr="00006EFF">
        <w:tc>
          <w:tcPr>
            <w:tcW w:w="8446" w:type="dxa"/>
            <w:vAlign w:val="bottom"/>
          </w:tcPr>
          <w:p w:rsidR="00EF06C8" w:rsidRPr="001D0259" w:rsidRDefault="008327B0" w:rsidP="00C84C8C">
            <w:pPr>
              <w:rPr>
                <w:rFonts w:ascii="Times New Roman" w:eastAsia="Times New Roman" w:hAnsi="Times New Roman" w:cs="Times New Roman"/>
                <w:color w:val="000000"/>
                <w:lang w:val="es-ES" w:eastAsia="es-ES"/>
              </w:rPr>
            </w:pPr>
            <w:r w:rsidRPr="001D0259">
              <w:rPr>
                <w:rFonts w:ascii="Times New Roman" w:eastAsia="Times New Roman" w:hAnsi="Times New Roman" w:cs="Times New Roman"/>
                <w:color w:val="000000"/>
                <w:lang w:val="es-ES" w:eastAsia="es-ES"/>
              </w:rPr>
              <w:t>FEDECREDITO</w:t>
            </w:r>
          </w:p>
        </w:tc>
      </w:tr>
      <w:tr w:rsidR="00EF06C8" w:rsidRPr="00651882" w:rsidTr="00006EFF">
        <w:tc>
          <w:tcPr>
            <w:tcW w:w="8446" w:type="dxa"/>
            <w:vAlign w:val="bottom"/>
          </w:tcPr>
          <w:p w:rsidR="00EF06C8" w:rsidRPr="001D0259" w:rsidRDefault="00EF06C8" w:rsidP="00C84C8C">
            <w:pPr>
              <w:rPr>
                <w:rFonts w:ascii="Times New Roman" w:eastAsia="Times New Roman" w:hAnsi="Times New Roman" w:cs="Times New Roman"/>
                <w:color w:val="000000"/>
                <w:lang w:val="es-ES" w:eastAsia="es-ES"/>
              </w:rPr>
            </w:pPr>
            <w:r w:rsidRPr="001D0259">
              <w:rPr>
                <w:rFonts w:ascii="Times New Roman" w:eastAsia="Times New Roman" w:hAnsi="Times New Roman" w:cs="Times New Roman"/>
                <w:color w:val="000000"/>
                <w:lang w:val="es-ES" w:eastAsia="es-ES"/>
              </w:rPr>
              <w:t>Primer Banco de los Trabajadores</w:t>
            </w:r>
          </w:p>
        </w:tc>
      </w:tr>
      <w:tr w:rsidR="00EF06C8" w:rsidRPr="00651882" w:rsidTr="00006EFF">
        <w:tc>
          <w:tcPr>
            <w:tcW w:w="8446" w:type="dxa"/>
            <w:vAlign w:val="bottom"/>
          </w:tcPr>
          <w:p w:rsidR="00EF06C8" w:rsidRPr="00EF06C8" w:rsidRDefault="00EF06C8" w:rsidP="00C84C8C">
            <w:pPr>
              <w:rPr>
                <w:rFonts w:ascii="Times New Roman" w:eastAsia="Times New Roman" w:hAnsi="Times New Roman" w:cs="Times New Roman"/>
                <w:color w:val="000000"/>
                <w:lang w:val="es-ES" w:eastAsia="es-ES"/>
              </w:rPr>
            </w:pPr>
            <w:r w:rsidRPr="001D0259">
              <w:rPr>
                <w:rFonts w:ascii="Times New Roman" w:eastAsia="Times New Roman" w:hAnsi="Times New Roman" w:cs="Times New Roman"/>
                <w:color w:val="000000"/>
                <w:lang w:val="es-ES" w:eastAsia="es-ES"/>
              </w:rPr>
              <w:t>Sociedad de Ahorro y Crédito CREDICOMER</w:t>
            </w:r>
          </w:p>
        </w:tc>
      </w:tr>
      <w:tr w:rsidR="00EF06C8" w:rsidRPr="00651882" w:rsidTr="00006EFF">
        <w:tc>
          <w:tcPr>
            <w:tcW w:w="8446" w:type="dxa"/>
            <w:vAlign w:val="bottom"/>
          </w:tcPr>
          <w:p w:rsidR="00EF06C8" w:rsidRPr="00EF06C8" w:rsidRDefault="00EF06C8" w:rsidP="00C84C8C">
            <w:pPr>
              <w:rPr>
                <w:rFonts w:ascii="Times New Roman" w:eastAsia="Times New Roman" w:hAnsi="Times New Roman" w:cs="Times New Roman"/>
                <w:color w:val="000000"/>
                <w:lang w:val="es-ES" w:eastAsia="es-ES"/>
              </w:rPr>
            </w:pPr>
            <w:r w:rsidRPr="001D0259">
              <w:rPr>
                <w:rFonts w:ascii="Times New Roman" w:eastAsia="Times New Roman" w:hAnsi="Times New Roman" w:cs="Times New Roman"/>
                <w:color w:val="000000"/>
                <w:lang w:val="es-ES" w:eastAsia="es-ES"/>
              </w:rPr>
              <w:t>Sociedad de Ahorro y Crédito Constelación</w:t>
            </w:r>
          </w:p>
        </w:tc>
      </w:tr>
      <w:tr w:rsidR="00EF06C8" w:rsidRPr="00651882" w:rsidTr="00006EFF">
        <w:tc>
          <w:tcPr>
            <w:tcW w:w="8446" w:type="dxa"/>
            <w:vAlign w:val="bottom"/>
          </w:tcPr>
          <w:p w:rsidR="00EF06C8" w:rsidRPr="00EF06C8" w:rsidRDefault="00EF06C8" w:rsidP="00C84C8C">
            <w:pPr>
              <w:rPr>
                <w:rFonts w:ascii="Times New Roman" w:eastAsia="Times New Roman" w:hAnsi="Times New Roman" w:cs="Times New Roman"/>
                <w:color w:val="000000"/>
                <w:lang w:val="es-ES" w:eastAsia="es-ES"/>
              </w:rPr>
            </w:pPr>
          </w:p>
        </w:tc>
      </w:tr>
      <w:tr w:rsidR="00EF06C8" w:rsidRPr="00651882" w:rsidTr="00006EFF">
        <w:tc>
          <w:tcPr>
            <w:tcW w:w="8446" w:type="dxa"/>
            <w:vAlign w:val="bottom"/>
          </w:tcPr>
          <w:p w:rsidR="00EF06C8" w:rsidRPr="00EF06C8" w:rsidRDefault="00EF06C8" w:rsidP="00C84C8C">
            <w:pPr>
              <w:rPr>
                <w:rFonts w:ascii="Times New Roman" w:eastAsia="Times New Roman" w:hAnsi="Times New Roman" w:cs="Times New Roman"/>
                <w:color w:val="000000"/>
                <w:lang w:val="es-ES" w:eastAsia="es-ES"/>
              </w:rPr>
            </w:pPr>
          </w:p>
        </w:tc>
      </w:tr>
    </w:tbl>
    <w:p w:rsidR="006A0340" w:rsidRDefault="006A0340">
      <w:pPr>
        <w:rPr>
          <w:rFonts w:ascii="Times New Roman" w:eastAsia="Times New Roman" w:hAnsi="Times New Roman" w:cs="Times New Roman"/>
          <w:b/>
          <w:smallCaps/>
          <w:sz w:val="24"/>
          <w:szCs w:val="20"/>
          <w:lang w:val="es-ES"/>
        </w:rPr>
      </w:pPr>
    </w:p>
    <w:p w:rsidR="00EF06C8" w:rsidRDefault="00EF06C8">
      <w:pPr>
        <w:rPr>
          <w:rFonts w:ascii="Times New Roman" w:eastAsia="Times New Roman" w:hAnsi="Times New Roman" w:cs="Times New Roman"/>
          <w:b/>
          <w:smallCaps/>
          <w:sz w:val="24"/>
          <w:szCs w:val="20"/>
          <w:lang w:val="es-ES"/>
        </w:rPr>
      </w:pPr>
    </w:p>
    <w:p w:rsidR="00EF06C8" w:rsidRDefault="00EF06C8">
      <w:pPr>
        <w:rPr>
          <w:rFonts w:ascii="Times New Roman" w:eastAsia="Times New Roman" w:hAnsi="Times New Roman" w:cs="Times New Roman"/>
          <w:b/>
          <w:smallCaps/>
          <w:sz w:val="24"/>
          <w:szCs w:val="20"/>
          <w:lang w:val="es-ES"/>
        </w:rPr>
      </w:pPr>
    </w:p>
    <w:p w:rsidR="00EF06C8" w:rsidRDefault="00EF06C8">
      <w:pPr>
        <w:rPr>
          <w:rFonts w:ascii="Times New Roman" w:eastAsia="Times New Roman" w:hAnsi="Times New Roman" w:cs="Times New Roman"/>
          <w:b/>
          <w:smallCaps/>
          <w:sz w:val="24"/>
          <w:szCs w:val="20"/>
          <w:lang w:val="es-ES"/>
        </w:rPr>
      </w:pPr>
    </w:p>
    <w:p w:rsidR="00EF06C8" w:rsidRDefault="00EF06C8">
      <w:pPr>
        <w:rPr>
          <w:rFonts w:ascii="Times New Roman" w:eastAsia="Times New Roman" w:hAnsi="Times New Roman" w:cs="Times New Roman"/>
          <w:b/>
          <w:smallCaps/>
          <w:sz w:val="24"/>
          <w:szCs w:val="20"/>
          <w:lang w:val="es-ES"/>
        </w:rPr>
      </w:pPr>
    </w:p>
    <w:p w:rsidR="00EF06C8" w:rsidRDefault="00EF06C8">
      <w:pPr>
        <w:rPr>
          <w:rFonts w:ascii="Times New Roman" w:eastAsia="Times New Roman" w:hAnsi="Times New Roman" w:cs="Times New Roman"/>
          <w:b/>
          <w:smallCaps/>
          <w:sz w:val="24"/>
          <w:szCs w:val="20"/>
          <w:lang w:val="es-ES"/>
        </w:rPr>
      </w:pPr>
    </w:p>
    <w:p w:rsidR="00EF06C8" w:rsidRDefault="00EF06C8">
      <w:pPr>
        <w:rPr>
          <w:rFonts w:ascii="Times New Roman" w:eastAsia="Times New Roman" w:hAnsi="Times New Roman" w:cs="Times New Roman"/>
          <w:b/>
          <w:smallCaps/>
          <w:sz w:val="24"/>
          <w:szCs w:val="20"/>
          <w:lang w:val="es-ES"/>
        </w:rPr>
      </w:pPr>
    </w:p>
    <w:p w:rsidR="00EF06C8" w:rsidRDefault="00EF06C8">
      <w:pPr>
        <w:rPr>
          <w:rFonts w:ascii="Times New Roman" w:eastAsia="Times New Roman" w:hAnsi="Times New Roman" w:cs="Times New Roman"/>
          <w:b/>
          <w:smallCaps/>
          <w:sz w:val="24"/>
          <w:szCs w:val="20"/>
          <w:lang w:val="es-ES"/>
        </w:rPr>
      </w:pPr>
    </w:p>
    <w:p w:rsidR="00EF06C8" w:rsidRDefault="00EF06C8">
      <w:pPr>
        <w:rPr>
          <w:rFonts w:ascii="Times New Roman" w:eastAsia="Times New Roman" w:hAnsi="Times New Roman" w:cs="Times New Roman"/>
          <w:b/>
          <w:smallCaps/>
          <w:sz w:val="24"/>
          <w:szCs w:val="20"/>
          <w:lang w:val="es-ES"/>
        </w:rPr>
      </w:pPr>
    </w:p>
    <w:p w:rsidR="00EF06C8" w:rsidRDefault="00EF06C8">
      <w:pPr>
        <w:rPr>
          <w:rFonts w:ascii="Times New Roman" w:eastAsia="Times New Roman" w:hAnsi="Times New Roman" w:cs="Times New Roman"/>
          <w:b/>
          <w:smallCaps/>
          <w:sz w:val="24"/>
          <w:szCs w:val="20"/>
          <w:lang w:val="es-ES"/>
        </w:rPr>
      </w:pPr>
    </w:p>
    <w:p w:rsidR="00EF06C8" w:rsidRDefault="00EF06C8">
      <w:pPr>
        <w:rPr>
          <w:rFonts w:ascii="Times New Roman" w:eastAsia="Times New Roman" w:hAnsi="Times New Roman" w:cs="Times New Roman"/>
          <w:b/>
          <w:smallCaps/>
          <w:sz w:val="24"/>
          <w:szCs w:val="20"/>
          <w:lang w:val="es-ES"/>
        </w:rPr>
      </w:pPr>
    </w:p>
    <w:p w:rsidR="00325426" w:rsidRDefault="00325426">
      <w:pPr>
        <w:rPr>
          <w:rFonts w:ascii="Times New Roman" w:eastAsia="Times New Roman" w:hAnsi="Times New Roman" w:cs="Times New Roman"/>
          <w:b/>
          <w:smallCaps/>
          <w:sz w:val="24"/>
          <w:szCs w:val="20"/>
          <w:lang w:val="es-ES"/>
        </w:rPr>
      </w:pPr>
    </w:p>
    <w:p w:rsidR="00325426" w:rsidRDefault="00325426">
      <w:pPr>
        <w:rPr>
          <w:rFonts w:ascii="Times New Roman" w:eastAsia="Times New Roman" w:hAnsi="Times New Roman" w:cs="Times New Roman"/>
          <w:b/>
          <w:smallCaps/>
          <w:sz w:val="24"/>
          <w:szCs w:val="20"/>
          <w:lang w:val="es-ES"/>
        </w:rPr>
      </w:pPr>
    </w:p>
    <w:p w:rsidR="00325426" w:rsidRDefault="00325426">
      <w:pPr>
        <w:rPr>
          <w:rFonts w:ascii="Times New Roman" w:eastAsia="Times New Roman" w:hAnsi="Times New Roman" w:cs="Times New Roman"/>
          <w:b/>
          <w:smallCaps/>
          <w:sz w:val="24"/>
          <w:szCs w:val="20"/>
          <w:lang w:val="es-ES"/>
        </w:rPr>
      </w:pPr>
    </w:p>
    <w:p w:rsidR="00325426" w:rsidRDefault="00325426">
      <w:pPr>
        <w:rPr>
          <w:rFonts w:ascii="Times New Roman" w:eastAsia="Times New Roman" w:hAnsi="Times New Roman" w:cs="Times New Roman"/>
          <w:b/>
          <w:smallCaps/>
          <w:sz w:val="24"/>
          <w:szCs w:val="20"/>
          <w:lang w:val="es-ES"/>
        </w:rPr>
      </w:pPr>
    </w:p>
    <w:p w:rsidR="00325426" w:rsidRDefault="00325426">
      <w:pPr>
        <w:rPr>
          <w:rFonts w:ascii="Times New Roman" w:eastAsia="Times New Roman" w:hAnsi="Times New Roman" w:cs="Times New Roman"/>
          <w:b/>
          <w:smallCaps/>
          <w:sz w:val="24"/>
          <w:szCs w:val="20"/>
          <w:lang w:val="es-ES"/>
        </w:rPr>
      </w:pPr>
    </w:p>
    <w:p w:rsidR="00325426" w:rsidRDefault="00325426">
      <w:pPr>
        <w:rPr>
          <w:rFonts w:ascii="Times New Roman" w:eastAsia="Times New Roman" w:hAnsi="Times New Roman" w:cs="Times New Roman"/>
          <w:b/>
          <w:smallCaps/>
          <w:sz w:val="24"/>
          <w:szCs w:val="20"/>
          <w:lang w:val="es-ES"/>
        </w:rPr>
      </w:pPr>
    </w:p>
    <w:p w:rsidR="00C84C8C" w:rsidRDefault="00C84C8C">
      <w:pPr>
        <w:rPr>
          <w:rFonts w:ascii="Times New Roman" w:eastAsia="Times New Roman" w:hAnsi="Times New Roman" w:cs="Times New Roman"/>
          <w:b/>
          <w:smallCaps/>
          <w:sz w:val="24"/>
          <w:szCs w:val="20"/>
          <w:lang w:val="es-ES"/>
        </w:rPr>
      </w:pPr>
    </w:p>
    <w:p w:rsidR="00C84C8C" w:rsidRDefault="005803B8" w:rsidP="00384E9D">
      <w:pPr>
        <w:pStyle w:val="Chapter"/>
        <w:tabs>
          <w:tab w:val="clear" w:pos="648"/>
          <w:tab w:val="clear" w:pos="1440"/>
          <w:tab w:val="left" w:pos="720"/>
        </w:tabs>
        <w:spacing w:before="120" w:after="120"/>
        <w:ind w:left="720" w:firstLine="0"/>
      </w:pPr>
      <w:bookmarkStart w:id="20" w:name="_Toc388181606"/>
      <w:bookmarkStart w:id="21" w:name="_Toc388181677"/>
      <w:r w:rsidRPr="00487FFC">
        <w:lastRenderedPageBreak/>
        <w:t>Bibliografía y R</w:t>
      </w:r>
      <w:r w:rsidR="006A0340" w:rsidRPr="00487FFC">
        <w:t>eferencias</w:t>
      </w:r>
      <w:bookmarkEnd w:id="20"/>
      <w:bookmarkEnd w:id="21"/>
    </w:p>
    <w:p w:rsidR="00384E9D" w:rsidRPr="00384E9D" w:rsidRDefault="00384E9D" w:rsidP="00384E9D"/>
    <w:p w:rsidR="00965708" w:rsidRDefault="00965708" w:rsidP="00C84C8C">
      <w:pPr>
        <w:jc w:val="both"/>
        <w:outlineLvl w:val="1"/>
        <w:rPr>
          <w:rFonts w:ascii="Times New Roman" w:eastAsia="Times New Roman" w:hAnsi="Times New Roman" w:cs="Times New Roman"/>
          <w:sz w:val="24"/>
          <w:szCs w:val="20"/>
        </w:rPr>
      </w:pPr>
      <w:r w:rsidRPr="00ED20F7">
        <w:rPr>
          <w:rFonts w:ascii="Times New Roman" w:eastAsia="Times New Roman" w:hAnsi="Times New Roman" w:cs="Times New Roman"/>
          <w:sz w:val="24"/>
          <w:szCs w:val="20"/>
        </w:rPr>
        <w:t>Acosta, P., Lartey, E., Mandelman, F., “</w:t>
      </w:r>
      <w:hyperlink r:id="rId49" w:history="1">
        <w:r w:rsidRPr="00384E9D">
          <w:rPr>
            <w:rStyle w:val="Hyperlink"/>
            <w:rFonts w:ascii="Times New Roman" w:eastAsia="Times New Roman" w:hAnsi="Times New Roman" w:cs="Times New Roman"/>
            <w:sz w:val="24"/>
            <w:szCs w:val="20"/>
          </w:rPr>
          <w:t>Remittances and the Dutch Disease</w:t>
        </w:r>
      </w:hyperlink>
      <w:r>
        <w:rPr>
          <w:rFonts w:ascii="Times New Roman" w:eastAsia="Times New Roman" w:hAnsi="Times New Roman" w:cs="Times New Roman"/>
          <w:sz w:val="24"/>
          <w:szCs w:val="20"/>
        </w:rPr>
        <w:t>”, Working Paper 2007-8ª, F</w:t>
      </w:r>
      <w:r w:rsidRPr="00ED20F7">
        <w:rPr>
          <w:rFonts w:ascii="Times New Roman" w:eastAsia="Times New Roman" w:hAnsi="Times New Roman" w:cs="Times New Roman"/>
          <w:sz w:val="24"/>
          <w:szCs w:val="20"/>
        </w:rPr>
        <w:t>ederal Reserve of Atlanta, Agosto 2009</w:t>
      </w:r>
      <w:r w:rsidR="00384E9D">
        <w:rPr>
          <w:rFonts w:ascii="Times New Roman" w:eastAsia="Times New Roman" w:hAnsi="Times New Roman" w:cs="Times New Roman"/>
          <w:sz w:val="24"/>
          <w:szCs w:val="20"/>
        </w:rPr>
        <w:t>.</w:t>
      </w:r>
    </w:p>
    <w:p w:rsidR="00384E9D" w:rsidRPr="00384E9D" w:rsidRDefault="00384E9D" w:rsidP="00C84C8C">
      <w:pPr>
        <w:jc w:val="both"/>
        <w:outlineLvl w:val="1"/>
        <w:rPr>
          <w:rFonts w:ascii="Times New Roman" w:eastAsia="Times New Roman" w:hAnsi="Times New Roman" w:cs="Times New Roman"/>
          <w:sz w:val="24"/>
          <w:szCs w:val="20"/>
          <w:lang w:val="es-ES"/>
        </w:rPr>
      </w:pPr>
      <w:r>
        <w:rPr>
          <w:rFonts w:ascii="Times New Roman" w:eastAsia="Times New Roman" w:hAnsi="Times New Roman" w:cs="Times New Roman"/>
          <w:sz w:val="24"/>
          <w:szCs w:val="20"/>
          <w:lang w:val="es-ES"/>
        </w:rPr>
        <w:t>Amaya, P.,</w:t>
      </w:r>
      <w:r w:rsidRPr="00516CBA">
        <w:rPr>
          <w:rFonts w:ascii="Times New Roman" w:eastAsia="Times New Roman" w:hAnsi="Times New Roman" w:cs="Times New Roman"/>
          <w:sz w:val="24"/>
          <w:szCs w:val="20"/>
          <w:lang w:val="es-ES"/>
        </w:rPr>
        <w:t xml:space="preserve"> Cabrera Melgar</w:t>
      </w:r>
      <w:r>
        <w:rPr>
          <w:rFonts w:ascii="Times New Roman" w:eastAsia="Times New Roman" w:hAnsi="Times New Roman" w:cs="Times New Roman"/>
          <w:sz w:val="24"/>
          <w:szCs w:val="20"/>
          <w:lang w:val="es-ES"/>
        </w:rPr>
        <w:t>, OO., “</w:t>
      </w:r>
      <w:hyperlink r:id="rId50" w:history="1">
        <w:r w:rsidRPr="00516CBA">
          <w:rPr>
            <w:rStyle w:val="Hyperlink"/>
            <w:rFonts w:ascii="Times New Roman" w:eastAsia="Times New Roman" w:hAnsi="Times New Roman" w:cs="Times New Roman"/>
            <w:sz w:val="24"/>
            <w:szCs w:val="20"/>
            <w:lang w:val="es-ES"/>
          </w:rPr>
          <w:t>La Transformación Estructural: Una solución a la trampa de bajo crecimiento económico en El Salvador</w:t>
        </w:r>
      </w:hyperlink>
      <w:r>
        <w:rPr>
          <w:rFonts w:ascii="Times New Roman" w:eastAsia="Times New Roman" w:hAnsi="Times New Roman" w:cs="Times New Roman"/>
          <w:sz w:val="24"/>
          <w:szCs w:val="20"/>
          <w:lang w:val="es-ES"/>
        </w:rPr>
        <w:t>”, Documento de Trabajo, Banco Central de Reserva de El Salvador, 2013</w:t>
      </w:r>
    </w:p>
    <w:p w:rsidR="00C84C8C" w:rsidRDefault="00651882" w:rsidP="00C84C8C">
      <w:pPr>
        <w:jc w:val="both"/>
        <w:outlineLvl w:val="1"/>
        <w:rPr>
          <w:rFonts w:ascii="Times New Roman" w:eastAsia="Times New Roman" w:hAnsi="Times New Roman" w:cs="Times New Roman"/>
          <w:sz w:val="24"/>
          <w:szCs w:val="20"/>
          <w:lang w:val="es-ES"/>
        </w:rPr>
      </w:pPr>
      <w:hyperlink r:id="rId51" w:history="1">
        <w:r w:rsidR="00C84C8C" w:rsidRPr="00C84C8C">
          <w:rPr>
            <w:rStyle w:val="Hyperlink"/>
            <w:rFonts w:ascii="Times New Roman" w:eastAsia="Times New Roman" w:hAnsi="Times New Roman" w:cs="Times New Roman"/>
            <w:sz w:val="24"/>
            <w:szCs w:val="20"/>
            <w:lang w:val="es-ES"/>
          </w:rPr>
          <w:t>Antecedentes y situación histórica del sistema financiero en El Salvador</w:t>
        </w:r>
      </w:hyperlink>
      <w:r w:rsidR="00965708">
        <w:rPr>
          <w:rFonts w:ascii="Times New Roman" w:eastAsia="Times New Roman" w:hAnsi="Times New Roman" w:cs="Times New Roman"/>
          <w:sz w:val="24"/>
          <w:szCs w:val="20"/>
          <w:lang w:val="es-ES"/>
        </w:rPr>
        <w:t xml:space="preserve">. Universidad José </w:t>
      </w:r>
      <w:r w:rsidR="00C84C8C">
        <w:rPr>
          <w:rFonts w:ascii="Times New Roman" w:eastAsia="Times New Roman" w:hAnsi="Times New Roman" w:cs="Times New Roman"/>
          <w:sz w:val="24"/>
          <w:szCs w:val="20"/>
          <w:lang w:val="es-ES"/>
        </w:rPr>
        <w:t>María Delgado</w:t>
      </w:r>
    </w:p>
    <w:p w:rsidR="00384E9D" w:rsidRDefault="00384E9D" w:rsidP="00C84C8C">
      <w:pPr>
        <w:jc w:val="both"/>
        <w:outlineLvl w:val="1"/>
        <w:rPr>
          <w:rFonts w:ascii="Times New Roman" w:eastAsia="Times New Roman" w:hAnsi="Times New Roman" w:cs="Times New Roman"/>
          <w:sz w:val="24"/>
          <w:szCs w:val="20"/>
          <w:lang w:val="es-ES"/>
        </w:rPr>
      </w:pPr>
      <w:r>
        <w:rPr>
          <w:rFonts w:ascii="Times New Roman" w:eastAsia="Times New Roman" w:hAnsi="Times New Roman" w:cs="Times New Roman"/>
          <w:sz w:val="24"/>
          <w:szCs w:val="20"/>
          <w:lang w:val="es-ES"/>
        </w:rPr>
        <w:t>Arévalo, JO</w:t>
      </w:r>
      <w:r w:rsidRPr="00516CBA">
        <w:rPr>
          <w:rFonts w:ascii="Times New Roman" w:eastAsia="Times New Roman" w:hAnsi="Times New Roman" w:cs="Times New Roman"/>
          <w:sz w:val="24"/>
          <w:szCs w:val="20"/>
          <w:lang w:val="es-ES"/>
        </w:rPr>
        <w:t xml:space="preserve"> </w:t>
      </w:r>
      <w:r>
        <w:rPr>
          <w:rFonts w:ascii="Times New Roman" w:eastAsia="Times New Roman" w:hAnsi="Times New Roman" w:cs="Times New Roman"/>
          <w:sz w:val="24"/>
          <w:szCs w:val="20"/>
          <w:lang w:val="es-ES"/>
        </w:rPr>
        <w:t>“</w:t>
      </w:r>
      <w:hyperlink r:id="rId52" w:history="1">
        <w:r w:rsidRPr="00516CBA">
          <w:rPr>
            <w:rStyle w:val="Hyperlink"/>
            <w:rFonts w:ascii="Times New Roman" w:eastAsia="Times New Roman" w:hAnsi="Times New Roman" w:cs="Times New Roman"/>
            <w:sz w:val="24"/>
            <w:szCs w:val="20"/>
            <w:lang w:val="es-ES"/>
          </w:rPr>
          <w:t>Determinantes del crédito al sector privado en El Salvador</w:t>
        </w:r>
      </w:hyperlink>
      <w:r>
        <w:rPr>
          <w:rFonts w:ascii="Times New Roman" w:eastAsia="Times New Roman" w:hAnsi="Times New Roman" w:cs="Times New Roman"/>
          <w:sz w:val="24"/>
          <w:szCs w:val="20"/>
          <w:lang w:val="es-ES"/>
        </w:rPr>
        <w:t>”, Documento de Trabajo, Banco Central de Reserva de El Salvador, 2012</w:t>
      </w:r>
    </w:p>
    <w:p w:rsidR="00384E9D" w:rsidRPr="00384E9D" w:rsidRDefault="00384E9D" w:rsidP="00384E9D">
      <w:pPr>
        <w:pStyle w:val="Chapter"/>
        <w:tabs>
          <w:tab w:val="clear" w:pos="648"/>
          <w:tab w:val="clear" w:pos="1440"/>
          <w:tab w:val="left" w:pos="720"/>
        </w:tabs>
        <w:spacing w:before="120" w:after="120"/>
        <w:ind w:firstLine="0"/>
        <w:jc w:val="both"/>
        <w:rPr>
          <w:b w:val="0"/>
          <w:smallCaps w:val="0"/>
          <w:lang w:val="es-AR"/>
        </w:rPr>
      </w:pPr>
      <w:r>
        <w:rPr>
          <w:b w:val="0"/>
          <w:smallCaps w:val="0"/>
          <w:lang w:val="es-AR"/>
        </w:rPr>
        <w:t xml:space="preserve">BANDESAL, Base de datos de cartera de crédito, </w:t>
      </w:r>
      <w:r w:rsidRPr="005803B8">
        <w:rPr>
          <w:b w:val="0"/>
          <w:smallCaps w:val="0"/>
          <w:lang w:val="es-AR"/>
        </w:rPr>
        <w:t>Febrero - Marzo 2014</w:t>
      </w:r>
      <w:r>
        <w:rPr>
          <w:b w:val="0"/>
          <w:smallCaps w:val="0"/>
          <w:lang w:val="es-AR"/>
        </w:rPr>
        <w:t>.</w:t>
      </w:r>
    </w:p>
    <w:p w:rsidR="00924B64" w:rsidRPr="00924B64" w:rsidRDefault="00924B64" w:rsidP="00516CBA">
      <w:pPr>
        <w:jc w:val="both"/>
        <w:outlineLvl w:val="1"/>
        <w:rPr>
          <w:rFonts w:ascii="Times New Roman" w:eastAsia="Times New Roman" w:hAnsi="Times New Roman" w:cs="Times New Roman"/>
          <w:sz w:val="24"/>
          <w:szCs w:val="20"/>
          <w:lang w:val="es-ES"/>
        </w:rPr>
      </w:pPr>
      <w:r w:rsidRPr="00924B64">
        <w:rPr>
          <w:rFonts w:ascii="Times New Roman" w:eastAsia="Times New Roman" w:hAnsi="Times New Roman" w:cs="Times New Roman"/>
          <w:sz w:val="24"/>
          <w:szCs w:val="20"/>
          <w:lang w:val="es-ES"/>
        </w:rPr>
        <w:t>Cartagena</w:t>
      </w:r>
      <w:r>
        <w:rPr>
          <w:rFonts w:ascii="Times New Roman" w:eastAsia="Times New Roman" w:hAnsi="Times New Roman" w:cs="Times New Roman"/>
          <w:sz w:val="24"/>
          <w:szCs w:val="20"/>
          <w:lang w:val="es-ES"/>
        </w:rPr>
        <w:t>, E. “Situació</w:t>
      </w:r>
      <w:r w:rsidRPr="00924B64">
        <w:rPr>
          <w:rFonts w:ascii="Times New Roman" w:eastAsia="Times New Roman" w:hAnsi="Times New Roman" w:cs="Times New Roman"/>
          <w:sz w:val="24"/>
          <w:szCs w:val="20"/>
          <w:lang w:val="es-ES"/>
        </w:rPr>
        <w:t>n Actual y Perspectivas de</w:t>
      </w:r>
      <w:r>
        <w:rPr>
          <w:rFonts w:ascii="Times New Roman" w:eastAsia="Times New Roman" w:hAnsi="Times New Roman" w:cs="Times New Roman"/>
          <w:sz w:val="24"/>
          <w:szCs w:val="20"/>
          <w:lang w:val="es-ES"/>
        </w:rPr>
        <w:t>l Desarrollo Financiero en El Salvador”, Documento de Trabajo, Banco Central de Reserva de El Salvador, 2006</w:t>
      </w:r>
    </w:p>
    <w:p w:rsidR="00C84C8C" w:rsidRDefault="00924B64" w:rsidP="00924B64">
      <w:pPr>
        <w:jc w:val="both"/>
        <w:outlineLvl w:val="1"/>
        <w:rPr>
          <w:rFonts w:ascii="Times New Roman" w:eastAsia="Times New Roman" w:hAnsi="Times New Roman" w:cs="Times New Roman"/>
          <w:sz w:val="24"/>
          <w:szCs w:val="20"/>
          <w:lang w:val="es-ES"/>
        </w:rPr>
      </w:pPr>
      <w:r>
        <w:rPr>
          <w:rFonts w:ascii="Times New Roman" w:eastAsia="Times New Roman" w:hAnsi="Times New Roman" w:cs="Times New Roman"/>
          <w:sz w:val="24"/>
          <w:szCs w:val="20"/>
          <w:lang w:val="es-ES"/>
        </w:rPr>
        <w:t>Chorro, M., “</w:t>
      </w:r>
      <w:hyperlink r:id="rId53" w:history="1">
        <w:r w:rsidRPr="00924B64">
          <w:rPr>
            <w:rStyle w:val="Hyperlink"/>
            <w:rFonts w:ascii="Times New Roman" w:eastAsia="Times New Roman" w:hAnsi="Times New Roman" w:cs="Times New Roman"/>
            <w:sz w:val="24"/>
            <w:szCs w:val="20"/>
            <w:lang w:val="es-ES"/>
          </w:rPr>
          <w:t>Financiamiento a la inversión de las pequeñas y medianas empresas: el caso de El Salvador</w:t>
        </w:r>
      </w:hyperlink>
      <w:r>
        <w:rPr>
          <w:rFonts w:ascii="Times New Roman" w:eastAsia="Times New Roman" w:hAnsi="Times New Roman" w:cs="Times New Roman"/>
          <w:sz w:val="24"/>
          <w:szCs w:val="20"/>
          <w:lang w:val="es-ES"/>
        </w:rPr>
        <w:t>”</w:t>
      </w:r>
      <w:r w:rsidR="00965708">
        <w:rPr>
          <w:rFonts w:ascii="Times New Roman" w:eastAsia="Times New Roman" w:hAnsi="Times New Roman" w:cs="Times New Roman"/>
          <w:sz w:val="24"/>
          <w:szCs w:val="20"/>
          <w:lang w:val="es-ES"/>
        </w:rPr>
        <w:t xml:space="preserve">, </w:t>
      </w:r>
      <w:r w:rsidR="00965708" w:rsidRPr="00965708">
        <w:rPr>
          <w:rFonts w:ascii="Times New Roman" w:eastAsia="Times New Roman" w:hAnsi="Times New Roman" w:cs="Times New Roman"/>
          <w:sz w:val="24"/>
          <w:szCs w:val="20"/>
          <w:lang w:val="es-ES"/>
        </w:rPr>
        <w:t>Sección de Estudios del Desarroll</w:t>
      </w:r>
      <w:r w:rsidR="00965708">
        <w:rPr>
          <w:rFonts w:ascii="Times New Roman" w:eastAsia="Times New Roman" w:hAnsi="Times New Roman" w:cs="Times New Roman"/>
          <w:sz w:val="24"/>
          <w:szCs w:val="20"/>
          <w:lang w:val="es-ES"/>
        </w:rPr>
        <w:t xml:space="preserve">o, CEPAL, 2010. </w:t>
      </w:r>
    </w:p>
    <w:p w:rsidR="00384E9D" w:rsidRPr="00384E9D" w:rsidRDefault="00384E9D" w:rsidP="00384E9D">
      <w:pPr>
        <w:pStyle w:val="Chapter"/>
        <w:tabs>
          <w:tab w:val="clear" w:pos="648"/>
          <w:tab w:val="clear" w:pos="1440"/>
          <w:tab w:val="left" w:pos="720"/>
        </w:tabs>
        <w:spacing w:before="120" w:after="120"/>
        <w:ind w:firstLine="0"/>
        <w:jc w:val="both"/>
        <w:rPr>
          <w:b w:val="0"/>
          <w:smallCaps w:val="0"/>
          <w:lang w:val="es-AR"/>
        </w:rPr>
      </w:pPr>
      <w:r w:rsidRPr="005803B8">
        <w:rPr>
          <w:b w:val="0"/>
          <w:smallCaps w:val="0"/>
          <w:lang w:val="es-AR"/>
        </w:rPr>
        <w:t>Consejo Monetario Centroamericano, Secretaría Ejecutiva, Series Mensuales de Indicadores Bancarios, Febrero - Marzo 2014</w:t>
      </w:r>
      <w:r>
        <w:rPr>
          <w:b w:val="0"/>
          <w:smallCaps w:val="0"/>
          <w:lang w:val="es-AR"/>
        </w:rPr>
        <w:t>.</w:t>
      </w:r>
    </w:p>
    <w:p w:rsidR="00384E9D" w:rsidRPr="00384E9D" w:rsidRDefault="00651882" w:rsidP="00924B64">
      <w:pPr>
        <w:jc w:val="both"/>
        <w:outlineLvl w:val="1"/>
        <w:rPr>
          <w:rFonts w:ascii="Times New Roman" w:eastAsia="Times New Roman" w:hAnsi="Times New Roman" w:cs="Times New Roman"/>
          <w:sz w:val="24"/>
          <w:szCs w:val="20"/>
          <w:lang w:val="es-ES"/>
        </w:rPr>
      </w:pPr>
      <w:hyperlink r:id="rId54" w:history="1">
        <w:r w:rsidR="00384E9D" w:rsidRPr="00C84C8C">
          <w:rPr>
            <w:rStyle w:val="Hyperlink"/>
            <w:rFonts w:ascii="Times New Roman" w:eastAsia="Times New Roman" w:hAnsi="Times New Roman" w:cs="Times New Roman"/>
            <w:sz w:val="24"/>
            <w:szCs w:val="20"/>
            <w:lang w:val="es-ES"/>
          </w:rPr>
          <w:t>Encuentro Nacional de la Empresa Privada</w:t>
        </w:r>
      </w:hyperlink>
      <w:r w:rsidR="00384E9D">
        <w:rPr>
          <w:rFonts w:ascii="Times New Roman" w:eastAsia="Times New Roman" w:hAnsi="Times New Roman" w:cs="Times New Roman"/>
          <w:sz w:val="24"/>
          <w:szCs w:val="20"/>
          <w:lang w:val="es-ES"/>
        </w:rPr>
        <w:t xml:space="preserve">. </w:t>
      </w:r>
      <w:r w:rsidR="00384E9D" w:rsidRPr="00C84C8C">
        <w:rPr>
          <w:rFonts w:ascii="Times New Roman" w:eastAsia="Times New Roman" w:hAnsi="Times New Roman" w:cs="Times New Roman"/>
          <w:sz w:val="24"/>
          <w:szCs w:val="20"/>
          <w:lang w:val="es-ES"/>
        </w:rPr>
        <w:t>Asociación Nacional de la E</w:t>
      </w:r>
      <w:r w:rsidR="00384E9D">
        <w:rPr>
          <w:rFonts w:ascii="Times New Roman" w:eastAsia="Times New Roman" w:hAnsi="Times New Roman" w:cs="Times New Roman"/>
          <w:sz w:val="24"/>
          <w:szCs w:val="20"/>
          <w:lang w:val="es-ES"/>
        </w:rPr>
        <w:t>mpresa Privada</w:t>
      </w:r>
    </w:p>
    <w:p w:rsidR="00965708" w:rsidRPr="00F10FF1" w:rsidRDefault="00965708" w:rsidP="00924B64">
      <w:pPr>
        <w:jc w:val="both"/>
        <w:outlineLvl w:val="1"/>
        <w:rPr>
          <w:rFonts w:ascii="Times New Roman" w:eastAsia="Times New Roman" w:hAnsi="Times New Roman" w:cs="Times New Roman"/>
          <w:sz w:val="24"/>
          <w:szCs w:val="20"/>
          <w:lang w:val="es-ES_tradnl"/>
        </w:rPr>
      </w:pPr>
      <w:r w:rsidRPr="00F10FF1">
        <w:rPr>
          <w:rFonts w:ascii="Times New Roman" w:eastAsia="Times New Roman" w:hAnsi="Times New Roman" w:cs="Times New Roman"/>
          <w:sz w:val="24"/>
          <w:szCs w:val="20"/>
          <w:lang w:val="es-ES_tradnl"/>
        </w:rPr>
        <w:t xml:space="preserve">Enterprise Survey El Salvador, 2010. </w:t>
      </w:r>
    </w:p>
    <w:p w:rsidR="00384E9D" w:rsidRPr="00E60504" w:rsidRDefault="00384E9D" w:rsidP="00384E9D">
      <w:pPr>
        <w:jc w:val="both"/>
        <w:outlineLvl w:val="1"/>
        <w:rPr>
          <w:rFonts w:ascii="Times New Roman" w:eastAsia="Times New Roman" w:hAnsi="Times New Roman" w:cs="Times New Roman"/>
          <w:sz w:val="24"/>
          <w:szCs w:val="20"/>
        </w:rPr>
      </w:pPr>
      <w:r w:rsidRPr="00384E9D">
        <w:rPr>
          <w:rFonts w:ascii="Times New Roman" w:eastAsia="Times New Roman" w:hAnsi="Times New Roman" w:cs="Times New Roman"/>
          <w:sz w:val="24"/>
          <w:szCs w:val="20"/>
          <w:lang w:val="es-ES"/>
        </w:rPr>
        <w:t xml:space="preserve">Estudio de mercado pyme: necesidades y demanda para los servicios financieros. </w:t>
      </w:r>
      <w:r w:rsidRPr="00E60504">
        <w:rPr>
          <w:rFonts w:ascii="Times New Roman" w:eastAsia="Times New Roman" w:hAnsi="Times New Roman" w:cs="Times New Roman"/>
          <w:sz w:val="24"/>
          <w:szCs w:val="20"/>
        </w:rPr>
        <w:t>USAID. 2006</w:t>
      </w:r>
    </w:p>
    <w:p w:rsidR="00384E9D" w:rsidRPr="00384E9D" w:rsidRDefault="00384E9D" w:rsidP="00384E9D">
      <w:pPr>
        <w:jc w:val="both"/>
        <w:outlineLvl w:val="1"/>
        <w:rPr>
          <w:rFonts w:ascii="Times New Roman" w:eastAsia="Times New Roman" w:hAnsi="Times New Roman" w:cs="Times New Roman"/>
          <w:sz w:val="24"/>
          <w:szCs w:val="20"/>
        </w:rPr>
      </w:pPr>
      <w:r w:rsidRPr="00AB1418">
        <w:rPr>
          <w:rFonts w:ascii="Times New Roman" w:eastAsia="Times New Roman" w:hAnsi="Times New Roman" w:cs="Times New Roman"/>
          <w:sz w:val="24"/>
          <w:szCs w:val="20"/>
        </w:rPr>
        <w:t>Fondo Monetario Internacional, World Economic and Financial Surveys, World Economic O</w:t>
      </w:r>
      <w:r>
        <w:rPr>
          <w:rFonts w:ascii="Times New Roman" w:eastAsia="Times New Roman" w:hAnsi="Times New Roman" w:cs="Times New Roman"/>
          <w:sz w:val="24"/>
          <w:szCs w:val="20"/>
        </w:rPr>
        <w:t xml:space="preserve">utlook Database, Octubre 2013. </w:t>
      </w:r>
    </w:p>
    <w:p w:rsidR="00384E9D" w:rsidRPr="00384E9D" w:rsidRDefault="00384E9D" w:rsidP="00924B64">
      <w:pPr>
        <w:jc w:val="both"/>
        <w:outlineLvl w:val="1"/>
        <w:rPr>
          <w:rFonts w:ascii="Times New Roman" w:eastAsia="Times New Roman" w:hAnsi="Times New Roman" w:cs="Times New Roman"/>
          <w:sz w:val="24"/>
          <w:szCs w:val="20"/>
          <w:lang w:val="es-ES"/>
        </w:rPr>
      </w:pPr>
      <w:r w:rsidRPr="00C84C8C">
        <w:rPr>
          <w:rFonts w:ascii="Times New Roman" w:eastAsia="Times New Roman" w:hAnsi="Times New Roman" w:cs="Times New Roman"/>
          <w:sz w:val="24"/>
          <w:szCs w:val="20"/>
          <w:lang w:val="es-ES"/>
        </w:rPr>
        <w:t>Fuentes</w:t>
      </w:r>
      <w:r>
        <w:rPr>
          <w:rFonts w:ascii="Times New Roman" w:eastAsia="Times New Roman" w:hAnsi="Times New Roman" w:cs="Times New Roman"/>
          <w:sz w:val="24"/>
          <w:szCs w:val="20"/>
          <w:lang w:val="es-ES"/>
        </w:rPr>
        <w:t>, J., Osorio, JA., Marroquín, JA., Gracias, E., Mejía, M., Arévalo, JO., “</w:t>
      </w:r>
      <w:hyperlink r:id="rId55" w:history="1">
        <w:r w:rsidRPr="00516CBA">
          <w:rPr>
            <w:rStyle w:val="Hyperlink"/>
            <w:rFonts w:ascii="Times New Roman" w:eastAsia="Times New Roman" w:hAnsi="Times New Roman" w:cs="Times New Roman"/>
            <w:sz w:val="24"/>
            <w:szCs w:val="20"/>
            <w:lang w:val="es-ES"/>
          </w:rPr>
          <w:t>Caracterización del crédito bancario en El Salvador: Opciones para su reactivación en épocas de crisis</w:t>
        </w:r>
      </w:hyperlink>
      <w:r>
        <w:rPr>
          <w:rFonts w:ascii="Times New Roman" w:eastAsia="Times New Roman" w:hAnsi="Times New Roman" w:cs="Times New Roman"/>
          <w:sz w:val="24"/>
          <w:szCs w:val="20"/>
          <w:lang w:val="es-ES"/>
        </w:rPr>
        <w:t>”, Documento de Trabajo, Banco Central de Reserva de El Salvador, 2010</w:t>
      </w:r>
    </w:p>
    <w:p w:rsidR="00965708" w:rsidRPr="00384E9D" w:rsidRDefault="00965708" w:rsidP="00384E9D">
      <w:pPr>
        <w:spacing w:after="0"/>
        <w:jc w:val="both"/>
        <w:outlineLvl w:val="1"/>
        <w:rPr>
          <w:rFonts w:ascii="Times New Roman" w:eastAsia="Times New Roman" w:hAnsi="Times New Roman" w:cs="Times New Roman"/>
          <w:sz w:val="24"/>
          <w:szCs w:val="20"/>
          <w:lang w:val="es-ES"/>
        </w:rPr>
      </w:pPr>
      <w:r>
        <w:rPr>
          <w:rFonts w:ascii="Times New Roman" w:eastAsia="Times New Roman" w:hAnsi="Times New Roman" w:cs="Times New Roman"/>
          <w:sz w:val="24"/>
          <w:szCs w:val="20"/>
          <w:lang w:val="es-ES"/>
        </w:rPr>
        <w:t>Mejía, L., Zavaleta, JM., “</w:t>
      </w:r>
      <w:hyperlink r:id="rId56" w:history="1">
        <w:r w:rsidRPr="00965708">
          <w:rPr>
            <w:rStyle w:val="Hyperlink"/>
            <w:rFonts w:ascii="Times New Roman" w:eastAsia="Times New Roman" w:hAnsi="Times New Roman" w:cs="Times New Roman"/>
            <w:sz w:val="24"/>
            <w:szCs w:val="20"/>
            <w:lang w:val="es-ES"/>
          </w:rPr>
          <w:t>Evaluación de la situación de acceso al crédito en las microempresas salvadoreñas</w:t>
        </w:r>
      </w:hyperlink>
      <w:r>
        <w:rPr>
          <w:rFonts w:ascii="Times New Roman" w:eastAsia="Times New Roman" w:hAnsi="Times New Roman" w:cs="Times New Roman"/>
          <w:sz w:val="24"/>
          <w:szCs w:val="20"/>
          <w:lang w:val="es-ES"/>
        </w:rPr>
        <w:t>”, Universidad José Simeón Cañas, 2006</w:t>
      </w:r>
    </w:p>
    <w:p w:rsidR="005803B8" w:rsidRDefault="005803B8" w:rsidP="00ED20F7">
      <w:pPr>
        <w:pStyle w:val="Chapter"/>
        <w:tabs>
          <w:tab w:val="clear" w:pos="648"/>
          <w:tab w:val="clear" w:pos="1440"/>
          <w:tab w:val="left" w:pos="720"/>
        </w:tabs>
        <w:spacing w:before="120" w:after="120"/>
        <w:ind w:firstLine="0"/>
        <w:jc w:val="both"/>
        <w:rPr>
          <w:b w:val="0"/>
          <w:smallCaps w:val="0"/>
          <w:lang w:val="es-AR"/>
        </w:rPr>
      </w:pPr>
      <w:r w:rsidRPr="005803B8">
        <w:rPr>
          <w:b w:val="0"/>
          <w:smallCaps w:val="0"/>
          <w:lang w:val="es-AR"/>
        </w:rPr>
        <w:t>Superintendencia del Sistema Financiero de El Salvador</w:t>
      </w:r>
      <w:r>
        <w:rPr>
          <w:b w:val="0"/>
          <w:smallCaps w:val="0"/>
          <w:lang w:val="es-AR"/>
        </w:rPr>
        <w:t xml:space="preserve"> (SSF)</w:t>
      </w:r>
      <w:r w:rsidRPr="005803B8">
        <w:rPr>
          <w:b w:val="0"/>
          <w:smallCaps w:val="0"/>
          <w:lang w:val="es-AR"/>
        </w:rPr>
        <w:t>, base de datos, Febrero - Marzo 2014</w:t>
      </w:r>
      <w:r>
        <w:rPr>
          <w:b w:val="0"/>
          <w:smallCaps w:val="0"/>
          <w:lang w:val="es-AR"/>
        </w:rPr>
        <w:t xml:space="preserve">. </w:t>
      </w:r>
    </w:p>
    <w:p w:rsidR="00537007" w:rsidRPr="005803B8" w:rsidRDefault="00537007" w:rsidP="00933B53">
      <w:pPr>
        <w:rPr>
          <w:rFonts w:ascii="Times New Roman" w:eastAsia="Times New Roman" w:hAnsi="Times New Roman" w:cs="Times New Roman"/>
          <w:sz w:val="24"/>
          <w:szCs w:val="20"/>
          <w:lang w:val="es-ES_tradnl"/>
        </w:rPr>
      </w:pPr>
    </w:p>
    <w:sectPr w:rsidR="00537007" w:rsidRPr="005803B8" w:rsidSect="00526A95">
      <w:pgSz w:w="11906" w:h="16838"/>
      <w:pgMar w:top="1178" w:right="1800" w:bottom="1440" w:left="1800" w:header="706" w:footer="70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05774" w:rsidRDefault="00405774" w:rsidP="00526A95">
      <w:pPr>
        <w:spacing w:after="0" w:line="240" w:lineRule="auto"/>
      </w:pPr>
      <w:r>
        <w:separator/>
      </w:r>
    </w:p>
  </w:endnote>
  <w:endnote w:type="continuationSeparator" w:id="0">
    <w:p w:rsidR="00405774" w:rsidRDefault="00405774" w:rsidP="00526A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panose1 w:val="02020803070505020304"/>
    <w:charset w:val="00"/>
    <w:family w:val="roman"/>
    <w:notTrueType/>
    <w:pitch w:val="default"/>
  </w:font>
  <w:font w:name="Arial Unicode MS">
    <w:panose1 w:val="020B0604020202020204"/>
    <w:charset w:val="00"/>
    <w:family w:val="roman"/>
    <w:notTrueType/>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27939455"/>
      <w:docPartObj>
        <w:docPartGallery w:val="Page Numbers (Bottom of Page)"/>
        <w:docPartUnique/>
      </w:docPartObj>
    </w:sdtPr>
    <w:sdtEndPr>
      <w:rPr>
        <w:noProof/>
      </w:rPr>
    </w:sdtEndPr>
    <w:sdtContent>
      <w:p w:rsidR="00C84C8C" w:rsidRDefault="00C84C8C">
        <w:pPr>
          <w:pStyle w:val="Footer"/>
          <w:jc w:val="right"/>
        </w:pPr>
        <w:r>
          <w:fldChar w:fldCharType="begin"/>
        </w:r>
        <w:r>
          <w:instrText xml:space="preserve"> PAGE   \* MERGEFORMAT </w:instrText>
        </w:r>
        <w:r>
          <w:fldChar w:fldCharType="separate"/>
        </w:r>
        <w:r w:rsidR="00651882">
          <w:rPr>
            <w:noProof/>
          </w:rPr>
          <w:t>27</w:t>
        </w:r>
        <w:r>
          <w:rPr>
            <w:noProof/>
          </w:rPr>
          <w:fldChar w:fldCharType="end"/>
        </w:r>
      </w:p>
    </w:sdtContent>
  </w:sdt>
  <w:p w:rsidR="00C84C8C" w:rsidRDefault="00C84C8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05774" w:rsidRDefault="00405774" w:rsidP="00526A95">
      <w:pPr>
        <w:spacing w:after="0" w:line="240" w:lineRule="auto"/>
      </w:pPr>
      <w:r>
        <w:separator/>
      </w:r>
    </w:p>
  </w:footnote>
  <w:footnote w:type="continuationSeparator" w:id="0">
    <w:p w:rsidR="00405774" w:rsidRDefault="00405774" w:rsidP="00526A95">
      <w:pPr>
        <w:spacing w:after="0" w:line="240" w:lineRule="auto"/>
      </w:pPr>
      <w:r>
        <w:continuationSeparator/>
      </w:r>
    </w:p>
  </w:footnote>
  <w:footnote w:id="1">
    <w:p w:rsidR="00C84C8C" w:rsidRPr="00243048" w:rsidRDefault="00C84C8C" w:rsidP="00CE51C9">
      <w:pPr>
        <w:pStyle w:val="FootnoteText"/>
        <w:keepNext w:val="0"/>
        <w:keepLines w:val="0"/>
        <w:spacing w:after="0"/>
        <w:ind w:left="0" w:firstLine="0"/>
        <w:rPr>
          <w:lang w:val="es-ES_tradnl"/>
        </w:rPr>
      </w:pPr>
      <w:r w:rsidRPr="00243048">
        <w:rPr>
          <w:rStyle w:val="FootnoteReference"/>
        </w:rPr>
        <w:footnoteRef/>
      </w:r>
      <w:r w:rsidRPr="00243048">
        <w:rPr>
          <w:lang w:val="es-ES_tradnl"/>
        </w:rPr>
        <w:t xml:space="preserve"> L</w:t>
      </w:r>
      <w:r w:rsidRPr="00243048">
        <w:rPr>
          <w:lang w:val="es-ES"/>
        </w:rPr>
        <w:t xml:space="preserve">a definición de MIPYME adoptada por el Ministerio de Economía de El Salvador considera tres aspectos: el número de ocupados, las ventas y el carácter fijo o ambulante del negocio. Con respecto a las ventas se consideran las ventas brutas realizadas por la empresa, mientras que en la distinción entre el carácter fijo o ambulante del negocio se excluyen las actividades unipersonales realizadas en forma ambulante. De acuerdo con estos criterios se definen cuatro segmentos empresariales: i) cuenta propia o autoempleo, que corresponde a las personas que tienen un negocio fijo o ambulante sin trabajadores remunerados y con ventas brutas anuales de hasta 5.715 dólares; ii) microempresas, que corresponden a negocios de localización fija, con hasta 10 trabajadores remunerados y con ventas brutas anuales de hasta 100.000 dólares; iii) pequeñas empresas, que corresponden a negocios de localización fija, con hasta 50 trabajadores remunerados y ventas brutas anuales de hasta un millón de dólares, y iv) medianas empresas, es decir negocios de localización fija, con hasta 100 trabajadores remunerados y ventas brutas anuales de hasta siete millones de dólares.  </w:t>
      </w:r>
      <w:r w:rsidRPr="00243048">
        <w:rPr>
          <w:highlight w:val="yellow"/>
          <w:lang w:val="es-ES"/>
        </w:rPr>
        <w:t xml:space="preserve"> </w:t>
      </w:r>
    </w:p>
  </w:footnote>
  <w:footnote w:id="2">
    <w:p w:rsidR="00C84C8C" w:rsidRPr="00C427A0" w:rsidRDefault="00C84C8C" w:rsidP="00CE51C9">
      <w:pPr>
        <w:pStyle w:val="FootnoteText"/>
        <w:spacing w:after="0"/>
        <w:rPr>
          <w:lang w:val="es-ES"/>
        </w:rPr>
      </w:pPr>
      <w:r>
        <w:rPr>
          <w:rStyle w:val="FootnoteReference"/>
        </w:rPr>
        <w:footnoteRef/>
      </w:r>
      <w:r w:rsidRPr="00C427A0">
        <w:rPr>
          <w:lang w:val="es-ES"/>
        </w:rPr>
        <w:t xml:space="preserve"> </w:t>
      </w:r>
      <w:hyperlink r:id="rId1" w:history="1">
        <w:r w:rsidRPr="00CB1CE0">
          <w:rPr>
            <w:rStyle w:val="Hyperlink"/>
            <w:lang w:val="es-ES"/>
          </w:rPr>
          <w:t>Censos Nacionales de El Salvador</w:t>
        </w:r>
      </w:hyperlink>
      <w:r>
        <w:rPr>
          <w:lang w:val="es-ES"/>
        </w:rPr>
        <w:t xml:space="preserve">.  </w:t>
      </w:r>
    </w:p>
  </w:footnote>
  <w:footnote w:id="3">
    <w:p w:rsidR="00C84C8C" w:rsidRPr="00137F34" w:rsidRDefault="00C84C8C" w:rsidP="00CE51C9">
      <w:pPr>
        <w:pStyle w:val="FootnoteText"/>
        <w:spacing w:after="0"/>
        <w:rPr>
          <w:lang w:val="es-ES"/>
        </w:rPr>
      </w:pPr>
      <w:r>
        <w:rPr>
          <w:rStyle w:val="FootnoteReference"/>
        </w:rPr>
        <w:footnoteRef/>
      </w:r>
      <w:r w:rsidRPr="00137F34">
        <w:rPr>
          <w:lang w:val="es-ES"/>
        </w:rPr>
        <w:t xml:space="preserve"> </w:t>
      </w:r>
      <w:r>
        <w:rPr>
          <w:lang w:val="es-ES"/>
        </w:rPr>
        <w:t>Véase bibliografía utilizada</w:t>
      </w:r>
      <w:r w:rsidR="00F10FF1">
        <w:rPr>
          <w:lang w:val="es-ES"/>
        </w:rPr>
        <w:t>.</w:t>
      </w:r>
    </w:p>
  </w:footnote>
  <w:footnote w:id="4">
    <w:p w:rsidR="00C84C8C" w:rsidRPr="00F10FF1" w:rsidRDefault="00C84C8C" w:rsidP="00CE51C9">
      <w:pPr>
        <w:pStyle w:val="FootnoteText"/>
        <w:keepNext w:val="0"/>
        <w:keepLines w:val="0"/>
        <w:spacing w:after="0"/>
        <w:rPr>
          <w:lang w:val="es-ES"/>
        </w:rPr>
      </w:pPr>
      <w:r>
        <w:rPr>
          <w:rStyle w:val="FootnoteReference"/>
        </w:rPr>
        <w:footnoteRef/>
      </w:r>
      <w:r w:rsidRPr="00F10FF1">
        <w:rPr>
          <w:lang w:val="es-ES"/>
        </w:rPr>
        <w:t xml:space="preserve"> Argelia, Armenia, Belice, Bután, Egipto, Jordania, Namibia, Paraguay, Sri Lanka, Ucrania y Uruguay.</w:t>
      </w:r>
    </w:p>
  </w:footnote>
  <w:footnote w:id="5">
    <w:p w:rsidR="00C84C8C" w:rsidRPr="00474229" w:rsidRDefault="00C84C8C" w:rsidP="00CE51C9">
      <w:pPr>
        <w:pStyle w:val="FootnoteText"/>
        <w:keepNext w:val="0"/>
        <w:keepLines w:val="0"/>
        <w:spacing w:after="0"/>
        <w:ind w:left="0" w:firstLine="0"/>
        <w:rPr>
          <w:lang w:val="es-AR"/>
        </w:rPr>
      </w:pPr>
      <w:r>
        <w:rPr>
          <w:rStyle w:val="FootnoteReference"/>
        </w:rPr>
        <w:footnoteRef/>
      </w:r>
      <w:r w:rsidRPr="00474229">
        <w:rPr>
          <w:lang w:val="es-AR"/>
        </w:rPr>
        <w:t xml:space="preserve"> </w:t>
      </w:r>
      <w:r w:rsidRPr="00097288">
        <w:rPr>
          <w:lang w:val="es-AR"/>
        </w:rPr>
        <w:t>Este grupo está formado por Belice, Costa Rica, El Salvador, Guatemala, Honduras, Nicaragua, Panamá y República Dominicana. Esta selección responde a la clasificación realizada por el Banco Interamericano de Desarrollo dentro del Departamento CID. La ausencia de México se justifica en base a las diferencias socioeconómicas que presenta este país.</w:t>
      </w:r>
    </w:p>
  </w:footnote>
  <w:footnote w:id="6">
    <w:p w:rsidR="00C84C8C" w:rsidRPr="00201873" w:rsidRDefault="00C84C8C" w:rsidP="00CE51C9">
      <w:pPr>
        <w:pStyle w:val="FootnoteText"/>
        <w:keepNext w:val="0"/>
        <w:keepLines w:val="0"/>
        <w:spacing w:after="0"/>
        <w:ind w:left="0" w:firstLine="0"/>
        <w:rPr>
          <w:lang w:val="es-AR"/>
        </w:rPr>
      </w:pPr>
      <w:r>
        <w:rPr>
          <w:rStyle w:val="FootnoteReference"/>
        </w:rPr>
        <w:footnoteRef/>
      </w:r>
      <w:r w:rsidRPr="00201873">
        <w:rPr>
          <w:lang w:val="es-AR"/>
        </w:rPr>
        <w:t xml:space="preserve"> </w:t>
      </w:r>
      <w:r>
        <w:rPr>
          <w:lang w:val="es-AR"/>
        </w:rPr>
        <w:t>Por relación típica se entiende la mediana (percentil 50) para el grupo correspondiente.</w:t>
      </w:r>
    </w:p>
  </w:footnote>
  <w:footnote w:id="7">
    <w:p w:rsidR="00C84C8C" w:rsidRPr="00E9047D" w:rsidRDefault="00C84C8C" w:rsidP="00CE51C9">
      <w:pPr>
        <w:pStyle w:val="FootnoteText"/>
        <w:keepNext w:val="0"/>
        <w:keepLines w:val="0"/>
        <w:spacing w:after="0"/>
        <w:ind w:left="0" w:firstLine="0"/>
        <w:rPr>
          <w:lang w:val="es-ES_tradnl"/>
        </w:rPr>
      </w:pPr>
      <w:r>
        <w:rPr>
          <w:rStyle w:val="FootnoteReference"/>
        </w:rPr>
        <w:footnoteRef/>
      </w:r>
      <w:r w:rsidRPr="00E9047D">
        <w:rPr>
          <w:lang w:val="es-ES_tradnl"/>
        </w:rPr>
        <w:t xml:space="preserve"> </w:t>
      </w:r>
      <w:r w:rsidRPr="00D7405A">
        <w:rPr>
          <w:lang w:val="es-AR"/>
        </w:rPr>
        <w:t>Estos</w:t>
      </w:r>
      <w:r>
        <w:rPr>
          <w:lang w:val="es-ES_tradnl"/>
        </w:rPr>
        <w:t xml:space="preserve"> cálculos se basan en la proyección base que se presenta en la sección B.</w:t>
      </w:r>
    </w:p>
  </w:footnote>
  <w:footnote w:id="8">
    <w:p w:rsidR="00C84C8C" w:rsidRPr="003A6420" w:rsidRDefault="00C84C8C" w:rsidP="00CE51C9">
      <w:pPr>
        <w:pStyle w:val="FootnoteText"/>
        <w:keepNext w:val="0"/>
        <w:keepLines w:val="0"/>
        <w:spacing w:after="0"/>
        <w:ind w:left="0" w:firstLine="0"/>
        <w:rPr>
          <w:lang w:val="es-AR"/>
        </w:rPr>
      </w:pPr>
      <w:r>
        <w:rPr>
          <w:rStyle w:val="FootnoteReference"/>
        </w:rPr>
        <w:footnoteRef/>
      </w:r>
      <w:r w:rsidRPr="00AA6370">
        <w:rPr>
          <w:lang w:val="es-ES_tradnl"/>
        </w:rPr>
        <w:t xml:space="preserve"> </w:t>
      </w:r>
      <w:hyperlink r:id="rId2" w:history="1">
        <w:r w:rsidRPr="00B52F4B">
          <w:rPr>
            <w:rStyle w:val="Hyperlink"/>
            <w:lang w:val="es-AR"/>
          </w:rPr>
          <w:t>World Economic Outlook, octubre 2013.</w:t>
        </w:r>
      </w:hyperlink>
    </w:p>
  </w:footnote>
  <w:footnote w:id="9">
    <w:p w:rsidR="00C84C8C" w:rsidRPr="00995109" w:rsidRDefault="00C84C8C" w:rsidP="00CE51C9">
      <w:pPr>
        <w:pStyle w:val="FootnoteText"/>
        <w:keepNext w:val="0"/>
        <w:keepLines w:val="0"/>
        <w:spacing w:after="0"/>
        <w:ind w:left="0" w:firstLine="0"/>
        <w:rPr>
          <w:lang w:val="es-AR"/>
        </w:rPr>
      </w:pPr>
      <w:r>
        <w:rPr>
          <w:rStyle w:val="FootnoteReference"/>
        </w:rPr>
        <w:footnoteRef/>
      </w:r>
      <w:r w:rsidRPr="00995109">
        <w:rPr>
          <w:lang w:val="es-AR"/>
        </w:rPr>
        <w:t xml:space="preserve"> </w:t>
      </w:r>
      <w:r>
        <w:rPr>
          <w:lang w:val="es-AR"/>
        </w:rPr>
        <w:t>Esta sección presenta los principales resultados de encuestas realizadas con el apoyo de BANDESAL</w:t>
      </w:r>
      <w:r w:rsidRPr="00933B53">
        <w:rPr>
          <w:lang w:val="es-AR"/>
        </w:rPr>
        <w:t>. La información corresponde a 12 entidades financieras que representan 25% del total de préstamos del sistema bancario de El Salvador.</w:t>
      </w:r>
      <w:r>
        <w:rPr>
          <w:lang w:val="es-AR"/>
        </w:rPr>
        <w:t xml:space="preserve"> Véase Anexos III, III y IV para más informaciones. </w:t>
      </w:r>
    </w:p>
  </w:footnote>
  <w:footnote w:id="10">
    <w:p w:rsidR="00C84C8C" w:rsidRPr="006B02ED" w:rsidRDefault="00C84C8C" w:rsidP="00CE51C9">
      <w:pPr>
        <w:pStyle w:val="FootnoteText"/>
        <w:keepNext w:val="0"/>
        <w:keepLines w:val="0"/>
        <w:spacing w:after="0"/>
        <w:ind w:left="0" w:firstLine="0"/>
        <w:rPr>
          <w:lang w:val="es-AR"/>
        </w:rPr>
      </w:pPr>
      <w:r>
        <w:rPr>
          <w:rStyle w:val="FootnoteReference"/>
        </w:rPr>
        <w:footnoteRef/>
      </w:r>
      <w:r w:rsidRPr="006B02ED">
        <w:rPr>
          <w:lang w:val="es-AR"/>
        </w:rPr>
        <w:t xml:space="preserve"> </w:t>
      </w:r>
      <w:r>
        <w:rPr>
          <w:lang w:val="es-AR"/>
        </w:rPr>
        <w:t>Por “típico/a” se entiende la mediana de las respuestas (o percentil 50), que es una medida menos sujetas a sesgos en muestras pequeñas en las cuales respuestas atípicas (“outliers”) pueden distorsionar los valores medios (promedio aritmético).</w:t>
      </w:r>
    </w:p>
  </w:footnote>
  <w:footnote w:id="11">
    <w:p w:rsidR="00C84C8C" w:rsidRPr="006B02ED" w:rsidRDefault="00C84C8C" w:rsidP="00CE51C9">
      <w:pPr>
        <w:pStyle w:val="FootnoteText"/>
        <w:keepNext w:val="0"/>
        <w:keepLines w:val="0"/>
        <w:spacing w:after="0"/>
        <w:ind w:left="0" w:firstLine="0"/>
        <w:rPr>
          <w:lang w:val="es-AR"/>
        </w:rPr>
      </w:pPr>
      <w:r>
        <w:rPr>
          <w:rStyle w:val="FootnoteReference"/>
        </w:rPr>
        <w:footnoteRef/>
      </w:r>
      <w:r w:rsidRPr="006B02ED">
        <w:rPr>
          <w:lang w:val="es-AR"/>
        </w:rPr>
        <w:t xml:space="preserve"> </w:t>
      </w:r>
      <w:r>
        <w:rPr>
          <w:lang w:val="es-AR"/>
        </w:rPr>
        <w:t>Los niveles de riesgo percibido fueron clasificados en muy bajo, bajo, aceptable, alto, y muy alto.</w:t>
      </w:r>
    </w:p>
  </w:footnote>
  <w:footnote w:id="12">
    <w:p w:rsidR="00C84C8C" w:rsidRPr="00E33425" w:rsidRDefault="00C84C8C" w:rsidP="00CE51C9">
      <w:pPr>
        <w:pStyle w:val="FootnoteText"/>
        <w:keepNext w:val="0"/>
        <w:keepLines w:val="0"/>
        <w:spacing w:after="0"/>
        <w:ind w:left="0" w:firstLine="0"/>
        <w:rPr>
          <w:lang w:val="es-AR"/>
        </w:rPr>
      </w:pPr>
      <w:r>
        <w:rPr>
          <w:rStyle w:val="FootnoteReference"/>
        </w:rPr>
        <w:footnoteRef/>
      </w:r>
      <w:r w:rsidRPr="00A541A2">
        <w:rPr>
          <w:lang w:val="es-ES_tradnl"/>
        </w:rPr>
        <w:t xml:space="preserve"> </w:t>
      </w:r>
      <w:r>
        <w:rPr>
          <w:lang w:val="es-AR"/>
        </w:rPr>
        <w:t>Ver Acosta y otros (2006).</w:t>
      </w:r>
    </w:p>
  </w:footnote>
  <w:footnote w:id="13">
    <w:p w:rsidR="00C84C8C" w:rsidRPr="001230D1" w:rsidRDefault="00C84C8C" w:rsidP="00CE51C9">
      <w:pPr>
        <w:pStyle w:val="FootnoteText"/>
        <w:keepNext w:val="0"/>
        <w:keepLines w:val="0"/>
        <w:spacing w:after="0"/>
        <w:ind w:left="0" w:firstLine="0"/>
        <w:rPr>
          <w:lang w:val="es-AR"/>
        </w:rPr>
      </w:pPr>
      <w:r>
        <w:rPr>
          <w:rStyle w:val="FootnoteReference"/>
        </w:rPr>
        <w:footnoteRef/>
      </w:r>
      <w:r w:rsidRPr="001230D1">
        <w:rPr>
          <w:lang w:val="es-AR"/>
        </w:rPr>
        <w:t xml:space="preserve"> </w:t>
      </w:r>
      <w:r>
        <w:rPr>
          <w:lang w:val="es-AR"/>
        </w:rPr>
        <w:t>La clasificación de facto que realizan las entidades financier</w:t>
      </w:r>
      <w:r w:rsidR="00CB7455">
        <w:rPr>
          <w:lang w:val="es-AR"/>
        </w:rPr>
        <w:t>as se presenta en el gráfico 2 del anexo II.</w:t>
      </w:r>
    </w:p>
  </w:footnote>
  <w:footnote w:id="14">
    <w:p w:rsidR="00C84C8C" w:rsidRPr="00BA6EBA" w:rsidRDefault="00C84C8C" w:rsidP="00CE51C9">
      <w:pPr>
        <w:pStyle w:val="FootnoteText"/>
        <w:keepNext w:val="0"/>
        <w:keepLines w:val="0"/>
        <w:spacing w:after="0"/>
        <w:ind w:left="0" w:firstLine="0"/>
        <w:rPr>
          <w:lang w:val="es-AR"/>
        </w:rPr>
      </w:pPr>
      <w:r>
        <w:rPr>
          <w:rStyle w:val="FootnoteReference"/>
        </w:rPr>
        <w:footnoteRef/>
      </w:r>
      <w:r w:rsidRPr="00BA6EBA">
        <w:rPr>
          <w:lang w:val="es-AR"/>
        </w:rPr>
        <w:t xml:space="preserve"> </w:t>
      </w:r>
      <w:r>
        <w:rPr>
          <w:lang w:val="es-AR"/>
        </w:rPr>
        <w:t>La mediana es el valor en una secuencia que la divide dejando igual número de elementos por encima y por debajo de la misma. Esta medida puede ser preferida cuando la distribución en consideración presenta la posibilidad de “outliers” que pueden sesgar el resultado.</w:t>
      </w:r>
    </w:p>
  </w:footnote>
  <w:footnote w:id="15">
    <w:p w:rsidR="00C84C8C" w:rsidRPr="005803B8" w:rsidRDefault="00C84C8C" w:rsidP="00CE51C9">
      <w:pPr>
        <w:pStyle w:val="FootnoteText"/>
        <w:spacing w:after="0"/>
        <w:rPr>
          <w:lang w:val="es-ES_tradnl"/>
        </w:rPr>
      </w:pPr>
      <w:r>
        <w:rPr>
          <w:rStyle w:val="FootnoteReference"/>
        </w:rPr>
        <w:footnoteRef/>
      </w:r>
      <w:r>
        <w:rPr>
          <w:lang w:val="es-ES_tradnl"/>
        </w:rPr>
        <w:t xml:space="preserve"> Véase A</w:t>
      </w:r>
      <w:r w:rsidRPr="005803B8">
        <w:rPr>
          <w:lang w:val="es-ES_tradnl"/>
        </w:rPr>
        <w:t xml:space="preserve">nexo I con un </w:t>
      </w:r>
      <w:r>
        <w:rPr>
          <w:lang w:val="es-ES_tradnl"/>
        </w:rPr>
        <w:t>resumen de a</w:t>
      </w:r>
      <w:r>
        <w:rPr>
          <w:lang w:val="es-ES"/>
        </w:rPr>
        <w:t xml:space="preserve">lgunas características de las operaciones de BANDESAL. </w:t>
      </w:r>
    </w:p>
  </w:footnote>
  <w:footnote w:id="16">
    <w:p w:rsidR="00C84C8C" w:rsidRPr="00706E16" w:rsidRDefault="00C84C8C" w:rsidP="00CE51C9">
      <w:pPr>
        <w:pStyle w:val="FootnoteText"/>
        <w:spacing w:after="0"/>
        <w:rPr>
          <w:lang w:val="es-ES"/>
        </w:rPr>
      </w:pPr>
      <w:r>
        <w:rPr>
          <w:rStyle w:val="FootnoteReference"/>
        </w:rPr>
        <w:footnoteRef/>
      </w:r>
      <w:r w:rsidRPr="00706E16">
        <w:rPr>
          <w:lang w:val="es-ES"/>
        </w:rPr>
        <w:t xml:space="preserve"> </w:t>
      </w:r>
      <w:r>
        <w:rPr>
          <w:lang w:val="es-ES"/>
        </w:rPr>
        <w:t>La información disponible llega hasta marzo de 2014</w:t>
      </w:r>
      <w:r w:rsidR="00CB7455">
        <w:rPr>
          <w:lang w:val="es-ES"/>
        </w:rPr>
        <w:t>.</w:t>
      </w:r>
    </w:p>
  </w:footnote>
  <w:footnote w:id="17">
    <w:p w:rsidR="00C84C8C" w:rsidRPr="00706E16" w:rsidRDefault="00C84C8C" w:rsidP="00CE51C9">
      <w:pPr>
        <w:pStyle w:val="FootnoteText"/>
        <w:keepNext w:val="0"/>
        <w:keepLines w:val="0"/>
        <w:spacing w:after="0"/>
        <w:rPr>
          <w:lang w:val="es-ES"/>
        </w:rPr>
      </w:pPr>
      <w:r>
        <w:rPr>
          <w:rStyle w:val="FootnoteReference"/>
        </w:rPr>
        <w:footnoteRef/>
      </w:r>
      <w:r w:rsidRPr="00706E16">
        <w:rPr>
          <w:lang w:val="es-ES"/>
        </w:rPr>
        <w:t xml:space="preserve"> Ver </w:t>
      </w:r>
      <w:r w:rsidRPr="00706E16">
        <w:rPr>
          <w:i/>
          <w:lang w:val="es-ES"/>
        </w:rPr>
        <w:t>Cuestionario</w:t>
      </w:r>
      <w:r w:rsidRPr="00706E16">
        <w:rPr>
          <w:lang w:val="es-ES"/>
        </w:rPr>
        <w:t xml:space="preserv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023E15"/>
    <w:multiLevelType w:val="multilevel"/>
    <w:tmpl w:val="E692181A"/>
    <w:lvl w:ilvl="0">
      <w:start w:val="1"/>
      <w:numFmt w:val="none"/>
      <w:lvlRestart w:val="0"/>
      <w:suff w:val="nothing"/>
      <w:lvlText w:val=""/>
      <w:lvlJc w:val="left"/>
      <w:pPr>
        <w:ind w:left="2160" w:hanging="720"/>
      </w:pPr>
    </w:lvl>
    <w:lvl w:ilvl="1">
      <w:start w:val="1"/>
      <w:numFmt w:val="decimal"/>
      <w:lvlText w:val="%2."/>
      <w:lvlJc w:val="left"/>
      <w:pPr>
        <w:tabs>
          <w:tab w:val="num" w:pos="2736"/>
        </w:tabs>
        <w:ind w:left="2736" w:hanging="576"/>
      </w:pPr>
      <w:rPr>
        <w:b/>
      </w:rPr>
    </w:lvl>
    <w:lvl w:ilvl="2">
      <w:start w:val="1"/>
      <w:numFmt w:val="lowerLetter"/>
      <w:lvlText w:val="(%3)"/>
      <w:lvlJc w:val="left"/>
      <w:pPr>
        <w:ind w:left="2160" w:hanging="432"/>
      </w:pPr>
    </w:lvl>
    <w:lvl w:ilvl="3">
      <w:start w:val="1"/>
      <w:numFmt w:val="lowerRoman"/>
      <w:lvlText w:val="(%4)"/>
      <w:lvlJc w:val="right"/>
      <w:pPr>
        <w:ind w:left="2304" w:hanging="144"/>
      </w:pPr>
    </w:lvl>
    <w:lvl w:ilvl="4">
      <w:start w:val="1"/>
      <w:numFmt w:val="decimal"/>
      <w:lvlText w:val="%5)"/>
      <w:lvlJc w:val="left"/>
      <w:pPr>
        <w:ind w:left="2448" w:hanging="432"/>
      </w:pPr>
    </w:lvl>
    <w:lvl w:ilvl="5">
      <w:start w:val="1"/>
      <w:numFmt w:val="lowerLetter"/>
      <w:lvlText w:val="%6)"/>
      <w:lvlJc w:val="left"/>
      <w:pPr>
        <w:ind w:left="2592" w:hanging="432"/>
      </w:pPr>
    </w:lvl>
    <w:lvl w:ilvl="6">
      <w:start w:val="1"/>
      <w:numFmt w:val="lowerRoman"/>
      <w:lvlText w:val="%7)"/>
      <w:lvlJc w:val="right"/>
      <w:pPr>
        <w:ind w:left="2736" w:hanging="288"/>
      </w:pPr>
    </w:lvl>
    <w:lvl w:ilvl="7">
      <w:start w:val="1"/>
      <w:numFmt w:val="lowerLetter"/>
      <w:lvlText w:val="%8."/>
      <w:lvlJc w:val="left"/>
      <w:pPr>
        <w:ind w:left="2880" w:hanging="432"/>
      </w:pPr>
    </w:lvl>
    <w:lvl w:ilvl="8">
      <w:start w:val="1"/>
      <w:numFmt w:val="lowerRoman"/>
      <w:lvlText w:val="%9."/>
      <w:lvlJc w:val="right"/>
      <w:pPr>
        <w:ind w:left="3024" w:hanging="144"/>
      </w:pPr>
    </w:lvl>
  </w:abstractNum>
  <w:abstractNum w:abstractNumId="1">
    <w:nsid w:val="1D5F77D7"/>
    <w:multiLevelType w:val="hybridMultilevel"/>
    <w:tmpl w:val="88D28522"/>
    <w:lvl w:ilvl="0" w:tplc="4A3C514E">
      <w:start w:val="1"/>
      <w:numFmt w:val="decimal"/>
      <w:lvlText w:val="3.%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C2516FA"/>
    <w:multiLevelType w:val="hybridMultilevel"/>
    <w:tmpl w:val="2FB0C212"/>
    <w:lvl w:ilvl="0" w:tplc="2996C83C">
      <w:numFmt w:val="bullet"/>
      <w:lvlText w:val=""/>
      <w:lvlJc w:val="left"/>
      <w:pPr>
        <w:ind w:left="1080" w:hanging="360"/>
      </w:pPr>
      <w:rPr>
        <w:rFonts w:ascii="Symbol" w:eastAsia="Times New Roman" w:hAnsi="Symbol"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4C5C2A50"/>
    <w:multiLevelType w:val="hybridMultilevel"/>
    <w:tmpl w:val="04E62E1A"/>
    <w:lvl w:ilvl="0" w:tplc="3288ED00">
      <w:start w:val="1"/>
      <w:numFmt w:val="decimal"/>
      <w:lvlText w:val="2.%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2217B39"/>
    <w:multiLevelType w:val="multilevel"/>
    <w:tmpl w:val="A9EC6BB0"/>
    <w:lvl w:ilvl="0">
      <w:start w:val="1"/>
      <w:numFmt w:val="none"/>
      <w:lvlRestart w:val="0"/>
      <w:suff w:val="nothing"/>
      <w:lvlText w:val=""/>
      <w:lvlJc w:val="left"/>
      <w:pPr>
        <w:ind w:left="2952" w:hanging="720"/>
      </w:pPr>
    </w:lvl>
    <w:lvl w:ilvl="1">
      <w:start w:val="1"/>
      <w:numFmt w:val="decimal"/>
      <w:lvlText w:val="%2."/>
      <w:lvlJc w:val="left"/>
      <w:pPr>
        <w:tabs>
          <w:tab w:val="num" w:pos="3528"/>
        </w:tabs>
        <w:ind w:left="3528" w:hanging="576"/>
      </w:pPr>
      <w:rPr>
        <w:b/>
      </w:rPr>
    </w:lvl>
    <w:lvl w:ilvl="2">
      <w:start w:val="1"/>
      <w:numFmt w:val="lowerLetter"/>
      <w:lvlText w:val="%3)"/>
      <w:lvlJc w:val="left"/>
      <w:pPr>
        <w:tabs>
          <w:tab w:val="num" w:pos="4104"/>
        </w:tabs>
        <w:ind w:left="4104" w:hanging="576"/>
      </w:pPr>
      <w:rPr>
        <w:b/>
      </w:rPr>
    </w:lvl>
    <w:lvl w:ilvl="3">
      <w:start w:val="1"/>
      <w:numFmt w:val="lowerRoman"/>
      <w:lvlText w:val="(%4)"/>
      <w:lvlJc w:val="right"/>
      <w:pPr>
        <w:ind w:left="3096" w:hanging="144"/>
      </w:pPr>
    </w:lvl>
    <w:lvl w:ilvl="4">
      <w:start w:val="1"/>
      <w:numFmt w:val="decimal"/>
      <w:lvlText w:val="%5)"/>
      <w:lvlJc w:val="left"/>
      <w:pPr>
        <w:ind w:left="3240" w:hanging="432"/>
      </w:pPr>
    </w:lvl>
    <w:lvl w:ilvl="5">
      <w:start w:val="1"/>
      <w:numFmt w:val="lowerLetter"/>
      <w:lvlText w:val="%6)"/>
      <w:lvlJc w:val="left"/>
      <w:pPr>
        <w:ind w:left="3384" w:hanging="432"/>
      </w:pPr>
    </w:lvl>
    <w:lvl w:ilvl="6">
      <w:start w:val="1"/>
      <w:numFmt w:val="lowerRoman"/>
      <w:lvlText w:val="%7)"/>
      <w:lvlJc w:val="right"/>
      <w:pPr>
        <w:ind w:left="3528" w:hanging="288"/>
      </w:pPr>
    </w:lvl>
    <w:lvl w:ilvl="7">
      <w:start w:val="1"/>
      <w:numFmt w:val="lowerLetter"/>
      <w:lvlText w:val="%8."/>
      <w:lvlJc w:val="left"/>
      <w:pPr>
        <w:ind w:left="3672" w:hanging="432"/>
      </w:pPr>
    </w:lvl>
    <w:lvl w:ilvl="8">
      <w:start w:val="1"/>
      <w:numFmt w:val="lowerRoman"/>
      <w:lvlText w:val="%9."/>
      <w:lvlJc w:val="right"/>
      <w:pPr>
        <w:ind w:left="3816" w:hanging="144"/>
      </w:pPr>
    </w:lvl>
  </w:abstractNum>
  <w:abstractNum w:abstractNumId="5">
    <w:nsid w:val="5A704AEA"/>
    <w:multiLevelType w:val="multilevel"/>
    <w:tmpl w:val="16480ECA"/>
    <w:lvl w:ilvl="0">
      <w:start w:val="1"/>
      <w:numFmt w:val="decimal"/>
      <w:lvlText w:val="%1"/>
      <w:lvlJc w:val="left"/>
      <w:pPr>
        <w:ind w:left="2160" w:hanging="432"/>
      </w:pPr>
      <w:rPr>
        <w:rFonts w:hint="default"/>
        <w:b/>
        <w:i w:val="0"/>
      </w:rPr>
    </w:lvl>
    <w:lvl w:ilvl="1">
      <w:start w:val="1"/>
      <w:numFmt w:val="decimal"/>
      <w:lvlText w:val="%1.%2"/>
      <w:lvlJc w:val="left"/>
      <w:pPr>
        <w:ind w:left="2304" w:hanging="576"/>
      </w:pPr>
      <w:rPr>
        <w:rFonts w:hint="default"/>
      </w:rPr>
    </w:lvl>
    <w:lvl w:ilvl="2">
      <w:start w:val="1"/>
      <w:numFmt w:val="decimal"/>
      <w:lvlText w:val="%1.%2.%3"/>
      <w:lvlJc w:val="left"/>
      <w:pPr>
        <w:ind w:left="2448" w:hanging="720"/>
      </w:pPr>
      <w:rPr>
        <w:rFonts w:hint="default"/>
      </w:rPr>
    </w:lvl>
    <w:lvl w:ilvl="3">
      <w:start w:val="1"/>
      <w:numFmt w:val="decimal"/>
      <w:lvlText w:val="%1.%2.%3.%4"/>
      <w:lvlJc w:val="left"/>
      <w:pPr>
        <w:ind w:left="2592" w:hanging="864"/>
      </w:pPr>
      <w:rPr>
        <w:rFonts w:hint="default"/>
      </w:rPr>
    </w:lvl>
    <w:lvl w:ilvl="4">
      <w:start w:val="1"/>
      <w:numFmt w:val="decimal"/>
      <w:lvlText w:val="%1.%2.%3.%4.%5"/>
      <w:lvlJc w:val="left"/>
      <w:pPr>
        <w:ind w:left="2736" w:hanging="1008"/>
      </w:pPr>
      <w:rPr>
        <w:rFonts w:hint="default"/>
      </w:rPr>
    </w:lvl>
    <w:lvl w:ilvl="5">
      <w:start w:val="1"/>
      <w:numFmt w:val="decimal"/>
      <w:lvlText w:val="%1.%2.%3.%4.%5.%6"/>
      <w:lvlJc w:val="left"/>
      <w:pPr>
        <w:ind w:left="2880" w:hanging="1152"/>
      </w:pPr>
      <w:rPr>
        <w:rFonts w:hint="default"/>
      </w:rPr>
    </w:lvl>
    <w:lvl w:ilvl="6">
      <w:start w:val="1"/>
      <w:numFmt w:val="decimal"/>
      <w:lvlText w:val="%1.%2.%3.%4.%5.%6.%7"/>
      <w:lvlJc w:val="left"/>
      <w:pPr>
        <w:ind w:left="3024" w:hanging="1296"/>
      </w:pPr>
      <w:rPr>
        <w:rFonts w:hint="default"/>
      </w:rPr>
    </w:lvl>
    <w:lvl w:ilvl="7">
      <w:start w:val="1"/>
      <w:numFmt w:val="decimal"/>
      <w:lvlText w:val="%1.%2.%3.%4.%5.%6.%7.%8"/>
      <w:lvlJc w:val="left"/>
      <w:pPr>
        <w:ind w:left="3168" w:hanging="1440"/>
      </w:pPr>
      <w:rPr>
        <w:rFonts w:hint="default"/>
      </w:rPr>
    </w:lvl>
    <w:lvl w:ilvl="8">
      <w:start w:val="1"/>
      <w:numFmt w:val="decimal"/>
      <w:lvlText w:val="%1.%2.%3.%4.%5.%6.%7.%8.%9"/>
      <w:lvlJc w:val="left"/>
      <w:pPr>
        <w:ind w:left="3312" w:hanging="1584"/>
      </w:pPr>
      <w:rPr>
        <w:rFonts w:hint="default"/>
      </w:rPr>
    </w:lvl>
  </w:abstractNum>
  <w:abstractNum w:abstractNumId="6">
    <w:nsid w:val="63C242B1"/>
    <w:multiLevelType w:val="multilevel"/>
    <w:tmpl w:val="B2D633DC"/>
    <w:lvl w:ilvl="0">
      <w:start w:val="1"/>
      <w:numFmt w:val="upperRoman"/>
      <w:lvlRestart w:val="0"/>
      <w:lvlText w:val="%1."/>
      <w:lvlJc w:val="center"/>
      <w:pPr>
        <w:tabs>
          <w:tab w:val="num" w:pos="648"/>
        </w:tabs>
        <w:ind w:left="0" w:firstLine="288"/>
      </w:pPr>
      <w:rPr>
        <w:b/>
        <w:i w:val="0"/>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7">
    <w:nsid w:val="6EAE564A"/>
    <w:multiLevelType w:val="multilevel"/>
    <w:tmpl w:val="85FA5FD8"/>
    <w:lvl w:ilvl="0">
      <w:start w:val="1"/>
      <w:numFmt w:val="none"/>
      <w:lvlRestart w:val="0"/>
      <w:suff w:val="nothing"/>
      <w:lvlText w:val=""/>
      <w:lvlJc w:val="left"/>
      <w:pPr>
        <w:ind w:left="4824" w:hanging="720"/>
      </w:pPr>
    </w:lvl>
    <w:lvl w:ilvl="1">
      <w:start w:val="1"/>
      <w:numFmt w:val="decimal"/>
      <w:lvlText w:val="%2."/>
      <w:lvlJc w:val="left"/>
      <w:pPr>
        <w:tabs>
          <w:tab w:val="num" w:pos="5400"/>
        </w:tabs>
        <w:ind w:left="5400" w:hanging="576"/>
      </w:pPr>
      <w:rPr>
        <w:b/>
      </w:rPr>
    </w:lvl>
    <w:lvl w:ilvl="2">
      <w:start w:val="1"/>
      <w:numFmt w:val="lowerLetter"/>
      <w:lvlText w:val="%3)"/>
      <w:lvlJc w:val="left"/>
      <w:pPr>
        <w:tabs>
          <w:tab w:val="num" w:pos="5976"/>
        </w:tabs>
        <w:ind w:left="5976" w:hanging="576"/>
      </w:pPr>
      <w:rPr>
        <w:b/>
      </w:rPr>
    </w:lvl>
    <w:lvl w:ilvl="3">
      <w:start w:val="1"/>
      <w:numFmt w:val="lowerRoman"/>
      <w:lvlText w:val="(%4)"/>
      <w:lvlJc w:val="right"/>
      <w:pPr>
        <w:tabs>
          <w:tab w:val="num" w:pos="6480"/>
        </w:tabs>
        <w:ind w:left="6480" w:hanging="288"/>
      </w:pPr>
      <w:rPr>
        <w:b/>
      </w:rPr>
    </w:lvl>
    <w:lvl w:ilvl="4">
      <w:start w:val="1"/>
      <w:numFmt w:val="decimal"/>
      <w:lvlText w:val="%5)"/>
      <w:lvlJc w:val="left"/>
      <w:pPr>
        <w:ind w:left="5112" w:hanging="432"/>
      </w:pPr>
    </w:lvl>
    <w:lvl w:ilvl="5">
      <w:start w:val="1"/>
      <w:numFmt w:val="lowerLetter"/>
      <w:lvlText w:val="%6)"/>
      <w:lvlJc w:val="left"/>
      <w:pPr>
        <w:ind w:left="5256" w:hanging="432"/>
      </w:pPr>
    </w:lvl>
    <w:lvl w:ilvl="6">
      <w:start w:val="1"/>
      <w:numFmt w:val="lowerRoman"/>
      <w:lvlText w:val="%7)"/>
      <w:lvlJc w:val="right"/>
      <w:pPr>
        <w:ind w:left="5400" w:hanging="288"/>
      </w:pPr>
    </w:lvl>
    <w:lvl w:ilvl="7">
      <w:start w:val="1"/>
      <w:numFmt w:val="lowerLetter"/>
      <w:lvlText w:val="%8."/>
      <w:lvlJc w:val="left"/>
      <w:pPr>
        <w:ind w:left="5544" w:hanging="432"/>
      </w:pPr>
    </w:lvl>
    <w:lvl w:ilvl="8">
      <w:start w:val="1"/>
      <w:numFmt w:val="lowerRoman"/>
      <w:lvlText w:val="%9."/>
      <w:lvlJc w:val="right"/>
      <w:pPr>
        <w:ind w:left="5688" w:hanging="144"/>
      </w:pPr>
    </w:lvl>
  </w:abstractNum>
  <w:abstractNum w:abstractNumId="8">
    <w:nsid w:val="6FEA34AC"/>
    <w:multiLevelType w:val="hybridMultilevel"/>
    <w:tmpl w:val="A1663614"/>
    <w:lvl w:ilvl="0" w:tplc="0522254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724811D4"/>
    <w:multiLevelType w:val="multilevel"/>
    <w:tmpl w:val="CD7A79AA"/>
    <w:lvl w:ilvl="0">
      <w:start w:val="1"/>
      <w:numFmt w:val="none"/>
      <w:lvlRestart w:val="0"/>
      <w:pStyle w:val="FirstHeading"/>
      <w:suff w:val="nothing"/>
      <w:lvlText w:val=""/>
      <w:lvlJc w:val="left"/>
      <w:pPr>
        <w:ind w:left="720" w:hanging="720"/>
      </w:pPr>
    </w:lvl>
    <w:lvl w:ilvl="1">
      <w:start w:val="1"/>
      <w:numFmt w:val="decimalZero"/>
      <w:pStyle w:val="SecHeading"/>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0">
    <w:nsid w:val="725E6350"/>
    <w:multiLevelType w:val="hybridMultilevel"/>
    <w:tmpl w:val="E24AC328"/>
    <w:lvl w:ilvl="0" w:tplc="5C7C939A">
      <w:numFmt w:val="bullet"/>
      <w:lvlText w:val=""/>
      <w:lvlJc w:val="left"/>
      <w:pPr>
        <w:ind w:left="1080" w:hanging="360"/>
      </w:pPr>
      <w:rPr>
        <w:rFonts w:ascii="Symbol" w:eastAsia="Times New Roman" w:hAnsi="Symbol"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nsid w:val="733F0815"/>
    <w:multiLevelType w:val="multilevel"/>
    <w:tmpl w:val="7A78C56A"/>
    <w:lvl w:ilvl="0">
      <w:start w:val="1"/>
      <w:numFmt w:val="upperRoman"/>
      <w:lvlRestart w:val="0"/>
      <w:lvlText w:val="%1."/>
      <w:lvlJc w:val="center"/>
      <w:pPr>
        <w:tabs>
          <w:tab w:val="num" w:pos="1944"/>
        </w:tabs>
        <w:ind w:left="1296" w:firstLine="288"/>
      </w:pPr>
      <w:rPr>
        <w:b/>
        <w:i w:val="0"/>
      </w:rPr>
    </w:lvl>
    <w:lvl w:ilvl="1">
      <w:start w:val="1"/>
      <w:numFmt w:val="decimal"/>
      <w:isLgl/>
      <w:lvlText w:val="%1.%2"/>
      <w:lvlJc w:val="left"/>
      <w:pPr>
        <w:tabs>
          <w:tab w:val="num" w:pos="2592"/>
        </w:tabs>
        <w:ind w:left="2592" w:hanging="1296"/>
      </w:pPr>
    </w:lvl>
    <w:lvl w:ilvl="2">
      <w:start w:val="1"/>
      <w:numFmt w:val="lowerLetter"/>
      <w:lvlText w:val="%3."/>
      <w:lvlJc w:val="left"/>
      <w:pPr>
        <w:tabs>
          <w:tab w:val="num" w:pos="2448"/>
        </w:tabs>
        <w:ind w:left="2448" w:hanging="432"/>
      </w:pPr>
    </w:lvl>
    <w:lvl w:ilvl="3">
      <w:start w:val="1"/>
      <w:numFmt w:val="decimal"/>
      <w:lvlText w:val="%1.%2.%3.%4"/>
      <w:lvlJc w:val="left"/>
      <w:pPr>
        <w:ind w:left="2160" w:hanging="864"/>
      </w:pPr>
    </w:lvl>
    <w:lvl w:ilvl="4">
      <w:start w:val="1"/>
      <w:numFmt w:val="decimal"/>
      <w:lvlText w:val="%1.%2.%3.%4.%5"/>
      <w:lvlJc w:val="left"/>
      <w:pPr>
        <w:ind w:left="2304" w:hanging="1008"/>
      </w:pPr>
    </w:lvl>
    <w:lvl w:ilvl="5">
      <w:start w:val="1"/>
      <w:numFmt w:val="decimal"/>
      <w:lvlText w:val="%1.%2.%3.%4.%5.%6"/>
      <w:lvlJc w:val="left"/>
      <w:pPr>
        <w:ind w:left="2448" w:hanging="1152"/>
      </w:pPr>
    </w:lvl>
    <w:lvl w:ilvl="6">
      <w:start w:val="1"/>
      <w:numFmt w:val="decimal"/>
      <w:lvlText w:val="%1.%2.%3.%4.%5.%6.%7"/>
      <w:lvlJc w:val="left"/>
      <w:pPr>
        <w:ind w:left="2592" w:hanging="1296"/>
      </w:pPr>
    </w:lvl>
    <w:lvl w:ilvl="7">
      <w:start w:val="1"/>
      <w:numFmt w:val="decimal"/>
      <w:lvlText w:val="%1.%2.%3.%4.%5.%6.%7.%8"/>
      <w:lvlJc w:val="left"/>
      <w:pPr>
        <w:ind w:left="2736" w:hanging="1440"/>
      </w:pPr>
    </w:lvl>
    <w:lvl w:ilvl="8">
      <w:start w:val="1"/>
      <w:numFmt w:val="decimal"/>
      <w:lvlText w:val="%1.%2.%3.%4.%5.%6.%7.%8.%9"/>
      <w:lvlJc w:val="left"/>
      <w:pPr>
        <w:ind w:left="2880" w:hanging="1584"/>
      </w:pPr>
    </w:lvl>
  </w:abstractNum>
  <w:abstractNum w:abstractNumId="12">
    <w:nsid w:val="775C5A11"/>
    <w:multiLevelType w:val="multilevel"/>
    <w:tmpl w:val="B8F08578"/>
    <w:lvl w:ilvl="0">
      <w:start w:val="1"/>
      <w:numFmt w:val="upperRoman"/>
      <w:lvlRestart w:val="0"/>
      <w:lvlText w:val="%1."/>
      <w:lvlJc w:val="center"/>
      <w:pPr>
        <w:tabs>
          <w:tab w:val="num" w:pos="648"/>
        </w:tabs>
        <w:ind w:left="0" w:firstLine="288"/>
      </w:pPr>
      <w:rPr>
        <w:b/>
        <w:i w:val="0"/>
      </w:rPr>
    </w:lvl>
    <w:lvl w:ilvl="1">
      <w:start w:val="1"/>
      <w:numFmt w:val="decimal"/>
      <w:isLgl/>
      <w:lvlText w:val="%1.%2"/>
      <w:lvlJc w:val="left"/>
      <w:pPr>
        <w:tabs>
          <w:tab w:val="num" w:pos="1296"/>
        </w:tabs>
        <w:ind w:left="1296" w:hanging="129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3">
    <w:nsid w:val="7F77514C"/>
    <w:multiLevelType w:val="multilevel"/>
    <w:tmpl w:val="BDEA6AAE"/>
    <w:lvl w:ilvl="0">
      <w:start w:val="1"/>
      <w:numFmt w:val="upperRoman"/>
      <w:lvlText w:val="Article %1."/>
      <w:lvlJc w:val="left"/>
      <w:pPr>
        <w:ind w:left="4104" w:firstLine="0"/>
      </w:pPr>
    </w:lvl>
    <w:lvl w:ilvl="1">
      <w:start w:val="1"/>
      <w:numFmt w:val="decimalZero"/>
      <w:isLgl/>
      <w:lvlText w:val="Section %1.%2"/>
      <w:lvlJc w:val="left"/>
      <w:pPr>
        <w:ind w:left="4104" w:firstLine="0"/>
      </w:pPr>
      <w:rPr>
        <w:b/>
      </w:rPr>
    </w:lvl>
    <w:lvl w:ilvl="2">
      <w:start w:val="1"/>
      <w:numFmt w:val="lowerLetter"/>
      <w:lvlText w:val="(%3)"/>
      <w:lvlJc w:val="left"/>
      <w:pPr>
        <w:ind w:left="4824" w:hanging="432"/>
      </w:pPr>
      <w:rPr>
        <w:b/>
      </w:rPr>
    </w:lvl>
    <w:lvl w:ilvl="3">
      <w:start w:val="1"/>
      <w:numFmt w:val="lowerRoman"/>
      <w:lvlText w:val="(%4)"/>
      <w:lvlJc w:val="right"/>
      <w:pPr>
        <w:ind w:left="4968" w:hanging="144"/>
      </w:pPr>
      <w:rPr>
        <w:b/>
      </w:rPr>
    </w:lvl>
    <w:lvl w:ilvl="4">
      <w:start w:val="1"/>
      <w:numFmt w:val="decimal"/>
      <w:lvlText w:val="%5)"/>
      <w:lvlJc w:val="left"/>
      <w:pPr>
        <w:ind w:left="5112" w:hanging="432"/>
      </w:pPr>
    </w:lvl>
    <w:lvl w:ilvl="5">
      <w:start w:val="1"/>
      <w:numFmt w:val="lowerLetter"/>
      <w:lvlText w:val="%6)"/>
      <w:lvlJc w:val="left"/>
      <w:pPr>
        <w:ind w:left="5256" w:hanging="432"/>
      </w:pPr>
    </w:lvl>
    <w:lvl w:ilvl="6">
      <w:start w:val="1"/>
      <w:numFmt w:val="lowerRoman"/>
      <w:lvlText w:val="%7)"/>
      <w:lvlJc w:val="right"/>
      <w:pPr>
        <w:ind w:left="5400" w:hanging="288"/>
      </w:pPr>
    </w:lvl>
    <w:lvl w:ilvl="7">
      <w:start w:val="1"/>
      <w:numFmt w:val="lowerLetter"/>
      <w:lvlText w:val="%8."/>
      <w:lvlJc w:val="left"/>
      <w:pPr>
        <w:ind w:left="5544" w:hanging="432"/>
      </w:pPr>
    </w:lvl>
    <w:lvl w:ilvl="8">
      <w:start w:val="1"/>
      <w:numFmt w:val="lowerRoman"/>
      <w:lvlText w:val="%9."/>
      <w:lvlJc w:val="right"/>
      <w:pPr>
        <w:ind w:left="5688" w:hanging="144"/>
      </w:pPr>
    </w:lvl>
  </w:abstractNum>
  <w:num w:numId="1">
    <w:abstractNumId w:val="13"/>
  </w:num>
  <w:num w:numId="2">
    <w:abstractNumId w:val="5"/>
  </w:num>
  <w:num w:numId="3">
    <w:abstractNumId w:val="7"/>
  </w:num>
  <w:num w:numId="4">
    <w:abstractNumId w:val="5"/>
  </w:num>
  <w:num w:numId="5">
    <w:abstractNumId w:val="5"/>
  </w:num>
  <w:num w:numId="6">
    <w:abstractNumId w:val="5"/>
  </w:num>
  <w:num w:numId="7">
    <w:abstractNumId w:val="2"/>
  </w:num>
  <w:num w:numId="8">
    <w:abstractNumId w:val="5"/>
  </w:num>
  <w:num w:numId="9">
    <w:abstractNumId w:val="5"/>
  </w:num>
  <w:num w:numId="10">
    <w:abstractNumId w:val="10"/>
  </w:num>
  <w:num w:numId="11">
    <w:abstractNumId w:val="5"/>
  </w:num>
  <w:num w:numId="12">
    <w:abstractNumId w:val="5"/>
  </w:num>
  <w:num w:numId="13">
    <w:abstractNumId w:val="13"/>
  </w:num>
  <w:num w:numId="14">
    <w:abstractNumId w:val="5"/>
  </w:num>
  <w:num w:numId="15">
    <w:abstractNumId w:val="5"/>
  </w:num>
  <w:num w:numId="16">
    <w:abstractNumId w:val="5"/>
  </w:num>
  <w:num w:numId="17">
    <w:abstractNumId w:val="5"/>
  </w:num>
  <w:num w:numId="18">
    <w:abstractNumId w:val="5"/>
  </w:num>
  <w:num w:numId="19">
    <w:abstractNumId w:val="5"/>
  </w:num>
  <w:num w:numId="20">
    <w:abstractNumId w:val="5"/>
  </w:num>
  <w:num w:numId="21">
    <w:abstractNumId w:val="5"/>
  </w:num>
  <w:num w:numId="22">
    <w:abstractNumId w:val="5"/>
  </w:num>
  <w:num w:numId="23">
    <w:abstractNumId w:val="5"/>
  </w:num>
  <w:num w:numId="24">
    <w:abstractNumId w:val="5"/>
  </w:num>
  <w:num w:numId="25">
    <w:abstractNumId w:val="5"/>
  </w:num>
  <w:num w:numId="26">
    <w:abstractNumId w:val="6"/>
  </w:num>
  <w:num w:numId="27">
    <w:abstractNumId w:val="12"/>
  </w:num>
  <w:num w:numId="28">
    <w:abstractNumId w:val="11"/>
  </w:num>
  <w:num w:numId="29">
    <w:abstractNumId w:val="9"/>
  </w:num>
  <w:num w:numId="30">
    <w:abstractNumId w:val="0"/>
  </w:num>
  <w:num w:numId="31">
    <w:abstractNumId w:val="4"/>
  </w:num>
  <w:num w:numId="32">
    <w:abstractNumId w:val="8"/>
  </w:num>
  <w:num w:numId="33">
    <w:abstractNumId w:val="3"/>
  </w:num>
  <w:num w:numId="3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revisionView w:markup="0"/>
  <w:defaultTabStop w:val="720"/>
  <w:hyphenationZone w:val="425"/>
  <w:characterSpacingControl w:val="doNotCompress"/>
  <w:footnotePr>
    <w:footnote w:id="-1"/>
    <w:footnote w:id="0"/>
  </w:footnotePr>
  <w:endnotePr>
    <w:endnote w:id="-1"/>
    <w:endnote w:id="0"/>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41D7"/>
    <w:rsid w:val="00003866"/>
    <w:rsid w:val="000047CE"/>
    <w:rsid w:val="00006EFF"/>
    <w:rsid w:val="0001188D"/>
    <w:rsid w:val="000273EE"/>
    <w:rsid w:val="00030D45"/>
    <w:rsid w:val="000372D4"/>
    <w:rsid w:val="00041E83"/>
    <w:rsid w:val="00050459"/>
    <w:rsid w:val="00055D56"/>
    <w:rsid w:val="00065374"/>
    <w:rsid w:val="0007514E"/>
    <w:rsid w:val="00077D31"/>
    <w:rsid w:val="00083004"/>
    <w:rsid w:val="00097288"/>
    <w:rsid w:val="000A281D"/>
    <w:rsid w:val="000B1709"/>
    <w:rsid w:val="000B3429"/>
    <w:rsid w:val="000D6D8E"/>
    <w:rsid w:val="000E6D4C"/>
    <w:rsid w:val="000F216A"/>
    <w:rsid w:val="000F3CAC"/>
    <w:rsid w:val="000F404C"/>
    <w:rsid w:val="000F4133"/>
    <w:rsid w:val="000F68E1"/>
    <w:rsid w:val="00112669"/>
    <w:rsid w:val="00112715"/>
    <w:rsid w:val="0011641B"/>
    <w:rsid w:val="001230D1"/>
    <w:rsid w:val="00134A69"/>
    <w:rsid w:val="00137F34"/>
    <w:rsid w:val="00142BA8"/>
    <w:rsid w:val="001454B2"/>
    <w:rsid w:val="00175244"/>
    <w:rsid w:val="00185D79"/>
    <w:rsid w:val="00185EF9"/>
    <w:rsid w:val="001A49BA"/>
    <w:rsid w:val="001A7D8F"/>
    <w:rsid w:val="001B10BF"/>
    <w:rsid w:val="001C7F78"/>
    <w:rsid w:val="001D0259"/>
    <w:rsid w:val="001F062C"/>
    <w:rsid w:val="00201873"/>
    <w:rsid w:val="002271F8"/>
    <w:rsid w:val="00235F2B"/>
    <w:rsid w:val="00237756"/>
    <w:rsid w:val="00277404"/>
    <w:rsid w:val="0029301F"/>
    <w:rsid w:val="002A51AA"/>
    <w:rsid w:val="002B607A"/>
    <w:rsid w:val="002D6007"/>
    <w:rsid w:val="002D69F1"/>
    <w:rsid w:val="002E0A63"/>
    <w:rsid w:val="002E56C5"/>
    <w:rsid w:val="002E5ABE"/>
    <w:rsid w:val="00305DDE"/>
    <w:rsid w:val="00306DFA"/>
    <w:rsid w:val="00316ABF"/>
    <w:rsid w:val="003239C0"/>
    <w:rsid w:val="00324E83"/>
    <w:rsid w:val="00325426"/>
    <w:rsid w:val="003268D7"/>
    <w:rsid w:val="0033053C"/>
    <w:rsid w:val="00332778"/>
    <w:rsid w:val="0033501C"/>
    <w:rsid w:val="003354D1"/>
    <w:rsid w:val="00355B95"/>
    <w:rsid w:val="00364CCD"/>
    <w:rsid w:val="00373E9A"/>
    <w:rsid w:val="00383A4B"/>
    <w:rsid w:val="0038455C"/>
    <w:rsid w:val="00384E9D"/>
    <w:rsid w:val="0038703B"/>
    <w:rsid w:val="00390237"/>
    <w:rsid w:val="003954F6"/>
    <w:rsid w:val="003A6420"/>
    <w:rsid w:val="003B6D86"/>
    <w:rsid w:val="003B7FF3"/>
    <w:rsid w:val="003C1B7B"/>
    <w:rsid w:val="003D6076"/>
    <w:rsid w:val="003E15FE"/>
    <w:rsid w:val="003E6AAD"/>
    <w:rsid w:val="003F2EA5"/>
    <w:rsid w:val="004013C1"/>
    <w:rsid w:val="00405774"/>
    <w:rsid w:val="00421850"/>
    <w:rsid w:val="004231DD"/>
    <w:rsid w:val="00443A1D"/>
    <w:rsid w:val="004566B8"/>
    <w:rsid w:val="00471D5F"/>
    <w:rsid w:val="00474229"/>
    <w:rsid w:val="00485683"/>
    <w:rsid w:val="00487FFC"/>
    <w:rsid w:val="004A41CA"/>
    <w:rsid w:val="004A558D"/>
    <w:rsid w:val="004A71D3"/>
    <w:rsid w:val="004B5EE8"/>
    <w:rsid w:val="004C2A17"/>
    <w:rsid w:val="004D3C4A"/>
    <w:rsid w:val="004E3B4C"/>
    <w:rsid w:val="004E5A30"/>
    <w:rsid w:val="004F744E"/>
    <w:rsid w:val="00506420"/>
    <w:rsid w:val="005153A2"/>
    <w:rsid w:val="00516CBA"/>
    <w:rsid w:val="00520C4E"/>
    <w:rsid w:val="00526A95"/>
    <w:rsid w:val="00537007"/>
    <w:rsid w:val="0054061E"/>
    <w:rsid w:val="005412C5"/>
    <w:rsid w:val="00547332"/>
    <w:rsid w:val="00564C00"/>
    <w:rsid w:val="005728E4"/>
    <w:rsid w:val="00573AFC"/>
    <w:rsid w:val="00576BA1"/>
    <w:rsid w:val="005803B8"/>
    <w:rsid w:val="00581CA5"/>
    <w:rsid w:val="0058249C"/>
    <w:rsid w:val="0059174B"/>
    <w:rsid w:val="005A72A4"/>
    <w:rsid w:val="005A753C"/>
    <w:rsid w:val="005B690A"/>
    <w:rsid w:val="005E528D"/>
    <w:rsid w:val="005E6EA8"/>
    <w:rsid w:val="005F64C5"/>
    <w:rsid w:val="006011C7"/>
    <w:rsid w:val="00616204"/>
    <w:rsid w:val="00620524"/>
    <w:rsid w:val="00620905"/>
    <w:rsid w:val="0062561F"/>
    <w:rsid w:val="00640094"/>
    <w:rsid w:val="00643690"/>
    <w:rsid w:val="00644375"/>
    <w:rsid w:val="006450E3"/>
    <w:rsid w:val="00646863"/>
    <w:rsid w:val="00651882"/>
    <w:rsid w:val="00661B49"/>
    <w:rsid w:val="00662EB0"/>
    <w:rsid w:val="00667A47"/>
    <w:rsid w:val="00670217"/>
    <w:rsid w:val="006723B8"/>
    <w:rsid w:val="0067525B"/>
    <w:rsid w:val="0068636B"/>
    <w:rsid w:val="006960C5"/>
    <w:rsid w:val="006A0340"/>
    <w:rsid w:val="006A4961"/>
    <w:rsid w:val="006A5FED"/>
    <w:rsid w:val="006B02ED"/>
    <w:rsid w:val="006B6ED5"/>
    <w:rsid w:val="006D51D0"/>
    <w:rsid w:val="006F054E"/>
    <w:rsid w:val="006F2988"/>
    <w:rsid w:val="00706E16"/>
    <w:rsid w:val="0071599D"/>
    <w:rsid w:val="00716901"/>
    <w:rsid w:val="007516D9"/>
    <w:rsid w:val="007519C3"/>
    <w:rsid w:val="0075419D"/>
    <w:rsid w:val="00761288"/>
    <w:rsid w:val="00761BAB"/>
    <w:rsid w:val="0076379A"/>
    <w:rsid w:val="0076677C"/>
    <w:rsid w:val="00766872"/>
    <w:rsid w:val="00782D4B"/>
    <w:rsid w:val="00785B03"/>
    <w:rsid w:val="00794A32"/>
    <w:rsid w:val="0079577E"/>
    <w:rsid w:val="007A7C65"/>
    <w:rsid w:val="007B1E72"/>
    <w:rsid w:val="007B529B"/>
    <w:rsid w:val="007E12CE"/>
    <w:rsid w:val="007F3849"/>
    <w:rsid w:val="007F5562"/>
    <w:rsid w:val="00811732"/>
    <w:rsid w:val="00812FFE"/>
    <w:rsid w:val="008209BB"/>
    <w:rsid w:val="008327B0"/>
    <w:rsid w:val="008509F2"/>
    <w:rsid w:val="00853964"/>
    <w:rsid w:val="00867258"/>
    <w:rsid w:val="00870EBD"/>
    <w:rsid w:val="008A2A4C"/>
    <w:rsid w:val="008A333C"/>
    <w:rsid w:val="008A57DC"/>
    <w:rsid w:val="008A72BB"/>
    <w:rsid w:val="008B1676"/>
    <w:rsid w:val="008C3DC3"/>
    <w:rsid w:val="008D0207"/>
    <w:rsid w:val="008D2384"/>
    <w:rsid w:val="008E507C"/>
    <w:rsid w:val="008F19E5"/>
    <w:rsid w:val="0090409D"/>
    <w:rsid w:val="00907A25"/>
    <w:rsid w:val="00911046"/>
    <w:rsid w:val="0091438E"/>
    <w:rsid w:val="00924B64"/>
    <w:rsid w:val="00926644"/>
    <w:rsid w:val="00933B53"/>
    <w:rsid w:val="00941E9A"/>
    <w:rsid w:val="0094517B"/>
    <w:rsid w:val="00947893"/>
    <w:rsid w:val="009612DA"/>
    <w:rsid w:val="00965708"/>
    <w:rsid w:val="0097334F"/>
    <w:rsid w:val="009827C7"/>
    <w:rsid w:val="00995109"/>
    <w:rsid w:val="009A61E0"/>
    <w:rsid w:val="009C07BB"/>
    <w:rsid w:val="009C18EB"/>
    <w:rsid w:val="009C65F7"/>
    <w:rsid w:val="009F65D1"/>
    <w:rsid w:val="00A00563"/>
    <w:rsid w:val="00A02B10"/>
    <w:rsid w:val="00A06B1C"/>
    <w:rsid w:val="00A1784D"/>
    <w:rsid w:val="00A26315"/>
    <w:rsid w:val="00A31B9E"/>
    <w:rsid w:val="00A356D9"/>
    <w:rsid w:val="00A513D1"/>
    <w:rsid w:val="00A541A2"/>
    <w:rsid w:val="00A541D7"/>
    <w:rsid w:val="00A6182A"/>
    <w:rsid w:val="00A62E17"/>
    <w:rsid w:val="00A652A9"/>
    <w:rsid w:val="00A723C7"/>
    <w:rsid w:val="00A76FF2"/>
    <w:rsid w:val="00A779AB"/>
    <w:rsid w:val="00A80FE6"/>
    <w:rsid w:val="00A90722"/>
    <w:rsid w:val="00AA49ED"/>
    <w:rsid w:val="00AA6370"/>
    <w:rsid w:val="00AB1418"/>
    <w:rsid w:val="00AB41CA"/>
    <w:rsid w:val="00AD3A63"/>
    <w:rsid w:val="00AE051B"/>
    <w:rsid w:val="00AF560A"/>
    <w:rsid w:val="00B1051C"/>
    <w:rsid w:val="00B30048"/>
    <w:rsid w:val="00B33EAE"/>
    <w:rsid w:val="00B36B68"/>
    <w:rsid w:val="00B42684"/>
    <w:rsid w:val="00B52F4B"/>
    <w:rsid w:val="00B61CE1"/>
    <w:rsid w:val="00B642C7"/>
    <w:rsid w:val="00B65BDB"/>
    <w:rsid w:val="00B67E4F"/>
    <w:rsid w:val="00B72664"/>
    <w:rsid w:val="00B75E90"/>
    <w:rsid w:val="00B7613B"/>
    <w:rsid w:val="00B80936"/>
    <w:rsid w:val="00B81D21"/>
    <w:rsid w:val="00B8225A"/>
    <w:rsid w:val="00B862CD"/>
    <w:rsid w:val="00B8797D"/>
    <w:rsid w:val="00B9053C"/>
    <w:rsid w:val="00BA6EBA"/>
    <w:rsid w:val="00BB3554"/>
    <w:rsid w:val="00BC1951"/>
    <w:rsid w:val="00BC3206"/>
    <w:rsid w:val="00BD0652"/>
    <w:rsid w:val="00BD2CF2"/>
    <w:rsid w:val="00BD4085"/>
    <w:rsid w:val="00BF4994"/>
    <w:rsid w:val="00BF5841"/>
    <w:rsid w:val="00C0444C"/>
    <w:rsid w:val="00C13066"/>
    <w:rsid w:val="00C20348"/>
    <w:rsid w:val="00C427A0"/>
    <w:rsid w:val="00C44DFE"/>
    <w:rsid w:val="00C50225"/>
    <w:rsid w:val="00C50602"/>
    <w:rsid w:val="00C5222D"/>
    <w:rsid w:val="00C614DC"/>
    <w:rsid w:val="00C84C8C"/>
    <w:rsid w:val="00C93C4B"/>
    <w:rsid w:val="00C9556A"/>
    <w:rsid w:val="00CA38AB"/>
    <w:rsid w:val="00CB0FEE"/>
    <w:rsid w:val="00CB13C7"/>
    <w:rsid w:val="00CB1CE0"/>
    <w:rsid w:val="00CB7455"/>
    <w:rsid w:val="00CE1F88"/>
    <w:rsid w:val="00CE51C9"/>
    <w:rsid w:val="00CE63B9"/>
    <w:rsid w:val="00CF28E7"/>
    <w:rsid w:val="00CF3C11"/>
    <w:rsid w:val="00D1510F"/>
    <w:rsid w:val="00D15645"/>
    <w:rsid w:val="00D2006B"/>
    <w:rsid w:val="00D24A14"/>
    <w:rsid w:val="00D32F78"/>
    <w:rsid w:val="00D334C6"/>
    <w:rsid w:val="00D525DA"/>
    <w:rsid w:val="00D544F3"/>
    <w:rsid w:val="00D70E2D"/>
    <w:rsid w:val="00D7405A"/>
    <w:rsid w:val="00D863C5"/>
    <w:rsid w:val="00DA0868"/>
    <w:rsid w:val="00DA47BF"/>
    <w:rsid w:val="00DB0F4B"/>
    <w:rsid w:val="00DE0402"/>
    <w:rsid w:val="00DE5562"/>
    <w:rsid w:val="00DE68B6"/>
    <w:rsid w:val="00DE6938"/>
    <w:rsid w:val="00DE7E0C"/>
    <w:rsid w:val="00DF5CF8"/>
    <w:rsid w:val="00DF7708"/>
    <w:rsid w:val="00DF7F64"/>
    <w:rsid w:val="00E00146"/>
    <w:rsid w:val="00E0225B"/>
    <w:rsid w:val="00E02FBE"/>
    <w:rsid w:val="00E062CF"/>
    <w:rsid w:val="00E158BB"/>
    <w:rsid w:val="00E33425"/>
    <w:rsid w:val="00E44802"/>
    <w:rsid w:val="00E60504"/>
    <w:rsid w:val="00E620DA"/>
    <w:rsid w:val="00E630B1"/>
    <w:rsid w:val="00E64FDD"/>
    <w:rsid w:val="00E72647"/>
    <w:rsid w:val="00E83F19"/>
    <w:rsid w:val="00E9047D"/>
    <w:rsid w:val="00E954FC"/>
    <w:rsid w:val="00EB2E25"/>
    <w:rsid w:val="00EB63C9"/>
    <w:rsid w:val="00EC1E8A"/>
    <w:rsid w:val="00ED20F7"/>
    <w:rsid w:val="00ED46BF"/>
    <w:rsid w:val="00EE4F21"/>
    <w:rsid w:val="00EE7786"/>
    <w:rsid w:val="00EF06C8"/>
    <w:rsid w:val="00EF7BB1"/>
    <w:rsid w:val="00F00B71"/>
    <w:rsid w:val="00F10FF1"/>
    <w:rsid w:val="00F158E9"/>
    <w:rsid w:val="00F23CDD"/>
    <w:rsid w:val="00F25F14"/>
    <w:rsid w:val="00F34695"/>
    <w:rsid w:val="00F4295B"/>
    <w:rsid w:val="00F448D1"/>
    <w:rsid w:val="00F54B82"/>
    <w:rsid w:val="00F8460B"/>
    <w:rsid w:val="00FA0686"/>
    <w:rsid w:val="00FA5745"/>
    <w:rsid w:val="00FA6609"/>
    <w:rsid w:val="00FB0E26"/>
    <w:rsid w:val="00FB3DEC"/>
    <w:rsid w:val="00FB7EC7"/>
    <w:rsid w:val="00FC40B8"/>
    <w:rsid w:val="00FD3EDC"/>
    <w:rsid w:val="00FD57F2"/>
    <w:rsid w:val="00FE1AC4"/>
    <w:rsid w:val="00FF3F3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colormru v:ext="edit" colors="#c6e4dd,#daeee9"/>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26A95"/>
    <w:rPr>
      <w:rFonts w:eastAsiaTheme="minorEastAsia"/>
    </w:rPr>
  </w:style>
  <w:style w:type="paragraph" w:styleId="Heading1">
    <w:name w:val="heading 1"/>
    <w:basedOn w:val="Normal"/>
    <w:next w:val="Normal"/>
    <w:link w:val="Heading1Char"/>
    <w:uiPriority w:val="9"/>
    <w:qFormat/>
    <w:rsid w:val="0067525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3">
    <w:name w:val="heading 3"/>
    <w:basedOn w:val="Normal"/>
    <w:next w:val="Normal"/>
    <w:link w:val="Heading3Char"/>
    <w:uiPriority w:val="9"/>
    <w:semiHidden/>
    <w:unhideWhenUsed/>
    <w:qFormat/>
    <w:rsid w:val="0067525B"/>
    <w:pPr>
      <w:keepNext/>
      <w:keepLines/>
      <w:numPr>
        <w:ilvl w:val="2"/>
        <w:numId w:val="29"/>
      </w:numPr>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67525B"/>
    <w:pPr>
      <w:keepNext/>
      <w:keepLines/>
      <w:numPr>
        <w:ilvl w:val="3"/>
        <w:numId w:val="29"/>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67525B"/>
    <w:pPr>
      <w:keepNext/>
      <w:keepLines/>
      <w:numPr>
        <w:ilvl w:val="4"/>
        <w:numId w:val="29"/>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67525B"/>
    <w:pPr>
      <w:keepNext/>
      <w:keepLines/>
      <w:numPr>
        <w:ilvl w:val="5"/>
        <w:numId w:val="29"/>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unhideWhenUsed/>
    <w:qFormat/>
    <w:rsid w:val="0067525B"/>
    <w:pPr>
      <w:keepNext/>
      <w:keepLines/>
      <w:numPr>
        <w:ilvl w:val="6"/>
        <w:numId w:val="29"/>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67525B"/>
    <w:pPr>
      <w:keepNext/>
      <w:keepLines/>
      <w:numPr>
        <w:ilvl w:val="7"/>
        <w:numId w:val="29"/>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67525B"/>
    <w:pPr>
      <w:keepNext/>
      <w:keepLines/>
      <w:numPr>
        <w:ilvl w:val="8"/>
        <w:numId w:val="29"/>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semiHidden/>
    <w:rsid w:val="0067525B"/>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67525B"/>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rsid w:val="0067525B"/>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67525B"/>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67525B"/>
    <w:rPr>
      <w:rFonts w:asciiTheme="majorHAnsi" w:eastAsiaTheme="majorEastAsia" w:hAnsiTheme="majorHAnsi" w:cstheme="majorBidi"/>
      <w:i/>
      <w:iCs/>
      <w:color w:val="404040" w:themeColor="text1" w:themeTint="BF"/>
      <w:sz w:val="20"/>
      <w:szCs w:val="20"/>
    </w:rPr>
  </w:style>
  <w:style w:type="paragraph" w:styleId="CommentText">
    <w:name w:val="annotation text"/>
    <w:basedOn w:val="Normal"/>
    <w:link w:val="CommentTextChar"/>
    <w:uiPriority w:val="99"/>
    <w:semiHidden/>
    <w:unhideWhenUsed/>
    <w:rsid w:val="00526A95"/>
    <w:pPr>
      <w:spacing w:line="240" w:lineRule="auto"/>
    </w:pPr>
    <w:rPr>
      <w:sz w:val="20"/>
      <w:szCs w:val="20"/>
    </w:rPr>
  </w:style>
  <w:style w:type="character" w:customStyle="1" w:styleId="CommentTextChar">
    <w:name w:val="Comment Text Char"/>
    <w:basedOn w:val="DefaultParagraphFont"/>
    <w:link w:val="CommentText"/>
    <w:uiPriority w:val="99"/>
    <w:semiHidden/>
    <w:rsid w:val="00526A95"/>
    <w:rPr>
      <w:rFonts w:eastAsiaTheme="minorEastAsia"/>
      <w:sz w:val="20"/>
      <w:szCs w:val="20"/>
    </w:rPr>
  </w:style>
  <w:style w:type="character" w:styleId="CommentReference">
    <w:name w:val="annotation reference"/>
    <w:basedOn w:val="DefaultParagraphFont"/>
    <w:uiPriority w:val="99"/>
    <w:semiHidden/>
    <w:unhideWhenUsed/>
    <w:rsid w:val="00526A95"/>
    <w:rPr>
      <w:sz w:val="16"/>
      <w:szCs w:val="16"/>
    </w:rPr>
  </w:style>
  <w:style w:type="paragraph" w:styleId="FootnoteText">
    <w:name w:val="footnote text"/>
    <w:aliases w:val="fn,Texto nota pie IIRSA,single space,texto de nota al pie,Texto nota pie Car Car Car Car Car Car Car Car,Texto nota pie Car Car Car,Footnote Text Char Char Char Char Char Char,Texto nota pie Car Car Car Car Car,Texto nota pie Car1,Texto,F"/>
    <w:basedOn w:val="Normal"/>
    <w:link w:val="FootnoteTextChar"/>
    <w:uiPriority w:val="99"/>
    <w:unhideWhenUsed/>
    <w:rsid w:val="00526A95"/>
    <w:pPr>
      <w:keepNext/>
      <w:keepLines/>
      <w:spacing w:after="120" w:line="240" w:lineRule="auto"/>
      <w:ind w:left="288" w:hanging="288"/>
      <w:jc w:val="both"/>
    </w:pPr>
    <w:rPr>
      <w:rFonts w:ascii="Times New Roman" w:hAnsi="Times New Roman" w:cs="Times New Roman"/>
      <w:spacing w:val="-3"/>
      <w:sz w:val="20"/>
      <w:szCs w:val="20"/>
    </w:rPr>
  </w:style>
  <w:style w:type="character" w:customStyle="1" w:styleId="FootnoteTextChar">
    <w:name w:val="Footnote Text Char"/>
    <w:aliases w:val="fn Char,Texto nota pie IIRSA Char,single space Char,texto de nota al pie Char,Texto nota pie Car Car Car Car Car Car Car Car Char,Texto nota pie Car Car Car Char,Footnote Text Char Char Char Char Char Char Char,Texto Char,F Char"/>
    <w:basedOn w:val="DefaultParagraphFont"/>
    <w:link w:val="FootnoteText"/>
    <w:uiPriority w:val="99"/>
    <w:rsid w:val="00526A95"/>
    <w:rPr>
      <w:rFonts w:ascii="Times New Roman" w:eastAsiaTheme="minorEastAsia" w:hAnsi="Times New Roman" w:cs="Times New Roman"/>
      <w:spacing w:val="-3"/>
      <w:sz w:val="20"/>
      <w:szCs w:val="20"/>
    </w:rPr>
  </w:style>
  <w:style w:type="character" w:styleId="FootnoteReference">
    <w:name w:val="footnote reference"/>
    <w:aliases w:val="ftref,Fußnotenzeichen DISS,16 Point,Superscript 6 Point,BVI fnr, BVI fnr,Знак сноски 1,referencia nota al pie,titulo 2,FC"/>
    <w:basedOn w:val="DefaultParagraphFont"/>
    <w:uiPriority w:val="99"/>
    <w:unhideWhenUsed/>
    <w:rsid w:val="00526A95"/>
    <w:rPr>
      <w:vertAlign w:val="superscript"/>
    </w:rPr>
  </w:style>
  <w:style w:type="paragraph" w:customStyle="1" w:styleId="Chapter">
    <w:name w:val="Chapter"/>
    <w:basedOn w:val="Normal"/>
    <w:next w:val="Normal"/>
    <w:link w:val="ChapterChar"/>
    <w:rsid w:val="0067525B"/>
    <w:pPr>
      <w:keepNext/>
      <w:tabs>
        <w:tab w:val="num" w:pos="648"/>
        <w:tab w:val="left" w:pos="1440"/>
      </w:tabs>
      <w:spacing w:before="240" w:after="240" w:line="240" w:lineRule="auto"/>
      <w:ind w:firstLine="288"/>
      <w:jc w:val="center"/>
    </w:pPr>
    <w:rPr>
      <w:rFonts w:ascii="Times New Roman" w:eastAsia="Times New Roman" w:hAnsi="Times New Roman" w:cs="Times New Roman"/>
      <w:b/>
      <w:smallCaps/>
      <w:sz w:val="24"/>
      <w:szCs w:val="20"/>
    </w:rPr>
  </w:style>
  <w:style w:type="paragraph" w:customStyle="1" w:styleId="Paragraph">
    <w:name w:val="Paragraph"/>
    <w:aliases w:val="paragraph,p,PARAGRAPH,PG,pa,at"/>
    <w:basedOn w:val="BodyTextIndent"/>
    <w:link w:val="ParagraphChar"/>
    <w:qFormat/>
    <w:rsid w:val="0067525B"/>
    <w:pPr>
      <w:tabs>
        <w:tab w:val="num" w:pos="720"/>
      </w:tabs>
      <w:spacing w:before="120"/>
      <w:ind w:left="720" w:hanging="720"/>
      <w:jc w:val="both"/>
      <w:outlineLvl w:val="1"/>
    </w:pPr>
    <w:rPr>
      <w:rFonts w:eastAsia="Times New Roman"/>
      <w:szCs w:val="20"/>
    </w:rPr>
  </w:style>
  <w:style w:type="paragraph" w:customStyle="1" w:styleId="subpar">
    <w:name w:val="subpar"/>
    <w:basedOn w:val="BodyTextIndent3"/>
    <w:rsid w:val="0067525B"/>
    <w:pPr>
      <w:tabs>
        <w:tab w:val="num" w:pos="1152"/>
      </w:tabs>
      <w:spacing w:before="120"/>
      <w:ind w:left="1152" w:hanging="432"/>
      <w:jc w:val="both"/>
      <w:outlineLvl w:val="2"/>
    </w:pPr>
    <w:rPr>
      <w:rFonts w:eastAsia="Times New Roman"/>
      <w:szCs w:val="20"/>
    </w:rPr>
  </w:style>
  <w:style w:type="paragraph" w:customStyle="1" w:styleId="SubSubPar">
    <w:name w:val="SubSubPar"/>
    <w:basedOn w:val="subpar"/>
    <w:rsid w:val="00526A95"/>
    <w:pPr>
      <w:numPr>
        <w:ilvl w:val="3"/>
      </w:numPr>
      <w:tabs>
        <w:tab w:val="left" w:pos="0"/>
        <w:tab w:val="num" w:pos="1152"/>
        <w:tab w:val="num" w:pos="1296"/>
      </w:tabs>
      <w:ind w:left="1296" w:hanging="288"/>
    </w:pPr>
  </w:style>
  <w:style w:type="character" w:customStyle="1" w:styleId="ParagraphChar">
    <w:name w:val="Paragraph Char"/>
    <w:link w:val="Paragraph"/>
    <w:rsid w:val="00526A95"/>
    <w:rPr>
      <w:rFonts w:ascii="Times New Roman" w:eastAsia="Times New Roman" w:hAnsi="Times New Roman" w:cs="Times New Roman"/>
      <w:sz w:val="24"/>
      <w:szCs w:val="20"/>
    </w:rPr>
  </w:style>
  <w:style w:type="character" w:styleId="Hyperlink">
    <w:name w:val="Hyperlink"/>
    <w:basedOn w:val="DefaultParagraphFont"/>
    <w:uiPriority w:val="99"/>
    <w:unhideWhenUsed/>
    <w:rsid w:val="00526A95"/>
    <w:rPr>
      <w:color w:val="0000FF" w:themeColor="hyperlink"/>
      <w:u w:val="single"/>
    </w:rPr>
  </w:style>
  <w:style w:type="paragraph" w:customStyle="1" w:styleId="FirstHeading">
    <w:name w:val="FirstHeading"/>
    <w:basedOn w:val="Normal"/>
    <w:next w:val="Normal"/>
    <w:link w:val="FirstHeadingChar"/>
    <w:rsid w:val="0067525B"/>
    <w:pPr>
      <w:keepNext/>
      <w:numPr>
        <w:numId w:val="29"/>
      </w:numPr>
      <w:tabs>
        <w:tab w:val="left" w:pos="0"/>
        <w:tab w:val="left" w:pos="86"/>
      </w:tabs>
      <w:spacing w:before="120" w:after="120" w:line="240" w:lineRule="auto"/>
    </w:pPr>
    <w:rPr>
      <w:rFonts w:ascii="Times New Roman" w:hAnsi="Times New Roman" w:cs="Times New Roman"/>
      <w:b/>
      <w:sz w:val="24"/>
    </w:rPr>
  </w:style>
  <w:style w:type="character" w:customStyle="1" w:styleId="FirstHeadingChar">
    <w:name w:val="FirstHeading Char"/>
    <w:basedOn w:val="DefaultParagraphFont"/>
    <w:link w:val="FirstHeading"/>
    <w:rsid w:val="0067525B"/>
    <w:rPr>
      <w:rFonts w:ascii="Times New Roman" w:eastAsiaTheme="minorEastAsia" w:hAnsi="Times New Roman" w:cs="Times New Roman"/>
      <w:b/>
      <w:sz w:val="24"/>
    </w:rPr>
  </w:style>
  <w:style w:type="paragraph" w:customStyle="1" w:styleId="SecHeading">
    <w:name w:val="SecHeading"/>
    <w:basedOn w:val="Normal"/>
    <w:next w:val="Paragraph"/>
    <w:rsid w:val="0067525B"/>
    <w:pPr>
      <w:keepNext/>
      <w:numPr>
        <w:ilvl w:val="1"/>
        <w:numId w:val="29"/>
      </w:numPr>
      <w:tabs>
        <w:tab w:val="num" w:pos="1296"/>
      </w:tabs>
      <w:spacing w:before="120" w:after="120" w:line="240" w:lineRule="auto"/>
      <w:ind w:left="1296" w:hanging="576"/>
    </w:pPr>
    <w:rPr>
      <w:rFonts w:ascii="Times New Roman" w:hAnsi="Times New Roman" w:cs="Times New Roman"/>
      <w:b/>
      <w:sz w:val="24"/>
    </w:rPr>
  </w:style>
  <w:style w:type="paragraph" w:customStyle="1" w:styleId="SubHeading1">
    <w:name w:val="SubHeading1"/>
    <w:basedOn w:val="SecHeading"/>
    <w:rsid w:val="00526A95"/>
    <w:pPr>
      <w:numPr>
        <w:ilvl w:val="0"/>
        <w:numId w:val="0"/>
      </w:numPr>
      <w:tabs>
        <w:tab w:val="num" w:pos="1872"/>
      </w:tabs>
      <w:ind w:left="1872" w:hanging="576"/>
    </w:pPr>
  </w:style>
  <w:style w:type="paragraph" w:customStyle="1" w:styleId="Subheading2">
    <w:name w:val="Subheading2"/>
    <w:basedOn w:val="SecHeading"/>
    <w:rsid w:val="00526A95"/>
    <w:pPr>
      <w:numPr>
        <w:ilvl w:val="0"/>
        <w:numId w:val="0"/>
      </w:numPr>
      <w:tabs>
        <w:tab w:val="num" w:pos="2376"/>
      </w:tabs>
      <w:ind w:left="2376" w:hanging="288"/>
    </w:pPr>
  </w:style>
  <w:style w:type="paragraph" w:styleId="Footer">
    <w:name w:val="footer"/>
    <w:basedOn w:val="Normal"/>
    <w:link w:val="FooterChar"/>
    <w:uiPriority w:val="99"/>
    <w:unhideWhenUsed/>
    <w:rsid w:val="00526A95"/>
    <w:pPr>
      <w:tabs>
        <w:tab w:val="center" w:pos="4680"/>
        <w:tab w:val="right" w:pos="9360"/>
      </w:tabs>
      <w:spacing w:after="0" w:line="240" w:lineRule="auto"/>
    </w:pPr>
  </w:style>
  <w:style w:type="character" w:customStyle="1" w:styleId="FooterChar">
    <w:name w:val="Footer Char"/>
    <w:basedOn w:val="DefaultParagraphFont"/>
    <w:link w:val="Footer"/>
    <w:uiPriority w:val="99"/>
    <w:rsid w:val="00526A95"/>
    <w:rPr>
      <w:rFonts w:eastAsiaTheme="minorEastAsia"/>
    </w:rPr>
  </w:style>
  <w:style w:type="character" w:styleId="BookTitle">
    <w:name w:val="Book Title"/>
    <w:basedOn w:val="DefaultParagraphFont"/>
    <w:uiPriority w:val="33"/>
    <w:qFormat/>
    <w:rsid w:val="00526A95"/>
    <w:rPr>
      <w:b/>
      <w:bCs/>
      <w:smallCaps/>
      <w:spacing w:val="5"/>
    </w:rPr>
  </w:style>
  <w:style w:type="paragraph" w:styleId="BodyTextIndent">
    <w:name w:val="Body Text Indent"/>
    <w:basedOn w:val="Normal"/>
    <w:link w:val="BodyTextIndentChar"/>
    <w:uiPriority w:val="99"/>
    <w:semiHidden/>
    <w:unhideWhenUsed/>
    <w:rsid w:val="00526A95"/>
    <w:pPr>
      <w:spacing w:after="120" w:line="240" w:lineRule="auto"/>
      <w:ind w:left="360"/>
    </w:pPr>
    <w:rPr>
      <w:rFonts w:ascii="Times New Roman" w:hAnsi="Times New Roman" w:cs="Times New Roman"/>
      <w:sz w:val="24"/>
    </w:rPr>
  </w:style>
  <w:style w:type="character" w:customStyle="1" w:styleId="BodyTextIndentChar">
    <w:name w:val="Body Text Indent Char"/>
    <w:basedOn w:val="DefaultParagraphFont"/>
    <w:link w:val="BodyTextIndent"/>
    <w:uiPriority w:val="99"/>
    <w:semiHidden/>
    <w:rsid w:val="00526A95"/>
    <w:rPr>
      <w:rFonts w:ascii="Times New Roman" w:eastAsiaTheme="minorEastAsia" w:hAnsi="Times New Roman" w:cs="Times New Roman"/>
      <w:sz w:val="24"/>
    </w:rPr>
  </w:style>
  <w:style w:type="paragraph" w:styleId="BodyTextIndent3">
    <w:name w:val="Body Text Indent 3"/>
    <w:basedOn w:val="Normal"/>
    <w:link w:val="BodyTextIndent3Char"/>
    <w:uiPriority w:val="99"/>
    <w:semiHidden/>
    <w:unhideWhenUsed/>
    <w:rsid w:val="00526A95"/>
    <w:pPr>
      <w:spacing w:after="120" w:line="240" w:lineRule="auto"/>
      <w:ind w:left="360"/>
    </w:pPr>
    <w:rPr>
      <w:rFonts w:ascii="Times New Roman" w:hAnsi="Times New Roman" w:cs="Times New Roman"/>
      <w:sz w:val="24"/>
      <w:szCs w:val="16"/>
    </w:rPr>
  </w:style>
  <w:style w:type="character" w:customStyle="1" w:styleId="BodyTextIndent3Char">
    <w:name w:val="Body Text Indent 3 Char"/>
    <w:basedOn w:val="DefaultParagraphFont"/>
    <w:link w:val="BodyTextIndent3"/>
    <w:uiPriority w:val="99"/>
    <w:semiHidden/>
    <w:rsid w:val="00526A95"/>
    <w:rPr>
      <w:rFonts w:ascii="Times New Roman" w:eastAsiaTheme="minorEastAsia" w:hAnsi="Times New Roman" w:cs="Times New Roman"/>
      <w:sz w:val="24"/>
      <w:szCs w:val="16"/>
    </w:rPr>
  </w:style>
  <w:style w:type="paragraph" w:styleId="BalloonText">
    <w:name w:val="Balloon Text"/>
    <w:basedOn w:val="Normal"/>
    <w:link w:val="BalloonTextChar"/>
    <w:uiPriority w:val="99"/>
    <w:semiHidden/>
    <w:unhideWhenUsed/>
    <w:rsid w:val="00526A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26A95"/>
    <w:rPr>
      <w:rFonts w:ascii="Tahoma" w:eastAsiaTheme="minorEastAsia" w:hAnsi="Tahoma" w:cs="Tahoma"/>
      <w:sz w:val="16"/>
      <w:szCs w:val="16"/>
    </w:rPr>
  </w:style>
  <w:style w:type="character" w:styleId="PlaceholderText">
    <w:name w:val="Placeholder Text"/>
    <w:basedOn w:val="DefaultParagraphFont"/>
    <w:uiPriority w:val="99"/>
    <w:semiHidden/>
    <w:rsid w:val="00811732"/>
    <w:rPr>
      <w:color w:val="808080"/>
    </w:rPr>
  </w:style>
  <w:style w:type="table" w:styleId="TableGrid">
    <w:name w:val="Table Grid"/>
    <w:basedOn w:val="TableNormal"/>
    <w:uiPriority w:val="59"/>
    <w:rsid w:val="00A31B9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67525B"/>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semiHidden/>
    <w:unhideWhenUsed/>
    <w:qFormat/>
    <w:rsid w:val="0067525B"/>
    <w:pPr>
      <w:outlineLvl w:val="9"/>
    </w:pPr>
    <w:rPr>
      <w:lang w:eastAsia="ja-JP"/>
    </w:rPr>
  </w:style>
  <w:style w:type="paragraph" w:styleId="TOC2">
    <w:name w:val="toc 2"/>
    <w:basedOn w:val="Normal"/>
    <w:next w:val="Normal"/>
    <w:autoRedefine/>
    <w:uiPriority w:val="39"/>
    <w:unhideWhenUsed/>
    <w:rsid w:val="0067525B"/>
    <w:pPr>
      <w:tabs>
        <w:tab w:val="left" w:pos="1152"/>
        <w:tab w:val="right" w:leader="dot" w:pos="8741"/>
      </w:tabs>
      <w:spacing w:after="0" w:line="240" w:lineRule="auto"/>
      <w:ind w:left="1166" w:hanging="605"/>
    </w:pPr>
    <w:rPr>
      <w:rFonts w:ascii="Times New Roman" w:hAnsi="Times New Roman" w:cs="Times New Roman"/>
      <w:sz w:val="24"/>
    </w:rPr>
  </w:style>
  <w:style w:type="paragraph" w:styleId="TOC1">
    <w:name w:val="toc 1"/>
    <w:basedOn w:val="Normal"/>
    <w:next w:val="Normal"/>
    <w:autoRedefine/>
    <w:uiPriority w:val="39"/>
    <w:unhideWhenUsed/>
    <w:rsid w:val="0067525B"/>
    <w:pPr>
      <w:tabs>
        <w:tab w:val="right" w:leader="dot" w:pos="8741"/>
      </w:tabs>
      <w:spacing w:before="240" w:after="240" w:line="240" w:lineRule="auto"/>
      <w:ind w:left="547" w:hanging="547"/>
    </w:pPr>
    <w:rPr>
      <w:rFonts w:ascii="Times New Roman" w:hAnsi="Times New Roman" w:cs="Times New Roman"/>
      <w:smallCaps/>
      <w:sz w:val="24"/>
    </w:rPr>
  </w:style>
  <w:style w:type="paragraph" w:styleId="TOC3">
    <w:name w:val="toc 3"/>
    <w:basedOn w:val="Normal"/>
    <w:next w:val="Normal"/>
    <w:autoRedefine/>
    <w:uiPriority w:val="39"/>
    <w:unhideWhenUsed/>
    <w:rsid w:val="0067525B"/>
    <w:pPr>
      <w:tabs>
        <w:tab w:val="left" w:pos="1728"/>
        <w:tab w:val="right" w:leader="dot" w:pos="8741"/>
      </w:tabs>
      <w:spacing w:after="0" w:line="240" w:lineRule="auto"/>
      <w:ind w:left="1714" w:hanging="562"/>
    </w:pPr>
    <w:rPr>
      <w:rFonts w:ascii="Times New Roman" w:hAnsi="Times New Roman" w:cs="Times New Roman"/>
      <w:sz w:val="24"/>
    </w:rPr>
  </w:style>
  <w:style w:type="paragraph" w:styleId="TOC4">
    <w:name w:val="toc 4"/>
    <w:basedOn w:val="Normal"/>
    <w:next w:val="Normal"/>
    <w:autoRedefine/>
    <w:uiPriority w:val="39"/>
    <w:unhideWhenUsed/>
    <w:rsid w:val="0067525B"/>
    <w:pPr>
      <w:spacing w:after="100"/>
      <w:ind w:left="660"/>
    </w:pPr>
  </w:style>
  <w:style w:type="paragraph" w:styleId="TOC5">
    <w:name w:val="toc 5"/>
    <w:basedOn w:val="Normal"/>
    <w:next w:val="Normal"/>
    <w:autoRedefine/>
    <w:uiPriority w:val="39"/>
    <w:unhideWhenUsed/>
    <w:rsid w:val="0067525B"/>
    <w:pPr>
      <w:spacing w:after="100"/>
      <w:ind w:left="880"/>
    </w:pPr>
  </w:style>
  <w:style w:type="paragraph" w:styleId="TOC6">
    <w:name w:val="toc 6"/>
    <w:basedOn w:val="Normal"/>
    <w:next w:val="Normal"/>
    <w:autoRedefine/>
    <w:uiPriority w:val="39"/>
    <w:unhideWhenUsed/>
    <w:rsid w:val="0067525B"/>
    <w:pPr>
      <w:spacing w:after="100"/>
      <w:ind w:left="1100"/>
    </w:pPr>
  </w:style>
  <w:style w:type="paragraph" w:styleId="TOC7">
    <w:name w:val="toc 7"/>
    <w:basedOn w:val="Normal"/>
    <w:next w:val="Normal"/>
    <w:autoRedefine/>
    <w:uiPriority w:val="39"/>
    <w:unhideWhenUsed/>
    <w:rsid w:val="0067525B"/>
    <w:pPr>
      <w:spacing w:after="100"/>
      <w:ind w:left="1320"/>
    </w:pPr>
  </w:style>
  <w:style w:type="paragraph" w:styleId="TOC8">
    <w:name w:val="toc 8"/>
    <w:basedOn w:val="Normal"/>
    <w:next w:val="Normal"/>
    <w:autoRedefine/>
    <w:uiPriority w:val="39"/>
    <w:unhideWhenUsed/>
    <w:rsid w:val="0067525B"/>
    <w:pPr>
      <w:spacing w:after="100"/>
      <w:ind w:left="1540"/>
    </w:pPr>
  </w:style>
  <w:style w:type="paragraph" w:styleId="TOC9">
    <w:name w:val="toc 9"/>
    <w:basedOn w:val="Normal"/>
    <w:next w:val="Normal"/>
    <w:autoRedefine/>
    <w:uiPriority w:val="39"/>
    <w:unhideWhenUsed/>
    <w:rsid w:val="0067525B"/>
    <w:pPr>
      <w:spacing w:after="100"/>
      <w:ind w:left="1760"/>
    </w:pPr>
  </w:style>
  <w:style w:type="paragraph" w:customStyle="1" w:styleId="Regtable">
    <w:name w:val="Regtable"/>
    <w:basedOn w:val="Normal"/>
    <w:link w:val="RegtableChar"/>
    <w:rsid w:val="0067525B"/>
    <w:pPr>
      <w:keepLines/>
      <w:framePr w:wrap="around" w:vAnchor="text" w:hAnchor="text" w:y="1"/>
      <w:tabs>
        <w:tab w:val="num" w:pos="720"/>
      </w:tabs>
      <w:spacing w:before="20" w:after="20"/>
    </w:pPr>
    <w:rPr>
      <w:rFonts w:ascii="Times New Roman" w:hAnsi="Times New Roman" w:cs="Times New Roman"/>
      <w:b/>
      <w:smallCaps/>
      <w:sz w:val="20"/>
      <w:szCs w:val="20"/>
      <w:lang w:val="es-ES"/>
    </w:rPr>
  </w:style>
  <w:style w:type="character" w:customStyle="1" w:styleId="ChapterChar">
    <w:name w:val="Chapter Char"/>
    <w:basedOn w:val="DefaultParagraphFont"/>
    <w:link w:val="Chapter"/>
    <w:rsid w:val="0067525B"/>
    <w:rPr>
      <w:rFonts w:ascii="Times New Roman" w:eastAsia="Times New Roman" w:hAnsi="Times New Roman" w:cs="Times New Roman"/>
      <w:b/>
      <w:smallCaps/>
      <w:sz w:val="24"/>
      <w:szCs w:val="20"/>
    </w:rPr>
  </w:style>
  <w:style w:type="character" w:customStyle="1" w:styleId="RegtableChar">
    <w:name w:val="Regtable Char"/>
    <w:basedOn w:val="ChapterChar"/>
    <w:link w:val="Regtable"/>
    <w:rsid w:val="0067525B"/>
    <w:rPr>
      <w:rFonts w:ascii="Times New Roman" w:eastAsiaTheme="minorEastAsia" w:hAnsi="Times New Roman" w:cs="Times New Roman"/>
      <w:b/>
      <w:smallCaps/>
      <w:sz w:val="20"/>
      <w:szCs w:val="20"/>
      <w:lang w:val="es-ES"/>
    </w:rPr>
  </w:style>
  <w:style w:type="paragraph" w:customStyle="1" w:styleId="TableTitle">
    <w:name w:val="TableTitle"/>
    <w:basedOn w:val="Normal"/>
    <w:link w:val="TableTitleChar"/>
    <w:rsid w:val="0067525B"/>
    <w:pPr>
      <w:framePr w:wrap="around" w:vAnchor="text" w:hAnchor="text" w:y="1"/>
      <w:tabs>
        <w:tab w:val="num" w:pos="720"/>
      </w:tabs>
      <w:spacing w:before="20" w:after="20"/>
    </w:pPr>
    <w:rPr>
      <w:rFonts w:ascii="Times New Roman Bold" w:hAnsi="Times New Roman Bold" w:cs="Times New Roman"/>
      <w:smallCaps/>
      <w:spacing w:val="-3"/>
      <w:sz w:val="20"/>
      <w:szCs w:val="20"/>
      <w:lang w:val="es-ES"/>
    </w:rPr>
  </w:style>
  <w:style w:type="character" w:customStyle="1" w:styleId="TableTitleChar">
    <w:name w:val="TableTitle Char"/>
    <w:basedOn w:val="ChapterChar"/>
    <w:link w:val="TableTitle"/>
    <w:rsid w:val="0067525B"/>
    <w:rPr>
      <w:rFonts w:ascii="Times New Roman Bold" w:eastAsiaTheme="minorEastAsia" w:hAnsi="Times New Roman Bold" w:cs="Times New Roman"/>
      <w:b w:val="0"/>
      <w:smallCaps/>
      <w:spacing w:val="-3"/>
      <w:sz w:val="20"/>
      <w:szCs w:val="20"/>
      <w:lang w:val="es-ES"/>
    </w:rPr>
  </w:style>
  <w:style w:type="character" w:customStyle="1" w:styleId="Heading3Char">
    <w:name w:val="Heading 3 Char"/>
    <w:basedOn w:val="DefaultParagraphFont"/>
    <w:link w:val="Heading3"/>
    <w:uiPriority w:val="9"/>
    <w:semiHidden/>
    <w:rsid w:val="0067525B"/>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67525B"/>
    <w:rPr>
      <w:rFonts w:asciiTheme="majorHAnsi" w:eastAsiaTheme="majorEastAsia" w:hAnsiTheme="majorHAnsi" w:cstheme="majorBidi"/>
      <w:b/>
      <w:bCs/>
      <w:i/>
      <w:iCs/>
      <w:color w:val="4F81BD" w:themeColor="accent1"/>
    </w:rPr>
  </w:style>
  <w:style w:type="paragraph" w:styleId="NoSpacing">
    <w:name w:val="No Spacing"/>
    <w:link w:val="NoSpacingChar"/>
    <w:uiPriority w:val="1"/>
    <w:qFormat/>
    <w:rsid w:val="0067525B"/>
    <w:pPr>
      <w:spacing w:after="0" w:line="240" w:lineRule="auto"/>
    </w:pPr>
    <w:rPr>
      <w:rFonts w:eastAsiaTheme="minorEastAsia"/>
      <w:lang w:eastAsia="ja-JP"/>
    </w:rPr>
  </w:style>
  <w:style w:type="character" w:customStyle="1" w:styleId="NoSpacingChar">
    <w:name w:val="No Spacing Char"/>
    <w:basedOn w:val="DefaultParagraphFont"/>
    <w:link w:val="NoSpacing"/>
    <w:uiPriority w:val="1"/>
    <w:rsid w:val="0067525B"/>
    <w:rPr>
      <w:rFonts w:eastAsiaTheme="minorEastAsia"/>
      <w:lang w:eastAsia="ja-JP"/>
    </w:rPr>
  </w:style>
  <w:style w:type="paragraph" w:styleId="CommentSubject">
    <w:name w:val="annotation subject"/>
    <w:basedOn w:val="CommentText"/>
    <w:next w:val="CommentText"/>
    <w:link w:val="CommentSubjectChar"/>
    <w:uiPriority w:val="99"/>
    <w:semiHidden/>
    <w:unhideWhenUsed/>
    <w:rsid w:val="00A26315"/>
    <w:rPr>
      <w:b/>
      <w:bCs/>
    </w:rPr>
  </w:style>
  <w:style w:type="character" w:customStyle="1" w:styleId="CommentSubjectChar">
    <w:name w:val="Comment Subject Char"/>
    <w:basedOn w:val="CommentTextChar"/>
    <w:link w:val="CommentSubject"/>
    <w:uiPriority w:val="99"/>
    <w:semiHidden/>
    <w:rsid w:val="00A26315"/>
    <w:rPr>
      <w:rFonts w:eastAsiaTheme="minorEastAsia"/>
      <w:b/>
      <w:bCs/>
      <w:sz w:val="20"/>
      <w:szCs w:val="20"/>
    </w:rPr>
  </w:style>
  <w:style w:type="paragraph" w:styleId="Header">
    <w:name w:val="header"/>
    <w:basedOn w:val="Normal"/>
    <w:link w:val="HeaderChar"/>
    <w:uiPriority w:val="99"/>
    <w:unhideWhenUsed/>
    <w:rsid w:val="001A49BA"/>
    <w:pPr>
      <w:tabs>
        <w:tab w:val="center" w:pos="4252"/>
        <w:tab w:val="right" w:pos="8504"/>
      </w:tabs>
      <w:spacing w:after="0" w:line="240" w:lineRule="auto"/>
    </w:pPr>
  </w:style>
  <w:style w:type="character" w:customStyle="1" w:styleId="HeaderChar">
    <w:name w:val="Header Char"/>
    <w:basedOn w:val="DefaultParagraphFont"/>
    <w:link w:val="Header"/>
    <w:uiPriority w:val="99"/>
    <w:rsid w:val="001A49BA"/>
    <w:rPr>
      <w:rFonts w:eastAsiaTheme="minorEastAsia"/>
    </w:rPr>
  </w:style>
  <w:style w:type="paragraph" w:styleId="ListParagraph">
    <w:name w:val="List Paragraph"/>
    <w:basedOn w:val="Normal"/>
    <w:uiPriority w:val="34"/>
    <w:qFormat/>
    <w:rsid w:val="00E7264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26A95"/>
    <w:rPr>
      <w:rFonts w:eastAsiaTheme="minorEastAsia"/>
    </w:rPr>
  </w:style>
  <w:style w:type="paragraph" w:styleId="Heading1">
    <w:name w:val="heading 1"/>
    <w:basedOn w:val="Normal"/>
    <w:next w:val="Normal"/>
    <w:link w:val="Heading1Char"/>
    <w:uiPriority w:val="9"/>
    <w:qFormat/>
    <w:rsid w:val="0067525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3">
    <w:name w:val="heading 3"/>
    <w:basedOn w:val="Normal"/>
    <w:next w:val="Normal"/>
    <w:link w:val="Heading3Char"/>
    <w:uiPriority w:val="9"/>
    <w:semiHidden/>
    <w:unhideWhenUsed/>
    <w:qFormat/>
    <w:rsid w:val="0067525B"/>
    <w:pPr>
      <w:keepNext/>
      <w:keepLines/>
      <w:numPr>
        <w:ilvl w:val="2"/>
        <w:numId w:val="29"/>
      </w:numPr>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67525B"/>
    <w:pPr>
      <w:keepNext/>
      <w:keepLines/>
      <w:numPr>
        <w:ilvl w:val="3"/>
        <w:numId w:val="29"/>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67525B"/>
    <w:pPr>
      <w:keepNext/>
      <w:keepLines/>
      <w:numPr>
        <w:ilvl w:val="4"/>
        <w:numId w:val="29"/>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67525B"/>
    <w:pPr>
      <w:keepNext/>
      <w:keepLines/>
      <w:numPr>
        <w:ilvl w:val="5"/>
        <w:numId w:val="29"/>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unhideWhenUsed/>
    <w:qFormat/>
    <w:rsid w:val="0067525B"/>
    <w:pPr>
      <w:keepNext/>
      <w:keepLines/>
      <w:numPr>
        <w:ilvl w:val="6"/>
        <w:numId w:val="29"/>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67525B"/>
    <w:pPr>
      <w:keepNext/>
      <w:keepLines/>
      <w:numPr>
        <w:ilvl w:val="7"/>
        <w:numId w:val="29"/>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67525B"/>
    <w:pPr>
      <w:keepNext/>
      <w:keepLines/>
      <w:numPr>
        <w:ilvl w:val="8"/>
        <w:numId w:val="29"/>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semiHidden/>
    <w:rsid w:val="0067525B"/>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67525B"/>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rsid w:val="0067525B"/>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67525B"/>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67525B"/>
    <w:rPr>
      <w:rFonts w:asciiTheme="majorHAnsi" w:eastAsiaTheme="majorEastAsia" w:hAnsiTheme="majorHAnsi" w:cstheme="majorBidi"/>
      <w:i/>
      <w:iCs/>
      <w:color w:val="404040" w:themeColor="text1" w:themeTint="BF"/>
      <w:sz w:val="20"/>
      <w:szCs w:val="20"/>
    </w:rPr>
  </w:style>
  <w:style w:type="paragraph" w:styleId="CommentText">
    <w:name w:val="annotation text"/>
    <w:basedOn w:val="Normal"/>
    <w:link w:val="CommentTextChar"/>
    <w:uiPriority w:val="99"/>
    <w:semiHidden/>
    <w:unhideWhenUsed/>
    <w:rsid w:val="00526A95"/>
    <w:pPr>
      <w:spacing w:line="240" w:lineRule="auto"/>
    </w:pPr>
    <w:rPr>
      <w:sz w:val="20"/>
      <w:szCs w:val="20"/>
    </w:rPr>
  </w:style>
  <w:style w:type="character" w:customStyle="1" w:styleId="CommentTextChar">
    <w:name w:val="Comment Text Char"/>
    <w:basedOn w:val="DefaultParagraphFont"/>
    <w:link w:val="CommentText"/>
    <w:uiPriority w:val="99"/>
    <w:semiHidden/>
    <w:rsid w:val="00526A95"/>
    <w:rPr>
      <w:rFonts w:eastAsiaTheme="minorEastAsia"/>
      <w:sz w:val="20"/>
      <w:szCs w:val="20"/>
    </w:rPr>
  </w:style>
  <w:style w:type="character" w:styleId="CommentReference">
    <w:name w:val="annotation reference"/>
    <w:basedOn w:val="DefaultParagraphFont"/>
    <w:uiPriority w:val="99"/>
    <w:semiHidden/>
    <w:unhideWhenUsed/>
    <w:rsid w:val="00526A95"/>
    <w:rPr>
      <w:sz w:val="16"/>
      <w:szCs w:val="16"/>
    </w:rPr>
  </w:style>
  <w:style w:type="paragraph" w:styleId="FootnoteText">
    <w:name w:val="footnote text"/>
    <w:aliases w:val="fn,Texto nota pie IIRSA,single space,texto de nota al pie,Texto nota pie Car Car Car Car Car Car Car Car,Texto nota pie Car Car Car,Footnote Text Char Char Char Char Char Char,Texto nota pie Car Car Car Car Car,Texto nota pie Car1,Texto,F"/>
    <w:basedOn w:val="Normal"/>
    <w:link w:val="FootnoteTextChar"/>
    <w:uiPriority w:val="99"/>
    <w:unhideWhenUsed/>
    <w:rsid w:val="00526A95"/>
    <w:pPr>
      <w:keepNext/>
      <w:keepLines/>
      <w:spacing w:after="120" w:line="240" w:lineRule="auto"/>
      <w:ind w:left="288" w:hanging="288"/>
      <w:jc w:val="both"/>
    </w:pPr>
    <w:rPr>
      <w:rFonts w:ascii="Times New Roman" w:hAnsi="Times New Roman" w:cs="Times New Roman"/>
      <w:spacing w:val="-3"/>
      <w:sz w:val="20"/>
      <w:szCs w:val="20"/>
    </w:rPr>
  </w:style>
  <w:style w:type="character" w:customStyle="1" w:styleId="FootnoteTextChar">
    <w:name w:val="Footnote Text Char"/>
    <w:aliases w:val="fn Char,Texto nota pie IIRSA Char,single space Char,texto de nota al pie Char,Texto nota pie Car Car Car Car Car Car Car Car Char,Texto nota pie Car Car Car Char,Footnote Text Char Char Char Char Char Char Char,Texto Char,F Char"/>
    <w:basedOn w:val="DefaultParagraphFont"/>
    <w:link w:val="FootnoteText"/>
    <w:uiPriority w:val="99"/>
    <w:rsid w:val="00526A95"/>
    <w:rPr>
      <w:rFonts w:ascii="Times New Roman" w:eastAsiaTheme="minorEastAsia" w:hAnsi="Times New Roman" w:cs="Times New Roman"/>
      <w:spacing w:val="-3"/>
      <w:sz w:val="20"/>
      <w:szCs w:val="20"/>
    </w:rPr>
  </w:style>
  <w:style w:type="character" w:styleId="FootnoteReference">
    <w:name w:val="footnote reference"/>
    <w:aliases w:val="ftref,Fußnotenzeichen DISS,16 Point,Superscript 6 Point,BVI fnr, BVI fnr,Знак сноски 1,referencia nota al pie,titulo 2,FC"/>
    <w:basedOn w:val="DefaultParagraphFont"/>
    <w:uiPriority w:val="99"/>
    <w:unhideWhenUsed/>
    <w:rsid w:val="00526A95"/>
    <w:rPr>
      <w:vertAlign w:val="superscript"/>
    </w:rPr>
  </w:style>
  <w:style w:type="paragraph" w:customStyle="1" w:styleId="Chapter">
    <w:name w:val="Chapter"/>
    <w:basedOn w:val="Normal"/>
    <w:next w:val="Normal"/>
    <w:link w:val="ChapterChar"/>
    <w:rsid w:val="0067525B"/>
    <w:pPr>
      <w:keepNext/>
      <w:tabs>
        <w:tab w:val="num" w:pos="648"/>
        <w:tab w:val="left" w:pos="1440"/>
      </w:tabs>
      <w:spacing w:before="240" w:after="240" w:line="240" w:lineRule="auto"/>
      <w:ind w:firstLine="288"/>
      <w:jc w:val="center"/>
    </w:pPr>
    <w:rPr>
      <w:rFonts w:ascii="Times New Roman" w:eastAsia="Times New Roman" w:hAnsi="Times New Roman" w:cs="Times New Roman"/>
      <w:b/>
      <w:smallCaps/>
      <w:sz w:val="24"/>
      <w:szCs w:val="20"/>
    </w:rPr>
  </w:style>
  <w:style w:type="paragraph" w:customStyle="1" w:styleId="Paragraph">
    <w:name w:val="Paragraph"/>
    <w:aliases w:val="paragraph,p,PARAGRAPH,PG,pa,at"/>
    <w:basedOn w:val="BodyTextIndent"/>
    <w:link w:val="ParagraphChar"/>
    <w:qFormat/>
    <w:rsid w:val="0067525B"/>
    <w:pPr>
      <w:tabs>
        <w:tab w:val="num" w:pos="720"/>
      </w:tabs>
      <w:spacing w:before="120"/>
      <w:ind w:left="720" w:hanging="720"/>
      <w:jc w:val="both"/>
      <w:outlineLvl w:val="1"/>
    </w:pPr>
    <w:rPr>
      <w:rFonts w:eastAsia="Times New Roman"/>
      <w:szCs w:val="20"/>
    </w:rPr>
  </w:style>
  <w:style w:type="paragraph" w:customStyle="1" w:styleId="subpar">
    <w:name w:val="subpar"/>
    <w:basedOn w:val="BodyTextIndent3"/>
    <w:rsid w:val="0067525B"/>
    <w:pPr>
      <w:tabs>
        <w:tab w:val="num" w:pos="1152"/>
      </w:tabs>
      <w:spacing w:before="120"/>
      <w:ind w:left="1152" w:hanging="432"/>
      <w:jc w:val="both"/>
      <w:outlineLvl w:val="2"/>
    </w:pPr>
    <w:rPr>
      <w:rFonts w:eastAsia="Times New Roman"/>
      <w:szCs w:val="20"/>
    </w:rPr>
  </w:style>
  <w:style w:type="paragraph" w:customStyle="1" w:styleId="SubSubPar">
    <w:name w:val="SubSubPar"/>
    <w:basedOn w:val="subpar"/>
    <w:rsid w:val="00526A95"/>
    <w:pPr>
      <w:numPr>
        <w:ilvl w:val="3"/>
      </w:numPr>
      <w:tabs>
        <w:tab w:val="left" w:pos="0"/>
        <w:tab w:val="num" w:pos="1152"/>
        <w:tab w:val="num" w:pos="1296"/>
      </w:tabs>
      <w:ind w:left="1296" w:hanging="288"/>
    </w:pPr>
  </w:style>
  <w:style w:type="character" w:customStyle="1" w:styleId="ParagraphChar">
    <w:name w:val="Paragraph Char"/>
    <w:link w:val="Paragraph"/>
    <w:rsid w:val="00526A95"/>
    <w:rPr>
      <w:rFonts w:ascii="Times New Roman" w:eastAsia="Times New Roman" w:hAnsi="Times New Roman" w:cs="Times New Roman"/>
      <w:sz w:val="24"/>
      <w:szCs w:val="20"/>
    </w:rPr>
  </w:style>
  <w:style w:type="character" w:styleId="Hyperlink">
    <w:name w:val="Hyperlink"/>
    <w:basedOn w:val="DefaultParagraphFont"/>
    <w:uiPriority w:val="99"/>
    <w:unhideWhenUsed/>
    <w:rsid w:val="00526A95"/>
    <w:rPr>
      <w:color w:val="0000FF" w:themeColor="hyperlink"/>
      <w:u w:val="single"/>
    </w:rPr>
  </w:style>
  <w:style w:type="paragraph" w:customStyle="1" w:styleId="FirstHeading">
    <w:name w:val="FirstHeading"/>
    <w:basedOn w:val="Normal"/>
    <w:next w:val="Normal"/>
    <w:link w:val="FirstHeadingChar"/>
    <w:rsid w:val="0067525B"/>
    <w:pPr>
      <w:keepNext/>
      <w:numPr>
        <w:numId w:val="29"/>
      </w:numPr>
      <w:tabs>
        <w:tab w:val="left" w:pos="0"/>
        <w:tab w:val="left" w:pos="86"/>
      </w:tabs>
      <w:spacing w:before="120" w:after="120" w:line="240" w:lineRule="auto"/>
    </w:pPr>
    <w:rPr>
      <w:rFonts w:ascii="Times New Roman" w:hAnsi="Times New Roman" w:cs="Times New Roman"/>
      <w:b/>
      <w:sz w:val="24"/>
    </w:rPr>
  </w:style>
  <w:style w:type="character" w:customStyle="1" w:styleId="FirstHeadingChar">
    <w:name w:val="FirstHeading Char"/>
    <w:basedOn w:val="DefaultParagraphFont"/>
    <w:link w:val="FirstHeading"/>
    <w:rsid w:val="0067525B"/>
    <w:rPr>
      <w:rFonts w:ascii="Times New Roman" w:eastAsiaTheme="minorEastAsia" w:hAnsi="Times New Roman" w:cs="Times New Roman"/>
      <w:b/>
      <w:sz w:val="24"/>
    </w:rPr>
  </w:style>
  <w:style w:type="paragraph" w:customStyle="1" w:styleId="SecHeading">
    <w:name w:val="SecHeading"/>
    <w:basedOn w:val="Normal"/>
    <w:next w:val="Paragraph"/>
    <w:rsid w:val="0067525B"/>
    <w:pPr>
      <w:keepNext/>
      <w:numPr>
        <w:ilvl w:val="1"/>
        <w:numId w:val="29"/>
      </w:numPr>
      <w:tabs>
        <w:tab w:val="num" w:pos="1296"/>
      </w:tabs>
      <w:spacing w:before="120" w:after="120" w:line="240" w:lineRule="auto"/>
      <w:ind w:left="1296" w:hanging="576"/>
    </w:pPr>
    <w:rPr>
      <w:rFonts w:ascii="Times New Roman" w:hAnsi="Times New Roman" w:cs="Times New Roman"/>
      <w:b/>
      <w:sz w:val="24"/>
    </w:rPr>
  </w:style>
  <w:style w:type="paragraph" w:customStyle="1" w:styleId="SubHeading1">
    <w:name w:val="SubHeading1"/>
    <w:basedOn w:val="SecHeading"/>
    <w:rsid w:val="00526A95"/>
    <w:pPr>
      <w:numPr>
        <w:ilvl w:val="0"/>
        <w:numId w:val="0"/>
      </w:numPr>
      <w:tabs>
        <w:tab w:val="num" w:pos="1872"/>
      </w:tabs>
      <w:ind w:left="1872" w:hanging="576"/>
    </w:pPr>
  </w:style>
  <w:style w:type="paragraph" w:customStyle="1" w:styleId="Subheading2">
    <w:name w:val="Subheading2"/>
    <w:basedOn w:val="SecHeading"/>
    <w:rsid w:val="00526A95"/>
    <w:pPr>
      <w:numPr>
        <w:ilvl w:val="0"/>
        <w:numId w:val="0"/>
      </w:numPr>
      <w:tabs>
        <w:tab w:val="num" w:pos="2376"/>
      </w:tabs>
      <w:ind w:left="2376" w:hanging="288"/>
    </w:pPr>
  </w:style>
  <w:style w:type="paragraph" w:styleId="Footer">
    <w:name w:val="footer"/>
    <w:basedOn w:val="Normal"/>
    <w:link w:val="FooterChar"/>
    <w:uiPriority w:val="99"/>
    <w:unhideWhenUsed/>
    <w:rsid w:val="00526A95"/>
    <w:pPr>
      <w:tabs>
        <w:tab w:val="center" w:pos="4680"/>
        <w:tab w:val="right" w:pos="9360"/>
      </w:tabs>
      <w:spacing w:after="0" w:line="240" w:lineRule="auto"/>
    </w:pPr>
  </w:style>
  <w:style w:type="character" w:customStyle="1" w:styleId="FooterChar">
    <w:name w:val="Footer Char"/>
    <w:basedOn w:val="DefaultParagraphFont"/>
    <w:link w:val="Footer"/>
    <w:uiPriority w:val="99"/>
    <w:rsid w:val="00526A95"/>
    <w:rPr>
      <w:rFonts w:eastAsiaTheme="minorEastAsia"/>
    </w:rPr>
  </w:style>
  <w:style w:type="character" w:styleId="BookTitle">
    <w:name w:val="Book Title"/>
    <w:basedOn w:val="DefaultParagraphFont"/>
    <w:uiPriority w:val="33"/>
    <w:qFormat/>
    <w:rsid w:val="00526A95"/>
    <w:rPr>
      <w:b/>
      <w:bCs/>
      <w:smallCaps/>
      <w:spacing w:val="5"/>
    </w:rPr>
  </w:style>
  <w:style w:type="paragraph" w:styleId="BodyTextIndent">
    <w:name w:val="Body Text Indent"/>
    <w:basedOn w:val="Normal"/>
    <w:link w:val="BodyTextIndentChar"/>
    <w:uiPriority w:val="99"/>
    <w:semiHidden/>
    <w:unhideWhenUsed/>
    <w:rsid w:val="00526A95"/>
    <w:pPr>
      <w:spacing w:after="120" w:line="240" w:lineRule="auto"/>
      <w:ind w:left="360"/>
    </w:pPr>
    <w:rPr>
      <w:rFonts w:ascii="Times New Roman" w:hAnsi="Times New Roman" w:cs="Times New Roman"/>
      <w:sz w:val="24"/>
    </w:rPr>
  </w:style>
  <w:style w:type="character" w:customStyle="1" w:styleId="BodyTextIndentChar">
    <w:name w:val="Body Text Indent Char"/>
    <w:basedOn w:val="DefaultParagraphFont"/>
    <w:link w:val="BodyTextIndent"/>
    <w:uiPriority w:val="99"/>
    <w:semiHidden/>
    <w:rsid w:val="00526A95"/>
    <w:rPr>
      <w:rFonts w:ascii="Times New Roman" w:eastAsiaTheme="minorEastAsia" w:hAnsi="Times New Roman" w:cs="Times New Roman"/>
      <w:sz w:val="24"/>
    </w:rPr>
  </w:style>
  <w:style w:type="paragraph" w:styleId="BodyTextIndent3">
    <w:name w:val="Body Text Indent 3"/>
    <w:basedOn w:val="Normal"/>
    <w:link w:val="BodyTextIndent3Char"/>
    <w:uiPriority w:val="99"/>
    <w:semiHidden/>
    <w:unhideWhenUsed/>
    <w:rsid w:val="00526A95"/>
    <w:pPr>
      <w:spacing w:after="120" w:line="240" w:lineRule="auto"/>
      <w:ind w:left="360"/>
    </w:pPr>
    <w:rPr>
      <w:rFonts w:ascii="Times New Roman" w:hAnsi="Times New Roman" w:cs="Times New Roman"/>
      <w:sz w:val="24"/>
      <w:szCs w:val="16"/>
    </w:rPr>
  </w:style>
  <w:style w:type="character" w:customStyle="1" w:styleId="BodyTextIndent3Char">
    <w:name w:val="Body Text Indent 3 Char"/>
    <w:basedOn w:val="DefaultParagraphFont"/>
    <w:link w:val="BodyTextIndent3"/>
    <w:uiPriority w:val="99"/>
    <w:semiHidden/>
    <w:rsid w:val="00526A95"/>
    <w:rPr>
      <w:rFonts w:ascii="Times New Roman" w:eastAsiaTheme="minorEastAsia" w:hAnsi="Times New Roman" w:cs="Times New Roman"/>
      <w:sz w:val="24"/>
      <w:szCs w:val="16"/>
    </w:rPr>
  </w:style>
  <w:style w:type="paragraph" w:styleId="BalloonText">
    <w:name w:val="Balloon Text"/>
    <w:basedOn w:val="Normal"/>
    <w:link w:val="BalloonTextChar"/>
    <w:uiPriority w:val="99"/>
    <w:semiHidden/>
    <w:unhideWhenUsed/>
    <w:rsid w:val="00526A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26A95"/>
    <w:rPr>
      <w:rFonts w:ascii="Tahoma" w:eastAsiaTheme="minorEastAsia" w:hAnsi="Tahoma" w:cs="Tahoma"/>
      <w:sz w:val="16"/>
      <w:szCs w:val="16"/>
    </w:rPr>
  </w:style>
  <w:style w:type="character" w:styleId="PlaceholderText">
    <w:name w:val="Placeholder Text"/>
    <w:basedOn w:val="DefaultParagraphFont"/>
    <w:uiPriority w:val="99"/>
    <w:semiHidden/>
    <w:rsid w:val="00811732"/>
    <w:rPr>
      <w:color w:val="808080"/>
    </w:rPr>
  </w:style>
  <w:style w:type="table" w:styleId="TableGrid">
    <w:name w:val="Table Grid"/>
    <w:basedOn w:val="TableNormal"/>
    <w:uiPriority w:val="59"/>
    <w:rsid w:val="00A31B9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67525B"/>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semiHidden/>
    <w:unhideWhenUsed/>
    <w:qFormat/>
    <w:rsid w:val="0067525B"/>
    <w:pPr>
      <w:outlineLvl w:val="9"/>
    </w:pPr>
    <w:rPr>
      <w:lang w:eastAsia="ja-JP"/>
    </w:rPr>
  </w:style>
  <w:style w:type="paragraph" w:styleId="TOC2">
    <w:name w:val="toc 2"/>
    <w:basedOn w:val="Normal"/>
    <w:next w:val="Normal"/>
    <w:autoRedefine/>
    <w:uiPriority w:val="39"/>
    <w:unhideWhenUsed/>
    <w:rsid w:val="0067525B"/>
    <w:pPr>
      <w:tabs>
        <w:tab w:val="left" w:pos="1152"/>
        <w:tab w:val="right" w:leader="dot" w:pos="8741"/>
      </w:tabs>
      <w:spacing w:after="0" w:line="240" w:lineRule="auto"/>
      <w:ind w:left="1166" w:hanging="605"/>
    </w:pPr>
    <w:rPr>
      <w:rFonts w:ascii="Times New Roman" w:hAnsi="Times New Roman" w:cs="Times New Roman"/>
      <w:sz w:val="24"/>
    </w:rPr>
  </w:style>
  <w:style w:type="paragraph" w:styleId="TOC1">
    <w:name w:val="toc 1"/>
    <w:basedOn w:val="Normal"/>
    <w:next w:val="Normal"/>
    <w:autoRedefine/>
    <w:uiPriority w:val="39"/>
    <w:unhideWhenUsed/>
    <w:rsid w:val="0067525B"/>
    <w:pPr>
      <w:tabs>
        <w:tab w:val="right" w:leader="dot" w:pos="8741"/>
      </w:tabs>
      <w:spacing w:before="240" w:after="240" w:line="240" w:lineRule="auto"/>
      <w:ind w:left="547" w:hanging="547"/>
    </w:pPr>
    <w:rPr>
      <w:rFonts w:ascii="Times New Roman" w:hAnsi="Times New Roman" w:cs="Times New Roman"/>
      <w:smallCaps/>
      <w:sz w:val="24"/>
    </w:rPr>
  </w:style>
  <w:style w:type="paragraph" w:styleId="TOC3">
    <w:name w:val="toc 3"/>
    <w:basedOn w:val="Normal"/>
    <w:next w:val="Normal"/>
    <w:autoRedefine/>
    <w:uiPriority w:val="39"/>
    <w:unhideWhenUsed/>
    <w:rsid w:val="0067525B"/>
    <w:pPr>
      <w:tabs>
        <w:tab w:val="left" w:pos="1728"/>
        <w:tab w:val="right" w:leader="dot" w:pos="8741"/>
      </w:tabs>
      <w:spacing w:after="0" w:line="240" w:lineRule="auto"/>
      <w:ind w:left="1714" w:hanging="562"/>
    </w:pPr>
    <w:rPr>
      <w:rFonts w:ascii="Times New Roman" w:hAnsi="Times New Roman" w:cs="Times New Roman"/>
      <w:sz w:val="24"/>
    </w:rPr>
  </w:style>
  <w:style w:type="paragraph" w:styleId="TOC4">
    <w:name w:val="toc 4"/>
    <w:basedOn w:val="Normal"/>
    <w:next w:val="Normal"/>
    <w:autoRedefine/>
    <w:uiPriority w:val="39"/>
    <w:unhideWhenUsed/>
    <w:rsid w:val="0067525B"/>
    <w:pPr>
      <w:spacing w:after="100"/>
      <w:ind w:left="660"/>
    </w:pPr>
  </w:style>
  <w:style w:type="paragraph" w:styleId="TOC5">
    <w:name w:val="toc 5"/>
    <w:basedOn w:val="Normal"/>
    <w:next w:val="Normal"/>
    <w:autoRedefine/>
    <w:uiPriority w:val="39"/>
    <w:unhideWhenUsed/>
    <w:rsid w:val="0067525B"/>
    <w:pPr>
      <w:spacing w:after="100"/>
      <w:ind w:left="880"/>
    </w:pPr>
  </w:style>
  <w:style w:type="paragraph" w:styleId="TOC6">
    <w:name w:val="toc 6"/>
    <w:basedOn w:val="Normal"/>
    <w:next w:val="Normal"/>
    <w:autoRedefine/>
    <w:uiPriority w:val="39"/>
    <w:unhideWhenUsed/>
    <w:rsid w:val="0067525B"/>
    <w:pPr>
      <w:spacing w:after="100"/>
      <w:ind w:left="1100"/>
    </w:pPr>
  </w:style>
  <w:style w:type="paragraph" w:styleId="TOC7">
    <w:name w:val="toc 7"/>
    <w:basedOn w:val="Normal"/>
    <w:next w:val="Normal"/>
    <w:autoRedefine/>
    <w:uiPriority w:val="39"/>
    <w:unhideWhenUsed/>
    <w:rsid w:val="0067525B"/>
    <w:pPr>
      <w:spacing w:after="100"/>
      <w:ind w:left="1320"/>
    </w:pPr>
  </w:style>
  <w:style w:type="paragraph" w:styleId="TOC8">
    <w:name w:val="toc 8"/>
    <w:basedOn w:val="Normal"/>
    <w:next w:val="Normal"/>
    <w:autoRedefine/>
    <w:uiPriority w:val="39"/>
    <w:unhideWhenUsed/>
    <w:rsid w:val="0067525B"/>
    <w:pPr>
      <w:spacing w:after="100"/>
      <w:ind w:left="1540"/>
    </w:pPr>
  </w:style>
  <w:style w:type="paragraph" w:styleId="TOC9">
    <w:name w:val="toc 9"/>
    <w:basedOn w:val="Normal"/>
    <w:next w:val="Normal"/>
    <w:autoRedefine/>
    <w:uiPriority w:val="39"/>
    <w:unhideWhenUsed/>
    <w:rsid w:val="0067525B"/>
    <w:pPr>
      <w:spacing w:after="100"/>
      <w:ind w:left="1760"/>
    </w:pPr>
  </w:style>
  <w:style w:type="paragraph" w:customStyle="1" w:styleId="Regtable">
    <w:name w:val="Regtable"/>
    <w:basedOn w:val="Normal"/>
    <w:link w:val="RegtableChar"/>
    <w:rsid w:val="0067525B"/>
    <w:pPr>
      <w:keepLines/>
      <w:framePr w:wrap="around" w:vAnchor="text" w:hAnchor="text" w:y="1"/>
      <w:tabs>
        <w:tab w:val="num" w:pos="720"/>
      </w:tabs>
      <w:spacing w:before="20" w:after="20"/>
    </w:pPr>
    <w:rPr>
      <w:rFonts w:ascii="Times New Roman" w:hAnsi="Times New Roman" w:cs="Times New Roman"/>
      <w:b/>
      <w:smallCaps/>
      <w:sz w:val="20"/>
      <w:szCs w:val="20"/>
      <w:lang w:val="es-ES"/>
    </w:rPr>
  </w:style>
  <w:style w:type="character" w:customStyle="1" w:styleId="ChapterChar">
    <w:name w:val="Chapter Char"/>
    <w:basedOn w:val="DefaultParagraphFont"/>
    <w:link w:val="Chapter"/>
    <w:rsid w:val="0067525B"/>
    <w:rPr>
      <w:rFonts w:ascii="Times New Roman" w:eastAsia="Times New Roman" w:hAnsi="Times New Roman" w:cs="Times New Roman"/>
      <w:b/>
      <w:smallCaps/>
      <w:sz w:val="24"/>
      <w:szCs w:val="20"/>
    </w:rPr>
  </w:style>
  <w:style w:type="character" w:customStyle="1" w:styleId="RegtableChar">
    <w:name w:val="Regtable Char"/>
    <w:basedOn w:val="ChapterChar"/>
    <w:link w:val="Regtable"/>
    <w:rsid w:val="0067525B"/>
    <w:rPr>
      <w:rFonts w:ascii="Times New Roman" w:eastAsiaTheme="minorEastAsia" w:hAnsi="Times New Roman" w:cs="Times New Roman"/>
      <w:b/>
      <w:smallCaps/>
      <w:sz w:val="20"/>
      <w:szCs w:val="20"/>
      <w:lang w:val="es-ES"/>
    </w:rPr>
  </w:style>
  <w:style w:type="paragraph" w:customStyle="1" w:styleId="TableTitle">
    <w:name w:val="TableTitle"/>
    <w:basedOn w:val="Normal"/>
    <w:link w:val="TableTitleChar"/>
    <w:rsid w:val="0067525B"/>
    <w:pPr>
      <w:framePr w:wrap="around" w:vAnchor="text" w:hAnchor="text" w:y="1"/>
      <w:tabs>
        <w:tab w:val="num" w:pos="720"/>
      </w:tabs>
      <w:spacing w:before="20" w:after="20"/>
    </w:pPr>
    <w:rPr>
      <w:rFonts w:ascii="Times New Roman Bold" w:hAnsi="Times New Roman Bold" w:cs="Times New Roman"/>
      <w:smallCaps/>
      <w:spacing w:val="-3"/>
      <w:sz w:val="20"/>
      <w:szCs w:val="20"/>
      <w:lang w:val="es-ES"/>
    </w:rPr>
  </w:style>
  <w:style w:type="character" w:customStyle="1" w:styleId="TableTitleChar">
    <w:name w:val="TableTitle Char"/>
    <w:basedOn w:val="ChapterChar"/>
    <w:link w:val="TableTitle"/>
    <w:rsid w:val="0067525B"/>
    <w:rPr>
      <w:rFonts w:ascii="Times New Roman Bold" w:eastAsiaTheme="minorEastAsia" w:hAnsi="Times New Roman Bold" w:cs="Times New Roman"/>
      <w:b w:val="0"/>
      <w:smallCaps/>
      <w:spacing w:val="-3"/>
      <w:sz w:val="20"/>
      <w:szCs w:val="20"/>
      <w:lang w:val="es-ES"/>
    </w:rPr>
  </w:style>
  <w:style w:type="character" w:customStyle="1" w:styleId="Heading3Char">
    <w:name w:val="Heading 3 Char"/>
    <w:basedOn w:val="DefaultParagraphFont"/>
    <w:link w:val="Heading3"/>
    <w:uiPriority w:val="9"/>
    <w:semiHidden/>
    <w:rsid w:val="0067525B"/>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67525B"/>
    <w:rPr>
      <w:rFonts w:asciiTheme="majorHAnsi" w:eastAsiaTheme="majorEastAsia" w:hAnsiTheme="majorHAnsi" w:cstheme="majorBidi"/>
      <w:b/>
      <w:bCs/>
      <w:i/>
      <w:iCs/>
      <w:color w:val="4F81BD" w:themeColor="accent1"/>
    </w:rPr>
  </w:style>
  <w:style w:type="paragraph" w:styleId="NoSpacing">
    <w:name w:val="No Spacing"/>
    <w:link w:val="NoSpacingChar"/>
    <w:uiPriority w:val="1"/>
    <w:qFormat/>
    <w:rsid w:val="0067525B"/>
    <w:pPr>
      <w:spacing w:after="0" w:line="240" w:lineRule="auto"/>
    </w:pPr>
    <w:rPr>
      <w:rFonts w:eastAsiaTheme="minorEastAsia"/>
      <w:lang w:eastAsia="ja-JP"/>
    </w:rPr>
  </w:style>
  <w:style w:type="character" w:customStyle="1" w:styleId="NoSpacingChar">
    <w:name w:val="No Spacing Char"/>
    <w:basedOn w:val="DefaultParagraphFont"/>
    <w:link w:val="NoSpacing"/>
    <w:uiPriority w:val="1"/>
    <w:rsid w:val="0067525B"/>
    <w:rPr>
      <w:rFonts w:eastAsiaTheme="minorEastAsia"/>
      <w:lang w:eastAsia="ja-JP"/>
    </w:rPr>
  </w:style>
  <w:style w:type="paragraph" w:styleId="CommentSubject">
    <w:name w:val="annotation subject"/>
    <w:basedOn w:val="CommentText"/>
    <w:next w:val="CommentText"/>
    <w:link w:val="CommentSubjectChar"/>
    <w:uiPriority w:val="99"/>
    <w:semiHidden/>
    <w:unhideWhenUsed/>
    <w:rsid w:val="00A26315"/>
    <w:rPr>
      <w:b/>
      <w:bCs/>
    </w:rPr>
  </w:style>
  <w:style w:type="character" w:customStyle="1" w:styleId="CommentSubjectChar">
    <w:name w:val="Comment Subject Char"/>
    <w:basedOn w:val="CommentTextChar"/>
    <w:link w:val="CommentSubject"/>
    <w:uiPriority w:val="99"/>
    <w:semiHidden/>
    <w:rsid w:val="00A26315"/>
    <w:rPr>
      <w:rFonts w:eastAsiaTheme="minorEastAsia"/>
      <w:b/>
      <w:bCs/>
      <w:sz w:val="20"/>
      <w:szCs w:val="20"/>
    </w:rPr>
  </w:style>
  <w:style w:type="paragraph" w:styleId="Header">
    <w:name w:val="header"/>
    <w:basedOn w:val="Normal"/>
    <w:link w:val="HeaderChar"/>
    <w:uiPriority w:val="99"/>
    <w:unhideWhenUsed/>
    <w:rsid w:val="001A49BA"/>
    <w:pPr>
      <w:tabs>
        <w:tab w:val="center" w:pos="4252"/>
        <w:tab w:val="right" w:pos="8504"/>
      </w:tabs>
      <w:spacing w:after="0" w:line="240" w:lineRule="auto"/>
    </w:pPr>
  </w:style>
  <w:style w:type="character" w:customStyle="1" w:styleId="HeaderChar">
    <w:name w:val="Header Char"/>
    <w:basedOn w:val="DefaultParagraphFont"/>
    <w:link w:val="Header"/>
    <w:uiPriority w:val="99"/>
    <w:rsid w:val="001A49BA"/>
    <w:rPr>
      <w:rFonts w:eastAsiaTheme="minorEastAsia"/>
    </w:rPr>
  </w:style>
  <w:style w:type="paragraph" w:styleId="ListParagraph">
    <w:name w:val="List Paragraph"/>
    <w:basedOn w:val="Normal"/>
    <w:uiPriority w:val="34"/>
    <w:qFormat/>
    <w:rsid w:val="00E7264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3298760">
      <w:bodyDiv w:val="1"/>
      <w:marLeft w:val="0"/>
      <w:marRight w:val="0"/>
      <w:marTop w:val="0"/>
      <w:marBottom w:val="0"/>
      <w:divBdr>
        <w:top w:val="none" w:sz="0" w:space="0" w:color="auto"/>
        <w:left w:val="none" w:sz="0" w:space="0" w:color="auto"/>
        <w:bottom w:val="none" w:sz="0" w:space="0" w:color="auto"/>
        <w:right w:val="none" w:sz="0" w:space="0" w:color="auto"/>
      </w:divBdr>
    </w:div>
    <w:div w:id="978147917">
      <w:bodyDiv w:val="1"/>
      <w:marLeft w:val="0"/>
      <w:marRight w:val="0"/>
      <w:marTop w:val="0"/>
      <w:marBottom w:val="0"/>
      <w:divBdr>
        <w:top w:val="none" w:sz="0" w:space="0" w:color="auto"/>
        <w:left w:val="none" w:sz="0" w:space="0" w:color="auto"/>
        <w:bottom w:val="none" w:sz="0" w:space="0" w:color="auto"/>
        <w:right w:val="none" w:sz="0" w:space="0" w:color="auto"/>
      </w:divBdr>
    </w:div>
    <w:div w:id="18612370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ssf.gob.sv/index.php/nov/191-publicaciones/estadisticas/711-cartera-de-prestamos" TargetMode="External"/><Relationship Id="rId18" Type="http://schemas.openxmlformats.org/officeDocument/2006/relationships/chart" Target="charts/chart5.xml"/><Relationship Id="rId26" Type="http://schemas.openxmlformats.org/officeDocument/2006/relationships/image" Target="media/image6.emf"/><Relationship Id="rId39" Type="http://schemas.openxmlformats.org/officeDocument/2006/relationships/image" Target="media/image18.emf"/><Relationship Id="rId21" Type="http://schemas.openxmlformats.org/officeDocument/2006/relationships/hyperlink" Target="http://www.secmca.org/IndB.html" TargetMode="External"/><Relationship Id="rId34" Type="http://schemas.openxmlformats.org/officeDocument/2006/relationships/image" Target="media/image14.emf"/><Relationship Id="rId42" Type="http://schemas.openxmlformats.org/officeDocument/2006/relationships/hyperlink" Target="http://www.sogosurvey.com/" TargetMode="External"/><Relationship Id="rId47" Type="http://schemas.openxmlformats.org/officeDocument/2006/relationships/image" Target="media/image25.png"/><Relationship Id="rId50" Type="http://schemas.openxmlformats.org/officeDocument/2006/relationships/hyperlink" Target="http://redibacen.bcr.gob.sv/uploaded/content/article/948253712.pdf" TargetMode="External"/><Relationship Id="rId55" Type="http://schemas.openxmlformats.org/officeDocument/2006/relationships/hyperlink" Target="http://www.secmca.org/INVESTIGACIONES_ECONOMICAS/ForoInvestigadores/foro5/ES2.pdf" TargetMode="External"/><Relationship Id="rId63" Type="http://schemas.openxmlformats.org/officeDocument/2006/relationships/customXml" Target="../customXml/item7.xml"/><Relationship Id="rId7" Type="http://schemas.openxmlformats.org/officeDocument/2006/relationships/webSettings" Target="webSettings.xml"/><Relationship Id="rId2" Type="http://schemas.openxmlformats.org/officeDocument/2006/relationships/customXml" Target="../customXml/item2.xml"/><Relationship Id="rId16" Type="http://schemas.openxmlformats.org/officeDocument/2006/relationships/chart" Target="charts/chart4.xml"/><Relationship Id="rId29" Type="http://schemas.openxmlformats.org/officeDocument/2006/relationships/image" Target="media/image9.emf"/><Relationship Id="rId11" Type="http://schemas.openxmlformats.org/officeDocument/2006/relationships/hyperlink" Target="http://datos.bancomundial.org/indicador/FS.AST.PRVT.GD.ZS" TargetMode="External"/><Relationship Id="rId24" Type="http://schemas.openxmlformats.org/officeDocument/2006/relationships/image" Target="media/image4.emf"/><Relationship Id="rId32" Type="http://schemas.openxmlformats.org/officeDocument/2006/relationships/image" Target="media/image12.emf"/><Relationship Id="rId37" Type="http://schemas.openxmlformats.org/officeDocument/2006/relationships/image" Target="media/image16.emf"/><Relationship Id="rId40" Type="http://schemas.openxmlformats.org/officeDocument/2006/relationships/image" Target="media/image19.emf"/><Relationship Id="rId45" Type="http://schemas.openxmlformats.org/officeDocument/2006/relationships/image" Target="media/image23.png"/><Relationship Id="rId53" Type="http://schemas.openxmlformats.org/officeDocument/2006/relationships/hyperlink" Target="http://www.eclac.cl/publicaciones/xml/0/40380/lcl3236e.pdf" TargetMode="External"/><Relationship Id="rId58" Type="http://schemas.openxmlformats.org/officeDocument/2006/relationships/theme" Target="theme/theme1.xml"/><Relationship Id="rId5" Type="http://schemas.microsoft.com/office/2007/relationships/stylesWithEffects" Target="stylesWithEffects.xml"/><Relationship Id="rId61" Type="http://schemas.openxmlformats.org/officeDocument/2006/relationships/customXml" Target="../customXml/item5.xml"/><Relationship Id="rId19" Type="http://schemas.openxmlformats.org/officeDocument/2006/relationships/hyperlink" Target="http://espanol.enterprisesurveys.org/Data/ExploreEconomies/2010/el-salvador" TargetMode="External"/><Relationship Id="rId14" Type="http://schemas.openxmlformats.org/officeDocument/2006/relationships/chart" Target="charts/chart3.xml"/><Relationship Id="rId22" Type="http://schemas.openxmlformats.org/officeDocument/2006/relationships/image" Target="media/image2.emf"/><Relationship Id="rId27" Type="http://schemas.openxmlformats.org/officeDocument/2006/relationships/image" Target="media/image7.emf"/><Relationship Id="rId30" Type="http://schemas.openxmlformats.org/officeDocument/2006/relationships/image" Target="media/image10.emf"/><Relationship Id="rId35" Type="http://schemas.openxmlformats.org/officeDocument/2006/relationships/chart" Target="charts/chart6.xml"/><Relationship Id="rId43" Type="http://schemas.openxmlformats.org/officeDocument/2006/relationships/image" Target="media/image21.png"/><Relationship Id="rId48" Type="http://schemas.openxmlformats.org/officeDocument/2006/relationships/footer" Target="footer1.xml"/><Relationship Id="rId56" Type="http://schemas.openxmlformats.org/officeDocument/2006/relationships/hyperlink" Target="http://www.uca.edu.sv/deptos/economia/media/archivo/cabfd2_evaluaciondelasituaciondelcreditoenmicroempresaspdf.pdf" TargetMode="External"/><Relationship Id="rId8" Type="http://schemas.openxmlformats.org/officeDocument/2006/relationships/footnotes" Target="footnotes.xml"/><Relationship Id="rId51" Type="http://schemas.openxmlformats.org/officeDocument/2006/relationships/hyperlink" Target="http://wwwisis.ufg.edu.sv/wwwisis/documentos/TE/332.7-H557p/332.7-H557p-Capitulo%20I.pdf" TargetMode="External"/><Relationship Id="rId3" Type="http://schemas.openxmlformats.org/officeDocument/2006/relationships/numbering" Target="numbering.xml"/><Relationship Id="rId12" Type="http://schemas.openxmlformats.org/officeDocument/2006/relationships/chart" Target="charts/chart2.xml"/><Relationship Id="rId17" Type="http://schemas.openxmlformats.org/officeDocument/2006/relationships/hyperlink" Target="http://espanol.enterprisesurveys.org/Data/ExploreEconomies/2010/el-salvador" TargetMode="External"/><Relationship Id="rId25" Type="http://schemas.openxmlformats.org/officeDocument/2006/relationships/image" Target="media/image5.emf"/><Relationship Id="rId33" Type="http://schemas.openxmlformats.org/officeDocument/2006/relationships/image" Target="media/image13.emf"/><Relationship Id="rId38" Type="http://schemas.openxmlformats.org/officeDocument/2006/relationships/image" Target="media/image17.emf"/><Relationship Id="rId46" Type="http://schemas.openxmlformats.org/officeDocument/2006/relationships/image" Target="media/image24.png"/><Relationship Id="rId59" Type="http://schemas.openxmlformats.org/officeDocument/2006/relationships/customXml" Target="../customXml/item3.xml"/><Relationship Id="rId20" Type="http://schemas.openxmlformats.org/officeDocument/2006/relationships/image" Target="media/image1.jpeg"/><Relationship Id="rId41" Type="http://schemas.openxmlformats.org/officeDocument/2006/relationships/image" Target="media/image20.emf"/><Relationship Id="rId54" Type="http://schemas.openxmlformats.org/officeDocument/2006/relationships/hyperlink" Target="http://www.anep.org.sv/images/enadexiii.pdf" TargetMode="External"/><Relationship Id="rId62" Type="http://schemas.openxmlformats.org/officeDocument/2006/relationships/customXml" Target="../customXml/item6.xml"/><Relationship Id="rId1" Type="http://schemas.openxmlformats.org/officeDocument/2006/relationships/customXml" Target="../customXml/item1.xml"/><Relationship Id="rId6" Type="http://schemas.openxmlformats.org/officeDocument/2006/relationships/settings" Target="settings.xml"/><Relationship Id="rId15" Type="http://schemas.openxmlformats.org/officeDocument/2006/relationships/hyperlink" Target="http://www.ssf.gob.sv/index.php/nov/191-publicaciones/estadisticas/711-cartera-de-prestamos" TargetMode="External"/><Relationship Id="rId23" Type="http://schemas.openxmlformats.org/officeDocument/2006/relationships/image" Target="media/image3.emf"/><Relationship Id="rId28" Type="http://schemas.openxmlformats.org/officeDocument/2006/relationships/image" Target="media/image8.emf"/><Relationship Id="rId36" Type="http://schemas.openxmlformats.org/officeDocument/2006/relationships/image" Target="media/image15.emf"/><Relationship Id="rId49" Type="http://schemas.openxmlformats.org/officeDocument/2006/relationships/hyperlink" Target="http://www.frbatlanta.org/filelegacydocs/wp0708.pdf" TargetMode="External"/><Relationship Id="rId57" Type="http://schemas.openxmlformats.org/officeDocument/2006/relationships/fontTable" Target="fontTable.xml"/><Relationship Id="rId10" Type="http://schemas.openxmlformats.org/officeDocument/2006/relationships/chart" Target="charts/chart1.xml"/><Relationship Id="rId31" Type="http://schemas.openxmlformats.org/officeDocument/2006/relationships/image" Target="media/image11.emf"/><Relationship Id="rId44" Type="http://schemas.openxmlformats.org/officeDocument/2006/relationships/image" Target="media/image22.png"/><Relationship Id="rId52" Type="http://schemas.openxmlformats.org/officeDocument/2006/relationships/hyperlink" Target="http://redibacen.bcr.gob.sv/uploaded/content/article/494392477.pdf" TargetMode="External"/><Relationship Id="rId60" Type="http://schemas.openxmlformats.org/officeDocument/2006/relationships/customXml" Target="../customXml/item4.xml"/><Relationship Id="rId4" Type="http://schemas.openxmlformats.org/officeDocument/2006/relationships/styles" Target="styles.xml"/><Relationship Id="rId9" Type="http://schemas.openxmlformats.org/officeDocument/2006/relationships/endnotes" Target="endnotes.xml"/></Relationships>
</file>

<file path=word/_rels/footnotes.xml.rels><?xml version="1.0" encoding="UTF-8" standalone="yes"?>
<Relationships xmlns="http://schemas.openxmlformats.org/package/2006/relationships"><Relationship Id="rId2" Type="http://schemas.openxmlformats.org/officeDocument/2006/relationships/hyperlink" Target="http://www.imf.org/external/pubs/ft/weo/2013/02/weodata/index.aspx" TargetMode="External"/><Relationship Id="rId1" Type="http://schemas.openxmlformats.org/officeDocument/2006/relationships/hyperlink" Target="http://www.censos.gob.sv/"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C:\Users\Carrion\Desktop\Gr&#225;ficos.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C:\Users\Carrion\Desktop\Gr&#225;ficos.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C:\Users\Carrion\Desktop\Gr&#225;ficos.xlsx"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C:\Users\Carrion\Desktop\Gr&#225;ficos.xlsx"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file:///C:\Users\Carrion\Desktop\Gr&#225;ficos.xlsx" TargetMode="External"/></Relationships>
</file>

<file path=word/charts/_rels/chart6.xml.rels><?xml version="1.0" encoding="UTF-8" standalone="yes"?>
<Relationships xmlns="http://schemas.openxmlformats.org/package/2006/relationships"><Relationship Id="rId1" Type="http://schemas.openxmlformats.org/officeDocument/2006/relationships/oleObject" Target="file:///C:\Users\Ale\Documents\MCA\PRIRES\IE\RG-T2338%20Bandesal\data\Tabla%20IFIs%20-%20original.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lineChart>
        <c:grouping val="standard"/>
        <c:varyColors val="0"/>
        <c:ser>
          <c:idx val="0"/>
          <c:order val="0"/>
          <c:tx>
            <c:strRef>
              <c:f>CY!$F$18</c:f>
              <c:strCache>
                <c:ptCount val="1"/>
                <c:pt idx="0">
                  <c:v>El Salvador</c:v>
                </c:pt>
              </c:strCache>
            </c:strRef>
          </c:tx>
          <c:marker>
            <c:symbol val="none"/>
          </c:marker>
          <c:cat>
            <c:strRef>
              <c:f>CY!$A$25:$A$72</c:f>
              <c:strCache>
                <c:ptCount val="48"/>
                <c:pt idx="0">
                  <c:v>1965</c:v>
                </c:pt>
                <c:pt idx="1">
                  <c:v>1966</c:v>
                </c:pt>
                <c:pt idx="2">
                  <c:v>1967</c:v>
                </c:pt>
                <c:pt idx="3">
                  <c:v>1968</c:v>
                </c:pt>
                <c:pt idx="4">
                  <c:v>1969</c:v>
                </c:pt>
                <c:pt idx="5">
                  <c:v>1970</c:v>
                </c:pt>
                <c:pt idx="6">
                  <c:v>1971</c:v>
                </c:pt>
                <c:pt idx="7">
                  <c:v>1972</c:v>
                </c:pt>
                <c:pt idx="8">
                  <c:v>1973</c:v>
                </c:pt>
                <c:pt idx="9">
                  <c:v>1974</c:v>
                </c:pt>
                <c:pt idx="10">
                  <c:v>1975</c:v>
                </c:pt>
                <c:pt idx="11">
                  <c:v>1976</c:v>
                </c:pt>
                <c:pt idx="12">
                  <c:v>1977</c:v>
                </c:pt>
                <c:pt idx="13">
                  <c:v>1978</c:v>
                </c:pt>
                <c:pt idx="14">
                  <c:v>1979</c:v>
                </c:pt>
                <c:pt idx="15">
                  <c:v>1980</c:v>
                </c:pt>
                <c:pt idx="16">
                  <c:v>1981</c:v>
                </c:pt>
                <c:pt idx="17">
                  <c:v>1982</c:v>
                </c:pt>
                <c:pt idx="18">
                  <c:v>1983</c:v>
                </c:pt>
                <c:pt idx="19">
                  <c:v>1984</c:v>
                </c:pt>
                <c:pt idx="20">
                  <c:v>1985</c:v>
                </c:pt>
                <c:pt idx="21">
                  <c:v>1986</c:v>
                </c:pt>
                <c:pt idx="22">
                  <c:v>1987</c:v>
                </c:pt>
                <c:pt idx="23">
                  <c:v>1988</c:v>
                </c:pt>
                <c:pt idx="24">
                  <c:v>1989</c:v>
                </c:pt>
                <c:pt idx="25">
                  <c:v>1990</c:v>
                </c:pt>
                <c:pt idx="26">
                  <c:v>1991</c:v>
                </c:pt>
                <c:pt idx="27">
                  <c:v>1992</c:v>
                </c:pt>
                <c:pt idx="28">
                  <c:v>1993</c:v>
                </c:pt>
                <c:pt idx="29">
                  <c:v>1994</c:v>
                </c:pt>
                <c:pt idx="30">
                  <c:v>1995</c:v>
                </c:pt>
                <c:pt idx="31">
                  <c:v>1996</c:v>
                </c:pt>
                <c:pt idx="32">
                  <c:v>1997</c:v>
                </c:pt>
                <c:pt idx="33">
                  <c:v>1998</c:v>
                </c:pt>
                <c:pt idx="34">
                  <c:v>1999</c:v>
                </c:pt>
                <c:pt idx="35">
                  <c:v>2000</c:v>
                </c:pt>
                <c:pt idx="36">
                  <c:v>2001</c:v>
                </c:pt>
                <c:pt idx="37">
                  <c:v>2002</c:v>
                </c:pt>
                <c:pt idx="38">
                  <c:v>2003</c:v>
                </c:pt>
                <c:pt idx="39">
                  <c:v>2004</c:v>
                </c:pt>
                <c:pt idx="40">
                  <c:v>2005</c:v>
                </c:pt>
                <c:pt idx="41">
                  <c:v>2006</c:v>
                </c:pt>
                <c:pt idx="42">
                  <c:v>2007</c:v>
                </c:pt>
                <c:pt idx="43">
                  <c:v>2008</c:v>
                </c:pt>
                <c:pt idx="44">
                  <c:v>2009</c:v>
                </c:pt>
                <c:pt idx="45">
                  <c:v>2010</c:v>
                </c:pt>
                <c:pt idx="46">
                  <c:v>2011</c:v>
                </c:pt>
                <c:pt idx="47">
                  <c:v>2012</c:v>
                </c:pt>
              </c:strCache>
            </c:strRef>
          </c:cat>
          <c:val>
            <c:numRef>
              <c:f>CY!$G$25:$G$72</c:f>
              <c:numCache>
                <c:formatCode>General</c:formatCode>
                <c:ptCount val="48"/>
                <c:pt idx="0">
                  <c:v>20.053776576932986</c:v>
                </c:pt>
                <c:pt idx="1">
                  <c:v>21.02031098813962</c:v>
                </c:pt>
                <c:pt idx="2">
                  <c:v>20.431878989455289</c:v>
                </c:pt>
                <c:pt idx="3">
                  <c:v>20.270558321120678</c:v>
                </c:pt>
                <c:pt idx="4">
                  <c:v>22.107870903658522</c:v>
                </c:pt>
                <c:pt idx="5">
                  <c:v>21.781943765722222</c:v>
                </c:pt>
                <c:pt idx="6">
                  <c:v>23.775672204843438</c:v>
                </c:pt>
                <c:pt idx="7">
                  <c:v>25.229638720551367</c:v>
                </c:pt>
                <c:pt idx="8">
                  <c:v>27.689278887362189</c:v>
                </c:pt>
                <c:pt idx="9">
                  <c:v>28.8181628483567</c:v>
                </c:pt>
                <c:pt idx="10">
                  <c:v>28.074856285357512</c:v>
                </c:pt>
                <c:pt idx="11">
                  <c:v>27.172676089755072</c:v>
                </c:pt>
                <c:pt idx="12">
                  <c:v>26.135352282748652</c:v>
                </c:pt>
                <c:pt idx="13">
                  <c:v>28.395376259897905</c:v>
                </c:pt>
                <c:pt idx="14">
                  <c:v>28.730931645644635</c:v>
                </c:pt>
                <c:pt idx="15">
                  <c:v>33.600041387916697</c:v>
                </c:pt>
                <c:pt idx="16">
                  <c:v>36.427555429496707</c:v>
                </c:pt>
                <c:pt idx="17">
                  <c:v>30.704969758943879</c:v>
                </c:pt>
                <c:pt idx="18">
                  <c:v>32.928850057706768</c:v>
                </c:pt>
                <c:pt idx="19">
                  <c:v>34.670392350109672</c:v>
                </c:pt>
                <c:pt idx="20">
                  <c:v>42.571660172419854</c:v>
                </c:pt>
                <c:pt idx="21">
                  <c:v>26.248367045129523</c:v>
                </c:pt>
                <c:pt idx="22">
                  <c:v>27.142182056802966</c:v>
                </c:pt>
                <c:pt idx="23">
                  <c:v>28.829942622859733</c:v>
                </c:pt>
                <c:pt idx="24">
                  <c:v>30.067137575792767</c:v>
                </c:pt>
                <c:pt idx="25">
                  <c:v>16.891809954583287</c:v>
                </c:pt>
                <c:pt idx="26">
                  <c:v>17.820989875300846</c:v>
                </c:pt>
                <c:pt idx="27">
                  <c:v>19.579852605455521</c:v>
                </c:pt>
                <c:pt idx="28">
                  <c:v>21.530956506184491</c:v>
                </c:pt>
                <c:pt idx="29">
                  <c:v>30.977855517392527</c:v>
                </c:pt>
                <c:pt idx="30">
                  <c:v>34.885026791249722</c:v>
                </c:pt>
                <c:pt idx="31">
                  <c:v>36.836601344098582</c:v>
                </c:pt>
                <c:pt idx="32">
                  <c:v>40.295176356015972</c:v>
                </c:pt>
                <c:pt idx="33">
                  <c:v>41.872968571723789</c:v>
                </c:pt>
                <c:pt idx="34">
                  <c:v>43.763243825463185</c:v>
                </c:pt>
                <c:pt idx="35">
                  <c:v>45.182142437832738</c:v>
                </c:pt>
                <c:pt idx="36">
                  <c:v>40.826659813484262</c:v>
                </c:pt>
                <c:pt idx="37">
                  <c:v>40.329797456835891</c:v>
                </c:pt>
                <c:pt idx="38">
                  <c:v>41.746028017486495</c:v>
                </c:pt>
                <c:pt idx="39">
                  <c:v>41.83493622527196</c:v>
                </c:pt>
                <c:pt idx="40">
                  <c:v>42.926778305977251</c:v>
                </c:pt>
                <c:pt idx="41">
                  <c:v>43.363169110276161</c:v>
                </c:pt>
                <c:pt idx="42">
                  <c:v>43.605716915627532</c:v>
                </c:pt>
                <c:pt idx="43">
                  <c:v>42.998912314964301</c:v>
                </c:pt>
                <c:pt idx="44">
                  <c:v>42.363518516481044</c:v>
                </c:pt>
                <c:pt idx="45">
                  <c:v>40.876506910585803</c:v>
                </c:pt>
                <c:pt idx="46">
                  <c:v>39.753986500367347</c:v>
                </c:pt>
                <c:pt idx="47">
                  <c:v>40.11723540453562</c:v>
                </c:pt>
              </c:numCache>
            </c:numRef>
          </c:val>
          <c:smooth val="0"/>
        </c:ser>
        <c:ser>
          <c:idx val="1"/>
          <c:order val="1"/>
          <c:tx>
            <c:v>GPI</c:v>
          </c:tx>
          <c:marker>
            <c:symbol val="none"/>
          </c:marker>
          <c:cat>
            <c:strRef>
              <c:f>CY!$A$25:$A$72</c:f>
              <c:strCache>
                <c:ptCount val="48"/>
                <c:pt idx="0">
                  <c:v>1965</c:v>
                </c:pt>
                <c:pt idx="1">
                  <c:v>1966</c:v>
                </c:pt>
                <c:pt idx="2">
                  <c:v>1967</c:v>
                </c:pt>
                <c:pt idx="3">
                  <c:v>1968</c:v>
                </c:pt>
                <c:pt idx="4">
                  <c:v>1969</c:v>
                </c:pt>
                <c:pt idx="5">
                  <c:v>1970</c:v>
                </c:pt>
                <c:pt idx="6">
                  <c:v>1971</c:v>
                </c:pt>
                <c:pt idx="7">
                  <c:v>1972</c:v>
                </c:pt>
                <c:pt idx="8">
                  <c:v>1973</c:v>
                </c:pt>
                <c:pt idx="9">
                  <c:v>1974</c:v>
                </c:pt>
                <c:pt idx="10">
                  <c:v>1975</c:v>
                </c:pt>
                <c:pt idx="11">
                  <c:v>1976</c:v>
                </c:pt>
                <c:pt idx="12">
                  <c:v>1977</c:v>
                </c:pt>
                <c:pt idx="13">
                  <c:v>1978</c:v>
                </c:pt>
                <c:pt idx="14">
                  <c:v>1979</c:v>
                </c:pt>
                <c:pt idx="15">
                  <c:v>1980</c:v>
                </c:pt>
                <c:pt idx="16">
                  <c:v>1981</c:v>
                </c:pt>
                <c:pt idx="17">
                  <c:v>1982</c:v>
                </c:pt>
                <c:pt idx="18">
                  <c:v>1983</c:v>
                </c:pt>
                <c:pt idx="19">
                  <c:v>1984</c:v>
                </c:pt>
                <c:pt idx="20">
                  <c:v>1985</c:v>
                </c:pt>
                <c:pt idx="21">
                  <c:v>1986</c:v>
                </c:pt>
                <c:pt idx="22">
                  <c:v>1987</c:v>
                </c:pt>
                <c:pt idx="23">
                  <c:v>1988</c:v>
                </c:pt>
                <c:pt idx="24">
                  <c:v>1989</c:v>
                </c:pt>
                <c:pt idx="25">
                  <c:v>1990</c:v>
                </c:pt>
                <c:pt idx="26">
                  <c:v>1991</c:v>
                </c:pt>
                <c:pt idx="27">
                  <c:v>1992</c:v>
                </c:pt>
                <c:pt idx="28">
                  <c:v>1993</c:v>
                </c:pt>
                <c:pt idx="29">
                  <c:v>1994</c:v>
                </c:pt>
                <c:pt idx="30">
                  <c:v>1995</c:v>
                </c:pt>
                <c:pt idx="31">
                  <c:v>1996</c:v>
                </c:pt>
                <c:pt idx="32">
                  <c:v>1997</c:v>
                </c:pt>
                <c:pt idx="33">
                  <c:v>1998</c:v>
                </c:pt>
                <c:pt idx="34">
                  <c:v>1999</c:v>
                </c:pt>
                <c:pt idx="35">
                  <c:v>2000</c:v>
                </c:pt>
                <c:pt idx="36">
                  <c:v>2001</c:v>
                </c:pt>
                <c:pt idx="37">
                  <c:v>2002</c:v>
                </c:pt>
                <c:pt idx="38">
                  <c:v>2003</c:v>
                </c:pt>
                <c:pt idx="39">
                  <c:v>2004</c:v>
                </c:pt>
                <c:pt idx="40">
                  <c:v>2005</c:v>
                </c:pt>
                <c:pt idx="41">
                  <c:v>2006</c:v>
                </c:pt>
                <c:pt idx="42">
                  <c:v>2007</c:v>
                </c:pt>
                <c:pt idx="43">
                  <c:v>2008</c:v>
                </c:pt>
                <c:pt idx="44">
                  <c:v>2009</c:v>
                </c:pt>
                <c:pt idx="45">
                  <c:v>2010</c:v>
                </c:pt>
                <c:pt idx="46">
                  <c:v>2011</c:v>
                </c:pt>
                <c:pt idx="47">
                  <c:v>2012</c:v>
                </c:pt>
              </c:strCache>
            </c:strRef>
          </c:cat>
          <c:val>
            <c:numRef>
              <c:f>CY!$AR$25:$AR$72</c:f>
              <c:numCache>
                <c:formatCode>General</c:formatCode>
                <c:ptCount val="48"/>
                <c:pt idx="0">
                  <c:v>14.597317761911896</c:v>
                </c:pt>
                <c:pt idx="1">
                  <c:v>15.177365838208544</c:v>
                </c:pt>
                <c:pt idx="2">
                  <c:v>16.792753158933209</c:v>
                </c:pt>
                <c:pt idx="3">
                  <c:v>16.440959097748621</c:v>
                </c:pt>
                <c:pt idx="4">
                  <c:v>15.720835193797418</c:v>
                </c:pt>
                <c:pt idx="5">
                  <c:v>17.411717436263359</c:v>
                </c:pt>
                <c:pt idx="6">
                  <c:v>18.137691688954689</c:v>
                </c:pt>
                <c:pt idx="7">
                  <c:v>19.377047955032854</c:v>
                </c:pt>
                <c:pt idx="8">
                  <c:v>15.65002119159192</c:v>
                </c:pt>
                <c:pt idx="9">
                  <c:v>19.246312795146842</c:v>
                </c:pt>
                <c:pt idx="10">
                  <c:v>20.207990530643198</c:v>
                </c:pt>
                <c:pt idx="11">
                  <c:v>22.343693232486707</c:v>
                </c:pt>
                <c:pt idx="12">
                  <c:v>20.73108452384735</c:v>
                </c:pt>
                <c:pt idx="13">
                  <c:v>23.297101449275363</c:v>
                </c:pt>
                <c:pt idx="14">
                  <c:v>22.625842289117529</c:v>
                </c:pt>
                <c:pt idx="15">
                  <c:v>23.533437013996888</c:v>
                </c:pt>
                <c:pt idx="16">
                  <c:v>30.030683403068341</c:v>
                </c:pt>
                <c:pt idx="17">
                  <c:v>30.994973544973547</c:v>
                </c:pt>
                <c:pt idx="18">
                  <c:v>27.990842553743612</c:v>
                </c:pt>
                <c:pt idx="19">
                  <c:v>28.931716139287197</c:v>
                </c:pt>
                <c:pt idx="20">
                  <c:v>28.451005657992596</c:v>
                </c:pt>
                <c:pt idx="21">
                  <c:v>30.053216699058069</c:v>
                </c:pt>
                <c:pt idx="22">
                  <c:v>30.144140291318813</c:v>
                </c:pt>
                <c:pt idx="23">
                  <c:v>29.948428244419446</c:v>
                </c:pt>
                <c:pt idx="24">
                  <c:v>29.543312775260731</c:v>
                </c:pt>
                <c:pt idx="25">
                  <c:v>25.436015393472093</c:v>
                </c:pt>
                <c:pt idx="26">
                  <c:v>23.247181052019762</c:v>
                </c:pt>
                <c:pt idx="27">
                  <c:v>22.270452911574406</c:v>
                </c:pt>
                <c:pt idx="28">
                  <c:v>23.105389287666437</c:v>
                </c:pt>
                <c:pt idx="29">
                  <c:v>23.855799072152813</c:v>
                </c:pt>
                <c:pt idx="30">
                  <c:v>26.438220566565874</c:v>
                </c:pt>
                <c:pt idx="31">
                  <c:v>26.807703378220531</c:v>
                </c:pt>
                <c:pt idx="32">
                  <c:v>29.44187906406237</c:v>
                </c:pt>
                <c:pt idx="33">
                  <c:v>28.722615045786487</c:v>
                </c:pt>
                <c:pt idx="34">
                  <c:v>29.25772448289456</c:v>
                </c:pt>
                <c:pt idx="35">
                  <c:v>28.834550384198447</c:v>
                </c:pt>
                <c:pt idx="36">
                  <c:v>28.107424476029831</c:v>
                </c:pt>
                <c:pt idx="37">
                  <c:v>27.63421122179847</c:v>
                </c:pt>
                <c:pt idx="38">
                  <c:v>28.92317171001082</c:v>
                </c:pt>
                <c:pt idx="39">
                  <c:v>25.167287432953845</c:v>
                </c:pt>
                <c:pt idx="40">
                  <c:v>32.196931880682385</c:v>
                </c:pt>
                <c:pt idx="41">
                  <c:v>33.973623040880732</c:v>
                </c:pt>
                <c:pt idx="42">
                  <c:v>33.255210253646027</c:v>
                </c:pt>
                <c:pt idx="43">
                  <c:v>30.400647223314376</c:v>
                </c:pt>
                <c:pt idx="44">
                  <c:v>32.370918082449236</c:v>
                </c:pt>
                <c:pt idx="45">
                  <c:v>34.572087953163923</c:v>
                </c:pt>
                <c:pt idx="46">
                  <c:v>37.652140555425326</c:v>
                </c:pt>
                <c:pt idx="47">
                  <c:v>42.035654414338794</c:v>
                </c:pt>
              </c:numCache>
            </c:numRef>
          </c:val>
          <c:smooth val="0"/>
        </c:ser>
        <c:ser>
          <c:idx val="2"/>
          <c:order val="2"/>
          <c:tx>
            <c:v>CARD</c:v>
          </c:tx>
          <c:marker>
            <c:symbol val="none"/>
          </c:marker>
          <c:cat>
            <c:strRef>
              <c:f>CY!$A$25:$A$72</c:f>
              <c:strCache>
                <c:ptCount val="48"/>
                <c:pt idx="0">
                  <c:v>1965</c:v>
                </c:pt>
                <c:pt idx="1">
                  <c:v>1966</c:v>
                </c:pt>
                <c:pt idx="2">
                  <c:v>1967</c:v>
                </c:pt>
                <c:pt idx="3">
                  <c:v>1968</c:v>
                </c:pt>
                <c:pt idx="4">
                  <c:v>1969</c:v>
                </c:pt>
                <c:pt idx="5">
                  <c:v>1970</c:v>
                </c:pt>
                <c:pt idx="6">
                  <c:v>1971</c:v>
                </c:pt>
                <c:pt idx="7">
                  <c:v>1972</c:v>
                </c:pt>
                <c:pt idx="8">
                  <c:v>1973</c:v>
                </c:pt>
                <c:pt idx="9">
                  <c:v>1974</c:v>
                </c:pt>
                <c:pt idx="10">
                  <c:v>1975</c:v>
                </c:pt>
                <c:pt idx="11">
                  <c:v>1976</c:v>
                </c:pt>
                <c:pt idx="12">
                  <c:v>1977</c:v>
                </c:pt>
                <c:pt idx="13">
                  <c:v>1978</c:v>
                </c:pt>
                <c:pt idx="14">
                  <c:v>1979</c:v>
                </c:pt>
                <c:pt idx="15">
                  <c:v>1980</c:v>
                </c:pt>
                <c:pt idx="16">
                  <c:v>1981</c:v>
                </c:pt>
                <c:pt idx="17">
                  <c:v>1982</c:v>
                </c:pt>
                <c:pt idx="18">
                  <c:v>1983</c:v>
                </c:pt>
                <c:pt idx="19">
                  <c:v>1984</c:v>
                </c:pt>
                <c:pt idx="20">
                  <c:v>1985</c:v>
                </c:pt>
                <c:pt idx="21">
                  <c:v>1986</c:v>
                </c:pt>
                <c:pt idx="22">
                  <c:v>1987</c:v>
                </c:pt>
                <c:pt idx="23">
                  <c:v>1988</c:v>
                </c:pt>
                <c:pt idx="24">
                  <c:v>1989</c:v>
                </c:pt>
                <c:pt idx="25">
                  <c:v>1990</c:v>
                </c:pt>
                <c:pt idx="26">
                  <c:v>1991</c:v>
                </c:pt>
                <c:pt idx="27">
                  <c:v>1992</c:v>
                </c:pt>
                <c:pt idx="28">
                  <c:v>1993</c:v>
                </c:pt>
                <c:pt idx="29">
                  <c:v>1994</c:v>
                </c:pt>
                <c:pt idx="30">
                  <c:v>1995</c:v>
                </c:pt>
                <c:pt idx="31">
                  <c:v>1996</c:v>
                </c:pt>
                <c:pt idx="32">
                  <c:v>1997</c:v>
                </c:pt>
                <c:pt idx="33">
                  <c:v>1998</c:v>
                </c:pt>
                <c:pt idx="34">
                  <c:v>1999</c:v>
                </c:pt>
                <c:pt idx="35">
                  <c:v>2000</c:v>
                </c:pt>
                <c:pt idx="36">
                  <c:v>2001</c:v>
                </c:pt>
                <c:pt idx="37">
                  <c:v>2002</c:v>
                </c:pt>
                <c:pt idx="38">
                  <c:v>2003</c:v>
                </c:pt>
                <c:pt idx="39">
                  <c:v>2004</c:v>
                </c:pt>
                <c:pt idx="40">
                  <c:v>2005</c:v>
                </c:pt>
                <c:pt idx="41">
                  <c:v>2006</c:v>
                </c:pt>
                <c:pt idx="42">
                  <c:v>2007</c:v>
                </c:pt>
                <c:pt idx="43">
                  <c:v>2008</c:v>
                </c:pt>
                <c:pt idx="44">
                  <c:v>2009</c:v>
                </c:pt>
                <c:pt idx="45">
                  <c:v>2010</c:v>
                </c:pt>
                <c:pt idx="46">
                  <c:v>2011</c:v>
                </c:pt>
                <c:pt idx="47">
                  <c:v>2012</c:v>
                </c:pt>
              </c:strCache>
            </c:strRef>
          </c:cat>
          <c:val>
            <c:numRef>
              <c:f>CY!$BP$25:$BP$72</c:f>
              <c:numCache>
                <c:formatCode>General</c:formatCode>
                <c:ptCount val="48"/>
                <c:pt idx="0">
                  <c:v>15.612218129142484</c:v>
                </c:pt>
                <c:pt idx="1">
                  <c:v>18.159440373925325</c:v>
                </c:pt>
                <c:pt idx="2">
                  <c:v>19.887075882571633</c:v>
                </c:pt>
                <c:pt idx="3">
                  <c:v>20.690134492463024</c:v>
                </c:pt>
                <c:pt idx="4">
                  <c:v>22.354756574817451</c:v>
                </c:pt>
                <c:pt idx="5">
                  <c:v>23.483907941281171</c:v>
                </c:pt>
                <c:pt idx="6">
                  <c:v>24.409290672322864</c:v>
                </c:pt>
                <c:pt idx="7">
                  <c:v>24.763055024122416</c:v>
                </c:pt>
                <c:pt idx="8">
                  <c:v>25.761486350697737</c:v>
                </c:pt>
                <c:pt idx="9">
                  <c:v>27.425356807830642</c:v>
                </c:pt>
                <c:pt idx="10">
                  <c:v>27.871578684730547</c:v>
                </c:pt>
                <c:pt idx="11">
                  <c:v>28.511414137958823</c:v>
                </c:pt>
                <c:pt idx="12">
                  <c:v>26.604686270028878</c:v>
                </c:pt>
                <c:pt idx="13">
                  <c:v>28.731631710729499</c:v>
                </c:pt>
                <c:pt idx="14">
                  <c:v>30.197646442960107</c:v>
                </c:pt>
                <c:pt idx="15">
                  <c:v>28.786047965255833</c:v>
                </c:pt>
                <c:pt idx="16">
                  <c:v>28.194715375066504</c:v>
                </c:pt>
                <c:pt idx="17">
                  <c:v>30.530394015163559</c:v>
                </c:pt>
                <c:pt idx="18">
                  <c:v>30.994973544973547</c:v>
                </c:pt>
                <c:pt idx="19">
                  <c:v>27.534850640113799</c:v>
                </c:pt>
                <c:pt idx="20">
                  <c:v>26.637455686914695</c:v>
                </c:pt>
                <c:pt idx="21">
                  <c:v>26.281764318630678</c:v>
                </c:pt>
                <c:pt idx="22">
                  <c:v>26.505693639157119</c:v>
                </c:pt>
                <c:pt idx="23">
                  <c:v>28.173664145768868</c:v>
                </c:pt>
                <c:pt idx="24">
                  <c:v>31.551271828752057</c:v>
                </c:pt>
                <c:pt idx="25">
                  <c:v>31.087181941453295</c:v>
                </c:pt>
                <c:pt idx="26">
                  <c:v>16.601947725762805</c:v>
                </c:pt>
                <c:pt idx="27">
                  <c:v>22.704149933065594</c:v>
                </c:pt>
                <c:pt idx="28">
                  <c:v>27.155449777425183</c:v>
                </c:pt>
                <c:pt idx="29">
                  <c:v>18.854524959759967</c:v>
                </c:pt>
                <c:pt idx="30">
                  <c:v>19.27153277311978</c:v>
                </c:pt>
                <c:pt idx="31">
                  <c:v>20.673642291324633</c:v>
                </c:pt>
                <c:pt idx="32">
                  <c:v>22.145439956213725</c:v>
                </c:pt>
                <c:pt idx="33">
                  <c:v>23.305325575328929</c:v>
                </c:pt>
                <c:pt idx="34">
                  <c:v>26.54757752324177</c:v>
                </c:pt>
                <c:pt idx="35">
                  <c:v>28.979811842280451</c:v>
                </c:pt>
                <c:pt idx="36">
                  <c:v>32.675267827923939</c:v>
                </c:pt>
                <c:pt idx="37">
                  <c:v>33.711119225631613</c:v>
                </c:pt>
                <c:pt idx="38">
                  <c:v>37.512540270537222</c:v>
                </c:pt>
                <c:pt idx="39">
                  <c:v>32.018275824886373</c:v>
                </c:pt>
                <c:pt idx="40">
                  <c:v>35.606514507539892</c:v>
                </c:pt>
                <c:pt idx="41">
                  <c:v>37.85146859073901</c:v>
                </c:pt>
                <c:pt idx="42">
                  <c:v>44.31167165614778</c:v>
                </c:pt>
                <c:pt idx="43">
                  <c:v>50.473039166743561</c:v>
                </c:pt>
                <c:pt idx="44">
                  <c:v>49.158919944137651</c:v>
                </c:pt>
                <c:pt idx="45">
                  <c:v>45.291802072580296</c:v>
                </c:pt>
                <c:pt idx="46">
                  <c:v>47.387049507064233</c:v>
                </c:pt>
                <c:pt idx="47">
                  <c:v>49.129200751663213</c:v>
                </c:pt>
              </c:numCache>
            </c:numRef>
          </c:val>
          <c:smooth val="0"/>
        </c:ser>
        <c:ser>
          <c:idx val="3"/>
          <c:order val="3"/>
          <c:tx>
            <c:v>BCMU</c:v>
          </c:tx>
          <c:marker>
            <c:symbol val="none"/>
          </c:marker>
          <c:cat>
            <c:strRef>
              <c:f>CY!$A$25:$A$72</c:f>
              <c:strCache>
                <c:ptCount val="48"/>
                <c:pt idx="0">
                  <c:v>1965</c:v>
                </c:pt>
                <c:pt idx="1">
                  <c:v>1966</c:v>
                </c:pt>
                <c:pt idx="2">
                  <c:v>1967</c:v>
                </c:pt>
                <c:pt idx="3">
                  <c:v>1968</c:v>
                </c:pt>
                <c:pt idx="4">
                  <c:v>1969</c:v>
                </c:pt>
                <c:pt idx="5">
                  <c:v>1970</c:v>
                </c:pt>
                <c:pt idx="6">
                  <c:v>1971</c:v>
                </c:pt>
                <c:pt idx="7">
                  <c:v>1972</c:v>
                </c:pt>
                <c:pt idx="8">
                  <c:v>1973</c:v>
                </c:pt>
                <c:pt idx="9">
                  <c:v>1974</c:v>
                </c:pt>
                <c:pt idx="10">
                  <c:v>1975</c:v>
                </c:pt>
                <c:pt idx="11">
                  <c:v>1976</c:v>
                </c:pt>
                <c:pt idx="12">
                  <c:v>1977</c:v>
                </c:pt>
                <c:pt idx="13">
                  <c:v>1978</c:v>
                </c:pt>
                <c:pt idx="14">
                  <c:v>1979</c:v>
                </c:pt>
                <c:pt idx="15">
                  <c:v>1980</c:v>
                </c:pt>
                <c:pt idx="16">
                  <c:v>1981</c:v>
                </c:pt>
                <c:pt idx="17">
                  <c:v>1982</c:v>
                </c:pt>
                <c:pt idx="18">
                  <c:v>1983</c:v>
                </c:pt>
                <c:pt idx="19">
                  <c:v>1984</c:v>
                </c:pt>
                <c:pt idx="20">
                  <c:v>1985</c:v>
                </c:pt>
                <c:pt idx="21">
                  <c:v>1986</c:v>
                </c:pt>
                <c:pt idx="22">
                  <c:v>1987</c:v>
                </c:pt>
                <c:pt idx="23">
                  <c:v>1988</c:v>
                </c:pt>
                <c:pt idx="24">
                  <c:v>1989</c:v>
                </c:pt>
                <c:pt idx="25">
                  <c:v>1990</c:v>
                </c:pt>
                <c:pt idx="26">
                  <c:v>1991</c:v>
                </c:pt>
                <c:pt idx="27">
                  <c:v>1992</c:v>
                </c:pt>
                <c:pt idx="28">
                  <c:v>1993</c:v>
                </c:pt>
                <c:pt idx="29">
                  <c:v>1994</c:v>
                </c:pt>
                <c:pt idx="30">
                  <c:v>1995</c:v>
                </c:pt>
                <c:pt idx="31">
                  <c:v>1996</c:v>
                </c:pt>
                <c:pt idx="32">
                  <c:v>1997</c:v>
                </c:pt>
                <c:pt idx="33">
                  <c:v>1998</c:v>
                </c:pt>
                <c:pt idx="34">
                  <c:v>1999</c:v>
                </c:pt>
                <c:pt idx="35">
                  <c:v>2000</c:v>
                </c:pt>
                <c:pt idx="36">
                  <c:v>2001</c:v>
                </c:pt>
                <c:pt idx="37">
                  <c:v>2002</c:v>
                </c:pt>
                <c:pt idx="38">
                  <c:v>2003</c:v>
                </c:pt>
                <c:pt idx="39">
                  <c:v>2004</c:v>
                </c:pt>
                <c:pt idx="40">
                  <c:v>2005</c:v>
                </c:pt>
                <c:pt idx="41">
                  <c:v>2006</c:v>
                </c:pt>
                <c:pt idx="42">
                  <c:v>2007</c:v>
                </c:pt>
                <c:pt idx="43">
                  <c:v>2008</c:v>
                </c:pt>
                <c:pt idx="44">
                  <c:v>2009</c:v>
                </c:pt>
                <c:pt idx="45">
                  <c:v>2010</c:v>
                </c:pt>
                <c:pt idx="46">
                  <c:v>2011</c:v>
                </c:pt>
                <c:pt idx="47">
                  <c:v>2012</c:v>
                </c:pt>
              </c:strCache>
            </c:strRef>
          </c:cat>
          <c:val>
            <c:numRef>
              <c:f>CY!$CE$25:$CE$72</c:f>
              <c:numCache>
                <c:formatCode>General</c:formatCode>
                <c:ptCount val="48"/>
                <c:pt idx="0">
                  <c:v>18.713308667427384</c:v>
                </c:pt>
                <c:pt idx="1">
                  <c:v>15.579413972886945</c:v>
                </c:pt>
                <c:pt idx="2">
                  <c:v>15.990627516330349</c:v>
                </c:pt>
                <c:pt idx="3">
                  <c:v>14.57962387031032</c:v>
                </c:pt>
                <c:pt idx="4">
                  <c:v>18.989760911989016</c:v>
                </c:pt>
                <c:pt idx="5">
                  <c:v>23.310047678262123</c:v>
                </c:pt>
                <c:pt idx="6">
                  <c:v>25.936636030808145</c:v>
                </c:pt>
                <c:pt idx="7">
                  <c:v>27.715788824267886</c:v>
                </c:pt>
                <c:pt idx="8">
                  <c:v>21.838931917291177</c:v>
                </c:pt>
                <c:pt idx="9">
                  <c:v>23.718949402083688</c:v>
                </c:pt>
                <c:pt idx="10">
                  <c:v>24.65062640725948</c:v>
                </c:pt>
                <c:pt idx="11">
                  <c:v>27.29585181753065</c:v>
                </c:pt>
                <c:pt idx="12">
                  <c:v>22.874931628292014</c:v>
                </c:pt>
                <c:pt idx="13">
                  <c:v>29.144755842842592</c:v>
                </c:pt>
                <c:pt idx="14">
                  <c:v>35.099514804525114</c:v>
                </c:pt>
                <c:pt idx="15">
                  <c:v>39.856761768124009</c:v>
                </c:pt>
                <c:pt idx="16">
                  <c:v>42.087592123531195</c:v>
                </c:pt>
                <c:pt idx="17">
                  <c:v>58.177264804142041</c:v>
                </c:pt>
                <c:pt idx="18">
                  <c:v>52.524687195232673</c:v>
                </c:pt>
                <c:pt idx="19">
                  <c:v>49.117545892792535</c:v>
                </c:pt>
                <c:pt idx="20">
                  <c:v>48.56903986310499</c:v>
                </c:pt>
                <c:pt idx="21">
                  <c:v>46.777411033469782</c:v>
                </c:pt>
                <c:pt idx="22">
                  <c:v>37.052911899564265</c:v>
                </c:pt>
                <c:pt idx="23">
                  <c:v>45.472128213050063</c:v>
                </c:pt>
                <c:pt idx="24">
                  <c:v>42.598073213159012</c:v>
                </c:pt>
                <c:pt idx="25">
                  <c:v>37.261314829095596</c:v>
                </c:pt>
                <c:pt idx="26">
                  <c:v>34.077501190255262</c:v>
                </c:pt>
                <c:pt idx="27">
                  <c:v>36.621397677098088</c:v>
                </c:pt>
                <c:pt idx="28">
                  <c:v>37.155250908868332</c:v>
                </c:pt>
                <c:pt idx="29">
                  <c:v>39.297675351405573</c:v>
                </c:pt>
                <c:pt idx="30">
                  <c:v>34.977176437406357</c:v>
                </c:pt>
                <c:pt idx="31">
                  <c:v>34.053980768656572</c:v>
                </c:pt>
                <c:pt idx="32">
                  <c:v>33.660498977595381</c:v>
                </c:pt>
                <c:pt idx="33">
                  <c:v>35.374704214105599</c:v>
                </c:pt>
                <c:pt idx="34">
                  <c:v>37.029372716595354</c:v>
                </c:pt>
                <c:pt idx="35">
                  <c:v>38.376481405880831</c:v>
                </c:pt>
                <c:pt idx="36">
                  <c:v>42.120140036728159</c:v>
                </c:pt>
                <c:pt idx="37">
                  <c:v>50.587188332525869</c:v>
                </c:pt>
                <c:pt idx="38">
                  <c:v>35.922643273975581</c:v>
                </c:pt>
                <c:pt idx="39">
                  <c:v>26.573980082091623</c:v>
                </c:pt>
                <c:pt idx="40">
                  <c:v>26.922563641221494</c:v>
                </c:pt>
                <c:pt idx="41">
                  <c:v>32.14375442220819</c:v>
                </c:pt>
                <c:pt idx="42">
                  <c:v>35.632408089279373</c:v>
                </c:pt>
                <c:pt idx="43">
                  <c:v>40.469795817379676</c:v>
                </c:pt>
                <c:pt idx="44">
                  <c:v>35.818712338210531</c:v>
                </c:pt>
                <c:pt idx="45">
                  <c:v>39.399168082862673</c:v>
                </c:pt>
                <c:pt idx="46">
                  <c:v>43.642892952652574</c:v>
                </c:pt>
                <c:pt idx="47">
                  <c:v>48.056659020541787</c:v>
                </c:pt>
              </c:numCache>
            </c:numRef>
          </c:val>
          <c:smooth val="0"/>
        </c:ser>
        <c:dLbls>
          <c:showLegendKey val="0"/>
          <c:showVal val="0"/>
          <c:showCatName val="0"/>
          <c:showSerName val="0"/>
          <c:showPercent val="0"/>
          <c:showBubbleSize val="0"/>
        </c:dLbls>
        <c:marker val="1"/>
        <c:smooth val="0"/>
        <c:axId val="272500224"/>
        <c:axId val="272501760"/>
      </c:lineChart>
      <c:catAx>
        <c:axId val="272500224"/>
        <c:scaling>
          <c:orientation val="minMax"/>
        </c:scaling>
        <c:delete val="0"/>
        <c:axPos val="b"/>
        <c:majorTickMark val="out"/>
        <c:minorTickMark val="none"/>
        <c:tickLblPos val="nextTo"/>
        <c:txPr>
          <a:bodyPr/>
          <a:lstStyle/>
          <a:p>
            <a:pPr>
              <a:defRPr>
                <a:latin typeface="Times New Roman" pitchFamily="18" charset="0"/>
                <a:cs typeface="Times New Roman" pitchFamily="18" charset="0"/>
              </a:defRPr>
            </a:pPr>
            <a:endParaRPr lang="en-US"/>
          </a:p>
        </c:txPr>
        <c:crossAx val="272501760"/>
        <c:crosses val="autoZero"/>
        <c:auto val="1"/>
        <c:lblAlgn val="ctr"/>
        <c:lblOffset val="100"/>
        <c:noMultiLvlLbl val="0"/>
      </c:catAx>
      <c:valAx>
        <c:axId val="272501760"/>
        <c:scaling>
          <c:orientation val="minMax"/>
        </c:scaling>
        <c:delete val="0"/>
        <c:axPos val="l"/>
        <c:majorGridlines/>
        <c:numFmt formatCode="General" sourceLinked="1"/>
        <c:majorTickMark val="out"/>
        <c:minorTickMark val="none"/>
        <c:tickLblPos val="nextTo"/>
        <c:txPr>
          <a:bodyPr/>
          <a:lstStyle/>
          <a:p>
            <a:pPr>
              <a:defRPr>
                <a:latin typeface="Times New Roman" pitchFamily="18" charset="0"/>
                <a:cs typeface="Times New Roman" pitchFamily="18" charset="0"/>
              </a:defRPr>
            </a:pPr>
            <a:endParaRPr lang="en-US"/>
          </a:p>
        </c:txPr>
        <c:crossAx val="272500224"/>
        <c:crosses val="autoZero"/>
        <c:crossBetween val="between"/>
      </c:valAx>
    </c:plotArea>
    <c:legend>
      <c:legendPos val="b"/>
      <c:overlay val="0"/>
      <c:txPr>
        <a:bodyPr/>
        <a:lstStyle/>
        <a:p>
          <a:pPr>
            <a:defRPr>
              <a:latin typeface="Times New Roman" pitchFamily="18" charset="0"/>
              <a:cs typeface="Times New Roman" pitchFamily="18" charset="0"/>
            </a:defRPr>
          </a:pPr>
          <a:endParaRPr lang="en-US"/>
        </a:p>
      </c:txPr>
    </c:legend>
    <c:plotVisOnly val="1"/>
    <c:dispBlanksAs val="zero"/>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percentStacked"/>
        <c:varyColors val="0"/>
        <c:ser>
          <c:idx val="0"/>
          <c:order val="0"/>
          <c:tx>
            <c:strRef>
              <c:f>'Cártera de Préstamos xSectores '!$H$410</c:f>
              <c:strCache>
                <c:ptCount val="1"/>
                <c:pt idx="0">
                  <c:v>Vivienda</c:v>
                </c:pt>
              </c:strCache>
            </c:strRef>
          </c:tx>
          <c:invertIfNegative val="0"/>
          <c:dLbls>
            <c:showLegendKey val="0"/>
            <c:showVal val="1"/>
            <c:showCatName val="0"/>
            <c:showSerName val="0"/>
            <c:showPercent val="0"/>
            <c:showBubbleSize val="0"/>
            <c:showLeaderLines val="0"/>
          </c:dLbls>
          <c:cat>
            <c:numRef>
              <c:f>'Cártera de Préstamos xSectores '!$I$409:$M$409</c:f>
              <c:numCache>
                <c:formatCode>General</c:formatCode>
                <c:ptCount val="5"/>
                <c:pt idx="0">
                  <c:v>2009</c:v>
                </c:pt>
                <c:pt idx="1">
                  <c:v>2010</c:v>
                </c:pt>
                <c:pt idx="2">
                  <c:v>2011</c:v>
                </c:pt>
                <c:pt idx="3">
                  <c:v>2012</c:v>
                </c:pt>
                <c:pt idx="4">
                  <c:v>2013</c:v>
                </c:pt>
              </c:numCache>
            </c:numRef>
          </c:cat>
          <c:val>
            <c:numRef>
              <c:f>'Cártera de Préstamos xSectores '!$I$410:$M$410</c:f>
              <c:numCache>
                <c:formatCode>0.00%</c:formatCode>
                <c:ptCount val="5"/>
                <c:pt idx="0">
                  <c:v>0.25928242187690098</c:v>
                </c:pt>
                <c:pt idx="1">
                  <c:v>0.26594079989264713</c:v>
                </c:pt>
                <c:pt idx="2">
                  <c:v>0.25530508336104279</c:v>
                </c:pt>
                <c:pt idx="3">
                  <c:v>0.24405607811727706</c:v>
                </c:pt>
                <c:pt idx="4">
                  <c:v>0.2352617373442209</c:v>
                </c:pt>
              </c:numCache>
            </c:numRef>
          </c:val>
        </c:ser>
        <c:ser>
          <c:idx val="1"/>
          <c:order val="1"/>
          <c:tx>
            <c:strRef>
              <c:f>'Cártera de Préstamos xSectores '!$H$411</c:f>
              <c:strCache>
                <c:ptCount val="1"/>
                <c:pt idx="0">
                  <c:v>Empresas</c:v>
                </c:pt>
              </c:strCache>
            </c:strRef>
          </c:tx>
          <c:invertIfNegative val="0"/>
          <c:dLbls>
            <c:showLegendKey val="0"/>
            <c:showVal val="1"/>
            <c:showCatName val="0"/>
            <c:showSerName val="0"/>
            <c:showPercent val="0"/>
            <c:showBubbleSize val="0"/>
            <c:showLeaderLines val="0"/>
          </c:dLbls>
          <c:cat>
            <c:numRef>
              <c:f>'Cártera de Préstamos xSectores '!$I$409:$M$409</c:f>
              <c:numCache>
                <c:formatCode>General</c:formatCode>
                <c:ptCount val="5"/>
                <c:pt idx="0">
                  <c:v>2009</c:v>
                </c:pt>
                <c:pt idx="1">
                  <c:v>2010</c:v>
                </c:pt>
                <c:pt idx="2">
                  <c:v>2011</c:v>
                </c:pt>
                <c:pt idx="3">
                  <c:v>2012</c:v>
                </c:pt>
                <c:pt idx="4">
                  <c:v>2013</c:v>
                </c:pt>
              </c:numCache>
            </c:numRef>
          </c:cat>
          <c:val>
            <c:numRef>
              <c:f>'Cártera de Préstamos xSectores '!$I$411:$M$411</c:f>
              <c:numCache>
                <c:formatCode>0.00%</c:formatCode>
                <c:ptCount val="5"/>
                <c:pt idx="0">
                  <c:v>0.45840504886546152</c:v>
                </c:pt>
                <c:pt idx="1">
                  <c:v>0.43898725117762144</c:v>
                </c:pt>
                <c:pt idx="2">
                  <c:v>0.4456084037858446</c:v>
                </c:pt>
                <c:pt idx="3">
                  <c:v>0.43859913851501414</c:v>
                </c:pt>
                <c:pt idx="4">
                  <c:v>0.43196883000508152</c:v>
                </c:pt>
              </c:numCache>
            </c:numRef>
          </c:val>
        </c:ser>
        <c:ser>
          <c:idx val="2"/>
          <c:order val="2"/>
          <c:tx>
            <c:strRef>
              <c:f>'Cártera de Préstamos xSectores '!$H$412</c:f>
              <c:strCache>
                <c:ptCount val="1"/>
                <c:pt idx="0">
                  <c:v>Consumo</c:v>
                </c:pt>
              </c:strCache>
            </c:strRef>
          </c:tx>
          <c:invertIfNegative val="0"/>
          <c:dLbls>
            <c:showLegendKey val="0"/>
            <c:showVal val="1"/>
            <c:showCatName val="0"/>
            <c:showSerName val="0"/>
            <c:showPercent val="0"/>
            <c:showBubbleSize val="0"/>
            <c:showLeaderLines val="0"/>
          </c:dLbls>
          <c:cat>
            <c:numRef>
              <c:f>'Cártera de Préstamos xSectores '!$I$409:$M$409</c:f>
              <c:numCache>
                <c:formatCode>General</c:formatCode>
                <c:ptCount val="5"/>
                <c:pt idx="0">
                  <c:v>2009</c:v>
                </c:pt>
                <c:pt idx="1">
                  <c:v>2010</c:v>
                </c:pt>
                <c:pt idx="2">
                  <c:v>2011</c:v>
                </c:pt>
                <c:pt idx="3">
                  <c:v>2012</c:v>
                </c:pt>
                <c:pt idx="4">
                  <c:v>2013</c:v>
                </c:pt>
              </c:numCache>
            </c:numRef>
          </c:cat>
          <c:val>
            <c:numRef>
              <c:f>'Cártera de Préstamos xSectores '!$I$412:$M$412</c:f>
              <c:numCache>
                <c:formatCode>0.00%</c:formatCode>
                <c:ptCount val="5"/>
                <c:pt idx="0">
                  <c:v>0.28231252925763756</c:v>
                </c:pt>
                <c:pt idx="1">
                  <c:v>0.29507194892973154</c:v>
                </c:pt>
                <c:pt idx="2">
                  <c:v>0.29908651285311261</c:v>
                </c:pt>
                <c:pt idx="3">
                  <c:v>0.31734478336770888</c:v>
                </c:pt>
                <c:pt idx="4">
                  <c:v>0.33276943265069769</c:v>
                </c:pt>
              </c:numCache>
            </c:numRef>
          </c:val>
        </c:ser>
        <c:dLbls>
          <c:showLegendKey val="0"/>
          <c:showVal val="0"/>
          <c:showCatName val="0"/>
          <c:showSerName val="0"/>
          <c:showPercent val="0"/>
          <c:showBubbleSize val="0"/>
        </c:dLbls>
        <c:gapWidth val="150"/>
        <c:overlap val="100"/>
        <c:axId val="272537472"/>
        <c:axId val="272539008"/>
      </c:barChart>
      <c:catAx>
        <c:axId val="272537472"/>
        <c:scaling>
          <c:orientation val="minMax"/>
        </c:scaling>
        <c:delete val="0"/>
        <c:axPos val="b"/>
        <c:numFmt formatCode="General" sourceLinked="1"/>
        <c:majorTickMark val="out"/>
        <c:minorTickMark val="none"/>
        <c:tickLblPos val="nextTo"/>
        <c:txPr>
          <a:bodyPr/>
          <a:lstStyle/>
          <a:p>
            <a:pPr>
              <a:defRPr>
                <a:latin typeface="Times New Roman" pitchFamily="18" charset="0"/>
                <a:cs typeface="Times New Roman" pitchFamily="18" charset="0"/>
              </a:defRPr>
            </a:pPr>
            <a:endParaRPr lang="en-US"/>
          </a:p>
        </c:txPr>
        <c:crossAx val="272539008"/>
        <c:crosses val="autoZero"/>
        <c:auto val="1"/>
        <c:lblAlgn val="ctr"/>
        <c:lblOffset val="100"/>
        <c:noMultiLvlLbl val="0"/>
      </c:catAx>
      <c:valAx>
        <c:axId val="272539008"/>
        <c:scaling>
          <c:orientation val="minMax"/>
        </c:scaling>
        <c:delete val="0"/>
        <c:axPos val="l"/>
        <c:majorGridlines/>
        <c:numFmt formatCode="0%" sourceLinked="1"/>
        <c:majorTickMark val="out"/>
        <c:minorTickMark val="none"/>
        <c:tickLblPos val="nextTo"/>
        <c:txPr>
          <a:bodyPr/>
          <a:lstStyle/>
          <a:p>
            <a:pPr>
              <a:defRPr>
                <a:latin typeface="Times New Roman" pitchFamily="18" charset="0"/>
                <a:cs typeface="Times New Roman" pitchFamily="18" charset="0"/>
              </a:defRPr>
            </a:pPr>
            <a:endParaRPr lang="en-US"/>
          </a:p>
        </c:txPr>
        <c:crossAx val="272537472"/>
        <c:crosses val="autoZero"/>
        <c:crossBetween val="between"/>
      </c:valAx>
    </c:plotArea>
    <c:legend>
      <c:legendPos val="b"/>
      <c:overlay val="0"/>
      <c:txPr>
        <a:bodyPr/>
        <a:lstStyle/>
        <a:p>
          <a:pPr>
            <a:defRPr>
              <a:latin typeface="Times New Roman" pitchFamily="18" charset="0"/>
              <a:cs typeface="Times New Roman" pitchFamily="18" charset="0"/>
            </a:defRPr>
          </a:pPr>
          <a:endParaRPr lang="en-US"/>
        </a:p>
      </c:txPr>
    </c:legend>
    <c:plotVisOnly val="1"/>
    <c:dispBlanksAs val="gap"/>
    <c:showDLblsOverMax val="0"/>
  </c:chart>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percentStacked"/>
        <c:varyColors val="0"/>
        <c:ser>
          <c:idx val="0"/>
          <c:order val="0"/>
          <c:tx>
            <c:strRef>
              <c:f>'Cártera de Préstamos xSectores '!$H$433</c:f>
              <c:strCache>
                <c:ptCount val="1"/>
                <c:pt idx="0">
                  <c:v>Vivienda</c:v>
                </c:pt>
              </c:strCache>
            </c:strRef>
          </c:tx>
          <c:invertIfNegative val="0"/>
          <c:dLbls>
            <c:txPr>
              <a:bodyPr/>
              <a:lstStyle/>
              <a:p>
                <a:pPr>
                  <a:defRPr>
                    <a:latin typeface="Times New Roman" pitchFamily="18" charset="0"/>
                    <a:cs typeface="Times New Roman" pitchFamily="18" charset="0"/>
                  </a:defRPr>
                </a:pPr>
                <a:endParaRPr lang="en-US"/>
              </a:p>
            </c:txPr>
            <c:showLegendKey val="0"/>
            <c:showVal val="1"/>
            <c:showCatName val="0"/>
            <c:showSerName val="0"/>
            <c:showPercent val="0"/>
            <c:showBubbleSize val="0"/>
            <c:showLeaderLines val="0"/>
          </c:dLbls>
          <c:cat>
            <c:numRef>
              <c:f>'Cártera de Préstamos xSectores '!$I$432:$M$432</c:f>
              <c:numCache>
                <c:formatCode>General</c:formatCode>
                <c:ptCount val="5"/>
                <c:pt idx="0">
                  <c:v>2009</c:v>
                </c:pt>
                <c:pt idx="1">
                  <c:v>2010</c:v>
                </c:pt>
                <c:pt idx="2">
                  <c:v>2011</c:v>
                </c:pt>
                <c:pt idx="3">
                  <c:v>2012</c:v>
                </c:pt>
                <c:pt idx="4">
                  <c:v>2013</c:v>
                </c:pt>
              </c:numCache>
            </c:numRef>
          </c:cat>
          <c:val>
            <c:numRef>
              <c:f>'Cártera de Préstamos xSectores '!$I$433:$M$433</c:f>
              <c:numCache>
                <c:formatCode>0.00%</c:formatCode>
                <c:ptCount val="5"/>
                <c:pt idx="0">
                  <c:v>0.12520689438339944</c:v>
                </c:pt>
                <c:pt idx="1">
                  <c:v>0.10904212688871572</c:v>
                </c:pt>
                <c:pt idx="2">
                  <c:v>0.12079239230384613</c:v>
                </c:pt>
                <c:pt idx="3">
                  <c:v>0.15582880121637233</c:v>
                </c:pt>
                <c:pt idx="4">
                  <c:v>0.15400026540099435</c:v>
                </c:pt>
              </c:numCache>
            </c:numRef>
          </c:val>
        </c:ser>
        <c:ser>
          <c:idx val="1"/>
          <c:order val="1"/>
          <c:tx>
            <c:strRef>
              <c:f>'Cártera de Préstamos xSectores '!$H$434</c:f>
              <c:strCache>
                <c:ptCount val="1"/>
                <c:pt idx="0">
                  <c:v>Empresas</c:v>
                </c:pt>
              </c:strCache>
            </c:strRef>
          </c:tx>
          <c:invertIfNegative val="0"/>
          <c:dLbls>
            <c:txPr>
              <a:bodyPr/>
              <a:lstStyle/>
              <a:p>
                <a:pPr>
                  <a:defRPr>
                    <a:latin typeface="Times New Roman" pitchFamily="18" charset="0"/>
                    <a:cs typeface="Times New Roman" pitchFamily="18" charset="0"/>
                  </a:defRPr>
                </a:pPr>
                <a:endParaRPr lang="en-US"/>
              </a:p>
            </c:txPr>
            <c:showLegendKey val="0"/>
            <c:showVal val="1"/>
            <c:showCatName val="0"/>
            <c:showSerName val="0"/>
            <c:showPercent val="0"/>
            <c:showBubbleSize val="0"/>
            <c:showLeaderLines val="0"/>
          </c:dLbls>
          <c:cat>
            <c:numRef>
              <c:f>'Cártera de Préstamos xSectores '!$I$432:$M$432</c:f>
              <c:numCache>
                <c:formatCode>General</c:formatCode>
                <c:ptCount val="5"/>
                <c:pt idx="0">
                  <c:v>2009</c:v>
                </c:pt>
                <c:pt idx="1">
                  <c:v>2010</c:v>
                </c:pt>
                <c:pt idx="2">
                  <c:v>2011</c:v>
                </c:pt>
                <c:pt idx="3">
                  <c:v>2012</c:v>
                </c:pt>
                <c:pt idx="4">
                  <c:v>2013</c:v>
                </c:pt>
              </c:numCache>
            </c:numRef>
          </c:cat>
          <c:val>
            <c:numRef>
              <c:f>'Cártera de Préstamos xSectores '!$I$434:$M$434</c:f>
              <c:numCache>
                <c:formatCode>0.00%</c:formatCode>
                <c:ptCount val="5"/>
                <c:pt idx="0">
                  <c:v>0.83505234643947157</c:v>
                </c:pt>
                <c:pt idx="1">
                  <c:v>0.85881926595762781</c:v>
                </c:pt>
                <c:pt idx="2">
                  <c:v>0.84928135872300115</c:v>
                </c:pt>
                <c:pt idx="3">
                  <c:v>0.66352744095917293</c:v>
                </c:pt>
                <c:pt idx="4">
                  <c:v>0.65470500460723335</c:v>
                </c:pt>
              </c:numCache>
            </c:numRef>
          </c:val>
        </c:ser>
        <c:ser>
          <c:idx val="2"/>
          <c:order val="2"/>
          <c:tx>
            <c:strRef>
              <c:f>'Cártera de Préstamos xSectores '!$H$435</c:f>
              <c:strCache>
                <c:ptCount val="1"/>
                <c:pt idx="0">
                  <c:v>Consumo</c:v>
                </c:pt>
              </c:strCache>
            </c:strRef>
          </c:tx>
          <c:invertIfNegative val="0"/>
          <c:dLbls>
            <c:txPr>
              <a:bodyPr/>
              <a:lstStyle/>
              <a:p>
                <a:pPr>
                  <a:defRPr>
                    <a:latin typeface="Times New Roman" pitchFamily="18" charset="0"/>
                    <a:cs typeface="Times New Roman" pitchFamily="18" charset="0"/>
                  </a:defRPr>
                </a:pPr>
                <a:endParaRPr lang="en-US"/>
              </a:p>
            </c:txPr>
            <c:showLegendKey val="0"/>
            <c:showVal val="1"/>
            <c:showCatName val="0"/>
            <c:showSerName val="0"/>
            <c:showPercent val="0"/>
            <c:showBubbleSize val="0"/>
            <c:showLeaderLines val="0"/>
          </c:dLbls>
          <c:cat>
            <c:numRef>
              <c:f>'Cártera de Préstamos xSectores '!$I$432:$M$432</c:f>
              <c:numCache>
                <c:formatCode>General</c:formatCode>
                <c:ptCount val="5"/>
                <c:pt idx="0">
                  <c:v>2009</c:v>
                </c:pt>
                <c:pt idx="1">
                  <c:v>2010</c:v>
                </c:pt>
                <c:pt idx="2">
                  <c:v>2011</c:v>
                </c:pt>
                <c:pt idx="3">
                  <c:v>2012</c:v>
                </c:pt>
                <c:pt idx="4">
                  <c:v>2013</c:v>
                </c:pt>
              </c:numCache>
            </c:numRef>
          </c:cat>
          <c:val>
            <c:numRef>
              <c:f>'Cártera de Préstamos xSectores '!$I$435:$M$435</c:f>
              <c:numCache>
                <c:formatCode>0.00%</c:formatCode>
                <c:ptCount val="5"/>
                <c:pt idx="0">
                  <c:v>3.9740759177128965E-2</c:v>
                </c:pt>
                <c:pt idx="1">
                  <c:v>3.2138607153656462E-2</c:v>
                </c:pt>
                <c:pt idx="2">
                  <c:v>2.9926248973152641E-2</c:v>
                </c:pt>
                <c:pt idx="3">
                  <c:v>0.18064375782445474</c:v>
                </c:pt>
                <c:pt idx="4">
                  <c:v>0.19129472999177233</c:v>
                </c:pt>
              </c:numCache>
            </c:numRef>
          </c:val>
        </c:ser>
        <c:dLbls>
          <c:showLegendKey val="0"/>
          <c:showVal val="0"/>
          <c:showCatName val="0"/>
          <c:showSerName val="0"/>
          <c:showPercent val="0"/>
          <c:showBubbleSize val="0"/>
        </c:dLbls>
        <c:gapWidth val="150"/>
        <c:overlap val="100"/>
        <c:axId val="272451456"/>
        <c:axId val="272452992"/>
      </c:barChart>
      <c:catAx>
        <c:axId val="272451456"/>
        <c:scaling>
          <c:orientation val="minMax"/>
        </c:scaling>
        <c:delete val="0"/>
        <c:axPos val="b"/>
        <c:numFmt formatCode="General" sourceLinked="1"/>
        <c:majorTickMark val="out"/>
        <c:minorTickMark val="none"/>
        <c:tickLblPos val="nextTo"/>
        <c:txPr>
          <a:bodyPr/>
          <a:lstStyle/>
          <a:p>
            <a:pPr>
              <a:defRPr>
                <a:latin typeface="Times New Roman" pitchFamily="18" charset="0"/>
                <a:cs typeface="Times New Roman" pitchFamily="18" charset="0"/>
              </a:defRPr>
            </a:pPr>
            <a:endParaRPr lang="en-US"/>
          </a:p>
        </c:txPr>
        <c:crossAx val="272452992"/>
        <c:crosses val="autoZero"/>
        <c:auto val="1"/>
        <c:lblAlgn val="ctr"/>
        <c:lblOffset val="100"/>
        <c:noMultiLvlLbl val="0"/>
      </c:catAx>
      <c:valAx>
        <c:axId val="272452992"/>
        <c:scaling>
          <c:orientation val="minMax"/>
        </c:scaling>
        <c:delete val="0"/>
        <c:axPos val="l"/>
        <c:majorGridlines/>
        <c:numFmt formatCode="0%" sourceLinked="1"/>
        <c:majorTickMark val="out"/>
        <c:minorTickMark val="none"/>
        <c:tickLblPos val="nextTo"/>
        <c:txPr>
          <a:bodyPr/>
          <a:lstStyle/>
          <a:p>
            <a:pPr>
              <a:defRPr>
                <a:latin typeface="Times New Roman" pitchFamily="18" charset="0"/>
                <a:cs typeface="Times New Roman" pitchFamily="18" charset="0"/>
              </a:defRPr>
            </a:pPr>
            <a:endParaRPr lang="en-US"/>
          </a:p>
        </c:txPr>
        <c:crossAx val="272451456"/>
        <c:crosses val="autoZero"/>
        <c:crossBetween val="between"/>
      </c:valAx>
    </c:plotArea>
    <c:legend>
      <c:legendPos val="b"/>
      <c:overlay val="0"/>
      <c:txPr>
        <a:bodyPr/>
        <a:lstStyle/>
        <a:p>
          <a:pPr>
            <a:defRPr>
              <a:latin typeface="Times New Roman" pitchFamily="18" charset="0"/>
              <a:cs typeface="Times New Roman" pitchFamily="18" charset="0"/>
            </a:defRPr>
          </a:pPr>
          <a:endParaRPr lang="en-US"/>
        </a:p>
      </c:txPr>
    </c:legend>
    <c:plotVisOnly val="1"/>
    <c:dispBlanksAs val="gap"/>
    <c:showDLblsOverMax val="0"/>
  </c:chart>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'Enterprise Survey'!$E$7</c:f>
              <c:strCache>
                <c:ptCount val="1"/>
                <c:pt idx="0">
                  <c:v>El Salvador</c:v>
                </c:pt>
              </c:strCache>
            </c:strRef>
          </c:tx>
          <c:invertIfNegative val="0"/>
          <c:dLbls>
            <c:showLegendKey val="0"/>
            <c:showVal val="1"/>
            <c:showCatName val="0"/>
            <c:showSerName val="0"/>
            <c:showPercent val="0"/>
            <c:showBubbleSize val="0"/>
            <c:showLeaderLines val="0"/>
          </c:dLbls>
          <c:cat>
            <c:strRef>
              <c:f>'Enterprise Survey'!$D$45:$D$47</c:f>
              <c:strCache>
                <c:ptCount val="3"/>
                <c:pt idx="0">
                  <c:v>Pequeña (5-19)</c:v>
                </c:pt>
                <c:pt idx="1">
                  <c:v>Mediana (20-99)</c:v>
                </c:pt>
                <c:pt idx="2">
                  <c:v>Grande (100+)</c:v>
                </c:pt>
              </c:strCache>
            </c:strRef>
          </c:cat>
          <c:val>
            <c:numRef>
              <c:f>'Enterprise Survey'!$E$45:$E$47</c:f>
              <c:numCache>
                <c:formatCode>General</c:formatCode>
                <c:ptCount val="3"/>
                <c:pt idx="0">
                  <c:v>22.2</c:v>
                </c:pt>
                <c:pt idx="1">
                  <c:v>17.2</c:v>
                </c:pt>
                <c:pt idx="2">
                  <c:v>11.5</c:v>
                </c:pt>
              </c:numCache>
            </c:numRef>
          </c:val>
        </c:ser>
        <c:ser>
          <c:idx val="1"/>
          <c:order val="1"/>
          <c:tx>
            <c:strRef>
              <c:f>'Enterprise Survey'!$F$72</c:f>
              <c:strCache>
                <c:ptCount val="1"/>
                <c:pt idx="0">
                  <c:v>ALC</c:v>
                </c:pt>
              </c:strCache>
            </c:strRef>
          </c:tx>
          <c:invertIfNegative val="0"/>
          <c:dLbls>
            <c:showLegendKey val="0"/>
            <c:showVal val="1"/>
            <c:showCatName val="0"/>
            <c:showSerName val="0"/>
            <c:showPercent val="0"/>
            <c:showBubbleSize val="0"/>
            <c:showLeaderLines val="0"/>
          </c:dLbls>
          <c:cat>
            <c:strRef>
              <c:f>'Enterprise Survey'!$D$45:$D$47</c:f>
              <c:strCache>
                <c:ptCount val="3"/>
                <c:pt idx="0">
                  <c:v>Pequeña (5-19)</c:v>
                </c:pt>
                <c:pt idx="1">
                  <c:v>Mediana (20-99)</c:v>
                </c:pt>
                <c:pt idx="2">
                  <c:v>Grande (100+)</c:v>
                </c:pt>
              </c:strCache>
            </c:strRef>
          </c:cat>
          <c:val>
            <c:numRef>
              <c:f>'Enterprise Survey'!$F$45:$F$47</c:f>
              <c:numCache>
                <c:formatCode>General</c:formatCode>
                <c:ptCount val="3"/>
                <c:pt idx="0">
                  <c:v>7</c:v>
                </c:pt>
                <c:pt idx="1">
                  <c:v>8.6</c:v>
                </c:pt>
                <c:pt idx="2">
                  <c:v>7.1</c:v>
                </c:pt>
              </c:numCache>
            </c:numRef>
          </c:val>
        </c:ser>
        <c:ser>
          <c:idx val="2"/>
          <c:order val="2"/>
          <c:tx>
            <c:strRef>
              <c:f>'Enterprise Survey'!$G$72</c:f>
              <c:strCache>
                <c:ptCount val="1"/>
                <c:pt idx="0">
                  <c:v>Todos los países</c:v>
                </c:pt>
              </c:strCache>
            </c:strRef>
          </c:tx>
          <c:invertIfNegative val="0"/>
          <c:dLbls>
            <c:showLegendKey val="0"/>
            <c:showVal val="1"/>
            <c:showCatName val="0"/>
            <c:showSerName val="0"/>
            <c:showPercent val="0"/>
            <c:showBubbleSize val="0"/>
            <c:showLeaderLines val="0"/>
          </c:dLbls>
          <c:cat>
            <c:strRef>
              <c:f>'Enterprise Survey'!$D$45:$D$47</c:f>
              <c:strCache>
                <c:ptCount val="3"/>
                <c:pt idx="0">
                  <c:v>Pequeña (5-19)</c:v>
                </c:pt>
                <c:pt idx="1">
                  <c:v>Mediana (20-99)</c:v>
                </c:pt>
                <c:pt idx="2">
                  <c:v>Grande (100+)</c:v>
                </c:pt>
              </c:strCache>
            </c:strRef>
          </c:cat>
          <c:val>
            <c:numRef>
              <c:f>'Enterprise Survey'!$G$45:$G$47</c:f>
              <c:numCache>
                <c:formatCode>General</c:formatCode>
                <c:ptCount val="3"/>
                <c:pt idx="0">
                  <c:v>4.8</c:v>
                </c:pt>
                <c:pt idx="1">
                  <c:v>5.7</c:v>
                </c:pt>
                <c:pt idx="2">
                  <c:v>4.9000000000000004</c:v>
                </c:pt>
              </c:numCache>
            </c:numRef>
          </c:val>
        </c:ser>
        <c:dLbls>
          <c:showLegendKey val="0"/>
          <c:showVal val="0"/>
          <c:showCatName val="0"/>
          <c:showSerName val="0"/>
          <c:showPercent val="0"/>
          <c:showBubbleSize val="0"/>
        </c:dLbls>
        <c:gapWidth val="150"/>
        <c:axId val="272480128"/>
        <c:axId val="272481664"/>
      </c:barChart>
      <c:catAx>
        <c:axId val="272480128"/>
        <c:scaling>
          <c:orientation val="minMax"/>
        </c:scaling>
        <c:delete val="0"/>
        <c:axPos val="b"/>
        <c:majorTickMark val="out"/>
        <c:minorTickMark val="none"/>
        <c:tickLblPos val="nextTo"/>
        <c:crossAx val="272481664"/>
        <c:crosses val="autoZero"/>
        <c:auto val="1"/>
        <c:lblAlgn val="ctr"/>
        <c:lblOffset val="100"/>
        <c:noMultiLvlLbl val="0"/>
      </c:catAx>
      <c:valAx>
        <c:axId val="272481664"/>
        <c:scaling>
          <c:orientation val="minMax"/>
        </c:scaling>
        <c:delete val="0"/>
        <c:axPos val="l"/>
        <c:majorGridlines/>
        <c:numFmt formatCode="General" sourceLinked="1"/>
        <c:majorTickMark val="out"/>
        <c:minorTickMark val="none"/>
        <c:tickLblPos val="nextTo"/>
        <c:crossAx val="272480128"/>
        <c:crosses val="autoZero"/>
        <c:crossBetween val="between"/>
      </c:valAx>
    </c:plotArea>
    <c:legend>
      <c:legendPos val="b"/>
      <c:overlay val="0"/>
    </c:legend>
    <c:plotVisOnly val="1"/>
    <c:dispBlanksAs val="gap"/>
    <c:showDLblsOverMax val="0"/>
  </c:chart>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'Enterprise Survey'!$E$7</c:f>
              <c:strCache>
                <c:ptCount val="1"/>
                <c:pt idx="0">
                  <c:v>El Salvador</c:v>
                </c:pt>
              </c:strCache>
            </c:strRef>
          </c:tx>
          <c:invertIfNegative val="0"/>
          <c:dLbls>
            <c:showLegendKey val="0"/>
            <c:showVal val="1"/>
            <c:showCatName val="0"/>
            <c:showSerName val="0"/>
            <c:showPercent val="0"/>
            <c:showBubbleSize val="0"/>
            <c:showLeaderLines val="0"/>
          </c:dLbls>
          <c:cat>
            <c:strRef>
              <c:f>'Enterprise Survey'!$D$45:$D$47</c:f>
              <c:strCache>
                <c:ptCount val="3"/>
                <c:pt idx="0">
                  <c:v>Pequeña (5-19)</c:v>
                </c:pt>
                <c:pt idx="1">
                  <c:v>Mediana (20-99)</c:v>
                </c:pt>
                <c:pt idx="2">
                  <c:v>Grande (100+)</c:v>
                </c:pt>
              </c:strCache>
            </c:strRef>
          </c:cat>
          <c:val>
            <c:numRef>
              <c:f>'Enterprise Survey'!$E$61:$E$63</c:f>
              <c:numCache>
                <c:formatCode>General</c:formatCode>
                <c:ptCount val="3"/>
                <c:pt idx="0">
                  <c:v>29.9</c:v>
                </c:pt>
                <c:pt idx="1">
                  <c:v>21.6</c:v>
                </c:pt>
                <c:pt idx="2">
                  <c:v>22.4</c:v>
                </c:pt>
              </c:numCache>
            </c:numRef>
          </c:val>
        </c:ser>
        <c:ser>
          <c:idx val="1"/>
          <c:order val="1"/>
          <c:tx>
            <c:strRef>
              <c:f>'Enterprise Survey'!$F$72</c:f>
              <c:strCache>
                <c:ptCount val="1"/>
                <c:pt idx="0">
                  <c:v>ALC</c:v>
                </c:pt>
              </c:strCache>
            </c:strRef>
          </c:tx>
          <c:invertIfNegative val="0"/>
          <c:dLbls>
            <c:showLegendKey val="0"/>
            <c:showVal val="1"/>
            <c:showCatName val="0"/>
            <c:showSerName val="0"/>
            <c:showPercent val="0"/>
            <c:showBubbleSize val="0"/>
            <c:showLeaderLines val="0"/>
          </c:dLbls>
          <c:cat>
            <c:strRef>
              <c:f>'Enterprise Survey'!$D$45:$D$47</c:f>
              <c:strCache>
                <c:ptCount val="3"/>
                <c:pt idx="0">
                  <c:v>Pequeña (5-19)</c:v>
                </c:pt>
                <c:pt idx="1">
                  <c:v>Mediana (20-99)</c:v>
                </c:pt>
                <c:pt idx="2">
                  <c:v>Grande (100+)</c:v>
                </c:pt>
              </c:strCache>
            </c:strRef>
          </c:cat>
          <c:val>
            <c:numRef>
              <c:f>'Enterprise Survey'!$F$61:$F$63</c:f>
              <c:numCache>
                <c:formatCode>General</c:formatCode>
                <c:ptCount val="3"/>
                <c:pt idx="0">
                  <c:v>17.5</c:v>
                </c:pt>
                <c:pt idx="1">
                  <c:v>18.8</c:v>
                </c:pt>
                <c:pt idx="2">
                  <c:v>18.5</c:v>
                </c:pt>
              </c:numCache>
            </c:numRef>
          </c:val>
        </c:ser>
        <c:ser>
          <c:idx val="2"/>
          <c:order val="2"/>
          <c:tx>
            <c:strRef>
              <c:f>'Enterprise Survey'!$G$72</c:f>
              <c:strCache>
                <c:ptCount val="1"/>
                <c:pt idx="0">
                  <c:v>Todos los países</c:v>
                </c:pt>
              </c:strCache>
            </c:strRef>
          </c:tx>
          <c:invertIfNegative val="0"/>
          <c:dLbls>
            <c:showLegendKey val="0"/>
            <c:showVal val="1"/>
            <c:showCatName val="0"/>
            <c:showSerName val="0"/>
            <c:showPercent val="0"/>
            <c:showBubbleSize val="0"/>
            <c:showLeaderLines val="0"/>
          </c:dLbls>
          <c:cat>
            <c:strRef>
              <c:f>'Enterprise Survey'!$D$45:$D$47</c:f>
              <c:strCache>
                <c:ptCount val="3"/>
                <c:pt idx="0">
                  <c:v>Pequeña (5-19)</c:v>
                </c:pt>
                <c:pt idx="1">
                  <c:v>Mediana (20-99)</c:v>
                </c:pt>
                <c:pt idx="2">
                  <c:v>Grande (100+)</c:v>
                </c:pt>
              </c:strCache>
            </c:strRef>
          </c:cat>
          <c:val>
            <c:numRef>
              <c:f>'Enterprise Survey'!$G$61:$G$63</c:f>
              <c:numCache>
                <c:formatCode>General</c:formatCode>
                <c:ptCount val="3"/>
                <c:pt idx="0">
                  <c:v>10.5</c:v>
                </c:pt>
                <c:pt idx="1">
                  <c:v>11.7</c:v>
                </c:pt>
                <c:pt idx="2">
                  <c:v>12.3</c:v>
                </c:pt>
              </c:numCache>
            </c:numRef>
          </c:val>
        </c:ser>
        <c:dLbls>
          <c:showLegendKey val="0"/>
          <c:showVal val="0"/>
          <c:showCatName val="0"/>
          <c:showSerName val="0"/>
          <c:showPercent val="0"/>
          <c:showBubbleSize val="0"/>
        </c:dLbls>
        <c:gapWidth val="150"/>
        <c:axId val="272856960"/>
        <c:axId val="272858496"/>
      </c:barChart>
      <c:catAx>
        <c:axId val="272856960"/>
        <c:scaling>
          <c:orientation val="minMax"/>
        </c:scaling>
        <c:delete val="0"/>
        <c:axPos val="b"/>
        <c:majorTickMark val="out"/>
        <c:minorTickMark val="none"/>
        <c:tickLblPos val="nextTo"/>
        <c:crossAx val="272858496"/>
        <c:crosses val="autoZero"/>
        <c:auto val="1"/>
        <c:lblAlgn val="ctr"/>
        <c:lblOffset val="100"/>
        <c:noMultiLvlLbl val="0"/>
      </c:catAx>
      <c:valAx>
        <c:axId val="272858496"/>
        <c:scaling>
          <c:orientation val="minMax"/>
        </c:scaling>
        <c:delete val="0"/>
        <c:axPos val="l"/>
        <c:majorGridlines/>
        <c:numFmt formatCode="General" sourceLinked="1"/>
        <c:majorTickMark val="out"/>
        <c:minorTickMark val="none"/>
        <c:tickLblPos val="nextTo"/>
        <c:crossAx val="272856960"/>
        <c:crosses val="autoZero"/>
        <c:crossBetween val="between"/>
      </c:valAx>
    </c:plotArea>
    <c:legend>
      <c:legendPos val="b"/>
      <c:overlay val="0"/>
    </c:legend>
    <c:plotVisOnly val="1"/>
    <c:dispBlanksAs val="gap"/>
    <c:showDLblsOverMax val="0"/>
  </c:chart>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8.2927134108236475E-2"/>
          <c:y val="3.5288099469985269E-2"/>
          <c:w val="0.88305926044958671"/>
          <c:h val="0.92942380106002942"/>
        </c:manualLayout>
      </c:layout>
      <c:barChart>
        <c:barDir val="col"/>
        <c:grouping val="clustered"/>
        <c:varyColors val="0"/>
        <c:ser>
          <c:idx val="0"/>
          <c:order val="0"/>
          <c:tx>
            <c:strRef>
              <c:f>'Graficos y tablas'!$O$42:$O$43</c:f>
              <c:strCache>
                <c:ptCount val="1"/>
                <c:pt idx="0">
                  <c:v>% típico de solicitudes de crédito rechazadas: actual</c:v>
                </c:pt>
              </c:strCache>
            </c:strRef>
          </c:tx>
          <c:invertIfNegative val="0"/>
          <c:dLbls>
            <c:dLbl>
              <c:idx val="1"/>
              <c:layout>
                <c:manualLayout>
                  <c:x val="0"/>
                  <c:y val="7.6281277701390829E-2"/>
                </c:manualLayout>
              </c:layout>
              <c:showLegendKey val="0"/>
              <c:showVal val="1"/>
              <c:showCatName val="0"/>
              <c:showSerName val="0"/>
              <c:showPercent val="0"/>
              <c:showBubbleSize val="0"/>
            </c:dLbl>
            <c:showLegendKey val="0"/>
            <c:showVal val="1"/>
            <c:showCatName val="0"/>
            <c:showSerName val="0"/>
            <c:showPercent val="0"/>
            <c:showBubbleSize val="0"/>
            <c:showLeaderLines val="0"/>
          </c:dLbls>
          <c:cat>
            <c:strRef>
              <c:f>'Graficos y tablas'!$N$44:$N$46</c:f>
              <c:strCache>
                <c:ptCount val="3"/>
                <c:pt idx="0">
                  <c:v>Micro</c:v>
                </c:pt>
                <c:pt idx="1">
                  <c:v>Pequeña</c:v>
                </c:pt>
                <c:pt idx="2">
                  <c:v>Mediana</c:v>
                </c:pt>
              </c:strCache>
            </c:strRef>
          </c:cat>
          <c:val>
            <c:numRef>
              <c:f>'Graficos y tablas'!$O$44:$O$46</c:f>
              <c:numCache>
                <c:formatCode>0.0</c:formatCode>
                <c:ptCount val="3"/>
                <c:pt idx="0">
                  <c:v>20.000000298023199</c:v>
                </c:pt>
                <c:pt idx="1">
                  <c:v>11.4999998360872</c:v>
                </c:pt>
                <c:pt idx="2">
                  <c:v>10.0000001490116</c:v>
                </c:pt>
              </c:numCache>
            </c:numRef>
          </c:val>
        </c:ser>
        <c:ser>
          <c:idx val="1"/>
          <c:order val="1"/>
          <c:tx>
            <c:strRef>
              <c:f>'Graficos y tablas'!$P$42:$P$43</c:f>
              <c:strCache>
                <c:ptCount val="1"/>
                <c:pt idx="0">
                  <c:v>% típico de solicitudes de crédito rechazadas: esperado</c:v>
                </c:pt>
              </c:strCache>
            </c:strRef>
          </c:tx>
          <c:invertIfNegative val="0"/>
          <c:dLbls>
            <c:dLbl>
              <c:idx val="1"/>
              <c:layout>
                <c:manualLayout>
                  <c:x val="0"/>
                  <c:y val="7.6281277701390829E-2"/>
                </c:manualLayout>
              </c:layout>
              <c:showLegendKey val="0"/>
              <c:showVal val="1"/>
              <c:showCatName val="0"/>
              <c:showSerName val="0"/>
              <c:showPercent val="0"/>
              <c:showBubbleSize val="0"/>
            </c:dLbl>
            <c:showLegendKey val="0"/>
            <c:showVal val="1"/>
            <c:showCatName val="0"/>
            <c:showSerName val="0"/>
            <c:showPercent val="0"/>
            <c:showBubbleSize val="0"/>
            <c:showLeaderLines val="0"/>
          </c:dLbls>
          <c:cat>
            <c:strRef>
              <c:f>'Graficos y tablas'!$N$44:$N$46</c:f>
              <c:strCache>
                <c:ptCount val="3"/>
                <c:pt idx="0">
                  <c:v>Micro</c:v>
                </c:pt>
                <c:pt idx="1">
                  <c:v>Pequeña</c:v>
                </c:pt>
                <c:pt idx="2">
                  <c:v>Mediana</c:v>
                </c:pt>
              </c:strCache>
            </c:strRef>
          </c:cat>
          <c:val>
            <c:numRef>
              <c:f>'Graficos y tablas'!$P$44:$P$46</c:f>
              <c:numCache>
                <c:formatCode>0.0</c:formatCode>
                <c:ptCount val="3"/>
                <c:pt idx="0">
                  <c:v>15.000000223517402</c:v>
                </c:pt>
                <c:pt idx="1">
                  <c:v>11.4999998360872</c:v>
                </c:pt>
                <c:pt idx="2">
                  <c:v>10.0000001490116</c:v>
                </c:pt>
              </c:numCache>
            </c:numRef>
          </c:val>
        </c:ser>
        <c:ser>
          <c:idx val="2"/>
          <c:order val="2"/>
          <c:tx>
            <c:strRef>
              <c:f>'Graficos y tablas'!$Q$42:$Q$43</c:f>
              <c:strCache>
                <c:ptCount val="1"/>
                <c:pt idx="0">
                  <c:v>% típico de solicitudes de crédito rechazadas: cambio esperado (puntos)</c:v>
                </c:pt>
              </c:strCache>
            </c:strRef>
          </c:tx>
          <c:invertIfNegative val="0"/>
          <c:dLbls>
            <c:showLegendKey val="0"/>
            <c:showVal val="1"/>
            <c:showCatName val="0"/>
            <c:showSerName val="0"/>
            <c:showPercent val="0"/>
            <c:showBubbleSize val="0"/>
            <c:showLeaderLines val="0"/>
          </c:dLbls>
          <c:cat>
            <c:strRef>
              <c:f>'Graficos y tablas'!$N$44:$N$46</c:f>
              <c:strCache>
                <c:ptCount val="3"/>
                <c:pt idx="0">
                  <c:v>Micro</c:v>
                </c:pt>
                <c:pt idx="1">
                  <c:v>Pequeña</c:v>
                </c:pt>
                <c:pt idx="2">
                  <c:v>Mediana</c:v>
                </c:pt>
              </c:strCache>
            </c:strRef>
          </c:cat>
          <c:val>
            <c:numRef>
              <c:f>'Graficos y tablas'!$Q$44:$Q$46</c:f>
              <c:numCache>
                <c:formatCode>0.0</c:formatCode>
                <c:ptCount val="3"/>
                <c:pt idx="0">
                  <c:v>-5.0000000745057971</c:v>
                </c:pt>
                <c:pt idx="1">
                  <c:v>0</c:v>
                </c:pt>
                <c:pt idx="2">
                  <c:v>0</c:v>
                </c:pt>
              </c:numCache>
            </c:numRef>
          </c:val>
        </c:ser>
        <c:dLbls>
          <c:showLegendKey val="0"/>
          <c:showVal val="0"/>
          <c:showCatName val="0"/>
          <c:showSerName val="0"/>
          <c:showPercent val="0"/>
          <c:showBubbleSize val="0"/>
        </c:dLbls>
        <c:gapWidth val="150"/>
        <c:axId val="286165248"/>
        <c:axId val="286171136"/>
      </c:barChart>
      <c:catAx>
        <c:axId val="286165248"/>
        <c:scaling>
          <c:orientation val="minMax"/>
        </c:scaling>
        <c:delete val="0"/>
        <c:axPos val="b"/>
        <c:majorTickMark val="out"/>
        <c:minorTickMark val="none"/>
        <c:tickLblPos val="nextTo"/>
        <c:crossAx val="286171136"/>
        <c:crosses val="autoZero"/>
        <c:auto val="1"/>
        <c:lblAlgn val="ctr"/>
        <c:lblOffset val="100"/>
        <c:noMultiLvlLbl val="0"/>
      </c:catAx>
      <c:valAx>
        <c:axId val="286171136"/>
        <c:scaling>
          <c:orientation val="minMax"/>
        </c:scaling>
        <c:delete val="0"/>
        <c:axPos val="l"/>
        <c:numFmt formatCode="0.0" sourceLinked="1"/>
        <c:majorTickMark val="out"/>
        <c:minorTickMark val="none"/>
        <c:tickLblPos val="nextTo"/>
        <c:crossAx val="286165248"/>
        <c:crosses val="autoZero"/>
        <c:crossBetween val="between"/>
      </c:valAx>
    </c:plotArea>
    <c:legend>
      <c:legendPos val="r"/>
      <c:layout>
        <c:manualLayout>
          <c:xMode val="edge"/>
          <c:yMode val="edge"/>
          <c:x val="0.24943310657596371"/>
          <c:y val="2.9856812433647949E-3"/>
          <c:w val="0.74829931972789121"/>
          <c:h val="0.2757130222251809"/>
        </c:manualLayout>
      </c:layout>
      <c:overlay val="0"/>
    </c:legend>
    <c:plotVisOnly val="1"/>
    <c:dispBlanksAs val="gap"/>
    <c:showDLblsOverMax val="0"/>
  </c:chart>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B05F041F9228A645AEF832AE5BDDEC50" ma:contentTypeVersion="0" ma:contentTypeDescription="A content type to manage public (operations) IDB documents" ma:contentTypeScope="" ma:versionID="5bfb78ad375338c4a45671be749eb2a1">
  <xsd:schema xmlns:xsd="http://www.w3.org/2001/XMLSchema" xmlns:xs="http://www.w3.org/2001/XMLSchema" xmlns:p="http://schemas.microsoft.com/office/2006/metadata/properties" xmlns:ns2="9c571b2f-e523-4ab2-ba2e-09e151a03ef4" targetNamespace="http://schemas.microsoft.com/office/2006/metadata/properties" ma:root="true" ma:fieldsID="5dc240e628757ba7ec5e5939143c27f4"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804a3a5b-86bb-404a-93c9-b33ba2dc986f}" ma:internalName="TaxCatchAll" ma:showField="CatchAllData" ma:web="7e4303c5-54d5-4ea9-afa6-e8c3c05c9e51">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804a3a5b-86bb-404a-93c9-b33ba2dc986f}" ma:internalName="TaxCatchAllLabel" ma:readOnly="true" ma:showField="CatchAllDataLabel" ma:web="7e4303c5-54d5-4ea9-afa6-e8c3c05c9e51">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spe:Receivers xmlns:spe="http://schemas.microsoft.com/sharepoint/events"/>
</file>

<file path=customXml/item4.xml><?xml version="1.0" encoding="utf-8"?>
<?mso-contentType ?>
<SharedContentType xmlns="Microsoft.SharePoint.Taxonomy.ContentTypeSync" SourceId="cf0be0ad-272c-4e7f-a157-3f0abda6cde5" ContentTypeId="0x01010046CF21643EE8D14686A648AA6DAD0892" PreviousValue="false"/>
</file>

<file path=customXml/item5.xml><?xml version="1.0" encoding="utf-8"?>
<CoverPageProperties xmlns="http://schemas.microsoft.com/office/2006/coverPageProps">
  <PublishDate>4 de marzo de 2014</PublishDate>
  <Abstract/>
  <CompanyAddress/>
  <CompanyPhone/>
  <CompanyFax/>
  <CompanyEmail/>
</CoverPageProperties>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p:properties xmlns:p="http://schemas.microsoft.com/office/2006/metadata/properties" xmlns:xsi="http://www.w3.org/2001/XMLSchema-instance" xmlns:pc="http://schemas.microsoft.com/office/infopath/2007/PartnerControls">
  <documentManagement>
    <c456731dbc904a5fb605ec556c33e883 xmlns="9c571b2f-e523-4ab2-ba2e-09e151a03ef4">
      <Terms xmlns="http://schemas.microsoft.com/office/infopath/2007/PartnerControls"/>
    </c456731dbc904a5fb605ec556c33e883>
    <Project_x0020_Document_x0020_Type xmlns="9c571b2f-e523-4ab2-ba2e-09e151a03ef4" xsi:nil="true"/>
    <Business_x0020_Area xmlns="9c571b2f-e523-4ab2-ba2e-09e151a03ef4" xsi:nil="true"/>
    <IDBDocs_x0020_Number xmlns="9c571b2f-e523-4ab2-ba2e-09e151a03ef4">38805523</IDBDocs_x0020_Number>
    <TaxCatchAll xmlns="9c571b2f-e523-4ab2-ba2e-09e151a03ef4">
      <Value>5</Value>
      <Value>4</Value>
    </TaxCatchAll>
    <Phase xmlns="9c571b2f-e523-4ab2-ba2e-09e151a03ef4" xsi:nil="true"/>
    <SISCOR_x0020_Number xmlns="9c571b2f-e523-4ab2-ba2e-09e151a03ef4" xsi:nil="true"/>
    <Division_x0020_or_x0020_Unit xmlns="9c571b2f-e523-4ab2-ba2e-09e151a03ef4">IFD/CMF</Division_x0020_or_x0020_Unit>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o5138a91267540169645e33d09c9ddc6>
    <Approval_x0020_Number xmlns="9c571b2f-e523-4ab2-ba2e-09e151a03ef4" xsi:nil="true"/>
    <Document_x0020_Author xmlns="9c571b2f-e523-4ab2-ba2e-09e151a03ef4">Netto de A. C. Schneider, Maria E.</Document_x0020_Author>
    <e559ffcc31d34167856647188be35015 xmlns="9c571b2f-e523-4ab2-ba2e-09e151a03ef4">
      <Terms xmlns="http://schemas.microsoft.com/office/infopath/2007/PartnerControls"/>
    </e559ffcc31d34167856647188be35015>
    <Fiscal_x0020_Year_x0020_IDB xmlns="9c571b2f-e523-4ab2-ba2e-09e151a03ef4">2014</Fiscal_x0020_Year_x0020_IDB>
    <Other_x0020_Author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fd0e48b6a66848a9885f717e5bbf40c4>
    <Project_x0020_Number xmlns="9c571b2f-e523-4ab2-ba2e-09e151a03ef4">ES-L1089</Project_x0020_Number>
    <Access_x0020_to_x0020_Information_x00a0_Policy xmlns="9c571b2f-e523-4ab2-ba2e-09e151a03ef4">Public</Access_x0020_to_x0020_Information_x00a0_Policy>
    <Package_x0020_Code xmlns="9c571b2f-e523-4ab2-ba2e-09e151a03ef4" xsi:nil="true"/>
    <m555d3814edf4817b4410a4e57f94ce9 xmlns="9c571b2f-e523-4ab2-ba2e-09e151a03ef4">
      <Terms xmlns="http://schemas.microsoft.com/office/infopath/2007/PartnerControls"/>
    </m555d3814edf4817b4410a4e57f94ce9>
    <Key_x0020_Document xmlns="9c571b2f-e523-4ab2-ba2e-09e151a03ef4">false</Key_x0020_Document>
    <j8b96605ee2f4c4e988849e658583fee xmlns="9c571b2f-e523-4ab2-ba2e-09e151a03ef4">
      <Terms xmlns="http://schemas.microsoft.com/office/infopath/2007/PartnerControls"/>
    </j8b96605ee2f4c4e988849e658583fee>
    <Migration_x0020_Info xmlns="9c571b2f-e523-4ab2-ba2e-09e151a03ef4">&lt;Data&gt;&lt;APPLICATION&gt;MS WORD&lt;/APPLICATION&gt;&lt;USER_STAGE&gt;Loan Proposal&lt;/USER_STAGE&gt;&lt;APPROVAL_CODE&gt;DE&lt;/APPROVAL_CODE&gt;&lt;APPROVAL_DESC&gt;Board of Executive Directors&lt;/APPROVAL_DESC&gt;&lt;PD_OBJ_TYPE&gt;0&lt;/PD_OBJ_TYPE&gt;&lt;MAKERECORD&gt;Y&lt;/MAKERECORD&gt;&lt;/Data&gt;</Migration_x0020_Info>
    <Operation_x0020_Type xmlns="9c571b2f-e523-4ab2-ba2e-09e151a03ef4" xsi:nil="true"/>
    <Document_x0020_Language_x0020_IDB xmlns="9c571b2f-e523-4ab2-ba2e-09e151a03ef4">Spanish</Document_x0020_Language_x0020_IDB>
    <Identifier xmlns="9c571b2f-e523-4ab2-ba2e-09e151a03ef4"> TECFILE</Identifier>
    <Disclosure_x0020_Activity xmlns="9c571b2f-e523-4ab2-ba2e-09e151a03ef4">Loan Proposal</Disclosure_x0020_Activity>
    <Webtopic xmlns="9c571b2f-e523-4ab2-ba2e-09e151a03ef4">AG-ADM</Webtopic>
    <Issue_x0020_Date xmlns="9c571b2f-e523-4ab2-ba2e-09e151a03ef4" xsi:nil="true"/>
    <Publication_x0020_Type xmlns="9c571b2f-e523-4ab2-ba2e-09e151a03ef4" xsi:nil="true"/>
    <Abstract xmlns="9c571b2f-e523-4ab2-ba2e-09e151a03ef4" xsi:nil="true"/>
    <KP_x0020_Topics xmlns="9c571b2f-e523-4ab2-ba2e-09e151a03ef4" xsi:nil="true"/>
    <Editor1 xmlns="9c571b2f-e523-4ab2-ba2e-09e151a03ef4" xsi:nil="true"/>
    <Region xmlns="9c571b2f-e523-4ab2-ba2e-09e151a03ef4" xsi:nil="true"/>
    <Publishing_x0020_House xmlns="9c571b2f-e523-4ab2-ba2e-09e151a03ef4" xsi:nil="true"/>
  </documentManagement>
</p:properties>
</file>

<file path=customXml/itemProps1.xml><?xml version="1.0" encoding="utf-8"?>
<ds:datastoreItem xmlns:ds="http://schemas.openxmlformats.org/officeDocument/2006/customXml" ds:itemID="{AA3443C4-F198-482B-B6A9-2951457ECED7}"/>
</file>

<file path=customXml/itemProps2.xml><?xml version="1.0" encoding="utf-8"?>
<ds:datastoreItem xmlns:ds="http://schemas.openxmlformats.org/officeDocument/2006/customXml" ds:itemID="{3EAB2D34-244B-49B1-85E5-4008C29B868D}"/>
</file>

<file path=customXml/itemProps3.xml><?xml version="1.0" encoding="utf-8"?>
<ds:datastoreItem xmlns:ds="http://schemas.openxmlformats.org/officeDocument/2006/customXml" ds:itemID="{CF3C24AA-91A3-4979-999B-F0F27BB21C5C}"/>
</file>

<file path=customXml/itemProps4.xml><?xml version="1.0" encoding="utf-8"?>
<ds:datastoreItem xmlns:ds="http://schemas.openxmlformats.org/officeDocument/2006/customXml" ds:itemID="{CCD56C19-C2DB-4D79-9EDB-67E9C9E7D25F}"/>
</file>

<file path=customXml/itemProps5.xml><?xml version="1.0" encoding="utf-8"?>
<ds:datastoreItem xmlns:ds="http://schemas.openxmlformats.org/officeDocument/2006/customXml" ds:itemID="{55AF091B-3C7A-41E3-B477-F2FDAA23CFDA}"/>
</file>

<file path=customXml/itemProps6.xml><?xml version="1.0" encoding="utf-8"?>
<ds:datastoreItem xmlns:ds="http://schemas.openxmlformats.org/officeDocument/2006/customXml" ds:itemID="{988225C6-1F2A-4961-9AEA-D71E8A0F03CF}"/>
</file>

<file path=customXml/itemProps7.xml><?xml version="1.0" encoding="utf-8"?>
<ds:datastoreItem xmlns:ds="http://schemas.openxmlformats.org/officeDocument/2006/customXml" ds:itemID="{23D8D92E-989B-4E16-AF21-2163E1C14D31}"/>
</file>

<file path=docProps/app.xml><?xml version="1.0" encoding="utf-8"?>
<Properties xmlns="http://schemas.openxmlformats.org/officeDocument/2006/extended-properties" xmlns:vt="http://schemas.openxmlformats.org/officeDocument/2006/docPropsVTypes">
  <Template>Normal.dotm</Template>
  <TotalTime>3</TotalTime>
  <Pages>28</Pages>
  <Words>4762</Words>
  <Characters>27145</Characters>
  <Application>Microsoft Office Word</Application>
  <DocSecurity>0</DocSecurity>
  <Lines>226</Lines>
  <Paragraphs>63</Paragraphs>
  <ScaleCrop>false</ScaleCrop>
  <HeadingPairs>
    <vt:vector size="2" baseType="variant">
      <vt:variant>
        <vt:lpstr>Title</vt:lpstr>
      </vt:variant>
      <vt:variant>
        <vt:i4>1</vt:i4>
      </vt:variant>
    </vt:vector>
  </HeadingPairs>
  <TitlesOfParts>
    <vt:vector size="1" baseType="lpstr">
      <vt:lpstr>REPÚBLICA DE EL SALVADOR                                                                                       ANÁLISIS DE DEMANDA DE CRÉDITO DE INVERSIÓN PARA MIPYMES</vt:lpstr>
    </vt:vector>
  </TitlesOfParts>
  <Company/>
  <LinksUpToDate>false</LinksUpToDate>
  <CharactersWithSpaces>31844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Link_ Análisis de Demanda de Crédito de Inversión para MIPYMES_ </dc:title>
  <dc:creator>Carlos Puig y Pablo Carrión</dc:creator>
  <cp:lastModifiedBy>Test</cp:lastModifiedBy>
  <cp:revision>4</cp:revision>
  <cp:lastPrinted>2014-04-29T14:53:00Z</cp:lastPrinted>
  <dcterms:created xsi:type="dcterms:W3CDTF">2014-05-19T18:30:00Z</dcterms:created>
  <dcterms:modified xsi:type="dcterms:W3CDTF">2014-06-16T17:40:00Z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0x01010046CF21643EE8D14686A648AA6DAD089200B05F041F9228A645AEF832AE5BDDEC50</vt:lpwstr>
  </property>
  <property fmtid="{D5CDD505-2E9C-101B-9397-08002B2CF9AE}" pid="3" name="TaxKeyword">
    <vt:lpwstr/>
  </property>
  <property fmtid="{D5CDD505-2E9C-101B-9397-08002B2CF9AE}" pid="4" name="Function Operations IDB">
    <vt:lpwstr>5;#IDBDocs|cca77002-e150-4b2d-ab1f-1d7a7cdcae16</vt:lpwstr>
  </property>
  <property fmtid="{D5CDD505-2E9C-101B-9397-08002B2CF9AE}" pid="5" name="Sub_x002d_Sector">
    <vt:lpwstr/>
  </property>
  <property fmtid="{D5CDD505-2E9C-101B-9397-08002B2CF9AE}" pid="6" name="TaxKeywordTaxHTField">
    <vt:lpwstr/>
  </property>
  <property fmtid="{D5CDD505-2E9C-101B-9397-08002B2CF9AE}" pid="7" name="Series Operations IDB">
    <vt:lpwstr>4;#Unclassified|a6dff32e-d477-44cd-a56b-85efe9e0a56c</vt:lpwstr>
  </property>
  <property fmtid="{D5CDD505-2E9C-101B-9397-08002B2CF9AE}" pid="9" name="Country">
    <vt:lpwstr/>
  </property>
  <property fmtid="{D5CDD505-2E9C-101B-9397-08002B2CF9AE}" pid="10" name="Fund IDB">
    <vt:lpwstr/>
  </property>
  <property fmtid="{D5CDD505-2E9C-101B-9397-08002B2CF9AE}" pid="11" name="Series_x0020_Operations_x0020_IDB">
    <vt:lpwstr>4;#Unclassified|a6dff32e-d477-44cd-a56b-85efe9e0a56c</vt:lpwstr>
  </property>
  <property fmtid="{D5CDD505-2E9C-101B-9397-08002B2CF9AE}" pid="12" name="To:">
    <vt:lpwstr/>
  </property>
  <property fmtid="{D5CDD505-2E9C-101B-9397-08002B2CF9AE}" pid="13" name="From:">
    <vt:lpwstr/>
  </property>
  <property fmtid="{D5CDD505-2E9C-101B-9397-08002B2CF9AE}" pid="14" name="Sector IDB">
    <vt:lpwstr/>
  </property>
  <property fmtid="{D5CDD505-2E9C-101B-9397-08002B2CF9AE}" pid="15" name="Sub-Sector">
    <vt:lpwstr/>
  </property>
</Properties>
</file>