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2D" w:rsidRPr="00A05174" w:rsidRDefault="001C7240" w:rsidP="00231779">
      <w:pPr>
        <w:spacing w:before="120" w:after="240" w:line="360" w:lineRule="auto"/>
        <w:jc w:val="center"/>
        <w:rPr>
          <w:rFonts w:ascii="Times New Roman" w:hAnsi="Times New Roman" w:cs="Times New Roman"/>
          <w:b/>
          <w:smallCaps/>
          <w:sz w:val="24"/>
          <w:szCs w:val="24"/>
          <w:lang w:val="es-ES_tradnl"/>
        </w:rPr>
      </w:pPr>
      <w:r w:rsidRPr="00A05174">
        <w:rPr>
          <w:rFonts w:ascii="Times New Roman" w:hAnsi="Times New Roman" w:cs="Times New Roman"/>
          <w:b/>
          <w:smallCaps/>
          <w:sz w:val="24"/>
          <w:szCs w:val="24"/>
          <w:lang w:val="es-ES_tradnl"/>
        </w:rPr>
        <w:t>Estructura y Desempeño Reciente del Sistema Financiero de El Salvador</w:t>
      </w:r>
    </w:p>
    <w:p w:rsidR="009C02BF" w:rsidRDefault="002E6E1F"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813B8B">
        <w:rPr>
          <w:rFonts w:ascii="Times New Roman" w:eastAsia="Times New Roman" w:hAnsi="Times New Roman" w:cs="Times New Roman"/>
          <w:b/>
          <w:sz w:val="24"/>
          <w:szCs w:val="20"/>
          <w:lang w:val="es-ES"/>
        </w:rPr>
        <w:t>El sistema financiero de El Salvador</w:t>
      </w:r>
      <w:r w:rsidRPr="00813B8B">
        <w:rPr>
          <w:rFonts w:ascii="Times New Roman" w:eastAsia="Times New Roman" w:hAnsi="Times New Roman" w:cs="Times New Roman"/>
          <w:sz w:val="24"/>
          <w:szCs w:val="20"/>
          <w:lang w:val="es-ES"/>
        </w:rPr>
        <w:t xml:space="preserve"> se compone de un total de 43 entidades. De aquellas, 22 son receptoras de depósitos entre bancos (12), bancos </w:t>
      </w:r>
      <w:r w:rsidR="004D144D">
        <w:rPr>
          <w:rFonts w:ascii="Times New Roman" w:eastAsia="Times New Roman" w:hAnsi="Times New Roman" w:cs="Times New Roman"/>
          <w:sz w:val="24"/>
          <w:szCs w:val="20"/>
          <w:lang w:val="es-ES"/>
        </w:rPr>
        <w:t xml:space="preserve">de los </w:t>
      </w:r>
      <w:r w:rsidR="008E5BB0">
        <w:rPr>
          <w:rFonts w:ascii="Times New Roman" w:eastAsia="Times New Roman" w:hAnsi="Times New Roman" w:cs="Times New Roman"/>
          <w:sz w:val="24"/>
          <w:szCs w:val="20"/>
          <w:lang w:val="es-ES"/>
        </w:rPr>
        <w:t>t</w:t>
      </w:r>
      <w:r w:rsidR="004D144D">
        <w:rPr>
          <w:rFonts w:ascii="Times New Roman" w:eastAsia="Times New Roman" w:hAnsi="Times New Roman" w:cs="Times New Roman"/>
          <w:sz w:val="24"/>
          <w:szCs w:val="20"/>
          <w:lang w:val="es-ES"/>
        </w:rPr>
        <w:t>rabajadores</w:t>
      </w:r>
      <w:r w:rsidRPr="00813B8B">
        <w:rPr>
          <w:rFonts w:ascii="Times New Roman" w:eastAsia="Times New Roman" w:hAnsi="Times New Roman" w:cs="Times New Roman"/>
          <w:sz w:val="24"/>
          <w:szCs w:val="20"/>
          <w:lang w:val="es-ES"/>
        </w:rPr>
        <w:t xml:space="preserve"> (7) y sociedades de ahorro y crédito (3), todas supervisadas y fiscalizadas por la Superintendencia del Sistema Financiero de El Salvador (SSF). </w:t>
      </w:r>
    </w:p>
    <w:p w:rsidR="002E6E1F" w:rsidRPr="00813B8B" w:rsidRDefault="006F2015"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 xml:space="preserve">Coexisten con </w:t>
      </w:r>
      <w:r w:rsidR="009C02BF">
        <w:rPr>
          <w:rFonts w:ascii="Times New Roman" w:eastAsia="Times New Roman" w:hAnsi="Times New Roman" w:cs="Times New Roman"/>
          <w:sz w:val="24"/>
          <w:szCs w:val="20"/>
          <w:lang w:val="es-ES"/>
        </w:rPr>
        <w:t>e</w:t>
      </w:r>
      <w:r>
        <w:rPr>
          <w:rFonts w:ascii="Times New Roman" w:eastAsia="Times New Roman" w:hAnsi="Times New Roman" w:cs="Times New Roman"/>
          <w:sz w:val="24"/>
          <w:szCs w:val="20"/>
          <w:lang w:val="es-ES"/>
        </w:rPr>
        <w:t>stas</w:t>
      </w:r>
      <w:r w:rsidR="009C02BF">
        <w:rPr>
          <w:rFonts w:ascii="Times New Roman" w:eastAsia="Times New Roman" w:hAnsi="Times New Roman" w:cs="Times New Roman"/>
          <w:sz w:val="24"/>
          <w:szCs w:val="20"/>
          <w:lang w:val="es-ES"/>
        </w:rPr>
        <w:t xml:space="preserve"> entidades</w:t>
      </w:r>
      <w:r w:rsidR="00085E5D">
        <w:rPr>
          <w:rFonts w:ascii="Times New Roman" w:eastAsia="Times New Roman" w:hAnsi="Times New Roman" w:cs="Times New Roman"/>
          <w:sz w:val="24"/>
          <w:szCs w:val="20"/>
          <w:lang w:val="es-ES"/>
        </w:rPr>
        <w:t>,</w:t>
      </w:r>
      <w:r>
        <w:rPr>
          <w:rFonts w:ascii="Times New Roman" w:eastAsia="Times New Roman" w:hAnsi="Times New Roman" w:cs="Times New Roman"/>
          <w:sz w:val="24"/>
          <w:szCs w:val="20"/>
          <w:lang w:val="es-ES"/>
        </w:rPr>
        <w:t xml:space="preserve"> </w:t>
      </w:r>
      <w:r w:rsidR="00A76585">
        <w:rPr>
          <w:rFonts w:ascii="Times New Roman" w:eastAsia="Times New Roman" w:hAnsi="Times New Roman" w:cs="Times New Roman"/>
          <w:sz w:val="24"/>
          <w:szCs w:val="20"/>
          <w:lang w:val="es-ES"/>
        </w:rPr>
        <w:t>dos</w:t>
      </w:r>
      <w:r>
        <w:rPr>
          <w:rFonts w:ascii="Times New Roman" w:eastAsia="Times New Roman" w:hAnsi="Times New Roman" w:cs="Times New Roman"/>
          <w:sz w:val="24"/>
          <w:szCs w:val="20"/>
          <w:lang w:val="es-ES"/>
        </w:rPr>
        <w:t xml:space="preserve"> tipos de</w:t>
      </w:r>
      <w:r w:rsidR="002E6E1F" w:rsidRPr="00813B8B">
        <w:rPr>
          <w:rFonts w:ascii="Times New Roman" w:eastAsia="Times New Roman" w:hAnsi="Times New Roman" w:cs="Times New Roman"/>
          <w:sz w:val="24"/>
          <w:szCs w:val="20"/>
          <w:lang w:val="es-ES"/>
        </w:rPr>
        <w:t xml:space="preserve"> entidades</w:t>
      </w:r>
      <w:r w:rsidR="00A26127">
        <w:rPr>
          <w:rFonts w:ascii="Times New Roman" w:eastAsia="Times New Roman" w:hAnsi="Times New Roman" w:cs="Times New Roman"/>
          <w:sz w:val="24"/>
          <w:szCs w:val="20"/>
          <w:lang w:val="es-ES"/>
        </w:rPr>
        <w:t xml:space="preserve"> que </w:t>
      </w:r>
      <w:r w:rsidR="002E6E1F" w:rsidRPr="00813B8B">
        <w:rPr>
          <w:rFonts w:ascii="Times New Roman" w:eastAsia="Times New Roman" w:hAnsi="Times New Roman" w:cs="Times New Roman"/>
          <w:sz w:val="24"/>
          <w:szCs w:val="20"/>
          <w:lang w:val="es-ES"/>
        </w:rPr>
        <w:t xml:space="preserve"> no</w:t>
      </w:r>
      <w:r w:rsidR="00A26127">
        <w:rPr>
          <w:rFonts w:ascii="Times New Roman" w:eastAsia="Times New Roman" w:hAnsi="Times New Roman" w:cs="Times New Roman"/>
          <w:sz w:val="24"/>
          <w:szCs w:val="20"/>
          <w:lang w:val="es-ES"/>
        </w:rPr>
        <w:t xml:space="preserve"> necesariamente están</w:t>
      </w:r>
      <w:r w:rsidR="002E6E1F" w:rsidRPr="00813B8B">
        <w:rPr>
          <w:rFonts w:ascii="Times New Roman" w:eastAsia="Times New Roman" w:hAnsi="Times New Roman" w:cs="Times New Roman"/>
          <w:sz w:val="24"/>
          <w:szCs w:val="20"/>
          <w:lang w:val="es-ES"/>
        </w:rPr>
        <w:t xml:space="preserve"> supervisadas</w:t>
      </w:r>
      <w:r w:rsidR="00A26127">
        <w:rPr>
          <w:rFonts w:ascii="Times New Roman" w:eastAsia="Times New Roman" w:hAnsi="Times New Roman" w:cs="Times New Roman"/>
          <w:sz w:val="24"/>
          <w:szCs w:val="20"/>
          <w:lang w:val="es-ES"/>
        </w:rPr>
        <w:t xml:space="preserve"> por la SSF</w:t>
      </w:r>
      <w:r>
        <w:rPr>
          <w:rFonts w:ascii="Times New Roman" w:eastAsia="Times New Roman" w:hAnsi="Times New Roman" w:cs="Times New Roman"/>
          <w:sz w:val="24"/>
          <w:szCs w:val="20"/>
          <w:lang w:val="es-ES"/>
        </w:rPr>
        <w:t xml:space="preserve">: (i) </w:t>
      </w:r>
      <w:r w:rsidR="00A76585">
        <w:rPr>
          <w:rFonts w:ascii="Times New Roman" w:eastAsia="Times New Roman" w:hAnsi="Times New Roman" w:cs="Times New Roman"/>
          <w:sz w:val="24"/>
          <w:szCs w:val="20"/>
          <w:lang w:val="es-ES"/>
        </w:rPr>
        <w:t>Bancos Cooperativos</w:t>
      </w:r>
      <w:r w:rsidR="00A76585">
        <w:rPr>
          <w:rStyle w:val="FootnoteReference"/>
          <w:rFonts w:ascii="Times New Roman" w:eastAsia="Times New Roman" w:hAnsi="Times New Roman" w:cs="Times New Roman"/>
          <w:sz w:val="24"/>
          <w:szCs w:val="20"/>
          <w:lang w:val="es-ES"/>
        </w:rPr>
        <w:footnoteReference w:id="1"/>
      </w:r>
      <w:r w:rsidR="00A76585">
        <w:rPr>
          <w:rFonts w:ascii="Times New Roman" w:eastAsia="Times New Roman" w:hAnsi="Times New Roman" w:cs="Times New Roman"/>
          <w:sz w:val="24"/>
          <w:szCs w:val="20"/>
          <w:lang w:val="es-ES"/>
        </w:rPr>
        <w:t>: que comprenden las Sociedades Cooperativas de Ahorro y Crédito</w:t>
      </w:r>
      <w:r w:rsidR="00085E5D">
        <w:rPr>
          <w:rFonts w:ascii="Times New Roman" w:eastAsia="Times New Roman" w:hAnsi="Times New Roman" w:cs="Times New Roman"/>
          <w:sz w:val="24"/>
          <w:szCs w:val="20"/>
          <w:lang w:val="es-ES"/>
        </w:rPr>
        <w:t xml:space="preserve"> (Cajas de Crédito/Bancos de los Trabajadores)</w:t>
      </w:r>
      <w:r w:rsidR="00A76585">
        <w:rPr>
          <w:rFonts w:ascii="Times New Roman" w:eastAsia="Times New Roman" w:hAnsi="Times New Roman" w:cs="Times New Roman"/>
          <w:sz w:val="24"/>
          <w:szCs w:val="20"/>
          <w:lang w:val="es-ES"/>
        </w:rPr>
        <w:t xml:space="preserve"> y las</w:t>
      </w:r>
      <w:r>
        <w:rPr>
          <w:rFonts w:ascii="Times New Roman" w:eastAsia="Times New Roman" w:hAnsi="Times New Roman" w:cs="Times New Roman"/>
          <w:sz w:val="24"/>
          <w:szCs w:val="20"/>
          <w:lang w:val="es-ES"/>
        </w:rPr>
        <w:t xml:space="preserve"> </w:t>
      </w:r>
      <w:r w:rsidR="00085E5D">
        <w:rPr>
          <w:rFonts w:ascii="Times New Roman" w:eastAsia="Times New Roman" w:hAnsi="Times New Roman" w:cs="Times New Roman"/>
          <w:sz w:val="24"/>
          <w:szCs w:val="20"/>
          <w:lang w:val="es-ES"/>
        </w:rPr>
        <w:t>Asociaciones Cooperativas de Ahorro y Crédito</w:t>
      </w:r>
      <w:r w:rsidR="003505A2">
        <w:rPr>
          <w:rFonts w:ascii="Times New Roman" w:eastAsia="Times New Roman" w:hAnsi="Times New Roman" w:cs="Times New Roman"/>
          <w:sz w:val="24"/>
          <w:szCs w:val="20"/>
          <w:lang w:val="es-ES"/>
        </w:rPr>
        <w:t>;</w:t>
      </w:r>
      <w:r w:rsidR="00085E5D">
        <w:rPr>
          <w:rFonts w:ascii="Times New Roman" w:eastAsia="Times New Roman" w:hAnsi="Times New Roman" w:cs="Times New Roman"/>
          <w:sz w:val="24"/>
          <w:szCs w:val="20"/>
          <w:lang w:val="es-ES"/>
        </w:rPr>
        <w:t xml:space="preserve"> y </w:t>
      </w:r>
      <w:r w:rsidR="00A76585">
        <w:rPr>
          <w:rFonts w:ascii="Times New Roman" w:eastAsia="Times New Roman" w:hAnsi="Times New Roman" w:cs="Times New Roman"/>
          <w:sz w:val="24"/>
          <w:szCs w:val="20"/>
          <w:lang w:val="es-ES"/>
        </w:rPr>
        <w:t>(ii</w:t>
      </w:r>
      <w:r>
        <w:rPr>
          <w:rFonts w:ascii="Times New Roman" w:eastAsia="Times New Roman" w:hAnsi="Times New Roman" w:cs="Times New Roman"/>
          <w:sz w:val="24"/>
          <w:szCs w:val="20"/>
          <w:lang w:val="es-ES"/>
        </w:rPr>
        <w:t xml:space="preserve">) </w:t>
      </w:r>
      <w:r w:rsidR="00A76585">
        <w:rPr>
          <w:rFonts w:ascii="Times New Roman" w:eastAsia="Times New Roman" w:hAnsi="Times New Roman" w:cs="Times New Roman"/>
          <w:sz w:val="24"/>
          <w:szCs w:val="20"/>
          <w:lang w:val="es-ES"/>
        </w:rPr>
        <w:t>Federaciones de Bancos Cooperativos</w:t>
      </w:r>
      <w:r>
        <w:rPr>
          <w:rFonts w:ascii="Times New Roman" w:eastAsia="Times New Roman" w:hAnsi="Times New Roman" w:cs="Times New Roman"/>
          <w:sz w:val="24"/>
          <w:szCs w:val="20"/>
          <w:lang w:val="es-ES"/>
        </w:rPr>
        <w:t xml:space="preserve">. </w:t>
      </w:r>
      <w:r w:rsidR="00085E5D">
        <w:rPr>
          <w:rFonts w:ascii="Times New Roman" w:eastAsia="Times New Roman" w:hAnsi="Times New Roman" w:cs="Times New Roman"/>
          <w:sz w:val="24"/>
          <w:szCs w:val="20"/>
          <w:lang w:val="es-ES"/>
        </w:rPr>
        <w:t xml:space="preserve">Las </w:t>
      </w:r>
      <w:r w:rsidR="00C51224">
        <w:rPr>
          <w:rFonts w:ascii="Times New Roman" w:eastAsia="Times New Roman" w:hAnsi="Times New Roman" w:cs="Times New Roman"/>
          <w:sz w:val="24"/>
          <w:szCs w:val="20"/>
          <w:lang w:val="es-ES"/>
        </w:rPr>
        <w:t>Sociedades Cooperativas de Ahorro y Crédito</w:t>
      </w:r>
      <w:r w:rsidR="00085E5D">
        <w:rPr>
          <w:rFonts w:ascii="Times New Roman" w:eastAsia="Times New Roman" w:hAnsi="Times New Roman" w:cs="Times New Roman"/>
          <w:sz w:val="24"/>
          <w:szCs w:val="20"/>
          <w:lang w:val="es-ES"/>
        </w:rPr>
        <w:t>, correspondientes a 48 Cajas de Crédito</w:t>
      </w:r>
      <w:r w:rsidR="00547192">
        <w:rPr>
          <w:rStyle w:val="FootnoteReference"/>
          <w:rFonts w:ascii="Times New Roman" w:eastAsia="Times New Roman" w:hAnsi="Times New Roman" w:cs="Times New Roman"/>
          <w:sz w:val="24"/>
          <w:szCs w:val="20"/>
          <w:lang w:val="es-ES"/>
        </w:rPr>
        <w:footnoteReference w:id="2"/>
      </w:r>
      <w:r w:rsidR="00085E5D">
        <w:rPr>
          <w:rFonts w:ascii="Times New Roman" w:eastAsia="Times New Roman" w:hAnsi="Times New Roman" w:cs="Times New Roman"/>
          <w:sz w:val="24"/>
          <w:szCs w:val="20"/>
          <w:lang w:val="es-ES"/>
        </w:rPr>
        <w:t xml:space="preserve"> y </w:t>
      </w:r>
      <w:r w:rsidR="00547192">
        <w:rPr>
          <w:rFonts w:ascii="Times New Roman" w:eastAsia="Times New Roman" w:hAnsi="Times New Roman" w:cs="Times New Roman"/>
          <w:sz w:val="24"/>
          <w:szCs w:val="20"/>
          <w:lang w:val="es-ES"/>
        </w:rPr>
        <w:t>7 Bancos de los Trabaja</w:t>
      </w:r>
      <w:r w:rsidR="00085E5D">
        <w:rPr>
          <w:rFonts w:ascii="Times New Roman" w:eastAsia="Times New Roman" w:hAnsi="Times New Roman" w:cs="Times New Roman"/>
          <w:sz w:val="24"/>
          <w:szCs w:val="20"/>
          <w:lang w:val="es-ES"/>
        </w:rPr>
        <w:t>dores</w:t>
      </w:r>
      <w:r w:rsidR="00A26127">
        <w:rPr>
          <w:rStyle w:val="FootnoteReference"/>
          <w:rFonts w:ascii="Times New Roman" w:eastAsia="Times New Roman" w:hAnsi="Times New Roman" w:cs="Times New Roman"/>
          <w:sz w:val="24"/>
          <w:szCs w:val="20"/>
          <w:lang w:val="es-ES"/>
        </w:rPr>
        <w:footnoteReference w:id="3"/>
      </w:r>
      <w:r w:rsidR="00085E5D">
        <w:rPr>
          <w:rFonts w:ascii="Times New Roman" w:eastAsia="Times New Roman" w:hAnsi="Times New Roman" w:cs="Times New Roman"/>
          <w:sz w:val="24"/>
          <w:szCs w:val="20"/>
          <w:lang w:val="es-ES"/>
        </w:rPr>
        <w:t>, se asocian en la Federación de Cajas de Crédito y Bancos de los Trabajadores</w:t>
      </w:r>
      <w:r w:rsidR="004C1459">
        <w:rPr>
          <w:rFonts w:ascii="Times New Roman" w:eastAsia="Times New Roman" w:hAnsi="Times New Roman" w:cs="Times New Roman"/>
          <w:sz w:val="24"/>
          <w:szCs w:val="20"/>
          <w:lang w:val="es-ES"/>
        </w:rPr>
        <w:t xml:space="preserve"> –</w:t>
      </w:r>
      <w:r w:rsidR="00420824">
        <w:rPr>
          <w:rFonts w:ascii="Times New Roman" w:eastAsia="Times New Roman" w:hAnsi="Times New Roman" w:cs="Times New Roman"/>
          <w:sz w:val="24"/>
          <w:szCs w:val="20"/>
          <w:lang w:val="es-ES"/>
        </w:rPr>
        <w:t>Fedecrédito</w:t>
      </w:r>
      <w:r w:rsidR="004C1459">
        <w:rPr>
          <w:rStyle w:val="FootnoteReference"/>
          <w:rFonts w:ascii="Times New Roman" w:eastAsia="Times New Roman" w:hAnsi="Times New Roman" w:cs="Times New Roman"/>
          <w:sz w:val="24"/>
          <w:szCs w:val="20"/>
          <w:lang w:val="es-ES"/>
        </w:rPr>
        <w:footnoteReference w:id="4"/>
      </w:r>
      <w:r w:rsidR="004C1459">
        <w:rPr>
          <w:rFonts w:ascii="Times New Roman" w:eastAsia="Times New Roman" w:hAnsi="Times New Roman" w:cs="Times New Roman"/>
          <w:sz w:val="24"/>
          <w:szCs w:val="20"/>
          <w:lang w:val="es-ES"/>
        </w:rPr>
        <w:t>-</w:t>
      </w:r>
      <w:r w:rsidR="00A26127">
        <w:rPr>
          <w:rFonts w:ascii="Times New Roman" w:eastAsia="Times New Roman" w:hAnsi="Times New Roman" w:cs="Times New Roman"/>
          <w:sz w:val="24"/>
          <w:szCs w:val="20"/>
          <w:lang w:val="es-ES"/>
        </w:rPr>
        <w:t xml:space="preserve"> y son </w:t>
      </w:r>
      <w:r w:rsidR="00C51224">
        <w:rPr>
          <w:rFonts w:ascii="Times New Roman" w:eastAsia="Times New Roman" w:hAnsi="Times New Roman" w:cs="Times New Roman"/>
          <w:sz w:val="24"/>
          <w:szCs w:val="20"/>
          <w:lang w:val="es-ES"/>
        </w:rPr>
        <w:t xml:space="preserve">todos, incluyendo esta última, </w:t>
      </w:r>
      <w:r w:rsidR="00A26127">
        <w:rPr>
          <w:rFonts w:ascii="Times New Roman" w:eastAsia="Times New Roman" w:hAnsi="Times New Roman" w:cs="Times New Roman"/>
          <w:sz w:val="24"/>
          <w:szCs w:val="20"/>
          <w:lang w:val="es-ES"/>
        </w:rPr>
        <w:t>sujetos de crédito de BANDESAL</w:t>
      </w:r>
      <w:r w:rsidR="00085E5D">
        <w:rPr>
          <w:rFonts w:ascii="Times New Roman" w:eastAsia="Times New Roman" w:hAnsi="Times New Roman" w:cs="Times New Roman"/>
          <w:sz w:val="24"/>
          <w:szCs w:val="20"/>
          <w:lang w:val="es-ES"/>
        </w:rPr>
        <w:t>.</w:t>
      </w:r>
      <w:r w:rsidR="00A26127">
        <w:rPr>
          <w:rFonts w:ascii="Times New Roman" w:eastAsia="Times New Roman" w:hAnsi="Times New Roman" w:cs="Times New Roman"/>
          <w:sz w:val="24"/>
          <w:szCs w:val="20"/>
          <w:lang w:val="es-ES"/>
        </w:rPr>
        <w:t xml:space="preserve"> Es muy importante a</w:t>
      </w:r>
      <w:bookmarkStart w:id="0" w:name="_GoBack"/>
      <w:bookmarkEnd w:id="0"/>
      <w:r w:rsidR="00A26127">
        <w:rPr>
          <w:rFonts w:ascii="Times New Roman" w:eastAsia="Times New Roman" w:hAnsi="Times New Roman" w:cs="Times New Roman"/>
          <w:sz w:val="24"/>
          <w:szCs w:val="20"/>
          <w:lang w:val="es-ES"/>
        </w:rPr>
        <w:t>notar que todos los Bancos de los Trabajadores</w:t>
      </w:r>
      <w:r w:rsidR="004D144D">
        <w:rPr>
          <w:rFonts w:ascii="Times New Roman" w:eastAsia="Times New Roman" w:hAnsi="Times New Roman" w:cs="Times New Roman"/>
          <w:sz w:val="24"/>
          <w:szCs w:val="20"/>
          <w:lang w:val="es-ES"/>
        </w:rPr>
        <w:t xml:space="preserve"> y Fedecrédito</w:t>
      </w:r>
      <w:r w:rsidR="00A26127">
        <w:rPr>
          <w:rFonts w:ascii="Times New Roman" w:eastAsia="Times New Roman" w:hAnsi="Times New Roman" w:cs="Times New Roman"/>
          <w:sz w:val="24"/>
          <w:szCs w:val="20"/>
          <w:lang w:val="es-ES"/>
        </w:rPr>
        <w:t xml:space="preserve"> se encuentran vigilados por la SSF. </w:t>
      </w:r>
    </w:p>
    <w:p w:rsidR="002E6E1F" w:rsidRPr="00813B8B" w:rsidRDefault="002E6E1F"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813B8B">
        <w:rPr>
          <w:rFonts w:ascii="Times New Roman" w:eastAsia="Times New Roman" w:hAnsi="Times New Roman" w:cs="Times New Roman"/>
          <w:sz w:val="24"/>
          <w:szCs w:val="20"/>
          <w:lang w:val="es-ES"/>
        </w:rPr>
        <w:t>Con cifras a junio de 2013, el sistema financiero salvadoreño</w:t>
      </w:r>
      <w:r w:rsidRPr="003E38E4">
        <w:rPr>
          <w:rFonts w:ascii="Times New Roman" w:eastAsia="Times New Roman" w:hAnsi="Times New Roman" w:cs="Times New Roman"/>
          <w:szCs w:val="20"/>
          <w:vertAlign w:val="superscript"/>
          <w:lang w:val="es-ES"/>
        </w:rPr>
        <w:footnoteReference w:id="5"/>
      </w:r>
      <w:r w:rsidRPr="00813B8B">
        <w:rPr>
          <w:rFonts w:ascii="Times New Roman" w:eastAsia="Times New Roman" w:hAnsi="Times New Roman" w:cs="Times New Roman"/>
          <w:sz w:val="24"/>
          <w:szCs w:val="20"/>
          <w:lang w:val="es-ES"/>
        </w:rPr>
        <w:t xml:space="preserve"> tiene </w:t>
      </w:r>
      <w:r w:rsidRPr="00813B8B">
        <w:rPr>
          <w:rFonts w:ascii="Times New Roman" w:eastAsia="Times New Roman" w:hAnsi="Times New Roman" w:cs="Times New Roman"/>
          <w:b/>
          <w:sz w:val="24"/>
          <w:szCs w:val="20"/>
          <w:lang w:val="es-ES"/>
        </w:rPr>
        <w:t>Activos Totales</w:t>
      </w:r>
      <w:r w:rsidR="001C7240" w:rsidRPr="00813B8B">
        <w:rPr>
          <w:rFonts w:ascii="Times New Roman" w:eastAsia="Times New Roman" w:hAnsi="Times New Roman" w:cs="Times New Roman"/>
          <w:b/>
          <w:sz w:val="24"/>
          <w:szCs w:val="20"/>
          <w:lang w:val="es-ES"/>
        </w:rPr>
        <w:t xml:space="preserve"> (AT)</w:t>
      </w:r>
      <w:r w:rsidRPr="00813B8B">
        <w:rPr>
          <w:rFonts w:ascii="Times New Roman" w:eastAsia="Times New Roman" w:hAnsi="Times New Roman" w:cs="Times New Roman"/>
          <w:sz w:val="24"/>
          <w:szCs w:val="20"/>
          <w:lang w:val="es-ES"/>
        </w:rPr>
        <w:t xml:space="preserve"> por USD 15,229 millones, equivalentes al 61.1% del PIB a precios corrientes del país. Dentro de este total, las entidades del sub-sistema bancario participan con un 94%, equivalente a  USD 14,238 millones, donde la cartera de préstamos </w:t>
      </w:r>
      <w:r w:rsidR="00A60754" w:rsidRPr="00813B8B">
        <w:rPr>
          <w:rFonts w:ascii="Times New Roman" w:eastAsia="Times New Roman" w:hAnsi="Times New Roman" w:cs="Times New Roman"/>
          <w:sz w:val="24"/>
          <w:szCs w:val="20"/>
          <w:lang w:val="es-ES"/>
        </w:rPr>
        <w:t xml:space="preserve">bruta </w:t>
      </w:r>
      <w:r w:rsidRPr="00813B8B">
        <w:rPr>
          <w:rFonts w:ascii="Times New Roman" w:eastAsia="Times New Roman" w:hAnsi="Times New Roman" w:cs="Times New Roman"/>
          <w:sz w:val="24"/>
          <w:szCs w:val="20"/>
          <w:lang w:val="es-ES"/>
        </w:rPr>
        <w:t xml:space="preserve">bancaria alcanza USD 10,379 Mln (68% del AT), y es el principal activo. </w:t>
      </w:r>
    </w:p>
    <w:p w:rsidR="001C7240" w:rsidRPr="00813B8B" w:rsidRDefault="001C7240"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813B8B">
        <w:rPr>
          <w:rFonts w:ascii="Times New Roman" w:eastAsia="Times New Roman" w:hAnsi="Times New Roman" w:cs="Times New Roman"/>
          <w:sz w:val="24"/>
          <w:szCs w:val="20"/>
          <w:lang w:val="es-ES"/>
        </w:rPr>
        <w:t>Es importante mencionar que cinco entidades con matrices en el extranjero concentran el 80% del total de activos del sub-sistema bancario: Banco Agrícola (Colombia, 28%), Scotiabank (Canadá, 14%), Banco Davivienda (Colombia, 14%), Citibank (Estados Unidos, 13%), Banco de América Central – BAC (Colombia, 11%).</w:t>
      </w:r>
    </w:p>
    <w:p w:rsidR="002E6E1F" w:rsidRDefault="002E6E1F"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813B8B">
        <w:rPr>
          <w:rFonts w:ascii="Times New Roman" w:eastAsia="Times New Roman" w:hAnsi="Times New Roman" w:cs="Times New Roman"/>
          <w:sz w:val="24"/>
          <w:szCs w:val="20"/>
          <w:lang w:val="es-ES"/>
        </w:rPr>
        <w:t xml:space="preserve">En cuanto a los </w:t>
      </w:r>
      <w:r w:rsidRPr="00813B8B">
        <w:rPr>
          <w:rFonts w:ascii="Times New Roman" w:eastAsia="Times New Roman" w:hAnsi="Times New Roman" w:cs="Times New Roman"/>
          <w:b/>
          <w:sz w:val="24"/>
          <w:szCs w:val="20"/>
          <w:lang w:val="es-ES"/>
        </w:rPr>
        <w:t>Pasivos Totales</w:t>
      </w:r>
      <w:r w:rsidR="001C7240" w:rsidRPr="00813B8B">
        <w:rPr>
          <w:rFonts w:ascii="Times New Roman" w:eastAsia="Times New Roman" w:hAnsi="Times New Roman" w:cs="Times New Roman"/>
          <w:b/>
          <w:sz w:val="24"/>
          <w:szCs w:val="20"/>
          <w:lang w:val="es-ES"/>
        </w:rPr>
        <w:t xml:space="preserve"> (PT)</w:t>
      </w:r>
      <w:r w:rsidRPr="00813B8B">
        <w:rPr>
          <w:rFonts w:ascii="Times New Roman" w:eastAsia="Times New Roman" w:hAnsi="Times New Roman" w:cs="Times New Roman"/>
          <w:sz w:val="24"/>
          <w:szCs w:val="20"/>
          <w:lang w:val="es-ES"/>
        </w:rPr>
        <w:t xml:space="preserve"> de los bancos, los mismos alcanzan un total de USD 13,016 millones, concentrados principalmente en depósitos del público, que llegan a US$ 10,324 millones (80% de los PT). Finalmente, el patrimonio consolidado del sub-sistema de bancos alcanza un total de US$ 1,876 Mln.</w:t>
      </w:r>
    </w:p>
    <w:p w:rsidR="00420824" w:rsidRPr="00813B8B" w:rsidRDefault="00420824"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 xml:space="preserve">Por su parte, las entidades afiliadas al Sistema Fedecrédito </w:t>
      </w:r>
      <w:r w:rsidR="00B51E65">
        <w:rPr>
          <w:rFonts w:ascii="Times New Roman" w:eastAsia="Times New Roman" w:hAnsi="Times New Roman" w:cs="Times New Roman"/>
          <w:sz w:val="24"/>
          <w:szCs w:val="20"/>
          <w:lang w:val="es-ES"/>
        </w:rPr>
        <w:t xml:space="preserve">para 2013 </w:t>
      </w:r>
      <w:r>
        <w:rPr>
          <w:rFonts w:ascii="Times New Roman" w:eastAsia="Times New Roman" w:hAnsi="Times New Roman" w:cs="Times New Roman"/>
          <w:sz w:val="24"/>
          <w:szCs w:val="20"/>
          <w:lang w:val="es-ES"/>
        </w:rPr>
        <w:t>suman un patrimonio de US$ 281 millones, un total de depósitos de US$ 575 millones y una cartera de préstamos que llega a US$1,059 millones distribuidos en 205,421 préstamos. Estas cifras muestran que dichas entidades se enfocan principalmente en dar pequeños cr</w:t>
      </w:r>
      <w:r w:rsidR="00B51E65">
        <w:rPr>
          <w:rFonts w:ascii="Times New Roman" w:eastAsia="Times New Roman" w:hAnsi="Times New Roman" w:cs="Times New Roman"/>
          <w:sz w:val="24"/>
          <w:szCs w:val="20"/>
          <w:lang w:val="es-ES"/>
        </w:rPr>
        <w:t>éditos a sus asociados.</w:t>
      </w:r>
      <w:r>
        <w:rPr>
          <w:rFonts w:ascii="Times New Roman" w:eastAsia="Times New Roman" w:hAnsi="Times New Roman" w:cs="Times New Roman"/>
          <w:sz w:val="24"/>
          <w:szCs w:val="20"/>
          <w:lang w:val="es-ES"/>
        </w:rPr>
        <w:t xml:space="preserve">  </w:t>
      </w:r>
    </w:p>
    <w:p w:rsidR="00813B8B" w:rsidRPr="004B4DF8" w:rsidRDefault="00813B8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4B4DF8">
        <w:rPr>
          <w:rFonts w:ascii="Times New Roman" w:eastAsia="Times New Roman" w:hAnsi="Times New Roman" w:cs="Times New Roman"/>
          <w:b/>
          <w:sz w:val="24"/>
          <w:szCs w:val="20"/>
          <w:lang w:val="es-ES"/>
        </w:rPr>
        <w:t>Situación de las instituciones financieras</w:t>
      </w:r>
      <w:r w:rsidRPr="004B4DF8">
        <w:rPr>
          <w:rFonts w:ascii="Times New Roman" w:eastAsia="Times New Roman" w:hAnsi="Times New Roman" w:cs="Times New Roman"/>
          <w:sz w:val="24"/>
          <w:szCs w:val="20"/>
          <w:lang w:val="es-ES"/>
        </w:rPr>
        <w:t xml:space="preserve">. </w:t>
      </w:r>
      <w:r>
        <w:rPr>
          <w:rFonts w:ascii="Times New Roman" w:eastAsia="Times New Roman" w:hAnsi="Times New Roman" w:cs="Times New Roman"/>
          <w:sz w:val="24"/>
          <w:szCs w:val="20"/>
          <w:lang w:val="es-ES"/>
        </w:rPr>
        <w:t>L</w:t>
      </w:r>
      <w:r w:rsidRPr="004B4DF8">
        <w:rPr>
          <w:rFonts w:ascii="Times New Roman" w:eastAsia="Times New Roman" w:hAnsi="Times New Roman" w:cs="Times New Roman"/>
          <w:sz w:val="24"/>
          <w:szCs w:val="20"/>
          <w:lang w:val="es-ES"/>
        </w:rPr>
        <w:t xml:space="preserve">a estructura y desempeño reciente de las instituciones financieras se describe en el vínculo Estructura y Desempeño Reciente del </w:t>
      </w:r>
      <w:r w:rsidRPr="004B4DF8">
        <w:rPr>
          <w:rFonts w:ascii="Times New Roman" w:eastAsia="Times New Roman" w:hAnsi="Times New Roman" w:cs="Times New Roman"/>
          <w:sz w:val="24"/>
          <w:szCs w:val="20"/>
          <w:lang w:val="es-ES"/>
        </w:rPr>
        <w:lastRenderedPageBreak/>
        <w:t xml:space="preserve">Sistema Financiero de El Salvador. A modo de resumen, se puede afirmar que las instituciones financieras salvadoreñas se mantienen bien capitalizadas y continúan exhibiendo niveles confortables de rentabilidad y liquidez. </w:t>
      </w:r>
    </w:p>
    <w:p w:rsidR="00813B8B" w:rsidRPr="001D7815" w:rsidRDefault="00813B8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 xml:space="preserve">En efecto, a Diciembre de 2013, sus indicadores registraron: </w:t>
      </w:r>
      <w:r w:rsidR="003E38E4">
        <w:rPr>
          <w:rFonts w:ascii="Times New Roman" w:eastAsia="Times New Roman" w:hAnsi="Times New Roman" w:cs="Times New Roman"/>
          <w:sz w:val="24"/>
          <w:szCs w:val="20"/>
          <w:lang w:val="es-ES"/>
        </w:rPr>
        <w:t>(</w:t>
      </w:r>
      <w:r w:rsidRPr="004B4DF8">
        <w:rPr>
          <w:rFonts w:ascii="Times New Roman" w:eastAsia="Times New Roman" w:hAnsi="Times New Roman" w:cs="Times New Roman"/>
          <w:sz w:val="24"/>
          <w:szCs w:val="20"/>
          <w:lang w:val="es-ES"/>
        </w:rPr>
        <w:t xml:space="preserve">i) un aumento en sus niveles de </w:t>
      </w:r>
      <w:r>
        <w:rPr>
          <w:rFonts w:ascii="Times New Roman" w:eastAsia="Times New Roman" w:hAnsi="Times New Roman" w:cs="Times New Roman"/>
          <w:sz w:val="24"/>
          <w:szCs w:val="20"/>
          <w:lang w:val="es-ES"/>
        </w:rPr>
        <w:t>coeficiente patrimonial</w:t>
      </w:r>
      <w:r w:rsidRPr="004B4DF8">
        <w:rPr>
          <w:rFonts w:ascii="Times New Roman" w:eastAsia="Times New Roman" w:hAnsi="Times New Roman" w:cs="Times New Roman"/>
          <w:sz w:val="24"/>
          <w:szCs w:val="20"/>
          <w:lang w:val="es-ES"/>
        </w:rPr>
        <w:t xml:space="preserve">, sobrepasando en </w:t>
      </w:r>
      <w:r>
        <w:rPr>
          <w:rFonts w:ascii="Times New Roman" w:eastAsia="Times New Roman" w:hAnsi="Times New Roman" w:cs="Times New Roman"/>
          <w:sz w:val="24"/>
          <w:szCs w:val="20"/>
          <w:lang w:val="es-ES"/>
        </w:rPr>
        <w:t>550 puntos básicos</w:t>
      </w:r>
      <w:r w:rsidRPr="004B4DF8">
        <w:rPr>
          <w:rFonts w:ascii="Times New Roman" w:eastAsia="Times New Roman" w:hAnsi="Times New Roman" w:cs="Times New Roman"/>
          <w:sz w:val="24"/>
          <w:szCs w:val="20"/>
          <w:lang w:val="es-ES"/>
        </w:rPr>
        <w:t xml:space="preserve"> el mínimo regulatorio de </w:t>
      </w:r>
      <w:r>
        <w:rPr>
          <w:rFonts w:ascii="Times New Roman" w:eastAsia="Times New Roman" w:hAnsi="Times New Roman" w:cs="Times New Roman"/>
          <w:sz w:val="24"/>
          <w:szCs w:val="20"/>
          <w:lang w:val="es-ES"/>
        </w:rPr>
        <w:t>12</w:t>
      </w:r>
      <w:r w:rsidRPr="004B4DF8">
        <w:rPr>
          <w:rFonts w:ascii="Times New Roman" w:eastAsia="Times New Roman" w:hAnsi="Times New Roman" w:cs="Times New Roman"/>
          <w:sz w:val="24"/>
          <w:szCs w:val="20"/>
          <w:lang w:val="es-ES"/>
        </w:rPr>
        <w:t xml:space="preserve">%; </w:t>
      </w:r>
      <w:r w:rsidR="003E38E4">
        <w:rPr>
          <w:rFonts w:ascii="Times New Roman" w:eastAsia="Times New Roman" w:hAnsi="Times New Roman" w:cs="Times New Roman"/>
          <w:sz w:val="24"/>
          <w:szCs w:val="20"/>
          <w:lang w:val="es-ES"/>
        </w:rPr>
        <w:t>(</w:t>
      </w:r>
      <w:r w:rsidRPr="004B4DF8">
        <w:rPr>
          <w:rFonts w:ascii="Times New Roman" w:eastAsia="Times New Roman" w:hAnsi="Times New Roman" w:cs="Times New Roman"/>
          <w:sz w:val="24"/>
          <w:szCs w:val="20"/>
          <w:lang w:val="es-ES"/>
        </w:rPr>
        <w:t xml:space="preserve">ii) una relación entre el valor de sus pasivos y activos de </w:t>
      </w:r>
      <w:r w:rsidRPr="00813B8B">
        <w:rPr>
          <w:rFonts w:ascii="Times New Roman" w:eastAsia="Times New Roman" w:hAnsi="Times New Roman" w:cs="Times New Roman"/>
          <w:sz w:val="24"/>
          <w:szCs w:val="20"/>
          <w:lang w:val="es-ES"/>
        </w:rPr>
        <w:t>85,4</w:t>
      </w:r>
      <w:r w:rsidRPr="004B4DF8">
        <w:rPr>
          <w:rFonts w:ascii="Times New Roman" w:eastAsia="Times New Roman" w:hAnsi="Times New Roman" w:cs="Times New Roman"/>
          <w:sz w:val="24"/>
          <w:szCs w:val="20"/>
          <w:lang w:val="es-ES"/>
        </w:rPr>
        <w:t xml:space="preserve">%, inferior en </w:t>
      </w:r>
      <w:r w:rsidRPr="00813B8B">
        <w:rPr>
          <w:rFonts w:ascii="Times New Roman" w:eastAsia="Times New Roman" w:hAnsi="Times New Roman" w:cs="Times New Roman"/>
          <w:sz w:val="24"/>
          <w:szCs w:val="20"/>
          <w:lang w:val="es-ES"/>
        </w:rPr>
        <w:t>2</w:t>
      </w:r>
      <w:r w:rsidRPr="004B4DF8">
        <w:rPr>
          <w:rFonts w:ascii="Times New Roman" w:eastAsia="Times New Roman" w:hAnsi="Times New Roman" w:cs="Times New Roman"/>
          <w:sz w:val="24"/>
          <w:szCs w:val="20"/>
          <w:lang w:val="es-ES"/>
        </w:rPr>
        <w:t xml:space="preserve"> puntos porcentuales a la registrada al cierre de 2008, sugiriendo que la generación de valor en los activos ha estado asociada cada vez menos a incrementos en deudas de corto o largo plazo; </w:t>
      </w:r>
      <w:r w:rsidR="003E38E4">
        <w:rPr>
          <w:rFonts w:ascii="Times New Roman" w:eastAsia="Times New Roman" w:hAnsi="Times New Roman" w:cs="Times New Roman"/>
          <w:sz w:val="24"/>
          <w:szCs w:val="20"/>
          <w:lang w:val="es-ES"/>
        </w:rPr>
        <w:t>(</w:t>
      </w:r>
      <w:r w:rsidRPr="004B4DF8">
        <w:rPr>
          <w:rFonts w:ascii="Times New Roman" w:eastAsia="Times New Roman" w:hAnsi="Times New Roman" w:cs="Times New Roman"/>
          <w:sz w:val="24"/>
          <w:szCs w:val="20"/>
          <w:lang w:val="es-ES"/>
        </w:rPr>
        <w:t xml:space="preserve">iii) rentabilidades sobre activos y capital superiores a </w:t>
      </w:r>
      <w:r w:rsidRPr="00813B8B">
        <w:rPr>
          <w:rFonts w:ascii="Times New Roman" w:eastAsia="Times New Roman" w:hAnsi="Times New Roman" w:cs="Times New Roman"/>
          <w:sz w:val="24"/>
          <w:szCs w:val="20"/>
          <w:lang w:val="es-ES"/>
        </w:rPr>
        <w:t>1.6% y 12</w:t>
      </w:r>
      <w:r w:rsidRPr="004B4DF8">
        <w:rPr>
          <w:rFonts w:ascii="Times New Roman" w:eastAsia="Times New Roman" w:hAnsi="Times New Roman" w:cs="Times New Roman"/>
          <w:sz w:val="24"/>
          <w:szCs w:val="20"/>
          <w:lang w:val="es-ES"/>
        </w:rPr>
        <w:t xml:space="preserve">%, respectivamente; </w:t>
      </w:r>
      <w:r w:rsidR="003E38E4">
        <w:rPr>
          <w:rFonts w:ascii="Times New Roman" w:eastAsia="Times New Roman" w:hAnsi="Times New Roman" w:cs="Times New Roman"/>
          <w:sz w:val="24"/>
          <w:szCs w:val="20"/>
          <w:lang w:val="es-ES"/>
        </w:rPr>
        <w:t>(</w:t>
      </w:r>
      <w:r w:rsidRPr="004B4DF8">
        <w:rPr>
          <w:rFonts w:ascii="Times New Roman" w:eastAsia="Times New Roman" w:hAnsi="Times New Roman" w:cs="Times New Roman"/>
          <w:sz w:val="24"/>
          <w:szCs w:val="20"/>
          <w:lang w:val="es-ES"/>
        </w:rPr>
        <w:t>iv) una reducción sostenida desde 20</w:t>
      </w:r>
      <w:r>
        <w:rPr>
          <w:rFonts w:ascii="Times New Roman" w:eastAsia="Times New Roman" w:hAnsi="Times New Roman" w:cs="Times New Roman"/>
          <w:sz w:val="24"/>
          <w:szCs w:val="20"/>
          <w:lang w:val="es-ES"/>
        </w:rPr>
        <w:t>10</w:t>
      </w:r>
      <w:r w:rsidRPr="004B4DF8">
        <w:rPr>
          <w:rFonts w:ascii="Times New Roman" w:eastAsia="Times New Roman" w:hAnsi="Times New Roman" w:cs="Times New Roman"/>
          <w:sz w:val="24"/>
          <w:szCs w:val="20"/>
          <w:lang w:val="es-ES"/>
        </w:rPr>
        <w:t xml:space="preserve"> en el porcentaje de su cartera vencida con respecto a la cartera bruta</w:t>
      </w:r>
      <w:r w:rsidRPr="00813B8B">
        <w:rPr>
          <w:rFonts w:ascii="Times New Roman" w:eastAsia="Times New Roman" w:hAnsi="Times New Roman" w:cs="Times New Roman"/>
          <w:sz w:val="24"/>
          <w:szCs w:val="20"/>
          <w:lang w:val="es-ES"/>
        </w:rPr>
        <w:t xml:space="preserve"> que pasó del 4.01% en diciembre de ese año, efecto de la crisis financiera internacional, a 2.4% en diciembre de 2013</w:t>
      </w:r>
      <w:r w:rsidRPr="004B4DF8">
        <w:rPr>
          <w:rFonts w:ascii="Times New Roman" w:eastAsia="Times New Roman" w:hAnsi="Times New Roman" w:cs="Times New Roman"/>
          <w:sz w:val="24"/>
          <w:szCs w:val="20"/>
          <w:lang w:val="es-ES"/>
        </w:rPr>
        <w:t xml:space="preserve">; </w:t>
      </w:r>
      <w:r w:rsidR="003E38E4">
        <w:rPr>
          <w:rFonts w:ascii="Times New Roman" w:eastAsia="Times New Roman" w:hAnsi="Times New Roman" w:cs="Times New Roman"/>
          <w:sz w:val="24"/>
          <w:szCs w:val="20"/>
          <w:lang w:val="es-ES"/>
        </w:rPr>
        <w:t>(</w:t>
      </w:r>
      <w:r w:rsidRPr="004B4DF8">
        <w:rPr>
          <w:rFonts w:ascii="Times New Roman" w:eastAsia="Times New Roman" w:hAnsi="Times New Roman" w:cs="Times New Roman"/>
          <w:sz w:val="24"/>
          <w:szCs w:val="20"/>
          <w:lang w:val="es-ES"/>
        </w:rPr>
        <w:t xml:space="preserve">v) niveles adecuados de liquidez, ya que a </w:t>
      </w:r>
      <w:r>
        <w:rPr>
          <w:rFonts w:ascii="Times New Roman" w:eastAsia="Times New Roman" w:hAnsi="Times New Roman" w:cs="Times New Roman"/>
          <w:sz w:val="24"/>
          <w:szCs w:val="20"/>
          <w:lang w:val="es-ES"/>
        </w:rPr>
        <w:t>diciembre de  2013</w:t>
      </w:r>
      <w:r w:rsidRPr="004B4DF8">
        <w:rPr>
          <w:rFonts w:ascii="Times New Roman" w:eastAsia="Times New Roman" w:hAnsi="Times New Roman" w:cs="Times New Roman"/>
          <w:sz w:val="24"/>
          <w:szCs w:val="20"/>
          <w:lang w:val="es-ES"/>
        </w:rPr>
        <w:t xml:space="preserve"> </w:t>
      </w:r>
      <w:r>
        <w:rPr>
          <w:rFonts w:ascii="Times New Roman" w:eastAsia="Times New Roman" w:hAnsi="Times New Roman" w:cs="Times New Roman"/>
          <w:sz w:val="24"/>
          <w:szCs w:val="20"/>
          <w:lang w:val="es-ES"/>
        </w:rPr>
        <w:t>las inversiones financieras de corto plazo alcanzaban 20% de las inversiones totales y en conjunto con las disponibilidades alcanzan 18.4% del activo total, equivaliendo a casi 25% de las captaciones totales, si se compara contra ese pasivo</w:t>
      </w:r>
      <w:r w:rsidRPr="004B4DF8">
        <w:rPr>
          <w:rFonts w:ascii="Times New Roman" w:eastAsia="Times New Roman" w:hAnsi="Times New Roman" w:cs="Times New Roman"/>
          <w:sz w:val="24"/>
          <w:szCs w:val="20"/>
          <w:lang w:val="es-ES"/>
        </w:rPr>
        <w:t xml:space="preserve">; y </w:t>
      </w:r>
      <w:r w:rsidR="003E38E4">
        <w:rPr>
          <w:rFonts w:ascii="Times New Roman" w:eastAsia="Times New Roman" w:hAnsi="Times New Roman" w:cs="Times New Roman"/>
          <w:sz w:val="24"/>
          <w:szCs w:val="20"/>
          <w:lang w:val="es-ES"/>
        </w:rPr>
        <w:t>(</w:t>
      </w:r>
      <w:r w:rsidRPr="004B4DF8">
        <w:rPr>
          <w:rFonts w:ascii="Times New Roman" w:eastAsia="Times New Roman" w:hAnsi="Times New Roman" w:cs="Times New Roman"/>
          <w:sz w:val="24"/>
          <w:szCs w:val="20"/>
          <w:lang w:val="es-ES"/>
        </w:rPr>
        <w:t xml:space="preserve">vi) una tendencia reciente a la </w:t>
      </w:r>
      <w:r>
        <w:rPr>
          <w:rFonts w:ascii="Times New Roman" w:eastAsia="Times New Roman" w:hAnsi="Times New Roman" w:cs="Times New Roman"/>
          <w:sz w:val="24"/>
          <w:szCs w:val="20"/>
          <w:lang w:val="es-ES"/>
        </w:rPr>
        <w:t>aceleración</w:t>
      </w:r>
      <w:r w:rsidRPr="004B4DF8">
        <w:rPr>
          <w:rFonts w:ascii="Times New Roman" w:eastAsia="Times New Roman" w:hAnsi="Times New Roman" w:cs="Times New Roman"/>
          <w:sz w:val="24"/>
          <w:szCs w:val="20"/>
          <w:lang w:val="es-ES"/>
        </w:rPr>
        <w:t xml:space="preserve"> en el crecimiento real del crédito</w:t>
      </w:r>
      <w:r>
        <w:rPr>
          <w:rFonts w:ascii="Times New Roman" w:eastAsia="Times New Roman" w:hAnsi="Times New Roman" w:cs="Times New Roman"/>
          <w:sz w:val="24"/>
          <w:szCs w:val="20"/>
          <w:lang w:val="es-ES"/>
        </w:rPr>
        <w:t>. La relaci</w:t>
      </w:r>
      <w:r>
        <w:rPr>
          <w:rFonts w:ascii="Times New Roman" w:eastAsia="Times New Roman" w:hAnsi="Times New Roman" w:cs="Times New Roman"/>
          <w:sz w:val="24"/>
          <w:szCs w:val="20"/>
          <w:lang w:val="es-ES_tradnl"/>
        </w:rPr>
        <w:t>ón entre el crédito otorgado al sector privado contra el PIB es de 41.6% para Diciembre de 2013, cifra que representa un crecimiento en el indicador de casi 5%, luego del mínimo de 36.9% de marzo de 2011, efecto de la crisis financiera interna</w:t>
      </w:r>
      <w:r w:rsidR="00C632EB">
        <w:rPr>
          <w:rFonts w:ascii="Times New Roman" w:eastAsia="Times New Roman" w:hAnsi="Times New Roman" w:cs="Times New Roman"/>
          <w:sz w:val="24"/>
          <w:szCs w:val="20"/>
          <w:lang w:val="es-ES_tradnl"/>
        </w:rPr>
        <w:t>cional (ver área sombreada del G</w:t>
      </w:r>
      <w:r>
        <w:rPr>
          <w:rFonts w:ascii="Times New Roman" w:eastAsia="Times New Roman" w:hAnsi="Times New Roman" w:cs="Times New Roman"/>
          <w:sz w:val="24"/>
          <w:szCs w:val="20"/>
          <w:lang w:val="es-ES_tradnl"/>
        </w:rPr>
        <w:t>ráfico</w:t>
      </w:r>
      <w:r w:rsidR="00C632EB">
        <w:rPr>
          <w:rFonts w:ascii="Times New Roman" w:eastAsia="Times New Roman" w:hAnsi="Times New Roman" w:cs="Times New Roman"/>
          <w:sz w:val="24"/>
          <w:szCs w:val="20"/>
          <w:lang w:val="es-ES_tradnl"/>
        </w:rPr>
        <w:t xml:space="preserve"> 1</w:t>
      </w:r>
      <w:r>
        <w:rPr>
          <w:rFonts w:ascii="Times New Roman" w:eastAsia="Times New Roman" w:hAnsi="Times New Roman" w:cs="Times New Roman"/>
          <w:sz w:val="24"/>
          <w:szCs w:val="20"/>
          <w:lang w:val="es-ES_tradnl"/>
        </w:rPr>
        <w:t xml:space="preserve">). El Salvador, desde esta perspectiva, tiene un nivel bajo de profundización financiera. </w:t>
      </w:r>
    </w:p>
    <w:p w:rsidR="00813B8B" w:rsidRPr="00813B8B" w:rsidRDefault="00813B8B" w:rsidP="003505A2">
      <w:pPr>
        <w:tabs>
          <w:tab w:val="num" w:pos="2196"/>
        </w:tabs>
        <w:spacing w:before="240" w:after="120" w:line="240" w:lineRule="auto"/>
        <w:ind w:left="720"/>
        <w:jc w:val="center"/>
        <w:outlineLvl w:val="1"/>
        <w:rPr>
          <w:rFonts w:ascii="Times New Roman" w:eastAsia="Times New Roman" w:hAnsi="Times New Roman" w:cs="Times New Roman"/>
          <w:b/>
          <w:sz w:val="24"/>
          <w:szCs w:val="20"/>
          <w:lang w:val="es-ES"/>
        </w:rPr>
      </w:pPr>
      <w:r w:rsidRPr="00813B8B">
        <w:rPr>
          <w:rFonts w:ascii="Times New Roman" w:eastAsia="Times New Roman" w:hAnsi="Times New Roman" w:cs="Times New Roman"/>
          <w:b/>
          <w:sz w:val="24"/>
          <w:szCs w:val="20"/>
          <w:lang w:val="es-ES"/>
        </w:rPr>
        <w:t>Gráfico 1: El Salvador: Crédito otorgado al sector privado vs PIB, 2001, 2013.</w:t>
      </w:r>
    </w:p>
    <w:p w:rsidR="00813B8B" w:rsidRPr="002B6D7C" w:rsidRDefault="002B6D7C" w:rsidP="00813B8B">
      <w:pPr>
        <w:tabs>
          <w:tab w:val="num" w:pos="2196"/>
        </w:tabs>
        <w:spacing w:before="120" w:after="120" w:line="240" w:lineRule="auto"/>
        <w:ind w:left="720"/>
        <w:jc w:val="center"/>
        <w:outlineLvl w:val="1"/>
        <w:rPr>
          <w:rFonts w:ascii="Times New Roman" w:eastAsia="Times New Roman" w:hAnsi="Times New Roman" w:cs="Times New Roman"/>
          <w:color w:val="FF0000"/>
          <w:sz w:val="24"/>
          <w:szCs w:val="20"/>
          <w:lang w:val="es-ES"/>
        </w:rPr>
      </w:pPr>
      <w:r w:rsidRPr="002B6D7C">
        <w:rPr>
          <w:noProof/>
        </w:rPr>
        <w:drawing>
          <wp:inline distT="0" distB="0" distL="0" distR="0" wp14:anchorId="477F1D69" wp14:editId="72980F8C">
            <wp:extent cx="4674775" cy="3386938"/>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5631" cy="3387558"/>
                    </a:xfrm>
                    <a:prstGeom prst="rect">
                      <a:avLst/>
                    </a:prstGeom>
                    <a:noFill/>
                    <a:ln>
                      <a:noFill/>
                    </a:ln>
                  </pic:spPr>
                </pic:pic>
              </a:graphicData>
            </a:graphic>
          </wp:inline>
        </w:drawing>
      </w:r>
    </w:p>
    <w:p w:rsidR="00813B8B" w:rsidRDefault="00813B8B" w:rsidP="00813B8B">
      <w:pPr>
        <w:tabs>
          <w:tab w:val="num" w:pos="2196"/>
        </w:tabs>
        <w:spacing w:before="120" w:after="120" w:line="240" w:lineRule="auto"/>
        <w:ind w:left="720"/>
        <w:jc w:val="center"/>
        <w:outlineLvl w:val="1"/>
        <w:rPr>
          <w:rFonts w:ascii="Times New Roman" w:eastAsia="Times New Roman" w:hAnsi="Times New Roman" w:cs="Times New Roman"/>
          <w:sz w:val="20"/>
          <w:szCs w:val="20"/>
          <w:lang w:val="es-ES"/>
        </w:rPr>
      </w:pPr>
      <w:r w:rsidRPr="00813B8B">
        <w:rPr>
          <w:rFonts w:ascii="Times New Roman" w:eastAsia="Times New Roman" w:hAnsi="Times New Roman" w:cs="Times New Roman"/>
          <w:sz w:val="20"/>
          <w:szCs w:val="20"/>
          <w:lang w:val="es-ES"/>
        </w:rPr>
        <w:t>Fuente: Consejo Monetario Centroamericano, cálculos propios, 2014.</w:t>
      </w:r>
    </w:p>
    <w:p w:rsidR="001D7815" w:rsidRPr="00813B8B" w:rsidRDefault="001D7815" w:rsidP="00813B8B">
      <w:pPr>
        <w:tabs>
          <w:tab w:val="num" w:pos="2196"/>
        </w:tabs>
        <w:spacing w:before="120" w:after="120" w:line="240" w:lineRule="auto"/>
        <w:ind w:left="720"/>
        <w:jc w:val="center"/>
        <w:outlineLvl w:val="1"/>
        <w:rPr>
          <w:rFonts w:ascii="Times New Roman" w:eastAsia="Times New Roman" w:hAnsi="Times New Roman" w:cs="Times New Roman"/>
          <w:sz w:val="20"/>
          <w:szCs w:val="20"/>
          <w:lang w:val="es-ES"/>
        </w:rPr>
      </w:pPr>
    </w:p>
    <w:p w:rsidR="00813B8B" w:rsidRDefault="00813B8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813B8B">
        <w:rPr>
          <w:rFonts w:ascii="Times New Roman" w:eastAsia="Times New Roman" w:hAnsi="Times New Roman" w:cs="Times New Roman"/>
          <w:b/>
          <w:sz w:val="24"/>
          <w:szCs w:val="20"/>
          <w:lang w:val="es-ES"/>
        </w:rPr>
        <w:lastRenderedPageBreak/>
        <w:t>El saldo de la cartera de crédito propia del sistema financiero en El Salvador</w:t>
      </w:r>
      <w:r>
        <w:rPr>
          <w:rFonts w:ascii="Times New Roman" w:eastAsia="Times New Roman" w:hAnsi="Times New Roman" w:cs="Times New Roman"/>
          <w:sz w:val="24"/>
          <w:szCs w:val="20"/>
          <w:lang w:val="es-ES"/>
        </w:rPr>
        <w:t xml:space="preserve"> presentó un crecimiento total interanual de 7.3% para 2013, llegando a un total de USD 12,524 millones. Este crecimiento se explica fundamentalmente por el crecimiento de la cartera de consumo, hipotecaria y comercial. En su conjunto, estos tres segmentos llegan a ser el 70% del crédito otorgado en el país, permitiendo explicar gran parte de la dinámica del crédito. El saldo de crédito de consumo aumentó 12%, representando casi la tercera parte del saldo otorgado en el sistema, para llegar a USD 3,728 millones. Por su parte, el crédito hipotecario, que llega a ser 27.4% del saldo total, presenta un crecimiento de 3.3% para llegar a USD 3,435 millones. Finalmente, el sector comercio también presenta un incremento en el saldo de 11.1%, representando casi 14% del saldo total de crédito alcanzando USD 1,710 millones. Resulta importante mencionar que el segmento de crédito a industria manufacturera, que sirve como un indicador del otorgamiento productivo, es el cuarto en tamaño de saldo, creció apenas 1% si se miran cifras interanuales 2012 a 2013, luego de haber crecido 14% en el año inmediatamente anterior.      </w:t>
      </w:r>
    </w:p>
    <w:p w:rsidR="00813B8B" w:rsidRDefault="00813B8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 xml:space="preserve">Es innegable que la economía salvadoreña presenta una alta dependencia de los sucesos económicos internacionales pero más exactamente de la economía de Estados Unidos. El efecto de la crisis financiera internacional es evidente en el otorgamiento de crédito a privados, que pasó en Enero de 2009 de 43.8% a 36.9% en su punto más bajo en marzo de 2010. Es importante anotar que este indicador de crédito no ha recuperado completamente su nivel a pesar del crecimiento reciente. </w:t>
      </w:r>
    </w:p>
    <w:p w:rsidR="00813B8B" w:rsidRDefault="00813B8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Ahora bien, el Banco Central de la Reserva de El Salvador (BCR) no puede utilizar la política monetaria para irrigar liquidez a la economía, dado que es una economía dolarizada, reforzando el argumento anterior. Este hecho llevó a las entidades financieras a auto-asegurarse durante la crisis, y posteriormente en el período pre-electoral desde junio hasta diciembre de 2013, mediante la acumulación de reservas de liquidez. El efecto de este mecanismo “voluntario” pero también como requerimiento del BCR, sumado a la caída en la demanda de crédito, fue la caída en el otorgamiento para la época de crisis. El período pre-electoral tuvo mucho menos auto-aseguramiento de los bancos.  Primero porque ocurrió en momentos en que las tasas estaban en el mínimo nominal y segundo porque el BCR contaba con una línea de crédito contingente otorgada por el Banco, que dio tranquilidad a los agentes. En neto, en 2013 hubo crecimiento en el saldo de crédito, como se mencionó arriba.</w:t>
      </w:r>
    </w:p>
    <w:p w:rsidR="00813B8B" w:rsidRDefault="00813B8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 xml:space="preserve">Finalmente, es importante mencionar que este reciente crecimiento en el crédito puede verse afectado por el inminente aumento de las tasas de interés en Estados Unidos, que tendría efectos en demanda (por el encarecimiento del crédito) y oferta (agentes auto-asegurándose para minimizar la incertidumbre). Sin embargo, en términos reales, la tasa activa ha venido descontando este hecho y se ubica apenas 83 puntos básicos por debajo de la nominal de 5.83% para diciembre de 2013.           </w:t>
      </w:r>
    </w:p>
    <w:p w:rsidR="002E1D15" w:rsidRPr="00D60936" w:rsidRDefault="00813B8B" w:rsidP="00D60936">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A179F6">
        <w:rPr>
          <w:rFonts w:ascii="Times New Roman" w:eastAsia="Times New Roman" w:hAnsi="Times New Roman" w:cs="Times New Roman"/>
          <w:sz w:val="24"/>
          <w:szCs w:val="20"/>
          <w:lang w:val="es-ES"/>
        </w:rPr>
        <w:t xml:space="preserve">Asimismo, no sólo el nivel de profundización financiera sigue siendo bajo para un país con el nivel de desarrollo económico de </w:t>
      </w:r>
      <w:r>
        <w:rPr>
          <w:rFonts w:ascii="Times New Roman" w:eastAsia="Times New Roman" w:hAnsi="Times New Roman" w:cs="Times New Roman"/>
          <w:sz w:val="24"/>
          <w:szCs w:val="20"/>
          <w:lang w:val="es-ES"/>
        </w:rPr>
        <w:t>El Salvador</w:t>
      </w:r>
      <w:r w:rsidRPr="00A179F6">
        <w:rPr>
          <w:rFonts w:ascii="Times New Roman" w:eastAsia="Times New Roman" w:hAnsi="Times New Roman" w:cs="Times New Roman"/>
          <w:sz w:val="24"/>
          <w:szCs w:val="20"/>
          <w:lang w:val="es-ES"/>
        </w:rPr>
        <w:t>, sino que la mayor p</w:t>
      </w:r>
      <w:r>
        <w:rPr>
          <w:rFonts w:ascii="Times New Roman" w:eastAsia="Times New Roman" w:hAnsi="Times New Roman" w:cs="Times New Roman"/>
          <w:sz w:val="24"/>
          <w:szCs w:val="20"/>
          <w:lang w:val="es-ES"/>
        </w:rPr>
        <w:t>arte del crédito otorgado por la</w:t>
      </w:r>
      <w:r w:rsidRPr="00A179F6">
        <w:rPr>
          <w:rFonts w:ascii="Times New Roman" w:eastAsia="Times New Roman" w:hAnsi="Times New Roman" w:cs="Times New Roman"/>
          <w:sz w:val="24"/>
          <w:szCs w:val="20"/>
          <w:lang w:val="es-ES"/>
        </w:rPr>
        <w:t xml:space="preserve">s </w:t>
      </w:r>
      <w:r>
        <w:rPr>
          <w:rFonts w:ascii="Times New Roman" w:eastAsia="Times New Roman" w:hAnsi="Times New Roman" w:cs="Times New Roman"/>
          <w:sz w:val="24"/>
          <w:szCs w:val="20"/>
          <w:lang w:val="es-ES"/>
        </w:rPr>
        <w:t>IFIs</w:t>
      </w:r>
      <w:r w:rsidRPr="00A179F6">
        <w:rPr>
          <w:rFonts w:ascii="Times New Roman" w:eastAsia="Times New Roman" w:hAnsi="Times New Roman" w:cs="Times New Roman"/>
          <w:sz w:val="24"/>
          <w:szCs w:val="20"/>
          <w:lang w:val="es-ES"/>
        </w:rPr>
        <w:t xml:space="preserve"> es de muy corto plazo</w:t>
      </w:r>
      <w:r w:rsidRPr="00A179F6">
        <w:rPr>
          <w:rFonts w:ascii="Times New Roman" w:eastAsia="Times New Roman" w:hAnsi="Times New Roman" w:cs="Times New Roman"/>
          <w:sz w:val="24"/>
          <w:szCs w:val="20"/>
          <w:vertAlign w:val="superscript"/>
        </w:rPr>
        <w:footnoteReference w:id="6"/>
      </w:r>
      <w:r w:rsidRPr="00A179F6">
        <w:rPr>
          <w:rFonts w:ascii="Times New Roman" w:eastAsia="Times New Roman" w:hAnsi="Times New Roman" w:cs="Times New Roman"/>
          <w:sz w:val="24"/>
          <w:szCs w:val="20"/>
          <w:lang w:val="es-ES"/>
        </w:rPr>
        <w:t>.  Ello se debe</w:t>
      </w:r>
      <w:r>
        <w:rPr>
          <w:rFonts w:ascii="Times New Roman" w:eastAsia="Times New Roman" w:hAnsi="Times New Roman" w:cs="Times New Roman"/>
          <w:sz w:val="24"/>
          <w:szCs w:val="20"/>
          <w:lang w:val="es-ES"/>
        </w:rPr>
        <w:t>, en parte,</w:t>
      </w:r>
      <w:r w:rsidRPr="00A179F6">
        <w:rPr>
          <w:rFonts w:ascii="Times New Roman" w:eastAsia="Times New Roman" w:hAnsi="Times New Roman" w:cs="Times New Roman"/>
          <w:sz w:val="24"/>
          <w:szCs w:val="20"/>
          <w:lang w:val="es-ES"/>
        </w:rPr>
        <w:t xml:space="preserve"> a que sus captaciones se concentran también en instrumentos de muy corto plazo. E</w:t>
      </w:r>
      <w:r>
        <w:rPr>
          <w:rFonts w:ascii="Times New Roman" w:eastAsia="Times New Roman" w:hAnsi="Times New Roman" w:cs="Times New Roman"/>
          <w:sz w:val="24"/>
          <w:szCs w:val="20"/>
          <w:lang w:val="es-ES"/>
        </w:rPr>
        <w:t xml:space="preserve">n efecto, al </w:t>
      </w:r>
      <w:r>
        <w:rPr>
          <w:rFonts w:ascii="Times New Roman" w:eastAsia="Times New Roman" w:hAnsi="Times New Roman" w:cs="Times New Roman"/>
          <w:sz w:val="24"/>
          <w:szCs w:val="20"/>
          <w:lang w:val="es-ES"/>
        </w:rPr>
        <w:lastRenderedPageBreak/>
        <w:t>cierre de diciembre</w:t>
      </w:r>
      <w:r w:rsidRPr="00A179F6">
        <w:rPr>
          <w:rFonts w:ascii="Times New Roman" w:eastAsia="Times New Roman" w:hAnsi="Times New Roman" w:cs="Times New Roman"/>
          <w:sz w:val="24"/>
          <w:szCs w:val="20"/>
          <w:lang w:val="es-ES"/>
        </w:rPr>
        <w:t xml:space="preserve"> de 201</w:t>
      </w:r>
      <w:r>
        <w:rPr>
          <w:rFonts w:ascii="Times New Roman" w:eastAsia="Times New Roman" w:hAnsi="Times New Roman" w:cs="Times New Roman"/>
          <w:sz w:val="24"/>
          <w:szCs w:val="20"/>
          <w:lang w:val="es-ES"/>
        </w:rPr>
        <w:t>3</w:t>
      </w:r>
      <w:r w:rsidRPr="00A179F6">
        <w:rPr>
          <w:rFonts w:ascii="Times New Roman" w:eastAsia="Times New Roman" w:hAnsi="Times New Roman" w:cs="Times New Roman"/>
          <w:sz w:val="24"/>
          <w:szCs w:val="20"/>
          <w:lang w:val="es-ES"/>
        </w:rPr>
        <w:t xml:space="preserve">, </w:t>
      </w:r>
      <w:r>
        <w:rPr>
          <w:rFonts w:ascii="Times New Roman" w:eastAsia="Times New Roman" w:hAnsi="Times New Roman" w:cs="Times New Roman"/>
          <w:sz w:val="24"/>
          <w:szCs w:val="20"/>
          <w:lang w:val="es-ES"/>
        </w:rPr>
        <w:t>96</w:t>
      </w:r>
      <w:r w:rsidRPr="00A179F6">
        <w:rPr>
          <w:rFonts w:ascii="Times New Roman" w:eastAsia="Times New Roman" w:hAnsi="Times New Roman" w:cs="Times New Roman"/>
          <w:sz w:val="24"/>
          <w:szCs w:val="20"/>
          <w:lang w:val="es-ES"/>
        </w:rPr>
        <w:t xml:space="preserve">% de sus captaciones eran a plazos inferiores a un año, con un </w:t>
      </w:r>
      <w:r>
        <w:rPr>
          <w:rFonts w:ascii="Times New Roman" w:eastAsia="Times New Roman" w:hAnsi="Times New Roman" w:cs="Times New Roman"/>
          <w:sz w:val="24"/>
          <w:szCs w:val="20"/>
          <w:lang w:val="es-ES"/>
        </w:rPr>
        <w:t>60</w:t>
      </w:r>
      <w:r w:rsidRPr="00A179F6">
        <w:rPr>
          <w:rFonts w:ascii="Times New Roman" w:eastAsia="Times New Roman" w:hAnsi="Times New Roman" w:cs="Times New Roman"/>
          <w:sz w:val="24"/>
          <w:szCs w:val="20"/>
          <w:lang w:val="es-ES"/>
        </w:rPr>
        <w:t xml:space="preserve">% de las mismas </w:t>
      </w:r>
      <w:r>
        <w:rPr>
          <w:rFonts w:ascii="Times New Roman" w:eastAsia="Times New Roman" w:hAnsi="Times New Roman" w:cs="Times New Roman"/>
          <w:sz w:val="24"/>
          <w:szCs w:val="20"/>
          <w:lang w:val="es-ES"/>
        </w:rPr>
        <w:t>en depósitos a la vista</w:t>
      </w:r>
      <w:r w:rsidRPr="00A179F6">
        <w:rPr>
          <w:rFonts w:ascii="Times New Roman" w:eastAsia="Times New Roman" w:hAnsi="Times New Roman" w:cs="Times New Roman"/>
          <w:sz w:val="24"/>
          <w:szCs w:val="20"/>
          <w:lang w:val="es-ES"/>
        </w:rPr>
        <w:t xml:space="preserve">. </w:t>
      </w:r>
      <w:r w:rsidR="00787EBF">
        <w:rPr>
          <w:rFonts w:ascii="Times New Roman" w:eastAsia="Times New Roman" w:hAnsi="Times New Roman" w:cs="Times New Roman"/>
          <w:sz w:val="24"/>
          <w:szCs w:val="20"/>
          <w:lang w:val="es-ES"/>
        </w:rPr>
        <w:t xml:space="preserve">De hecho, si se utiliza una proxy macroeconómica de los activos líquidos que eventualmente estarían disponibles para el otrogamiento de crédito por parte de las IFI, como lo es el M1 de los países centroamericanos, </w:t>
      </w:r>
      <w:r w:rsidR="002778AB">
        <w:rPr>
          <w:rFonts w:ascii="Times New Roman" w:eastAsia="Times New Roman" w:hAnsi="Times New Roman" w:cs="Times New Roman"/>
          <w:sz w:val="24"/>
          <w:szCs w:val="20"/>
          <w:lang w:val="es-ES"/>
        </w:rPr>
        <w:t>y se compara la misma con el crédito otorgado</w:t>
      </w:r>
      <w:r w:rsidR="00ED75E5">
        <w:rPr>
          <w:rFonts w:ascii="Times New Roman" w:eastAsia="Times New Roman" w:hAnsi="Times New Roman" w:cs="Times New Roman"/>
          <w:sz w:val="24"/>
          <w:szCs w:val="20"/>
          <w:lang w:val="es-ES"/>
        </w:rPr>
        <w:t xml:space="preserve"> a privados</w:t>
      </w:r>
      <w:r w:rsidR="002778AB">
        <w:rPr>
          <w:rFonts w:ascii="Times New Roman" w:eastAsia="Times New Roman" w:hAnsi="Times New Roman" w:cs="Times New Roman"/>
          <w:sz w:val="24"/>
          <w:szCs w:val="20"/>
          <w:lang w:val="es-ES"/>
        </w:rPr>
        <w:t xml:space="preserve">, se observa que El Salvador tiene una de las relaciones más bajas de Centroamérica. </w:t>
      </w:r>
      <w:r w:rsidR="00DE0390">
        <w:rPr>
          <w:rFonts w:ascii="Times New Roman" w:eastAsia="Times New Roman" w:hAnsi="Times New Roman" w:cs="Times New Roman"/>
          <w:sz w:val="24"/>
          <w:szCs w:val="20"/>
          <w:lang w:val="es-ES"/>
        </w:rPr>
        <w:t>Así las cosas, la relación es de 2</w:t>
      </w:r>
      <w:r w:rsidR="00ED75E5">
        <w:rPr>
          <w:rFonts w:ascii="Times New Roman" w:eastAsia="Times New Roman" w:hAnsi="Times New Roman" w:cs="Times New Roman"/>
          <w:sz w:val="24"/>
          <w:szCs w:val="20"/>
          <w:lang w:val="es-ES"/>
        </w:rPr>
        <w:t>8</w:t>
      </w:r>
      <w:r w:rsidR="00DE0390">
        <w:rPr>
          <w:rFonts w:ascii="Times New Roman" w:eastAsia="Times New Roman" w:hAnsi="Times New Roman" w:cs="Times New Roman"/>
          <w:sz w:val="24"/>
          <w:szCs w:val="20"/>
          <w:lang w:val="es-ES"/>
        </w:rPr>
        <w:t>.</w:t>
      </w:r>
      <w:r w:rsidR="00ED75E5">
        <w:rPr>
          <w:rFonts w:ascii="Times New Roman" w:eastAsia="Times New Roman" w:hAnsi="Times New Roman" w:cs="Times New Roman"/>
          <w:sz w:val="24"/>
          <w:szCs w:val="20"/>
          <w:lang w:val="es-ES"/>
        </w:rPr>
        <w:t>6</w:t>
      </w:r>
      <w:r w:rsidR="00DE0390">
        <w:rPr>
          <w:rFonts w:ascii="Times New Roman" w:eastAsia="Times New Roman" w:hAnsi="Times New Roman" w:cs="Times New Roman"/>
          <w:sz w:val="24"/>
          <w:szCs w:val="20"/>
          <w:lang w:val="es-ES"/>
        </w:rPr>
        <w:t xml:space="preserve">% para El Salvador, frente a </w:t>
      </w:r>
      <w:r w:rsidR="00F64A26">
        <w:rPr>
          <w:rFonts w:ascii="Times New Roman" w:eastAsia="Times New Roman" w:hAnsi="Times New Roman" w:cs="Times New Roman"/>
          <w:sz w:val="24"/>
          <w:szCs w:val="20"/>
          <w:lang w:val="es-ES"/>
        </w:rPr>
        <w:t>44.6</w:t>
      </w:r>
      <w:r w:rsidR="00DE0390">
        <w:rPr>
          <w:rFonts w:ascii="Times New Roman" w:eastAsia="Times New Roman" w:hAnsi="Times New Roman" w:cs="Times New Roman"/>
          <w:sz w:val="24"/>
          <w:szCs w:val="20"/>
          <w:lang w:val="es-ES"/>
        </w:rPr>
        <w:t>% para Guatemala y 3</w:t>
      </w:r>
      <w:r w:rsidR="00F64A26">
        <w:rPr>
          <w:rFonts w:ascii="Times New Roman" w:eastAsia="Times New Roman" w:hAnsi="Times New Roman" w:cs="Times New Roman"/>
          <w:sz w:val="24"/>
          <w:szCs w:val="20"/>
          <w:lang w:val="es-ES"/>
        </w:rPr>
        <w:t>3</w:t>
      </w:r>
      <w:r w:rsidR="00DE0390">
        <w:rPr>
          <w:rFonts w:ascii="Times New Roman" w:eastAsia="Times New Roman" w:hAnsi="Times New Roman" w:cs="Times New Roman"/>
          <w:sz w:val="24"/>
          <w:szCs w:val="20"/>
          <w:lang w:val="es-ES"/>
        </w:rPr>
        <w:t>.</w:t>
      </w:r>
      <w:r w:rsidR="00F64A26">
        <w:rPr>
          <w:rFonts w:ascii="Times New Roman" w:eastAsia="Times New Roman" w:hAnsi="Times New Roman" w:cs="Times New Roman"/>
          <w:sz w:val="24"/>
          <w:szCs w:val="20"/>
          <w:lang w:val="es-ES"/>
        </w:rPr>
        <w:t>8</w:t>
      </w:r>
      <w:r w:rsidR="00DE0390">
        <w:rPr>
          <w:rFonts w:ascii="Times New Roman" w:eastAsia="Times New Roman" w:hAnsi="Times New Roman" w:cs="Times New Roman"/>
          <w:sz w:val="24"/>
          <w:szCs w:val="20"/>
          <w:lang w:val="es-ES"/>
        </w:rPr>
        <w:t>% para Centroamérica, superando solamente a Nicaragua (</w:t>
      </w:r>
      <w:r w:rsidR="00027ED4">
        <w:rPr>
          <w:rFonts w:ascii="Times New Roman" w:eastAsia="Times New Roman" w:hAnsi="Times New Roman" w:cs="Times New Roman"/>
          <w:sz w:val="24"/>
          <w:szCs w:val="20"/>
          <w:lang w:val="es-ES"/>
        </w:rPr>
        <w:t xml:space="preserve">26.22%) y Honduras (22.6%). </w:t>
      </w:r>
      <w:r w:rsidRPr="00A179F6">
        <w:rPr>
          <w:rFonts w:ascii="Times New Roman" w:eastAsia="Times New Roman" w:hAnsi="Times New Roman" w:cs="Times New Roman"/>
          <w:sz w:val="24"/>
          <w:szCs w:val="20"/>
          <w:lang w:val="es-ES"/>
        </w:rPr>
        <w:t>Con esta estruc</w:t>
      </w:r>
      <w:r>
        <w:rPr>
          <w:rFonts w:ascii="Times New Roman" w:eastAsia="Times New Roman" w:hAnsi="Times New Roman" w:cs="Times New Roman"/>
          <w:sz w:val="24"/>
          <w:szCs w:val="20"/>
          <w:lang w:val="es-ES"/>
        </w:rPr>
        <w:t>tura de fondeo, el apetito de la</w:t>
      </w:r>
      <w:r w:rsidRPr="00A179F6">
        <w:rPr>
          <w:rFonts w:ascii="Times New Roman" w:eastAsia="Times New Roman" w:hAnsi="Times New Roman" w:cs="Times New Roman"/>
          <w:sz w:val="24"/>
          <w:szCs w:val="20"/>
          <w:lang w:val="es-ES"/>
        </w:rPr>
        <w:t xml:space="preserve">s </w:t>
      </w:r>
      <w:r>
        <w:rPr>
          <w:rFonts w:ascii="Times New Roman" w:eastAsia="Times New Roman" w:hAnsi="Times New Roman" w:cs="Times New Roman"/>
          <w:sz w:val="24"/>
          <w:szCs w:val="20"/>
          <w:lang w:val="es-ES"/>
        </w:rPr>
        <w:t>IFIs</w:t>
      </w:r>
      <w:r w:rsidRPr="00A179F6">
        <w:rPr>
          <w:rFonts w:ascii="Times New Roman" w:eastAsia="Times New Roman" w:hAnsi="Times New Roman" w:cs="Times New Roman"/>
          <w:sz w:val="24"/>
          <w:szCs w:val="20"/>
          <w:lang w:val="es-ES"/>
        </w:rPr>
        <w:t xml:space="preserve"> por proveer crédito a mediano y largo plazo es pequeño, </w:t>
      </w:r>
      <w:r>
        <w:rPr>
          <w:rFonts w:ascii="Times New Roman" w:eastAsia="Times New Roman" w:hAnsi="Times New Roman" w:cs="Times New Roman"/>
          <w:sz w:val="24"/>
          <w:szCs w:val="20"/>
          <w:lang w:val="es-ES"/>
        </w:rPr>
        <w:t xml:space="preserve">dado el nivel de descalce entre activos y pasivos, </w:t>
      </w:r>
      <w:r w:rsidRPr="00A179F6">
        <w:rPr>
          <w:rFonts w:ascii="Times New Roman" w:eastAsia="Times New Roman" w:hAnsi="Times New Roman" w:cs="Times New Roman"/>
          <w:sz w:val="24"/>
          <w:szCs w:val="20"/>
          <w:lang w:val="es-ES"/>
        </w:rPr>
        <w:t>limitando así sus posibilidades de cumplir a plenitud su rol de financiar el crecimiento a través del crédito para inversiones.</w:t>
      </w:r>
    </w:p>
    <w:p w:rsidR="002E1D15" w:rsidRDefault="00445046" w:rsidP="00D60936">
      <w:pPr>
        <w:tabs>
          <w:tab w:val="num" w:pos="2196"/>
        </w:tabs>
        <w:spacing w:before="360" w:after="120" w:line="240" w:lineRule="auto"/>
        <w:ind w:left="720"/>
        <w:jc w:val="center"/>
        <w:outlineLvl w:val="1"/>
        <w:rPr>
          <w:rFonts w:ascii="Times New Roman" w:eastAsia="Times New Roman" w:hAnsi="Times New Roman" w:cs="Times New Roman"/>
          <w:b/>
          <w:sz w:val="24"/>
          <w:szCs w:val="20"/>
          <w:lang w:val="es-ES"/>
        </w:rPr>
      </w:pPr>
      <w:r w:rsidRPr="00813B8B">
        <w:rPr>
          <w:rFonts w:ascii="Times New Roman" w:eastAsia="Times New Roman" w:hAnsi="Times New Roman" w:cs="Times New Roman"/>
          <w:b/>
          <w:sz w:val="24"/>
          <w:szCs w:val="20"/>
          <w:lang w:val="es-ES"/>
        </w:rPr>
        <w:t xml:space="preserve">Gráfico </w:t>
      </w:r>
      <w:r>
        <w:rPr>
          <w:rFonts w:ascii="Times New Roman" w:eastAsia="Times New Roman" w:hAnsi="Times New Roman" w:cs="Times New Roman"/>
          <w:b/>
          <w:sz w:val="24"/>
          <w:szCs w:val="20"/>
          <w:lang w:val="es-ES"/>
        </w:rPr>
        <w:t>2</w:t>
      </w:r>
      <w:r w:rsidRPr="00813B8B">
        <w:rPr>
          <w:rFonts w:ascii="Times New Roman" w:eastAsia="Times New Roman" w:hAnsi="Times New Roman" w:cs="Times New Roman"/>
          <w:b/>
          <w:sz w:val="24"/>
          <w:szCs w:val="20"/>
          <w:lang w:val="es-ES"/>
        </w:rPr>
        <w:t xml:space="preserve">: El Salvador: </w:t>
      </w:r>
      <w:r>
        <w:rPr>
          <w:rFonts w:ascii="Times New Roman" w:eastAsia="Times New Roman" w:hAnsi="Times New Roman" w:cs="Times New Roman"/>
          <w:b/>
          <w:sz w:val="24"/>
          <w:szCs w:val="20"/>
          <w:lang w:val="es-ES"/>
        </w:rPr>
        <w:t>Participación depósitos por plazo y tipo (%)</w:t>
      </w:r>
      <w:r w:rsidRPr="00813B8B">
        <w:rPr>
          <w:rFonts w:ascii="Times New Roman" w:eastAsia="Times New Roman" w:hAnsi="Times New Roman" w:cs="Times New Roman"/>
          <w:b/>
          <w:sz w:val="24"/>
          <w:szCs w:val="20"/>
          <w:lang w:val="es-ES"/>
        </w:rPr>
        <w:t xml:space="preserve">, </w:t>
      </w:r>
      <w:r>
        <w:rPr>
          <w:rFonts w:ascii="Times New Roman" w:eastAsia="Times New Roman" w:hAnsi="Times New Roman" w:cs="Times New Roman"/>
          <w:b/>
          <w:sz w:val="24"/>
          <w:szCs w:val="20"/>
          <w:lang w:val="es-ES"/>
        </w:rPr>
        <w:t>1999-2014</w:t>
      </w:r>
      <w:r w:rsidRPr="00813B8B">
        <w:rPr>
          <w:rFonts w:ascii="Times New Roman" w:eastAsia="Times New Roman" w:hAnsi="Times New Roman" w:cs="Times New Roman"/>
          <w:b/>
          <w:sz w:val="24"/>
          <w:szCs w:val="20"/>
          <w:lang w:val="es-ES"/>
        </w:rPr>
        <w:t>.</w:t>
      </w:r>
    </w:p>
    <w:p w:rsidR="00445046" w:rsidRPr="002B6D7C" w:rsidRDefault="00445046" w:rsidP="002E1D15">
      <w:pPr>
        <w:tabs>
          <w:tab w:val="num" w:pos="2196"/>
        </w:tabs>
        <w:spacing w:before="120" w:after="120" w:line="240" w:lineRule="auto"/>
        <w:ind w:left="720"/>
        <w:jc w:val="center"/>
        <w:outlineLvl w:val="1"/>
        <w:rPr>
          <w:rFonts w:ascii="Times New Roman" w:eastAsia="Times New Roman" w:hAnsi="Times New Roman" w:cs="Times New Roman"/>
          <w:color w:val="FF0000"/>
          <w:sz w:val="24"/>
          <w:szCs w:val="20"/>
          <w:lang w:val="es-ES"/>
        </w:rPr>
      </w:pPr>
      <w:r w:rsidRPr="00445046">
        <w:rPr>
          <w:noProof/>
        </w:rPr>
        <w:drawing>
          <wp:inline distT="0" distB="0" distL="0" distR="0" wp14:anchorId="491668F9" wp14:editId="7BC5F43E">
            <wp:extent cx="4493033" cy="3255264"/>
            <wp:effectExtent l="0" t="0" r="3175"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2118" cy="3254601"/>
                    </a:xfrm>
                    <a:prstGeom prst="rect">
                      <a:avLst/>
                    </a:prstGeom>
                    <a:noFill/>
                    <a:ln>
                      <a:noFill/>
                    </a:ln>
                  </pic:spPr>
                </pic:pic>
              </a:graphicData>
            </a:graphic>
          </wp:inline>
        </w:drawing>
      </w:r>
    </w:p>
    <w:p w:rsidR="00445046" w:rsidRPr="00580083" w:rsidRDefault="00445046" w:rsidP="00D60936">
      <w:pPr>
        <w:tabs>
          <w:tab w:val="num" w:pos="2196"/>
        </w:tabs>
        <w:spacing w:before="120" w:after="240" w:line="240" w:lineRule="auto"/>
        <w:ind w:left="720"/>
        <w:jc w:val="center"/>
        <w:outlineLvl w:val="1"/>
        <w:rPr>
          <w:rFonts w:ascii="Times New Roman" w:eastAsia="Times New Roman" w:hAnsi="Times New Roman" w:cs="Times New Roman"/>
          <w:sz w:val="20"/>
          <w:szCs w:val="20"/>
          <w:lang w:val="es-ES"/>
        </w:rPr>
      </w:pPr>
      <w:r w:rsidRPr="00813B8B">
        <w:rPr>
          <w:rFonts w:ascii="Times New Roman" w:eastAsia="Times New Roman" w:hAnsi="Times New Roman" w:cs="Times New Roman"/>
          <w:sz w:val="20"/>
          <w:szCs w:val="20"/>
          <w:lang w:val="es-ES"/>
        </w:rPr>
        <w:t xml:space="preserve">Fuente: </w:t>
      </w:r>
      <w:r>
        <w:rPr>
          <w:rFonts w:ascii="Times New Roman" w:eastAsia="Times New Roman" w:hAnsi="Times New Roman" w:cs="Times New Roman"/>
          <w:sz w:val="20"/>
          <w:szCs w:val="20"/>
          <w:lang w:val="es-ES"/>
        </w:rPr>
        <w:t>Banco Central de la Reserva de El Salvador</w:t>
      </w:r>
      <w:r w:rsidRPr="00813B8B">
        <w:rPr>
          <w:rFonts w:ascii="Times New Roman" w:eastAsia="Times New Roman" w:hAnsi="Times New Roman" w:cs="Times New Roman"/>
          <w:sz w:val="20"/>
          <w:szCs w:val="20"/>
          <w:lang w:val="es-ES"/>
        </w:rPr>
        <w:t>, cálculos propios, 2014.</w:t>
      </w:r>
    </w:p>
    <w:p w:rsidR="00A60754" w:rsidRPr="00813B8B" w:rsidRDefault="00A60754"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eastAsia="Times New Roman" w:hAnsi="Times New Roman" w:cs="Times New Roman"/>
          <w:sz w:val="24"/>
          <w:szCs w:val="20"/>
          <w:lang w:val="es-ES"/>
        </w:rPr>
      </w:pPr>
      <w:r w:rsidRPr="00813B8B">
        <w:rPr>
          <w:rFonts w:ascii="Times New Roman" w:eastAsia="Times New Roman" w:hAnsi="Times New Roman" w:cs="Times New Roman"/>
          <w:b/>
          <w:sz w:val="24"/>
          <w:szCs w:val="20"/>
          <w:lang w:val="es-ES"/>
        </w:rPr>
        <w:t xml:space="preserve">Clasificación </w:t>
      </w:r>
      <w:r w:rsidR="001C7240" w:rsidRPr="00813B8B">
        <w:rPr>
          <w:rFonts w:ascii="Times New Roman" w:eastAsia="Times New Roman" w:hAnsi="Times New Roman" w:cs="Times New Roman"/>
          <w:b/>
          <w:sz w:val="24"/>
          <w:szCs w:val="20"/>
          <w:lang w:val="es-ES"/>
        </w:rPr>
        <w:t xml:space="preserve">y Evolución de </w:t>
      </w:r>
      <w:r w:rsidRPr="00813B8B">
        <w:rPr>
          <w:rFonts w:ascii="Times New Roman" w:eastAsia="Times New Roman" w:hAnsi="Times New Roman" w:cs="Times New Roman"/>
          <w:b/>
          <w:sz w:val="24"/>
          <w:szCs w:val="20"/>
          <w:lang w:val="es-ES"/>
        </w:rPr>
        <w:t>la cartera de créditos en El Salvador.</w:t>
      </w:r>
      <w:r w:rsidRPr="00813B8B">
        <w:rPr>
          <w:rFonts w:ascii="Times New Roman" w:eastAsia="Times New Roman" w:hAnsi="Times New Roman" w:cs="Times New Roman"/>
          <w:sz w:val="24"/>
          <w:szCs w:val="20"/>
          <w:lang w:val="es-ES"/>
        </w:rPr>
        <w:t xml:space="preserve"> Utilizando datos de la </w:t>
      </w:r>
      <w:r w:rsidR="00813B8B" w:rsidRPr="00813B8B">
        <w:rPr>
          <w:rFonts w:ascii="Times New Roman" w:eastAsia="Times New Roman" w:hAnsi="Times New Roman" w:cs="Times New Roman"/>
          <w:sz w:val="24"/>
          <w:szCs w:val="20"/>
          <w:lang w:val="es-ES"/>
        </w:rPr>
        <w:t>Superintendencia del Sistema Financiero de El Salvador</w:t>
      </w:r>
      <w:r w:rsidR="00813B8B">
        <w:rPr>
          <w:rFonts w:ascii="Times New Roman" w:eastAsia="Times New Roman" w:hAnsi="Times New Roman" w:cs="Times New Roman"/>
          <w:sz w:val="24"/>
          <w:szCs w:val="20"/>
          <w:lang w:val="es-ES"/>
        </w:rPr>
        <w:t xml:space="preserve">  (</w:t>
      </w:r>
      <w:r w:rsidRPr="00813B8B">
        <w:rPr>
          <w:rFonts w:ascii="Times New Roman" w:eastAsia="Times New Roman" w:hAnsi="Times New Roman" w:cs="Times New Roman"/>
          <w:sz w:val="24"/>
          <w:szCs w:val="20"/>
          <w:lang w:val="es-ES"/>
        </w:rPr>
        <w:t>SSF</w:t>
      </w:r>
      <w:r w:rsidR="00813B8B">
        <w:rPr>
          <w:rFonts w:ascii="Times New Roman" w:eastAsia="Times New Roman" w:hAnsi="Times New Roman" w:cs="Times New Roman"/>
          <w:sz w:val="24"/>
          <w:szCs w:val="20"/>
          <w:lang w:val="es-ES"/>
        </w:rPr>
        <w:t>)</w:t>
      </w:r>
      <w:r w:rsidRPr="00813B8B">
        <w:rPr>
          <w:rFonts w:ascii="Times New Roman" w:eastAsia="Times New Roman" w:hAnsi="Times New Roman" w:cs="Times New Roman"/>
          <w:sz w:val="24"/>
          <w:szCs w:val="20"/>
          <w:lang w:val="es-ES"/>
        </w:rPr>
        <w:t xml:space="preserve"> para los bancos, y entidades no bancarias, valga decir, bancos cooperativos y sociedades de ahorro y crédito, se llevó a cabo el análisis de la calidad de la cartera de préstamos en El Salvador. Para fines de análisis, se tomaron las metodologías vigentes de calificación de la calidad de la cartera en el país, según lo establecido por el ente de supervisión. En ese orden, se consideró como cartera incobrable o siniestrada aquella que se encontraba en las dos categorías inferiores de clasificación: D2 y E. Bajo este criterio, se sumó la cartera incobrable de bancos y conjuntamente aquella de las entidades no bancarias, y dichos rubros se dividieron entre el valor de la cartera neta total para cada tipo de entidad. Este </w:t>
      </w:r>
      <w:r w:rsidRPr="00813B8B">
        <w:rPr>
          <w:rFonts w:ascii="Times New Roman" w:eastAsia="Times New Roman" w:hAnsi="Times New Roman" w:cs="Times New Roman"/>
          <w:sz w:val="24"/>
          <w:szCs w:val="20"/>
          <w:lang w:val="es-ES"/>
        </w:rPr>
        <w:lastRenderedPageBreak/>
        <w:t>cálculo permitió encontrar una razón de calidad de cartera. Los criterios de clasificación de cartera, por altura (días) de mora, se resumen a continuación:</w:t>
      </w:r>
    </w:p>
    <w:p w:rsidR="00A60754" w:rsidRPr="00D60936" w:rsidRDefault="00A60754" w:rsidP="00D60936">
      <w:pPr>
        <w:jc w:val="center"/>
        <w:rPr>
          <w:rFonts w:ascii="Times New Roman" w:hAnsi="Times New Roman" w:cs="Times New Roman"/>
          <w:b/>
          <w:sz w:val="20"/>
          <w:szCs w:val="24"/>
          <w:lang w:val="es-ES_tradnl"/>
        </w:rPr>
      </w:pPr>
      <w:r w:rsidRPr="00D60936">
        <w:rPr>
          <w:rFonts w:ascii="Times New Roman" w:hAnsi="Times New Roman" w:cs="Times New Roman"/>
          <w:b/>
          <w:sz w:val="20"/>
          <w:szCs w:val="24"/>
          <w:lang w:val="es-ES_tradnl"/>
        </w:rPr>
        <w:t>TABLA 1: El Salvador: Criterios de Clasificación de Cartera por Altura de Mora vigentes a 2014</w:t>
      </w:r>
    </w:p>
    <w:p w:rsidR="00A60754" w:rsidRDefault="00DF1087" w:rsidP="00D60936">
      <w:pPr>
        <w:pStyle w:val="Paragraph"/>
        <w:numPr>
          <w:ilvl w:val="0"/>
          <w:numId w:val="0"/>
        </w:numPr>
        <w:spacing w:before="0" w:after="0" w:line="360" w:lineRule="auto"/>
        <w:jc w:val="center"/>
        <w:rPr>
          <w:rFonts w:asciiTheme="minorHAnsi" w:hAnsiTheme="minorHAnsi"/>
          <w:szCs w:val="24"/>
          <w:lang w:val="es-ES_tradnl"/>
        </w:rPr>
      </w:pPr>
      <w:r w:rsidRPr="009C740E">
        <w:rPr>
          <w:noProof/>
          <w:lang w:val="en-US" w:eastAsia="en-US"/>
        </w:rPr>
        <w:drawing>
          <wp:inline distT="0" distB="0" distL="0" distR="0" wp14:anchorId="10E42529" wp14:editId="1B725E17">
            <wp:extent cx="4800600" cy="255785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07765" cy="2561674"/>
                    </a:xfrm>
                    <a:prstGeom prst="rect">
                      <a:avLst/>
                    </a:prstGeom>
                    <a:noFill/>
                    <a:ln>
                      <a:noFill/>
                    </a:ln>
                  </pic:spPr>
                </pic:pic>
              </a:graphicData>
            </a:graphic>
          </wp:inline>
        </w:drawing>
      </w:r>
    </w:p>
    <w:p w:rsidR="00A60754" w:rsidRPr="00813B8B" w:rsidRDefault="00A60754" w:rsidP="00D60936">
      <w:pPr>
        <w:pStyle w:val="Paragraph"/>
        <w:numPr>
          <w:ilvl w:val="0"/>
          <w:numId w:val="0"/>
        </w:numPr>
        <w:spacing w:before="0" w:after="0" w:line="360" w:lineRule="auto"/>
        <w:jc w:val="center"/>
        <w:rPr>
          <w:sz w:val="20"/>
          <w:lang w:val="es-ES_tradnl"/>
        </w:rPr>
      </w:pPr>
      <w:r w:rsidRPr="00813B8B">
        <w:rPr>
          <w:sz w:val="20"/>
          <w:lang w:val="es-ES_tradnl"/>
        </w:rPr>
        <w:t>Fuente: SSF, Cuadro Propio, 2014.</w:t>
      </w:r>
    </w:p>
    <w:p w:rsidR="002E6E1F" w:rsidRPr="00813B8B" w:rsidRDefault="00A60754"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hAnsi="Times New Roman" w:cs="Times New Roman"/>
          <w:sz w:val="24"/>
          <w:szCs w:val="24"/>
          <w:lang w:val="es-ES_tradnl"/>
        </w:rPr>
      </w:pPr>
      <w:r w:rsidRPr="00813B8B">
        <w:rPr>
          <w:rFonts w:ascii="Times New Roman" w:hAnsi="Times New Roman" w:cs="Times New Roman"/>
          <w:b/>
          <w:sz w:val="24"/>
          <w:szCs w:val="24"/>
          <w:lang w:val="es-ES_tradnl"/>
        </w:rPr>
        <w:t xml:space="preserve">Análisis de la calidad de cartera en El Salvador: Bancos. </w:t>
      </w:r>
      <w:r w:rsidRPr="00813B8B">
        <w:rPr>
          <w:rFonts w:ascii="Times New Roman" w:hAnsi="Times New Roman" w:cs="Times New Roman"/>
          <w:sz w:val="24"/>
          <w:szCs w:val="24"/>
          <w:lang w:val="es-ES_tradnl"/>
        </w:rPr>
        <w:t xml:space="preserve">El </w:t>
      </w:r>
      <w:r w:rsidR="002E6E1F" w:rsidRPr="00813B8B">
        <w:rPr>
          <w:rFonts w:ascii="Times New Roman" w:hAnsi="Times New Roman" w:cs="Times New Roman"/>
          <w:i/>
          <w:sz w:val="24"/>
          <w:szCs w:val="24"/>
          <w:lang w:val="es-ES_tradnl"/>
        </w:rPr>
        <w:t xml:space="preserve">Gráfico </w:t>
      </w:r>
      <w:r w:rsidR="00C632EB">
        <w:rPr>
          <w:rFonts w:ascii="Times New Roman" w:hAnsi="Times New Roman" w:cs="Times New Roman"/>
          <w:i/>
          <w:sz w:val="24"/>
          <w:szCs w:val="24"/>
          <w:lang w:val="es-ES_tradnl"/>
        </w:rPr>
        <w:t>3</w:t>
      </w:r>
      <w:r w:rsidRPr="00813B8B">
        <w:rPr>
          <w:rFonts w:ascii="Times New Roman" w:hAnsi="Times New Roman" w:cs="Times New Roman"/>
          <w:i/>
          <w:sz w:val="24"/>
          <w:szCs w:val="24"/>
          <w:lang w:val="es-ES_tradnl"/>
        </w:rPr>
        <w:t xml:space="preserve"> </w:t>
      </w:r>
      <w:r w:rsidRPr="00813B8B">
        <w:rPr>
          <w:rFonts w:ascii="Times New Roman" w:hAnsi="Times New Roman" w:cs="Times New Roman"/>
          <w:sz w:val="24"/>
          <w:szCs w:val="24"/>
          <w:lang w:val="es-ES_tradnl"/>
        </w:rPr>
        <w:t xml:space="preserve">a continuación muestra dos historias similares en las tendencias en el comportamiento de la razón de calidad de la cartera para los dos tipos de intermediarios (bancarios y no bancarios), variando solo la magnitud de los cambios. Para el caso de los bancos, la crisis financiera internacional tuvo un efecto de carácter más o menos persistente de sobre la calidad de la cartera, que pasó de 2.1% en enero de 2007 a 5.12% en su peor momento en agosto de 2010, representando una desmejora de 1.4 veces en el indicador (Ver: Área sombreada del </w:t>
      </w:r>
      <w:r w:rsidRPr="00813B8B">
        <w:rPr>
          <w:rFonts w:ascii="Times New Roman" w:hAnsi="Times New Roman" w:cs="Times New Roman"/>
          <w:i/>
          <w:sz w:val="24"/>
          <w:szCs w:val="24"/>
          <w:lang w:val="es-ES_tradnl"/>
        </w:rPr>
        <w:t xml:space="preserve">Gráfico </w:t>
      </w:r>
      <w:r w:rsidR="00C632EB">
        <w:rPr>
          <w:rFonts w:ascii="Times New Roman" w:hAnsi="Times New Roman" w:cs="Times New Roman"/>
          <w:i/>
          <w:sz w:val="24"/>
          <w:szCs w:val="24"/>
          <w:lang w:val="es-ES_tradnl"/>
        </w:rPr>
        <w:t>3</w:t>
      </w:r>
      <w:r w:rsidRPr="00813B8B">
        <w:rPr>
          <w:rFonts w:ascii="Times New Roman" w:hAnsi="Times New Roman" w:cs="Times New Roman"/>
          <w:sz w:val="24"/>
          <w:szCs w:val="24"/>
          <w:lang w:val="es-ES_tradnl"/>
        </w:rPr>
        <w:t xml:space="preserve">). La tenue recuperación de la economía en conjunto con algunas medidas de política macroeconómica y la consecuente mejora en la situación de los deudores revirtió esta tendencia, que sin embargo no llevó a la razón de la calidad de la cartera al nivel de 2007 para cerrar 2013 con un 3%. Se ha ajustado una regresión polinómica de grado 2 para representar la tendencia de la cartera en el período. </w:t>
      </w:r>
    </w:p>
    <w:p w:rsidR="00813B8B" w:rsidRPr="00813B8B" w:rsidRDefault="00A60754"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hAnsi="Times New Roman" w:cs="Times New Roman"/>
          <w:sz w:val="24"/>
          <w:szCs w:val="24"/>
          <w:lang w:val="es-ES_tradnl"/>
        </w:rPr>
      </w:pPr>
      <w:r w:rsidRPr="00813B8B">
        <w:rPr>
          <w:rFonts w:ascii="Times New Roman" w:hAnsi="Times New Roman" w:cs="Times New Roman"/>
          <w:b/>
          <w:sz w:val="24"/>
          <w:szCs w:val="24"/>
          <w:lang w:val="es-ES_tradnl"/>
        </w:rPr>
        <w:t>Análisis de calidad de cartera en El Salvador:</w:t>
      </w:r>
      <w:r w:rsidRPr="00813B8B">
        <w:rPr>
          <w:rFonts w:ascii="Times New Roman" w:hAnsi="Times New Roman" w:cs="Times New Roman"/>
          <w:sz w:val="24"/>
          <w:szCs w:val="24"/>
          <w:lang w:val="es-ES_tradnl"/>
        </w:rPr>
        <w:t xml:space="preserve"> </w:t>
      </w:r>
      <w:r w:rsidRPr="00813B8B">
        <w:rPr>
          <w:rFonts w:ascii="Times New Roman" w:hAnsi="Times New Roman" w:cs="Times New Roman"/>
          <w:b/>
          <w:sz w:val="24"/>
          <w:szCs w:val="24"/>
          <w:lang w:val="es-ES_tradnl"/>
        </w:rPr>
        <w:t>Bancos Cooperativos y Sociedades</w:t>
      </w:r>
      <w:r w:rsidR="00D60936">
        <w:rPr>
          <w:rFonts w:ascii="Times New Roman" w:hAnsi="Times New Roman" w:cs="Times New Roman"/>
          <w:b/>
          <w:sz w:val="24"/>
          <w:szCs w:val="24"/>
          <w:lang w:val="es-ES_tradnl"/>
        </w:rPr>
        <w:t xml:space="preserve"> de Ahorro y Crédito vigiladas. </w:t>
      </w:r>
      <w:r w:rsidRPr="00813B8B">
        <w:rPr>
          <w:rFonts w:ascii="Times New Roman" w:hAnsi="Times New Roman" w:cs="Times New Roman"/>
          <w:sz w:val="24"/>
          <w:szCs w:val="24"/>
          <w:lang w:val="es-ES_tradnl"/>
        </w:rPr>
        <w:t xml:space="preserve">El comportamiento para estos tipos de entidades no bancarias es similar al de los bancos por las mismas razones. Sin embargo, el nivel inicial de la razón (enero de 2007), que también es el mínimo de la serie, es inferior en por más de 100 puntos básicos frente al de los bancos: 1.06% frente a 2.1% (Ver: </w:t>
      </w:r>
      <w:r w:rsidR="00C632EB">
        <w:rPr>
          <w:rFonts w:ascii="Times New Roman" w:hAnsi="Times New Roman" w:cs="Times New Roman"/>
          <w:i/>
          <w:sz w:val="24"/>
          <w:szCs w:val="24"/>
          <w:lang w:val="es-ES_tradnl"/>
        </w:rPr>
        <w:t>Gráfico 3</w:t>
      </w:r>
      <w:r w:rsidRPr="00813B8B">
        <w:rPr>
          <w:rFonts w:ascii="Times New Roman" w:hAnsi="Times New Roman" w:cs="Times New Roman"/>
          <w:sz w:val="24"/>
          <w:szCs w:val="24"/>
          <w:lang w:val="es-ES_tradnl"/>
        </w:rPr>
        <w:t>). Por otra parte, la tendencia creciente es menos marcada entre el mínimo y el máximo en noviembre de 2009 de 2.06%, llegando a 0.9 veces. Finalmente, el nivel de calidad de cartera es superior para estos intermediarios en todo el periodo 2007-2013, cerrando 2013 con 1.39%, menos de la mitad que el indicador para bancos.</w:t>
      </w:r>
      <w:r w:rsidR="00032BF3">
        <w:rPr>
          <w:rFonts w:ascii="Times New Roman" w:hAnsi="Times New Roman" w:cs="Times New Roman"/>
          <w:sz w:val="24"/>
          <w:szCs w:val="24"/>
          <w:lang w:val="es-ES_tradnl"/>
        </w:rPr>
        <w:t xml:space="preserve"> Es importante anotar que las entidades no sometidas a inspección y vigilancia de la SSF que ya son sujetos de crédito de BANDESAL no han tenido </w:t>
      </w:r>
      <w:r w:rsidR="00794067">
        <w:rPr>
          <w:rFonts w:ascii="Times New Roman" w:hAnsi="Times New Roman" w:cs="Times New Roman"/>
          <w:sz w:val="24"/>
          <w:szCs w:val="24"/>
          <w:lang w:val="es-ES_tradnl"/>
        </w:rPr>
        <w:t xml:space="preserve">eventos de incumplimiento registrados en esta entidad, por lo que su mora es de 0%, de acuerdo a datos suministrados por sus funcionarios. </w:t>
      </w:r>
    </w:p>
    <w:p w:rsidR="002E6E1F" w:rsidRPr="00813B8B" w:rsidRDefault="00813B8B" w:rsidP="00D60936">
      <w:pPr>
        <w:pStyle w:val="Paragraph"/>
        <w:numPr>
          <w:ilvl w:val="0"/>
          <w:numId w:val="0"/>
        </w:numPr>
        <w:spacing w:before="240" w:after="0" w:line="360" w:lineRule="auto"/>
        <w:ind w:left="720" w:hanging="720"/>
        <w:jc w:val="center"/>
        <w:rPr>
          <w:b/>
          <w:szCs w:val="24"/>
          <w:lang w:val="es-ES_tradnl"/>
        </w:rPr>
      </w:pPr>
      <w:r w:rsidRPr="00813B8B">
        <w:rPr>
          <w:b/>
          <w:szCs w:val="24"/>
          <w:lang w:val="es-ES_tradnl"/>
        </w:rPr>
        <w:lastRenderedPageBreak/>
        <w:t xml:space="preserve">Gráfico </w:t>
      </w:r>
      <w:r w:rsidR="002E1D15">
        <w:rPr>
          <w:b/>
          <w:szCs w:val="24"/>
          <w:lang w:val="es-ES_tradnl"/>
        </w:rPr>
        <w:t>3</w:t>
      </w:r>
      <w:r w:rsidR="00A60754" w:rsidRPr="00813B8B">
        <w:rPr>
          <w:b/>
          <w:szCs w:val="24"/>
          <w:lang w:val="es-ES_tradnl"/>
        </w:rPr>
        <w:t>: El Salvador: Razón de Calidad de Cartera, Ene-2007 a Dic-2013, %</w:t>
      </w:r>
    </w:p>
    <w:p w:rsidR="002E6E1F" w:rsidRPr="00813B8B" w:rsidRDefault="00DF1087" w:rsidP="00D60936">
      <w:pPr>
        <w:pStyle w:val="Paragraph"/>
        <w:numPr>
          <w:ilvl w:val="0"/>
          <w:numId w:val="0"/>
        </w:numPr>
        <w:spacing w:before="0" w:after="0" w:line="360" w:lineRule="auto"/>
        <w:ind w:left="720" w:hanging="720"/>
        <w:jc w:val="center"/>
        <w:rPr>
          <w:szCs w:val="24"/>
          <w:lang w:val="es-ES_tradnl"/>
        </w:rPr>
      </w:pPr>
      <w:r w:rsidRPr="00813B8B">
        <w:rPr>
          <w:noProof/>
          <w:szCs w:val="24"/>
          <w:lang w:val="en-US" w:eastAsia="en-US"/>
        </w:rPr>
        <w:drawing>
          <wp:inline distT="0" distB="0" distL="0" distR="0" wp14:anchorId="37BD4DC0" wp14:editId="745C9477">
            <wp:extent cx="6198327" cy="448694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8327" cy="4486940"/>
                    </a:xfrm>
                    <a:prstGeom prst="rect">
                      <a:avLst/>
                    </a:prstGeom>
                    <a:noFill/>
                    <a:ln>
                      <a:noFill/>
                    </a:ln>
                  </pic:spPr>
                </pic:pic>
              </a:graphicData>
            </a:graphic>
          </wp:inline>
        </w:drawing>
      </w:r>
    </w:p>
    <w:p w:rsidR="00CB56A9" w:rsidRDefault="00A60754" w:rsidP="008F2D74">
      <w:pPr>
        <w:pStyle w:val="Paragraph"/>
        <w:numPr>
          <w:ilvl w:val="0"/>
          <w:numId w:val="0"/>
        </w:numPr>
        <w:ind w:left="720" w:hanging="720"/>
        <w:jc w:val="center"/>
        <w:rPr>
          <w:sz w:val="20"/>
          <w:lang w:val="es-ES_tradnl"/>
        </w:rPr>
      </w:pPr>
      <w:r w:rsidRPr="00813B8B">
        <w:rPr>
          <w:sz w:val="20"/>
          <w:lang w:val="es-ES_tradnl"/>
        </w:rPr>
        <w:t>Fuente: SSF, Bandesal, Cálculos Propios. 2014.</w:t>
      </w:r>
    </w:p>
    <w:p w:rsidR="002E1D15" w:rsidRPr="00813B8B" w:rsidRDefault="002E1D15" w:rsidP="008F2D74">
      <w:pPr>
        <w:pStyle w:val="Paragraph"/>
        <w:numPr>
          <w:ilvl w:val="0"/>
          <w:numId w:val="0"/>
        </w:numPr>
        <w:ind w:left="720" w:hanging="720"/>
        <w:jc w:val="center"/>
        <w:rPr>
          <w:sz w:val="20"/>
          <w:lang w:val="es-ES_tradnl"/>
        </w:rPr>
      </w:pPr>
    </w:p>
    <w:p w:rsidR="008F2D74" w:rsidRDefault="008D264B" w:rsidP="00813B8B">
      <w:pPr>
        <w:numPr>
          <w:ilvl w:val="1"/>
          <w:numId w:val="19"/>
        </w:numPr>
        <w:tabs>
          <w:tab w:val="num" w:pos="720"/>
          <w:tab w:val="num" w:pos="810"/>
          <w:tab w:val="num" w:pos="2196"/>
        </w:tabs>
        <w:spacing w:before="120" w:after="120" w:line="240" w:lineRule="auto"/>
        <w:ind w:left="720" w:hanging="720"/>
        <w:jc w:val="both"/>
        <w:outlineLvl w:val="1"/>
        <w:rPr>
          <w:rFonts w:ascii="Times New Roman" w:hAnsi="Times New Roman" w:cs="Times New Roman"/>
          <w:sz w:val="24"/>
          <w:szCs w:val="24"/>
          <w:lang w:val="es-ES_tradnl"/>
        </w:rPr>
      </w:pPr>
      <w:r w:rsidRPr="00813B8B">
        <w:rPr>
          <w:rFonts w:ascii="Times New Roman" w:hAnsi="Times New Roman" w:cs="Times New Roman"/>
          <w:b/>
          <w:sz w:val="24"/>
          <w:szCs w:val="24"/>
          <w:lang w:val="es-ES_tradnl"/>
        </w:rPr>
        <w:t xml:space="preserve">Análisis de Rentabilidad del Sistema Financiero de El Salvador. </w:t>
      </w:r>
      <w:r w:rsidRPr="00813B8B">
        <w:rPr>
          <w:rFonts w:ascii="Times New Roman" w:hAnsi="Times New Roman" w:cs="Times New Roman"/>
          <w:sz w:val="24"/>
          <w:szCs w:val="24"/>
          <w:lang w:val="es-ES_tradnl"/>
        </w:rPr>
        <w:t xml:space="preserve">El sistema financiero consolidado de El Salvador </w:t>
      </w:r>
      <w:r w:rsidR="008F2D74" w:rsidRPr="00813B8B">
        <w:rPr>
          <w:rFonts w:ascii="Times New Roman" w:hAnsi="Times New Roman" w:cs="Times New Roman"/>
          <w:sz w:val="24"/>
          <w:szCs w:val="24"/>
          <w:lang w:val="es-ES_tradnl"/>
        </w:rPr>
        <w:t xml:space="preserve">presenta unos niveles de rentabilidad muy volátiles para el mismo periodo de análisis de la cartera: 2007-2013. Se observa inicialmente una reducción de la rentabilidad del patrimonio (ROE por sus siglas en inglés), que pasa de 20.4% en enero de 2007 a un mínimo de 3.37% </w:t>
      </w:r>
      <w:r w:rsidR="00EA1B5F" w:rsidRPr="00813B8B">
        <w:rPr>
          <w:rFonts w:ascii="Times New Roman" w:hAnsi="Times New Roman" w:cs="Times New Roman"/>
          <w:sz w:val="24"/>
          <w:szCs w:val="24"/>
          <w:lang w:val="es-ES_tradnl"/>
        </w:rPr>
        <w:t>como consecuencia</w:t>
      </w:r>
      <w:r w:rsidR="008F2D74" w:rsidRPr="00813B8B">
        <w:rPr>
          <w:rFonts w:ascii="Times New Roman" w:hAnsi="Times New Roman" w:cs="Times New Roman"/>
          <w:sz w:val="24"/>
          <w:szCs w:val="24"/>
          <w:lang w:val="es-ES_tradnl"/>
        </w:rPr>
        <w:t xml:space="preserve"> de la crisis financiera</w:t>
      </w:r>
      <w:r w:rsidR="00EA1B5F" w:rsidRPr="00813B8B">
        <w:rPr>
          <w:rFonts w:ascii="Times New Roman" w:hAnsi="Times New Roman" w:cs="Times New Roman"/>
          <w:sz w:val="24"/>
          <w:szCs w:val="24"/>
          <w:lang w:val="es-ES_tradnl"/>
        </w:rPr>
        <w:t xml:space="preserve"> internacional</w:t>
      </w:r>
      <w:r w:rsidR="008F2D74" w:rsidRPr="00813B8B">
        <w:rPr>
          <w:rFonts w:ascii="Times New Roman" w:hAnsi="Times New Roman" w:cs="Times New Roman"/>
          <w:sz w:val="24"/>
          <w:szCs w:val="24"/>
          <w:lang w:val="es-ES_tradnl"/>
        </w:rPr>
        <w:t xml:space="preserve"> </w:t>
      </w:r>
      <w:r w:rsidR="00EA1B5F" w:rsidRPr="00813B8B">
        <w:rPr>
          <w:rFonts w:ascii="Times New Roman" w:hAnsi="Times New Roman" w:cs="Times New Roman"/>
          <w:sz w:val="24"/>
          <w:szCs w:val="24"/>
          <w:lang w:val="es-ES_tradnl"/>
        </w:rPr>
        <w:t>para</w:t>
      </w:r>
      <w:r w:rsidR="008F2D74" w:rsidRPr="00813B8B">
        <w:rPr>
          <w:rFonts w:ascii="Times New Roman" w:hAnsi="Times New Roman" w:cs="Times New Roman"/>
          <w:sz w:val="24"/>
          <w:szCs w:val="24"/>
          <w:lang w:val="es-ES_tradnl"/>
        </w:rPr>
        <w:t xml:space="preserve"> </w:t>
      </w:r>
      <w:r w:rsidR="00EA1B5F" w:rsidRPr="00813B8B">
        <w:rPr>
          <w:rFonts w:ascii="Times New Roman" w:hAnsi="Times New Roman" w:cs="Times New Roman"/>
          <w:sz w:val="24"/>
          <w:szCs w:val="24"/>
          <w:lang w:val="es-ES_tradnl"/>
        </w:rPr>
        <w:t>diciembre</w:t>
      </w:r>
      <w:r w:rsidR="008F2D74" w:rsidRPr="00813B8B">
        <w:rPr>
          <w:rFonts w:ascii="Times New Roman" w:hAnsi="Times New Roman" w:cs="Times New Roman"/>
          <w:sz w:val="24"/>
          <w:szCs w:val="24"/>
          <w:lang w:val="es-ES_tradnl"/>
        </w:rPr>
        <w:t xml:space="preserve"> de 2009. </w:t>
      </w:r>
      <w:r w:rsidR="00EA1B5F" w:rsidRPr="00813B8B">
        <w:rPr>
          <w:rFonts w:ascii="Times New Roman" w:hAnsi="Times New Roman" w:cs="Times New Roman"/>
          <w:sz w:val="24"/>
          <w:szCs w:val="24"/>
          <w:lang w:val="es-ES_tradnl"/>
        </w:rPr>
        <w:t xml:space="preserve">Es importante anotar que tanto los portafolios como las carteras de préstamos se vieron afectadas por la crisis, afectando el desempeño de los bancos. A partir de 2010 la rentabilidad inicia un período sostenido de crecimiento para terminar el 2013 con 16.59% frente al patrimonio. </w:t>
      </w:r>
    </w:p>
    <w:p w:rsidR="00813B8B" w:rsidRDefault="00813B8B" w:rsidP="00813B8B">
      <w:pPr>
        <w:tabs>
          <w:tab w:val="num" w:pos="2196"/>
        </w:tabs>
        <w:spacing w:before="120" w:after="120" w:line="240" w:lineRule="auto"/>
        <w:jc w:val="both"/>
        <w:outlineLvl w:val="1"/>
        <w:rPr>
          <w:rFonts w:ascii="Times New Roman" w:hAnsi="Times New Roman" w:cs="Times New Roman"/>
          <w:sz w:val="24"/>
          <w:szCs w:val="24"/>
          <w:lang w:val="es-ES_tradnl"/>
        </w:rPr>
      </w:pPr>
    </w:p>
    <w:p w:rsidR="002E1D15" w:rsidRDefault="002E1D15" w:rsidP="00813B8B">
      <w:pPr>
        <w:tabs>
          <w:tab w:val="num" w:pos="2196"/>
        </w:tabs>
        <w:spacing w:before="120" w:after="120" w:line="240" w:lineRule="auto"/>
        <w:jc w:val="both"/>
        <w:outlineLvl w:val="1"/>
        <w:rPr>
          <w:rFonts w:ascii="Times New Roman" w:hAnsi="Times New Roman" w:cs="Times New Roman"/>
          <w:sz w:val="24"/>
          <w:szCs w:val="24"/>
          <w:lang w:val="es-ES_tradnl"/>
        </w:rPr>
      </w:pPr>
    </w:p>
    <w:p w:rsidR="002E1D15" w:rsidRDefault="002E1D15" w:rsidP="00813B8B">
      <w:pPr>
        <w:tabs>
          <w:tab w:val="num" w:pos="2196"/>
        </w:tabs>
        <w:spacing w:before="120" w:after="120" w:line="240" w:lineRule="auto"/>
        <w:jc w:val="both"/>
        <w:outlineLvl w:val="1"/>
        <w:rPr>
          <w:rFonts w:ascii="Times New Roman" w:hAnsi="Times New Roman" w:cs="Times New Roman"/>
          <w:sz w:val="24"/>
          <w:szCs w:val="24"/>
          <w:lang w:val="es-ES_tradnl"/>
        </w:rPr>
      </w:pPr>
    </w:p>
    <w:p w:rsidR="002E1D15" w:rsidRDefault="002E1D15" w:rsidP="00813B8B">
      <w:pPr>
        <w:tabs>
          <w:tab w:val="num" w:pos="2196"/>
        </w:tabs>
        <w:spacing w:before="120" w:after="120" w:line="240" w:lineRule="auto"/>
        <w:jc w:val="both"/>
        <w:outlineLvl w:val="1"/>
        <w:rPr>
          <w:rFonts w:ascii="Times New Roman" w:hAnsi="Times New Roman" w:cs="Times New Roman"/>
          <w:sz w:val="24"/>
          <w:szCs w:val="24"/>
          <w:lang w:val="es-ES_tradnl"/>
        </w:rPr>
      </w:pPr>
    </w:p>
    <w:p w:rsidR="00813B8B" w:rsidRPr="00813B8B" w:rsidRDefault="00813B8B" w:rsidP="00D60936">
      <w:pPr>
        <w:pStyle w:val="Paragraph"/>
        <w:numPr>
          <w:ilvl w:val="0"/>
          <w:numId w:val="0"/>
        </w:numPr>
        <w:spacing w:before="240" w:after="0" w:line="360" w:lineRule="auto"/>
        <w:ind w:left="720" w:hanging="720"/>
        <w:jc w:val="center"/>
        <w:rPr>
          <w:szCs w:val="24"/>
          <w:lang w:val="es-ES_tradnl"/>
        </w:rPr>
      </w:pPr>
      <w:r>
        <w:rPr>
          <w:b/>
          <w:szCs w:val="24"/>
          <w:lang w:val="es-ES_tradnl"/>
        </w:rPr>
        <w:lastRenderedPageBreak/>
        <w:t xml:space="preserve">Gráfico </w:t>
      </w:r>
      <w:r w:rsidR="002E1D15">
        <w:rPr>
          <w:b/>
          <w:szCs w:val="24"/>
          <w:lang w:val="es-ES_tradnl"/>
        </w:rPr>
        <w:t>4</w:t>
      </w:r>
      <w:r w:rsidRPr="00813B8B">
        <w:rPr>
          <w:b/>
          <w:szCs w:val="24"/>
          <w:lang w:val="es-ES_tradnl"/>
        </w:rPr>
        <w:t>: Rentabilidad del Sistema Financiero de El Salvador</w:t>
      </w:r>
    </w:p>
    <w:p w:rsidR="00813B8B" w:rsidRPr="002B6D7C" w:rsidRDefault="00813B8B" w:rsidP="00D60936">
      <w:pPr>
        <w:pStyle w:val="Paragraph"/>
        <w:numPr>
          <w:ilvl w:val="0"/>
          <w:numId w:val="0"/>
        </w:numPr>
        <w:spacing w:before="0" w:after="0"/>
        <w:rPr>
          <w:noProof/>
          <w:lang w:val="es-ES_tradnl" w:eastAsia="en-US"/>
        </w:rPr>
      </w:pPr>
      <w:r w:rsidRPr="008F2D74">
        <w:rPr>
          <w:noProof/>
          <w:lang w:val="en-US" w:eastAsia="en-US"/>
        </w:rPr>
        <w:drawing>
          <wp:inline distT="0" distB="0" distL="0" distR="0" wp14:anchorId="2EC1A6E1" wp14:editId="562BD9E2">
            <wp:extent cx="5943600" cy="4305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305935"/>
                    </a:xfrm>
                    <a:prstGeom prst="rect">
                      <a:avLst/>
                    </a:prstGeom>
                    <a:noFill/>
                    <a:ln>
                      <a:noFill/>
                    </a:ln>
                  </pic:spPr>
                </pic:pic>
              </a:graphicData>
            </a:graphic>
          </wp:inline>
        </w:drawing>
      </w:r>
      <w:r w:rsidRPr="002B6D7C">
        <w:rPr>
          <w:noProof/>
          <w:lang w:val="es-ES_tradnl" w:eastAsia="en-US"/>
        </w:rPr>
        <w:t xml:space="preserve"> </w:t>
      </w:r>
    </w:p>
    <w:p w:rsidR="008F2D74" w:rsidRDefault="00813B8B" w:rsidP="00813B8B">
      <w:pPr>
        <w:pStyle w:val="Paragraph"/>
        <w:numPr>
          <w:ilvl w:val="0"/>
          <w:numId w:val="0"/>
        </w:numPr>
        <w:ind w:left="720" w:hanging="720"/>
        <w:jc w:val="center"/>
        <w:rPr>
          <w:sz w:val="20"/>
          <w:lang w:val="es-ES_tradnl"/>
        </w:rPr>
      </w:pPr>
      <w:r w:rsidRPr="00813B8B">
        <w:rPr>
          <w:sz w:val="20"/>
          <w:lang w:val="es-ES_tradnl"/>
        </w:rPr>
        <w:t>Fuente: SSF, Bandesal, Cálculos Propios. 2014</w:t>
      </w:r>
    </w:p>
    <w:p w:rsidR="00813B8B" w:rsidRDefault="00813B8B"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813B8B" w:rsidRDefault="00813B8B" w:rsidP="00813B8B">
      <w:pPr>
        <w:pStyle w:val="Paragraph"/>
        <w:numPr>
          <w:ilvl w:val="0"/>
          <w:numId w:val="0"/>
        </w:numPr>
        <w:ind w:left="720" w:hanging="720"/>
        <w:jc w:val="center"/>
        <w:rPr>
          <w:sz w:val="20"/>
          <w:lang w:val="es-ES_tradnl"/>
        </w:rPr>
      </w:pPr>
    </w:p>
    <w:p w:rsidR="00D60936" w:rsidRDefault="00D60936" w:rsidP="00813B8B">
      <w:pPr>
        <w:pStyle w:val="Paragraph"/>
        <w:numPr>
          <w:ilvl w:val="0"/>
          <w:numId w:val="0"/>
        </w:numPr>
        <w:ind w:left="720" w:hanging="720"/>
        <w:jc w:val="center"/>
        <w:rPr>
          <w:sz w:val="20"/>
          <w:lang w:val="es-ES_tradnl"/>
        </w:rPr>
      </w:pPr>
    </w:p>
    <w:p w:rsidR="00813B8B" w:rsidRPr="00813B8B" w:rsidRDefault="00813B8B" w:rsidP="00813B8B">
      <w:pPr>
        <w:pStyle w:val="Paragraph"/>
        <w:numPr>
          <w:ilvl w:val="0"/>
          <w:numId w:val="0"/>
        </w:numPr>
        <w:ind w:left="720" w:hanging="720"/>
        <w:jc w:val="center"/>
        <w:rPr>
          <w:rFonts w:eastAsiaTheme="minorHAnsi"/>
          <w:b/>
          <w:szCs w:val="24"/>
          <w:lang w:val="es-ES_tradnl" w:eastAsia="en-US"/>
        </w:rPr>
      </w:pPr>
      <w:r w:rsidRPr="00813B8B">
        <w:rPr>
          <w:rFonts w:eastAsiaTheme="minorHAnsi"/>
          <w:b/>
          <w:szCs w:val="24"/>
          <w:lang w:val="es-ES_tradnl" w:eastAsia="en-US"/>
        </w:rPr>
        <w:lastRenderedPageBreak/>
        <w:t xml:space="preserve">Referencias: </w:t>
      </w:r>
    </w:p>
    <w:p w:rsidR="00813B8B" w:rsidRPr="00813B8B" w:rsidRDefault="00813B8B" w:rsidP="00813B8B">
      <w:pPr>
        <w:pStyle w:val="FootnoteText"/>
        <w:rPr>
          <w:rFonts w:ascii="Times New Roman" w:eastAsia="Times New Roman" w:hAnsi="Times New Roman" w:cs="Times New Roman"/>
          <w:sz w:val="24"/>
          <w:lang w:val="es-ES" w:eastAsia="x-none"/>
        </w:rPr>
      </w:pPr>
      <w:r w:rsidRPr="00813B8B">
        <w:rPr>
          <w:rFonts w:ascii="Times New Roman" w:eastAsia="Times New Roman" w:hAnsi="Times New Roman" w:cs="Times New Roman"/>
          <w:sz w:val="24"/>
          <w:lang w:val="es-ES" w:eastAsia="x-none"/>
        </w:rPr>
        <w:t>Base de datos de la la Superintendencia del Sistema Financiero de El Salvador</w:t>
      </w:r>
      <w:r>
        <w:rPr>
          <w:rFonts w:ascii="Times New Roman" w:eastAsia="Times New Roman" w:hAnsi="Times New Roman" w:cs="Times New Roman"/>
          <w:sz w:val="24"/>
          <w:lang w:val="es-ES" w:eastAsia="x-none"/>
        </w:rPr>
        <w:t xml:space="preserve">  (</w:t>
      </w:r>
      <w:r w:rsidRPr="00813B8B">
        <w:rPr>
          <w:rFonts w:ascii="Times New Roman" w:eastAsia="Times New Roman" w:hAnsi="Times New Roman" w:cs="Times New Roman"/>
          <w:sz w:val="24"/>
          <w:lang w:val="es-ES" w:eastAsia="x-none"/>
        </w:rPr>
        <w:t>SSF</w:t>
      </w:r>
      <w:r>
        <w:rPr>
          <w:rFonts w:ascii="Times New Roman" w:eastAsia="Times New Roman" w:hAnsi="Times New Roman" w:cs="Times New Roman"/>
          <w:sz w:val="24"/>
          <w:lang w:val="es-ES" w:eastAsia="x-none"/>
        </w:rPr>
        <w:t>)</w:t>
      </w:r>
      <w:r w:rsidRPr="00813B8B">
        <w:rPr>
          <w:rFonts w:ascii="Times New Roman" w:eastAsia="Times New Roman" w:hAnsi="Times New Roman" w:cs="Times New Roman"/>
          <w:sz w:val="24"/>
          <w:lang w:val="es-ES" w:eastAsia="x-none"/>
        </w:rPr>
        <w:t>, Diciembre 2013</w:t>
      </w:r>
      <w:r w:rsidR="00580083">
        <w:rPr>
          <w:rFonts w:ascii="Times New Roman" w:eastAsia="Times New Roman" w:hAnsi="Times New Roman" w:cs="Times New Roman"/>
          <w:sz w:val="24"/>
          <w:lang w:val="es-ES" w:eastAsia="x-none"/>
        </w:rPr>
        <w:t>.</w:t>
      </w:r>
    </w:p>
    <w:p w:rsidR="00813B8B" w:rsidRDefault="00813B8B" w:rsidP="00813B8B">
      <w:pPr>
        <w:pStyle w:val="FootnoteText"/>
        <w:rPr>
          <w:rFonts w:ascii="Times New Roman" w:eastAsia="Times New Roman" w:hAnsi="Times New Roman" w:cs="Times New Roman"/>
          <w:sz w:val="24"/>
          <w:lang w:val="es-ES" w:eastAsia="x-none"/>
        </w:rPr>
      </w:pPr>
    </w:p>
    <w:p w:rsidR="00813B8B" w:rsidRPr="00813B8B" w:rsidRDefault="00813B8B" w:rsidP="00813B8B">
      <w:pPr>
        <w:pStyle w:val="FootnoteText"/>
        <w:rPr>
          <w:rFonts w:ascii="Times New Roman" w:eastAsia="Times New Roman" w:hAnsi="Times New Roman" w:cs="Times New Roman"/>
          <w:sz w:val="24"/>
          <w:lang w:val="es-ES" w:eastAsia="x-none"/>
        </w:rPr>
      </w:pPr>
      <w:r w:rsidRPr="00813B8B">
        <w:rPr>
          <w:rFonts w:ascii="Times New Roman" w:eastAsia="Times New Roman" w:hAnsi="Times New Roman" w:cs="Times New Roman"/>
          <w:sz w:val="24"/>
          <w:lang w:val="es-ES" w:eastAsia="x-none"/>
        </w:rPr>
        <w:t>Consejo Monetario Centroamericano, Secretaría Ejecutiva, Series Mensuales de Indicadores Bancarios, Mayo 2014.</w:t>
      </w:r>
    </w:p>
    <w:p w:rsidR="00813B8B" w:rsidRDefault="00813B8B" w:rsidP="00813B8B">
      <w:pPr>
        <w:pStyle w:val="FootnoteText"/>
        <w:rPr>
          <w:rFonts w:ascii="Times New Roman" w:eastAsia="Times New Roman" w:hAnsi="Times New Roman" w:cs="Times New Roman"/>
          <w:sz w:val="24"/>
          <w:lang w:val="es-ES" w:eastAsia="x-none"/>
        </w:rPr>
      </w:pPr>
    </w:p>
    <w:p w:rsidR="00813B8B" w:rsidRPr="00813B8B" w:rsidRDefault="00813B8B" w:rsidP="00813B8B">
      <w:pPr>
        <w:pStyle w:val="FootnoteText"/>
        <w:rPr>
          <w:rFonts w:ascii="Times New Roman" w:eastAsia="Times New Roman" w:hAnsi="Times New Roman" w:cs="Times New Roman"/>
          <w:sz w:val="24"/>
          <w:lang w:eastAsia="x-none"/>
        </w:rPr>
      </w:pPr>
      <w:r w:rsidRPr="00813B8B">
        <w:rPr>
          <w:rFonts w:ascii="Times New Roman" w:eastAsia="Times New Roman" w:hAnsi="Times New Roman" w:cs="Times New Roman"/>
          <w:sz w:val="24"/>
          <w:lang w:eastAsia="x-none"/>
        </w:rPr>
        <w:t>International Monetary Fund El Salvador, 2013 Article IV Consultation, IMF Country Report No. 13/132</w:t>
      </w:r>
      <w:r w:rsidR="004210CC">
        <w:rPr>
          <w:rFonts w:ascii="Times New Roman" w:eastAsia="Times New Roman" w:hAnsi="Times New Roman" w:cs="Times New Roman"/>
          <w:sz w:val="24"/>
          <w:lang w:eastAsia="x-none"/>
        </w:rPr>
        <w:t xml:space="preserve">, </w:t>
      </w:r>
      <w:r w:rsidRPr="00813B8B">
        <w:rPr>
          <w:rFonts w:ascii="Times New Roman" w:eastAsia="Times New Roman" w:hAnsi="Times New Roman" w:cs="Times New Roman"/>
          <w:sz w:val="24"/>
          <w:lang w:eastAsia="x-none"/>
        </w:rPr>
        <w:t>May</w:t>
      </w:r>
      <w:r w:rsidR="004210CC">
        <w:rPr>
          <w:rFonts w:ascii="Times New Roman" w:eastAsia="Times New Roman" w:hAnsi="Times New Roman" w:cs="Times New Roman"/>
          <w:sz w:val="24"/>
          <w:lang w:eastAsia="x-none"/>
        </w:rPr>
        <w:t>o 201</w:t>
      </w:r>
      <w:r w:rsidR="001D615B">
        <w:rPr>
          <w:rFonts w:ascii="Times New Roman" w:eastAsia="Times New Roman" w:hAnsi="Times New Roman" w:cs="Times New Roman"/>
          <w:sz w:val="24"/>
          <w:lang w:eastAsia="x-none"/>
        </w:rPr>
        <w:t>3</w:t>
      </w:r>
      <w:r w:rsidRPr="00813B8B">
        <w:rPr>
          <w:rFonts w:ascii="Times New Roman" w:eastAsia="Times New Roman" w:hAnsi="Times New Roman" w:cs="Times New Roman"/>
          <w:sz w:val="24"/>
          <w:lang w:eastAsia="x-none"/>
        </w:rPr>
        <w:t xml:space="preserve">. </w:t>
      </w:r>
    </w:p>
    <w:p w:rsidR="001D7815" w:rsidRDefault="001D7815" w:rsidP="00813B8B">
      <w:pPr>
        <w:pStyle w:val="Paragraph"/>
        <w:numPr>
          <w:ilvl w:val="0"/>
          <w:numId w:val="0"/>
        </w:numPr>
        <w:ind w:left="720" w:hanging="720"/>
        <w:jc w:val="center"/>
        <w:rPr>
          <w:sz w:val="20"/>
          <w:lang w:val="en-US"/>
        </w:rPr>
      </w:pPr>
    </w:p>
    <w:p w:rsidR="001D7815" w:rsidRPr="00813B8B" w:rsidRDefault="001D7815" w:rsidP="00813B8B">
      <w:pPr>
        <w:pStyle w:val="Paragraph"/>
        <w:numPr>
          <w:ilvl w:val="0"/>
          <w:numId w:val="0"/>
        </w:numPr>
        <w:ind w:left="720" w:hanging="720"/>
        <w:jc w:val="center"/>
        <w:rPr>
          <w:sz w:val="20"/>
          <w:lang w:val="en-US"/>
        </w:rPr>
      </w:pPr>
    </w:p>
    <w:sectPr w:rsidR="001D7815" w:rsidRPr="00813B8B" w:rsidSect="00FC195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680" w:rsidRDefault="008E6680" w:rsidP="00382290">
      <w:pPr>
        <w:spacing w:after="0" w:line="240" w:lineRule="auto"/>
      </w:pPr>
      <w:r>
        <w:separator/>
      </w:r>
    </w:p>
  </w:endnote>
  <w:endnote w:type="continuationSeparator" w:id="0">
    <w:p w:rsidR="008E6680" w:rsidRDefault="008E6680" w:rsidP="00382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588362"/>
      <w:docPartObj>
        <w:docPartGallery w:val="Page Numbers (Bottom of Page)"/>
        <w:docPartUnique/>
      </w:docPartObj>
    </w:sdtPr>
    <w:sdtEndPr>
      <w:rPr>
        <w:noProof/>
      </w:rPr>
    </w:sdtEndPr>
    <w:sdtContent>
      <w:p w:rsidR="00231779" w:rsidRDefault="00231779">
        <w:pPr>
          <w:pStyle w:val="Footer"/>
          <w:jc w:val="center"/>
        </w:pPr>
        <w:r w:rsidRPr="00231779">
          <w:rPr>
            <w:rFonts w:ascii="Times New Roman" w:hAnsi="Times New Roman" w:cs="Times New Roman"/>
          </w:rPr>
          <w:fldChar w:fldCharType="begin"/>
        </w:r>
        <w:r w:rsidRPr="00231779">
          <w:rPr>
            <w:rFonts w:ascii="Times New Roman" w:hAnsi="Times New Roman" w:cs="Times New Roman"/>
          </w:rPr>
          <w:instrText xml:space="preserve"> PAGE   \* MERGEFORMAT </w:instrText>
        </w:r>
        <w:r w:rsidRPr="00231779">
          <w:rPr>
            <w:rFonts w:ascii="Times New Roman" w:hAnsi="Times New Roman" w:cs="Times New Roman"/>
          </w:rPr>
          <w:fldChar w:fldCharType="separate"/>
        </w:r>
        <w:r w:rsidR="008E5BB0">
          <w:rPr>
            <w:rFonts w:ascii="Times New Roman" w:hAnsi="Times New Roman" w:cs="Times New Roman"/>
            <w:noProof/>
          </w:rPr>
          <w:t>8</w:t>
        </w:r>
        <w:r w:rsidRPr="00231779">
          <w:rPr>
            <w:rFonts w:ascii="Times New Roman" w:hAnsi="Times New Roman" w:cs="Times New Roman"/>
            <w:noProof/>
          </w:rPr>
          <w:fldChar w:fldCharType="end"/>
        </w:r>
      </w:p>
    </w:sdtContent>
  </w:sdt>
  <w:p w:rsidR="00231779" w:rsidRDefault="002317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680" w:rsidRDefault="008E6680" w:rsidP="00382290">
      <w:pPr>
        <w:spacing w:after="0" w:line="240" w:lineRule="auto"/>
      </w:pPr>
      <w:r>
        <w:separator/>
      </w:r>
    </w:p>
  </w:footnote>
  <w:footnote w:type="continuationSeparator" w:id="0">
    <w:p w:rsidR="008E6680" w:rsidRDefault="008E6680" w:rsidP="00382290">
      <w:pPr>
        <w:spacing w:after="0" w:line="240" w:lineRule="auto"/>
      </w:pPr>
      <w:r>
        <w:continuationSeparator/>
      </w:r>
    </w:p>
  </w:footnote>
  <w:footnote w:id="1">
    <w:p w:rsidR="00A76585" w:rsidRPr="003E38E4" w:rsidRDefault="00A76585">
      <w:pPr>
        <w:pStyle w:val="FootnoteText"/>
        <w:rPr>
          <w:lang w:val="es-ES_tradnl"/>
        </w:rPr>
      </w:pPr>
      <w:r>
        <w:rPr>
          <w:rStyle w:val="FootnoteReference"/>
        </w:rPr>
        <w:footnoteRef/>
      </w:r>
      <w:r w:rsidRPr="003E38E4">
        <w:rPr>
          <w:lang w:val="es-ES_tradnl"/>
        </w:rPr>
        <w:t xml:space="preserve"> </w:t>
      </w:r>
      <w:r w:rsidRPr="003E38E4">
        <w:rPr>
          <w:rFonts w:ascii="Times New Roman" w:hAnsi="Times New Roman" w:cs="Times New Roman"/>
          <w:sz w:val="18"/>
          <w:szCs w:val="18"/>
          <w:lang w:val="es-ES_tradnl"/>
        </w:rPr>
        <w:t>Reguladas mediante la Ley de Bancos Cooperativos y Sociedades de Ahorro y Crédito</w:t>
      </w:r>
      <w:r w:rsidR="00C51224" w:rsidRPr="003E38E4">
        <w:rPr>
          <w:rFonts w:ascii="Times New Roman" w:hAnsi="Times New Roman" w:cs="Times New Roman"/>
          <w:sz w:val="18"/>
          <w:szCs w:val="18"/>
          <w:lang w:val="es-ES_tradnl"/>
        </w:rPr>
        <w:t>, emitida en 2001.</w:t>
      </w:r>
      <w:r w:rsidRPr="003E38E4">
        <w:rPr>
          <w:rFonts w:ascii="Times New Roman" w:hAnsi="Times New Roman" w:cs="Times New Roman"/>
          <w:sz w:val="18"/>
          <w:szCs w:val="18"/>
          <w:lang w:val="es-ES_tradnl"/>
        </w:rPr>
        <w:t>.</w:t>
      </w:r>
    </w:p>
  </w:footnote>
  <w:footnote w:id="2">
    <w:p w:rsidR="00547192" w:rsidRPr="003E38E4" w:rsidRDefault="00547192" w:rsidP="003505A2">
      <w:pPr>
        <w:pStyle w:val="FootnoteText"/>
        <w:ind w:left="90" w:hanging="90"/>
        <w:rPr>
          <w:lang w:val="es-ES_tradnl"/>
        </w:rPr>
      </w:pPr>
      <w:r>
        <w:rPr>
          <w:rStyle w:val="FootnoteReference"/>
        </w:rPr>
        <w:footnoteRef/>
      </w:r>
      <w:r w:rsidRPr="003E38E4">
        <w:rPr>
          <w:lang w:val="es-ES_tradnl"/>
        </w:rPr>
        <w:t xml:space="preserve"> </w:t>
      </w:r>
      <w:r w:rsidRPr="003E38E4">
        <w:rPr>
          <w:rFonts w:ascii="Times New Roman" w:hAnsi="Times New Roman" w:cs="Times New Roman"/>
          <w:sz w:val="18"/>
          <w:szCs w:val="18"/>
          <w:lang w:val="es-ES_tradnl"/>
        </w:rPr>
        <w:t>Las Cajas de Crédito son sociedades cooperativas de responsabilidad limitada, cuya finalidad principal es la concesión de préstamos a sus socios</w:t>
      </w:r>
      <w:r>
        <w:rPr>
          <w:lang w:val="es-ES_tradnl"/>
        </w:rPr>
        <w:t>.</w:t>
      </w:r>
    </w:p>
  </w:footnote>
  <w:footnote w:id="3">
    <w:p w:rsidR="00A26127" w:rsidRPr="003E38E4" w:rsidRDefault="00A26127">
      <w:pPr>
        <w:pStyle w:val="FootnoteText"/>
        <w:rPr>
          <w:lang w:val="es-ES_tradnl"/>
        </w:rPr>
      </w:pPr>
      <w:r>
        <w:rPr>
          <w:rStyle w:val="FootnoteReference"/>
        </w:rPr>
        <w:footnoteRef/>
      </w:r>
      <w:r w:rsidRPr="003E38E4">
        <w:rPr>
          <w:lang w:val="es-ES_tradnl"/>
        </w:rPr>
        <w:t xml:space="preserve"> </w:t>
      </w:r>
      <w:r w:rsidR="004C1459" w:rsidRPr="003E38E4">
        <w:rPr>
          <w:rFonts w:ascii="Times New Roman" w:hAnsi="Times New Roman" w:cs="Times New Roman"/>
          <w:sz w:val="18"/>
          <w:szCs w:val="18"/>
          <w:lang w:val="es-ES_tradnl"/>
        </w:rPr>
        <w:t>Vigilados como bancos por la SSF.</w:t>
      </w:r>
    </w:p>
  </w:footnote>
  <w:footnote w:id="4">
    <w:p w:rsidR="004C1459" w:rsidRPr="003E38E4" w:rsidRDefault="004C1459" w:rsidP="003505A2">
      <w:pPr>
        <w:pStyle w:val="FootnoteText"/>
        <w:ind w:left="90" w:hanging="90"/>
        <w:rPr>
          <w:lang w:val="es-ES_tradnl"/>
        </w:rPr>
      </w:pPr>
      <w:r>
        <w:rPr>
          <w:rStyle w:val="FootnoteReference"/>
        </w:rPr>
        <w:footnoteRef/>
      </w:r>
      <w:r w:rsidRPr="003E38E4">
        <w:rPr>
          <w:lang w:val="es-ES_tradnl"/>
        </w:rPr>
        <w:t xml:space="preserve"> </w:t>
      </w:r>
      <w:r w:rsidR="00C51224" w:rsidRPr="003E38E4">
        <w:rPr>
          <w:rFonts w:ascii="Times New Roman" w:hAnsi="Times New Roman" w:cs="Times New Roman"/>
          <w:sz w:val="18"/>
          <w:szCs w:val="18"/>
          <w:lang w:val="es-ES_tradnl"/>
        </w:rPr>
        <w:t>Entidad técnica que asocia a las Cajas de Crédito y a los Bancos de los Trabajadores</w:t>
      </w:r>
      <w:r w:rsidR="00032BF3" w:rsidRPr="003E38E4">
        <w:rPr>
          <w:rFonts w:ascii="Times New Roman" w:hAnsi="Times New Roman" w:cs="Times New Roman"/>
          <w:sz w:val="18"/>
          <w:szCs w:val="18"/>
          <w:lang w:val="es-ES_tradnl"/>
        </w:rPr>
        <w:t xml:space="preserve"> proporcionando servicios financieros, asistencia técnica, asesoría y otros servicios complementarios. El Pacto Social de dicha entidad se encuentra disponible en </w:t>
      </w:r>
      <w:hyperlink r:id="rId1" w:history="1">
        <w:r w:rsidR="00032BF3" w:rsidRPr="003E38E4">
          <w:rPr>
            <w:rFonts w:ascii="Times New Roman" w:hAnsi="Times New Roman" w:cs="Times New Roman"/>
            <w:sz w:val="18"/>
            <w:szCs w:val="18"/>
            <w:lang w:val="es-ES_tradnl"/>
          </w:rPr>
          <w:t>https://www.fedecredito.com.sv/documentos/pacto-social-fedecredito.pdf</w:t>
        </w:r>
      </w:hyperlink>
      <w:r w:rsidR="00032BF3" w:rsidRPr="003E38E4">
        <w:rPr>
          <w:rFonts w:ascii="Times New Roman" w:hAnsi="Times New Roman" w:cs="Times New Roman"/>
          <w:sz w:val="18"/>
          <w:szCs w:val="18"/>
          <w:lang w:val="es-ES_tradnl"/>
        </w:rPr>
        <w:t>.</w:t>
      </w:r>
      <w:r w:rsidR="00032BF3">
        <w:rPr>
          <w:lang w:val="es-ES_tradnl"/>
        </w:rPr>
        <w:t xml:space="preserve"> </w:t>
      </w:r>
    </w:p>
  </w:footnote>
  <w:footnote w:id="5">
    <w:p w:rsidR="00CB56A9" w:rsidRPr="009C740E" w:rsidRDefault="003505A2" w:rsidP="003505A2">
      <w:pPr>
        <w:pStyle w:val="FootnoteText"/>
        <w:ind w:left="90" w:hanging="180"/>
        <w:jc w:val="both"/>
        <w:rPr>
          <w:rFonts w:ascii="Times New Roman" w:hAnsi="Times New Roman" w:cs="Times New Roman"/>
          <w:sz w:val="18"/>
          <w:szCs w:val="18"/>
          <w:lang w:val="es-ES_tradnl"/>
        </w:rPr>
      </w:pPr>
      <w:r>
        <w:rPr>
          <w:lang w:val="es-ES_tradnl"/>
        </w:rPr>
        <w:t xml:space="preserve"> </w:t>
      </w:r>
      <w:r w:rsidR="00CB56A9">
        <w:rPr>
          <w:rStyle w:val="FootnoteReference"/>
        </w:rPr>
        <w:footnoteRef/>
      </w:r>
      <w:r w:rsidRPr="003505A2">
        <w:rPr>
          <w:lang w:val="es-ES_tradnl"/>
        </w:rPr>
        <w:t xml:space="preserve"> </w:t>
      </w:r>
      <w:r w:rsidR="00CB56A9" w:rsidRPr="009C740E">
        <w:rPr>
          <w:rFonts w:ascii="Times New Roman" w:hAnsi="Times New Roman" w:cs="Times New Roman"/>
          <w:sz w:val="18"/>
          <w:szCs w:val="18"/>
          <w:lang w:val="es-ES_tradnl"/>
        </w:rPr>
        <w:t>Entendido como un total de 22 entidades receptoras de depósitos entre bancos (13), bancos cooperativos (7) y sociedades de ahorro y crédito (2), todas estas fiscalizadas por la Superintendencia del Sistema Financiero de El Salvador (SSF).</w:t>
      </w:r>
    </w:p>
  </w:footnote>
  <w:footnote w:id="6">
    <w:p w:rsidR="00813B8B" w:rsidRPr="00231779" w:rsidRDefault="00813B8B" w:rsidP="00813B8B">
      <w:pPr>
        <w:pStyle w:val="FootnoteText"/>
        <w:ind w:left="180" w:hanging="180"/>
        <w:rPr>
          <w:rFonts w:ascii="Times New Roman" w:hAnsi="Times New Roman" w:cs="Times New Roman"/>
          <w:lang w:val="es-ES_tradnl"/>
        </w:rPr>
      </w:pPr>
      <w:r w:rsidRPr="00231779">
        <w:rPr>
          <w:rStyle w:val="FootnoteReference"/>
          <w:rFonts w:ascii="Times New Roman" w:hAnsi="Times New Roman" w:cs="Times New Roman"/>
        </w:rPr>
        <w:footnoteRef/>
      </w:r>
      <w:r w:rsidRPr="00231779">
        <w:rPr>
          <w:rFonts w:ascii="Times New Roman" w:hAnsi="Times New Roman" w:cs="Times New Roman"/>
          <w:lang w:val="es-ES_tradnl"/>
        </w:rPr>
        <w:t xml:space="preserve"> El plazo promedio de los préstamos otorgados por los establecimientos de crédito es de 2.88 años de acuerdo con datos de la Superintendencia de Servicios Financieros de El Salvador –SSF-.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16CB"/>
    <w:multiLevelType w:val="multilevel"/>
    <w:tmpl w:val="AD3449C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lowerRoman"/>
      <w:lvlText w:val="%4."/>
      <w:lvlJc w:val="right"/>
      <w:pPr>
        <w:ind w:left="720" w:hanging="720"/>
      </w:pPr>
      <w:rPr>
        <w:rFonts w:hint="default"/>
        <w:b/>
      </w:rPr>
    </w:lvl>
    <w:lvl w:ilvl="4">
      <w:start w:val="1"/>
      <w:numFmt w:val="lowerLetter"/>
      <w:lvlText w:val="%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29C5C6C"/>
    <w:multiLevelType w:val="hybridMultilevel"/>
    <w:tmpl w:val="F92EF90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CF5019"/>
    <w:multiLevelType w:val="hybridMultilevel"/>
    <w:tmpl w:val="4254ED66"/>
    <w:lvl w:ilvl="0" w:tplc="6556EBE4">
      <w:start w:val="3"/>
      <w:numFmt w:val="bullet"/>
      <w:lvlText w:val="-"/>
      <w:lvlJc w:val="left"/>
      <w:pPr>
        <w:ind w:left="720" w:hanging="360"/>
      </w:pPr>
      <w:rPr>
        <w:rFonts w:ascii="Garamond" w:eastAsia="Calibri" w:hAnsi="Garamond"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AB7FC9"/>
    <w:multiLevelType w:val="multilevel"/>
    <w:tmpl w:val="0F50E65A"/>
    <w:lvl w:ilvl="0">
      <w:start w:val="1"/>
      <w:numFmt w:val="upperRoman"/>
      <w:lvlText w:val="%1."/>
      <w:lvlJc w:val="center"/>
      <w:pPr>
        <w:tabs>
          <w:tab w:val="num" w:pos="648"/>
        </w:tabs>
        <w:ind w:left="0" w:firstLine="288"/>
      </w:pPr>
      <w:rPr>
        <w:rFonts w:hint="default"/>
        <w:b/>
        <w:i w:val="0"/>
      </w:rPr>
    </w:lvl>
    <w:lvl w:ilvl="1">
      <w:start w:val="1"/>
      <w:numFmt w:val="decimal"/>
      <w:isLgl/>
      <w:lvlText w:val="%2."/>
      <w:lvlJc w:val="left"/>
      <w:pPr>
        <w:tabs>
          <w:tab w:val="num" w:pos="810"/>
        </w:tabs>
        <w:ind w:left="810" w:hanging="720"/>
      </w:pPr>
      <w:rPr>
        <w:rFonts w:ascii="Times New Roman" w:eastAsia="Times New Roman" w:hAnsi="Times New Roman" w:cs="Times New Roman" w:hint="default"/>
        <w:b w:val="0"/>
        <w:sz w:val="24"/>
      </w:rPr>
    </w:lvl>
    <w:lvl w:ilvl="2">
      <w:start w:val="1"/>
      <w:numFmt w:val="lowerRoman"/>
      <w:lvlText w:val="%3."/>
      <w:lvlJc w:val="righ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B287816"/>
    <w:multiLevelType w:val="multilevel"/>
    <w:tmpl w:val="4D982AAA"/>
    <w:lvl w:ilvl="0">
      <w:start w:val="4"/>
      <w:numFmt w:val="upperRoman"/>
      <w:lvlText w:val="%1."/>
      <w:lvlJc w:val="center"/>
      <w:pPr>
        <w:tabs>
          <w:tab w:val="num" w:pos="648"/>
        </w:tabs>
        <w:ind w:left="0" w:firstLine="288"/>
      </w:pPr>
      <w:rPr>
        <w:rFonts w:hint="default"/>
        <w:b/>
        <w:i w:val="0"/>
      </w:rPr>
    </w:lvl>
    <w:lvl w:ilvl="1">
      <w:start w:val="51"/>
      <w:numFmt w:val="decimal"/>
      <w:isLgl/>
      <w:lvlText w:val="%2."/>
      <w:lvlJc w:val="left"/>
      <w:pPr>
        <w:tabs>
          <w:tab w:val="num" w:pos="810"/>
        </w:tabs>
        <w:ind w:left="810" w:hanging="720"/>
      </w:pPr>
      <w:rPr>
        <w:rFonts w:ascii="Times New Roman" w:eastAsia="Times New Roman" w:hAnsi="Times New Roman" w:cs="Times New Roman" w:hint="default"/>
        <w:b w:val="0"/>
        <w:sz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240E5802"/>
    <w:multiLevelType w:val="hybridMultilevel"/>
    <w:tmpl w:val="F1F29B1C"/>
    <w:lvl w:ilvl="0" w:tplc="D8EC52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B7513A"/>
    <w:multiLevelType w:val="multilevel"/>
    <w:tmpl w:val="4A3A229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3B3E7198"/>
    <w:multiLevelType w:val="multilevel"/>
    <w:tmpl w:val="3FF869B2"/>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nsid w:val="3BE743A4"/>
    <w:multiLevelType w:val="multilevel"/>
    <w:tmpl w:val="74A8EDF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lowerRoman"/>
      <w:lvlText w:val="%4."/>
      <w:lvlJc w:val="right"/>
      <w:pPr>
        <w:ind w:left="720" w:hanging="720"/>
      </w:pPr>
      <w:rPr>
        <w:rFonts w:hint="default"/>
        <w:b/>
      </w:rPr>
    </w:lvl>
    <w:lvl w:ilvl="4">
      <w:start w:val="1"/>
      <w:numFmt w:val="lowerLetter"/>
      <w:lvlText w:val="%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402C287D"/>
    <w:multiLevelType w:val="hybridMultilevel"/>
    <w:tmpl w:val="2D3C9F1A"/>
    <w:lvl w:ilvl="0" w:tplc="A970A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A4862"/>
    <w:multiLevelType w:val="multilevel"/>
    <w:tmpl w:val="444EEC2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54161BED"/>
    <w:multiLevelType w:val="hybridMultilevel"/>
    <w:tmpl w:val="4E8CC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04AEA"/>
    <w:multiLevelType w:val="multilevel"/>
    <w:tmpl w:val="D4BE24A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5A74529A"/>
    <w:multiLevelType w:val="multilevel"/>
    <w:tmpl w:val="6D78EC4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0DD5702"/>
    <w:multiLevelType w:val="multilevel"/>
    <w:tmpl w:val="1D3E505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61C6263D"/>
    <w:multiLevelType w:val="multilevel"/>
    <w:tmpl w:val="45983792"/>
    <w:lvl w:ilvl="0">
      <w:start w:val="2"/>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6">
    <w:nsid w:val="652E4F7F"/>
    <w:multiLevelType w:val="multilevel"/>
    <w:tmpl w:val="FA76387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nsid w:val="6F9749C2"/>
    <w:multiLevelType w:val="multilevel"/>
    <w:tmpl w:val="05BA218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nsid w:val="7E92735C"/>
    <w:multiLevelType w:val="hybridMultilevel"/>
    <w:tmpl w:val="3A764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
  </w:num>
  <w:num w:numId="4">
    <w:abstractNumId w:val="14"/>
  </w:num>
  <w:num w:numId="5">
    <w:abstractNumId w:val="13"/>
  </w:num>
  <w:num w:numId="6">
    <w:abstractNumId w:val="8"/>
  </w:num>
  <w:num w:numId="7">
    <w:abstractNumId w:val="10"/>
  </w:num>
  <w:num w:numId="8">
    <w:abstractNumId w:val="7"/>
  </w:num>
  <w:num w:numId="9">
    <w:abstractNumId w:val="0"/>
  </w:num>
  <w:num w:numId="10">
    <w:abstractNumId w:val="6"/>
  </w:num>
  <w:num w:numId="11">
    <w:abstractNumId w:val="15"/>
  </w:num>
  <w:num w:numId="12">
    <w:abstractNumId w:val="3"/>
  </w:num>
  <w:num w:numId="13">
    <w:abstractNumId w:val="4"/>
  </w:num>
  <w:num w:numId="14">
    <w:abstractNumId w:val="2"/>
  </w:num>
  <w:num w:numId="15">
    <w:abstractNumId w:val="17"/>
  </w:num>
  <w:num w:numId="16">
    <w:abstractNumId w:val="16"/>
  </w:num>
  <w:num w:numId="17">
    <w:abstractNumId w:val="5"/>
  </w:num>
  <w:num w:numId="18">
    <w:abstractNumId w:val="9"/>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2D"/>
    <w:rsid w:val="00016BC1"/>
    <w:rsid w:val="00027ED4"/>
    <w:rsid w:val="00032800"/>
    <w:rsid w:val="00032BF3"/>
    <w:rsid w:val="0004340F"/>
    <w:rsid w:val="0004656E"/>
    <w:rsid w:val="00075D69"/>
    <w:rsid w:val="00076B10"/>
    <w:rsid w:val="00085E5D"/>
    <w:rsid w:val="000B2557"/>
    <w:rsid w:val="000B3308"/>
    <w:rsid w:val="000C17C9"/>
    <w:rsid w:val="000E252E"/>
    <w:rsid w:val="000F4575"/>
    <w:rsid w:val="00103D2D"/>
    <w:rsid w:val="00141CE3"/>
    <w:rsid w:val="00152E1E"/>
    <w:rsid w:val="00167A10"/>
    <w:rsid w:val="00197E9B"/>
    <w:rsid w:val="001A1DF6"/>
    <w:rsid w:val="001C7240"/>
    <w:rsid w:val="001D615B"/>
    <w:rsid w:val="001D7815"/>
    <w:rsid w:val="00201F8D"/>
    <w:rsid w:val="00202F72"/>
    <w:rsid w:val="00220690"/>
    <w:rsid w:val="00222556"/>
    <w:rsid w:val="00231779"/>
    <w:rsid w:val="00234113"/>
    <w:rsid w:val="00235ABF"/>
    <w:rsid w:val="00235BEE"/>
    <w:rsid w:val="0025733C"/>
    <w:rsid w:val="00262E7D"/>
    <w:rsid w:val="00275302"/>
    <w:rsid w:val="002778AB"/>
    <w:rsid w:val="00285C7B"/>
    <w:rsid w:val="00290121"/>
    <w:rsid w:val="002B60EE"/>
    <w:rsid w:val="002B6D7C"/>
    <w:rsid w:val="002E1D15"/>
    <w:rsid w:val="002E6E1F"/>
    <w:rsid w:val="00342A82"/>
    <w:rsid w:val="003505A2"/>
    <w:rsid w:val="003543DA"/>
    <w:rsid w:val="00382290"/>
    <w:rsid w:val="003838F9"/>
    <w:rsid w:val="003A4DAB"/>
    <w:rsid w:val="003B19CE"/>
    <w:rsid w:val="003B3CBB"/>
    <w:rsid w:val="003C4307"/>
    <w:rsid w:val="003E38E4"/>
    <w:rsid w:val="003E70F6"/>
    <w:rsid w:val="00410DA8"/>
    <w:rsid w:val="00417C15"/>
    <w:rsid w:val="00420824"/>
    <w:rsid w:val="004210CC"/>
    <w:rsid w:val="00424E55"/>
    <w:rsid w:val="004324CA"/>
    <w:rsid w:val="00443E3F"/>
    <w:rsid w:val="00444700"/>
    <w:rsid w:val="00445046"/>
    <w:rsid w:val="004536CF"/>
    <w:rsid w:val="00454094"/>
    <w:rsid w:val="00474D44"/>
    <w:rsid w:val="004B0812"/>
    <w:rsid w:val="004C0639"/>
    <w:rsid w:val="004C1459"/>
    <w:rsid w:val="004D144D"/>
    <w:rsid w:val="004D7B37"/>
    <w:rsid w:val="004E1488"/>
    <w:rsid w:val="004E68B2"/>
    <w:rsid w:val="004F506F"/>
    <w:rsid w:val="005051A2"/>
    <w:rsid w:val="00505E6F"/>
    <w:rsid w:val="00512D9D"/>
    <w:rsid w:val="00547192"/>
    <w:rsid w:val="00580083"/>
    <w:rsid w:val="00580C43"/>
    <w:rsid w:val="00584C12"/>
    <w:rsid w:val="00592F2B"/>
    <w:rsid w:val="00597A78"/>
    <w:rsid w:val="005C052B"/>
    <w:rsid w:val="005E019A"/>
    <w:rsid w:val="00626ADC"/>
    <w:rsid w:val="00641DA3"/>
    <w:rsid w:val="00642FB1"/>
    <w:rsid w:val="00661746"/>
    <w:rsid w:val="00674E42"/>
    <w:rsid w:val="0067751F"/>
    <w:rsid w:val="00677579"/>
    <w:rsid w:val="00696648"/>
    <w:rsid w:val="006C09AD"/>
    <w:rsid w:val="006C257B"/>
    <w:rsid w:val="006D411B"/>
    <w:rsid w:val="006F2015"/>
    <w:rsid w:val="006F4A53"/>
    <w:rsid w:val="00702437"/>
    <w:rsid w:val="00711591"/>
    <w:rsid w:val="00712306"/>
    <w:rsid w:val="00740139"/>
    <w:rsid w:val="00745717"/>
    <w:rsid w:val="007571FC"/>
    <w:rsid w:val="0076213F"/>
    <w:rsid w:val="00762CA4"/>
    <w:rsid w:val="00787EBF"/>
    <w:rsid w:val="00794067"/>
    <w:rsid w:val="007A4D71"/>
    <w:rsid w:val="007C29FE"/>
    <w:rsid w:val="007D7C48"/>
    <w:rsid w:val="007F578E"/>
    <w:rsid w:val="007F5D03"/>
    <w:rsid w:val="00813B8B"/>
    <w:rsid w:val="008208B1"/>
    <w:rsid w:val="00854208"/>
    <w:rsid w:val="00863F85"/>
    <w:rsid w:val="008A7E43"/>
    <w:rsid w:val="008D264B"/>
    <w:rsid w:val="008E5BB0"/>
    <w:rsid w:val="008E653C"/>
    <w:rsid w:val="008E6680"/>
    <w:rsid w:val="008E76AA"/>
    <w:rsid w:val="008F2941"/>
    <w:rsid w:val="008F2D74"/>
    <w:rsid w:val="009247C3"/>
    <w:rsid w:val="00931C3F"/>
    <w:rsid w:val="00943C9E"/>
    <w:rsid w:val="009918BC"/>
    <w:rsid w:val="009A655C"/>
    <w:rsid w:val="009C02BF"/>
    <w:rsid w:val="009C740E"/>
    <w:rsid w:val="009D3159"/>
    <w:rsid w:val="009E1067"/>
    <w:rsid w:val="009E298C"/>
    <w:rsid w:val="009E6363"/>
    <w:rsid w:val="009F6A53"/>
    <w:rsid w:val="009F75B9"/>
    <w:rsid w:val="00A05174"/>
    <w:rsid w:val="00A26127"/>
    <w:rsid w:val="00A474CE"/>
    <w:rsid w:val="00A60754"/>
    <w:rsid w:val="00A6215F"/>
    <w:rsid w:val="00A76585"/>
    <w:rsid w:val="00A93351"/>
    <w:rsid w:val="00AB3A2D"/>
    <w:rsid w:val="00AC053F"/>
    <w:rsid w:val="00AD3C5C"/>
    <w:rsid w:val="00AF2291"/>
    <w:rsid w:val="00B217AF"/>
    <w:rsid w:val="00B341C9"/>
    <w:rsid w:val="00B46EB2"/>
    <w:rsid w:val="00B51E65"/>
    <w:rsid w:val="00B54E06"/>
    <w:rsid w:val="00B81378"/>
    <w:rsid w:val="00B96687"/>
    <w:rsid w:val="00BB3DD3"/>
    <w:rsid w:val="00BE21B7"/>
    <w:rsid w:val="00BF4B39"/>
    <w:rsid w:val="00C230BB"/>
    <w:rsid w:val="00C51224"/>
    <w:rsid w:val="00C54576"/>
    <w:rsid w:val="00C632EB"/>
    <w:rsid w:val="00C93EEE"/>
    <w:rsid w:val="00CB56A9"/>
    <w:rsid w:val="00CD511B"/>
    <w:rsid w:val="00CF10E0"/>
    <w:rsid w:val="00D05D19"/>
    <w:rsid w:val="00D200EC"/>
    <w:rsid w:val="00D37D6D"/>
    <w:rsid w:val="00D60936"/>
    <w:rsid w:val="00D86182"/>
    <w:rsid w:val="00D95C9B"/>
    <w:rsid w:val="00DB4A06"/>
    <w:rsid w:val="00DD4F14"/>
    <w:rsid w:val="00DE0390"/>
    <w:rsid w:val="00DE6C45"/>
    <w:rsid w:val="00DF1087"/>
    <w:rsid w:val="00DF177E"/>
    <w:rsid w:val="00E13B92"/>
    <w:rsid w:val="00E17D66"/>
    <w:rsid w:val="00E23F2C"/>
    <w:rsid w:val="00E26F63"/>
    <w:rsid w:val="00E64180"/>
    <w:rsid w:val="00E67CD2"/>
    <w:rsid w:val="00E776C1"/>
    <w:rsid w:val="00EA1B5F"/>
    <w:rsid w:val="00ED75E5"/>
    <w:rsid w:val="00F201CB"/>
    <w:rsid w:val="00F363D6"/>
    <w:rsid w:val="00F53E21"/>
    <w:rsid w:val="00F5535A"/>
    <w:rsid w:val="00F64A26"/>
    <w:rsid w:val="00F844C7"/>
    <w:rsid w:val="00FB3463"/>
    <w:rsid w:val="00FC1953"/>
    <w:rsid w:val="00FC22B6"/>
    <w:rsid w:val="00FC778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C17C9"/>
    <w:pPr>
      <w:ind w:left="720"/>
      <w:contextualSpacing/>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82290"/>
    <w:pPr>
      <w:spacing w:after="0" w:line="240" w:lineRule="auto"/>
    </w:pPr>
    <w:rPr>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82290"/>
    <w:rPr>
      <w:sz w:val="20"/>
      <w:szCs w:val="20"/>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382290"/>
    <w:rPr>
      <w:vertAlign w:val="superscript"/>
    </w:rPr>
  </w:style>
  <w:style w:type="paragraph" w:customStyle="1" w:styleId="Chapter">
    <w:name w:val="Chapter"/>
    <w:basedOn w:val="Normal"/>
    <w:next w:val="Normal"/>
    <w:rsid w:val="00201F8D"/>
    <w:pPr>
      <w:keepNext/>
      <w:numPr>
        <w:numId w:val="4"/>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201F8D"/>
    <w:pPr>
      <w:numPr>
        <w:ilvl w:val="1"/>
        <w:numId w:val="4"/>
      </w:numPr>
      <w:spacing w:before="120" w:line="240" w:lineRule="auto"/>
      <w:jc w:val="both"/>
      <w:outlineLvl w:val="1"/>
    </w:pPr>
    <w:rPr>
      <w:rFonts w:ascii="Times New Roman" w:eastAsia="Times New Roman" w:hAnsi="Times New Roman" w:cs="Times New Roman"/>
      <w:sz w:val="24"/>
      <w:szCs w:val="20"/>
      <w:lang w:val="x-none" w:eastAsia="x-none"/>
    </w:rPr>
  </w:style>
  <w:style w:type="paragraph" w:customStyle="1" w:styleId="subpar">
    <w:name w:val="subpar"/>
    <w:basedOn w:val="BodyTextIndent3"/>
    <w:rsid w:val="00201F8D"/>
    <w:pPr>
      <w:numPr>
        <w:ilvl w:val="2"/>
        <w:numId w:val="4"/>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x-none" w:eastAsia="x-none"/>
    </w:rPr>
  </w:style>
  <w:style w:type="paragraph" w:customStyle="1" w:styleId="SubSubPar">
    <w:name w:val="SubSubPar"/>
    <w:basedOn w:val="subpar"/>
    <w:rsid w:val="00201F8D"/>
    <w:pPr>
      <w:numPr>
        <w:ilvl w:val="3"/>
      </w:numPr>
      <w:tabs>
        <w:tab w:val="clear" w:pos="3024"/>
        <w:tab w:val="left" w:pos="0"/>
        <w:tab w:val="num" w:pos="360"/>
        <w:tab w:val="num" w:pos="1152"/>
        <w:tab w:val="num" w:pos="1296"/>
      </w:tabs>
      <w:ind w:left="1296"/>
    </w:pPr>
  </w:style>
  <w:style w:type="character" w:customStyle="1" w:styleId="ParagraphChar">
    <w:name w:val="Paragraph Char"/>
    <w:link w:val="Paragraph"/>
    <w:rsid w:val="00201F8D"/>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uiPriority w:val="99"/>
    <w:semiHidden/>
    <w:unhideWhenUsed/>
    <w:rsid w:val="00201F8D"/>
    <w:pPr>
      <w:spacing w:after="120"/>
      <w:ind w:left="360"/>
    </w:pPr>
  </w:style>
  <w:style w:type="character" w:customStyle="1" w:styleId="BodyTextIndentChar">
    <w:name w:val="Body Text Indent Char"/>
    <w:basedOn w:val="DefaultParagraphFont"/>
    <w:link w:val="BodyTextIndent"/>
    <w:uiPriority w:val="99"/>
    <w:semiHidden/>
    <w:rsid w:val="00201F8D"/>
  </w:style>
  <w:style w:type="paragraph" w:styleId="BodyTextIndent3">
    <w:name w:val="Body Text Indent 3"/>
    <w:basedOn w:val="Normal"/>
    <w:link w:val="BodyTextIndent3Char"/>
    <w:uiPriority w:val="99"/>
    <w:semiHidden/>
    <w:unhideWhenUsed/>
    <w:rsid w:val="00201F8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01F8D"/>
    <w:rPr>
      <w:sz w:val="16"/>
      <w:szCs w:val="16"/>
    </w:rPr>
  </w:style>
  <w:style w:type="character" w:styleId="CommentReference">
    <w:name w:val="annotation reference"/>
    <w:basedOn w:val="DefaultParagraphFont"/>
    <w:uiPriority w:val="99"/>
    <w:semiHidden/>
    <w:unhideWhenUsed/>
    <w:rsid w:val="00580C43"/>
    <w:rPr>
      <w:sz w:val="16"/>
      <w:szCs w:val="16"/>
    </w:rPr>
  </w:style>
  <w:style w:type="paragraph" w:styleId="CommentText">
    <w:name w:val="annotation text"/>
    <w:basedOn w:val="Normal"/>
    <w:link w:val="CommentTextChar"/>
    <w:uiPriority w:val="99"/>
    <w:semiHidden/>
    <w:unhideWhenUsed/>
    <w:rsid w:val="00580C43"/>
    <w:pPr>
      <w:spacing w:line="240" w:lineRule="auto"/>
    </w:pPr>
    <w:rPr>
      <w:sz w:val="20"/>
      <w:szCs w:val="20"/>
    </w:rPr>
  </w:style>
  <w:style w:type="character" w:customStyle="1" w:styleId="CommentTextChar">
    <w:name w:val="Comment Text Char"/>
    <w:basedOn w:val="DefaultParagraphFont"/>
    <w:link w:val="CommentText"/>
    <w:uiPriority w:val="99"/>
    <w:semiHidden/>
    <w:rsid w:val="00580C43"/>
    <w:rPr>
      <w:sz w:val="20"/>
      <w:szCs w:val="20"/>
    </w:rPr>
  </w:style>
  <w:style w:type="paragraph" w:styleId="CommentSubject">
    <w:name w:val="annotation subject"/>
    <w:basedOn w:val="CommentText"/>
    <w:next w:val="CommentText"/>
    <w:link w:val="CommentSubjectChar"/>
    <w:uiPriority w:val="99"/>
    <w:semiHidden/>
    <w:unhideWhenUsed/>
    <w:rsid w:val="00580C43"/>
    <w:rPr>
      <w:b/>
      <w:bCs/>
    </w:rPr>
  </w:style>
  <w:style w:type="character" w:customStyle="1" w:styleId="CommentSubjectChar">
    <w:name w:val="Comment Subject Char"/>
    <w:basedOn w:val="CommentTextChar"/>
    <w:link w:val="CommentSubject"/>
    <w:uiPriority w:val="99"/>
    <w:semiHidden/>
    <w:rsid w:val="00580C43"/>
    <w:rPr>
      <w:b/>
      <w:bCs/>
      <w:sz w:val="20"/>
      <w:szCs w:val="20"/>
    </w:rPr>
  </w:style>
  <w:style w:type="paragraph" w:styleId="BalloonText">
    <w:name w:val="Balloon Text"/>
    <w:basedOn w:val="Normal"/>
    <w:link w:val="BalloonTextChar"/>
    <w:uiPriority w:val="99"/>
    <w:semiHidden/>
    <w:unhideWhenUsed/>
    <w:rsid w:val="00580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C43"/>
    <w:rPr>
      <w:rFonts w:ascii="Tahoma" w:hAnsi="Tahoma" w:cs="Tahoma"/>
      <w:sz w:val="16"/>
      <w:szCs w:val="16"/>
    </w:rPr>
  </w:style>
  <w:style w:type="character" w:customStyle="1" w:styleId="ListParagraphChar">
    <w:name w:val="List Paragraph Char"/>
    <w:basedOn w:val="DefaultParagraphFont"/>
    <w:link w:val="ListParagraph"/>
    <w:uiPriority w:val="34"/>
    <w:rsid w:val="00AC053F"/>
  </w:style>
  <w:style w:type="paragraph" w:styleId="Revision">
    <w:name w:val="Revision"/>
    <w:hidden/>
    <w:uiPriority w:val="99"/>
    <w:semiHidden/>
    <w:rsid w:val="009D3159"/>
    <w:pPr>
      <w:spacing w:after="0" w:line="240" w:lineRule="auto"/>
    </w:pPr>
  </w:style>
  <w:style w:type="paragraph" w:styleId="Header">
    <w:name w:val="header"/>
    <w:basedOn w:val="Normal"/>
    <w:link w:val="HeaderChar"/>
    <w:uiPriority w:val="99"/>
    <w:unhideWhenUsed/>
    <w:rsid w:val="002317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779"/>
  </w:style>
  <w:style w:type="paragraph" w:styleId="Footer">
    <w:name w:val="footer"/>
    <w:basedOn w:val="Normal"/>
    <w:link w:val="FooterChar"/>
    <w:uiPriority w:val="99"/>
    <w:unhideWhenUsed/>
    <w:rsid w:val="002317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779"/>
  </w:style>
  <w:style w:type="character" w:styleId="Hyperlink">
    <w:name w:val="Hyperlink"/>
    <w:basedOn w:val="DefaultParagraphFont"/>
    <w:uiPriority w:val="99"/>
    <w:unhideWhenUsed/>
    <w:rsid w:val="00032B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C17C9"/>
    <w:pPr>
      <w:ind w:left="720"/>
      <w:contextualSpacing/>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82290"/>
    <w:pPr>
      <w:spacing w:after="0" w:line="240" w:lineRule="auto"/>
    </w:pPr>
    <w:rPr>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82290"/>
    <w:rPr>
      <w:sz w:val="20"/>
      <w:szCs w:val="20"/>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382290"/>
    <w:rPr>
      <w:vertAlign w:val="superscript"/>
    </w:rPr>
  </w:style>
  <w:style w:type="paragraph" w:customStyle="1" w:styleId="Chapter">
    <w:name w:val="Chapter"/>
    <w:basedOn w:val="Normal"/>
    <w:next w:val="Normal"/>
    <w:rsid w:val="00201F8D"/>
    <w:pPr>
      <w:keepNext/>
      <w:numPr>
        <w:numId w:val="4"/>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201F8D"/>
    <w:pPr>
      <w:numPr>
        <w:ilvl w:val="1"/>
        <w:numId w:val="4"/>
      </w:numPr>
      <w:spacing w:before="120" w:line="240" w:lineRule="auto"/>
      <w:jc w:val="both"/>
      <w:outlineLvl w:val="1"/>
    </w:pPr>
    <w:rPr>
      <w:rFonts w:ascii="Times New Roman" w:eastAsia="Times New Roman" w:hAnsi="Times New Roman" w:cs="Times New Roman"/>
      <w:sz w:val="24"/>
      <w:szCs w:val="20"/>
      <w:lang w:val="x-none" w:eastAsia="x-none"/>
    </w:rPr>
  </w:style>
  <w:style w:type="paragraph" w:customStyle="1" w:styleId="subpar">
    <w:name w:val="subpar"/>
    <w:basedOn w:val="BodyTextIndent3"/>
    <w:rsid w:val="00201F8D"/>
    <w:pPr>
      <w:numPr>
        <w:ilvl w:val="2"/>
        <w:numId w:val="4"/>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x-none" w:eastAsia="x-none"/>
    </w:rPr>
  </w:style>
  <w:style w:type="paragraph" w:customStyle="1" w:styleId="SubSubPar">
    <w:name w:val="SubSubPar"/>
    <w:basedOn w:val="subpar"/>
    <w:rsid w:val="00201F8D"/>
    <w:pPr>
      <w:numPr>
        <w:ilvl w:val="3"/>
      </w:numPr>
      <w:tabs>
        <w:tab w:val="clear" w:pos="3024"/>
        <w:tab w:val="left" w:pos="0"/>
        <w:tab w:val="num" w:pos="360"/>
        <w:tab w:val="num" w:pos="1152"/>
        <w:tab w:val="num" w:pos="1296"/>
      </w:tabs>
      <w:ind w:left="1296"/>
    </w:pPr>
  </w:style>
  <w:style w:type="character" w:customStyle="1" w:styleId="ParagraphChar">
    <w:name w:val="Paragraph Char"/>
    <w:link w:val="Paragraph"/>
    <w:rsid w:val="00201F8D"/>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uiPriority w:val="99"/>
    <w:semiHidden/>
    <w:unhideWhenUsed/>
    <w:rsid w:val="00201F8D"/>
    <w:pPr>
      <w:spacing w:after="120"/>
      <w:ind w:left="360"/>
    </w:pPr>
  </w:style>
  <w:style w:type="character" w:customStyle="1" w:styleId="BodyTextIndentChar">
    <w:name w:val="Body Text Indent Char"/>
    <w:basedOn w:val="DefaultParagraphFont"/>
    <w:link w:val="BodyTextIndent"/>
    <w:uiPriority w:val="99"/>
    <w:semiHidden/>
    <w:rsid w:val="00201F8D"/>
  </w:style>
  <w:style w:type="paragraph" w:styleId="BodyTextIndent3">
    <w:name w:val="Body Text Indent 3"/>
    <w:basedOn w:val="Normal"/>
    <w:link w:val="BodyTextIndent3Char"/>
    <w:uiPriority w:val="99"/>
    <w:semiHidden/>
    <w:unhideWhenUsed/>
    <w:rsid w:val="00201F8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01F8D"/>
    <w:rPr>
      <w:sz w:val="16"/>
      <w:szCs w:val="16"/>
    </w:rPr>
  </w:style>
  <w:style w:type="character" w:styleId="CommentReference">
    <w:name w:val="annotation reference"/>
    <w:basedOn w:val="DefaultParagraphFont"/>
    <w:uiPriority w:val="99"/>
    <w:semiHidden/>
    <w:unhideWhenUsed/>
    <w:rsid w:val="00580C43"/>
    <w:rPr>
      <w:sz w:val="16"/>
      <w:szCs w:val="16"/>
    </w:rPr>
  </w:style>
  <w:style w:type="paragraph" w:styleId="CommentText">
    <w:name w:val="annotation text"/>
    <w:basedOn w:val="Normal"/>
    <w:link w:val="CommentTextChar"/>
    <w:uiPriority w:val="99"/>
    <w:semiHidden/>
    <w:unhideWhenUsed/>
    <w:rsid w:val="00580C43"/>
    <w:pPr>
      <w:spacing w:line="240" w:lineRule="auto"/>
    </w:pPr>
    <w:rPr>
      <w:sz w:val="20"/>
      <w:szCs w:val="20"/>
    </w:rPr>
  </w:style>
  <w:style w:type="character" w:customStyle="1" w:styleId="CommentTextChar">
    <w:name w:val="Comment Text Char"/>
    <w:basedOn w:val="DefaultParagraphFont"/>
    <w:link w:val="CommentText"/>
    <w:uiPriority w:val="99"/>
    <w:semiHidden/>
    <w:rsid w:val="00580C43"/>
    <w:rPr>
      <w:sz w:val="20"/>
      <w:szCs w:val="20"/>
    </w:rPr>
  </w:style>
  <w:style w:type="paragraph" w:styleId="CommentSubject">
    <w:name w:val="annotation subject"/>
    <w:basedOn w:val="CommentText"/>
    <w:next w:val="CommentText"/>
    <w:link w:val="CommentSubjectChar"/>
    <w:uiPriority w:val="99"/>
    <w:semiHidden/>
    <w:unhideWhenUsed/>
    <w:rsid w:val="00580C43"/>
    <w:rPr>
      <w:b/>
      <w:bCs/>
    </w:rPr>
  </w:style>
  <w:style w:type="character" w:customStyle="1" w:styleId="CommentSubjectChar">
    <w:name w:val="Comment Subject Char"/>
    <w:basedOn w:val="CommentTextChar"/>
    <w:link w:val="CommentSubject"/>
    <w:uiPriority w:val="99"/>
    <w:semiHidden/>
    <w:rsid w:val="00580C43"/>
    <w:rPr>
      <w:b/>
      <w:bCs/>
      <w:sz w:val="20"/>
      <w:szCs w:val="20"/>
    </w:rPr>
  </w:style>
  <w:style w:type="paragraph" w:styleId="BalloonText">
    <w:name w:val="Balloon Text"/>
    <w:basedOn w:val="Normal"/>
    <w:link w:val="BalloonTextChar"/>
    <w:uiPriority w:val="99"/>
    <w:semiHidden/>
    <w:unhideWhenUsed/>
    <w:rsid w:val="00580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C43"/>
    <w:rPr>
      <w:rFonts w:ascii="Tahoma" w:hAnsi="Tahoma" w:cs="Tahoma"/>
      <w:sz w:val="16"/>
      <w:szCs w:val="16"/>
    </w:rPr>
  </w:style>
  <w:style w:type="character" w:customStyle="1" w:styleId="ListParagraphChar">
    <w:name w:val="List Paragraph Char"/>
    <w:basedOn w:val="DefaultParagraphFont"/>
    <w:link w:val="ListParagraph"/>
    <w:uiPriority w:val="34"/>
    <w:rsid w:val="00AC053F"/>
  </w:style>
  <w:style w:type="paragraph" w:styleId="Revision">
    <w:name w:val="Revision"/>
    <w:hidden/>
    <w:uiPriority w:val="99"/>
    <w:semiHidden/>
    <w:rsid w:val="009D3159"/>
    <w:pPr>
      <w:spacing w:after="0" w:line="240" w:lineRule="auto"/>
    </w:pPr>
  </w:style>
  <w:style w:type="paragraph" w:styleId="Header">
    <w:name w:val="header"/>
    <w:basedOn w:val="Normal"/>
    <w:link w:val="HeaderChar"/>
    <w:uiPriority w:val="99"/>
    <w:unhideWhenUsed/>
    <w:rsid w:val="002317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779"/>
  </w:style>
  <w:style w:type="paragraph" w:styleId="Footer">
    <w:name w:val="footer"/>
    <w:basedOn w:val="Normal"/>
    <w:link w:val="FooterChar"/>
    <w:uiPriority w:val="99"/>
    <w:unhideWhenUsed/>
    <w:rsid w:val="002317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779"/>
  </w:style>
  <w:style w:type="character" w:styleId="Hyperlink">
    <w:name w:val="Hyperlink"/>
    <w:basedOn w:val="DefaultParagraphFont"/>
    <w:uiPriority w:val="99"/>
    <w:unhideWhenUsed/>
    <w:rsid w:val="00032B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34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edecredito.com.sv/documentos/pacto-social-fedecredit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38806066</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DE76138-FDA4-4BF1-B006-EE168FEC4CF6}"/>
</file>

<file path=customXml/itemProps2.xml><?xml version="1.0" encoding="utf-8"?>
<ds:datastoreItem xmlns:ds="http://schemas.openxmlformats.org/officeDocument/2006/customXml" ds:itemID="{B315D23F-6484-4AA3-A056-C3B49B8E6413}"/>
</file>

<file path=customXml/itemProps3.xml><?xml version="1.0" encoding="utf-8"?>
<ds:datastoreItem xmlns:ds="http://schemas.openxmlformats.org/officeDocument/2006/customXml" ds:itemID="{2790E798-AA5D-46D4-8E41-8DA38EFAEFF9}"/>
</file>

<file path=customXml/itemProps4.xml><?xml version="1.0" encoding="utf-8"?>
<ds:datastoreItem xmlns:ds="http://schemas.openxmlformats.org/officeDocument/2006/customXml" ds:itemID="{6FB1E31E-4A9B-4DEB-AA3D-06926D3088B1}"/>
</file>

<file path=customXml/itemProps5.xml><?xml version="1.0" encoding="utf-8"?>
<ds:datastoreItem xmlns:ds="http://schemas.openxmlformats.org/officeDocument/2006/customXml" ds:itemID="{1D6D2E49-A0D8-4D43-B85D-ADDD50551DFF}"/>
</file>

<file path=customXml/itemProps6.xml><?xml version="1.0" encoding="utf-8"?>
<ds:datastoreItem xmlns:ds="http://schemas.openxmlformats.org/officeDocument/2006/customXml" ds:itemID="{84E7DDDC-43B4-4F73-8B9F-F355E32950C9}"/>
</file>

<file path=docProps/app.xml><?xml version="1.0" encoding="utf-8"?>
<Properties xmlns="http://schemas.openxmlformats.org/officeDocument/2006/extended-properties" xmlns:vt="http://schemas.openxmlformats.org/officeDocument/2006/docPropsVTypes">
  <Template>Normal.dotm</Template>
  <TotalTime>2</TotalTime>
  <Pages>8</Pages>
  <Words>2056</Words>
  <Characters>11725</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Estructura y Desempeño del Sistema Financiero de ES</dc:title>
  <dc:creator>Test</dc:creator>
  <cp:lastModifiedBy>Test</cp:lastModifiedBy>
  <cp:revision>4</cp:revision>
  <cp:lastPrinted>2014-04-24T14:42:00Z</cp:lastPrinted>
  <dcterms:created xsi:type="dcterms:W3CDTF">2014-06-11T23:21:00Z</dcterms:created>
  <dcterms:modified xsi:type="dcterms:W3CDTF">2014-06-12T15:10:00Z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0x01010046CF21643EE8D14686A648AA6DAD089200B05F041F9228A645AEF832AE5BDDEC50</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