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28749" w14:textId="7C424149" w:rsidR="00AB2001" w:rsidRPr="00C92D6B" w:rsidRDefault="004C3721" w:rsidP="00FB2ADD">
      <w:pPr>
        <w:jc w:val="center"/>
        <w:rPr>
          <w:rFonts w:ascii="Arial" w:hAnsi="Arial" w:cs="Arial"/>
          <w:b/>
          <w:smallCaps/>
          <w:lang w:val="es-ES_tradnl"/>
        </w:rPr>
      </w:pPr>
      <w:r w:rsidRPr="00C92D6B">
        <w:rPr>
          <w:rFonts w:ascii="Arial" w:hAnsi="Arial" w:cs="Arial"/>
          <w:b/>
          <w:smallCaps/>
          <w:lang w:val="es-ES_tradnl"/>
        </w:rPr>
        <w:t xml:space="preserve">Matriz de </w:t>
      </w:r>
      <w:r w:rsidR="00BE25E5" w:rsidRPr="00C92D6B">
        <w:rPr>
          <w:rFonts w:ascii="Arial" w:hAnsi="Arial" w:cs="Arial"/>
          <w:b/>
          <w:smallCaps/>
          <w:lang w:val="es-ES_tradnl"/>
        </w:rPr>
        <w:t>Medios de Verificación</w:t>
      </w:r>
    </w:p>
    <w:tbl>
      <w:tblPr>
        <w:tblW w:w="46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7"/>
        <w:gridCol w:w="2816"/>
        <w:gridCol w:w="4091"/>
        <w:gridCol w:w="2700"/>
      </w:tblGrid>
      <w:tr w:rsidR="0011586A" w:rsidRPr="00C92D6B" w14:paraId="0F2935F2" w14:textId="77777777" w:rsidTr="00A136C2">
        <w:trPr>
          <w:tblHeader/>
          <w:jc w:val="center"/>
        </w:trPr>
        <w:tc>
          <w:tcPr>
            <w:tcW w:w="1015" w:type="pct"/>
            <w:shd w:val="clear" w:color="auto" w:fill="BFBFBF"/>
            <w:vAlign w:val="center"/>
          </w:tcPr>
          <w:p w14:paraId="4C94A3A6" w14:textId="077FE71F" w:rsidR="0011586A" w:rsidRPr="00C92D6B" w:rsidRDefault="002C1210" w:rsidP="00AF3496">
            <w:pPr>
              <w:spacing w:after="0" w:line="240" w:lineRule="auto"/>
              <w:jc w:val="center"/>
              <w:rPr>
                <w:rFonts w:ascii="Arial" w:hAnsi="Arial" w:cs="Arial"/>
                <w:b/>
                <w:color w:val="000000"/>
                <w:sz w:val="20"/>
                <w:szCs w:val="20"/>
                <w:lang w:val="es-ES_tradnl"/>
              </w:rPr>
            </w:pPr>
            <w:r>
              <w:rPr>
                <w:rFonts w:ascii="Arial" w:hAnsi="Arial" w:cs="Arial"/>
                <w:b/>
                <w:color w:val="000000"/>
                <w:sz w:val="20"/>
                <w:szCs w:val="20"/>
                <w:lang w:val="es-ES_tradnl"/>
              </w:rPr>
              <w:t>Componentes/</w:t>
            </w:r>
            <w:r w:rsidR="0011586A" w:rsidRPr="00C92D6B">
              <w:rPr>
                <w:rFonts w:ascii="Arial" w:hAnsi="Arial" w:cs="Arial"/>
                <w:b/>
                <w:color w:val="000000"/>
                <w:sz w:val="20"/>
                <w:szCs w:val="20"/>
                <w:lang w:val="es-ES_tradnl"/>
              </w:rPr>
              <w:t>Objetivo</w:t>
            </w:r>
            <w:r>
              <w:rPr>
                <w:rFonts w:ascii="Arial" w:hAnsi="Arial" w:cs="Arial"/>
                <w:b/>
                <w:color w:val="000000"/>
                <w:sz w:val="20"/>
                <w:szCs w:val="20"/>
                <w:lang w:val="es-ES_tradnl"/>
              </w:rPr>
              <w:t>s de Política</w:t>
            </w:r>
          </w:p>
        </w:tc>
        <w:tc>
          <w:tcPr>
            <w:tcW w:w="1168" w:type="pct"/>
            <w:shd w:val="clear" w:color="auto" w:fill="BFBFBF"/>
            <w:vAlign w:val="center"/>
          </w:tcPr>
          <w:p w14:paraId="7D56E2C1" w14:textId="00F10A68" w:rsidR="0011586A" w:rsidRPr="00C92D6B" w:rsidRDefault="002C1210" w:rsidP="00AF3496">
            <w:pPr>
              <w:tabs>
                <w:tab w:val="left" w:pos="342"/>
              </w:tabs>
              <w:spacing w:after="0" w:line="240" w:lineRule="auto"/>
              <w:ind w:left="162" w:hanging="180"/>
              <w:jc w:val="center"/>
              <w:rPr>
                <w:rFonts w:ascii="Arial" w:hAnsi="Arial" w:cs="Arial"/>
                <w:b/>
                <w:color w:val="000000"/>
                <w:sz w:val="20"/>
                <w:szCs w:val="20"/>
                <w:lang w:val="es-ES_tradnl"/>
              </w:rPr>
            </w:pPr>
            <w:r>
              <w:rPr>
                <w:rFonts w:ascii="Arial" w:hAnsi="Arial" w:cs="Arial"/>
                <w:b/>
                <w:color w:val="000000"/>
                <w:sz w:val="20"/>
                <w:szCs w:val="20"/>
                <w:lang w:val="es-ES_tradnl"/>
              </w:rPr>
              <w:t xml:space="preserve">Condiciones </w:t>
            </w:r>
            <w:r w:rsidR="0011586A" w:rsidRPr="00C92D6B">
              <w:rPr>
                <w:rFonts w:ascii="Arial" w:hAnsi="Arial" w:cs="Arial"/>
                <w:b/>
                <w:color w:val="000000"/>
                <w:sz w:val="20"/>
                <w:szCs w:val="20"/>
                <w:lang w:val="es-ES_tradnl"/>
              </w:rPr>
              <w:t>de Política</w:t>
            </w:r>
          </w:p>
          <w:p w14:paraId="094602F3" w14:textId="4E4EFABA" w:rsidR="0011586A" w:rsidRPr="00C92D6B" w:rsidRDefault="0011586A" w:rsidP="00AF3496">
            <w:pPr>
              <w:tabs>
                <w:tab w:val="left" w:pos="342"/>
              </w:tabs>
              <w:spacing w:after="0" w:line="240" w:lineRule="auto"/>
              <w:ind w:left="162" w:hanging="180"/>
              <w:jc w:val="center"/>
              <w:rPr>
                <w:rFonts w:ascii="Arial" w:hAnsi="Arial" w:cs="Arial"/>
                <w:b/>
                <w:color w:val="000000"/>
                <w:sz w:val="20"/>
                <w:szCs w:val="20"/>
                <w:lang w:val="es-ES_tradnl"/>
              </w:rPr>
            </w:pPr>
            <w:bookmarkStart w:id="0" w:name="_GoBack"/>
            <w:r w:rsidRPr="00C92D6B">
              <w:rPr>
                <w:rFonts w:ascii="Arial" w:hAnsi="Arial" w:cs="Arial"/>
                <w:b/>
                <w:color w:val="000000"/>
                <w:sz w:val="20"/>
                <w:szCs w:val="20"/>
                <w:lang w:val="es-ES_tradnl"/>
              </w:rPr>
              <w:t>Programático I</w:t>
            </w:r>
            <w:bookmarkEnd w:id="0"/>
          </w:p>
        </w:tc>
        <w:tc>
          <w:tcPr>
            <w:tcW w:w="1697" w:type="pct"/>
            <w:shd w:val="clear" w:color="auto" w:fill="BFBFBF"/>
            <w:vAlign w:val="center"/>
          </w:tcPr>
          <w:p w14:paraId="5DEBC911" w14:textId="77777777" w:rsidR="0011586A" w:rsidRPr="00C92D6B" w:rsidRDefault="0011586A" w:rsidP="00AF3496">
            <w:pPr>
              <w:tabs>
                <w:tab w:val="left" w:pos="162"/>
              </w:tabs>
              <w:spacing w:after="0" w:line="240" w:lineRule="auto"/>
              <w:ind w:left="162" w:hanging="162"/>
              <w:jc w:val="center"/>
              <w:rPr>
                <w:rFonts w:ascii="Arial" w:hAnsi="Arial" w:cs="Arial"/>
                <w:b/>
                <w:color w:val="000000"/>
                <w:sz w:val="20"/>
                <w:szCs w:val="20"/>
                <w:lang w:val="es-ES_tradnl"/>
              </w:rPr>
            </w:pPr>
            <w:r w:rsidRPr="00C92D6B">
              <w:rPr>
                <w:rFonts w:ascii="Arial" w:hAnsi="Arial" w:cs="Arial"/>
                <w:b/>
                <w:color w:val="000000"/>
                <w:sz w:val="20"/>
                <w:szCs w:val="20"/>
                <w:lang w:val="es-ES_tradnl"/>
              </w:rPr>
              <w:t>Medio de verificación</w:t>
            </w:r>
          </w:p>
        </w:tc>
        <w:tc>
          <w:tcPr>
            <w:tcW w:w="1120" w:type="pct"/>
            <w:shd w:val="clear" w:color="auto" w:fill="BFBFBF"/>
            <w:vAlign w:val="center"/>
          </w:tcPr>
          <w:p w14:paraId="02605DD8" w14:textId="422E0C74" w:rsidR="0011586A" w:rsidRPr="00C92D6B" w:rsidRDefault="0011586A" w:rsidP="00AF3496">
            <w:pPr>
              <w:tabs>
                <w:tab w:val="left" w:pos="162"/>
              </w:tabs>
              <w:spacing w:after="0" w:line="240" w:lineRule="auto"/>
              <w:ind w:left="162" w:hanging="162"/>
              <w:jc w:val="center"/>
              <w:rPr>
                <w:rFonts w:ascii="Arial" w:hAnsi="Arial" w:cs="Arial"/>
                <w:b/>
                <w:color w:val="000000"/>
                <w:sz w:val="20"/>
                <w:szCs w:val="20"/>
                <w:lang w:val="es-ES_tradnl"/>
              </w:rPr>
            </w:pPr>
            <w:r w:rsidRPr="00C92D6B">
              <w:rPr>
                <w:rFonts w:ascii="Arial" w:hAnsi="Arial" w:cs="Arial"/>
                <w:b/>
                <w:color w:val="000000"/>
                <w:sz w:val="20"/>
                <w:szCs w:val="20"/>
                <w:lang w:val="es-ES_tradnl"/>
              </w:rPr>
              <w:t>Responsable</w:t>
            </w:r>
          </w:p>
        </w:tc>
      </w:tr>
      <w:tr w:rsidR="0080080B" w:rsidRPr="0080080B" w14:paraId="5E353083" w14:textId="77777777" w:rsidTr="00E03766">
        <w:trPr>
          <w:jc w:val="center"/>
        </w:trPr>
        <w:tc>
          <w:tcPr>
            <w:tcW w:w="5000" w:type="pct"/>
            <w:gridSpan w:val="4"/>
            <w:shd w:val="clear" w:color="auto" w:fill="BFBFBF"/>
            <w:vAlign w:val="center"/>
          </w:tcPr>
          <w:p w14:paraId="5570A9F6" w14:textId="660F5CF4" w:rsidR="0080080B" w:rsidRPr="00C92D6B" w:rsidRDefault="0080080B" w:rsidP="0080080B">
            <w:pPr>
              <w:pStyle w:val="NormalWeb"/>
              <w:spacing w:before="0" w:beforeAutospacing="0" w:after="0" w:afterAutospacing="0"/>
              <w:rPr>
                <w:rFonts w:ascii="Arial" w:eastAsia="Calibri" w:hAnsi="Arial" w:cs="Arial"/>
                <w:color w:val="000000"/>
                <w:sz w:val="20"/>
                <w:szCs w:val="20"/>
                <w:lang w:val="es-ES_tradnl"/>
              </w:rPr>
            </w:pPr>
            <w:r w:rsidRPr="0080080B">
              <w:rPr>
                <w:rFonts w:ascii="Arial" w:hAnsi="Arial" w:cs="Arial"/>
                <w:b/>
                <w:color w:val="000000"/>
                <w:sz w:val="20"/>
                <w:szCs w:val="20"/>
                <w:lang w:val="es-ES_tradnl"/>
              </w:rPr>
              <w:t>Componente I: Estabilidad Macroeconómica</w:t>
            </w:r>
          </w:p>
        </w:tc>
      </w:tr>
      <w:tr w:rsidR="0080080B" w:rsidRPr="0057345F" w14:paraId="03104F56" w14:textId="77777777" w:rsidTr="00A136C2">
        <w:trPr>
          <w:jc w:val="center"/>
        </w:trPr>
        <w:tc>
          <w:tcPr>
            <w:tcW w:w="1015" w:type="pct"/>
            <w:shd w:val="clear" w:color="auto" w:fill="auto"/>
          </w:tcPr>
          <w:p w14:paraId="2BE58AAE" w14:textId="032A872A" w:rsidR="0080080B" w:rsidRPr="00C92D6B" w:rsidRDefault="0080080B" w:rsidP="0080080B">
            <w:pPr>
              <w:spacing w:after="0" w:line="240" w:lineRule="auto"/>
              <w:ind w:right="-114"/>
              <w:rPr>
                <w:rFonts w:ascii="Arial" w:hAnsi="Arial" w:cs="Arial"/>
                <w:color w:val="000000"/>
                <w:sz w:val="20"/>
                <w:szCs w:val="20"/>
                <w:lang w:val="es-ES_tradnl"/>
              </w:rPr>
            </w:pPr>
            <w:r w:rsidRPr="00C92D6B">
              <w:rPr>
                <w:rFonts w:ascii="Arial" w:hAnsi="Arial" w:cs="Arial"/>
                <w:color w:val="000000"/>
                <w:sz w:val="20"/>
                <w:szCs w:val="20"/>
                <w:lang w:val="es-ES_tradnl"/>
              </w:rPr>
              <w:t>Asegurar el mantenimiento de un contexto macroeconómico congruente con los objetivos del programa según lo establecido en la Matriz de Políticas y en la Carta de Políticas.</w:t>
            </w:r>
          </w:p>
        </w:tc>
        <w:tc>
          <w:tcPr>
            <w:tcW w:w="1168" w:type="pct"/>
            <w:shd w:val="clear" w:color="auto" w:fill="auto"/>
          </w:tcPr>
          <w:p w14:paraId="2005FF05" w14:textId="36272CCB" w:rsidR="0080080B" w:rsidRPr="00C92D6B" w:rsidRDefault="0080080B" w:rsidP="0080080B">
            <w:pPr>
              <w:pStyle w:val="NormalWeb"/>
              <w:spacing w:before="0" w:beforeAutospacing="0" w:after="0" w:afterAutospacing="0"/>
              <w:rPr>
                <w:rFonts w:ascii="Arial" w:eastAsia="Calibri" w:hAnsi="Arial" w:cs="Arial"/>
                <w:color w:val="000000"/>
                <w:sz w:val="20"/>
                <w:szCs w:val="20"/>
                <w:lang w:val="es-ES_tradnl"/>
              </w:rPr>
            </w:pPr>
            <w:r w:rsidRPr="00C92D6B">
              <w:rPr>
                <w:rFonts w:ascii="Arial" w:eastAsia="Calibri" w:hAnsi="Arial" w:cs="Arial"/>
                <w:color w:val="000000"/>
                <w:sz w:val="20"/>
                <w:szCs w:val="20"/>
                <w:lang w:val="es-ES_tradnl"/>
              </w:rPr>
              <w:t>(1.1.1) Asegurar que el contexto macroeconómico del prestatario es congruente con los objetivos del programa.</w:t>
            </w:r>
          </w:p>
          <w:p w14:paraId="21151313" w14:textId="77777777" w:rsidR="0080080B" w:rsidRPr="00C92D6B" w:rsidRDefault="0080080B" w:rsidP="0080080B">
            <w:pPr>
              <w:tabs>
                <w:tab w:val="left" w:pos="342"/>
              </w:tabs>
              <w:spacing w:after="0" w:line="240" w:lineRule="auto"/>
              <w:ind w:left="72"/>
              <w:rPr>
                <w:rFonts w:ascii="Arial" w:hAnsi="Arial" w:cs="Arial"/>
                <w:color w:val="000000"/>
                <w:sz w:val="20"/>
                <w:szCs w:val="20"/>
                <w:lang w:val="es-ES_tradnl"/>
              </w:rPr>
            </w:pPr>
          </w:p>
        </w:tc>
        <w:tc>
          <w:tcPr>
            <w:tcW w:w="1697" w:type="pct"/>
            <w:shd w:val="clear" w:color="auto" w:fill="auto"/>
          </w:tcPr>
          <w:p w14:paraId="4089727B" w14:textId="77777777" w:rsidR="0080080B" w:rsidRPr="00C92D6B" w:rsidRDefault="0080080B" w:rsidP="0080080B">
            <w:pPr>
              <w:pStyle w:val="NormalWeb"/>
              <w:spacing w:before="0" w:beforeAutospacing="0" w:after="0" w:afterAutospacing="0"/>
              <w:rPr>
                <w:rFonts w:ascii="Arial" w:hAnsi="Arial" w:cs="Arial"/>
                <w:color w:val="000000"/>
                <w:sz w:val="20"/>
                <w:szCs w:val="20"/>
                <w:lang w:val="es-ES_tradnl"/>
              </w:rPr>
            </w:pPr>
            <w:r w:rsidRPr="00C92D6B">
              <w:rPr>
                <w:rFonts w:ascii="Arial" w:hAnsi="Arial" w:cs="Arial"/>
                <w:sz w:val="20"/>
                <w:szCs w:val="20"/>
                <w:lang w:val="es-ES_tradnl"/>
              </w:rPr>
              <w:t>(1.1.1) E</w:t>
            </w:r>
            <w:r w:rsidRPr="00C92D6B">
              <w:rPr>
                <w:rFonts w:ascii="Arial" w:eastAsia="Calibri" w:hAnsi="Arial" w:cs="Arial"/>
                <w:color w:val="000000"/>
                <w:sz w:val="20"/>
                <w:szCs w:val="20"/>
                <w:lang w:val="es-ES_tradnl"/>
              </w:rPr>
              <w:t>valuación Independiente de Condiciones Macroeconómicas (IAMC, por sus siglas en inglés) elaborada por el Banco y vigente al momento del desembolso.</w:t>
            </w:r>
          </w:p>
        </w:tc>
        <w:tc>
          <w:tcPr>
            <w:tcW w:w="1120" w:type="pct"/>
            <w:shd w:val="clear" w:color="auto" w:fill="auto"/>
          </w:tcPr>
          <w:p w14:paraId="4B00CA58" w14:textId="11C51151" w:rsidR="0080080B" w:rsidRPr="00C92D6B" w:rsidRDefault="0080080B" w:rsidP="0080080B">
            <w:pPr>
              <w:pStyle w:val="NormalWeb"/>
              <w:spacing w:before="0" w:beforeAutospacing="0" w:after="0" w:afterAutospacing="0"/>
              <w:rPr>
                <w:rFonts w:ascii="Arial" w:hAnsi="Arial" w:cs="Arial"/>
                <w:color w:val="000000"/>
                <w:sz w:val="20"/>
                <w:szCs w:val="20"/>
                <w:lang w:val="es-ES_tradnl"/>
              </w:rPr>
            </w:pPr>
            <w:r w:rsidRPr="00C92D6B">
              <w:rPr>
                <w:rFonts w:ascii="Arial" w:eastAsia="Calibri" w:hAnsi="Arial" w:cs="Arial"/>
                <w:color w:val="000000"/>
                <w:sz w:val="20"/>
                <w:szCs w:val="20"/>
                <w:lang w:val="es-ES_tradnl"/>
              </w:rPr>
              <w:t>Ministerio de Hacienda (acción), BID (IAMC, por sus siglas en inglés).</w:t>
            </w:r>
          </w:p>
        </w:tc>
      </w:tr>
      <w:tr w:rsidR="0080080B" w:rsidRPr="0057345F" w14:paraId="60614A0E" w14:textId="77777777" w:rsidTr="00E03766">
        <w:trPr>
          <w:jc w:val="center"/>
        </w:trPr>
        <w:tc>
          <w:tcPr>
            <w:tcW w:w="5000" w:type="pct"/>
            <w:gridSpan w:val="4"/>
            <w:shd w:val="clear" w:color="auto" w:fill="BFBFBF"/>
          </w:tcPr>
          <w:p w14:paraId="77465615" w14:textId="07046BA5" w:rsidR="0080080B" w:rsidRPr="00E03766" w:rsidRDefault="0080080B" w:rsidP="0080080B">
            <w:pPr>
              <w:pStyle w:val="NormalWeb"/>
              <w:spacing w:before="0" w:beforeAutospacing="0" w:after="0" w:afterAutospacing="0"/>
              <w:rPr>
                <w:rFonts w:ascii="Arial" w:eastAsia="Calibri" w:hAnsi="Arial" w:cs="Arial"/>
                <w:b/>
                <w:color w:val="000000"/>
                <w:sz w:val="20"/>
                <w:szCs w:val="20"/>
                <w:lang w:val="es-ES_tradnl"/>
              </w:rPr>
            </w:pPr>
            <w:r w:rsidRPr="00E03766">
              <w:rPr>
                <w:rFonts w:ascii="Arial" w:eastAsia="Calibri" w:hAnsi="Arial" w:cs="Arial"/>
                <w:b/>
                <w:color w:val="000000"/>
                <w:sz w:val="20"/>
                <w:szCs w:val="20"/>
                <w:lang w:val="es-ES_tradnl"/>
              </w:rPr>
              <w:t>Componente II:  Desarrollo de la Agenda Digital</w:t>
            </w:r>
          </w:p>
        </w:tc>
      </w:tr>
      <w:tr w:rsidR="0080080B" w:rsidRPr="0057345F" w14:paraId="41949FA6" w14:textId="77777777" w:rsidTr="00A136C2">
        <w:trPr>
          <w:jc w:val="center"/>
        </w:trPr>
        <w:tc>
          <w:tcPr>
            <w:tcW w:w="1015" w:type="pct"/>
            <w:shd w:val="clear" w:color="auto" w:fill="auto"/>
          </w:tcPr>
          <w:p w14:paraId="4B3666A8" w14:textId="77777777" w:rsidR="0080080B" w:rsidRPr="00C92D6B" w:rsidRDefault="0080080B" w:rsidP="0080080B">
            <w:pPr>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Establecimiento de la Agenda Digital Argentina como instrumento de coordinación de las políticas públicas. </w:t>
            </w:r>
          </w:p>
          <w:p w14:paraId="010D2210" w14:textId="77777777" w:rsidR="0080080B" w:rsidRPr="00C92D6B" w:rsidRDefault="0080080B" w:rsidP="0080080B">
            <w:pPr>
              <w:pStyle w:val="ListParagraph"/>
              <w:tabs>
                <w:tab w:val="left" w:pos="187"/>
              </w:tabs>
              <w:spacing w:after="0" w:line="240" w:lineRule="auto"/>
              <w:ind w:left="180"/>
              <w:contextualSpacing w:val="0"/>
              <w:rPr>
                <w:rFonts w:ascii="Arial" w:hAnsi="Arial" w:cs="Arial"/>
                <w:color w:val="000000"/>
                <w:sz w:val="20"/>
                <w:szCs w:val="20"/>
                <w:lang w:val="es-ES_tradnl"/>
              </w:rPr>
            </w:pPr>
          </w:p>
        </w:tc>
        <w:tc>
          <w:tcPr>
            <w:tcW w:w="1168" w:type="pct"/>
            <w:shd w:val="clear" w:color="auto" w:fill="auto"/>
          </w:tcPr>
          <w:p w14:paraId="6FE069EB" w14:textId="57D591B8"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 xml:space="preserve">(2.1.1) Aprobación </w:t>
            </w:r>
            <w:r>
              <w:rPr>
                <w:rFonts w:ascii="Arial" w:eastAsia="Times New Roman" w:hAnsi="Arial" w:cs="Arial"/>
                <w:color w:val="000000"/>
                <w:sz w:val="20"/>
                <w:szCs w:val="20"/>
                <w:lang w:val="es-ES_tradnl"/>
              </w:rPr>
              <w:t>de una propuesta de</w:t>
            </w:r>
            <w:r w:rsidRPr="00C92D6B">
              <w:rPr>
                <w:rFonts w:ascii="Arial" w:eastAsia="Times New Roman" w:hAnsi="Arial" w:cs="Arial"/>
                <w:color w:val="000000"/>
                <w:sz w:val="20"/>
                <w:szCs w:val="20"/>
                <w:lang w:val="es-ES_tradnl"/>
              </w:rPr>
              <w:t xml:space="preserve"> objetivos y estructura de gobernanza de la Agenda Digital Argentina, siguiendo mejores prácticas internacionales. </w:t>
            </w:r>
          </w:p>
          <w:p w14:paraId="0F4C5FBA" w14:textId="77777777" w:rsidR="0080080B" w:rsidRPr="00C92D6B" w:rsidRDefault="0080080B" w:rsidP="0080080B">
            <w:pPr>
              <w:tabs>
                <w:tab w:val="left" w:pos="342"/>
              </w:tabs>
              <w:spacing w:after="0" w:line="240" w:lineRule="auto"/>
              <w:rPr>
                <w:rFonts w:ascii="Arial" w:hAnsi="Arial" w:cs="Arial"/>
                <w:color w:val="000000"/>
                <w:sz w:val="20"/>
                <w:szCs w:val="20"/>
                <w:lang w:val="es-ES_tradnl"/>
              </w:rPr>
            </w:pPr>
          </w:p>
        </w:tc>
        <w:tc>
          <w:tcPr>
            <w:tcW w:w="1697" w:type="pct"/>
            <w:shd w:val="clear" w:color="auto" w:fill="auto"/>
          </w:tcPr>
          <w:p w14:paraId="00010B43" w14:textId="592D3406"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(2.1.1) Copia de la publicación en el Boletín Oficial de la República Argentina del Decreto del Poder Ejecutivo de la Nación que aprueba los objetivos y la estructura de gobernanza de la Agenda Digital Argentina.</w:t>
            </w:r>
          </w:p>
          <w:p w14:paraId="4319AEA7" w14:textId="21CA9E5C" w:rsidR="0080080B" w:rsidRDefault="0080080B" w:rsidP="0080080B">
            <w:pPr>
              <w:tabs>
                <w:tab w:val="left" w:pos="162"/>
              </w:tabs>
              <w:spacing w:after="0" w:line="240" w:lineRule="auto"/>
              <w:rPr>
                <w:rFonts w:ascii="Arial" w:hAnsi="Arial" w:cs="Arial"/>
                <w:color w:val="000000"/>
                <w:sz w:val="20"/>
                <w:szCs w:val="20"/>
                <w:lang w:val="es-ES_tradnl"/>
              </w:rPr>
            </w:pPr>
          </w:p>
          <w:p w14:paraId="64C9CE04" w14:textId="59E7D75E" w:rsidR="0080080B" w:rsidRPr="00005A63" w:rsidRDefault="0080080B" w:rsidP="0080080B">
            <w:pPr>
              <w:tabs>
                <w:tab w:val="left" w:pos="162"/>
              </w:tabs>
              <w:rPr>
                <w:rFonts w:ascii="Arial" w:hAnsi="Arial" w:cs="Arial"/>
                <w:color w:val="000000"/>
                <w:sz w:val="20"/>
                <w:szCs w:val="20"/>
                <w:lang w:val="pt-BR"/>
              </w:rPr>
            </w:pPr>
            <w:r>
              <w:rPr>
                <w:rStyle w:val="Hyperlink"/>
                <w:rFonts w:ascii="Arial" w:hAnsi="Arial" w:cs="Arial"/>
                <w:sz w:val="20"/>
                <w:szCs w:val="20"/>
                <w:lang w:val="pt-BR"/>
              </w:rPr>
              <w:t>(</w:t>
            </w:r>
            <w:hyperlink r:id="rId14" w:history="1">
              <w:r w:rsidRPr="00005A63">
                <w:rPr>
                  <w:rStyle w:val="Hyperlink"/>
                  <w:rFonts w:ascii="Arial" w:hAnsi="Arial" w:cs="Arial"/>
                  <w:sz w:val="20"/>
                  <w:szCs w:val="20"/>
                  <w:lang w:val="pt-BR"/>
                </w:rPr>
                <w:t>Decreto No 996/2018</w:t>
              </w:r>
            </w:hyperlink>
            <w:r w:rsidRPr="00005A63">
              <w:rPr>
                <w:rFonts w:ascii="Arial" w:hAnsi="Arial" w:cs="Arial"/>
                <w:color w:val="000000"/>
                <w:sz w:val="20"/>
                <w:szCs w:val="20"/>
                <w:lang w:val="pt-BR"/>
              </w:rPr>
              <w:t>.</w:t>
            </w:r>
          </w:p>
          <w:p w14:paraId="7529EF2F" w14:textId="5883840C" w:rsidR="0080080B" w:rsidRDefault="00D74B47" w:rsidP="0080080B">
            <w:pPr>
              <w:tabs>
                <w:tab w:val="left" w:pos="162"/>
              </w:tabs>
              <w:spacing w:after="0" w:line="240" w:lineRule="auto"/>
              <w:rPr>
                <w:rFonts w:ascii="Arial" w:hAnsi="Arial" w:cs="Arial"/>
                <w:color w:val="000000"/>
                <w:sz w:val="20"/>
                <w:szCs w:val="20"/>
                <w:lang w:val="pt-BR"/>
              </w:rPr>
            </w:pPr>
            <w:hyperlink r:id="rId15" w:history="1">
              <w:r w:rsidR="0080080B" w:rsidRPr="00005A63">
                <w:rPr>
                  <w:rStyle w:val="Hyperlink"/>
                  <w:rFonts w:ascii="Arial" w:hAnsi="Arial" w:cs="Arial"/>
                  <w:sz w:val="20"/>
                  <w:szCs w:val="20"/>
                  <w:lang w:val="pt-BR"/>
                </w:rPr>
                <w:t>Anexo I – Informe IF-2018-55052681-APN-SGDEIT-JGM</w:t>
              </w:r>
            </w:hyperlink>
            <w:r w:rsidR="0080080B">
              <w:rPr>
                <w:rFonts w:ascii="Arial" w:hAnsi="Arial" w:cs="Arial"/>
                <w:color w:val="000000"/>
                <w:sz w:val="20"/>
                <w:szCs w:val="20"/>
                <w:lang w:val="pt-BR"/>
              </w:rPr>
              <w:t>)</w:t>
            </w:r>
            <w:r w:rsidR="0018593C">
              <w:rPr>
                <w:rFonts w:ascii="Arial" w:hAnsi="Arial" w:cs="Arial"/>
                <w:color w:val="000000"/>
                <w:sz w:val="20"/>
                <w:szCs w:val="20"/>
                <w:lang w:val="pt-BR"/>
              </w:rPr>
              <w:t>.</w:t>
            </w:r>
          </w:p>
          <w:p w14:paraId="486D96FA" w14:textId="77777777" w:rsidR="0018593C" w:rsidRPr="00A136C2" w:rsidRDefault="0018593C" w:rsidP="0080080B">
            <w:pPr>
              <w:tabs>
                <w:tab w:val="left" w:pos="162"/>
              </w:tabs>
              <w:spacing w:after="0" w:line="240" w:lineRule="auto"/>
              <w:rPr>
                <w:rFonts w:ascii="Arial" w:hAnsi="Arial" w:cs="Arial"/>
                <w:color w:val="000000"/>
                <w:sz w:val="20"/>
                <w:szCs w:val="20"/>
                <w:lang w:val="pt-BR"/>
              </w:rPr>
            </w:pPr>
          </w:p>
          <w:p w14:paraId="4B4E280B" w14:textId="77777777" w:rsidR="0080080B" w:rsidRPr="00A136C2" w:rsidRDefault="0080080B" w:rsidP="0080080B">
            <w:pPr>
              <w:tabs>
                <w:tab w:val="left" w:pos="162"/>
              </w:tabs>
              <w:spacing w:after="0" w:line="240" w:lineRule="auto"/>
              <w:rPr>
                <w:rFonts w:ascii="Arial" w:hAnsi="Arial" w:cs="Arial"/>
                <w:color w:val="000000"/>
                <w:sz w:val="20"/>
                <w:szCs w:val="20"/>
                <w:lang w:val="pt-BR"/>
              </w:rPr>
            </w:pPr>
          </w:p>
        </w:tc>
        <w:tc>
          <w:tcPr>
            <w:tcW w:w="1120" w:type="pct"/>
            <w:shd w:val="clear" w:color="auto" w:fill="auto"/>
          </w:tcPr>
          <w:p w14:paraId="2A13115C" w14:textId="75E98321"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Secretaría de Gobierno Digital e Innovación Tecnológica. </w:t>
            </w:r>
          </w:p>
          <w:p w14:paraId="388DCEB0" w14:textId="77777777" w:rsidR="0080080B" w:rsidRPr="00C92D6B" w:rsidRDefault="0080080B" w:rsidP="0080080B">
            <w:pPr>
              <w:tabs>
                <w:tab w:val="left" w:pos="162"/>
              </w:tabs>
              <w:spacing w:after="0" w:line="240" w:lineRule="auto"/>
              <w:rPr>
                <w:rFonts w:ascii="Arial" w:hAnsi="Arial" w:cs="Arial"/>
                <w:color w:val="000000"/>
                <w:sz w:val="20"/>
                <w:szCs w:val="20"/>
                <w:lang w:val="es-ES_tradnl"/>
              </w:rPr>
            </w:pPr>
          </w:p>
        </w:tc>
      </w:tr>
      <w:tr w:rsidR="00E03766" w:rsidRPr="0057345F" w14:paraId="74A6A274" w14:textId="77777777" w:rsidTr="00E03766">
        <w:trPr>
          <w:trHeight w:val="38"/>
          <w:jc w:val="center"/>
        </w:trPr>
        <w:tc>
          <w:tcPr>
            <w:tcW w:w="5000" w:type="pct"/>
            <w:gridSpan w:val="4"/>
            <w:shd w:val="clear" w:color="auto" w:fill="BFBFBF"/>
          </w:tcPr>
          <w:p w14:paraId="637AAF5E" w14:textId="097F4BDE" w:rsidR="00E03766" w:rsidRPr="00E03766" w:rsidRDefault="00E03766" w:rsidP="0080080B">
            <w:pPr>
              <w:tabs>
                <w:tab w:val="left" w:pos="162"/>
              </w:tabs>
              <w:spacing w:after="0" w:line="240" w:lineRule="auto"/>
              <w:rPr>
                <w:rFonts w:ascii="Arial" w:hAnsi="Arial" w:cs="Arial"/>
                <w:b/>
                <w:color w:val="000000"/>
                <w:sz w:val="20"/>
                <w:szCs w:val="20"/>
                <w:lang w:val="es-ES_tradnl"/>
              </w:rPr>
            </w:pPr>
            <w:r w:rsidRPr="00E03766">
              <w:rPr>
                <w:rFonts w:ascii="Arial" w:hAnsi="Arial" w:cs="Arial"/>
                <w:b/>
                <w:color w:val="000000"/>
                <w:sz w:val="20"/>
                <w:szCs w:val="20"/>
                <w:lang w:val="es-ES_tradnl"/>
              </w:rPr>
              <w:t>Componente III: Regulación estratégica para la conectividad digital</w:t>
            </w:r>
          </w:p>
        </w:tc>
      </w:tr>
      <w:tr w:rsidR="0080080B" w:rsidRPr="0057345F" w14:paraId="75CBF741" w14:textId="77777777" w:rsidTr="0038636E">
        <w:trPr>
          <w:jc w:val="center"/>
        </w:trPr>
        <w:tc>
          <w:tcPr>
            <w:tcW w:w="1015" w:type="pct"/>
            <w:shd w:val="clear" w:color="auto" w:fill="auto"/>
          </w:tcPr>
          <w:p w14:paraId="750DC084" w14:textId="77777777" w:rsidR="0080080B" w:rsidRPr="00C92D6B" w:rsidRDefault="0080080B" w:rsidP="0080080B">
            <w:pPr>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Fortalecimiento del marco legal de las Tecnologías de la Información y las Comunicaciones (TIC).</w:t>
            </w:r>
          </w:p>
          <w:p w14:paraId="2B9F6CCF" w14:textId="77777777" w:rsidR="0080080B" w:rsidRPr="00C92D6B" w:rsidRDefault="0080080B" w:rsidP="0080080B">
            <w:pPr>
              <w:spacing w:after="0" w:line="240" w:lineRule="auto"/>
              <w:rPr>
                <w:rFonts w:ascii="Arial" w:hAnsi="Arial" w:cs="Arial"/>
                <w:color w:val="000000"/>
                <w:sz w:val="20"/>
                <w:szCs w:val="20"/>
                <w:lang w:val="es-ES_tradnl"/>
              </w:rPr>
            </w:pPr>
          </w:p>
        </w:tc>
        <w:tc>
          <w:tcPr>
            <w:tcW w:w="1168" w:type="pct"/>
            <w:shd w:val="clear" w:color="auto" w:fill="auto"/>
          </w:tcPr>
          <w:p w14:paraId="1E1E078F" w14:textId="23B2F413" w:rsidR="0080080B" w:rsidRPr="00C92D6B" w:rsidRDefault="0080080B" w:rsidP="0080080B">
            <w:pPr>
              <w:tabs>
                <w:tab w:val="left" w:pos="252"/>
                <w:tab w:val="left" w:pos="342"/>
              </w:tabs>
              <w:spacing w:after="0" w:line="240" w:lineRule="auto"/>
              <w:rPr>
                <w:rFonts w:ascii="Arial" w:hAnsi="Arial" w:cs="Arial"/>
                <w:color w:val="000000"/>
                <w:sz w:val="20"/>
                <w:szCs w:val="20"/>
                <w:lang w:val="es-ES_tradnl"/>
              </w:rPr>
            </w:pPr>
            <w:r w:rsidRPr="00C92D6B">
              <w:rPr>
                <w:rFonts w:ascii="Arial" w:eastAsia="Times New Roman" w:hAnsi="Arial" w:cs="Arial"/>
                <w:color w:val="000000"/>
                <w:sz w:val="20"/>
                <w:szCs w:val="20"/>
                <w:lang w:val="es-ES_tradnl"/>
              </w:rPr>
              <w:t>(3.1.1) Presentación al Congreso de la Nación Argentina de un proyecto de ley que, mediante la modificación de leyes existentes, establezca un marco legal para las TIC que:</w:t>
            </w:r>
            <w:r w:rsidRPr="00C92D6B">
              <w:rPr>
                <w:rFonts w:ascii="Arial" w:hAnsi="Arial" w:cs="Arial"/>
                <w:color w:val="000000"/>
                <w:sz w:val="20"/>
                <w:szCs w:val="20"/>
                <w:lang w:val="es-ES_tradnl"/>
              </w:rPr>
              <w:t xml:space="preserve"> (i) fomente la inversión y la competencia en el despliegue de infraestructura a través de la compartición de infraestructura; (</w:t>
            </w:r>
            <w:proofErr w:type="spellStart"/>
            <w:r w:rsidRPr="00C92D6B">
              <w:rPr>
                <w:rFonts w:ascii="Arial" w:hAnsi="Arial" w:cs="Arial"/>
                <w:color w:val="000000"/>
                <w:sz w:val="20"/>
                <w:szCs w:val="20"/>
                <w:lang w:val="es-ES_tradnl"/>
              </w:rPr>
              <w:t>ii</w:t>
            </w:r>
            <w:proofErr w:type="spellEnd"/>
            <w:r w:rsidRPr="00C92D6B">
              <w:rPr>
                <w:rFonts w:ascii="Arial" w:hAnsi="Arial" w:cs="Arial"/>
                <w:color w:val="000000"/>
                <w:sz w:val="20"/>
                <w:szCs w:val="20"/>
                <w:lang w:val="es-ES_tradnl"/>
              </w:rPr>
              <w:t xml:space="preserve">) promueva el uso del </w:t>
            </w:r>
            <w:r w:rsidRPr="00C92D6B">
              <w:rPr>
                <w:rFonts w:ascii="Arial" w:hAnsi="Arial" w:cs="Arial"/>
                <w:color w:val="000000"/>
                <w:sz w:val="20"/>
                <w:szCs w:val="20"/>
                <w:lang w:val="es-ES_tradnl"/>
              </w:rPr>
              <w:lastRenderedPageBreak/>
              <w:t>espectro radioeléctrico; y (</w:t>
            </w:r>
            <w:proofErr w:type="spellStart"/>
            <w:r w:rsidRPr="00C92D6B">
              <w:rPr>
                <w:rFonts w:ascii="Arial" w:hAnsi="Arial" w:cs="Arial"/>
                <w:color w:val="000000"/>
                <w:sz w:val="20"/>
                <w:szCs w:val="20"/>
                <w:lang w:val="es-ES_tradnl"/>
              </w:rPr>
              <w:t>iii</w:t>
            </w:r>
            <w:proofErr w:type="spellEnd"/>
            <w:r w:rsidRPr="00C92D6B">
              <w:rPr>
                <w:rFonts w:ascii="Arial" w:hAnsi="Arial" w:cs="Arial"/>
                <w:color w:val="000000"/>
                <w:sz w:val="20"/>
                <w:szCs w:val="20"/>
                <w:lang w:val="es-ES_tradnl"/>
              </w:rPr>
              <w:t>)</w:t>
            </w:r>
            <w:r w:rsidR="0038636E">
              <w:rPr>
                <w:rFonts w:ascii="Arial" w:hAnsi="Arial" w:cs="Arial"/>
                <w:color w:val="000000"/>
                <w:sz w:val="20"/>
                <w:szCs w:val="20"/>
                <w:lang w:val="es-ES_tradnl"/>
              </w:rPr>
              <w:t> </w:t>
            </w:r>
            <w:r w:rsidRPr="00C92D6B">
              <w:rPr>
                <w:rFonts w:ascii="Arial" w:hAnsi="Arial" w:cs="Arial"/>
                <w:color w:val="000000"/>
                <w:sz w:val="20"/>
                <w:szCs w:val="20"/>
                <w:lang w:val="es-ES_tradnl"/>
              </w:rPr>
              <w:t>fomente la convergencia de servicios de las TIC con independencia de la tecnología y plataforma.</w:t>
            </w:r>
          </w:p>
        </w:tc>
        <w:tc>
          <w:tcPr>
            <w:tcW w:w="1697" w:type="pct"/>
            <w:shd w:val="clear" w:color="auto" w:fill="auto"/>
          </w:tcPr>
          <w:p w14:paraId="6CCF98E2" w14:textId="77777777" w:rsidR="0080080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lastRenderedPageBreak/>
              <w:t>(3.1.1) Copia del mensaje del Poder Ejecutivo Nacional presentando al Congreso de la Nación Argentina las modificaciones legales para establecer un marco general de las TIC.</w:t>
            </w:r>
          </w:p>
          <w:p w14:paraId="0846F729" w14:textId="77777777" w:rsidR="0080080B" w:rsidRDefault="0080080B" w:rsidP="0080080B">
            <w:pPr>
              <w:tabs>
                <w:tab w:val="left" w:pos="162"/>
              </w:tabs>
              <w:spacing w:after="0" w:line="240" w:lineRule="auto"/>
              <w:rPr>
                <w:rFonts w:ascii="Arial" w:hAnsi="Arial" w:cs="Arial"/>
                <w:color w:val="000000"/>
                <w:sz w:val="20"/>
                <w:szCs w:val="20"/>
                <w:lang w:val="es-ES_tradnl"/>
              </w:rPr>
            </w:pPr>
          </w:p>
          <w:p w14:paraId="0114C1EF" w14:textId="62B338DE" w:rsidR="0080080B" w:rsidRPr="00C92D6B" w:rsidRDefault="0080080B" w:rsidP="0080080B">
            <w:pPr>
              <w:tabs>
                <w:tab w:val="left" w:pos="162"/>
              </w:tabs>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color w:val="000000"/>
                <w:sz w:val="20"/>
                <w:szCs w:val="20"/>
                <w:lang w:val="es-ES_tradnl"/>
              </w:rPr>
              <w:t>Mensaje de modificación para las Leyes No. 26522 y No. 27078. INLEG No. 2018</w:t>
            </w:r>
            <w:r>
              <w:rPr>
                <w:rFonts w:ascii="Arial" w:hAnsi="Arial" w:cs="Arial"/>
                <w:color w:val="000000"/>
                <w:sz w:val="20"/>
                <w:szCs w:val="20"/>
                <w:lang w:val="es-ES_tradnl"/>
              </w:rPr>
              <w:t>˗</w:t>
            </w:r>
            <w:r w:rsidRPr="00C92D6B">
              <w:rPr>
                <w:rFonts w:ascii="Arial" w:hAnsi="Arial" w:cs="Arial"/>
                <w:color w:val="000000"/>
                <w:sz w:val="20"/>
                <w:szCs w:val="20"/>
                <w:lang w:val="es-ES_tradnl"/>
              </w:rPr>
              <w:t>14606057-APNPTE</w:t>
            </w:r>
            <w:r>
              <w:rPr>
                <w:rFonts w:ascii="Arial" w:hAnsi="Arial" w:cs="Arial"/>
                <w:color w:val="000000"/>
                <w:sz w:val="20"/>
                <w:szCs w:val="20"/>
                <w:lang w:val="es-ES_tradnl"/>
              </w:rPr>
              <w:t>).</w:t>
            </w:r>
          </w:p>
        </w:tc>
        <w:tc>
          <w:tcPr>
            <w:tcW w:w="1120" w:type="pct"/>
            <w:shd w:val="clear" w:color="auto" w:fill="auto"/>
          </w:tcPr>
          <w:p w14:paraId="6EAEB76C" w14:textId="4479237C"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Secretaría de Tecnologías de Información y Comunicaciones. </w:t>
            </w:r>
          </w:p>
          <w:p w14:paraId="3FBF9DC6" w14:textId="77777777" w:rsidR="0080080B" w:rsidRPr="00C92D6B" w:rsidRDefault="0080080B" w:rsidP="0080080B">
            <w:pPr>
              <w:tabs>
                <w:tab w:val="left" w:pos="0"/>
              </w:tabs>
              <w:spacing w:after="0" w:line="240" w:lineRule="auto"/>
              <w:rPr>
                <w:rFonts w:ascii="Arial" w:hAnsi="Arial" w:cs="Arial"/>
                <w:color w:val="000000"/>
                <w:sz w:val="20"/>
                <w:szCs w:val="20"/>
                <w:lang w:val="es-ES_tradnl"/>
              </w:rPr>
            </w:pPr>
          </w:p>
        </w:tc>
      </w:tr>
      <w:tr w:rsidR="0080080B" w:rsidRPr="0057345F" w14:paraId="2CCD0055" w14:textId="77777777" w:rsidTr="00EF58E9">
        <w:trPr>
          <w:trHeight w:val="494"/>
          <w:jc w:val="center"/>
        </w:trPr>
        <w:tc>
          <w:tcPr>
            <w:tcW w:w="1015" w:type="pct"/>
            <w:vMerge w:val="restart"/>
            <w:shd w:val="clear" w:color="auto" w:fill="auto"/>
          </w:tcPr>
          <w:p w14:paraId="2CD9621D" w14:textId="77777777" w:rsidR="0080080B" w:rsidRPr="00C92D6B" w:rsidRDefault="0080080B" w:rsidP="0080080B">
            <w:pPr>
              <w:pStyle w:val="ListParagraph"/>
              <w:tabs>
                <w:tab w:val="left" w:pos="0"/>
              </w:tabs>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Mejora de la regulación de la competencia en el mercado de las TIC.</w:t>
            </w:r>
          </w:p>
        </w:tc>
        <w:tc>
          <w:tcPr>
            <w:tcW w:w="1168" w:type="pct"/>
            <w:shd w:val="clear" w:color="auto" w:fill="auto"/>
          </w:tcPr>
          <w:p w14:paraId="2A95C2C9"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(3.1.2.a) Aprobación del marco legal para la defensa de la competencia y creación de una autoridad nacional de competencia independiente y su reglamentación.</w:t>
            </w:r>
          </w:p>
        </w:tc>
        <w:tc>
          <w:tcPr>
            <w:tcW w:w="1697" w:type="pct"/>
            <w:shd w:val="clear" w:color="auto" w:fill="auto"/>
          </w:tcPr>
          <w:p w14:paraId="5E5BAFCB"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 xml:space="preserve">(3.1.2.a) Copia de la publicación en el Boletín Oficial de la República Argentina de la promulgación de la ley que crea el marco legal y </w:t>
            </w:r>
            <w:r w:rsidRPr="00C92D6B">
              <w:rPr>
                <w:rFonts w:ascii="Arial" w:hAnsi="Arial" w:cs="Arial"/>
                <w:color w:val="000000"/>
                <w:sz w:val="20"/>
                <w:szCs w:val="20"/>
                <w:lang w:val="es-ES_tradnl"/>
              </w:rPr>
              <w:t>del Decreto del Poder Ejecutivo de la Nación que aprueba</w:t>
            </w:r>
            <w:r w:rsidRPr="00C92D6B">
              <w:rPr>
                <w:rFonts w:ascii="Arial" w:eastAsia="Times New Roman" w:hAnsi="Arial" w:cs="Arial"/>
                <w:color w:val="000000"/>
                <w:sz w:val="20"/>
                <w:szCs w:val="20"/>
                <w:lang w:val="es-ES_tradnl"/>
              </w:rPr>
              <w:t xml:space="preserve"> su reglamento.</w:t>
            </w:r>
          </w:p>
          <w:p w14:paraId="0BFD85E2" w14:textId="77777777" w:rsidR="0080080B" w:rsidRDefault="0080080B" w:rsidP="0080080B">
            <w:pPr>
              <w:tabs>
                <w:tab w:val="left" w:pos="342"/>
              </w:tabs>
              <w:spacing w:after="0" w:line="240" w:lineRule="auto"/>
              <w:rPr>
                <w:rFonts w:ascii="Arial" w:eastAsia="Times New Roman" w:hAnsi="Arial" w:cs="Arial"/>
                <w:color w:val="000000"/>
                <w:sz w:val="20"/>
                <w:szCs w:val="20"/>
                <w:lang w:val="es-ES_tradnl"/>
              </w:rPr>
            </w:pPr>
          </w:p>
          <w:p w14:paraId="4E5E611A" w14:textId="10998B78"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color w:val="000000"/>
                <w:sz w:val="20"/>
                <w:szCs w:val="20"/>
                <w:lang w:val="es-ES_tradnl"/>
              </w:rPr>
              <w:t>Ley No.27442 y Decreto No. 480/2018</w:t>
            </w:r>
            <w:r>
              <w:rPr>
                <w:rFonts w:ascii="Arial" w:hAnsi="Arial" w:cs="Arial"/>
                <w:color w:val="000000"/>
                <w:sz w:val="20"/>
                <w:szCs w:val="20"/>
                <w:lang w:val="es-ES_tradnl"/>
              </w:rPr>
              <w:t>).</w:t>
            </w:r>
          </w:p>
        </w:tc>
        <w:tc>
          <w:tcPr>
            <w:tcW w:w="1120" w:type="pct"/>
            <w:vMerge w:val="restart"/>
            <w:shd w:val="clear" w:color="auto" w:fill="auto"/>
          </w:tcPr>
          <w:p w14:paraId="156F19D8" w14:textId="553ABEBF"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Secretaría de Tecnologías de la Información y Comunicaciones.</w:t>
            </w:r>
          </w:p>
        </w:tc>
      </w:tr>
      <w:tr w:rsidR="0080080B" w:rsidRPr="0057345F" w14:paraId="4C6C6F24" w14:textId="77777777" w:rsidTr="00A136C2">
        <w:trPr>
          <w:jc w:val="center"/>
        </w:trPr>
        <w:tc>
          <w:tcPr>
            <w:tcW w:w="1015" w:type="pct"/>
            <w:vMerge/>
            <w:shd w:val="clear" w:color="auto" w:fill="auto"/>
          </w:tcPr>
          <w:p w14:paraId="5EA48722"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68E11278"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(3.1.2.b) Aprobación de la reglamentación sobre portabilidad numérica del servicio de telefonía fija.</w:t>
            </w:r>
          </w:p>
        </w:tc>
        <w:tc>
          <w:tcPr>
            <w:tcW w:w="1697" w:type="pct"/>
            <w:shd w:val="clear" w:color="auto" w:fill="auto"/>
          </w:tcPr>
          <w:p w14:paraId="43C8D9FB" w14:textId="77777777" w:rsidR="0080080B" w:rsidRDefault="0080080B" w:rsidP="0080080B">
            <w:pPr>
              <w:tabs>
                <w:tab w:val="left" w:pos="342"/>
              </w:tabs>
              <w:spacing w:after="12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(3.1.2.b) Copia de la publicación en el Boletín Oficial de la República Argentina de la Resolución que aprueba la reglamentación.</w:t>
            </w:r>
            <w:r>
              <w:rPr>
                <w:rFonts w:ascii="Arial" w:eastAsia="Times New Roman" w:hAnsi="Arial" w:cs="Arial"/>
                <w:color w:val="000000"/>
                <w:sz w:val="20"/>
                <w:szCs w:val="20"/>
                <w:lang w:val="es-ES_tradnl"/>
              </w:rPr>
              <w:t xml:space="preserve"> </w:t>
            </w:r>
          </w:p>
          <w:p w14:paraId="762D79C5" w14:textId="2FCC1831" w:rsidR="0080080B" w:rsidRDefault="0080080B" w:rsidP="0080080B">
            <w:pPr>
              <w:tabs>
                <w:tab w:val="left" w:pos="342"/>
              </w:tabs>
              <w:spacing w:after="120" w:line="240" w:lineRule="auto"/>
              <w:rPr>
                <w:rFonts w:ascii="Arial"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color w:val="000000"/>
                <w:sz w:val="20"/>
                <w:szCs w:val="20"/>
                <w:lang w:val="es-ES_tradnl"/>
              </w:rPr>
              <w:t>Resolución No. 203/2018 del Ministerio de Modernización</w:t>
            </w:r>
            <w:r>
              <w:rPr>
                <w:rFonts w:ascii="Arial" w:eastAsia="Times New Roman" w:hAnsi="Arial" w:cs="Arial"/>
                <w:color w:val="000000"/>
                <w:sz w:val="20"/>
                <w:szCs w:val="20"/>
                <w:lang w:val="es-ES_tradnl"/>
              </w:rPr>
              <w:t>).</w:t>
            </w:r>
          </w:p>
        </w:tc>
        <w:tc>
          <w:tcPr>
            <w:tcW w:w="1120" w:type="pct"/>
            <w:vMerge/>
            <w:shd w:val="clear" w:color="auto" w:fill="auto"/>
          </w:tcPr>
          <w:p w14:paraId="7C14FE4B" w14:textId="2621736C" w:rsidR="0080080B" w:rsidRPr="00C92D6B" w:rsidRDefault="0080080B" w:rsidP="0080080B">
            <w:pPr>
              <w:tabs>
                <w:tab w:val="left" w:pos="162"/>
              </w:tabs>
              <w:spacing w:after="0" w:line="240" w:lineRule="auto"/>
              <w:rPr>
                <w:rFonts w:ascii="Arial" w:hAnsi="Arial" w:cs="Arial"/>
                <w:color w:val="000000"/>
                <w:sz w:val="20"/>
                <w:szCs w:val="20"/>
                <w:lang w:val="es-ES_tradnl"/>
              </w:rPr>
            </w:pPr>
          </w:p>
        </w:tc>
      </w:tr>
      <w:tr w:rsidR="0080080B" w:rsidRPr="0057345F" w14:paraId="604E6A0B" w14:textId="77777777" w:rsidTr="00A136C2">
        <w:trPr>
          <w:jc w:val="center"/>
        </w:trPr>
        <w:tc>
          <w:tcPr>
            <w:tcW w:w="1015" w:type="pct"/>
            <w:vMerge/>
            <w:shd w:val="clear" w:color="auto" w:fill="auto"/>
          </w:tcPr>
          <w:p w14:paraId="6372DDE6"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48B7A722"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(3.1.2.c) Aprobación del Reglamento General de Interconexión y Acceso.</w:t>
            </w:r>
          </w:p>
        </w:tc>
        <w:tc>
          <w:tcPr>
            <w:tcW w:w="1697" w:type="pct"/>
            <w:shd w:val="clear" w:color="auto" w:fill="auto"/>
          </w:tcPr>
          <w:p w14:paraId="0A7C5583" w14:textId="77777777" w:rsidR="0080080B" w:rsidRDefault="0080080B" w:rsidP="0080080B">
            <w:pPr>
              <w:tabs>
                <w:tab w:val="left" w:pos="34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(3.1.2.c) Copia de la publicación en el Boletín Oficial de la República Argentina de la Resolución que aprueba el reglamento.</w:t>
            </w:r>
          </w:p>
          <w:p w14:paraId="2B427455" w14:textId="5EE93A1C" w:rsidR="0080080B" w:rsidRDefault="0080080B" w:rsidP="0080080B">
            <w:pPr>
              <w:tabs>
                <w:tab w:val="left" w:pos="342"/>
              </w:tabs>
              <w:spacing w:after="120" w:line="240" w:lineRule="auto"/>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color w:val="000000"/>
                <w:sz w:val="20"/>
                <w:szCs w:val="20"/>
                <w:lang w:val="es-ES_tradnl"/>
              </w:rPr>
              <w:t>Resolución No. 286/ 2018 del Ministerio de Modernización</w:t>
            </w:r>
            <w:r>
              <w:rPr>
                <w:rFonts w:ascii="Arial" w:hAnsi="Arial" w:cs="Arial"/>
                <w:color w:val="000000"/>
                <w:sz w:val="20"/>
                <w:szCs w:val="20"/>
                <w:lang w:val="es-ES_tradnl"/>
              </w:rPr>
              <w:t>).</w:t>
            </w:r>
          </w:p>
        </w:tc>
        <w:tc>
          <w:tcPr>
            <w:tcW w:w="1120" w:type="pct"/>
            <w:vMerge/>
            <w:shd w:val="clear" w:color="auto" w:fill="auto"/>
          </w:tcPr>
          <w:p w14:paraId="6016A896" w14:textId="2B36D906" w:rsidR="0080080B" w:rsidRPr="00C92D6B" w:rsidRDefault="0080080B" w:rsidP="0080080B">
            <w:pPr>
              <w:tabs>
                <w:tab w:val="left" w:pos="162"/>
              </w:tabs>
              <w:spacing w:after="0" w:line="240" w:lineRule="auto"/>
              <w:rPr>
                <w:rFonts w:ascii="Arial" w:hAnsi="Arial" w:cs="Arial"/>
                <w:color w:val="000000"/>
                <w:sz w:val="20"/>
                <w:szCs w:val="20"/>
                <w:lang w:val="es-ES_tradnl"/>
              </w:rPr>
            </w:pPr>
          </w:p>
        </w:tc>
      </w:tr>
      <w:tr w:rsidR="0080080B" w:rsidRPr="00A136C2" w14:paraId="4AEC9C80" w14:textId="77777777" w:rsidTr="00A136C2">
        <w:trPr>
          <w:jc w:val="center"/>
        </w:trPr>
        <w:tc>
          <w:tcPr>
            <w:tcW w:w="1015" w:type="pct"/>
            <w:vMerge w:val="restart"/>
            <w:shd w:val="clear" w:color="auto" w:fill="auto"/>
          </w:tcPr>
          <w:p w14:paraId="72E3B407"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Desarrollo de la infraestructura para la inclusión digital.</w:t>
            </w:r>
          </w:p>
        </w:tc>
        <w:tc>
          <w:tcPr>
            <w:tcW w:w="1168" w:type="pct"/>
            <w:shd w:val="clear" w:color="auto" w:fill="auto"/>
          </w:tcPr>
          <w:p w14:paraId="247E5D44" w14:textId="46F5984C" w:rsidR="0080080B" w:rsidRPr="00C92D6B" w:rsidRDefault="0080080B" w:rsidP="0080080B">
            <w:pPr>
              <w:tabs>
                <w:tab w:val="left" w:pos="34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(3.1.3.a) Aprobación de las </w:t>
            </w:r>
            <w:r w:rsidR="007C7E31">
              <w:rPr>
                <w:rFonts w:ascii="Arial" w:hAnsi="Arial" w:cs="Arial"/>
                <w:color w:val="000000"/>
                <w:sz w:val="20"/>
                <w:szCs w:val="20"/>
                <w:lang w:val="es-ES_tradnl"/>
              </w:rPr>
              <w:t>Resoluciones</w:t>
            </w:r>
            <w:r w:rsidR="007C7E31" w:rsidRPr="00C92D6B">
              <w:rPr>
                <w:rFonts w:ascii="Arial" w:hAnsi="Arial" w:cs="Arial"/>
                <w:color w:val="000000"/>
                <w:sz w:val="20"/>
                <w:szCs w:val="20"/>
                <w:lang w:val="es-ES_tradnl"/>
              </w:rPr>
              <w:t xml:space="preserve"> </w:t>
            </w:r>
            <w:r w:rsidRPr="00C92D6B">
              <w:rPr>
                <w:rFonts w:ascii="Arial" w:hAnsi="Arial" w:cs="Arial"/>
                <w:color w:val="000000"/>
                <w:sz w:val="20"/>
                <w:szCs w:val="20"/>
                <w:lang w:val="es-ES_tradnl"/>
              </w:rPr>
              <w:t>que permitan (i) la expansión de la red mayorista de Internet y (</w:t>
            </w:r>
            <w:proofErr w:type="spellStart"/>
            <w:r w:rsidRPr="00C92D6B">
              <w:rPr>
                <w:rFonts w:ascii="Arial" w:hAnsi="Arial" w:cs="Arial"/>
                <w:color w:val="000000"/>
                <w:sz w:val="20"/>
                <w:szCs w:val="20"/>
                <w:lang w:val="es-ES_tradnl"/>
              </w:rPr>
              <w:t>ii</w:t>
            </w:r>
            <w:proofErr w:type="spellEnd"/>
            <w:r w:rsidRPr="00C92D6B">
              <w:rPr>
                <w:rFonts w:ascii="Arial" w:hAnsi="Arial" w:cs="Arial"/>
                <w:color w:val="000000"/>
                <w:sz w:val="20"/>
                <w:szCs w:val="20"/>
                <w:lang w:val="es-ES_tradnl"/>
              </w:rPr>
              <w:t xml:space="preserve">) la conexión a Internet de zonas poco pobladas. </w:t>
            </w:r>
          </w:p>
        </w:tc>
        <w:tc>
          <w:tcPr>
            <w:tcW w:w="1697" w:type="pct"/>
            <w:shd w:val="clear" w:color="auto" w:fill="auto"/>
          </w:tcPr>
          <w:p w14:paraId="75AB4E6C"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(3.1.3.a) Copia de la publicación en el Boletín Oficial de la República Argentina de las Resoluciones que establezcan las medidas. </w:t>
            </w:r>
            <w:r w:rsidRPr="00C92D6B" w:rsidDel="00031516">
              <w:rPr>
                <w:rFonts w:ascii="Arial" w:hAnsi="Arial" w:cs="Arial"/>
                <w:color w:val="000000"/>
                <w:sz w:val="20"/>
                <w:szCs w:val="20"/>
                <w:lang w:val="es-ES_tradnl"/>
              </w:rPr>
              <w:t xml:space="preserve"> </w:t>
            </w:r>
          </w:p>
          <w:p w14:paraId="69E63603" w14:textId="62EB3DB6" w:rsidR="0080080B" w:rsidRDefault="0080080B" w:rsidP="0080080B">
            <w:pPr>
              <w:tabs>
                <w:tab w:val="left" w:pos="162"/>
              </w:tabs>
              <w:spacing w:after="120" w:line="240" w:lineRule="auto"/>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color w:val="000000"/>
                <w:sz w:val="20"/>
                <w:szCs w:val="20"/>
                <w:lang w:val="es-ES_tradnl"/>
              </w:rPr>
              <w:t>Resolución No. 4701/2018 del Ente Nacional de Comunicaciones y Resolución No. 5716/2017 del Ente Nacional de Comunicaciones</w:t>
            </w:r>
            <w:r>
              <w:rPr>
                <w:rFonts w:ascii="Arial" w:hAnsi="Arial" w:cs="Arial"/>
                <w:color w:val="000000"/>
                <w:sz w:val="20"/>
                <w:szCs w:val="20"/>
                <w:lang w:val="es-ES_tradnl"/>
              </w:rPr>
              <w:t>).</w:t>
            </w:r>
          </w:p>
        </w:tc>
        <w:tc>
          <w:tcPr>
            <w:tcW w:w="1120" w:type="pct"/>
            <w:shd w:val="clear" w:color="auto" w:fill="auto"/>
          </w:tcPr>
          <w:p w14:paraId="30586A23" w14:textId="713F8A6F" w:rsidR="0080080B" w:rsidRPr="00C92D6B" w:rsidRDefault="0080080B" w:rsidP="0080080B">
            <w:pPr>
              <w:tabs>
                <w:tab w:val="left" w:pos="162"/>
              </w:tabs>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Ente Nacional de Comunicaciones.</w:t>
            </w:r>
          </w:p>
        </w:tc>
      </w:tr>
      <w:tr w:rsidR="0080080B" w:rsidRPr="0057345F" w14:paraId="71C1354A" w14:textId="77777777" w:rsidTr="00A136C2">
        <w:trPr>
          <w:jc w:val="center"/>
        </w:trPr>
        <w:tc>
          <w:tcPr>
            <w:tcW w:w="1015" w:type="pct"/>
            <w:vMerge/>
            <w:shd w:val="clear" w:color="auto" w:fill="auto"/>
          </w:tcPr>
          <w:p w14:paraId="63EE18AA"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40352A51" w14:textId="77777777" w:rsidR="0080080B" w:rsidRPr="00C92D6B" w:rsidRDefault="0080080B" w:rsidP="0080080B">
            <w:pPr>
              <w:tabs>
                <w:tab w:val="left" w:pos="34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(3.1.3.b) Identificación de acciones y mejores prácticas para incorporar la perspectiva de género en la </w:t>
            </w:r>
            <w:r w:rsidRPr="00C92D6B">
              <w:rPr>
                <w:rFonts w:ascii="Arial" w:hAnsi="Arial" w:cs="Arial"/>
                <w:color w:val="000000"/>
                <w:sz w:val="20"/>
                <w:szCs w:val="20"/>
                <w:lang w:val="es-ES_tradnl"/>
              </w:rPr>
              <w:lastRenderedPageBreak/>
              <w:t xml:space="preserve">inclusión digital, incluyendo las mejores prácticas derivadas del G20. </w:t>
            </w:r>
          </w:p>
        </w:tc>
        <w:tc>
          <w:tcPr>
            <w:tcW w:w="1697" w:type="pct"/>
            <w:shd w:val="clear" w:color="auto" w:fill="auto"/>
          </w:tcPr>
          <w:p w14:paraId="07071924"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lastRenderedPageBreak/>
              <w:t xml:space="preserve">(3.1.3.b) Copia del Informe Técnico elaborado por la Secretaría de Gobierno Digital e Innovación Tecnológica </w:t>
            </w:r>
            <w:r w:rsidRPr="00C92D6B">
              <w:rPr>
                <w:rFonts w:ascii="Arial" w:hAnsi="Arial" w:cs="Arial"/>
                <w:color w:val="000000"/>
                <w:sz w:val="20"/>
                <w:szCs w:val="20"/>
                <w:lang w:val="es-ES_tradnl"/>
              </w:rPr>
              <w:lastRenderedPageBreak/>
              <w:t>identificando las acciones para la inclusión de la perspectiva de género.</w:t>
            </w:r>
          </w:p>
          <w:p w14:paraId="52A5493B" w14:textId="2FCB6E68" w:rsidR="0080080B" w:rsidRPr="00A136C2" w:rsidRDefault="0080080B" w:rsidP="0080080B">
            <w:pPr>
              <w:tabs>
                <w:tab w:val="left" w:pos="162"/>
              </w:tabs>
              <w:spacing w:after="0" w:line="240" w:lineRule="auto"/>
              <w:rPr>
                <w:rFonts w:ascii="Arial" w:hAnsi="Arial" w:cs="Arial"/>
                <w:color w:val="000000"/>
                <w:sz w:val="20"/>
                <w:szCs w:val="20"/>
              </w:rPr>
            </w:pPr>
            <w:r w:rsidRPr="00A136C2">
              <w:rPr>
                <w:rFonts w:ascii="Arial" w:hAnsi="Arial" w:cs="Arial"/>
                <w:color w:val="000000"/>
                <w:sz w:val="20"/>
                <w:szCs w:val="20"/>
              </w:rPr>
              <w:t xml:space="preserve">(Informe </w:t>
            </w:r>
            <w:hyperlink r:id="rId16" w:history="1">
              <w:r w:rsidRPr="00A136C2">
                <w:rPr>
                  <w:rStyle w:val="Hyperlink"/>
                  <w:rFonts w:ascii="Arial" w:hAnsi="Arial" w:cs="Arial"/>
                  <w:sz w:val="20"/>
                  <w:szCs w:val="20"/>
                </w:rPr>
                <w:t>IF-2018-57409028-APN-SGDEIT JGM</w:t>
              </w:r>
            </w:hyperlink>
            <w:r w:rsidRPr="00A136C2">
              <w:rPr>
                <w:rFonts w:ascii="Arial" w:hAnsi="Arial" w:cs="Arial"/>
                <w:color w:val="000000"/>
                <w:sz w:val="20"/>
                <w:szCs w:val="20"/>
              </w:rPr>
              <w:t>)</w:t>
            </w:r>
          </w:p>
        </w:tc>
        <w:tc>
          <w:tcPr>
            <w:tcW w:w="1120" w:type="pct"/>
            <w:shd w:val="clear" w:color="auto" w:fill="auto"/>
          </w:tcPr>
          <w:p w14:paraId="0B9970BA" w14:textId="1D0D43E5"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lastRenderedPageBreak/>
              <w:t>Secretaría de Gobierno Digital e Innovación Tecnológica.</w:t>
            </w:r>
          </w:p>
        </w:tc>
      </w:tr>
      <w:tr w:rsidR="00E03766" w:rsidRPr="0057345F" w14:paraId="28151BC9" w14:textId="77777777" w:rsidTr="00E03766">
        <w:trPr>
          <w:trHeight w:val="143"/>
          <w:jc w:val="center"/>
        </w:trPr>
        <w:tc>
          <w:tcPr>
            <w:tcW w:w="5000" w:type="pct"/>
            <w:gridSpan w:val="4"/>
            <w:shd w:val="clear" w:color="auto" w:fill="BFBFBF"/>
          </w:tcPr>
          <w:p w14:paraId="4BDAE878" w14:textId="19024C5A" w:rsidR="00E03766" w:rsidRPr="00E03766" w:rsidRDefault="00E03766" w:rsidP="0080080B">
            <w:pPr>
              <w:pStyle w:val="ListParagraph"/>
              <w:tabs>
                <w:tab w:val="left" w:pos="162"/>
              </w:tabs>
              <w:spacing w:after="0" w:line="240" w:lineRule="auto"/>
              <w:ind w:left="0"/>
              <w:contextualSpacing w:val="0"/>
              <w:rPr>
                <w:rFonts w:ascii="Arial" w:hAnsi="Arial" w:cs="Arial"/>
                <w:b/>
                <w:color w:val="000000"/>
                <w:sz w:val="20"/>
                <w:szCs w:val="20"/>
                <w:lang w:val="es-ES_tradnl"/>
              </w:rPr>
            </w:pPr>
            <w:r w:rsidRPr="00E03766">
              <w:rPr>
                <w:rFonts w:ascii="Arial" w:hAnsi="Arial" w:cs="Arial"/>
                <w:b/>
                <w:color w:val="000000"/>
                <w:sz w:val="20"/>
                <w:szCs w:val="20"/>
                <w:lang w:val="es-ES_tradnl"/>
              </w:rPr>
              <w:t>Componente IV: Desarrollo del Gobierno Digital</w:t>
            </w:r>
          </w:p>
        </w:tc>
      </w:tr>
      <w:tr w:rsidR="002C1210" w:rsidRPr="0057345F" w14:paraId="6F552FB8" w14:textId="77777777" w:rsidTr="00A136C2">
        <w:trPr>
          <w:trHeight w:val="737"/>
          <w:jc w:val="center"/>
        </w:trPr>
        <w:tc>
          <w:tcPr>
            <w:tcW w:w="1015" w:type="pct"/>
            <w:vMerge w:val="restart"/>
            <w:shd w:val="clear" w:color="auto" w:fill="auto"/>
          </w:tcPr>
          <w:p w14:paraId="252C10A1" w14:textId="7CBE5E19" w:rsidR="002C1210" w:rsidRPr="00C92D6B" w:rsidRDefault="002C1210" w:rsidP="0080080B">
            <w:pPr>
              <w:pStyle w:val="ListParagraph"/>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Fortalecimiento de la seguridad de las infraestructuras críticas, de los datos personales y buenas prácticas en el uso de las Tecnologías de la Información y Comunicaciones.</w:t>
            </w:r>
          </w:p>
        </w:tc>
        <w:tc>
          <w:tcPr>
            <w:tcW w:w="1168" w:type="pct"/>
            <w:shd w:val="clear" w:color="auto" w:fill="auto"/>
          </w:tcPr>
          <w:p w14:paraId="2686BB32" w14:textId="77777777" w:rsidR="002C1210" w:rsidRPr="00C92D6B" w:rsidRDefault="002C1210" w:rsidP="0080080B">
            <w:pPr>
              <w:tabs>
                <w:tab w:val="left" w:pos="342"/>
              </w:tabs>
              <w:spacing w:after="0" w:line="240" w:lineRule="auto"/>
              <w:rPr>
                <w:rFonts w:ascii="Arial" w:hAnsi="Arial" w:cs="Arial"/>
                <w:sz w:val="20"/>
                <w:szCs w:val="20"/>
                <w:lang w:val="es-ES_tradnl"/>
              </w:rPr>
            </w:pPr>
            <w:r w:rsidRPr="00C92D6B">
              <w:rPr>
                <w:rFonts w:ascii="Arial" w:hAnsi="Arial" w:cs="Arial"/>
                <w:sz w:val="20"/>
                <w:szCs w:val="20"/>
                <w:lang w:val="es-ES_tradnl"/>
              </w:rPr>
              <w:t>(4.1.1.a) Aprobación de un Proyecto de Estrategia Nacional de Ciberseguridad.</w:t>
            </w:r>
          </w:p>
        </w:tc>
        <w:tc>
          <w:tcPr>
            <w:tcW w:w="1697" w:type="pct"/>
            <w:shd w:val="clear" w:color="auto" w:fill="auto"/>
          </w:tcPr>
          <w:p w14:paraId="47844036" w14:textId="77777777" w:rsidR="002C1210"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sidRPr="00C92D6B">
              <w:rPr>
                <w:rFonts w:ascii="Arial" w:hAnsi="Arial" w:cs="Arial"/>
                <w:sz w:val="20"/>
                <w:szCs w:val="20"/>
                <w:lang w:val="es-ES_tradnl"/>
              </w:rPr>
              <w:t xml:space="preserve">(4.1.1.a) </w:t>
            </w:r>
            <w:r w:rsidRPr="00C92D6B">
              <w:rPr>
                <w:rFonts w:ascii="Arial" w:hAnsi="Arial" w:cs="Arial"/>
                <w:color w:val="000000"/>
                <w:sz w:val="20"/>
                <w:szCs w:val="20"/>
                <w:lang w:val="es-ES_tradnl"/>
              </w:rPr>
              <w:t xml:space="preserve">Copia del informe de la Secretaría de Infraestructura Tecnológica y País Digital que dé cuenta de la aprobación a nivel de Proyecto de la Estrategia por parte del Comité de Ciberseguridad. </w:t>
            </w:r>
          </w:p>
          <w:p w14:paraId="19C82FD1" w14:textId="2E7A2066"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color w:val="000000"/>
                <w:sz w:val="20"/>
                <w:szCs w:val="20"/>
                <w:lang w:val="es-ES_tradnl"/>
              </w:rPr>
              <w:t xml:space="preserve">Informe </w:t>
            </w:r>
            <w:r w:rsidRPr="00C92D6B">
              <w:rPr>
                <w:rFonts w:ascii="Arial" w:hAnsi="Arial" w:cs="Arial"/>
                <w:color w:val="000000"/>
                <w:spacing w:val="-4"/>
                <w:sz w:val="20"/>
                <w:szCs w:val="20"/>
                <w:lang w:val="es-ES_tradnl"/>
              </w:rPr>
              <w:t>IF-2018˗54349553˗APN˗SITPD#JGM</w:t>
            </w:r>
            <w:r>
              <w:rPr>
                <w:rFonts w:ascii="Arial" w:hAnsi="Arial" w:cs="Arial"/>
                <w:color w:val="000000"/>
                <w:sz w:val="20"/>
                <w:szCs w:val="20"/>
                <w:lang w:val="es-ES_tradnl"/>
              </w:rPr>
              <w:t>).</w:t>
            </w:r>
          </w:p>
        </w:tc>
        <w:tc>
          <w:tcPr>
            <w:tcW w:w="1120" w:type="pct"/>
            <w:shd w:val="clear" w:color="auto" w:fill="auto"/>
          </w:tcPr>
          <w:p w14:paraId="239F6FDE" w14:textId="3E244B53"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Secretaría de Infraestructura Tecnológica y País Digital.</w:t>
            </w:r>
          </w:p>
        </w:tc>
      </w:tr>
      <w:tr w:rsidR="002C1210" w:rsidRPr="0057345F" w14:paraId="317E73D4" w14:textId="77777777" w:rsidTr="00A136C2">
        <w:trPr>
          <w:trHeight w:val="737"/>
          <w:jc w:val="center"/>
        </w:trPr>
        <w:tc>
          <w:tcPr>
            <w:tcW w:w="1015" w:type="pct"/>
            <w:vMerge/>
            <w:shd w:val="clear" w:color="auto" w:fill="auto"/>
          </w:tcPr>
          <w:p w14:paraId="3214A692" w14:textId="77777777" w:rsidR="002C1210" w:rsidRPr="00C92D6B" w:rsidRDefault="002C1210"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5D470B46" w14:textId="77777777" w:rsidR="002C1210" w:rsidRPr="00C92D6B" w:rsidRDefault="002C1210"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 xml:space="preserve">(4.1.1.b) Aprobación de regulaciones sobre privacidad en el uso de datos personales en el sector público y sobre buenas prácticas en el uso de las TIC en el sector público. </w:t>
            </w:r>
          </w:p>
          <w:p w14:paraId="09886D46" w14:textId="77777777" w:rsidR="002C1210" w:rsidRPr="00C92D6B" w:rsidRDefault="002C1210" w:rsidP="0080080B">
            <w:pPr>
              <w:tabs>
                <w:tab w:val="left" w:pos="342"/>
              </w:tabs>
              <w:spacing w:after="0" w:line="240" w:lineRule="auto"/>
              <w:rPr>
                <w:rFonts w:ascii="Arial" w:hAnsi="Arial" w:cs="Arial"/>
                <w:sz w:val="20"/>
                <w:szCs w:val="20"/>
                <w:lang w:val="es-ES_tradnl"/>
              </w:rPr>
            </w:pPr>
          </w:p>
        </w:tc>
        <w:tc>
          <w:tcPr>
            <w:tcW w:w="1697" w:type="pct"/>
            <w:shd w:val="clear" w:color="auto" w:fill="auto"/>
          </w:tcPr>
          <w:p w14:paraId="1FF43ECD" w14:textId="77777777" w:rsidR="002C1210" w:rsidRDefault="002C1210" w:rsidP="0080080B">
            <w:pPr>
              <w:pStyle w:val="ListParagraph"/>
              <w:tabs>
                <w:tab w:val="left" w:pos="162"/>
              </w:tabs>
              <w:spacing w:after="12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 xml:space="preserve">(4.1.1.b) Copia de la publicación en el Boletín Oficial de la República Argentina de la Resolución y Disposiciones que aprueban las regulaciones sobre privacidad de datos personales y buenas prácticas en el uso de las TIC. </w:t>
            </w:r>
          </w:p>
          <w:p w14:paraId="7176D6A2" w14:textId="4A8C3578"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color w:val="000000"/>
                <w:sz w:val="20"/>
                <w:szCs w:val="20"/>
                <w:lang w:val="es-ES_tradnl"/>
              </w:rPr>
              <w:t>Resolución No. 40/2018 de la Agencia de Acceso a la Información Pública.</w:t>
            </w:r>
          </w:p>
          <w:p w14:paraId="51D4DF09" w14:textId="60F19F7D"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Disposición No. 2/2018 y No. 3/2018 de la ONTI (“Decálogo Tecnológico”)</w:t>
            </w:r>
            <w:r>
              <w:rPr>
                <w:rFonts w:ascii="Arial" w:hAnsi="Arial" w:cs="Arial"/>
                <w:color w:val="000000"/>
                <w:sz w:val="20"/>
                <w:szCs w:val="20"/>
                <w:lang w:val="es-ES_tradnl"/>
              </w:rPr>
              <w:t>.</w:t>
            </w:r>
          </w:p>
        </w:tc>
        <w:tc>
          <w:tcPr>
            <w:tcW w:w="1120" w:type="pct"/>
            <w:shd w:val="clear" w:color="auto" w:fill="auto"/>
          </w:tcPr>
          <w:p w14:paraId="4A799B08" w14:textId="6AA60C5B"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Agencia de Acceso a la Información Pública</w:t>
            </w:r>
          </w:p>
          <w:p w14:paraId="363D5E4B" w14:textId="77777777"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p>
          <w:p w14:paraId="3915890C" w14:textId="160F14DD" w:rsidR="002C1210" w:rsidRPr="00C92D6B" w:rsidRDefault="002C1210" w:rsidP="0080080B">
            <w:pPr>
              <w:pStyle w:val="ListParagraph"/>
              <w:tabs>
                <w:tab w:val="left" w:pos="162"/>
              </w:tabs>
              <w:spacing w:after="0" w:line="240" w:lineRule="auto"/>
              <w:ind w:left="0"/>
              <w:contextualSpacing w:val="0"/>
              <w:rPr>
                <w:rFonts w:ascii="Arial" w:hAnsi="Arial" w:cs="Arial"/>
                <w:color w:val="000000"/>
                <w:sz w:val="20"/>
                <w:szCs w:val="20"/>
                <w:lang w:val="es-ES_tradnl"/>
              </w:rPr>
            </w:pPr>
            <w:r w:rsidRPr="00C92D6B">
              <w:rPr>
                <w:rFonts w:ascii="Arial" w:hAnsi="Arial" w:cs="Arial"/>
                <w:color w:val="000000"/>
                <w:sz w:val="20"/>
                <w:szCs w:val="20"/>
                <w:lang w:val="es-ES_tradnl"/>
              </w:rPr>
              <w:t>Oficina Nacional de Tecnologías de la Información (ONT</w:t>
            </w:r>
            <w:r>
              <w:rPr>
                <w:rFonts w:ascii="Arial" w:hAnsi="Arial" w:cs="Arial"/>
                <w:color w:val="000000"/>
                <w:sz w:val="20"/>
                <w:szCs w:val="20"/>
                <w:lang w:val="es-ES_tradnl"/>
              </w:rPr>
              <w:t>I</w:t>
            </w:r>
            <w:r w:rsidRPr="00C92D6B">
              <w:rPr>
                <w:rFonts w:ascii="Arial" w:hAnsi="Arial" w:cs="Arial"/>
                <w:color w:val="000000"/>
                <w:sz w:val="20"/>
                <w:szCs w:val="20"/>
                <w:lang w:val="es-ES_tradnl"/>
              </w:rPr>
              <w:t>)</w:t>
            </w:r>
            <w:r>
              <w:rPr>
                <w:rFonts w:ascii="Arial" w:hAnsi="Arial" w:cs="Arial"/>
                <w:color w:val="000000"/>
                <w:sz w:val="20"/>
                <w:szCs w:val="20"/>
                <w:lang w:val="es-ES_tradnl"/>
              </w:rPr>
              <w:t>.</w:t>
            </w:r>
          </w:p>
        </w:tc>
      </w:tr>
      <w:tr w:rsidR="0080080B" w:rsidRPr="00C92D6B" w14:paraId="237D0882" w14:textId="77777777" w:rsidTr="00A136C2">
        <w:trPr>
          <w:jc w:val="center"/>
        </w:trPr>
        <w:tc>
          <w:tcPr>
            <w:tcW w:w="1015" w:type="pct"/>
            <w:vMerge w:val="restart"/>
            <w:shd w:val="clear" w:color="auto" w:fill="auto"/>
          </w:tcPr>
          <w:p w14:paraId="5B2E6794"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r w:rsidRPr="00C92D6B">
              <w:rPr>
                <w:rFonts w:ascii="Arial" w:hAnsi="Arial" w:cs="Arial"/>
                <w:sz w:val="20"/>
                <w:szCs w:val="20"/>
                <w:lang w:val="es-ES_tradnl"/>
              </w:rPr>
              <w:t>Desarrollo de la digitalización y la interoperabilidad en el sector público.</w:t>
            </w:r>
          </w:p>
        </w:tc>
        <w:tc>
          <w:tcPr>
            <w:tcW w:w="1168" w:type="pct"/>
            <w:shd w:val="clear" w:color="auto" w:fill="auto"/>
          </w:tcPr>
          <w:p w14:paraId="1E487142" w14:textId="77777777" w:rsidR="0080080B" w:rsidRPr="00C92D6B"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(4.1.2.a) Aprobación de regulaciones que establezcan la obligación de la administración pública nacional de realizar todos sus trámites de manera digital en su relación con el ciudadano.</w:t>
            </w:r>
          </w:p>
        </w:tc>
        <w:tc>
          <w:tcPr>
            <w:tcW w:w="1697" w:type="pct"/>
            <w:shd w:val="clear" w:color="auto" w:fill="auto"/>
          </w:tcPr>
          <w:p w14:paraId="1DADA04B" w14:textId="77777777" w:rsidR="0080080B" w:rsidRDefault="0080080B" w:rsidP="0080080B">
            <w:pPr>
              <w:tabs>
                <w:tab w:val="left" w:pos="342"/>
              </w:tabs>
              <w:spacing w:after="0" w:line="240" w:lineRule="auto"/>
              <w:rPr>
                <w:rFonts w:ascii="Arial" w:hAnsi="Arial" w:cs="Arial"/>
                <w:color w:val="000000"/>
                <w:sz w:val="20"/>
                <w:szCs w:val="20"/>
                <w:lang w:val="es-ES_tradnl"/>
              </w:rPr>
            </w:pPr>
            <w:r w:rsidRPr="00C92D6B">
              <w:rPr>
                <w:rFonts w:ascii="Arial" w:hAnsi="Arial" w:cs="Arial"/>
                <w:sz w:val="20"/>
                <w:szCs w:val="20"/>
                <w:lang w:val="es-ES_tradnl"/>
              </w:rPr>
              <w:t xml:space="preserve">(4.1.2.a) </w:t>
            </w:r>
            <w:r w:rsidRPr="00C92D6B">
              <w:rPr>
                <w:rFonts w:ascii="Arial" w:hAnsi="Arial" w:cs="Arial"/>
                <w:color w:val="000000"/>
                <w:sz w:val="20"/>
                <w:szCs w:val="20"/>
                <w:lang w:val="es-ES_tradnl"/>
              </w:rPr>
              <w:t>Copia de la publicación en el Boletín Oficial de la República Argentina de los Decretos que aprueban las regulaciones.</w:t>
            </w:r>
          </w:p>
          <w:p w14:paraId="1010ACEA" w14:textId="77777777" w:rsidR="0080080B" w:rsidRPr="00C92D6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 xml:space="preserve">Decreto No. 894/2017 </w:t>
            </w:r>
          </w:p>
          <w:p w14:paraId="0583ECFB" w14:textId="56E07692" w:rsidR="0080080B" w:rsidRPr="00C92D6B" w:rsidRDefault="0080080B" w:rsidP="0080080B">
            <w:pPr>
              <w:tabs>
                <w:tab w:val="left" w:pos="342"/>
              </w:tabs>
              <w:spacing w:after="0" w:line="240" w:lineRule="auto"/>
              <w:rPr>
                <w:rFonts w:ascii="Arial" w:hAnsi="Arial" w:cs="Arial"/>
                <w:sz w:val="20"/>
                <w:szCs w:val="20"/>
                <w:lang w:val="es-ES_tradnl"/>
              </w:rPr>
            </w:pPr>
            <w:r w:rsidRPr="00C92D6B">
              <w:rPr>
                <w:rFonts w:ascii="Arial" w:hAnsi="Arial" w:cs="Arial"/>
                <w:sz w:val="20"/>
                <w:szCs w:val="20"/>
                <w:lang w:val="es-ES_tradnl"/>
              </w:rPr>
              <w:t>Decreto No. 733/2018</w:t>
            </w:r>
            <w:r>
              <w:rPr>
                <w:rFonts w:ascii="Arial" w:hAnsi="Arial" w:cs="Arial"/>
                <w:sz w:val="20"/>
                <w:szCs w:val="20"/>
                <w:lang w:val="es-ES_tradnl"/>
              </w:rPr>
              <w:t>)</w:t>
            </w:r>
          </w:p>
        </w:tc>
        <w:tc>
          <w:tcPr>
            <w:tcW w:w="1120" w:type="pct"/>
            <w:vMerge w:val="restart"/>
            <w:shd w:val="clear" w:color="auto" w:fill="auto"/>
          </w:tcPr>
          <w:p w14:paraId="59FEF1CD" w14:textId="2DAEC1FB" w:rsidR="0080080B" w:rsidRPr="00C92D6B" w:rsidRDefault="0080080B" w:rsidP="0080080B">
            <w:pPr>
              <w:tabs>
                <w:tab w:val="left" w:pos="162"/>
              </w:tabs>
              <w:spacing w:after="0" w:line="240" w:lineRule="auto"/>
              <w:rPr>
                <w:rFonts w:ascii="Arial" w:hAnsi="Arial" w:cs="Arial"/>
                <w:sz w:val="20"/>
                <w:szCs w:val="20"/>
                <w:lang w:val="es-ES_tradnl"/>
              </w:rPr>
            </w:pPr>
            <w:r w:rsidRPr="00C92D6B">
              <w:rPr>
                <w:rFonts w:ascii="Arial" w:hAnsi="Arial" w:cs="Arial"/>
                <w:color w:val="000000"/>
                <w:sz w:val="20"/>
                <w:szCs w:val="20"/>
                <w:lang w:val="es-ES_tradnl"/>
              </w:rPr>
              <w:t>Secretaría de Modernización Administrativa.</w:t>
            </w:r>
          </w:p>
        </w:tc>
      </w:tr>
      <w:tr w:rsidR="0080080B" w:rsidRPr="0057345F" w14:paraId="1FBDF13F" w14:textId="77777777" w:rsidTr="00A136C2">
        <w:trPr>
          <w:jc w:val="center"/>
        </w:trPr>
        <w:tc>
          <w:tcPr>
            <w:tcW w:w="1015" w:type="pct"/>
            <w:vMerge/>
            <w:shd w:val="clear" w:color="auto" w:fill="auto"/>
          </w:tcPr>
          <w:p w14:paraId="1C80B6BD"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p>
        </w:tc>
        <w:tc>
          <w:tcPr>
            <w:tcW w:w="1168" w:type="pct"/>
            <w:shd w:val="clear" w:color="auto" w:fill="auto"/>
          </w:tcPr>
          <w:p w14:paraId="10EF3C31" w14:textId="77777777" w:rsidR="0080080B" w:rsidRPr="00C92D6B"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 xml:space="preserve">(4.1.2.b) Implementación del Módulo de Interoperabilidad de datos (INTEROPER.AR) de Gestión Documental Electrónica (GDE) como plataforma de intercambio </w:t>
            </w:r>
            <w:r w:rsidRPr="00C92D6B">
              <w:rPr>
                <w:rFonts w:ascii="Arial" w:hAnsi="Arial" w:cs="Arial"/>
                <w:sz w:val="20"/>
                <w:szCs w:val="20"/>
                <w:lang w:val="es-ES_tradnl"/>
              </w:rPr>
              <w:lastRenderedPageBreak/>
              <w:t>segura de la información pública.</w:t>
            </w:r>
          </w:p>
        </w:tc>
        <w:tc>
          <w:tcPr>
            <w:tcW w:w="1697" w:type="pct"/>
            <w:shd w:val="clear" w:color="auto" w:fill="auto"/>
          </w:tcPr>
          <w:p w14:paraId="44E4DAE0" w14:textId="77777777" w:rsidR="0080080B" w:rsidRDefault="0080080B" w:rsidP="0080080B">
            <w:pPr>
              <w:tabs>
                <w:tab w:val="left" w:pos="162"/>
              </w:tabs>
              <w:spacing w:after="0" w:line="240" w:lineRule="auto"/>
              <w:rPr>
                <w:rFonts w:ascii="Arial" w:hAnsi="Arial" w:cs="Arial"/>
                <w:sz w:val="20"/>
                <w:szCs w:val="20"/>
                <w:lang w:val="es-ES_tradnl"/>
              </w:rPr>
            </w:pPr>
            <w:r w:rsidRPr="00C92D6B">
              <w:rPr>
                <w:rFonts w:ascii="Arial" w:hAnsi="Arial" w:cs="Arial"/>
                <w:sz w:val="20"/>
                <w:szCs w:val="20"/>
                <w:lang w:val="es-ES_tradnl"/>
              </w:rPr>
              <w:lastRenderedPageBreak/>
              <w:t>(4.1.2.b) Copia de la publicación en el Boletín Oficial de la República Argentina de la ley que establece la interoperabilidad entre instalaciones de GDE.</w:t>
            </w:r>
          </w:p>
          <w:p w14:paraId="1AAD8A43" w14:textId="5E512AD1" w:rsidR="0080080B" w:rsidRPr="00C92D6B" w:rsidRDefault="0080080B" w:rsidP="0080080B">
            <w:pPr>
              <w:tabs>
                <w:tab w:val="left" w:pos="162"/>
              </w:tabs>
              <w:spacing w:after="12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Ley No. 27446</w:t>
            </w:r>
            <w:r>
              <w:rPr>
                <w:rFonts w:ascii="Arial" w:hAnsi="Arial" w:cs="Arial"/>
                <w:sz w:val="20"/>
                <w:szCs w:val="20"/>
                <w:lang w:val="es-ES_tradnl"/>
              </w:rPr>
              <w:t>).</w:t>
            </w:r>
          </w:p>
          <w:p w14:paraId="3AB35F06" w14:textId="77777777" w:rsidR="0080080B" w:rsidRDefault="0080080B" w:rsidP="0080080B">
            <w:pPr>
              <w:tabs>
                <w:tab w:val="left" w:pos="342"/>
              </w:tabs>
              <w:spacing w:after="120" w:line="240" w:lineRule="auto"/>
              <w:rPr>
                <w:rFonts w:ascii="Arial" w:hAnsi="Arial" w:cs="Arial"/>
                <w:color w:val="000000"/>
                <w:sz w:val="20"/>
                <w:szCs w:val="20"/>
                <w:lang w:val="es-ES_tradnl"/>
              </w:rPr>
            </w:pPr>
            <w:r w:rsidRPr="00C92D6B">
              <w:rPr>
                <w:rFonts w:ascii="Arial" w:hAnsi="Arial" w:cs="Arial"/>
                <w:sz w:val="20"/>
                <w:szCs w:val="20"/>
                <w:lang w:val="es-ES_tradnl"/>
              </w:rPr>
              <w:lastRenderedPageBreak/>
              <w:t xml:space="preserve">(4.1.2.b) </w:t>
            </w:r>
            <w:r w:rsidRPr="00C92D6B">
              <w:rPr>
                <w:rFonts w:ascii="Arial" w:hAnsi="Arial" w:cs="Arial"/>
                <w:color w:val="000000"/>
                <w:sz w:val="20"/>
                <w:szCs w:val="20"/>
                <w:lang w:val="es-ES_tradnl"/>
              </w:rPr>
              <w:t>Copia de la publicación en el Boletín Oficial de la República Argentina de la Resolución de la Secretaría de Modernización Administrativa que establece los estándares de interoperabilidad a nivel nacional.</w:t>
            </w:r>
          </w:p>
          <w:p w14:paraId="38B0F206" w14:textId="0E5141AC" w:rsidR="0080080B" w:rsidRPr="00C92D6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Resolución No. 19/2018 de la Secretaría de Modernización Administrativa</w:t>
            </w:r>
            <w:r>
              <w:rPr>
                <w:rFonts w:ascii="Arial" w:hAnsi="Arial" w:cs="Arial"/>
                <w:sz w:val="20"/>
                <w:szCs w:val="20"/>
                <w:lang w:val="es-ES_tradnl"/>
              </w:rPr>
              <w:t>).</w:t>
            </w:r>
          </w:p>
        </w:tc>
        <w:tc>
          <w:tcPr>
            <w:tcW w:w="1120" w:type="pct"/>
            <w:vMerge/>
            <w:shd w:val="clear" w:color="auto" w:fill="auto"/>
          </w:tcPr>
          <w:p w14:paraId="644E025F" w14:textId="568EADEE" w:rsidR="0080080B" w:rsidRPr="00A136C2" w:rsidRDefault="0080080B" w:rsidP="0080080B">
            <w:pPr>
              <w:tabs>
                <w:tab w:val="left" w:pos="162"/>
              </w:tabs>
              <w:spacing w:after="0" w:line="240" w:lineRule="auto"/>
              <w:rPr>
                <w:rFonts w:ascii="Arial" w:hAnsi="Arial"/>
                <w:color w:val="000000"/>
                <w:sz w:val="20"/>
                <w:lang w:val="es-ES_tradnl"/>
              </w:rPr>
            </w:pPr>
          </w:p>
        </w:tc>
      </w:tr>
      <w:tr w:rsidR="0080080B" w:rsidRPr="00C92D6B" w14:paraId="55AD2E74" w14:textId="77777777" w:rsidTr="00A136C2">
        <w:trPr>
          <w:jc w:val="center"/>
        </w:trPr>
        <w:tc>
          <w:tcPr>
            <w:tcW w:w="1015" w:type="pct"/>
            <w:vMerge w:val="restart"/>
            <w:shd w:val="clear" w:color="auto" w:fill="auto"/>
          </w:tcPr>
          <w:p w14:paraId="2EC1A3A2"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r w:rsidRPr="00C92D6B">
              <w:rPr>
                <w:rFonts w:ascii="Arial" w:hAnsi="Arial" w:cs="Arial"/>
                <w:sz w:val="20"/>
                <w:szCs w:val="20"/>
                <w:lang w:val="es-ES_tradnl"/>
              </w:rPr>
              <w:t>Despliegue de herramientas y plataformas para habilitar las transacciones seguras por Internet entre ciudadano y gobierno.</w:t>
            </w:r>
          </w:p>
        </w:tc>
        <w:tc>
          <w:tcPr>
            <w:tcW w:w="1168" w:type="pct"/>
            <w:shd w:val="clear" w:color="auto" w:fill="auto"/>
          </w:tcPr>
          <w:p w14:paraId="55AF3B84" w14:textId="77777777" w:rsidR="0080080B" w:rsidRPr="00C92D6B"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(4.1.3.a) Creación de la plataforma de firma digital remota (FIRM.AR) que facilite el uso masivo de la firma digital.</w:t>
            </w:r>
          </w:p>
          <w:p w14:paraId="3E8B2399" w14:textId="77777777" w:rsidR="0080080B" w:rsidRPr="00C92D6B" w:rsidRDefault="0080080B" w:rsidP="0080080B">
            <w:pPr>
              <w:spacing w:after="0" w:line="240" w:lineRule="auto"/>
              <w:rPr>
                <w:rFonts w:ascii="Arial" w:hAnsi="Arial" w:cs="Arial"/>
                <w:sz w:val="20"/>
                <w:szCs w:val="20"/>
                <w:lang w:val="es-ES_tradnl"/>
              </w:rPr>
            </w:pPr>
          </w:p>
        </w:tc>
        <w:tc>
          <w:tcPr>
            <w:tcW w:w="1697" w:type="pct"/>
            <w:shd w:val="clear" w:color="auto" w:fill="auto"/>
          </w:tcPr>
          <w:p w14:paraId="7AE18CF4"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sz w:val="20"/>
                <w:szCs w:val="20"/>
                <w:lang w:val="es-ES_tradnl"/>
              </w:rPr>
              <w:t xml:space="preserve">(4.1.3.a) </w:t>
            </w:r>
            <w:r w:rsidRPr="00C92D6B">
              <w:rPr>
                <w:rFonts w:ascii="Arial" w:hAnsi="Arial" w:cs="Arial"/>
                <w:color w:val="000000"/>
                <w:sz w:val="20"/>
                <w:szCs w:val="20"/>
                <w:lang w:val="es-ES_tradnl"/>
              </w:rPr>
              <w:t xml:space="preserve">Copia de la publicación en el Boletín Oficial de la República Argentina del Decreto que establece la plataforma de firma digital remota y de las Resoluciones que establecen (i) el Manual y Política del </w:t>
            </w:r>
            <w:proofErr w:type="spellStart"/>
            <w:r w:rsidRPr="00C92D6B">
              <w:rPr>
                <w:rFonts w:ascii="Arial" w:hAnsi="Arial" w:cs="Arial"/>
                <w:color w:val="000000"/>
                <w:sz w:val="20"/>
                <w:szCs w:val="20"/>
                <w:lang w:val="es-ES_tradnl"/>
              </w:rPr>
              <w:t>certificador</w:t>
            </w:r>
            <w:proofErr w:type="spellEnd"/>
            <w:r w:rsidRPr="00C92D6B">
              <w:rPr>
                <w:rFonts w:ascii="Arial" w:hAnsi="Arial" w:cs="Arial"/>
                <w:color w:val="000000"/>
                <w:sz w:val="20"/>
                <w:szCs w:val="20"/>
                <w:lang w:val="es-ES_tradnl"/>
              </w:rPr>
              <w:t xml:space="preserve"> de firma digital y (</w:t>
            </w:r>
            <w:proofErr w:type="spellStart"/>
            <w:r w:rsidRPr="00C92D6B">
              <w:rPr>
                <w:rFonts w:ascii="Arial" w:hAnsi="Arial" w:cs="Arial"/>
                <w:color w:val="000000"/>
                <w:sz w:val="20"/>
                <w:szCs w:val="20"/>
                <w:lang w:val="es-ES_tradnl"/>
              </w:rPr>
              <w:t>ii</w:t>
            </w:r>
            <w:proofErr w:type="spellEnd"/>
            <w:r w:rsidRPr="00C92D6B">
              <w:rPr>
                <w:rFonts w:ascii="Arial" w:hAnsi="Arial" w:cs="Arial"/>
                <w:color w:val="000000"/>
                <w:sz w:val="20"/>
                <w:szCs w:val="20"/>
                <w:lang w:val="es-ES_tradnl"/>
              </w:rPr>
              <w:t xml:space="preserve">) la licencia para emitir certificados digitales. </w:t>
            </w:r>
          </w:p>
          <w:p w14:paraId="76D2A46F" w14:textId="77777777" w:rsidR="0080080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 xml:space="preserve">Decreto 892/2017 </w:t>
            </w:r>
          </w:p>
          <w:p w14:paraId="3CDBA499" w14:textId="13D1E88A" w:rsidR="0080080B" w:rsidRPr="00C92D6B" w:rsidRDefault="0080080B" w:rsidP="0080080B">
            <w:pPr>
              <w:tabs>
                <w:tab w:val="left" w:pos="162"/>
              </w:tabs>
              <w:spacing w:after="0" w:line="240" w:lineRule="auto"/>
              <w:rPr>
                <w:rFonts w:ascii="Arial" w:hAnsi="Arial" w:cs="Arial"/>
                <w:sz w:val="20"/>
                <w:szCs w:val="20"/>
                <w:lang w:val="es-ES_tradnl"/>
              </w:rPr>
            </w:pPr>
            <w:r w:rsidRPr="00C92D6B">
              <w:rPr>
                <w:rFonts w:ascii="Arial" w:hAnsi="Arial" w:cs="Arial"/>
                <w:sz w:val="20"/>
                <w:szCs w:val="20"/>
                <w:lang w:val="es-ES_tradnl"/>
              </w:rPr>
              <w:t>Resolución 87/2018 de la Secretaría de Modernización Administrativa.</w:t>
            </w:r>
          </w:p>
          <w:p w14:paraId="352A4E1C" w14:textId="51465FB1" w:rsidR="0080080B" w:rsidRPr="00C92D6B" w:rsidRDefault="0080080B" w:rsidP="0080080B">
            <w:pPr>
              <w:tabs>
                <w:tab w:val="left" w:pos="162"/>
              </w:tabs>
              <w:spacing w:after="0" w:line="240" w:lineRule="auto"/>
              <w:rPr>
                <w:rFonts w:ascii="Arial" w:hAnsi="Arial" w:cs="Arial"/>
                <w:sz w:val="20"/>
                <w:szCs w:val="20"/>
                <w:lang w:val="es-ES_tradnl"/>
              </w:rPr>
            </w:pPr>
            <w:r w:rsidRPr="00C92D6B">
              <w:rPr>
                <w:rFonts w:ascii="Arial" w:hAnsi="Arial" w:cs="Arial"/>
                <w:sz w:val="20"/>
                <w:szCs w:val="20"/>
                <w:lang w:val="es-ES_tradnl"/>
              </w:rPr>
              <w:t>Resolución121/2018 del Ministerio de Modernización</w:t>
            </w:r>
            <w:r>
              <w:rPr>
                <w:rFonts w:ascii="Arial" w:hAnsi="Arial" w:cs="Arial"/>
                <w:sz w:val="20"/>
                <w:szCs w:val="20"/>
                <w:lang w:val="es-ES_tradnl"/>
              </w:rPr>
              <w:t>).</w:t>
            </w:r>
          </w:p>
        </w:tc>
        <w:tc>
          <w:tcPr>
            <w:tcW w:w="1120" w:type="pct"/>
            <w:vMerge w:val="restart"/>
            <w:shd w:val="clear" w:color="auto" w:fill="auto"/>
          </w:tcPr>
          <w:p w14:paraId="2A31DB0C" w14:textId="383D905D" w:rsidR="0080080B" w:rsidRPr="00C92D6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Secretaría de Modernización Administrativa.</w:t>
            </w:r>
          </w:p>
        </w:tc>
      </w:tr>
      <w:tr w:rsidR="0080080B" w:rsidRPr="0057345F" w14:paraId="11244FC3" w14:textId="77777777" w:rsidTr="00A136C2">
        <w:trPr>
          <w:jc w:val="center"/>
        </w:trPr>
        <w:tc>
          <w:tcPr>
            <w:tcW w:w="1015" w:type="pct"/>
            <w:vMerge/>
            <w:shd w:val="clear" w:color="auto" w:fill="auto"/>
          </w:tcPr>
          <w:p w14:paraId="0F705312"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p>
        </w:tc>
        <w:tc>
          <w:tcPr>
            <w:tcW w:w="1168" w:type="pct"/>
            <w:shd w:val="clear" w:color="auto" w:fill="auto"/>
          </w:tcPr>
          <w:p w14:paraId="632F99FA" w14:textId="77777777" w:rsidR="0080080B" w:rsidRPr="00C92D6B" w:rsidRDefault="0080080B" w:rsidP="0080080B">
            <w:pPr>
              <w:spacing w:after="0" w:line="240" w:lineRule="auto"/>
              <w:ind w:left="12"/>
              <w:rPr>
                <w:rFonts w:ascii="Arial" w:hAnsi="Arial" w:cs="Arial"/>
                <w:sz w:val="20"/>
                <w:szCs w:val="20"/>
                <w:lang w:val="es-ES_tradnl"/>
              </w:rPr>
            </w:pPr>
            <w:r w:rsidRPr="00C92D6B">
              <w:rPr>
                <w:rFonts w:ascii="Arial" w:hAnsi="Arial" w:cs="Arial"/>
                <w:sz w:val="20"/>
                <w:szCs w:val="20"/>
                <w:lang w:val="es-ES_tradnl"/>
              </w:rPr>
              <w:t>(4.1.3.b) Autorización del uso de la plataforma de autenticación electrónica del ciudadano en sus relaciones con la administración púbica nacional (AUTENTIC.AR) para autenticar plataformas de entidades que no formen parte del sector público nacional.</w:t>
            </w:r>
          </w:p>
        </w:tc>
        <w:tc>
          <w:tcPr>
            <w:tcW w:w="1697" w:type="pct"/>
            <w:shd w:val="clear" w:color="auto" w:fill="auto"/>
          </w:tcPr>
          <w:p w14:paraId="6659ABF0" w14:textId="77777777" w:rsidR="0080080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sz w:val="20"/>
                <w:szCs w:val="20"/>
                <w:lang w:val="es-ES_tradnl"/>
              </w:rPr>
              <w:t xml:space="preserve">(4.1.3.b) </w:t>
            </w:r>
            <w:r w:rsidRPr="00C92D6B">
              <w:rPr>
                <w:rFonts w:ascii="Arial" w:hAnsi="Arial" w:cs="Arial"/>
                <w:color w:val="000000"/>
                <w:sz w:val="20"/>
                <w:szCs w:val="20"/>
                <w:lang w:val="es-ES_tradnl"/>
              </w:rPr>
              <w:t>Copia de la publicación en el Boletín Oficial de la República Argentina de la Resolución del Ministerio de Modernización que autoriza el uso de AUTENTIC.AR a entidades que no forman parte del sector público nacional.</w:t>
            </w:r>
          </w:p>
          <w:p w14:paraId="5968A6B8" w14:textId="4C2FF1BD" w:rsidR="0080080B" w:rsidRDefault="0080080B" w:rsidP="0080080B">
            <w:pPr>
              <w:tabs>
                <w:tab w:val="left" w:pos="162"/>
              </w:tabs>
              <w:spacing w:after="0" w:line="240" w:lineRule="auto"/>
              <w:rPr>
                <w:rFonts w:ascii="Arial" w:hAnsi="Arial" w:cs="Arial"/>
                <w:color w:val="000000"/>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Resolución No. 216/2018 del Ministerio de Modernización</w:t>
            </w:r>
            <w:r>
              <w:rPr>
                <w:rFonts w:ascii="Arial" w:hAnsi="Arial" w:cs="Arial"/>
                <w:sz w:val="20"/>
                <w:szCs w:val="20"/>
                <w:lang w:val="es-ES_tradnl"/>
              </w:rPr>
              <w:t>).</w:t>
            </w:r>
          </w:p>
        </w:tc>
        <w:tc>
          <w:tcPr>
            <w:tcW w:w="1120" w:type="pct"/>
            <w:vMerge/>
            <w:shd w:val="clear" w:color="auto" w:fill="auto"/>
          </w:tcPr>
          <w:p w14:paraId="20D7C81A" w14:textId="58048C37" w:rsidR="0080080B" w:rsidRPr="00A136C2" w:rsidRDefault="0080080B" w:rsidP="0080080B">
            <w:pPr>
              <w:tabs>
                <w:tab w:val="left" w:pos="162"/>
              </w:tabs>
              <w:spacing w:after="0" w:line="240" w:lineRule="auto"/>
              <w:rPr>
                <w:rFonts w:ascii="Arial" w:hAnsi="Arial"/>
                <w:color w:val="000000"/>
                <w:sz w:val="20"/>
                <w:lang w:val="es-ES_tradnl"/>
              </w:rPr>
            </w:pPr>
          </w:p>
        </w:tc>
      </w:tr>
      <w:tr w:rsidR="0080080B" w:rsidRPr="0057345F" w14:paraId="7EE7A4C3" w14:textId="77777777" w:rsidTr="00A136C2">
        <w:trPr>
          <w:jc w:val="center"/>
        </w:trPr>
        <w:tc>
          <w:tcPr>
            <w:tcW w:w="1015" w:type="pct"/>
            <w:vMerge w:val="restart"/>
            <w:shd w:val="clear" w:color="auto" w:fill="auto"/>
          </w:tcPr>
          <w:p w14:paraId="59E432DD"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r w:rsidRPr="00C92D6B">
              <w:rPr>
                <w:rFonts w:ascii="Arial" w:hAnsi="Arial" w:cs="Arial"/>
                <w:sz w:val="20"/>
                <w:szCs w:val="20"/>
                <w:lang w:val="es-ES_tradnl"/>
              </w:rPr>
              <w:t>Promoción del uso de nuevas tecnologías para la prestación de servicios públicos.</w:t>
            </w:r>
          </w:p>
        </w:tc>
        <w:tc>
          <w:tcPr>
            <w:tcW w:w="1168" w:type="pct"/>
            <w:shd w:val="clear" w:color="auto" w:fill="auto"/>
          </w:tcPr>
          <w:p w14:paraId="22802BA4" w14:textId="4BA6FB29" w:rsidR="0080080B" w:rsidRPr="00C92D6B"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(4.1.4.a) Creación de la red “</w:t>
            </w:r>
            <w:proofErr w:type="spellStart"/>
            <w:r w:rsidRPr="00C92D6B">
              <w:rPr>
                <w:rFonts w:ascii="Arial" w:hAnsi="Arial" w:cs="Arial"/>
                <w:i/>
                <w:sz w:val="20"/>
                <w:szCs w:val="20"/>
                <w:lang w:val="es-ES_tradnl"/>
              </w:rPr>
              <w:t>Blockchain</w:t>
            </w:r>
            <w:proofErr w:type="spellEnd"/>
            <w:r w:rsidRPr="00C92D6B">
              <w:rPr>
                <w:rFonts w:ascii="Arial" w:hAnsi="Arial" w:cs="Arial"/>
                <w:sz w:val="20"/>
                <w:szCs w:val="20"/>
                <w:lang w:val="es-ES_tradnl"/>
              </w:rPr>
              <w:t xml:space="preserve"> Federal Argentino” entre sector privado, academia y sector público.</w:t>
            </w:r>
          </w:p>
          <w:p w14:paraId="2A1706E0" w14:textId="77777777" w:rsidR="0080080B" w:rsidRPr="00C92D6B" w:rsidRDefault="0080080B" w:rsidP="0080080B">
            <w:pPr>
              <w:spacing w:after="0" w:line="240" w:lineRule="auto"/>
              <w:rPr>
                <w:rFonts w:ascii="Arial" w:hAnsi="Arial" w:cs="Arial"/>
                <w:sz w:val="20"/>
                <w:szCs w:val="20"/>
                <w:lang w:val="es-ES_tradnl"/>
              </w:rPr>
            </w:pPr>
          </w:p>
        </w:tc>
        <w:tc>
          <w:tcPr>
            <w:tcW w:w="1697" w:type="pct"/>
            <w:shd w:val="clear" w:color="auto" w:fill="auto"/>
          </w:tcPr>
          <w:p w14:paraId="02531D76" w14:textId="77777777" w:rsidR="0080080B" w:rsidRDefault="0080080B" w:rsidP="0080080B">
            <w:pPr>
              <w:tabs>
                <w:tab w:val="left" w:pos="162"/>
              </w:tabs>
              <w:spacing w:after="120" w:line="240" w:lineRule="auto"/>
              <w:rPr>
                <w:rFonts w:ascii="Arial" w:hAnsi="Arial" w:cs="Arial"/>
                <w:sz w:val="20"/>
                <w:szCs w:val="20"/>
                <w:lang w:val="es-ES_tradnl"/>
              </w:rPr>
            </w:pPr>
            <w:r w:rsidRPr="00C92D6B">
              <w:rPr>
                <w:rFonts w:ascii="Arial" w:hAnsi="Arial" w:cs="Arial"/>
                <w:sz w:val="20"/>
                <w:szCs w:val="20"/>
                <w:lang w:val="es-ES_tradnl"/>
              </w:rPr>
              <w:t xml:space="preserve">(4.1.4.a) Copia del Convenio firmado entre la Dirección Nacional del Registro de Dominios de Internet de la Subsecretaría Técnica de la Secretaría Legal y Técnica de la Presidencia de la Nación (DNRD/NIC) </w:t>
            </w:r>
            <w:r w:rsidRPr="00C92D6B">
              <w:rPr>
                <w:rFonts w:ascii="Arial" w:hAnsi="Arial" w:cs="Arial"/>
                <w:sz w:val="20"/>
                <w:szCs w:val="20"/>
                <w:lang w:val="es-ES_tradnl"/>
              </w:rPr>
              <w:lastRenderedPageBreak/>
              <w:t xml:space="preserve">y la Cámara Argentina de Internet (CABASE). </w:t>
            </w:r>
          </w:p>
          <w:p w14:paraId="6092AFFA" w14:textId="3985F670" w:rsidR="0080080B" w:rsidRPr="00C92D6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Convenio firmado</w:t>
            </w:r>
            <w:r>
              <w:rPr>
                <w:rFonts w:ascii="Arial" w:hAnsi="Arial" w:cs="Arial"/>
                <w:sz w:val="20"/>
                <w:szCs w:val="20"/>
                <w:lang w:val="es-ES_tradnl"/>
              </w:rPr>
              <w:t>).</w:t>
            </w:r>
          </w:p>
        </w:tc>
        <w:tc>
          <w:tcPr>
            <w:tcW w:w="1120" w:type="pct"/>
            <w:shd w:val="clear" w:color="auto" w:fill="auto"/>
          </w:tcPr>
          <w:p w14:paraId="23863DC0" w14:textId="0C3C27CC" w:rsidR="0080080B" w:rsidRPr="00C92D6B"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lastRenderedPageBreak/>
              <w:t xml:space="preserve">Oficina Nacional de Tecnologías de </w:t>
            </w:r>
            <w:proofErr w:type="spellStart"/>
            <w:r w:rsidRPr="00C92D6B">
              <w:rPr>
                <w:rFonts w:ascii="Arial" w:hAnsi="Arial" w:cs="Arial"/>
                <w:color w:val="000000"/>
                <w:sz w:val="20"/>
                <w:szCs w:val="20"/>
                <w:lang w:val="es-ES_tradnl"/>
              </w:rPr>
              <w:t>Ia</w:t>
            </w:r>
            <w:proofErr w:type="spellEnd"/>
            <w:r w:rsidRPr="00C92D6B">
              <w:rPr>
                <w:rFonts w:ascii="Arial" w:hAnsi="Arial" w:cs="Arial"/>
                <w:color w:val="000000"/>
                <w:sz w:val="20"/>
                <w:szCs w:val="20"/>
                <w:lang w:val="es-ES_tradnl"/>
              </w:rPr>
              <w:t xml:space="preserve"> Información (ONTI).</w:t>
            </w:r>
          </w:p>
          <w:p w14:paraId="6FFBB10F" w14:textId="77777777" w:rsidR="0080080B" w:rsidRPr="00C92D6B" w:rsidRDefault="0080080B" w:rsidP="0080080B">
            <w:pPr>
              <w:pStyle w:val="ListParagraph"/>
              <w:tabs>
                <w:tab w:val="left" w:pos="162"/>
              </w:tabs>
              <w:spacing w:after="0" w:line="240" w:lineRule="auto"/>
              <w:ind w:left="0"/>
              <w:contextualSpacing w:val="0"/>
              <w:rPr>
                <w:rFonts w:ascii="Arial" w:hAnsi="Arial" w:cs="Arial"/>
                <w:color w:val="000000"/>
                <w:sz w:val="20"/>
                <w:szCs w:val="20"/>
                <w:lang w:val="es-ES_tradnl"/>
              </w:rPr>
            </w:pPr>
          </w:p>
        </w:tc>
      </w:tr>
      <w:tr w:rsidR="0080080B" w:rsidRPr="00C92D6B" w14:paraId="36263A4D" w14:textId="77777777" w:rsidTr="00A136C2">
        <w:trPr>
          <w:jc w:val="center"/>
        </w:trPr>
        <w:tc>
          <w:tcPr>
            <w:tcW w:w="1015" w:type="pct"/>
            <w:vMerge/>
            <w:shd w:val="clear" w:color="auto" w:fill="auto"/>
          </w:tcPr>
          <w:p w14:paraId="17A8BEE2"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p>
        </w:tc>
        <w:tc>
          <w:tcPr>
            <w:tcW w:w="1168" w:type="pct"/>
            <w:shd w:val="clear" w:color="auto" w:fill="auto"/>
          </w:tcPr>
          <w:p w14:paraId="3FAFA943" w14:textId="391495CD" w:rsidR="0080080B" w:rsidRPr="00C92D6B" w:rsidDel="00260829"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 xml:space="preserve">(4.1.4.b) Puesta </w:t>
            </w:r>
            <w:r>
              <w:rPr>
                <w:rFonts w:ascii="Arial" w:hAnsi="Arial" w:cs="Arial"/>
                <w:sz w:val="20"/>
                <w:szCs w:val="20"/>
                <w:lang w:val="es-ES_tradnl"/>
              </w:rPr>
              <w:t>en operación</w:t>
            </w:r>
            <w:r w:rsidRPr="00C92D6B">
              <w:rPr>
                <w:rFonts w:ascii="Arial" w:hAnsi="Arial" w:cs="Arial"/>
                <w:sz w:val="20"/>
                <w:szCs w:val="20"/>
                <w:lang w:val="es-ES_tradnl"/>
              </w:rPr>
              <w:t xml:space="preserve"> del servicio de identificación biométrica con reconocimiento facial de las personas con base en la información del Registro Nacional de las Personas.</w:t>
            </w:r>
          </w:p>
        </w:tc>
        <w:tc>
          <w:tcPr>
            <w:tcW w:w="1697" w:type="pct"/>
            <w:shd w:val="clear" w:color="auto" w:fill="auto"/>
          </w:tcPr>
          <w:p w14:paraId="5328D9EA" w14:textId="77777777" w:rsidR="0080080B" w:rsidRDefault="0080080B" w:rsidP="0080080B">
            <w:pPr>
              <w:tabs>
                <w:tab w:val="left" w:pos="162"/>
              </w:tabs>
              <w:spacing w:after="120" w:line="240" w:lineRule="auto"/>
              <w:rPr>
                <w:rFonts w:ascii="Arial" w:hAnsi="Arial" w:cs="Arial"/>
                <w:sz w:val="20"/>
                <w:szCs w:val="20"/>
                <w:lang w:val="es-ES_tradnl"/>
              </w:rPr>
            </w:pPr>
            <w:r w:rsidRPr="00C92D6B">
              <w:rPr>
                <w:rFonts w:ascii="Arial" w:hAnsi="Arial" w:cs="Arial"/>
                <w:sz w:val="20"/>
                <w:szCs w:val="20"/>
                <w:lang w:val="es-ES_tradnl"/>
              </w:rPr>
              <w:t>(4.1.4.b) Copia de la Disposición que aprueba el modelo de convenio que permite poner a disposición el servicio.</w:t>
            </w:r>
          </w:p>
          <w:p w14:paraId="50FD3BEA" w14:textId="23597263" w:rsidR="0080080B" w:rsidRPr="00C92D6B" w:rsidDel="00260829"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w:t>
            </w:r>
            <w:r w:rsidRPr="00C92D6B">
              <w:rPr>
                <w:rFonts w:ascii="Arial" w:hAnsi="Arial" w:cs="Arial"/>
                <w:sz w:val="20"/>
                <w:szCs w:val="20"/>
                <w:lang w:val="es-ES_tradnl"/>
              </w:rPr>
              <w:t>Disposición No. 4133/2018 de la Dirección Nacional del Registro Nacional de las Personas</w:t>
            </w:r>
            <w:r>
              <w:rPr>
                <w:rFonts w:ascii="Arial" w:hAnsi="Arial" w:cs="Arial"/>
                <w:sz w:val="20"/>
                <w:szCs w:val="20"/>
                <w:lang w:val="es-ES_tradnl"/>
              </w:rPr>
              <w:t>).</w:t>
            </w:r>
          </w:p>
        </w:tc>
        <w:tc>
          <w:tcPr>
            <w:tcW w:w="1120" w:type="pct"/>
            <w:shd w:val="clear" w:color="auto" w:fill="auto"/>
          </w:tcPr>
          <w:p w14:paraId="7D72259B" w14:textId="23A5DA87" w:rsidR="0080080B" w:rsidRPr="00C92D6B" w:rsidDel="003E6759" w:rsidRDefault="0080080B" w:rsidP="0080080B">
            <w:pPr>
              <w:tabs>
                <w:tab w:val="left" w:pos="162"/>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Secretaría de Modernización Administrativa.</w:t>
            </w:r>
          </w:p>
        </w:tc>
      </w:tr>
      <w:tr w:rsidR="0080080B" w:rsidRPr="0057345F" w14:paraId="0E55C8D8" w14:textId="77777777" w:rsidTr="00CA2632">
        <w:trPr>
          <w:jc w:val="center"/>
        </w:trPr>
        <w:tc>
          <w:tcPr>
            <w:tcW w:w="1015" w:type="pct"/>
            <w:vMerge/>
            <w:shd w:val="clear" w:color="auto" w:fill="auto"/>
          </w:tcPr>
          <w:p w14:paraId="76C84871"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p>
        </w:tc>
        <w:tc>
          <w:tcPr>
            <w:tcW w:w="1168" w:type="pct"/>
            <w:shd w:val="clear" w:color="auto" w:fill="auto"/>
          </w:tcPr>
          <w:p w14:paraId="7C900F15" w14:textId="77777777" w:rsidR="0080080B" w:rsidRPr="00C92D6B" w:rsidRDefault="0080080B" w:rsidP="0080080B">
            <w:pPr>
              <w:spacing w:after="0" w:line="240" w:lineRule="auto"/>
              <w:rPr>
                <w:rFonts w:ascii="Arial" w:hAnsi="Arial" w:cs="Arial"/>
                <w:sz w:val="20"/>
                <w:szCs w:val="20"/>
                <w:lang w:val="es-ES_tradnl"/>
              </w:rPr>
            </w:pPr>
            <w:r w:rsidRPr="00C92D6B">
              <w:rPr>
                <w:rFonts w:ascii="Arial" w:hAnsi="Arial" w:cs="Arial"/>
                <w:sz w:val="20"/>
                <w:szCs w:val="20"/>
                <w:lang w:val="es-ES_tradnl"/>
              </w:rPr>
              <w:t xml:space="preserve">(4.1.4.c) Desarrollo de un Mapa Ocupacional de la familia de puestos de TIC para el diseño de programas formativos de los servidores públicos. </w:t>
            </w:r>
          </w:p>
          <w:p w14:paraId="3D9F9888" w14:textId="77777777" w:rsidR="0080080B" w:rsidRPr="00C92D6B" w:rsidRDefault="0080080B" w:rsidP="0080080B">
            <w:pPr>
              <w:spacing w:after="0" w:line="240" w:lineRule="auto"/>
              <w:rPr>
                <w:rFonts w:ascii="Arial" w:hAnsi="Arial" w:cs="Arial"/>
                <w:sz w:val="20"/>
                <w:szCs w:val="20"/>
                <w:lang w:val="es-ES_tradnl"/>
              </w:rPr>
            </w:pPr>
          </w:p>
        </w:tc>
        <w:tc>
          <w:tcPr>
            <w:tcW w:w="1697" w:type="pct"/>
            <w:shd w:val="clear" w:color="auto" w:fill="auto"/>
          </w:tcPr>
          <w:p w14:paraId="12E19B37" w14:textId="77777777" w:rsidR="0080080B" w:rsidRDefault="0080080B" w:rsidP="0080080B">
            <w:pPr>
              <w:tabs>
                <w:tab w:val="left" w:pos="342"/>
              </w:tabs>
              <w:spacing w:after="12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Copia de la Disposición de la Dirección Nacional Institucional del Instituto Nacional de la Administración Pública (INAP) que aprueba el Mapa Ocupacional de la familia de puestos de TIC.</w:t>
            </w:r>
            <w:r>
              <w:rPr>
                <w:rFonts w:ascii="Arial" w:eastAsia="Times New Roman" w:hAnsi="Arial" w:cs="Arial"/>
                <w:color w:val="000000"/>
                <w:sz w:val="20"/>
                <w:szCs w:val="20"/>
                <w:lang w:val="es-ES_tradnl"/>
              </w:rPr>
              <w:t xml:space="preserve"> </w:t>
            </w:r>
          </w:p>
          <w:p w14:paraId="3B93D467" w14:textId="407FFE46" w:rsidR="0080080B" w:rsidRDefault="0080080B" w:rsidP="0080080B">
            <w:pPr>
              <w:tabs>
                <w:tab w:val="left" w:pos="342"/>
              </w:tabs>
              <w:spacing w:after="120" w:line="240" w:lineRule="auto"/>
              <w:rPr>
                <w:rFonts w:ascii="Arial"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color w:val="000000"/>
                <w:sz w:val="20"/>
                <w:szCs w:val="20"/>
                <w:lang w:val="es-ES_tradnl"/>
              </w:rPr>
              <w:t>Disposición No. DI</w:t>
            </w:r>
            <w:r>
              <w:rPr>
                <w:rFonts w:ascii="Arial" w:hAnsi="Arial" w:cs="Arial"/>
                <w:color w:val="000000"/>
                <w:sz w:val="20"/>
                <w:szCs w:val="20"/>
                <w:lang w:val="es-ES_tradnl"/>
              </w:rPr>
              <w:t>˗</w:t>
            </w:r>
            <w:r w:rsidRPr="00C92D6B">
              <w:rPr>
                <w:rFonts w:ascii="Arial" w:hAnsi="Arial" w:cs="Arial"/>
                <w:color w:val="000000"/>
                <w:sz w:val="20"/>
                <w:szCs w:val="20"/>
                <w:lang w:val="es-ES_tradnl"/>
              </w:rPr>
              <w:t>2018</w:t>
            </w:r>
            <w:r>
              <w:rPr>
                <w:rFonts w:ascii="Arial" w:hAnsi="Arial" w:cs="Arial"/>
                <w:color w:val="000000"/>
                <w:sz w:val="20"/>
                <w:szCs w:val="20"/>
                <w:lang w:val="es-ES_tradnl"/>
              </w:rPr>
              <w:t>˗</w:t>
            </w:r>
            <w:r w:rsidRPr="00C92D6B">
              <w:rPr>
                <w:rFonts w:ascii="Arial" w:hAnsi="Arial" w:cs="Arial"/>
                <w:color w:val="000000"/>
                <w:sz w:val="20"/>
                <w:szCs w:val="20"/>
                <w:lang w:val="es-ES_tradnl"/>
              </w:rPr>
              <w:t>81</w:t>
            </w:r>
            <w:r>
              <w:rPr>
                <w:rFonts w:ascii="Arial" w:hAnsi="Arial" w:cs="Arial"/>
                <w:color w:val="000000"/>
                <w:sz w:val="20"/>
                <w:szCs w:val="20"/>
                <w:lang w:val="es-ES_tradnl"/>
              </w:rPr>
              <w:t>˗</w:t>
            </w:r>
            <w:r w:rsidRPr="00C92D6B">
              <w:rPr>
                <w:rFonts w:ascii="Arial" w:hAnsi="Arial" w:cs="Arial"/>
                <w:color w:val="000000"/>
                <w:sz w:val="20"/>
                <w:szCs w:val="20"/>
                <w:lang w:val="es-ES_tradnl"/>
              </w:rPr>
              <w:t>APN</w:t>
            </w:r>
            <w:r>
              <w:rPr>
                <w:rFonts w:ascii="Arial" w:hAnsi="Arial" w:cs="Arial"/>
                <w:color w:val="000000"/>
                <w:sz w:val="20"/>
                <w:szCs w:val="20"/>
                <w:lang w:val="es-ES_tradnl"/>
              </w:rPr>
              <w:t>˗</w:t>
            </w:r>
            <w:r w:rsidRPr="00C92D6B">
              <w:rPr>
                <w:rFonts w:ascii="Arial" w:hAnsi="Arial" w:cs="Arial"/>
                <w:color w:val="000000"/>
                <w:sz w:val="20"/>
                <w:szCs w:val="20"/>
                <w:lang w:val="es-ES_tradnl"/>
              </w:rPr>
              <w:t>INAP#JGM del Instituto Nacional de la Administración Pública (INAP)</w:t>
            </w:r>
            <w:r>
              <w:rPr>
                <w:rFonts w:ascii="Arial" w:eastAsia="Times New Roman" w:hAnsi="Arial" w:cs="Arial"/>
                <w:color w:val="000000"/>
                <w:sz w:val="20"/>
                <w:szCs w:val="20"/>
                <w:lang w:val="es-ES_tradnl"/>
              </w:rPr>
              <w:t>).</w:t>
            </w:r>
          </w:p>
        </w:tc>
        <w:tc>
          <w:tcPr>
            <w:tcW w:w="1120" w:type="pct"/>
            <w:shd w:val="clear" w:color="auto" w:fill="auto"/>
          </w:tcPr>
          <w:p w14:paraId="02CD056D" w14:textId="2627504F" w:rsidR="0080080B" w:rsidRPr="00A136C2" w:rsidRDefault="0080080B" w:rsidP="0080080B">
            <w:pPr>
              <w:pStyle w:val="ListParagraph"/>
              <w:tabs>
                <w:tab w:val="left" w:pos="162"/>
              </w:tabs>
              <w:spacing w:after="0" w:line="240" w:lineRule="auto"/>
              <w:ind w:left="0"/>
              <w:contextualSpacing w:val="0"/>
              <w:rPr>
                <w:rFonts w:ascii="Arial" w:hAnsi="Arial"/>
                <w:color w:val="000000"/>
                <w:sz w:val="20"/>
                <w:lang w:val="es-ES_tradnl"/>
              </w:rPr>
            </w:pPr>
            <w:r w:rsidRPr="003B5359">
              <w:rPr>
                <w:rFonts w:ascii="Arial" w:hAnsi="Arial"/>
                <w:color w:val="000000"/>
                <w:sz w:val="20"/>
                <w:lang w:val="es-ES_tradnl"/>
              </w:rPr>
              <w:t>Instituto Nacional de la Administración Pública (INAP)</w:t>
            </w:r>
            <w:r>
              <w:rPr>
                <w:rFonts w:ascii="Arial" w:hAnsi="Arial"/>
                <w:color w:val="000000"/>
                <w:sz w:val="20"/>
                <w:lang w:val="es-ES_tradnl"/>
              </w:rPr>
              <w:t>.</w:t>
            </w:r>
          </w:p>
        </w:tc>
      </w:tr>
      <w:tr w:rsidR="00E03766" w:rsidRPr="0057345F" w14:paraId="528B27D3" w14:textId="77777777" w:rsidTr="00E03766">
        <w:trPr>
          <w:jc w:val="center"/>
        </w:trPr>
        <w:tc>
          <w:tcPr>
            <w:tcW w:w="5000" w:type="pct"/>
            <w:gridSpan w:val="4"/>
            <w:shd w:val="clear" w:color="auto" w:fill="BFBFBF"/>
          </w:tcPr>
          <w:p w14:paraId="554EFEA0" w14:textId="1005CB8F" w:rsidR="00E03766" w:rsidRPr="00E03766" w:rsidRDefault="00E03766" w:rsidP="0080080B">
            <w:pPr>
              <w:pStyle w:val="ListParagraph"/>
              <w:tabs>
                <w:tab w:val="left" w:pos="162"/>
              </w:tabs>
              <w:spacing w:after="0" w:line="240" w:lineRule="auto"/>
              <w:ind w:left="0"/>
              <w:contextualSpacing w:val="0"/>
              <w:rPr>
                <w:rFonts w:ascii="Arial" w:hAnsi="Arial"/>
                <w:b/>
                <w:color w:val="000000"/>
                <w:sz w:val="20"/>
                <w:lang w:val="es-ES_tradnl"/>
              </w:rPr>
            </w:pPr>
            <w:r w:rsidRPr="00E03766">
              <w:rPr>
                <w:rFonts w:ascii="Arial" w:hAnsi="Arial"/>
                <w:b/>
                <w:color w:val="000000"/>
                <w:sz w:val="20"/>
                <w:lang w:val="es-ES_tradnl"/>
              </w:rPr>
              <w:t>Componente V: Transformación productiva digital</w:t>
            </w:r>
          </w:p>
        </w:tc>
      </w:tr>
      <w:tr w:rsidR="0080080B" w:rsidRPr="0057345F" w14:paraId="511218F0" w14:textId="77777777" w:rsidTr="003B5359">
        <w:trPr>
          <w:jc w:val="center"/>
        </w:trPr>
        <w:tc>
          <w:tcPr>
            <w:tcW w:w="1015" w:type="pct"/>
            <w:vMerge w:val="restart"/>
            <w:shd w:val="clear" w:color="auto" w:fill="auto"/>
          </w:tcPr>
          <w:p w14:paraId="63E0C88B" w14:textId="77777777" w:rsidR="0080080B" w:rsidRPr="00C92D6B" w:rsidRDefault="0080080B" w:rsidP="0080080B">
            <w:pPr>
              <w:pStyle w:val="ListParagraph"/>
              <w:spacing w:after="0" w:line="240" w:lineRule="auto"/>
              <w:ind w:left="0"/>
              <w:contextualSpacing w:val="0"/>
              <w:rPr>
                <w:rFonts w:ascii="Arial" w:hAnsi="Arial" w:cs="Arial"/>
                <w:sz w:val="20"/>
                <w:szCs w:val="20"/>
                <w:lang w:val="es-ES_tradnl"/>
              </w:rPr>
            </w:pPr>
            <w:r w:rsidRPr="00C92D6B">
              <w:rPr>
                <w:rFonts w:ascii="Arial" w:hAnsi="Arial" w:cs="Arial"/>
                <w:color w:val="000000"/>
                <w:sz w:val="20"/>
                <w:szCs w:val="20"/>
                <w:lang w:val="es-ES_tradnl"/>
              </w:rPr>
              <w:t>Transformación digital de empresas.</w:t>
            </w:r>
          </w:p>
        </w:tc>
        <w:tc>
          <w:tcPr>
            <w:tcW w:w="1168" w:type="pct"/>
            <w:shd w:val="clear" w:color="auto" w:fill="auto"/>
          </w:tcPr>
          <w:p w14:paraId="417A7308"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(5.1.1.a) Inicio de la implementación de un programa piloto para la transformación digital de las PyME que permita obtener insumos para la elaboración de un Programa de Transformación Digital de las PyME.</w:t>
            </w:r>
          </w:p>
        </w:tc>
        <w:tc>
          <w:tcPr>
            <w:tcW w:w="1697" w:type="pct"/>
            <w:shd w:val="clear" w:color="auto" w:fill="auto"/>
          </w:tcPr>
          <w:p w14:paraId="4537F33A" w14:textId="77777777" w:rsidR="0080080B" w:rsidRDefault="0080080B" w:rsidP="0080080B">
            <w:pPr>
              <w:pStyle w:val="ListParagraph"/>
              <w:tabs>
                <w:tab w:val="left" w:pos="162"/>
              </w:tabs>
              <w:spacing w:after="120" w:line="240" w:lineRule="auto"/>
              <w:ind w:left="0"/>
              <w:contextualSpacing w:val="0"/>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Copia de un Informe Técnico sobre el avance de la implementación del programa piloto.</w:t>
            </w:r>
            <w:r>
              <w:rPr>
                <w:rFonts w:ascii="Arial" w:eastAsia="Times New Roman" w:hAnsi="Arial" w:cs="Arial"/>
                <w:color w:val="000000"/>
                <w:sz w:val="20"/>
                <w:szCs w:val="20"/>
                <w:lang w:val="es-ES_tradnl"/>
              </w:rPr>
              <w:t xml:space="preserve"> </w:t>
            </w:r>
          </w:p>
          <w:p w14:paraId="0CE12606" w14:textId="0E7AE039" w:rsidR="0080080B" w:rsidRDefault="0080080B" w:rsidP="0080080B">
            <w:pPr>
              <w:pStyle w:val="ListParagraph"/>
              <w:tabs>
                <w:tab w:val="left" w:pos="162"/>
              </w:tabs>
              <w:spacing w:after="120" w:line="240" w:lineRule="auto"/>
              <w:ind w:left="0"/>
              <w:contextualSpacing w:val="0"/>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sz w:val="20"/>
                <w:szCs w:val="20"/>
                <w:lang w:val="es-ES_tradnl"/>
              </w:rPr>
              <w:t>Informe Técnico de la Secretaría de Emprendedores y PyME.</w:t>
            </w:r>
            <w:r w:rsidRPr="00C92D6B">
              <w:rPr>
                <w:lang w:val="es-ES_tradnl"/>
              </w:rPr>
              <w:t xml:space="preserve"> </w:t>
            </w:r>
            <w:r w:rsidRPr="00C92D6B">
              <w:rPr>
                <w:rFonts w:ascii="Arial" w:hAnsi="Arial" w:cs="Arial"/>
                <w:sz w:val="20"/>
                <w:szCs w:val="20"/>
                <w:lang w:val="es-ES_tradnl"/>
              </w:rPr>
              <w:t>IF</w:t>
            </w:r>
            <w:r>
              <w:rPr>
                <w:rFonts w:ascii="Arial" w:hAnsi="Arial" w:cs="Arial"/>
                <w:sz w:val="20"/>
                <w:szCs w:val="20"/>
                <w:lang w:val="es-ES_tradnl"/>
              </w:rPr>
              <w:t>˗</w:t>
            </w:r>
            <w:r w:rsidRPr="00C92D6B">
              <w:rPr>
                <w:rFonts w:ascii="Arial" w:hAnsi="Arial" w:cs="Arial"/>
                <w:sz w:val="20"/>
                <w:szCs w:val="20"/>
                <w:lang w:val="es-ES_tradnl"/>
              </w:rPr>
              <w:t>2018</w:t>
            </w:r>
            <w:r>
              <w:rPr>
                <w:rFonts w:ascii="Arial" w:hAnsi="Arial" w:cs="Arial"/>
                <w:sz w:val="20"/>
                <w:szCs w:val="20"/>
                <w:lang w:val="es-ES_tradnl"/>
              </w:rPr>
              <w:t>˗</w:t>
            </w:r>
            <w:r w:rsidRPr="00C92D6B">
              <w:rPr>
                <w:rFonts w:ascii="Arial" w:hAnsi="Arial" w:cs="Arial"/>
                <w:sz w:val="20"/>
                <w:szCs w:val="20"/>
                <w:lang w:val="es-ES_tradnl"/>
              </w:rPr>
              <w:t>55421840-APN-SECPYME#MPYT</w:t>
            </w:r>
            <w:r>
              <w:rPr>
                <w:rFonts w:ascii="Arial" w:eastAsia="Times New Roman" w:hAnsi="Arial" w:cs="Arial"/>
                <w:color w:val="000000"/>
                <w:sz w:val="20"/>
                <w:szCs w:val="20"/>
                <w:lang w:val="es-ES_tradnl"/>
              </w:rPr>
              <w:t>).</w:t>
            </w:r>
          </w:p>
        </w:tc>
        <w:tc>
          <w:tcPr>
            <w:tcW w:w="1120" w:type="pct"/>
            <w:shd w:val="clear" w:color="auto" w:fill="auto"/>
          </w:tcPr>
          <w:p w14:paraId="24224086" w14:textId="5F9C1268" w:rsidR="0080080B" w:rsidRPr="00A136C2" w:rsidRDefault="0080080B" w:rsidP="0080080B">
            <w:pPr>
              <w:pStyle w:val="ListParagraph"/>
              <w:tabs>
                <w:tab w:val="left" w:pos="162"/>
              </w:tabs>
              <w:spacing w:after="0" w:line="240" w:lineRule="auto"/>
              <w:ind w:left="0"/>
              <w:contextualSpacing w:val="0"/>
              <w:rPr>
                <w:rFonts w:ascii="Arial" w:hAnsi="Arial"/>
                <w:color w:val="000000"/>
                <w:sz w:val="20"/>
                <w:lang w:val="es-ES_tradnl"/>
              </w:rPr>
            </w:pPr>
            <w:r w:rsidRPr="003B5359">
              <w:rPr>
                <w:rFonts w:ascii="Arial" w:hAnsi="Arial"/>
                <w:color w:val="000000"/>
                <w:sz w:val="20"/>
                <w:lang w:val="es-ES_tradnl"/>
              </w:rPr>
              <w:t>Secretaría de Emprendedores y PyME</w:t>
            </w:r>
            <w:r>
              <w:rPr>
                <w:rFonts w:ascii="Arial" w:hAnsi="Arial"/>
                <w:color w:val="000000"/>
                <w:sz w:val="20"/>
                <w:lang w:val="es-ES_tradnl"/>
              </w:rPr>
              <w:t>.</w:t>
            </w:r>
          </w:p>
        </w:tc>
      </w:tr>
      <w:tr w:rsidR="0080080B" w:rsidRPr="0057345F" w14:paraId="0C181B2F" w14:textId="77777777" w:rsidTr="00A136C2">
        <w:trPr>
          <w:trHeight w:val="467"/>
          <w:jc w:val="center"/>
        </w:trPr>
        <w:tc>
          <w:tcPr>
            <w:tcW w:w="1015" w:type="pct"/>
            <w:vMerge/>
            <w:shd w:val="clear" w:color="auto" w:fill="auto"/>
          </w:tcPr>
          <w:p w14:paraId="780EAEDA"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6656C898" w14:textId="2AE44EE4"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(5.1.1.b) Aprobación del marco regulador que permita</w:t>
            </w:r>
            <w:r>
              <w:rPr>
                <w:rFonts w:ascii="Arial" w:eastAsia="Times New Roman" w:hAnsi="Arial" w:cs="Arial"/>
                <w:color w:val="000000"/>
                <w:sz w:val="20"/>
                <w:szCs w:val="20"/>
                <w:lang w:val="es-ES_tradnl"/>
              </w:rPr>
              <w:t xml:space="preserve"> al INPI</w:t>
            </w:r>
            <w:r w:rsidRPr="00C92D6B">
              <w:rPr>
                <w:rFonts w:ascii="Arial" w:eastAsia="Times New Roman" w:hAnsi="Arial" w:cs="Arial"/>
                <w:color w:val="000000"/>
                <w:sz w:val="20"/>
                <w:szCs w:val="20"/>
                <w:lang w:val="es-ES_tradnl"/>
              </w:rPr>
              <w:t xml:space="preserve"> digitalizar los procesos para efectuar presentaciones de solicitudes y otras tramitaciones que permitan a </w:t>
            </w:r>
            <w:r w:rsidRPr="00C92D6B">
              <w:rPr>
                <w:rFonts w:ascii="Arial" w:eastAsia="Times New Roman" w:hAnsi="Arial" w:cs="Arial"/>
                <w:color w:val="000000"/>
                <w:sz w:val="20"/>
                <w:szCs w:val="20"/>
                <w:lang w:val="es-ES_tradnl"/>
              </w:rPr>
              <w:lastRenderedPageBreak/>
              <w:t xml:space="preserve">ciudadanos y empresas acceder a la protección de marcas y patentes. </w:t>
            </w:r>
          </w:p>
        </w:tc>
        <w:tc>
          <w:tcPr>
            <w:tcW w:w="1697" w:type="pct"/>
            <w:shd w:val="clear" w:color="auto" w:fill="auto"/>
          </w:tcPr>
          <w:p w14:paraId="2A5A6289" w14:textId="77777777" w:rsidR="0080080B" w:rsidRPr="00C92D6B" w:rsidRDefault="0080080B" w:rsidP="0080080B">
            <w:pPr>
              <w:tabs>
                <w:tab w:val="left" w:pos="342"/>
              </w:tabs>
              <w:spacing w:after="12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lastRenderedPageBreak/>
              <w:t>Copia de la Resolución que apruebe el marco regulador de la tramitación digital aplicable a los usuarios del INPI.</w:t>
            </w:r>
          </w:p>
          <w:p w14:paraId="6882EA26" w14:textId="1AD2B290" w:rsidR="0080080B" w:rsidRPr="00C92D6B" w:rsidRDefault="0080080B" w:rsidP="0080080B">
            <w:pPr>
              <w:tabs>
                <w:tab w:val="left" w:pos="342"/>
              </w:tabs>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sz w:val="20"/>
                <w:szCs w:val="20"/>
                <w:lang w:val="es-ES_tradnl"/>
              </w:rPr>
              <w:t xml:space="preserve">Resolución No. 250/2018 del </w:t>
            </w:r>
            <w:proofErr w:type="gramStart"/>
            <w:r w:rsidRPr="00C92D6B">
              <w:rPr>
                <w:rFonts w:ascii="Arial" w:hAnsi="Arial" w:cs="Arial"/>
                <w:sz w:val="20"/>
                <w:szCs w:val="20"/>
                <w:lang w:val="es-ES_tradnl"/>
              </w:rPr>
              <w:t>Presidente</w:t>
            </w:r>
            <w:proofErr w:type="gramEnd"/>
            <w:r w:rsidRPr="00C92D6B">
              <w:rPr>
                <w:rFonts w:ascii="Arial" w:hAnsi="Arial" w:cs="Arial"/>
                <w:sz w:val="20"/>
                <w:szCs w:val="20"/>
                <w:lang w:val="es-ES_tradnl"/>
              </w:rPr>
              <w:t xml:space="preserve"> del INPI</w:t>
            </w:r>
            <w:r>
              <w:rPr>
                <w:rFonts w:ascii="Arial" w:hAnsi="Arial" w:cs="Arial"/>
                <w:color w:val="000000"/>
                <w:sz w:val="20"/>
                <w:szCs w:val="20"/>
                <w:lang w:val="es-ES_tradnl"/>
              </w:rPr>
              <w:t>)</w:t>
            </w:r>
          </w:p>
        </w:tc>
        <w:tc>
          <w:tcPr>
            <w:tcW w:w="1120" w:type="pct"/>
            <w:shd w:val="clear" w:color="auto" w:fill="auto"/>
          </w:tcPr>
          <w:p w14:paraId="666D0667" w14:textId="6191D450" w:rsidR="0080080B" w:rsidRPr="00C92D6B" w:rsidRDefault="0080080B" w:rsidP="0080080B">
            <w:pPr>
              <w:tabs>
                <w:tab w:val="left" w:pos="162"/>
              </w:tabs>
              <w:spacing w:after="0" w:line="240" w:lineRule="auto"/>
              <w:rPr>
                <w:rFonts w:ascii="Arial" w:hAnsi="Arial" w:cs="Arial"/>
                <w:sz w:val="20"/>
                <w:szCs w:val="20"/>
                <w:lang w:val="es-ES_tradnl"/>
              </w:rPr>
            </w:pPr>
            <w:r w:rsidRPr="00C92D6B">
              <w:rPr>
                <w:rFonts w:ascii="Arial" w:hAnsi="Arial" w:cs="Arial"/>
                <w:sz w:val="20"/>
                <w:szCs w:val="20"/>
                <w:lang w:val="es-ES_tradnl"/>
              </w:rPr>
              <w:t>Instituto Nacional de la Propiedad Industrial (INPI).</w:t>
            </w:r>
          </w:p>
        </w:tc>
      </w:tr>
      <w:tr w:rsidR="0080080B" w:rsidRPr="0057345F" w14:paraId="502BA4EF" w14:textId="77777777" w:rsidTr="00A136C2">
        <w:trPr>
          <w:jc w:val="center"/>
        </w:trPr>
        <w:tc>
          <w:tcPr>
            <w:tcW w:w="1015" w:type="pct"/>
            <w:vMerge w:val="restart"/>
            <w:shd w:val="clear" w:color="auto" w:fill="auto"/>
          </w:tcPr>
          <w:p w14:paraId="13D7938C"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Innovación basada en tecnologías digitales</w:t>
            </w:r>
          </w:p>
        </w:tc>
        <w:tc>
          <w:tcPr>
            <w:tcW w:w="1168" w:type="pct"/>
            <w:shd w:val="clear" w:color="auto" w:fill="auto"/>
          </w:tcPr>
          <w:p w14:paraId="4FA5E755" w14:textId="7C31AC82" w:rsidR="0080080B" w:rsidRPr="00C92D6B" w:rsidDel="00C110C4" w:rsidRDefault="0080080B" w:rsidP="0080080B">
            <w:pPr>
              <w:tabs>
                <w:tab w:val="left" w:pos="190"/>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(5.1.2.a.1) </w:t>
            </w:r>
            <w:r w:rsidR="007C7E31">
              <w:rPr>
                <w:rFonts w:ascii="Arial" w:hAnsi="Arial" w:cs="Arial"/>
                <w:color w:val="000000"/>
                <w:sz w:val="20"/>
                <w:szCs w:val="20"/>
                <w:lang w:val="es-ES_tradnl"/>
              </w:rPr>
              <w:t>Desarrollo de un plan de trabajo para</w:t>
            </w:r>
            <w:r w:rsidRPr="00C92D6B">
              <w:rPr>
                <w:rFonts w:ascii="Arial" w:hAnsi="Arial" w:cs="Arial"/>
                <w:color w:val="000000"/>
                <w:sz w:val="20"/>
                <w:szCs w:val="20"/>
                <w:lang w:val="es-ES_tradnl"/>
              </w:rPr>
              <w:t xml:space="preserve"> la elaboración de un proyecto de ley de ciencia y tecnología que incluya un nuevo marco regulatorio para facilitar el desarrollo de tecnologías nuevas con bancos de pruebas</w:t>
            </w:r>
            <w:r w:rsidRPr="00C92D6B">
              <w:rPr>
                <w:rFonts w:ascii="Arial" w:hAnsi="Arial" w:cs="Arial"/>
                <w:i/>
                <w:color w:val="000000"/>
                <w:sz w:val="20"/>
                <w:szCs w:val="20"/>
                <w:lang w:val="es-ES_tradnl"/>
              </w:rPr>
              <w:t xml:space="preserve"> (</w:t>
            </w:r>
            <w:proofErr w:type="spellStart"/>
            <w:r w:rsidRPr="00C92D6B">
              <w:rPr>
                <w:rFonts w:ascii="Arial" w:hAnsi="Arial" w:cs="Arial"/>
                <w:i/>
                <w:color w:val="000000"/>
                <w:sz w:val="20"/>
                <w:szCs w:val="20"/>
                <w:lang w:val="es-ES_tradnl"/>
              </w:rPr>
              <w:t>testbeds</w:t>
            </w:r>
            <w:proofErr w:type="spellEnd"/>
            <w:r w:rsidRPr="00C92D6B">
              <w:rPr>
                <w:rFonts w:ascii="Arial" w:hAnsi="Arial" w:cs="Arial"/>
                <w:i/>
                <w:color w:val="000000"/>
                <w:sz w:val="20"/>
                <w:szCs w:val="20"/>
                <w:lang w:val="es-ES_tradnl"/>
              </w:rPr>
              <w:t xml:space="preserve"> </w:t>
            </w:r>
            <w:r w:rsidRPr="00C92D6B">
              <w:rPr>
                <w:rFonts w:ascii="Arial" w:hAnsi="Arial" w:cs="Arial"/>
                <w:color w:val="000000"/>
                <w:sz w:val="20"/>
                <w:szCs w:val="20"/>
                <w:lang w:val="es-ES_tradnl"/>
              </w:rPr>
              <w:t>y</w:t>
            </w:r>
            <w:r w:rsidRPr="00C92D6B">
              <w:rPr>
                <w:rFonts w:ascii="Arial" w:hAnsi="Arial" w:cs="Arial"/>
                <w:sz w:val="20"/>
                <w:szCs w:val="20"/>
                <w:lang w:val="es-ES_tradnl"/>
              </w:rPr>
              <w:t xml:space="preserve"> </w:t>
            </w:r>
            <w:proofErr w:type="spellStart"/>
            <w:r w:rsidRPr="00C92D6B">
              <w:rPr>
                <w:rFonts w:ascii="Arial" w:hAnsi="Arial" w:cs="Arial"/>
                <w:i/>
                <w:color w:val="000000"/>
                <w:sz w:val="20"/>
                <w:szCs w:val="20"/>
                <w:lang w:val="es-ES_tradnl"/>
              </w:rPr>
              <w:t>sandboxes</w:t>
            </w:r>
            <w:proofErr w:type="spellEnd"/>
            <w:r w:rsidRPr="00C92D6B">
              <w:rPr>
                <w:rFonts w:ascii="Arial" w:hAnsi="Arial" w:cs="Arial"/>
                <w:color w:val="000000"/>
                <w:sz w:val="20"/>
                <w:szCs w:val="20"/>
                <w:lang w:val="es-ES_tradnl"/>
              </w:rPr>
              <w:t>).</w:t>
            </w:r>
          </w:p>
        </w:tc>
        <w:tc>
          <w:tcPr>
            <w:tcW w:w="1697" w:type="pct"/>
            <w:shd w:val="clear" w:color="auto" w:fill="auto"/>
          </w:tcPr>
          <w:p w14:paraId="2AA87522" w14:textId="77777777" w:rsidR="0080080B" w:rsidRPr="00C92D6B" w:rsidRDefault="0080080B" w:rsidP="0080080B">
            <w:pPr>
              <w:tabs>
                <w:tab w:val="left" w:pos="162"/>
              </w:tabs>
              <w:spacing w:after="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(5.1.2.a.1)</w:t>
            </w:r>
          </w:p>
          <w:p w14:paraId="6C2D0CBA" w14:textId="77777777" w:rsidR="0080080B" w:rsidRDefault="0080080B" w:rsidP="0080080B">
            <w:pPr>
              <w:tabs>
                <w:tab w:val="left" w:pos="162"/>
              </w:tabs>
              <w:spacing w:after="12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Copia del Informe que contiene el plan de trabajo para la elaboración del proyecto de ley del Sistema Nacional de Ciencia, Tecnología e Innovación.</w:t>
            </w:r>
          </w:p>
          <w:p w14:paraId="3989E7ED" w14:textId="12304FBB" w:rsidR="0080080B" w:rsidRPr="00C92D6B" w:rsidRDefault="0080080B" w:rsidP="0080080B">
            <w:pPr>
              <w:tabs>
                <w:tab w:val="left" w:pos="162"/>
              </w:tabs>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sz w:val="20"/>
                <w:szCs w:val="20"/>
                <w:lang w:val="es-ES_tradnl"/>
              </w:rPr>
              <w:t>Informe de la Secretaría de Ciencia, Tecnología e Innovación Productiva No. ME-2018-34962245-APN-DNPYP#MCT</w:t>
            </w:r>
            <w:r>
              <w:rPr>
                <w:rFonts w:ascii="Arial" w:eastAsia="Times New Roman" w:hAnsi="Arial" w:cs="Arial"/>
                <w:color w:val="000000"/>
                <w:sz w:val="20"/>
                <w:szCs w:val="20"/>
                <w:lang w:val="es-ES_tradnl"/>
              </w:rPr>
              <w:t>)</w:t>
            </w:r>
            <w:r w:rsidRPr="00C92D6B">
              <w:rPr>
                <w:rFonts w:ascii="Arial" w:eastAsia="Times New Roman" w:hAnsi="Arial" w:cs="Arial"/>
                <w:color w:val="000000"/>
                <w:sz w:val="20"/>
                <w:szCs w:val="20"/>
                <w:lang w:val="es-ES_tradnl"/>
              </w:rPr>
              <w:t xml:space="preserve">  </w:t>
            </w:r>
          </w:p>
        </w:tc>
        <w:tc>
          <w:tcPr>
            <w:tcW w:w="1120" w:type="pct"/>
            <w:vMerge w:val="restart"/>
            <w:shd w:val="clear" w:color="auto" w:fill="auto"/>
          </w:tcPr>
          <w:p w14:paraId="2C16EF1B" w14:textId="4CCBB54D" w:rsidR="0080080B" w:rsidRPr="00C92D6B" w:rsidDel="0077118C" w:rsidRDefault="0080080B" w:rsidP="0080080B">
            <w:pPr>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Secretaría de Ciencia, Tecnología e Innovación Productiva.</w:t>
            </w:r>
          </w:p>
        </w:tc>
      </w:tr>
      <w:tr w:rsidR="0080080B" w:rsidRPr="0057345F" w14:paraId="5EC6523D" w14:textId="77777777" w:rsidTr="00A136C2">
        <w:trPr>
          <w:jc w:val="center"/>
        </w:trPr>
        <w:tc>
          <w:tcPr>
            <w:tcW w:w="1015" w:type="pct"/>
            <w:vMerge/>
            <w:shd w:val="clear" w:color="auto" w:fill="auto"/>
          </w:tcPr>
          <w:p w14:paraId="7D3DC36B"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p>
        </w:tc>
        <w:tc>
          <w:tcPr>
            <w:tcW w:w="1168" w:type="pct"/>
            <w:shd w:val="clear" w:color="auto" w:fill="auto"/>
          </w:tcPr>
          <w:p w14:paraId="457ED236" w14:textId="77777777" w:rsidR="0080080B" w:rsidRPr="00C92D6B" w:rsidRDefault="0080080B" w:rsidP="0080080B">
            <w:pPr>
              <w:tabs>
                <w:tab w:val="left" w:pos="190"/>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(5.1.2.a.</w:t>
            </w:r>
            <w:r>
              <w:rPr>
                <w:rFonts w:ascii="Arial" w:hAnsi="Arial" w:cs="Arial"/>
                <w:color w:val="000000"/>
                <w:sz w:val="20"/>
                <w:szCs w:val="20"/>
                <w:lang w:val="es-ES_tradnl"/>
              </w:rPr>
              <w:t>2</w:t>
            </w:r>
            <w:r w:rsidRPr="00C92D6B">
              <w:rPr>
                <w:rFonts w:ascii="Arial" w:hAnsi="Arial" w:cs="Arial"/>
                <w:color w:val="000000"/>
                <w:sz w:val="20"/>
                <w:szCs w:val="20"/>
                <w:lang w:val="es-ES_tradnl"/>
              </w:rPr>
              <w:t>) Creación de una mesa de trabajo de tecnologías emergentes con representación de los sectores público y privado.</w:t>
            </w:r>
          </w:p>
        </w:tc>
        <w:tc>
          <w:tcPr>
            <w:tcW w:w="1697" w:type="pct"/>
            <w:shd w:val="clear" w:color="auto" w:fill="auto"/>
          </w:tcPr>
          <w:p w14:paraId="329B1D1F"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(5.1.2.a.</w:t>
            </w:r>
            <w:r>
              <w:rPr>
                <w:rFonts w:ascii="Arial" w:hAnsi="Arial" w:cs="Arial"/>
                <w:color w:val="000000"/>
                <w:sz w:val="20"/>
                <w:szCs w:val="20"/>
                <w:lang w:val="es-ES_tradnl"/>
              </w:rPr>
              <w:t>2</w:t>
            </w:r>
            <w:r w:rsidRPr="00C92D6B">
              <w:rPr>
                <w:rFonts w:ascii="Arial" w:hAnsi="Arial" w:cs="Arial"/>
                <w:color w:val="000000"/>
                <w:sz w:val="20"/>
                <w:szCs w:val="20"/>
                <w:lang w:val="es-ES_tradnl"/>
              </w:rPr>
              <w:t>) Copia de la Resolución que crea la mesa de trabajo.</w:t>
            </w:r>
            <w:r>
              <w:rPr>
                <w:rFonts w:ascii="Arial" w:hAnsi="Arial" w:cs="Arial"/>
                <w:color w:val="000000"/>
                <w:sz w:val="20"/>
                <w:szCs w:val="20"/>
                <w:lang w:val="es-ES_tradnl"/>
              </w:rPr>
              <w:t xml:space="preserve"> </w:t>
            </w:r>
          </w:p>
          <w:p w14:paraId="1704698C" w14:textId="2752E800" w:rsidR="0080080B" w:rsidRDefault="0080080B" w:rsidP="0080080B">
            <w:pPr>
              <w:tabs>
                <w:tab w:val="left" w:pos="162"/>
              </w:tabs>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sz w:val="20"/>
                <w:szCs w:val="20"/>
                <w:lang w:val="es-ES_tradnl"/>
              </w:rPr>
              <w:t>Resolución No. 2018-838-APN-MCT del Ministerio de Ciencia, Tecnología e Innovación Productiva</w:t>
            </w:r>
            <w:r>
              <w:rPr>
                <w:rFonts w:ascii="Arial" w:hAnsi="Arial" w:cs="Arial"/>
                <w:color w:val="000000"/>
                <w:sz w:val="20"/>
                <w:szCs w:val="20"/>
                <w:lang w:val="es-ES_tradnl"/>
              </w:rPr>
              <w:t>).</w:t>
            </w:r>
          </w:p>
        </w:tc>
        <w:tc>
          <w:tcPr>
            <w:tcW w:w="1120" w:type="pct"/>
            <w:vMerge/>
            <w:shd w:val="clear" w:color="auto" w:fill="auto"/>
          </w:tcPr>
          <w:p w14:paraId="6E30BCC2" w14:textId="3E55343A" w:rsidR="0080080B" w:rsidRPr="00A136C2" w:rsidRDefault="0080080B" w:rsidP="0080080B">
            <w:pPr>
              <w:spacing w:after="0" w:line="240" w:lineRule="auto"/>
              <w:rPr>
                <w:rFonts w:ascii="Arial" w:hAnsi="Arial"/>
                <w:color w:val="000000"/>
                <w:sz w:val="20"/>
                <w:lang w:val="es-ES_tradnl"/>
              </w:rPr>
            </w:pPr>
          </w:p>
        </w:tc>
      </w:tr>
      <w:tr w:rsidR="0080080B" w:rsidRPr="00A136C2" w14:paraId="5F47C1FC" w14:textId="77777777" w:rsidTr="00A136C2">
        <w:trPr>
          <w:jc w:val="center"/>
        </w:trPr>
        <w:tc>
          <w:tcPr>
            <w:tcW w:w="1015" w:type="pct"/>
            <w:vMerge/>
            <w:shd w:val="clear" w:color="auto" w:fill="auto"/>
          </w:tcPr>
          <w:p w14:paraId="1154DCE0"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p>
        </w:tc>
        <w:tc>
          <w:tcPr>
            <w:tcW w:w="1168" w:type="pct"/>
            <w:shd w:val="clear" w:color="auto" w:fill="auto"/>
          </w:tcPr>
          <w:p w14:paraId="7FAA2A07" w14:textId="77777777" w:rsidR="0080080B" w:rsidRPr="00C92D6B" w:rsidRDefault="0080080B" w:rsidP="0080080B">
            <w:pPr>
              <w:tabs>
                <w:tab w:val="left" w:pos="190"/>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(5.1.2.b) Definición de los lineamientos para el desarrollo del Plan Nacional de Inteligencia Artificial (IA). </w:t>
            </w:r>
          </w:p>
          <w:p w14:paraId="3E1B58A3" w14:textId="77777777" w:rsidR="0080080B" w:rsidRPr="00C92D6B" w:rsidRDefault="0080080B" w:rsidP="0080080B">
            <w:pPr>
              <w:tabs>
                <w:tab w:val="left" w:pos="190"/>
              </w:tabs>
              <w:spacing w:after="0" w:line="240" w:lineRule="auto"/>
              <w:rPr>
                <w:rFonts w:ascii="Arial" w:hAnsi="Arial" w:cs="Arial"/>
                <w:color w:val="000000"/>
                <w:sz w:val="20"/>
                <w:szCs w:val="20"/>
                <w:lang w:val="es-ES_tradnl"/>
              </w:rPr>
            </w:pPr>
          </w:p>
        </w:tc>
        <w:tc>
          <w:tcPr>
            <w:tcW w:w="1697" w:type="pct"/>
            <w:shd w:val="clear" w:color="auto" w:fill="auto"/>
          </w:tcPr>
          <w:p w14:paraId="67683BDE" w14:textId="77777777" w:rsidR="0080080B" w:rsidRDefault="0080080B" w:rsidP="0080080B">
            <w:pPr>
              <w:tabs>
                <w:tab w:val="left" w:pos="162"/>
              </w:tabs>
              <w:spacing w:after="12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 xml:space="preserve">(5.1.2.b) Copia del </w:t>
            </w:r>
            <w:r w:rsidRPr="00C92D6B">
              <w:rPr>
                <w:rFonts w:ascii="Arial" w:eastAsia="Times New Roman" w:hAnsi="Arial" w:cs="Arial"/>
                <w:color w:val="000000"/>
                <w:sz w:val="20"/>
                <w:szCs w:val="20"/>
                <w:lang w:val="es-ES_tradnl"/>
              </w:rPr>
              <w:t>Informe que detalla los lineamientos para el desarrollo del Plan de Inteligencia Artificial.</w:t>
            </w:r>
          </w:p>
          <w:p w14:paraId="5D388C45" w14:textId="28B448A2" w:rsidR="0080080B" w:rsidRDefault="0080080B" w:rsidP="0080080B">
            <w:pPr>
              <w:tabs>
                <w:tab w:val="left" w:pos="162"/>
              </w:tabs>
              <w:spacing w:after="0" w:line="240" w:lineRule="auto"/>
              <w:rPr>
                <w:rFonts w:ascii="Arial" w:eastAsia="Times New Roman" w:hAnsi="Arial" w:cs="Arial"/>
                <w:color w:val="000000"/>
                <w:sz w:val="20"/>
                <w:szCs w:val="20"/>
                <w:lang w:val="es-ES_tradnl"/>
              </w:rPr>
            </w:pPr>
            <w:r>
              <w:rPr>
                <w:rFonts w:ascii="Arial" w:hAnsi="Arial" w:cs="Arial"/>
                <w:color w:val="000000"/>
                <w:sz w:val="20"/>
                <w:szCs w:val="20"/>
                <w:lang w:val="es-ES_tradnl"/>
              </w:rPr>
              <w:t>(</w:t>
            </w:r>
            <w:r w:rsidRPr="00C92D6B">
              <w:rPr>
                <w:rFonts w:ascii="Arial" w:hAnsi="Arial" w:cs="Arial"/>
                <w:sz w:val="20"/>
                <w:szCs w:val="20"/>
                <w:lang w:val="es-ES_tradnl"/>
              </w:rPr>
              <w:t xml:space="preserve">Informe de la </w:t>
            </w:r>
            <w:r w:rsidRPr="00C92D6B">
              <w:rPr>
                <w:rFonts w:ascii="Arial" w:eastAsia="Times New Roman" w:hAnsi="Arial" w:cs="Arial"/>
                <w:color w:val="000000"/>
                <w:sz w:val="20"/>
                <w:szCs w:val="20"/>
                <w:lang w:val="es-ES_tradnl"/>
              </w:rPr>
              <w:t xml:space="preserve">Secretaría de Ciencia, Tecnología e Innovación Productiva. </w:t>
            </w:r>
            <w:hyperlink r:id="rId17" w:history="1">
              <w:r w:rsidRPr="00C92D6B">
                <w:rPr>
                  <w:rStyle w:val="Hyperlink"/>
                  <w:rFonts w:ascii="Arial" w:hAnsi="Arial" w:cs="Arial"/>
                  <w:sz w:val="20"/>
                  <w:lang w:val="es-ES_tradnl"/>
                </w:rPr>
                <w:t>NO-2018-56999568-APN-SPPCTIP#MECCYT</w:t>
              </w:r>
            </w:hyperlink>
            <w:r>
              <w:rPr>
                <w:rFonts w:ascii="Arial" w:hAnsi="Arial" w:cs="Arial"/>
                <w:color w:val="000000"/>
                <w:sz w:val="20"/>
                <w:szCs w:val="20"/>
                <w:lang w:val="es-ES_tradnl"/>
              </w:rPr>
              <w:t>).</w:t>
            </w:r>
          </w:p>
        </w:tc>
        <w:tc>
          <w:tcPr>
            <w:tcW w:w="1120" w:type="pct"/>
            <w:vMerge/>
            <w:shd w:val="clear" w:color="auto" w:fill="auto"/>
          </w:tcPr>
          <w:p w14:paraId="1A3ADD48" w14:textId="7EA68735" w:rsidR="0080080B" w:rsidRPr="00A136C2" w:rsidRDefault="0080080B" w:rsidP="0080080B">
            <w:pPr>
              <w:spacing w:after="0" w:line="240" w:lineRule="auto"/>
              <w:rPr>
                <w:rFonts w:ascii="Arial" w:hAnsi="Arial"/>
                <w:color w:val="000000"/>
                <w:sz w:val="20"/>
                <w:lang w:val="es-ES_tradnl"/>
              </w:rPr>
            </w:pPr>
          </w:p>
        </w:tc>
      </w:tr>
      <w:tr w:rsidR="0080080B" w:rsidRPr="0057345F" w14:paraId="610DC9C1" w14:textId="77777777" w:rsidTr="00A136C2">
        <w:trPr>
          <w:jc w:val="center"/>
        </w:trPr>
        <w:tc>
          <w:tcPr>
            <w:tcW w:w="1015" w:type="pct"/>
            <w:vMerge w:val="restart"/>
            <w:shd w:val="clear" w:color="auto" w:fill="auto"/>
          </w:tcPr>
          <w:p w14:paraId="0A79DFF7"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Transformación digital en sectores verticales.</w:t>
            </w:r>
          </w:p>
          <w:p w14:paraId="0091BCE8" w14:textId="77777777" w:rsidR="0080080B" w:rsidRPr="00C92D6B" w:rsidRDefault="0080080B" w:rsidP="0080080B">
            <w:pPr>
              <w:pStyle w:val="ListParagraph"/>
              <w:spacing w:after="0" w:line="240" w:lineRule="auto"/>
              <w:ind w:left="0"/>
              <w:contextualSpacing w:val="0"/>
              <w:rPr>
                <w:rFonts w:ascii="Arial" w:hAnsi="Arial" w:cs="Arial"/>
                <w:color w:val="000000"/>
                <w:sz w:val="20"/>
                <w:szCs w:val="20"/>
                <w:lang w:val="es-ES_tradnl"/>
              </w:rPr>
            </w:pPr>
          </w:p>
        </w:tc>
        <w:tc>
          <w:tcPr>
            <w:tcW w:w="1168" w:type="pct"/>
            <w:shd w:val="clear" w:color="auto" w:fill="auto"/>
          </w:tcPr>
          <w:p w14:paraId="7208D044"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sidDel="0011586A">
              <w:rPr>
                <w:rFonts w:ascii="Arial" w:eastAsia="Times New Roman" w:hAnsi="Arial" w:cs="Arial"/>
                <w:b/>
                <w:color w:val="000000"/>
                <w:sz w:val="20"/>
                <w:szCs w:val="20"/>
                <w:lang w:val="es-ES_tradnl"/>
              </w:rPr>
              <w:t xml:space="preserve"> </w:t>
            </w:r>
            <w:r w:rsidRPr="00C92D6B">
              <w:rPr>
                <w:rFonts w:ascii="Arial" w:eastAsia="Times New Roman" w:hAnsi="Arial" w:cs="Arial"/>
                <w:color w:val="000000"/>
                <w:sz w:val="20"/>
                <w:szCs w:val="20"/>
                <w:lang w:val="es-ES_tradnl"/>
              </w:rPr>
              <w:t>(5.1.3.a)</w:t>
            </w:r>
            <w:r w:rsidRPr="00C92D6B">
              <w:rPr>
                <w:rFonts w:ascii="Arial" w:eastAsia="Times New Roman" w:hAnsi="Arial" w:cs="Arial"/>
                <w:b/>
                <w:color w:val="000000"/>
                <w:sz w:val="20"/>
                <w:szCs w:val="20"/>
                <w:lang w:val="es-ES_tradnl"/>
              </w:rPr>
              <w:t xml:space="preserve"> </w:t>
            </w:r>
            <w:r w:rsidRPr="00C92D6B">
              <w:rPr>
                <w:rFonts w:ascii="Arial" w:eastAsia="Times New Roman" w:hAnsi="Arial" w:cs="Arial"/>
                <w:color w:val="000000"/>
                <w:sz w:val="20"/>
                <w:szCs w:val="20"/>
                <w:lang w:val="es-ES_tradnl"/>
              </w:rPr>
              <w:t>Definición de los lineamientos técnicos para la elaboración de un proyecto de ley de Economía del Conocimiento.</w:t>
            </w:r>
          </w:p>
        </w:tc>
        <w:tc>
          <w:tcPr>
            <w:tcW w:w="1697" w:type="pct"/>
            <w:shd w:val="clear" w:color="auto" w:fill="auto"/>
          </w:tcPr>
          <w:p w14:paraId="572AC58D" w14:textId="77777777" w:rsidR="0080080B" w:rsidRDefault="0080080B" w:rsidP="0080080B">
            <w:pPr>
              <w:spacing w:after="12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(5.1.3.a) Copia del Informe Técnico que refleje los lineamientos técnicos elaborados a partir de un proceso de consulta.</w:t>
            </w:r>
          </w:p>
          <w:p w14:paraId="791A5ED0" w14:textId="77777777" w:rsidR="0080080B" w:rsidRDefault="0080080B" w:rsidP="0080080B">
            <w:pPr>
              <w:tabs>
                <w:tab w:val="left" w:pos="162"/>
              </w:tabs>
              <w:spacing w:after="120" w:line="240" w:lineRule="auto"/>
              <w:rPr>
                <w:rFonts w:ascii="Arial" w:hAnsi="Arial" w:cs="Arial"/>
                <w:sz w:val="20"/>
                <w:szCs w:val="20"/>
                <w:lang w:val="es-ES_tradnl"/>
              </w:rPr>
            </w:pPr>
            <w:r>
              <w:rPr>
                <w:rFonts w:ascii="Arial" w:eastAsia="Times New Roman" w:hAnsi="Arial" w:cs="Arial"/>
                <w:color w:val="000000"/>
                <w:sz w:val="20"/>
                <w:szCs w:val="20"/>
                <w:lang w:val="es-ES_tradnl"/>
              </w:rPr>
              <w:t>(</w:t>
            </w:r>
            <w:r w:rsidRPr="00C92D6B">
              <w:rPr>
                <w:rFonts w:ascii="Arial" w:hAnsi="Arial" w:cs="Arial"/>
                <w:sz w:val="20"/>
                <w:szCs w:val="20"/>
                <w:lang w:val="es-ES_tradnl"/>
              </w:rPr>
              <w:t>Informe Técnico de la Secretaría de Emprendedores y PyME.</w:t>
            </w:r>
          </w:p>
          <w:p w14:paraId="4C4BDE1D" w14:textId="57231AF1" w:rsidR="0080080B" w:rsidRPr="00C92D6B" w:rsidRDefault="00D74B47" w:rsidP="0080080B">
            <w:pPr>
              <w:tabs>
                <w:tab w:val="left" w:pos="162"/>
              </w:tabs>
              <w:spacing w:after="120" w:line="240" w:lineRule="auto"/>
              <w:rPr>
                <w:rFonts w:ascii="Arial" w:hAnsi="Arial" w:cs="Arial"/>
                <w:sz w:val="20"/>
                <w:szCs w:val="20"/>
                <w:lang w:val="es-ES_tradnl"/>
              </w:rPr>
            </w:pPr>
            <w:hyperlink r:id="rId18" w:history="1">
              <w:r w:rsidR="0080080B" w:rsidRPr="00C92D6B">
                <w:rPr>
                  <w:rStyle w:val="Hyperlink"/>
                  <w:rFonts w:ascii="Arial" w:hAnsi="Arial" w:cs="Arial"/>
                  <w:sz w:val="20"/>
                  <w:lang w:val="es-ES_tradnl"/>
                </w:rPr>
                <w:t>IF - 2018-55421965-APN-SECPYME#MPYT</w:t>
              </w:r>
            </w:hyperlink>
            <w:r w:rsidR="0080080B">
              <w:rPr>
                <w:rFonts w:ascii="Arial" w:eastAsia="Times New Roman" w:hAnsi="Arial" w:cs="Arial"/>
                <w:color w:val="000000"/>
                <w:sz w:val="20"/>
                <w:szCs w:val="20"/>
                <w:lang w:val="es-ES_tradnl"/>
              </w:rPr>
              <w:t>).</w:t>
            </w:r>
          </w:p>
        </w:tc>
        <w:tc>
          <w:tcPr>
            <w:tcW w:w="1120" w:type="pct"/>
            <w:shd w:val="clear" w:color="auto" w:fill="auto"/>
          </w:tcPr>
          <w:p w14:paraId="02B47C36" w14:textId="22C99BBB" w:rsidR="0080080B" w:rsidRPr="00C92D6B" w:rsidRDefault="0080080B" w:rsidP="0080080B">
            <w:pPr>
              <w:tabs>
                <w:tab w:val="left" w:pos="162"/>
              </w:tabs>
              <w:spacing w:after="0" w:line="240" w:lineRule="auto"/>
              <w:rPr>
                <w:rFonts w:ascii="Arial" w:hAnsi="Arial" w:cs="Arial"/>
                <w:sz w:val="20"/>
                <w:szCs w:val="20"/>
                <w:lang w:val="es-ES_tradnl"/>
              </w:rPr>
            </w:pPr>
            <w:r w:rsidRPr="003B5359">
              <w:rPr>
                <w:rFonts w:ascii="Arial" w:hAnsi="Arial" w:cs="Arial"/>
                <w:sz w:val="20"/>
                <w:szCs w:val="20"/>
                <w:lang w:val="es-ES_tradnl"/>
              </w:rPr>
              <w:t>Secretaría de Emprendedores y PyME</w:t>
            </w:r>
            <w:r>
              <w:rPr>
                <w:rFonts w:ascii="Arial" w:hAnsi="Arial" w:cs="Arial"/>
                <w:sz w:val="20"/>
                <w:szCs w:val="20"/>
                <w:lang w:val="es-ES_tradnl"/>
              </w:rPr>
              <w:t>.</w:t>
            </w:r>
          </w:p>
        </w:tc>
      </w:tr>
      <w:tr w:rsidR="0080080B" w:rsidRPr="0057345F" w14:paraId="4871BCFB" w14:textId="77777777" w:rsidTr="00A136C2">
        <w:trPr>
          <w:jc w:val="center"/>
        </w:trPr>
        <w:tc>
          <w:tcPr>
            <w:tcW w:w="1015" w:type="pct"/>
            <w:vMerge/>
            <w:shd w:val="clear" w:color="auto" w:fill="auto"/>
          </w:tcPr>
          <w:p w14:paraId="4C47BB1B"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p>
        </w:tc>
        <w:tc>
          <w:tcPr>
            <w:tcW w:w="1168" w:type="pct"/>
            <w:shd w:val="clear" w:color="auto" w:fill="auto"/>
          </w:tcPr>
          <w:p w14:paraId="76E1D864" w14:textId="77777777" w:rsidR="0080080B" w:rsidRPr="00C92D6B" w:rsidRDefault="0080080B" w:rsidP="0080080B">
            <w:pPr>
              <w:tabs>
                <w:tab w:val="left" w:pos="190"/>
              </w:tabs>
              <w:spacing w:after="0" w:line="240" w:lineRule="auto"/>
              <w:rPr>
                <w:rFonts w:ascii="Arial" w:eastAsia="Times New Roman" w:hAnsi="Arial" w:cs="Arial"/>
                <w:color w:val="000000"/>
                <w:sz w:val="20"/>
                <w:szCs w:val="20"/>
                <w:lang w:val="es-ES_tradnl"/>
              </w:rPr>
            </w:pPr>
            <w:r w:rsidRPr="00C92D6B" w:rsidDel="0011586A">
              <w:rPr>
                <w:rFonts w:ascii="Arial" w:eastAsia="Times New Roman" w:hAnsi="Arial" w:cs="Arial"/>
                <w:b/>
                <w:color w:val="000000"/>
                <w:sz w:val="20"/>
                <w:szCs w:val="20"/>
                <w:lang w:val="es-ES_tradnl"/>
              </w:rPr>
              <w:t xml:space="preserve"> </w:t>
            </w:r>
            <w:r w:rsidRPr="00C92D6B">
              <w:rPr>
                <w:rFonts w:ascii="Arial" w:eastAsia="Times New Roman" w:hAnsi="Arial" w:cs="Arial"/>
                <w:color w:val="000000"/>
                <w:sz w:val="20"/>
                <w:szCs w:val="20"/>
                <w:lang w:val="es-ES_tradnl"/>
              </w:rPr>
              <w:t xml:space="preserve">(5.1.3.b). Elaboración de un borrador de Resolución que presente la Estrategia del </w:t>
            </w:r>
            <w:r w:rsidRPr="00C92D6B">
              <w:rPr>
                <w:rFonts w:ascii="Arial" w:eastAsia="Times New Roman" w:hAnsi="Arial" w:cs="Arial"/>
                <w:color w:val="000000"/>
                <w:sz w:val="20"/>
                <w:szCs w:val="20"/>
                <w:lang w:val="es-ES_tradnl"/>
              </w:rPr>
              <w:lastRenderedPageBreak/>
              <w:t>Modelo de Información para la Construcción (BIM, por sus siglas en inglés) en Argentina y establezca la mesa de trabajo para su implementación en el sector público.</w:t>
            </w:r>
          </w:p>
        </w:tc>
        <w:tc>
          <w:tcPr>
            <w:tcW w:w="1697" w:type="pct"/>
            <w:shd w:val="clear" w:color="auto" w:fill="auto"/>
          </w:tcPr>
          <w:p w14:paraId="031A892B" w14:textId="77777777" w:rsidR="0080080B" w:rsidRDefault="0080080B" w:rsidP="0080080B">
            <w:pPr>
              <w:spacing w:after="12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lastRenderedPageBreak/>
              <w:t>(5.1.3.b) Copia del Informe Técnico con el borrador de Resolución.</w:t>
            </w:r>
          </w:p>
          <w:p w14:paraId="68C1B541" w14:textId="2C0CDAAA" w:rsidR="0080080B" w:rsidRDefault="0080080B" w:rsidP="0080080B">
            <w:pPr>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lastRenderedPageBreak/>
              <w:t>(</w:t>
            </w:r>
            <w:r w:rsidRPr="00C92D6B">
              <w:rPr>
                <w:rFonts w:ascii="Arial" w:hAnsi="Arial" w:cs="Arial"/>
                <w:sz w:val="20"/>
                <w:szCs w:val="20"/>
                <w:lang w:val="es-ES_tradnl"/>
              </w:rPr>
              <w:t>Informe Técnico de la Secretaría de Planificación Territorial y Coordinación de la Obra Pública</w:t>
            </w:r>
            <w:r>
              <w:rPr>
                <w:rFonts w:ascii="Arial" w:eastAsia="Times New Roman" w:hAnsi="Arial" w:cs="Arial"/>
                <w:color w:val="000000"/>
                <w:sz w:val="20"/>
                <w:szCs w:val="20"/>
                <w:lang w:val="es-ES_tradnl"/>
              </w:rPr>
              <w:t>).</w:t>
            </w:r>
          </w:p>
        </w:tc>
        <w:tc>
          <w:tcPr>
            <w:tcW w:w="1120" w:type="pct"/>
            <w:shd w:val="clear" w:color="auto" w:fill="auto"/>
          </w:tcPr>
          <w:p w14:paraId="56BDBFBE" w14:textId="0B601BF5" w:rsidR="0080080B" w:rsidRPr="00C92D6B" w:rsidRDefault="0080080B" w:rsidP="0080080B">
            <w:pPr>
              <w:tabs>
                <w:tab w:val="left" w:pos="162"/>
              </w:tabs>
              <w:spacing w:after="0" w:line="240" w:lineRule="auto"/>
              <w:rPr>
                <w:rFonts w:ascii="Arial" w:hAnsi="Arial" w:cs="Arial"/>
                <w:sz w:val="20"/>
                <w:szCs w:val="20"/>
                <w:lang w:val="es-ES_tradnl"/>
              </w:rPr>
            </w:pPr>
            <w:r w:rsidRPr="003B5359">
              <w:rPr>
                <w:rFonts w:ascii="Arial" w:hAnsi="Arial" w:cs="Arial"/>
                <w:sz w:val="20"/>
                <w:szCs w:val="20"/>
                <w:lang w:val="es-ES_tradnl"/>
              </w:rPr>
              <w:lastRenderedPageBreak/>
              <w:t>Secretaría de Planificación Territorial y Coordinación de la Obra Pública</w:t>
            </w:r>
            <w:r>
              <w:rPr>
                <w:rFonts w:ascii="Arial" w:hAnsi="Arial" w:cs="Arial"/>
                <w:sz w:val="20"/>
                <w:szCs w:val="20"/>
                <w:lang w:val="es-ES_tradnl"/>
              </w:rPr>
              <w:t>.</w:t>
            </w:r>
          </w:p>
        </w:tc>
      </w:tr>
      <w:tr w:rsidR="0080080B" w:rsidRPr="0057345F" w14:paraId="38FD4F52" w14:textId="77777777" w:rsidTr="00A136C2">
        <w:trPr>
          <w:jc w:val="center"/>
        </w:trPr>
        <w:tc>
          <w:tcPr>
            <w:tcW w:w="1015" w:type="pct"/>
            <w:vMerge/>
            <w:shd w:val="clear" w:color="auto" w:fill="auto"/>
          </w:tcPr>
          <w:p w14:paraId="28BB5158"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p>
        </w:tc>
        <w:tc>
          <w:tcPr>
            <w:tcW w:w="1168" w:type="pct"/>
            <w:shd w:val="clear" w:color="auto" w:fill="auto"/>
          </w:tcPr>
          <w:p w14:paraId="352C55EA" w14:textId="77777777" w:rsidR="0080080B" w:rsidRPr="00C92D6B" w:rsidRDefault="0080080B" w:rsidP="0080080B">
            <w:pPr>
              <w:tabs>
                <w:tab w:val="left" w:pos="190"/>
              </w:tabs>
              <w:spacing w:after="0" w:line="240" w:lineRule="auto"/>
              <w:rPr>
                <w:rFonts w:ascii="Arial" w:eastAsia="Times New Roman" w:hAnsi="Arial" w:cs="Arial"/>
                <w:b/>
                <w:color w:val="000000"/>
                <w:sz w:val="20"/>
                <w:szCs w:val="20"/>
                <w:lang w:val="es-ES_tradnl"/>
              </w:rPr>
            </w:pPr>
            <w:r w:rsidRPr="00C92D6B">
              <w:rPr>
                <w:rFonts w:ascii="Arial" w:hAnsi="Arial" w:cs="Arial"/>
                <w:color w:val="000000"/>
                <w:sz w:val="20"/>
                <w:szCs w:val="20"/>
                <w:lang w:val="es-ES_tradnl"/>
              </w:rPr>
              <w:t>(5.1.3.c) Puesta en marcha</w:t>
            </w:r>
            <w:r>
              <w:rPr>
                <w:rFonts w:ascii="Arial" w:hAnsi="Arial" w:cs="Arial"/>
                <w:color w:val="000000"/>
                <w:sz w:val="20"/>
                <w:szCs w:val="20"/>
                <w:lang w:val="es-ES_tradnl"/>
              </w:rPr>
              <w:t>,</w:t>
            </w:r>
            <w:r w:rsidRPr="00C92D6B">
              <w:rPr>
                <w:rFonts w:ascii="Arial" w:hAnsi="Arial" w:cs="Arial"/>
                <w:color w:val="000000"/>
                <w:sz w:val="20"/>
                <w:szCs w:val="20"/>
                <w:lang w:val="es-ES_tradnl"/>
              </w:rPr>
              <w:t xml:space="preserve"> en al menos cuatro agencias públicas</w:t>
            </w:r>
            <w:r>
              <w:rPr>
                <w:rFonts w:ascii="Arial" w:hAnsi="Arial" w:cs="Arial"/>
                <w:color w:val="000000"/>
                <w:sz w:val="20"/>
                <w:szCs w:val="20"/>
                <w:lang w:val="es-ES_tradnl"/>
              </w:rPr>
              <w:t>, de</w:t>
            </w:r>
            <w:r w:rsidRPr="00C92D6B">
              <w:rPr>
                <w:rFonts w:ascii="Arial" w:hAnsi="Arial" w:cs="Arial"/>
                <w:color w:val="000000"/>
                <w:sz w:val="20"/>
                <w:szCs w:val="20"/>
                <w:lang w:val="es-ES_tradnl"/>
              </w:rPr>
              <w:t xml:space="preserve"> proyectos piloto que utilicen BIM.</w:t>
            </w:r>
          </w:p>
        </w:tc>
        <w:tc>
          <w:tcPr>
            <w:tcW w:w="1697" w:type="pct"/>
            <w:shd w:val="clear" w:color="auto" w:fill="auto"/>
          </w:tcPr>
          <w:p w14:paraId="00E8CDA6" w14:textId="77777777" w:rsidR="0080080B" w:rsidRDefault="0080080B" w:rsidP="0080080B">
            <w:pPr>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(5.1.3.c) Informe Técnico que dé cuenta de los avances en los proyectos piloto.</w:t>
            </w:r>
          </w:p>
          <w:p w14:paraId="3BC9E6D6" w14:textId="77777777" w:rsidR="0080080B" w:rsidRDefault="0080080B" w:rsidP="0080080B">
            <w:pPr>
              <w:tabs>
                <w:tab w:val="left" w:pos="162"/>
              </w:tabs>
              <w:spacing w:after="120" w:line="240" w:lineRule="auto"/>
              <w:rPr>
                <w:rFonts w:ascii="Arial" w:eastAsia="Times New Roman" w:hAnsi="Arial" w:cs="Arial"/>
                <w:color w:val="000000"/>
                <w:sz w:val="20"/>
                <w:szCs w:val="20"/>
                <w:lang w:val="es-ES_tradnl"/>
              </w:rPr>
            </w:pPr>
          </w:p>
          <w:p w14:paraId="0C39497A" w14:textId="24386E0A" w:rsidR="0080080B" w:rsidRPr="00C92D6B" w:rsidRDefault="0080080B" w:rsidP="0080080B">
            <w:pPr>
              <w:tabs>
                <w:tab w:val="left" w:pos="162"/>
              </w:tabs>
              <w:spacing w:after="120" w:line="240" w:lineRule="auto"/>
              <w:rPr>
                <w:rFonts w:ascii="Arial" w:hAnsi="Arial" w:cs="Arial"/>
                <w:sz w:val="20"/>
                <w:szCs w:val="20"/>
                <w:lang w:val="es-ES_tradnl"/>
              </w:rPr>
            </w:pPr>
            <w:r>
              <w:rPr>
                <w:rFonts w:ascii="Arial" w:eastAsia="Times New Roman" w:hAnsi="Arial" w:cs="Arial"/>
                <w:color w:val="000000"/>
                <w:sz w:val="20"/>
                <w:szCs w:val="20"/>
                <w:lang w:val="es-ES_tradnl"/>
              </w:rPr>
              <w:t>(</w:t>
            </w:r>
            <w:r w:rsidRPr="00C92D6B">
              <w:rPr>
                <w:rFonts w:ascii="Arial" w:hAnsi="Arial" w:cs="Arial"/>
                <w:sz w:val="20"/>
                <w:szCs w:val="20"/>
                <w:lang w:val="es-ES_tradnl"/>
              </w:rPr>
              <w:t>Informe Técnico de la Secretaría de Planificación Territorial y Coordinación de la Obra Pública.</w:t>
            </w:r>
            <w:r>
              <w:rPr>
                <w:rFonts w:ascii="Arial" w:hAnsi="Arial" w:cs="Arial"/>
                <w:sz w:val="20"/>
                <w:szCs w:val="20"/>
                <w:lang w:val="es-ES_tradnl"/>
              </w:rPr>
              <w:t xml:space="preserve"> </w:t>
            </w:r>
            <w:hyperlink r:id="rId19" w:history="1">
              <w:r w:rsidRPr="00C92D6B">
                <w:rPr>
                  <w:rStyle w:val="Hyperlink"/>
                  <w:rFonts w:ascii="Arial" w:eastAsia="Times New Roman" w:hAnsi="Arial" w:cs="Arial"/>
                  <w:sz w:val="20"/>
                  <w:szCs w:val="20"/>
                  <w:lang w:val="es-ES_tradnl"/>
                </w:rPr>
                <w:t>IF-2018-56883448-APN-DNPYDOP#MI</w:t>
              </w:r>
            </w:hyperlink>
            <w:r>
              <w:rPr>
                <w:rFonts w:ascii="Arial" w:eastAsia="Times New Roman" w:hAnsi="Arial" w:cs="Arial"/>
                <w:color w:val="000000"/>
                <w:sz w:val="20"/>
                <w:szCs w:val="20"/>
                <w:lang w:val="es-ES_tradnl"/>
              </w:rPr>
              <w:t>).</w:t>
            </w:r>
          </w:p>
        </w:tc>
        <w:tc>
          <w:tcPr>
            <w:tcW w:w="1120" w:type="pct"/>
            <w:shd w:val="clear" w:color="auto" w:fill="auto"/>
          </w:tcPr>
          <w:p w14:paraId="159CBCA2" w14:textId="56CA269E" w:rsidR="0080080B" w:rsidRPr="00C92D6B" w:rsidRDefault="0080080B" w:rsidP="0080080B">
            <w:pPr>
              <w:tabs>
                <w:tab w:val="left" w:pos="162"/>
              </w:tabs>
              <w:spacing w:after="0" w:line="240" w:lineRule="auto"/>
              <w:rPr>
                <w:rFonts w:ascii="Arial" w:hAnsi="Arial" w:cs="Arial"/>
                <w:sz w:val="20"/>
                <w:szCs w:val="20"/>
                <w:lang w:val="es-ES_tradnl"/>
              </w:rPr>
            </w:pPr>
            <w:r w:rsidRPr="003B5359">
              <w:rPr>
                <w:rFonts w:ascii="Arial" w:hAnsi="Arial" w:cs="Arial"/>
                <w:sz w:val="20"/>
                <w:szCs w:val="20"/>
                <w:lang w:val="es-ES_tradnl"/>
              </w:rPr>
              <w:t>Secretaría de Planificación Territorial y Coordinación de la Obra Pública</w:t>
            </w:r>
            <w:r>
              <w:rPr>
                <w:rFonts w:ascii="Arial" w:hAnsi="Arial" w:cs="Arial"/>
                <w:sz w:val="20"/>
                <w:szCs w:val="20"/>
                <w:lang w:val="es-ES_tradnl"/>
              </w:rPr>
              <w:t>.</w:t>
            </w:r>
          </w:p>
        </w:tc>
      </w:tr>
      <w:tr w:rsidR="0080080B" w:rsidRPr="0057345F" w14:paraId="5119EAF7" w14:textId="77777777" w:rsidTr="00A136C2">
        <w:trPr>
          <w:jc w:val="center"/>
        </w:trPr>
        <w:tc>
          <w:tcPr>
            <w:tcW w:w="1015" w:type="pct"/>
            <w:vMerge/>
            <w:shd w:val="clear" w:color="auto" w:fill="auto"/>
          </w:tcPr>
          <w:p w14:paraId="7DA3DBF2"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p>
        </w:tc>
        <w:tc>
          <w:tcPr>
            <w:tcW w:w="1168" w:type="pct"/>
            <w:shd w:val="clear" w:color="auto" w:fill="auto"/>
          </w:tcPr>
          <w:p w14:paraId="1239E0FB" w14:textId="77777777" w:rsidR="0080080B" w:rsidRPr="00C92D6B" w:rsidRDefault="0080080B" w:rsidP="0080080B">
            <w:pPr>
              <w:tabs>
                <w:tab w:val="left" w:pos="190"/>
              </w:tabs>
              <w:spacing w:after="0" w:line="240" w:lineRule="auto"/>
              <w:rPr>
                <w:rFonts w:ascii="Arial" w:hAnsi="Arial" w:cs="Arial"/>
                <w:b/>
                <w:color w:val="000000"/>
                <w:sz w:val="20"/>
                <w:szCs w:val="20"/>
                <w:lang w:val="es-ES_tradnl"/>
              </w:rPr>
            </w:pPr>
            <w:r w:rsidRPr="00C92D6B">
              <w:rPr>
                <w:rFonts w:ascii="Arial" w:hAnsi="Arial" w:cs="Arial"/>
                <w:b/>
                <w:color w:val="000000"/>
                <w:sz w:val="20"/>
                <w:szCs w:val="20"/>
                <w:lang w:val="es-ES_tradnl"/>
              </w:rPr>
              <w:t>Sector Financiero</w:t>
            </w:r>
          </w:p>
          <w:p w14:paraId="5178BFA5" w14:textId="77777777" w:rsidR="0080080B" w:rsidRPr="00C92D6B" w:rsidRDefault="0080080B" w:rsidP="0080080B">
            <w:pPr>
              <w:tabs>
                <w:tab w:val="left" w:pos="190"/>
              </w:tabs>
              <w:spacing w:after="0" w:line="240" w:lineRule="auto"/>
              <w:rPr>
                <w:rFonts w:ascii="Arial" w:hAnsi="Arial" w:cs="Arial"/>
                <w:b/>
                <w:color w:val="000000"/>
                <w:sz w:val="20"/>
                <w:szCs w:val="20"/>
                <w:lang w:val="es-ES_tradnl"/>
              </w:rPr>
            </w:pPr>
            <w:r w:rsidRPr="00C92D6B">
              <w:rPr>
                <w:rFonts w:ascii="Arial" w:hAnsi="Arial" w:cs="Arial"/>
                <w:color w:val="000000"/>
                <w:sz w:val="20"/>
                <w:szCs w:val="20"/>
                <w:lang w:val="es-ES_tradnl"/>
              </w:rPr>
              <w:t>(5.1.4.) Aprobación de regulaciones para (i) facilitar los medios de pago electrónico, a través de mejorar la interoperabilidad entre cuentas a la vista y servicios de pago (Clave Virtual Uniforme), y (</w:t>
            </w:r>
            <w:proofErr w:type="spellStart"/>
            <w:r w:rsidRPr="00C92D6B">
              <w:rPr>
                <w:rFonts w:ascii="Arial" w:hAnsi="Arial" w:cs="Arial"/>
                <w:color w:val="000000"/>
                <w:sz w:val="20"/>
                <w:szCs w:val="20"/>
                <w:lang w:val="es-ES_tradnl"/>
              </w:rPr>
              <w:t>ii</w:t>
            </w:r>
            <w:proofErr w:type="spellEnd"/>
            <w:r w:rsidRPr="00C92D6B">
              <w:rPr>
                <w:rFonts w:ascii="Arial" w:hAnsi="Arial" w:cs="Arial"/>
                <w:color w:val="000000"/>
                <w:sz w:val="20"/>
                <w:szCs w:val="20"/>
                <w:lang w:val="es-ES_tradnl"/>
              </w:rPr>
              <w:t>) la adopción de un estándar para pagos a través de código de respuesta rápida (QR, por sus siglas en inglés).</w:t>
            </w:r>
          </w:p>
        </w:tc>
        <w:tc>
          <w:tcPr>
            <w:tcW w:w="1697" w:type="pct"/>
            <w:shd w:val="clear" w:color="auto" w:fill="auto"/>
          </w:tcPr>
          <w:p w14:paraId="472F9363"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(5.1.4) Copia de las Circulares del Banco Central de la República Argentina que establecen la CVU y el estándar para pagos a través de código QR.</w:t>
            </w:r>
          </w:p>
          <w:p w14:paraId="5B84820E" w14:textId="77777777" w:rsidR="0080080B" w:rsidRPr="00A136C2" w:rsidRDefault="0080080B" w:rsidP="0080080B">
            <w:pPr>
              <w:tabs>
                <w:tab w:val="left" w:pos="162"/>
              </w:tabs>
              <w:spacing w:after="0" w:line="240" w:lineRule="auto"/>
              <w:rPr>
                <w:rFonts w:ascii="Arial" w:hAnsi="Arial" w:cs="Arial"/>
                <w:color w:val="000000"/>
                <w:sz w:val="20"/>
                <w:szCs w:val="20"/>
                <w:lang w:val="pt-BR"/>
              </w:rPr>
            </w:pPr>
            <w:r w:rsidRPr="00A136C2">
              <w:rPr>
                <w:rFonts w:ascii="Arial" w:eastAsia="Times New Roman" w:hAnsi="Arial" w:cs="Arial"/>
                <w:color w:val="000000"/>
                <w:sz w:val="20"/>
                <w:szCs w:val="20"/>
                <w:lang w:val="pt-BR"/>
              </w:rPr>
              <w:t>(</w:t>
            </w:r>
            <w:r w:rsidRPr="00A136C2">
              <w:rPr>
                <w:rFonts w:ascii="Arial" w:hAnsi="Arial" w:cs="Arial"/>
                <w:sz w:val="20"/>
                <w:szCs w:val="20"/>
                <w:lang w:val="pt-BR"/>
              </w:rPr>
              <w:t xml:space="preserve">Circular No. </w:t>
            </w:r>
            <w:r w:rsidRPr="00A136C2">
              <w:rPr>
                <w:rFonts w:ascii="Arial" w:hAnsi="Arial" w:cs="Arial"/>
                <w:color w:val="000000"/>
                <w:sz w:val="20"/>
                <w:szCs w:val="20"/>
                <w:lang w:val="pt-BR"/>
              </w:rPr>
              <w:t>SINAP 1–70.</w:t>
            </w:r>
          </w:p>
          <w:p w14:paraId="205CFB34" w14:textId="5A88ABF3" w:rsidR="0080080B" w:rsidRPr="00A136C2" w:rsidRDefault="0080080B" w:rsidP="0080080B">
            <w:pPr>
              <w:tabs>
                <w:tab w:val="left" w:pos="162"/>
              </w:tabs>
              <w:spacing w:after="0" w:line="240" w:lineRule="auto"/>
              <w:rPr>
                <w:rFonts w:ascii="Arial" w:eastAsia="Times New Roman" w:hAnsi="Arial" w:cs="Arial"/>
                <w:color w:val="000000"/>
                <w:sz w:val="20"/>
                <w:szCs w:val="20"/>
                <w:lang w:val="pt-BR"/>
              </w:rPr>
            </w:pPr>
            <w:r w:rsidRPr="00A136C2">
              <w:rPr>
                <w:rFonts w:ascii="Arial" w:hAnsi="Arial" w:cs="Arial"/>
                <w:color w:val="000000"/>
                <w:sz w:val="20"/>
                <w:szCs w:val="20"/>
                <w:lang w:val="pt-BR"/>
              </w:rPr>
              <w:t>Circular RUNOR 1-1369</w:t>
            </w:r>
            <w:r w:rsidRPr="00A136C2">
              <w:rPr>
                <w:rFonts w:ascii="Arial" w:eastAsia="Times New Roman" w:hAnsi="Arial" w:cs="Arial"/>
                <w:color w:val="000000"/>
                <w:sz w:val="20"/>
                <w:szCs w:val="20"/>
                <w:lang w:val="pt-BR"/>
              </w:rPr>
              <w:t>)</w:t>
            </w:r>
            <w:r>
              <w:rPr>
                <w:rFonts w:ascii="Arial" w:eastAsia="Times New Roman" w:hAnsi="Arial" w:cs="Arial"/>
                <w:color w:val="000000"/>
                <w:sz w:val="20"/>
                <w:szCs w:val="20"/>
                <w:lang w:val="pt-BR"/>
              </w:rPr>
              <w:t>.</w:t>
            </w:r>
          </w:p>
        </w:tc>
        <w:tc>
          <w:tcPr>
            <w:tcW w:w="1120" w:type="pct"/>
            <w:shd w:val="clear" w:color="auto" w:fill="auto"/>
          </w:tcPr>
          <w:p w14:paraId="7795E2BF" w14:textId="2EE6DFEF" w:rsidR="0080080B" w:rsidRPr="00C92D6B" w:rsidRDefault="0080080B" w:rsidP="0080080B">
            <w:pPr>
              <w:tabs>
                <w:tab w:val="left" w:pos="162"/>
              </w:tabs>
              <w:spacing w:after="0" w:line="240" w:lineRule="auto"/>
              <w:rPr>
                <w:rFonts w:ascii="Arial" w:hAnsi="Arial" w:cs="Arial"/>
                <w:sz w:val="20"/>
                <w:szCs w:val="20"/>
                <w:lang w:val="es-ES_tradnl"/>
              </w:rPr>
            </w:pPr>
            <w:r>
              <w:rPr>
                <w:rFonts w:ascii="Arial" w:hAnsi="Arial" w:cs="Arial"/>
                <w:sz w:val="20"/>
                <w:szCs w:val="20"/>
                <w:lang w:val="es-ES_tradnl"/>
              </w:rPr>
              <w:t>Banco Central de la República</w:t>
            </w:r>
          </w:p>
        </w:tc>
      </w:tr>
      <w:tr w:rsidR="0080080B" w:rsidRPr="0057345F" w14:paraId="0452B8FC" w14:textId="77777777" w:rsidTr="00CA2632">
        <w:trPr>
          <w:jc w:val="center"/>
        </w:trPr>
        <w:tc>
          <w:tcPr>
            <w:tcW w:w="1015" w:type="pct"/>
            <w:vMerge w:val="restart"/>
            <w:shd w:val="clear" w:color="auto" w:fill="auto"/>
          </w:tcPr>
          <w:p w14:paraId="531F37C5" w14:textId="77777777" w:rsidR="0080080B" w:rsidRPr="00C92D6B" w:rsidRDefault="0080080B" w:rsidP="0080080B">
            <w:pPr>
              <w:tabs>
                <w:tab w:val="left" w:pos="342"/>
              </w:tabs>
              <w:spacing w:after="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Promoción del talento para la transformación digital.</w:t>
            </w:r>
          </w:p>
        </w:tc>
        <w:tc>
          <w:tcPr>
            <w:tcW w:w="1168" w:type="pct"/>
            <w:shd w:val="clear" w:color="auto" w:fill="auto"/>
          </w:tcPr>
          <w:p w14:paraId="6FAB5C20" w14:textId="77777777" w:rsidR="0080080B" w:rsidRPr="00C92D6B" w:rsidRDefault="0080080B" w:rsidP="0080080B">
            <w:pPr>
              <w:tabs>
                <w:tab w:val="left" w:pos="190"/>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(5.1.5) Elaboración de una p</w:t>
            </w:r>
            <w:r w:rsidRPr="00C92D6B" w:rsidDel="006B08A3">
              <w:rPr>
                <w:rFonts w:ascii="Arial" w:hAnsi="Arial" w:cs="Arial"/>
                <w:color w:val="000000"/>
                <w:sz w:val="20"/>
                <w:szCs w:val="20"/>
                <w:lang w:val="es-ES_tradnl"/>
              </w:rPr>
              <w:t xml:space="preserve">ropuesta de </w:t>
            </w:r>
            <w:r w:rsidRPr="00C92D6B">
              <w:rPr>
                <w:rFonts w:ascii="Arial" w:hAnsi="Arial" w:cs="Arial"/>
                <w:color w:val="000000"/>
                <w:sz w:val="20"/>
                <w:szCs w:val="20"/>
                <w:lang w:val="es-ES_tradnl"/>
              </w:rPr>
              <w:t xml:space="preserve">reforma del Programa 111.000 destinado a formar programadores, profesionales y emprendedores, para mejorar su vinculación a empresas. </w:t>
            </w:r>
          </w:p>
        </w:tc>
        <w:tc>
          <w:tcPr>
            <w:tcW w:w="1697" w:type="pct"/>
            <w:shd w:val="clear" w:color="auto" w:fill="auto"/>
          </w:tcPr>
          <w:p w14:paraId="1BFA367B" w14:textId="77777777" w:rsidR="0080080B" w:rsidRDefault="0080080B" w:rsidP="0080080B">
            <w:pPr>
              <w:tabs>
                <w:tab w:val="left" w:pos="162"/>
              </w:tabs>
              <w:spacing w:after="120" w:line="240" w:lineRule="auto"/>
              <w:rPr>
                <w:rFonts w:ascii="Arial" w:eastAsia="Times New Roman" w:hAnsi="Arial" w:cs="Arial"/>
                <w:color w:val="000000"/>
                <w:sz w:val="20"/>
                <w:szCs w:val="20"/>
                <w:lang w:val="es-ES_tradnl"/>
              </w:rPr>
            </w:pPr>
            <w:r w:rsidRPr="00C92D6B">
              <w:rPr>
                <w:rFonts w:ascii="Arial" w:hAnsi="Arial" w:cs="Arial"/>
                <w:color w:val="000000"/>
                <w:sz w:val="20"/>
                <w:szCs w:val="20"/>
                <w:lang w:val="es-ES_tradnl"/>
              </w:rPr>
              <w:t xml:space="preserve">(5.1.5) Copia del </w:t>
            </w:r>
            <w:r w:rsidRPr="00C92D6B">
              <w:rPr>
                <w:rFonts w:ascii="Arial" w:eastAsia="Times New Roman" w:hAnsi="Arial" w:cs="Arial"/>
                <w:color w:val="000000"/>
                <w:sz w:val="20"/>
                <w:szCs w:val="20"/>
                <w:lang w:val="es-ES_tradnl"/>
              </w:rPr>
              <w:t xml:space="preserve">Informe Técnico que contenga la propuesta de reforma del programa. </w:t>
            </w:r>
          </w:p>
          <w:p w14:paraId="3A12C167" w14:textId="798E1355" w:rsidR="0080080B" w:rsidRPr="00C92D6B" w:rsidRDefault="0080080B" w:rsidP="0080080B">
            <w:pPr>
              <w:tabs>
                <w:tab w:val="left" w:pos="162"/>
              </w:tabs>
              <w:spacing w:after="120" w:line="240" w:lineRule="auto"/>
              <w:rPr>
                <w:rFonts w:ascii="Arial" w:hAnsi="Arial" w:cs="Arial"/>
                <w:sz w:val="20"/>
                <w:szCs w:val="20"/>
                <w:lang w:val="es-ES_tradnl"/>
              </w:rPr>
            </w:pPr>
            <w:r>
              <w:rPr>
                <w:rFonts w:ascii="Arial" w:eastAsia="Times New Roman" w:hAnsi="Arial" w:cs="Arial"/>
                <w:color w:val="000000"/>
                <w:sz w:val="20"/>
                <w:szCs w:val="20"/>
                <w:lang w:val="es-ES_tradnl"/>
              </w:rPr>
              <w:t>(</w:t>
            </w:r>
            <w:r w:rsidRPr="00C92D6B">
              <w:rPr>
                <w:rFonts w:ascii="Arial" w:hAnsi="Arial" w:cs="Arial"/>
                <w:sz w:val="20"/>
                <w:szCs w:val="20"/>
                <w:lang w:val="es-ES_tradnl"/>
              </w:rPr>
              <w:t>Informe Técnico de la Secretaría de Emprendedores y PyME.</w:t>
            </w:r>
            <w:r>
              <w:rPr>
                <w:rFonts w:ascii="Arial" w:hAnsi="Arial" w:cs="Arial"/>
                <w:sz w:val="20"/>
                <w:szCs w:val="20"/>
                <w:lang w:val="es-ES_tradnl"/>
              </w:rPr>
              <w:t xml:space="preserve"> </w:t>
            </w:r>
            <w:hyperlink r:id="rId20" w:history="1">
              <w:r w:rsidRPr="00CA2632">
                <w:rPr>
                  <w:rStyle w:val="Hyperlink"/>
                  <w:rFonts w:ascii="Arial" w:hAnsi="Arial" w:cs="Arial"/>
                  <w:spacing w:val="-6"/>
                  <w:sz w:val="20"/>
                  <w:lang w:val="es-ES_tradnl"/>
                </w:rPr>
                <w:t>IF˗2018˗55421528˗APN˗SECPYME#MPYT</w:t>
              </w:r>
            </w:hyperlink>
            <w:r w:rsidRPr="00CA2632">
              <w:rPr>
                <w:rFonts w:ascii="Arial" w:eastAsia="Times New Roman" w:hAnsi="Arial" w:cs="Arial"/>
                <w:color w:val="000000"/>
                <w:spacing w:val="-6"/>
                <w:sz w:val="20"/>
                <w:szCs w:val="20"/>
                <w:lang w:val="es-ES_tradnl"/>
              </w:rPr>
              <w:t>).</w:t>
            </w:r>
          </w:p>
        </w:tc>
        <w:tc>
          <w:tcPr>
            <w:tcW w:w="1120" w:type="pct"/>
            <w:shd w:val="clear" w:color="auto" w:fill="auto"/>
          </w:tcPr>
          <w:p w14:paraId="12BD542B" w14:textId="03201E26" w:rsidR="0080080B" w:rsidRPr="00C92D6B" w:rsidRDefault="0080080B" w:rsidP="0080080B">
            <w:pPr>
              <w:tabs>
                <w:tab w:val="left" w:pos="162"/>
              </w:tabs>
              <w:spacing w:after="0" w:line="240" w:lineRule="auto"/>
              <w:rPr>
                <w:rFonts w:ascii="Arial" w:hAnsi="Arial" w:cs="Arial"/>
                <w:sz w:val="20"/>
                <w:szCs w:val="20"/>
                <w:lang w:val="es-ES_tradnl"/>
              </w:rPr>
            </w:pPr>
            <w:r w:rsidRPr="003B5359">
              <w:rPr>
                <w:rFonts w:ascii="Arial" w:hAnsi="Arial" w:cs="Arial"/>
                <w:sz w:val="20"/>
                <w:szCs w:val="20"/>
                <w:lang w:val="es-ES_tradnl"/>
              </w:rPr>
              <w:t>Secretaría de Emprendedores y PyME</w:t>
            </w:r>
            <w:r>
              <w:rPr>
                <w:rFonts w:ascii="Arial" w:hAnsi="Arial" w:cs="Arial"/>
                <w:sz w:val="20"/>
                <w:szCs w:val="20"/>
                <w:lang w:val="es-ES_tradnl"/>
              </w:rPr>
              <w:t>.</w:t>
            </w:r>
          </w:p>
        </w:tc>
      </w:tr>
      <w:tr w:rsidR="0080080B" w:rsidRPr="0057345F" w14:paraId="086FE365" w14:textId="77777777" w:rsidTr="00A136C2">
        <w:trPr>
          <w:jc w:val="center"/>
        </w:trPr>
        <w:tc>
          <w:tcPr>
            <w:tcW w:w="1015" w:type="pct"/>
            <w:vMerge/>
            <w:shd w:val="clear" w:color="auto" w:fill="auto"/>
          </w:tcPr>
          <w:p w14:paraId="7FDB41DF" w14:textId="77777777" w:rsidR="0080080B" w:rsidRPr="00C92D6B" w:rsidRDefault="0080080B" w:rsidP="0080080B">
            <w:pPr>
              <w:tabs>
                <w:tab w:val="left" w:pos="342"/>
              </w:tabs>
              <w:spacing w:after="0" w:line="240" w:lineRule="auto"/>
              <w:rPr>
                <w:rFonts w:ascii="Arial" w:hAnsi="Arial" w:cs="Arial"/>
                <w:color w:val="000000"/>
                <w:sz w:val="20"/>
                <w:szCs w:val="20"/>
                <w:lang w:val="es-ES_tradnl"/>
              </w:rPr>
            </w:pPr>
          </w:p>
        </w:tc>
        <w:tc>
          <w:tcPr>
            <w:tcW w:w="1168" w:type="pct"/>
            <w:shd w:val="clear" w:color="auto" w:fill="auto"/>
          </w:tcPr>
          <w:p w14:paraId="197AFF86" w14:textId="7FD27BC8" w:rsidR="0080080B" w:rsidRPr="00C92D6B" w:rsidDel="006B08A3" w:rsidRDefault="0080080B" w:rsidP="0080080B">
            <w:pPr>
              <w:tabs>
                <w:tab w:val="left" w:pos="190"/>
              </w:tabs>
              <w:spacing w:after="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 xml:space="preserve">(5.1.6) </w:t>
            </w:r>
            <w:r>
              <w:rPr>
                <w:rFonts w:ascii="Arial" w:hAnsi="Arial" w:cs="Arial"/>
                <w:color w:val="000000"/>
                <w:sz w:val="20"/>
                <w:szCs w:val="20"/>
                <w:lang w:val="es-ES_tradnl"/>
              </w:rPr>
              <w:t>P</w:t>
            </w:r>
            <w:r w:rsidRPr="00A91716">
              <w:rPr>
                <w:rFonts w:ascii="Arial" w:hAnsi="Arial" w:cs="Arial"/>
                <w:color w:val="000000"/>
                <w:sz w:val="20"/>
                <w:szCs w:val="20"/>
                <w:lang w:val="es-ES_tradnl"/>
              </w:rPr>
              <w:t xml:space="preserve">resentación al Congreso de la Nación Argentina del Proyecto de Ley que incluye </w:t>
            </w:r>
            <w:r>
              <w:rPr>
                <w:rFonts w:ascii="Arial" w:hAnsi="Arial" w:cs="Arial"/>
                <w:color w:val="000000"/>
                <w:sz w:val="20"/>
                <w:szCs w:val="20"/>
                <w:lang w:val="es-ES_tradnl"/>
              </w:rPr>
              <w:t xml:space="preserve">la </w:t>
            </w:r>
            <w:r w:rsidRPr="00C92D6B">
              <w:rPr>
                <w:rFonts w:ascii="Arial" w:hAnsi="Arial" w:cs="Arial"/>
                <w:color w:val="000000"/>
                <w:sz w:val="20"/>
                <w:szCs w:val="20"/>
                <w:lang w:val="es-ES_tradnl"/>
              </w:rPr>
              <w:t>creación del Instituto Nacional de Formación Laboral, del documento de identidad ocupacional y de la Red Federal de Servicios de Empleo.</w:t>
            </w:r>
          </w:p>
        </w:tc>
        <w:tc>
          <w:tcPr>
            <w:tcW w:w="1697" w:type="pct"/>
            <w:shd w:val="clear" w:color="auto" w:fill="auto"/>
          </w:tcPr>
          <w:p w14:paraId="7D6D387A" w14:textId="77777777" w:rsidR="0080080B" w:rsidRDefault="0080080B" w:rsidP="0080080B">
            <w:pPr>
              <w:tabs>
                <w:tab w:val="left" w:pos="162"/>
              </w:tabs>
              <w:spacing w:after="120" w:line="240" w:lineRule="auto"/>
              <w:rPr>
                <w:rFonts w:ascii="Arial" w:hAnsi="Arial" w:cs="Arial"/>
                <w:color w:val="000000"/>
                <w:sz w:val="20"/>
                <w:szCs w:val="20"/>
                <w:lang w:val="es-ES_tradnl"/>
              </w:rPr>
            </w:pPr>
            <w:r w:rsidRPr="00C92D6B">
              <w:rPr>
                <w:rFonts w:ascii="Arial" w:hAnsi="Arial" w:cs="Arial"/>
                <w:color w:val="000000"/>
                <w:sz w:val="20"/>
                <w:szCs w:val="20"/>
                <w:lang w:val="es-ES_tradnl"/>
              </w:rPr>
              <w:t>(5.1.6) Copia del expediente del Senado de la Nación que contiene el Proyecto de Ley de Capacitación laboral continua, transición entre el sistema educativo formal y el trabajo, fomento del empleo juvenil y entrenamiento laboral.</w:t>
            </w:r>
          </w:p>
          <w:p w14:paraId="1EA986BB" w14:textId="48395DB9" w:rsidR="0080080B" w:rsidRPr="00C92D6B" w:rsidRDefault="0080080B" w:rsidP="0080080B">
            <w:pPr>
              <w:tabs>
                <w:tab w:val="left" w:pos="162"/>
              </w:tabs>
              <w:spacing w:after="0" w:line="240" w:lineRule="auto"/>
              <w:rPr>
                <w:rFonts w:ascii="Arial" w:eastAsia="Times New Roman" w:hAnsi="Arial" w:cs="Arial"/>
                <w:color w:val="000000"/>
                <w:sz w:val="20"/>
                <w:szCs w:val="20"/>
                <w:lang w:val="es-ES_tradnl"/>
              </w:rPr>
            </w:pPr>
            <w:r>
              <w:rPr>
                <w:rFonts w:ascii="Arial" w:eastAsia="Times New Roman" w:hAnsi="Arial" w:cs="Arial"/>
                <w:color w:val="000000"/>
                <w:sz w:val="20"/>
                <w:szCs w:val="20"/>
                <w:lang w:val="es-ES_tradnl"/>
              </w:rPr>
              <w:t>(</w:t>
            </w:r>
            <w:r w:rsidRPr="00C92D6B">
              <w:rPr>
                <w:rFonts w:ascii="Arial" w:hAnsi="Arial" w:cs="Arial"/>
                <w:color w:val="000000"/>
                <w:sz w:val="20"/>
                <w:szCs w:val="20"/>
                <w:lang w:val="es-ES_tradnl"/>
              </w:rPr>
              <w:t>Copia del expediente del Senado de la Nación No. 1380/18</w:t>
            </w:r>
            <w:r>
              <w:rPr>
                <w:rFonts w:ascii="Arial" w:eastAsia="Times New Roman" w:hAnsi="Arial" w:cs="Arial"/>
                <w:color w:val="000000"/>
                <w:sz w:val="20"/>
                <w:szCs w:val="20"/>
                <w:lang w:val="es-ES_tradnl"/>
              </w:rPr>
              <w:t>).</w:t>
            </w:r>
          </w:p>
        </w:tc>
        <w:tc>
          <w:tcPr>
            <w:tcW w:w="1120" w:type="pct"/>
            <w:shd w:val="clear" w:color="auto" w:fill="auto"/>
          </w:tcPr>
          <w:p w14:paraId="3ADEDE00" w14:textId="05032C7A" w:rsidR="0080080B" w:rsidRPr="00C92D6B" w:rsidRDefault="0080080B" w:rsidP="0080080B">
            <w:pPr>
              <w:tabs>
                <w:tab w:val="left" w:pos="162"/>
              </w:tabs>
              <w:spacing w:after="0" w:line="240" w:lineRule="auto"/>
              <w:rPr>
                <w:rFonts w:ascii="Arial" w:eastAsia="Times New Roman" w:hAnsi="Arial" w:cs="Arial"/>
                <w:color w:val="000000"/>
                <w:sz w:val="20"/>
                <w:szCs w:val="20"/>
                <w:lang w:val="es-ES_tradnl"/>
              </w:rPr>
            </w:pPr>
            <w:r w:rsidRPr="00C92D6B">
              <w:rPr>
                <w:rFonts w:ascii="Arial" w:eastAsia="Times New Roman" w:hAnsi="Arial" w:cs="Arial"/>
                <w:color w:val="000000"/>
                <w:sz w:val="20"/>
                <w:szCs w:val="20"/>
                <w:lang w:val="es-ES_tradnl"/>
              </w:rPr>
              <w:t>Secretaría de Gobierno de Trabajo y Empleo.</w:t>
            </w:r>
          </w:p>
          <w:p w14:paraId="12F77A26" w14:textId="77777777" w:rsidR="0080080B" w:rsidRPr="00C92D6B" w:rsidRDefault="0080080B" w:rsidP="0080080B">
            <w:pPr>
              <w:tabs>
                <w:tab w:val="left" w:pos="162"/>
              </w:tabs>
              <w:spacing w:after="0" w:line="240" w:lineRule="auto"/>
              <w:rPr>
                <w:rFonts w:ascii="Arial" w:hAnsi="Arial" w:cs="Arial"/>
                <w:sz w:val="20"/>
                <w:szCs w:val="20"/>
                <w:lang w:val="es-ES_tradnl"/>
              </w:rPr>
            </w:pPr>
          </w:p>
        </w:tc>
      </w:tr>
    </w:tbl>
    <w:p w14:paraId="35AD779D" w14:textId="6DC8152A" w:rsidR="00136682" w:rsidRPr="00C92D6B" w:rsidRDefault="00136682" w:rsidP="00136682">
      <w:pPr>
        <w:rPr>
          <w:rFonts w:ascii="Times New Roman" w:hAnsi="Times New Roman" w:cs="Times New Roman"/>
          <w:color w:val="000000" w:themeColor="text1"/>
          <w:sz w:val="20"/>
          <w:szCs w:val="20"/>
          <w:lang w:val="es-ES_tradnl"/>
        </w:rPr>
      </w:pPr>
    </w:p>
    <w:p w14:paraId="5AD29CFF" w14:textId="1435C4B5" w:rsidR="004C3721" w:rsidRPr="00C92D6B" w:rsidRDefault="004C3721" w:rsidP="0090743C">
      <w:pPr>
        <w:rPr>
          <w:rFonts w:ascii="Times New Roman" w:hAnsi="Times New Roman" w:cs="Times New Roman"/>
          <w:color w:val="000000" w:themeColor="text1"/>
          <w:sz w:val="20"/>
          <w:szCs w:val="20"/>
          <w:lang w:val="es-ES_tradnl"/>
        </w:rPr>
      </w:pPr>
    </w:p>
    <w:sectPr w:rsidR="004C3721" w:rsidRPr="00C92D6B" w:rsidSect="00F11F41">
      <w:headerReference w:type="default" r:id="rId21"/>
      <w:footerReference w:type="defaul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DCCB0" w14:textId="77777777" w:rsidR="00D74B47" w:rsidRDefault="00D74B47" w:rsidP="00A3647F">
      <w:pPr>
        <w:spacing w:after="0" w:line="240" w:lineRule="auto"/>
      </w:pPr>
      <w:r>
        <w:separator/>
      </w:r>
    </w:p>
  </w:endnote>
  <w:endnote w:type="continuationSeparator" w:id="0">
    <w:p w14:paraId="4B6C6D1D" w14:textId="77777777" w:rsidR="00D74B47" w:rsidRDefault="00D74B47" w:rsidP="00A3647F">
      <w:pPr>
        <w:spacing w:after="0" w:line="240" w:lineRule="auto"/>
      </w:pPr>
      <w:r>
        <w:continuationSeparator/>
      </w:r>
    </w:p>
  </w:endnote>
  <w:endnote w:type="continuationNotice" w:id="1">
    <w:p w14:paraId="13F9A3B7" w14:textId="77777777" w:rsidR="00D74B47" w:rsidRDefault="00D74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163C" w14:textId="77777777" w:rsidR="00EE1D8F" w:rsidRDefault="00EE1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74867" w14:textId="77777777" w:rsidR="00D74B47" w:rsidRDefault="00D74B47" w:rsidP="00A3647F">
      <w:pPr>
        <w:spacing w:after="0" w:line="240" w:lineRule="auto"/>
      </w:pPr>
      <w:r>
        <w:separator/>
      </w:r>
    </w:p>
  </w:footnote>
  <w:footnote w:type="continuationSeparator" w:id="0">
    <w:p w14:paraId="1A157703" w14:textId="77777777" w:rsidR="00D74B47" w:rsidRDefault="00D74B47" w:rsidP="00A3647F">
      <w:pPr>
        <w:spacing w:after="0" w:line="240" w:lineRule="auto"/>
      </w:pPr>
      <w:r>
        <w:continuationSeparator/>
      </w:r>
    </w:p>
  </w:footnote>
  <w:footnote w:type="continuationNotice" w:id="1">
    <w:p w14:paraId="011A3424" w14:textId="77777777" w:rsidR="00D74B47" w:rsidRDefault="00D74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A3AEE" w14:textId="77777777" w:rsidR="007D18CA" w:rsidRDefault="007D18CA" w:rsidP="001D536A">
    <w:pPr>
      <w:pStyle w:val="Header"/>
      <w:jc w:val="right"/>
      <w:rPr>
        <w:rFonts w:ascii="Arial" w:hAnsi="Arial" w:cs="Arial"/>
        <w:sz w:val="18"/>
        <w:szCs w:val="18"/>
      </w:rPr>
    </w:pPr>
    <w:r>
      <w:rPr>
        <w:rFonts w:ascii="Arial" w:hAnsi="Arial" w:cs="Arial"/>
        <w:sz w:val="18"/>
        <w:szCs w:val="18"/>
      </w:rPr>
      <w:t>AR-L1304</w:t>
    </w:r>
  </w:p>
  <w:p w14:paraId="6143AE6D" w14:textId="1A451A77" w:rsidR="007D18CA" w:rsidRPr="001D536A" w:rsidRDefault="007D18CA" w:rsidP="001D536A">
    <w:pPr>
      <w:pStyle w:val="Header"/>
      <w:jc w:val="right"/>
      <w:rPr>
        <w:rFonts w:ascii="Arial" w:hAnsi="Arial" w:cs="Arial"/>
        <w:sz w:val="18"/>
        <w:szCs w:val="18"/>
      </w:rPr>
    </w:pPr>
    <w:proofErr w:type="spellStart"/>
    <w:r>
      <w:rPr>
        <w:rFonts w:ascii="Arial" w:hAnsi="Arial" w:cs="Arial"/>
        <w:sz w:val="18"/>
        <w:szCs w:val="18"/>
      </w:rPr>
      <w:t>Página</w:t>
    </w:r>
    <w:proofErr w:type="spellEnd"/>
    <w:r>
      <w:rPr>
        <w:rFonts w:ascii="Arial" w:hAnsi="Arial" w:cs="Arial"/>
        <w:sz w:val="18"/>
        <w:szCs w:val="18"/>
      </w:rPr>
      <w:t xml:space="preserve"> </w:t>
    </w:r>
    <w:r w:rsidRPr="001D536A">
      <w:rPr>
        <w:rFonts w:ascii="Arial" w:hAnsi="Arial" w:cs="Arial"/>
        <w:bCs/>
        <w:sz w:val="18"/>
        <w:szCs w:val="18"/>
      </w:rPr>
      <w:fldChar w:fldCharType="begin"/>
    </w:r>
    <w:r w:rsidRPr="001D536A">
      <w:rPr>
        <w:rFonts w:ascii="Arial" w:hAnsi="Arial" w:cs="Arial"/>
        <w:bCs/>
        <w:sz w:val="18"/>
        <w:szCs w:val="18"/>
      </w:rPr>
      <w:instrText xml:space="preserve"> PAGE  \* Arabic  \* MERGEFORMAT </w:instrText>
    </w:r>
    <w:r w:rsidRPr="001D536A">
      <w:rPr>
        <w:rFonts w:ascii="Arial" w:hAnsi="Arial" w:cs="Arial"/>
        <w:bCs/>
        <w:sz w:val="18"/>
        <w:szCs w:val="18"/>
      </w:rPr>
      <w:fldChar w:fldCharType="separate"/>
    </w:r>
    <w:r w:rsidR="00D34A1F">
      <w:rPr>
        <w:rFonts w:ascii="Arial" w:hAnsi="Arial" w:cs="Arial"/>
        <w:bCs/>
        <w:noProof/>
        <w:sz w:val="18"/>
        <w:szCs w:val="18"/>
      </w:rPr>
      <w:t>7</w:t>
    </w:r>
    <w:r w:rsidRPr="001D536A">
      <w:rPr>
        <w:rFonts w:ascii="Arial" w:hAnsi="Arial" w:cs="Arial"/>
        <w:bCs/>
        <w:sz w:val="18"/>
        <w:szCs w:val="18"/>
      </w:rPr>
      <w:fldChar w:fldCharType="end"/>
    </w:r>
    <w:r w:rsidRPr="00A55692">
      <w:rPr>
        <w:rFonts w:ascii="Arial" w:hAnsi="Arial" w:cs="Arial"/>
        <w:sz w:val="18"/>
        <w:szCs w:val="18"/>
      </w:rPr>
      <w:t xml:space="preserve"> de </w:t>
    </w:r>
    <w:r w:rsidRPr="001D536A">
      <w:rPr>
        <w:rFonts w:ascii="Arial" w:hAnsi="Arial" w:cs="Arial"/>
        <w:bCs/>
        <w:sz w:val="18"/>
        <w:szCs w:val="18"/>
      </w:rPr>
      <w:fldChar w:fldCharType="begin"/>
    </w:r>
    <w:r w:rsidRPr="001D536A">
      <w:rPr>
        <w:rFonts w:ascii="Arial" w:hAnsi="Arial" w:cs="Arial"/>
        <w:bCs/>
        <w:sz w:val="18"/>
        <w:szCs w:val="18"/>
      </w:rPr>
      <w:instrText xml:space="preserve"> NUMPAGES  \* Arabic  \* MERGEFORMAT </w:instrText>
    </w:r>
    <w:r w:rsidRPr="001D536A">
      <w:rPr>
        <w:rFonts w:ascii="Arial" w:hAnsi="Arial" w:cs="Arial"/>
        <w:bCs/>
        <w:sz w:val="18"/>
        <w:szCs w:val="18"/>
      </w:rPr>
      <w:fldChar w:fldCharType="separate"/>
    </w:r>
    <w:r w:rsidR="00D34A1F">
      <w:rPr>
        <w:rFonts w:ascii="Arial" w:hAnsi="Arial" w:cs="Arial"/>
        <w:bCs/>
        <w:noProof/>
        <w:sz w:val="18"/>
        <w:szCs w:val="18"/>
      </w:rPr>
      <w:t>7</w:t>
    </w:r>
    <w:r w:rsidRPr="001D536A">
      <w:rPr>
        <w:rFonts w:ascii="Arial" w:hAnsi="Arial" w:cs="Arial"/>
        <w:bC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12EB"/>
    <w:multiLevelType w:val="hybridMultilevel"/>
    <w:tmpl w:val="DF1493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E2EBF"/>
    <w:multiLevelType w:val="hybridMultilevel"/>
    <w:tmpl w:val="6EE852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F5C6F"/>
    <w:multiLevelType w:val="hybridMultilevel"/>
    <w:tmpl w:val="EC946794"/>
    <w:lvl w:ilvl="0" w:tplc="CD409A48">
      <w:start w:val="1"/>
      <w:numFmt w:val="decimal"/>
      <w:lvlText w:val="%1."/>
      <w:lvlJc w:val="left"/>
      <w:pPr>
        <w:ind w:left="550" w:hanging="360"/>
      </w:pPr>
      <w:rPr>
        <w:rFonts w:hint="default"/>
        <w:i w:val="0"/>
      </w:rPr>
    </w:lvl>
    <w:lvl w:ilvl="1" w:tplc="2C0A0019" w:tentative="1">
      <w:start w:val="1"/>
      <w:numFmt w:val="lowerLetter"/>
      <w:lvlText w:val="%2."/>
      <w:lvlJc w:val="left"/>
      <w:pPr>
        <w:ind w:left="1270" w:hanging="360"/>
      </w:pPr>
    </w:lvl>
    <w:lvl w:ilvl="2" w:tplc="2C0A001B" w:tentative="1">
      <w:start w:val="1"/>
      <w:numFmt w:val="lowerRoman"/>
      <w:lvlText w:val="%3."/>
      <w:lvlJc w:val="right"/>
      <w:pPr>
        <w:ind w:left="1990" w:hanging="180"/>
      </w:pPr>
    </w:lvl>
    <w:lvl w:ilvl="3" w:tplc="2C0A000F" w:tentative="1">
      <w:start w:val="1"/>
      <w:numFmt w:val="decimal"/>
      <w:lvlText w:val="%4."/>
      <w:lvlJc w:val="left"/>
      <w:pPr>
        <w:ind w:left="2710" w:hanging="360"/>
      </w:pPr>
    </w:lvl>
    <w:lvl w:ilvl="4" w:tplc="2C0A0019" w:tentative="1">
      <w:start w:val="1"/>
      <w:numFmt w:val="lowerLetter"/>
      <w:lvlText w:val="%5."/>
      <w:lvlJc w:val="left"/>
      <w:pPr>
        <w:ind w:left="3430" w:hanging="360"/>
      </w:pPr>
    </w:lvl>
    <w:lvl w:ilvl="5" w:tplc="2C0A001B" w:tentative="1">
      <w:start w:val="1"/>
      <w:numFmt w:val="lowerRoman"/>
      <w:lvlText w:val="%6."/>
      <w:lvlJc w:val="right"/>
      <w:pPr>
        <w:ind w:left="4150" w:hanging="180"/>
      </w:pPr>
    </w:lvl>
    <w:lvl w:ilvl="6" w:tplc="2C0A000F" w:tentative="1">
      <w:start w:val="1"/>
      <w:numFmt w:val="decimal"/>
      <w:lvlText w:val="%7."/>
      <w:lvlJc w:val="left"/>
      <w:pPr>
        <w:ind w:left="4870" w:hanging="360"/>
      </w:pPr>
    </w:lvl>
    <w:lvl w:ilvl="7" w:tplc="2C0A0019" w:tentative="1">
      <w:start w:val="1"/>
      <w:numFmt w:val="lowerLetter"/>
      <w:lvlText w:val="%8."/>
      <w:lvlJc w:val="left"/>
      <w:pPr>
        <w:ind w:left="5590" w:hanging="360"/>
      </w:pPr>
    </w:lvl>
    <w:lvl w:ilvl="8" w:tplc="2C0A001B" w:tentative="1">
      <w:start w:val="1"/>
      <w:numFmt w:val="lowerRoman"/>
      <w:lvlText w:val="%9."/>
      <w:lvlJc w:val="right"/>
      <w:pPr>
        <w:ind w:left="6310" w:hanging="180"/>
      </w:pPr>
    </w:lvl>
  </w:abstractNum>
  <w:abstractNum w:abstractNumId="3" w15:restartNumberingAfterBreak="0">
    <w:nsid w:val="13670732"/>
    <w:multiLevelType w:val="hybridMultilevel"/>
    <w:tmpl w:val="9D30A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8A79E2"/>
    <w:multiLevelType w:val="hybridMultilevel"/>
    <w:tmpl w:val="5CF6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D5D95"/>
    <w:multiLevelType w:val="hybridMultilevel"/>
    <w:tmpl w:val="47C4BE1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6" w15:restartNumberingAfterBreak="0">
    <w:nsid w:val="2993273A"/>
    <w:multiLevelType w:val="hybridMultilevel"/>
    <w:tmpl w:val="2A30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E2FE5"/>
    <w:multiLevelType w:val="hybridMultilevel"/>
    <w:tmpl w:val="D0D4E8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B571F"/>
    <w:multiLevelType w:val="hybridMultilevel"/>
    <w:tmpl w:val="2DF8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E5127"/>
    <w:multiLevelType w:val="hybridMultilevel"/>
    <w:tmpl w:val="7B8AD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305D74"/>
    <w:multiLevelType w:val="hybridMultilevel"/>
    <w:tmpl w:val="34D438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C59F6"/>
    <w:multiLevelType w:val="hybridMultilevel"/>
    <w:tmpl w:val="DBBE9660"/>
    <w:lvl w:ilvl="0" w:tplc="7E4A4598">
      <w:start w:val="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FB760A"/>
    <w:multiLevelType w:val="hybridMultilevel"/>
    <w:tmpl w:val="C9902498"/>
    <w:lvl w:ilvl="0" w:tplc="7A1C1242">
      <w:start w:val="3"/>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8D57E2"/>
    <w:multiLevelType w:val="hybridMultilevel"/>
    <w:tmpl w:val="622CCF72"/>
    <w:lvl w:ilvl="0" w:tplc="7E4A4598">
      <w:start w:val="5"/>
      <w:numFmt w:val="bullet"/>
      <w:lvlText w:val="-"/>
      <w:lvlJc w:val="left"/>
      <w:pPr>
        <w:ind w:left="558" w:hanging="360"/>
      </w:pPr>
      <w:rPr>
        <w:rFonts w:ascii="Arial" w:eastAsia="Times New Roman" w:hAnsi="Arial" w:cs="Aria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14" w15:restartNumberingAfterBreak="0">
    <w:nsid w:val="46881500"/>
    <w:multiLevelType w:val="hybridMultilevel"/>
    <w:tmpl w:val="3196D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DD3B14"/>
    <w:multiLevelType w:val="hybridMultilevel"/>
    <w:tmpl w:val="1CF40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9E7FEB"/>
    <w:multiLevelType w:val="hybridMultilevel"/>
    <w:tmpl w:val="4888043A"/>
    <w:lvl w:ilvl="0" w:tplc="7E4A459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F6AA1"/>
    <w:multiLevelType w:val="hybridMultilevel"/>
    <w:tmpl w:val="E474D0F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18" w15:restartNumberingAfterBreak="0">
    <w:nsid w:val="4AA73F4D"/>
    <w:multiLevelType w:val="hybridMultilevel"/>
    <w:tmpl w:val="409E5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37EA5"/>
    <w:multiLevelType w:val="hybridMultilevel"/>
    <w:tmpl w:val="93128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23181"/>
    <w:multiLevelType w:val="hybridMultilevel"/>
    <w:tmpl w:val="50A05D94"/>
    <w:lvl w:ilvl="0" w:tplc="067E608C">
      <w:numFmt w:val="bullet"/>
      <w:lvlText w:val="-"/>
      <w:lvlJc w:val="left"/>
      <w:pPr>
        <w:ind w:left="550" w:hanging="360"/>
      </w:pPr>
      <w:rPr>
        <w:rFonts w:ascii="Times New Roman" w:eastAsiaTheme="minorHAnsi" w:hAnsi="Times New Roman" w:cs="Times New Roman" w:hint="default"/>
      </w:rPr>
    </w:lvl>
    <w:lvl w:ilvl="1" w:tplc="04090003" w:tentative="1">
      <w:start w:val="1"/>
      <w:numFmt w:val="bullet"/>
      <w:lvlText w:val="o"/>
      <w:lvlJc w:val="left"/>
      <w:pPr>
        <w:ind w:left="1270" w:hanging="360"/>
      </w:pPr>
      <w:rPr>
        <w:rFonts w:ascii="Courier New" w:hAnsi="Courier New" w:cs="Courier New" w:hint="default"/>
      </w:rPr>
    </w:lvl>
    <w:lvl w:ilvl="2" w:tplc="04090005" w:tentative="1">
      <w:start w:val="1"/>
      <w:numFmt w:val="bullet"/>
      <w:lvlText w:val=""/>
      <w:lvlJc w:val="left"/>
      <w:pPr>
        <w:ind w:left="1990" w:hanging="360"/>
      </w:pPr>
      <w:rPr>
        <w:rFonts w:ascii="Wingdings" w:hAnsi="Wingdings" w:hint="default"/>
      </w:rPr>
    </w:lvl>
    <w:lvl w:ilvl="3" w:tplc="04090001" w:tentative="1">
      <w:start w:val="1"/>
      <w:numFmt w:val="bullet"/>
      <w:lvlText w:val=""/>
      <w:lvlJc w:val="left"/>
      <w:pPr>
        <w:ind w:left="2710" w:hanging="360"/>
      </w:pPr>
      <w:rPr>
        <w:rFonts w:ascii="Symbol" w:hAnsi="Symbol" w:hint="default"/>
      </w:rPr>
    </w:lvl>
    <w:lvl w:ilvl="4" w:tplc="04090003" w:tentative="1">
      <w:start w:val="1"/>
      <w:numFmt w:val="bullet"/>
      <w:lvlText w:val="o"/>
      <w:lvlJc w:val="left"/>
      <w:pPr>
        <w:ind w:left="3430" w:hanging="360"/>
      </w:pPr>
      <w:rPr>
        <w:rFonts w:ascii="Courier New" w:hAnsi="Courier New" w:cs="Courier New" w:hint="default"/>
      </w:rPr>
    </w:lvl>
    <w:lvl w:ilvl="5" w:tplc="04090005" w:tentative="1">
      <w:start w:val="1"/>
      <w:numFmt w:val="bullet"/>
      <w:lvlText w:val=""/>
      <w:lvlJc w:val="left"/>
      <w:pPr>
        <w:ind w:left="4150" w:hanging="360"/>
      </w:pPr>
      <w:rPr>
        <w:rFonts w:ascii="Wingdings" w:hAnsi="Wingdings" w:hint="default"/>
      </w:rPr>
    </w:lvl>
    <w:lvl w:ilvl="6" w:tplc="04090001" w:tentative="1">
      <w:start w:val="1"/>
      <w:numFmt w:val="bullet"/>
      <w:lvlText w:val=""/>
      <w:lvlJc w:val="left"/>
      <w:pPr>
        <w:ind w:left="4870" w:hanging="360"/>
      </w:pPr>
      <w:rPr>
        <w:rFonts w:ascii="Symbol" w:hAnsi="Symbol" w:hint="default"/>
      </w:rPr>
    </w:lvl>
    <w:lvl w:ilvl="7" w:tplc="04090003" w:tentative="1">
      <w:start w:val="1"/>
      <w:numFmt w:val="bullet"/>
      <w:lvlText w:val="o"/>
      <w:lvlJc w:val="left"/>
      <w:pPr>
        <w:ind w:left="5590" w:hanging="360"/>
      </w:pPr>
      <w:rPr>
        <w:rFonts w:ascii="Courier New" w:hAnsi="Courier New" w:cs="Courier New" w:hint="default"/>
      </w:rPr>
    </w:lvl>
    <w:lvl w:ilvl="8" w:tplc="04090005" w:tentative="1">
      <w:start w:val="1"/>
      <w:numFmt w:val="bullet"/>
      <w:lvlText w:val=""/>
      <w:lvlJc w:val="left"/>
      <w:pPr>
        <w:ind w:left="6310" w:hanging="360"/>
      </w:pPr>
      <w:rPr>
        <w:rFonts w:ascii="Wingdings" w:hAnsi="Wingdings" w:hint="default"/>
      </w:rPr>
    </w:lvl>
  </w:abstractNum>
  <w:abstractNum w:abstractNumId="21" w15:restartNumberingAfterBreak="0">
    <w:nsid w:val="51D35187"/>
    <w:multiLevelType w:val="hybridMultilevel"/>
    <w:tmpl w:val="9EE09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24438D9"/>
    <w:multiLevelType w:val="hybridMultilevel"/>
    <w:tmpl w:val="FE1E5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72C48"/>
    <w:multiLevelType w:val="hybridMultilevel"/>
    <w:tmpl w:val="0F1A9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B9524B"/>
    <w:multiLevelType w:val="hybridMultilevel"/>
    <w:tmpl w:val="257A22F4"/>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625F3A"/>
    <w:multiLevelType w:val="hybridMultilevel"/>
    <w:tmpl w:val="67E4ED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E0762C"/>
    <w:multiLevelType w:val="hybridMultilevel"/>
    <w:tmpl w:val="6C66F0A2"/>
    <w:lvl w:ilvl="0" w:tplc="7E4A459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395FAB"/>
    <w:multiLevelType w:val="hybridMultilevel"/>
    <w:tmpl w:val="302EE1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F546403"/>
    <w:multiLevelType w:val="hybridMultilevel"/>
    <w:tmpl w:val="7C50996A"/>
    <w:lvl w:ilvl="0" w:tplc="78FE1C34">
      <w:start w:val="1"/>
      <w:numFmt w:val="decimal"/>
      <w:lvlText w:val="%1."/>
      <w:lvlJc w:val="left"/>
      <w:pPr>
        <w:ind w:left="522" w:hanging="360"/>
      </w:pPr>
      <w:rPr>
        <w:rFonts w:hint="default"/>
      </w:rPr>
    </w:lvl>
    <w:lvl w:ilvl="1" w:tplc="2C0A0019" w:tentative="1">
      <w:start w:val="1"/>
      <w:numFmt w:val="lowerLetter"/>
      <w:lvlText w:val="%2."/>
      <w:lvlJc w:val="left"/>
      <w:pPr>
        <w:ind w:left="1242" w:hanging="360"/>
      </w:pPr>
    </w:lvl>
    <w:lvl w:ilvl="2" w:tplc="2C0A001B" w:tentative="1">
      <w:start w:val="1"/>
      <w:numFmt w:val="lowerRoman"/>
      <w:lvlText w:val="%3."/>
      <w:lvlJc w:val="right"/>
      <w:pPr>
        <w:ind w:left="1962" w:hanging="180"/>
      </w:pPr>
    </w:lvl>
    <w:lvl w:ilvl="3" w:tplc="2C0A000F" w:tentative="1">
      <w:start w:val="1"/>
      <w:numFmt w:val="decimal"/>
      <w:lvlText w:val="%4."/>
      <w:lvlJc w:val="left"/>
      <w:pPr>
        <w:ind w:left="2682" w:hanging="360"/>
      </w:pPr>
    </w:lvl>
    <w:lvl w:ilvl="4" w:tplc="2C0A0019" w:tentative="1">
      <w:start w:val="1"/>
      <w:numFmt w:val="lowerLetter"/>
      <w:lvlText w:val="%5."/>
      <w:lvlJc w:val="left"/>
      <w:pPr>
        <w:ind w:left="3402" w:hanging="360"/>
      </w:pPr>
    </w:lvl>
    <w:lvl w:ilvl="5" w:tplc="2C0A001B" w:tentative="1">
      <w:start w:val="1"/>
      <w:numFmt w:val="lowerRoman"/>
      <w:lvlText w:val="%6."/>
      <w:lvlJc w:val="right"/>
      <w:pPr>
        <w:ind w:left="4122" w:hanging="180"/>
      </w:pPr>
    </w:lvl>
    <w:lvl w:ilvl="6" w:tplc="2C0A000F" w:tentative="1">
      <w:start w:val="1"/>
      <w:numFmt w:val="decimal"/>
      <w:lvlText w:val="%7."/>
      <w:lvlJc w:val="left"/>
      <w:pPr>
        <w:ind w:left="4842" w:hanging="360"/>
      </w:pPr>
    </w:lvl>
    <w:lvl w:ilvl="7" w:tplc="2C0A0019" w:tentative="1">
      <w:start w:val="1"/>
      <w:numFmt w:val="lowerLetter"/>
      <w:lvlText w:val="%8."/>
      <w:lvlJc w:val="left"/>
      <w:pPr>
        <w:ind w:left="5562" w:hanging="360"/>
      </w:pPr>
    </w:lvl>
    <w:lvl w:ilvl="8" w:tplc="2C0A001B" w:tentative="1">
      <w:start w:val="1"/>
      <w:numFmt w:val="lowerRoman"/>
      <w:lvlText w:val="%9."/>
      <w:lvlJc w:val="right"/>
      <w:pPr>
        <w:ind w:left="6282" w:hanging="180"/>
      </w:pPr>
    </w:lvl>
  </w:abstractNum>
  <w:abstractNum w:abstractNumId="29" w15:restartNumberingAfterBreak="0">
    <w:nsid w:val="620C1F86"/>
    <w:multiLevelType w:val="hybridMultilevel"/>
    <w:tmpl w:val="16842720"/>
    <w:lvl w:ilvl="0" w:tplc="E57A0130">
      <w:start w:val="1"/>
      <w:numFmt w:val="decimal"/>
      <w:lvlText w:val="1.%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0" w15:restartNumberingAfterBreak="0">
    <w:nsid w:val="625C3E67"/>
    <w:multiLevelType w:val="hybridMultilevel"/>
    <w:tmpl w:val="3C7A7692"/>
    <w:lvl w:ilvl="0" w:tplc="CD409A48">
      <w:start w:val="1"/>
      <w:numFmt w:val="decimal"/>
      <w:lvlText w:val="%1."/>
      <w:lvlJc w:val="left"/>
      <w:pPr>
        <w:ind w:left="550" w:hanging="360"/>
      </w:pPr>
      <w:rPr>
        <w:rFonts w:hint="default"/>
      </w:rPr>
    </w:lvl>
    <w:lvl w:ilvl="1" w:tplc="2C0A0019" w:tentative="1">
      <w:start w:val="1"/>
      <w:numFmt w:val="lowerLetter"/>
      <w:lvlText w:val="%2."/>
      <w:lvlJc w:val="left"/>
      <w:pPr>
        <w:ind w:left="1270" w:hanging="360"/>
      </w:pPr>
    </w:lvl>
    <w:lvl w:ilvl="2" w:tplc="2C0A001B" w:tentative="1">
      <w:start w:val="1"/>
      <w:numFmt w:val="lowerRoman"/>
      <w:lvlText w:val="%3."/>
      <w:lvlJc w:val="right"/>
      <w:pPr>
        <w:ind w:left="1990" w:hanging="180"/>
      </w:pPr>
    </w:lvl>
    <w:lvl w:ilvl="3" w:tplc="2C0A000F" w:tentative="1">
      <w:start w:val="1"/>
      <w:numFmt w:val="decimal"/>
      <w:lvlText w:val="%4."/>
      <w:lvlJc w:val="left"/>
      <w:pPr>
        <w:ind w:left="2710" w:hanging="360"/>
      </w:pPr>
    </w:lvl>
    <w:lvl w:ilvl="4" w:tplc="2C0A0019" w:tentative="1">
      <w:start w:val="1"/>
      <w:numFmt w:val="lowerLetter"/>
      <w:lvlText w:val="%5."/>
      <w:lvlJc w:val="left"/>
      <w:pPr>
        <w:ind w:left="3430" w:hanging="360"/>
      </w:pPr>
    </w:lvl>
    <w:lvl w:ilvl="5" w:tplc="2C0A001B" w:tentative="1">
      <w:start w:val="1"/>
      <w:numFmt w:val="lowerRoman"/>
      <w:lvlText w:val="%6."/>
      <w:lvlJc w:val="right"/>
      <w:pPr>
        <w:ind w:left="4150" w:hanging="180"/>
      </w:pPr>
    </w:lvl>
    <w:lvl w:ilvl="6" w:tplc="2C0A000F" w:tentative="1">
      <w:start w:val="1"/>
      <w:numFmt w:val="decimal"/>
      <w:lvlText w:val="%7."/>
      <w:lvlJc w:val="left"/>
      <w:pPr>
        <w:ind w:left="4870" w:hanging="360"/>
      </w:pPr>
    </w:lvl>
    <w:lvl w:ilvl="7" w:tplc="2C0A0019" w:tentative="1">
      <w:start w:val="1"/>
      <w:numFmt w:val="lowerLetter"/>
      <w:lvlText w:val="%8."/>
      <w:lvlJc w:val="left"/>
      <w:pPr>
        <w:ind w:left="5590" w:hanging="360"/>
      </w:pPr>
    </w:lvl>
    <w:lvl w:ilvl="8" w:tplc="2C0A001B" w:tentative="1">
      <w:start w:val="1"/>
      <w:numFmt w:val="lowerRoman"/>
      <w:lvlText w:val="%9."/>
      <w:lvlJc w:val="right"/>
      <w:pPr>
        <w:ind w:left="6310" w:hanging="180"/>
      </w:pPr>
    </w:lvl>
  </w:abstractNum>
  <w:abstractNum w:abstractNumId="31" w15:restartNumberingAfterBreak="0">
    <w:nsid w:val="6A4F1A96"/>
    <w:multiLevelType w:val="hybridMultilevel"/>
    <w:tmpl w:val="2DF6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254A6"/>
    <w:multiLevelType w:val="hybridMultilevel"/>
    <w:tmpl w:val="3C68B18A"/>
    <w:lvl w:ilvl="0" w:tplc="8CA284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820EA"/>
    <w:multiLevelType w:val="hybridMultilevel"/>
    <w:tmpl w:val="877E6938"/>
    <w:lvl w:ilvl="0" w:tplc="E5881E44">
      <w:start w:val="1"/>
      <w:numFmt w:val="decimal"/>
      <w:lvlText w:val="%1."/>
      <w:lvlJc w:val="left"/>
      <w:pPr>
        <w:ind w:left="522" w:hanging="360"/>
      </w:pPr>
      <w:rPr>
        <w:rFonts w:hint="default"/>
      </w:rPr>
    </w:lvl>
    <w:lvl w:ilvl="1" w:tplc="2C0A0019" w:tentative="1">
      <w:start w:val="1"/>
      <w:numFmt w:val="lowerLetter"/>
      <w:lvlText w:val="%2."/>
      <w:lvlJc w:val="left"/>
      <w:pPr>
        <w:ind w:left="1242" w:hanging="360"/>
      </w:pPr>
    </w:lvl>
    <w:lvl w:ilvl="2" w:tplc="2C0A001B" w:tentative="1">
      <w:start w:val="1"/>
      <w:numFmt w:val="lowerRoman"/>
      <w:lvlText w:val="%3."/>
      <w:lvlJc w:val="right"/>
      <w:pPr>
        <w:ind w:left="1962" w:hanging="180"/>
      </w:pPr>
    </w:lvl>
    <w:lvl w:ilvl="3" w:tplc="2C0A000F" w:tentative="1">
      <w:start w:val="1"/>
      <w:numFmt w:val="decimal"/>
      <w:lvlText w:val="%4."/>
      <w:lvlJc w:val="left"/>
      <w:pPr>
        <w:ind w:left="2682" w:hanging="360"/>
      </w:pPr>
    </w:lvl>
    <w:lvl w:ilvl="4" w:tplc="2C0A0019" w:tentative="1">
      <w:start w:val="1"/>
      <w:numFmt w:val="lowerLetter"/>
      <w:lvlText w:val="%5."/>
      <w:lvlJc w:val="left"/>
      <w:pPr>
        <w:ind w:left="3402" w:hanging="360"/>
      </w:pPr>
    </w:lvl>
    <w:lvl w:ilvl="5" w:tplc="2C0A001B" w:tentative="1">
      <w:start w:val="1"/>
      <w:numFmt w:val="lowerRoman"/>
      <w:lvlText w:val="%6."/>
      <w:lvlJc w:val="right"/>
      <w:pPr>
        <w:ind w:left="4122" w:hanging="180"/>
      </w:pPr>
    </w:lvl>
    <w:lvl w:ilvl="6" w:tplc="2C0A000F" w:tentative="1">
      <w:start w:val="1"/>
      <w:numFmt w:val="decimal"/>
      <w:lvlText w:val="%7."/>
      <w:lvlJc w:val="left"/>
      <w:pPr>
        <w:ind w:left="4842" w:hanging="360"/>
      </w:pPr>
    </w:lvl>
    <w:lvl w:ilvl="7" w:tplc="2C0A0019" w:tentative="1">
      <w:start w:val="1"/>
      <w:numFmt w:val="lowerLetter"/>
      <w:lvlText w:val="%8."/>
      <w:lvlJc w:val="left"/>
      <w:pPr>
        <w:ind w:left="5562" w:hanging="360"/>
      </w:pPr>
    </w:lvl>
    <w:lvl w:ilvl="8" w:tplc="2C0A001B" w:tentative="1">
      <w:start w:val="1"/>
      <w:numFmt w:val="lowerRoman"/>
      <w:lvlText w:val="%9."/>
      <w:lvlJc w:val="right"/>
      <w:pPr>
        <w:ind w:left="6282" w:hanging="180"/>
      </w:pPr>
    </w:lvl>
  </w:abstractNum>
  <w:abstractNum w:abstractNumId="34" w15:restartNumberingAfterBreak="0">
    <w:nsid w:val="70430D86"/>
    <w:multiLevelType w:val="hybridMultilevel"/>
    <w:tmpl w:val="F8683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942F5E"/>
    <w:multiLevelType w:val="hybridMultilevel"/>
    <w:tmpl w:val="9538F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7A16F0"/>
    <w:multiLevelType w:val="hybridMultilevel"/>
    <w:tmpl w:val="55E6D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8BA3802"/>
    <w:multiLevelType w:val="hybridMultilevel"/>
    <w:tmpl w:val="97807BB8"/>
    <w:lvl w:ilvl="0" w:tplc="21ECBE2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5"/>
  </w:num>
  <w:num w:numId="4">
    <w:abstractNumId w:val="14"/>
  </w:num>
  <w:num w:numId="5">
    <w:abstractNumId w:val="1"/>
  </w:num>
  <w:num w:numId="6">
    <w:abstractNumId w:val="9"/>
  </w:num>
  <w:num w:numId="7">
    <w:abstractNumId w:val="4"/>
  </w:num>
  <w:num w:numId="8">
    <w:abstractNumId w:val="3"/>
  </w:num>
  <w:num w:numId="9">
    <w:abstractNumId w:val="18"/>
  </w:num>
  <w:num w:numId="10">
    <w:abstractNumId w:val="7"/>
  </w:num>
  <w:num w:numId="11">
    <w:abstractNumId w:val="15"/>
  </w:num>
  <w:num w:numId="12">
    <w:abstractNumId w:val="8"/>
  </w:num>
  <w:num w:numId="13">
    <w:abstractNumId w:val="2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6"/>
  </w:num>
  <w:num w:numId="17">
    <w:abstractNumId w:val="17"/>
  </w:num>
  <w:num w:numId="18">
    <w:abstractNumId w:val="31"/>
  </w:num>
  <w:num w:numId="19">
    <w:abstractNumId w:val="21"/>
  </w:num>
  <w:num w:numId="20">
    <w:abstractNumId w:val="16"/>
  </w:num>
  <w:num w:numId="21">
    <w:abstractNumId w:val="24"/>
  </w:num>
  <w:num w:numId="22">
    <w:abstractNumId w:val="26"/>
  </w:num>
  <w:num w:numId="23">
    <w:abstractNumId w:val="34"/>
  </w:num>
  <w:num w:numId="24">
    <w:abstractNumId w:val="19"/>
  </w:num>
  <w:num w:numId="25">
    <w:abstractNumId w:val="11"/>
  </w:num>
  <w:num w:numId="26">
    <w:abstractNumId w:val="13"/>
  </w:num>
  <w:num w:numId="27">
    <w:abstractNumId w:val="5"/>
  </w:num>
  <w:num w:numId="28">
    <w:abstractNumId w:val="23"/>
  </w:num>
  <w:num w:numId="29">
    <w:abstractNumId w:val="20"/>
  </w:num>
  <w:num w:numId="30">
    <w:abstractNumId w:val="37"/>
  </w:num>
  <w:num w:numId="31">
    <w:abstractNumId w:val="6"/>
  </w:num>
  <w:num w:numId="32">
    <w:abstractNumId w:val="30"/>
  </w:num>
  <w:num w:numId="33">
    <w:abstractNumId w:val="33"/>
  </w:num>
  <w:num w:numId="34">
    <w:abstractNumId w:val="2"/>
  </w:num>
  <w:num w:numId="35">
    <w:abstractNumId w:val="28"/>
  </w:num>
  <w:num w:numId="36">
    <w:abstractNumId w:val="35"/>
  </w:num>
  <w:num w:numId="37">
    <w:abstractNumId w:val="32"/>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721"/>
    <w:rsid w:val="00001191"/>
    <w:rsid w:val="00001441"/>
    <w:rsid w:val="00001EE8"/>
    <w:rsid w:val="000045FA"/>
    <w:rsid w:val="00005A29"/>
    <w:rsid w:val="00005A63"/>
    <w:rsid w:val="0000689A"/>
    <w:rsid w:val="00010D8A"/>
    <w:rsid w:val="00011087"/>
    <w:rsid w:val="000110F7"/>
    <w:rsid w:val="00014A1B"/>
    <w:rsid w:val="00015FCC"/>
    <w:rsid w:val="00016703"/>
    <w:rsid w:val="00022107"/>
    <w:rsid w:val="00024B4A"/>
    <w:rsid w:val="0003336B"/>
    <w:rsid w:val="0003590E"/>
    <w:rsid w:val="0004049C"/>
    <w:rsid w:val="00046B5A"/>
    <w:rsid w:val="00051865"/>
    <w:rsid w:val="00052F05"/>
    <w:rsid w:val="0005411E"/>
    <w:rsid w:val="000550EE"/>
    <w:rsid w:val="0005528B"/>
    <w:rsid w:val="0005669B"/>
    <w:rsid w:val="000652DD"/>
    <w:rsid w:val="00066306"/>
    <w:rsid w:val="00067D54"/>
    <w:rsid w:val="00070281"/>
    <w:rsid w:val="00070B26"/>
    <w:rsid w:val="00070C7A"/>
    <w:rsid w:val="00071179"/>
    <w:rsid w:val="00073E68"/>
    <w:rsid w:val="00076803"/>
    <w:rsid w:val="000845D8"/>
    <w:rsid w:val="00085A4B"/>
    <w:rsid w:val="000875BD"/>
    <w:rsid w:val="000950B2"/>
    <w:rsid w:val="000A28B0"/>
    <w:rsid w:val="000B2585"/>
    <w:rsid w:val="000B3DCA"/>
    <w:rsid w:val="000B61DD"/>
    <w:rsid w:val="000C365E"/>
    <w:rsid w:val="000C5681"/>
    <w:rsid w:val="000C57CF"/>
    <w:rsid w:val="000D174C"/>
    <w:rsid w:val="000D1FDD"/>
    <w:rsid w:val="000D2294"/>
    <w:rsid w:val="000D352F"/>
    <w:rsid w:val="000D3E48"/>
    <w:rsid w:val="000D5CB2"/>
    <w:rsid w:val="000E0DB0"/>
    <w:rsid w:val="000E317A"/>
    <w:rsid w:val="000F0A36"/>
    <w:rsid w:val="000F63D4"/>
    <w:rsid w:val="000F6DCB"/>
    <w:rsid w:val="0010130A"/>
    <w:rsid w:val="00104675"/>
    <w:rsid w:val="00107387"/>
    <w:rsid w:val="00111B12"/>
    <w:rsid w:val="00113210"/>
    <w:rsid w:val="001138A2"/>
    <w:rsid w:val="0011582A"/>
    <w:rsid w:val="0011586A"/>
    <w:rsid w:val="00116A21"/>
    <w:rsid w:val="0011799F"/>
    <w:rsid w:val="00120D98"/>
    <w:rsid w:val="001214EC"/>
    <w:rsid w:val="00121D40"/>
    <w:rsid w:val="00123E93"/>
    <w:rsid w:val="00124211"/>
    <w:rsid w:val="00124269"/>
    <w:rsid w:val="00125DE1"/>
    <w:rsid w:val="00132DCC"/>
    <w:rsid w:val="00136682"/>
    <w:rsid w:val="00142D8D"/>
    <w:rsid w:val="00146993"/>
    <w:rsid w:val="0014783B"/>
    <w:rsid w:val="001505A1"/>
    <w:rsid w:val="00151823"/>
    <w:rsid w:val="001520AB"/>
    <w:rsid w:val="0016026E"/>
    <w:rsid w:val="00160D0E"/>
    <w:rsid w:val="00162E16"/>
    <w:rsid w:val="00170822"/>
    <w:rsid w:val="0017219B"/>
    <w:rsid w:val="0017674A"/>
    <w:rsid w:val="00176851"/>
    <w:rsid w:val="0018066E"/>
    <w:rsid w:val="001818A2"/>
    <w:rsid w:val="00181E6F"/>
    <w:rsid w:val="0018593C"/>
    <w:rsid w:val="0018698D"/>
    <w:rsid w:val="001978F6"/>
    <w:rsid w:val="00197CF5"/>
    <w:rsid w:val="001A3754"/>
    <w:rsid w:val="001A3965"/>
    <w:rsid w:val="001A4819"/>
    <w:rsid w:val="001A5C42"/>
    <w:rsid w:val="001B08E7"/>
    <w:rsid w:val="001B3259"/>
    <w:rsid w:val="001B3DE7"/>
    <w:rsid w:val="001B782B"/>
    <w:rsid w:val="001C3C56"/>
    <w:rsid w:val="001C3EA2"/>
    <w:rsid w:val="001C53E5"/>
    <w:rsid w:val="001C7E71"/>
    <w:rsid w:val="001D0A34"/>
    <w:rsid w:val="001D0E76"/>
    <w:rsid w:val="001D22FB"/>
    <w:rsid w:val="001D536A"/>
    <w:rsid w:val="001E09D2"/>
    <w:rsid w:val="001E50E3"/>
    <w:rsid w:val="001F1B5D"/>
    <w:rsid w:val="001F1ECB"/>
    <w:rsid w:val="001F2180"/>
    <w:rsid w:val="001F3B25"/>
    <w:rsid w:val="001F572D"/>
    <w:rsid w:val="00200E52"/>
    <w:rsid w:val="00203BFA"/>
    <w:rsid w:val="00203ED1"/>
    <w:rsid w:val="0021163E"/>
    <w:rsid w:val="00212B9F"/>
    <w:rsid w:val="00213D00"/>
    <w:rsid w:val="00215BA4"/>
    <w:rsid w:val="00216361"/>
    <w:rsid w:val="00220C8A"/>
    <w:rsid w:val="00220F9F"/>
    <w:rsid w:val="00221A1D"/>
    <w:rsid w:val="0023330C"/>
    <w:rsid w:val="00233322"/>
    <w:rsid w:val="00233FA4"/>
    <w:rsid w:val="002348F0"/>
    <w:rsid w:val="002435CD"/>
    <w:rsid w:val="00243BB2"/>
    <w:rsid w:val="00243C9D"/>
    <w:rsid w:val="00243F02"/>
    <w:rsid w:val="002450FB"/>
    <w:rsid w:val="002452E0"/>
    <w:rsid w:val="00245D70"/>
    <w:rsid w:val="002618E6"/>
    <w:rsid w:val="0026210C"/>
    <w:rsid w:val="00263BFC"/>
    <w:rsid w:val="0026523A"/>
    <w:rsid w:val="00267482"/>
    <w:rsid w:val="002744D3"/>
    <w:rsid w:val="002747AD"/>
    <w:rsid w:val="0028108D"/>
    <w:rsid w:val="00283B45"/>
    <w:rsid w:val="002938FE"/>
    <w:rsid w:val="002961EA"/>
    <w:rsid w:val="002A116D"/>
    <w:rsid w:val="002A3251"/>
    <w:rsid w:val="002A3DC2"/>
    <w:rsid w:val="002A680C"/>
    <w:rsid w:val="002A7606"/>
    <w:rsid w:val="002B138D"/>
    <w:rsid w:val="002B241F"/>
    <w:rsid w:val="002B4278"/>
    <w:rsid w:val="002C0446"/>
    <w:rsid w:val="002C1210"/>
    <w:rsid w:val="002C606C"/>
    <w:rsid w:val="002C6454"/>
    <w:rsid w:val="002C733A"/>
    <w:rsid w:val="002C737B"/>
    <w:rsid w:val="002D0782"/>
    <w:rsid w:val="002D0896"/>
    <w:rsid w:val="002E019B"/>
    <w:rsid w:val="002E5108"/>
    <w:rsid w:val="002E7D2A"/>
    <w:rsid w:val="002F07D6"/>
    <w:rsid w:val="002F24F5"/>
    <w:rsid w:val="002F62F0"/>
    <w:rsid w:val="00301C1B"/>
    <w:rsid w:val="0030302A"/>
    <w:rsid w:val="00303F1F"/>
    <w:rsid w:val="00305FEE"/>
    <w:rsid w:val="0030797C"/>
    <w:rsid w:val="00307D8F"/>
    <w:rsid w:val="00314044"/>
    <w:rsid w:val="003160E6"/>
    <w:rsid w:val="00317098"/>
    <w:rsid w:val="003173F7"/>
    <w:rsid w:val="00322123"/>
    <w:rsid w:val="00322B84"/>
    <w:rsid w:val="00323E6F"/>
    <w:rsid w:val="00325F74"/>
    <w:rsid w:val="0033502C"/>
    <w:rsid w:val="003420DC"/>
    <w:rsid w:val="0034217B"/>
    <w:rsid w:val="00343ABE"/>
    <w:rsid w:val="00345E6B"/>
    <w:rsid w:val="003462C9"/>
    <w:rsid w:val="003517E6"/>
    <w:rsid w:val="0036087D"/>
    <w:rsid w:val="00361569"/>
    <w:rsid w:val="00361A28"/>
    <w:rsid w:val="00374F06"/>
    <w:rsid w:val="00377A15"/>
    <w:rsid w:val="00381635"/>
    <w:rsid w:val="00382876"/>
    <w:rsid w:val="0038636E"/>
    <w:rsid w:val="00391323"/>
    <w:rsid w:val="0039524A"/>
    <w:rsid w:val="00395C64"/>
    <w:rsid w:val="003A0A46"/>
    <w:rsid w:val="003A0D28"/>
    <w:rsid w:val="003A5B80"/>
    <w:rsid w:val="003B101F"/>
    <w:rsid w:val="003B37EC"/>
    <w:rsid w:val="003B5359"/>
    <w:rsid w:val="003B676F"/>
    <w:rsid w:val="003C06AE"/>
    <w:rsid w:val="003C260A"/>
    <w:rsid w:val="003C27DB"/>
    <w:rsid w:val="003C360A"/>
    <w:rsid w:val="003C375D"/>
    <w:rsid w:val="003C62ED"/>
    <w:rsid w:val="003D1171"/>
    <w:rsid w:val="003D2288"/>
    <w:rsid w:val="003D6214"/>
    <w:rsid w:val="003D7BA3"/>
    <w:rsid w:val="003E129A"/>
    <w:rsid w:val="003E375A"/>
    <w:rsid w:val="003E3913"/>
    <w:rsid w:val="003E4760"/>
    <w:rsid w:val="003E5126"/>
    <w:rsid w:val="003E5C73"/>
    <w:rsid w:val="003F198B"/>
    <w:rsid w:val="003F69EA"/>
    <w:rsid w:val="00400838"/>
    <w:rsid w:val="00402C0D"/>
    <w:rsid w:val="00403CD8"/>
    <w:rsid w:val="00406FFA"/>
    <w:rsid w:val="00412914"/>
    <w:rsid w:val="00412BED"/>
    <w:rsid w:val="00413259"/>
    <w:rsid w:val="00417CBF"/>
    <w:rsid w:val="0042107C"/>
    <w:rsid w:val="00425BE2"/>
    <w:rsid w:val="00425C93"/>
    <w:rsid w:val="00425E88"/>
    <w:rsid w:val="00433EA3"/>
    <w:rsid w:val="00441469"/>
    <w:rsid w:val="00441603"/>
    <w:rsid w:val="004417AB"/>
    <w:rsid w:val="00441A39"/>
    <w:rsid w:val="00447001"/>
    <w:rsid w:val="004517A8"/>
    <w:rsid w:val="0045291D"/>
    <w:rsid w:val="004550EF"/>
    <w:rsid w:val="00460D55"/>
    <w:rsid w:val="00461110"/>
    <w:rsid w:val="00466B7A"/>
    <w:rsid w:val="004679F3"/>
    <w:rsid w:val="00472176"/>
    <w:rsid w:val="00484403"/>
    <w:rsid w:val="00485A74"/>
    <w:rsid w:val="00491AEE"/>
    <w:rsid w:val="004A0BA1"/>
    <w:rsid w:val="004B5896"/>
    <w:rsid w:val="004B61C5"/>
    <w:rsid w:val="004C03B2"/>
    <w:rsid w:val="004C1B3D"/>
    <w:rsid w:val="004C3721"/>
    <w:rsid w:val="004C3BEA"/>
    <w:rsid w:val="004C4A84"/>
    <w:rsid w:val="004D667B"/>
    <w:rsid w:val="004E0CED"/>
    <w:rsid w:val="004E0F44"/>
    <w:rsid w:val="004E1168"/>
    <w:rsid w:val="004E585C"/>
    <w:rsid w:val="004E63E4"/>
    <w:rsid w:val="004F0303"/>
    <w:rsid w:val="004F65B0"/>
    <w:rsid w:val="00500128"/>
    <w:rsid w:val="005012CF"/>
    <w:rsid w:val="005025B6"/>
    <w:rsid w:val="00502DE3"/>
    <w:rsid w:val="00512338"/>
    <w:rsid w:val="005151E8"/>
    <w:rsid w:val="005160D2"/>
    <w:rsid w:val="00520384"/>
    <w:rsid w:val="0053069C"/>
    <w:rsid w:val="0053107E"/>
    <w:rsid w:val="00531CBE"/>
    <w:rsid w:val="00531D3D"/>
    <w:rsid w:val="00534B0F"/>
    <w:rsid w:val="005401B2"/>
    <w:rsid w:val="00541CB8"/>
    <w:rsid w:val="00545A94"/>
    <w:rsid w:val="00546A5F"/>
    <w:rsid w:val="005536B3"/>
    <w:rsid w:val="00561017"/>
    <w:rsid w:val="005634E2"/>
    <w:rsid w:val="00563F9C"/>
    <w:rsid w:val="00566B0D"/>
    <w:rsid w:val="0057345F"/>
    <w:rsid w:val="00574205"/>
    <w:rsid w:val="00574B48"/>
    <w:rsid w:val="00580C16"/>
    <w:rsid w:val="005843CE"/>
    <w:rsid w:val="00592C3B"/>
    <w:rsid w:val="005941EE"/>
    <w:rsid w:val="00594AA9"/>
    <w:rsid w:val="00594BD0"/>
    <w:rsid w:val="0059604B"/>
    <w:rsid w:val="005A3529"/>
    <w:rsid w:val="005A44A9"/>
    <w:rsid w:val="005A4A09"/>
    <w:rsid w:val="005B11F0"/>
    <w:rsid w:val="005B3931"/>
    <w:rsid w:val="005B4D31"/>
    <w:rsid w:val="005B7119"/>
    <w:rsid w:val="005B7281"/>
    <w:rsid w:val="005C305B"/>
    <w:rsid w:val="005C561A"/>
    <w:rsid w:val="005C7731"/>
    <w:rsid w:val="005E661E"/>
    <w:rsid w:val="005E6E3D"/>
    <w:rsid w:val="005F300E"/>
    <w:rsid w:val="005F3EA1"/>
    <w:rsid w:val="005F5179"/>
    <w:rsid w:val="005F777F"/>
    <w:rsid w:val="006003FC"/>
    <w:rsid w:val="006055CD"/>
    <w:rsid w:val="00606A59"/>
    <w:rsid w:val="00610195"/>
    <w:rsid w:val="006163D5"/>
    <w:rsid w:val="00617DF8"/>
    <w:rsid w:val="00622A57"/>
    <w:rsid w:val="0062442D"/>
    <w:rsid w:val="006251A5"/>
    <w:rsid w:val="0062659D"/>
    <w:rsid w:val="00627A05"/>
    <w:rsid w:val="00631620"/>
    <w:rsid w:val="00634974"/>
    <w:rsid w:val="006375B7"/>
    <w:rsid w:val="00641802"/>
    <w:rsid w:val="00647E81"/>
    <w:rsid w:val="006557E1"/>
    <w:rsid w:val="0065687E"/>
    <w:rsid w:val="00661D63"/>
    <w:rsid w:val="00662D8C"/>
    <w:rsid w:val="00665C85"/>
    <w:rsid w:val="00667ADB"/>
    <w:rsid w:val="00667D42"/>
    <w:rsid w:val="00671C04"/>
    <w:rsid w:val="00672D55"/>
    <w:rsid w:val="00673ECD"/>
    <w:rsid w:val="006758E2"/>
    <w:rsid w:val="0067649E"/>
    <w:rsid w:val="006765EA"/>
    <w:rsid w:val="006823E1"/>
    <w:rsid w:val="00682C34"/>
    <w:rsid w:val="006834BB"/>
    <w:rsid w:val="0068415D"/>
    <w:rsid w:val="00686D1D"/>
    <w:rsid w:val="006930F9"/>
    <w:rsid w:val="0069577D"/>
    <w:rsid w:val="006963F1"/>
    <w:rsid w:val="006A1B7D"/>
    <w:rsid w:val="006A269F"/>
    <w:rsid w:val="006A2D0A"/>
    <w:rsid w:val="006A474B"/>
    <w:rsid w:val="006A7A09"/>
    <w:rsid w:val="006B2E21"/>
    <w:rsid w:val="006B38CE"/>
    <w:rsid w:val="006B3B78"/>
    <w:rsid w:val="006B5BEA"/>
    <w:rsid w:val="006B6B97"/>
    <w:rsid w:val="006B6E9C"/>
    <w:rsid w:val="006C1419"/>
    <w:rsid w:val="006C3936"/>
    <w:rsid w:val="006E3C4C"/>
    <w:rsid w:val="006E7502"/>
    <w:rsid w:val="006F0123"/>
    <w:rsid w:val="006F2E09"/>
    <w:rsid w:val="006F5C77"/>
    <w:rsid w:val="006F6C6E"/>
    <w:rsid w:val="00701884"/>
    <w:rsid w:val="00703F95"/>
    <w:rsid w:val="007050AE"/>
    <w:rsid w:val="00707CDF"/>
    <w:rsid w:val="00707D26"/>
    <w:rsid w:val="00707F50"/>
    <w:rsid w:val="0071683C"/>
    <w:rsid w:val="00721429"/>
    <w:rsid w:val="00724422"/>
    <w:rsid w:val="00724857"/>
    <w:rsid w:val="00727D82"/>
    <w:rsid w:val="00727FF4"/>
    <w:rsid w:val="0073631B"/>
    <w:rsid w:val="0074181E"/>
    <w:rsid w:val="0074309C"/>
    <w:rsid w:val="00743368"/>
    <w:rsid w:val="00747E4B"/>
    <w:rsid w:val="00750221"/>
    <w:rsid w:val="00756988"/>
    <w:rsid w:val="00756B77"/>
    <w:rsid w:val="0076187C"/>
    <w:rsid w:val="0076581E"/>
    <w:rsid w:val="00766EC3"/>
    <w:rsid w:val="0077096C"/>
    <w:rsid w:val="00770EB7"/>
    <w:rsid w:val="00770EE6"/>
    <w:rsid w:val="007737B3"/>
    <w:rsid w:val="007750BF"/>
    <w:rsid w:val="007777A7"/>
    <w:rsid w:val="00781B6E"/>
    <w:rsid w:val="007822A4"/>
    <w:rsid w:val="00782387"/>
    <w:rsid w:val="00791A8D"/>
    <w:rsid w:val="00793696"/>
    <w:rsid w:val="00797004"/>
    <w:rsid w:val="007A584C"/>
    <w:rsid w:val="007B021E"/>
    <w:rsid w:val="007B3341"/>
    <w:rsid w:val="007B53B3"/>
    <w:rsid w:val="007B6082"/>
    <w:rsid w:val="007B70AB"/>
    <w:rsid w:val="007C4CAA"/>
    <w:rsid w:val="007C7E31"/>
    <w:rsid w:val="007C7F2A"/>
    <w:rsid w:val="007D0B0D"/>
    <w:rsid w:val="007D18CA"/>
    <w:rsid w:val="007D41A8"/>
    <w:rsid w:val="007D5A9B"/>
    <w:rsid w:val="007E0FDB"/>
    <w:rsid w:val="007E21A3"/>
    <w:rsid w:val="007E5514"/>
    <w:rsid w:val="007F6C0F"/>
    <w:rsid w:val="0080080B"/>
    <w:rsid w:val="0080332B"/>
    <w:rsid w:val="008135B7"/>
    <w:rsid w:val="00814A44"/>
    <w:rsid w:val="00815617"/>
    <w:rsid w:val="00816922"/>
    <w:rsid w:val="00817E3A"/>
    <w:rsid w:val="00822818"/>
    <w:rsid w:val="00822859"/>
    <w:rsid w:val="00822B89"/>
    <w:rsid w:val="00825D48"/>
    <w:rsid w:val="00826D49"/>
    <w:rsid w:val="008279D8"/>
    <w:rsid w:val="00830505"/>
    <w:rsid w:val="00841BED"/>
    <w:rsid w:val="00842247"/>
    <w:rsid w:val="00843EED"/>
    <w:rsid w:val="008461C8"/>
    <w:rsid w:val="00853E73"/>
    <w:rsid w:val="00854F92"/>
    <w:rsid w:val="00856141"/>
    <w:rsid w:val="00856484"/>
    <w:rsid w:val="008639C4"/>
    <w:rsid w:val="008676DF"/>
    <w:rsid w:val="00870BED"/>
    <w:rsid w:val="0088092B"/>
    <w:rsid w:val="00887FF2"/>
    <w:rsid w:val="00892910"/>
    <w:rsid w:val="00893988"/>
    <w:rsid w:val="008A114A"/>
    <w:rsid w:val="008A3401"/>
    <w:rsid w:val="008A4587"/>
    <w:rsid w:val="008A7D80"/>
    <w:rsid w:val="008B12BB"/>
    <w:rsid w:val="008B61BF"/>
    <w:rsid w:val="008B6CAB"/>
    <w:rsid w:val="008D1020"/>
    <w:rsid w:val="008D3212"/>
    <w:rsid w:val="008D509C"/>
    <w:rsid w:val="008D6313"/>
    <w:rsid w:val="008D6590"/>
    <w:rsid w:val="008D7EE7"/>
    <w:rsid w:val="008E02EA"/>
    <w:rsid w:val="008E2E27"/>
    <w:rsid w:val="008E4B85"/>
    <w:rsid w:val="008E4BFC"/>
    <w:rsid w:val="008E5576"/>
    <w:rsid w:val="008E7A62"/>
    <w:rsid w:val="008F2284"/>
    <w:rsid w:val="008F3DAB"/>
    <w:rsid w:val="008F4770"/>
    <w:rsid w:val="008F5FAC"/>
    <w:rsid w:val="008F78CC"/>
    <w:rsid w:val="0090052D"/>
    <w:rsid w:val="00900887"/>
    <w:rsid w:val="009015A4"/>
    <w:rsid w:val="00902F21"/>
    <w:rsid w:val="009044FF"/>
    <w:rsid w:val="0090743C"/>
    <w:rsid w:val="0091066F"/>
    <w:rsid w:val="00912D33"/>
    <w:rsid w:val="00913E3C"/>
    <w:rsid w:val="00916FCA"/>
    <w:rsid w:val="00922E5F"/>
    <w:rsid w:val="00924355"/>
    <w:rsid w:val="00933015"/>
    <w:rsid w:val="00933DE5"/>
    <w:rsid w:val="00934B2F"/>
    <w:rsid w:val="009364C6"/>
    <w:rsid w:val="0093661F"/>
    <w:rsid w:val="009377F1"/>
    <w:rsid w:val="00945254"/>
    <w:rsid w:val="009542CC"/>
    <w:rsid w:val="00956E32"/>
    <w:rsid w:val="009574BB"/>
    <w:rsid w:val="00962102"/>
    <w:rsid w:val="00965045"/>
    <w:rsid w:val="00965BEF"/>
    <w:rsid w:val="00967C55"/>
    <w:rsid w:val="00976055"/>
    <w:rsid w:val="00976827"/>
    <w:rsid w:val="00980B74"/>
    <w:rsid w:val="009823D6"/>
    <w:rsid w:val="00985931"/>
    <w:rsid w:val="00993F9B"/>
    <w:rsid w:val="00995FEE"/>
    <w:rsid w:val="009A1DD0"/>
    <w:rsid w:val="009A4766"/>
    <w:rsid w:val="009A6268"/>
    <w:rsid w:val="009A70EB"/>
    <w:rsid w:val="009B5002"/>
    <w:rsid w:val="009B51E2"/>
    <w:rsid w:val="009C00AC"/>
    <w:rsid w:val="009C1735"/>
    <w:rsid w:val="009C39F1"/>
    <w:rsid w:val="009C4C04"/>
    <w:rsid w:val="009C5F88"/>
    <w:rsid w:val="009C6DFD"/>
    <w:rsid w:val="009C74C6"/>
    <w:rsid w:val="009D117D"/>
    <w:rsid w:val="009D34A2"/>
    <w:rsid w:val="009D386E"/>
    <w:rsid w:val="009D3F0D"/>
    <w:rsid w:val="009E0271"/>
    <w:rsid w:val="009E0ACB"/>
    <w:rsid w:val="009E6E54"/>
    <w:rsid w:val="009E7E01"/>
    <w:rsid w:val="009F00EF"/>
    <w:rsid w:val="009F038A"/>
    <w:rsid w:val="009F1610"/>
    <w:rsid w:val="009F1BBB"/>
    <w:rsid w:val="009F6F26"/>
    <w:rsid w:val="00A061B4"/>
    <w:rsid w:val="00A0634A"/>
    <w:rsid w:val="00A13205"/>
    <w:rsid w:val="00A136C2"/>
    <w:rsid w:val="00A153F5"/>
    <w:rsid w:val="00A16F8F"/>
    <w:rsid w:val="00A23380"/>
    <w:rsid w:val="00A24335"/>
    <w:rsid w:val="00A25A3D"/>
    <w:rsid w:val="00A26D77"/>
    <w:rsid w:val="00A333E1"/>
    <w:rsid w:val="00A3647F"/>
    <w:rsid w:val="00A452F0"/>
    <w:rsid w:val="00A46E81"/>
    <w:rsid w:val="00A47053"/>
    <w:rsid w:val="00A4787B"/>
    <w:rsid w:val="00A555F4"/>
    <w:rsid w:val="00A55692"/>
    <w:rsid w:val="00A6693A"/>
    <w:rsid w:val="00A67B3A"/>
    <w:rsid w:val="00A67C1D"/>
    <w:rsid w:val="00A75912"/>
    <w:rsid w:val="00A76D5B"/>
    <w:rsid w:val="00A81480"/>
    <w:rsid w:val="00A81608"/>
    <w:rsid w:val="00A82639"/>
    <w:rsid w:val="00A82851"/>
    <w:rsid w:val="00A916B5"/>
    <w:rsid w:val="00A91716"/>
    <w:rsid w:val="00A925F6"/>
    <w:rsid w:val="00AA0153"/>
    <w:rsid w:val="00AA11CF"/>
    <w:rsid w:val="00AA2856"/>
    <w:rsid w:val="00AB1567"/>
    <w:rsid w:val="00AB2001"/>
    <w:rsid w:val="00AB6D42"/>
    <w:rsid w:val="00AC0AAF"/>
    <w:rsid w:val="00AC306B"/>
    <w:rsid w:val="00AC3372"/>
    <w:rsid w:val="00AC3E43"/>
    <w:rsid w:val="00AD2F64"/>
    <w:rsid w:val="00AD3193"/>
    <w:rsid w:val="00AE0F2F"/>
    <w:rsid w:val="00AE1035"/>
    <w:rsid w:val="00AE2C99"/>
    <w:rsid w:val="00AE4303"/>
    <w:rsid w:val="00AE4CA9"/>
    <w:rsid w:val="00AE7314"/>
    <w:rsid w:val="00AF3496"/>
    <w:rsid w:val="00AF43CC"/>
    <w:rsid w:val="00B00550"/>
    <w:rsid w:val="00B0189A"/>
    <w:rsid w:val="00B01AA8"/>
    <w:rsid w:val="00B04B46"/>
    <w:rsid w:val="00B04E74"/>
    <w:rsid w:val="00B100A6"/>
    <w:rsid w:val="00B10C51"/>
    <w:rsid w:val="00B13806"/>
    <w:rsid w:val="00B16D5C"/>
    <w:rsid w:val="00B17A12"/>
    <w:rsid w:val="00B251AA"/>
    <w:rsid w:val="00B32BD4"/>
    <w:rsid w:val="00B33477"/>
    <w:rsid w:val="00B34792"/>
    <w:rsid w:val="00B377B2"/>
    <w:rsid w:val="00B41D29"/>
    <w:rsid w:val="00B41D73"/>
    <w:rsid w:val="00B43D2A"/>
    <w:rsid w:val="00B5009D"/>
    <w:rsid w:val="00B51730"/>
    <w:rsid w:val="00B52562"/>
    <w:rsid w:val="00B5385A"/>
    <w:rsid w:val="00B57528"/>
    <w:rsid w:val="00B57B31"/>
    <w:rsid w:val="00B617F3"/>
    <w:rsid w:val="00B626CE"/>
    <w:rsid w:val="00B63544"/>
    <w:rsid w:val="00B63BFC"/>
    <w:rsid w:val="00B65C9F"/>
    <w:rsid w:val="00B679D2"/>
    <w:rsid w:val="00B70795"/>
    <w:rsid w:val="00B715EC"/>
    <w:rsid w:val="00B7303C"/>
    <w:rsid w:val="00B82FB0"/>
    <w:rsid w:val="00B83B9B"/>
    <w:rsid w:val="00B86BF7"/>
    <w:rsid w:val="00B90B1F"/>
    <w:rsid w:val="00B91613"/>
    <w:rsid w:val="00B93694"/>
    <w:rsid w:val="00B9448B"/>
    <w:rsid w:val="00BA0D14"/>
    <w:rsid w:val="00BA3EF4"/>
    <w:rsid w:val="00BA4823"/>
    <w:rsid w:val="00BB2278"/>
    <w:rsid w:val="00BB40FA"/>
    <w:rsid w:val="00BB554D"/>
    <w:rsid w:val="00BB5A5C"/>
    <w:rsid w:val="00BB6008"/>
    <w:rsid w:val="00BB6F6D"/>
    <w:rsid w:val="00BB75A2"/>
    <w:rsid w:val="00BB7BE4"/>
    <w:rsid w:val="00BB7FE6"/>
    <w:rsid w:val="00BC2415"/>
    <w:rsid w:val="00BD1364"/>
    <w:rsid w:val="00BE1B6A"/>
    <w:rsid w:val="00BE25E5"/>
    <w:rsid w:val="00BE36D7"/>
    <w:rsid w:val="00BE466A"/>
    <w:rsid w:val="00BE6D8C"/>
    <w:rsid w:val="00BF1B59"/>
    <w:rsid w:val="00BF2A46"/>
    <w:rsid w:val="00BF5509"/>
    <w:rsid w:val="00BF790A"/>
    <w:rsid w:val="00C036C8"/>
    <w:rsid w:val="00C05297"/>
    <w:rsid w:val="00C11902"/>
    <w:rsid w:val="00C12CA2"/>
    <w:rsid w:val="00C177C6"/>
    <w:rsid w:val="00C244BD"/>
    <w:rsid w:val="00C304ED"/>
    <w:rsid w:val="00C3410A"/>
    <w:rsid w:val="00C35829"/>
    <w:rsid w:val="00C35FC9"/>
    <w:rsid w:val="00C427D5"/>
    <w:rsid w:val="00C5284C"/>
    <w:rsid w:val="00C6053E"/>
    <w:rsid w:val="00C61381"/>
    <w:rsid w:val="00C6172A"/>
    <w:rsid w:val="00C65492"/>
    <w:rsid w:val="00C66D88"/>
    <w:rsid w:val="00C72766"/>
    <w:rsid w:val="00C80CE4"/>
    <w:rsid w:val="00C85FF9"/>
    <w:rsid w:val="00C87559"/>
    <w:rsid w:val="00C87B4F"/>
    <w:rsid w:val="00C92D6B"/>
    <w:rsid w:val="00C93AE4"/>
    <w:rsid w:val="00C9494D"/>
    <w:rsid w:val="00C969E0"/>
    <w:rsid w:val="00CA141E"/>
    <w:rsid w:val="00CA1AB4"/>
    <w:rsid w:val="00CA2632"/>
    <w:rsid w:val="00CA66FE"/>
    <w:rsid w:val="00CA6747"/>
    <w:rsid w:val="00CB17EF"/>
    <w:rsid w:val="00CC039A"/>
    <w:rsid w:val="00CC3041"/>
    <w:rsid w:val="00CC759D"/>
    <w:rsid w:val="00CD35BD"/>
    <w:rsid w:val="00CD3BFF"/>
    <w:rsid w:val="00CD4DEE"/>
    <w:rsid w:val="00CD597A"/>
    <w:rsid w:val="00CE025E"/>
    <w:rsid w:val="00CE07EB"/>
    <w:rsid w:val="00CE1D87"/>
    <w:rsid w:val="00CE34EE"/>
    <w:rsid w:val="00CF03C7"/>
    <w:rsid w:val="00CF11BB"/>
    <w:rsid w:val="00CF3699"/>
    <w:rsid w:val="00D01439"/>
    <w:rsid w:val="00D03115"/>
    <w:rsid w:val="00D04854"/>
    <w:rsid w:val="00D116A2"/>
    <w:rsid w:val="00D12198"/>
    <w:rsid w:val="00D12ECB"/>
    <w:rsid w:val="00D17E6B"/>
    <w:rsid w:val="00D20E9D"/>
    <w:rsid w:val="00D21266"/>
    <w:rsid w:val="00D22C53"/>
    <w:rsid w:val="00D22E91"/>
    <w:rsid w:val="00D22F24"/>
    <w:rsid w:val="00D240BE"/>
    <w:rsid w:val="00D24E22"/>
    <w:rsid w:val="00D2573F"/>
    <w:rsid w:val="00D25895"/>
    <w:rsid w:val="00D3157D"/>
    <w:rsid w:val="00D32754"/>
    <w:rsid w:val="00D33479"/>
    <w:rsid w:val="00D34A1F"/>
    <w:rsid w:val="00D418C4"/>
    <w:rsid w:val="00D41927"/>
    <w:rsid w:val="00D442BA"/>
    <w:rsid w:val="00D44C38"/>
    <w:rsid w:val="00D46CBB"/>
    <w:rsid w:val="00D4768B"/>
    <w:rsid w:val="00D4774B"/>
    <w:rsid w:val="00D50DDB"/>
    <w:rsid w:val="00D50F6D"/>
    <w:rsid w:val="00D563AF"/>
    <w:rsid w:val="00D60C55"/>
    <w:rsid w:val="00D650A4"/>
    <w:rsid w:val="00D669E8"/>
    <w:rsid w:val="00D74B47"/>
    <w:rsid w:val="00D75195"/>
    <w:rsid w:val="00D80261"/>
    <w:rsid w:val="00D81A4E"/>
    <w:rsid w:val="00D85CD6"/>
    <w:rsid w:val="00D86495"/>
    <w:rsid w:val="00D87BE3"/>
    <w:rsid w:val="00D87E8B"/>
    <w:rsid w:val="00D93EBE"/>
    <w:rsid w:val="00DA0E21"/>
    <w:rsid w:val="00DA2EA4"/>
    <w:rsid w:val="00DA3841"/>
    <w:rsid w:val="00DA3CCB"/>
    <w:rsid w:val="00DA4B3B"/>
    <w:rsid w:val="00DA6194"/>
    <w:rsid w:val="00DB13D6"/>
    <w:rsid w:val="00DB17E0"/>
    <w:rsid w:val="00DB6CC5"/>
    <w:rsid w:val="00DC424F"/>
    <w:rsid w:val="00DC529C"/>
    <w:rsid w:val="00DD43CB"/>
    <w:rsid w:val="00DE0842"/>
    <w:rsid w:val="00DE2940"/>
    <w:rsid w:val="00DE3C52"/>
    <w:rsid w:val="00DE6AD6"/>
    <w:rsid w:val="00DF684F"/>
    <w:rsid w:val="00E0086B"/>
    <w:rsid w:val="00E01BDE"/>
    <w:rsid w:val="00E02E20"/>
    <w:rsid w:val="00E03766"/>
    <w:rsid w:val="00E041DF"/>
    <w:rsid w:val="00E1034D"/>
    <w:rsid w:val="00E11DDE"/>
    <w:rsid w:val="00E21D07"/>
    <w:rsid w:val="00E221A3"/>
    <w:rsid w:val="00E260CB"/>
    <w:rsid w:val="00E27B1F"/>
    <w:rsid w:val="00E27C50"/>
    <w:rsid w:val="00E3552A"/>
    <w:rsid w:val="00E36946"/>
    <w:rsid w:val="00E36E1D"/>
    <w:rsid w:val="00E477AE"/>
    <w:rsid w:val="00E50E9B"/>
    <w:rsid w:val="00E5307E"/>
    <w:rsid w:val="00E607C7"/>
    <w:rsid w:val="00E613A4"/>
    <w:rsid w:val="00E631F6"/>
    <w:rsid w:val="00E76DB6"/>
    <w:rsid w:val="00E77029"/>
    <w:rsid w:val="00E81165"/>
    <w:rsid w:val="00E8150D"/>
    <w:rsid w:val="00E862C2"/>
    <w:rsid w:val="00E9221B"/>
    <w:rsid w:val="00E9251D"/>
    <w:rsid w:val="00E9332D"/>
    <w:rsid w:val="00E94A6A"/>
    <w:rsid w:val="00E977E1"/>
    <w:rsid w:val="00EA02C5"/>
    <w:rsid w:val="00EA3AEC"/>
    <w:rsid w:val="00EB17C2"/>
    <w:rsid w:val="00EB3BF1"/>
    <w:rsid w:val="00EB4338"/>
    <w:rsid w:val="00EB61D4"/>
    <w:rsid w:val="00EB6987"/>
    <w:rsid w:val="00EC043E"/>
    <w:rsid w:val="00EC4855"/>
    <w:rsid w:val="00EC5518"/>
    <w:rsid w:val="00ED2FF6"/>
    <w:rsid w:val="00ED30BD"/>
    <w:rsid w:val="00ED3453"/>
    <w:rsid w:val="00EE1D8F"/>
    <w:rsid w:val="00EE4020"/>
    <w:rsid w:val="00EE4FBB"/>
    <w:rsid w:val="00EE5E99"/>
    <w:rsid w:val="00EF1385"/>
    <w:rsid w:val="00EF13AA"/>
    <w:rsid w:val="00EF591B"/>
    <w:rsid w:val="00EF6953"/>
    <w:rsid w:val="00EF7A2E"/>
    <w:rsid w:val="00F014D4"/>
    <w:rsid w:val="00F10ED0"/>
    <w:rsid w:val="00F11088"/>
    <w:rsid w:val="00F11F41"/>
    <w:rsid w:val="00F267E8"/>
    <w:rsid w:val="00F368F2"/>
    <w:rsid w:val="00F42C15"/>
    <w:rsid w:val="00F44A08"/>
    <w:rsid w:val="00F44D5A"/>
    <w:rsid w:val="00F45BCF"/>
    <w:rsid w:val="00F46BD7"/>
    <w:rsid w:val="00F501AC"/>
    <w:rsid w:val="00F51A1B"/>
    <w:rsid w:val="00F64EB9"/>
    <w:rsid w:val="00F668FB"/>
    <w:rsid w:val="00F734E1"/>
    <w:rsid w:val="00F7597F"/>
    <w:rsid w:val="00F77053"/>
    <w:rsid w:val="00F77ABB"/>
    <w:rsid w:val="00F816CE"/>
    <w:rsid w:val="00F84B16"/>
    <w:rsid w:val="00F861DF"/>
    <w:rsid w:val="00F87792"/>
    <w:rsid w:val="00F87DDD"/>
    <w:rsid w:val="00F905F1"/>
    <w:rsid w:val="00F92D1E"/>
    <w:rsid w:val="00F938D6"/>
    <w:rsid w:val="00F95200"/>
    <w:rsid w:val="00FA3189"/>
    <w:rsid w:val="00FA471C"/>
    <w:rsid w:val="00FA5BDC"/>
    <w:rsid w:val="00FA7831"/>
    <w:rsid w:val="00FB164E"/>
    <w:rsid w:val="00FB18CF"/>
    <w:rsid w:val="00FB2ADD"/>
    <w:rsid w:val="00FB38B8"/>
    <w:rsid w:val="00FB6A33"/>
    <w:rsid w:val="00FC0220"/>
    <w:rsid w:val="00FD70EC"/>
    <w:rsid w:val="00FE074B"/>
    <w:rsid w:val="00FE577B"/>
    <w:rsid w:val="00FE593E"/>
    <w:rsid w:val="00FF01BB"/>
    <w:rsid w:val="00FF01C1"/>
    <w:rsid w:val="00FF160A"/>
    <w:rsid w:val="00FF1803"/>
    <w:rsid w:val="00FF57D2"/>
    <w:rsid w:val="00FF5A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CC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3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C3721"/>
    <w:pPr>
      <w:ind w:left="720"/>
      <w:contextualSpacing/>
    </w:pPr>
  </w:style>
  <w:style w:type="character" w:styleId="PlaceholderText">
    <w:name w:val="Placeholder Text"/>
    <w:basedOn w:val="DefaultParagraphFont"/>
    <w:uiPriority w:val="99"/>
    <w:semiHidden/>
    <w:rsid w:val="00AE4303"/>
    <w:rPr>
      <w:color w:val="808080"/>
    </w:rPr>
  </w:style>
  <w:style w:type="paragraph" w:styleId="BalloonText">
    <w:name w:val="Balloon Text"/>
    <w:basedOn w:val="Normal"/>
    <w:link w:val="BalloonTextChar"/>
    <w:uiPriority w:val="99"/>
    <w:semiHidden/>
    <w:unhideWhenUsed/>
    <w:rsid w:val="00AE4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03"/>
    <w:rPr>
      <w:rFonts w:ascii="Tahoma" w:hAnsi="Tahoma" w:cs="Tahoma"/>
      <w:sz w:val="16"/>
      <w:szCs w:val="16"/>
    </w:rPr>
  </w:style>
  <w:style w:type="character" w:styleId="Hyperlink">
    <w:name w:val="Hyperlink"/>
    <w:basedOn w:val="DefaultParagraphFont"/>
    <w:uiPriority w:val="99"/>
    <w:unhideWhenUsed/>
    <w:rsid w:val="00BB554D"/>
    <w:rPr>
      <w:color w:val="0000FF" w:themeColor="hyperlink"/>
      <w:u w:val="single"/>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A3647F"/>
    <w:pPr>
      <w:spacing w:after="0" w:line="240" w:lineRule="auto"/>
    </w:pPr>
    <w:rPr>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A3647F"/>
    <w:rPr>
      <w:sz w:val="20"/>
      <w:szCs w:val="20"/>
    </w:r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A3647F"/>
    <w:rPr>
      <w:vertAlign w:val="superscript"/>
    </w:rPr>
  </w:style>
  <w:style w:type="character" w:styleId="CommentReference">
    <w:name w:val="annotation reference"/>
    <w:basedOn w:val="DefaultParagraphFont"/>
    <w:uiPriority w:val="99"/>
    <w:semiHidden/>
    <w:unhideWhenUsed/>
    <w:rsid w:val="008F5FAC"/>
    <w:rPr>
      <w:sz w:val="16"/>
      <w:szCs w:val="16"/>
    </w:rPr>
  </w:style>
  <w:style w:type="paragraph" w:styleId="CommentText">
    <w:name w:val="annotation text"/>
    <w:basedOn w:val="Normal"/>
    <w:link w:val="CommentTextChar"/>
    <w:uiPriority w:val="99"/>
    <w:semiHidden/>
    <w:unhideWhenUsed/>
    <w:rsid w:val="008F5FAC"/>
    <w:pPr>
      <w:spacing w:line="240" w:lineRule="auto"/>
    </w:pPr>
    <w:rPr>
      <w:sz w:val="20"/>
      <w:szCs w:val="20"/>
    </w:rPr>
  </w:style>
  <w:style w:type="character" w:customStyle="1" w:styleId="CommentTextChar">
    <w:name w:val="Comment Text Char"/>
    <w:basedOn w:val="DefaultParagraphFont"/>
    <w:link w:val="CommentText"/>
    <w:uiPriority w:val="99"/>
    <w:semiHidden/>
    <w:rsid w:val="008F5FAC"/>
    <w:rPr>
      <w:sz w:val="20"/>
      <w:szCs w:val="20"/>
    </w:rPr>
  </w:style>
  <w:style w:type="paragraph" w:styleId="CommentSubject">
    <w:name w:val="annotation subject"/>
    <w:basedOn w:val="CommentText"/>
    <w:next w:val="CommentText"/>
    <w:link w:val="CommentSubjectChar"/>
    <w:uiPriority w:val="99"/>
    <w:semiHidden/>
    <w:unhideWhenUsed/>
    <w:rsid w:val="008F5FAC"/>
    <w:rPr>
      <w:b/>
      <w:bCs/>
    </w:rPr>
  </w:style>
  <w:style w:type="character" w:customStyle="1" w:styleId="CommentSubjectChar">
    <w:name w:val="Comment Subject Char"/>
    <w:basedOn w:val="CommentTextChar"/>
    <w:link w:val="CommentSubject"/>
    <w:uiPriority w:val="99"/>
    <w:semiHidden/>
    <w:rsid w:val="008F5FAC"/>
    <w:rPr>
      <w:b/>
      <w:bCs/>
      <w:sz w:val="20"/>
      <w:szCs w:val="20"/>
    </w:rPr>
  </w:style>
  <w:style w:type="table" w:customStyle="1" w:styleId="TableGrid1">
    <w:name w:val="Table Grid1"/>
    <w:basedOn w:val="TableNormal"/>
    <w:next w:val="TableGrid"/>
    <w:uiPriority w:val="59"/>
    <w:rsid w:val="00186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B2ADD"/>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679F3"/>
    <w:pPr>
      <w:spacing w:after="0" w:line="240" w:lineRule="auto"/>
    </w:pPr>
  </w:style>
  <w:style w:type="paragraph" w:styleId="Header">
    <w:name w:val="header"/>
    <w:basedOn w:val="Normal"/>
    <w:link w:val="HeaderChar"/>
    <w:uiPriority w:val="99"/>
    <w:unhideWhenUsed/>
    <w:rsid w:val="007D1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8CA"/>
  </w:style>
  <w:style w:type="paragraph" w:styleId="Footer">
    <w:name w:val="footer"/>
    <w:basedOn w:val="Normal"/>
    <w:link w:val="FooterChar"/>
    <w:uiPriority w:val="99"/>
    <w:unhideWhenUsed/>
    <w:rsid w:val="007D1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8CA"/>
  </w:style>
  <w:style w:type="character" w:customStyle="1" w:styleId="ListParagraphChar">
    <w:name w:val="List Paragraph Char"/>
    <w:link w:val="ListParagraph"/>
    <w:uiPriority w:val="34"/>
    <w:locked/>
    <w:rsid w:val="009A1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3611">
      <w:bodyDiv w:val="1"/>
      <w:marLeft w:val="0"/>
      <w:marRight w:val="0"/>
      <w:marTop w:val="0"/>
      <w:marBottom w:val="0"/>
      <w:divBdr>
        <w:top w:val="none" w:sz="0" w:space="0" w:color="auto"/>
        <w:left w:val="none" w:sz="0" w:space="0" w:color="auto"/>
        <w:bottom w:val="none" w:sz="0" w:space="0" w:color="auto"/>
        <w:right w:val="none" w:sz="0" w:space="0" w:color="auto"/>
      </w:divBdr>
    </w:div>
    <w:div w:id="372388228">
      <w:bodyDiv w:val="1"/>
      <w:marLeft w:val="0"/>
      <w:marRight w:val="0"/>
      <w:marTop w:val="0"/>
      <w:marBottom w:val="0"/>
      <w:divBdr>
        <w:top w:val="none" w:sz="0" w:space="0" w:color="auto"/>
        <w:left w:val="none" w:sz="0" w:space="0" w:color="auto"/>
        <w:bottom w:val="none" w:sz="0" w:space="0" w:color="auto"/>
        <w:right w:val="none" w:sz="0" w:space="0" w:color="auto"/>
      </w:divBdr>
    </w:div>
    <w:div w:id="506141330">
      <w:bodyDiv w:val="1"/>
      <w:marLeft w:val="0"/>
      <w:marRight w:val="0"/>
      <w:marTop w:val="0"/>
      <w:marBottom w:val="0"/>
      <w:divBdr>
        <w:top w:val="none" w:sz="0" w:space="0" w:color="auto"/>
        <w:left w:val="none" w:sz="0" w:space="0" w:color="auto"/>
        <w:bottom w:val="none" w:sz="0" w:space="0" w:color="auto"/>
        <w:right w:val="none" w:sz="0" w:space="0" w:color="auto"/>
      </w:divBdr>
    </w:div>
    <w:div w:id="671109571">
      <w:bodyDiv w:val="1"/>
      <w:marLeft w:val="0"/>
      <w:marRight w:val="0"/>
      <w:marTop w:val="0"/>
      <w:marBottom w:val="0"/>
      <w:divBdr>
        <w:top w:val="none" w:sz="0" w:space="0" w:color="auto"/>
        <w:left w:val="none" w:sz="0" w:space="0" w:color="auto"/>
        <w:bottom w:val="none" w:sz="0" w:space="0" w:color="auto"/>
        <w:right w:val="none" w:sz="0" w:space="0" w:color="auto"/>
      </w:divBdr>
    </w:div>
    <w:div w:id="720175138">
      <w:bodyDiv w:val="1"/>
      <w:marLeft w:val="0"/>
      <w:marRight w:val="0"/>
      <w:marTop w:val="0"/>
      <w:marBottom w:val="0"/>
      <w:divBdr>
        <w:top w:val="none" w:sz="0" w:space="0" w:color="auto"/>
        <w:left w:val="none" w:sz="0" w:space="0" w:color="auto"/>
        <w:bottom w:val="none" w:sz="0" w:space="0" w:color="auto"/>
        <w:right w:val="none" w:sz="0" w:space="0" w:color="auto"/>
      </w:divBdr>
    </w:div>
    <w:div w:id="1128357640">
      <w:bodyDiv w:val="1"/>
      <w:marLeft w:val="0"/>
      <w:marRight w:val="0"/>
      <w:marTop w:val="0"/>
      <w:marBottom w:val="0"/>
      <w:divBdr>
        <w:top w:val="none" w:sz="0" w:space="0" w:color="auto"/>
        <w:left w:val="none" w:sz="0" w:space="0" w:color="auto"/>
        <w:bottom w:val="none" w:sz="0" w:space="0" w:color="auto"/>
        <w:right w:val="none" w:sz="0" w:space="0" w:color="auto"/>
      </w:divBdr>
    </w:div>
    <w:div w:id="1145200859">
      <w:bodyDiv w:val="1"/>
      <w:marLeft w:val="0"/>
      <w:marRight w:val="0"/>
      <w:marTop w:val="0"/>
      <w:marBottom w:val="0"/>
      <w:divBdr>
        <w:top w:val="none" w:sz="0" w:space="0" w:color="auto"/>
        <w:left w:val="none" w:sz="0" w:space="0" w:color="auto"/>
        <w:bottom w:val="none" w:sz="0" w:space="0" w:color="auto"/>
        <w:right w:val="none" w:sz="0" w:space="0" w:color="auto"/>
      </w:divBdr>
    </w:div>
    <w:div w:id="1297684159">
      <w:bodyDiv w:val="1"/>
      <w:marLeft w:val="0"/>
      <w:marRight w:val="0"/>
      <w:marTop w:val="0"/>
      <w:marBottom w:val="0"/>
      <w:divBdr>
        <w:top w:val="none" w:sz="0" w:space="0" w:color="auto"/>
        <w:left w:val="none" w:sz="0" w:space="0" w:color="auto"/>
        <w:bottom w:val="none" w:sz="0" w:space="0" w:color="auto"/>
        <w:right w:val="none" w:sz="0" w:space="0" w:color="auto"/>
      </w:divBdr>
    </w:div>
    <w:div w:id="1720781080">
      <w:bodyDiv w:val="1"/>
      <w:marLeft w:val="0"/>
      <w:marRight w:val="0"/>
      <w:marTop w:val="0"/>
      <w:marBottom w:val="0"/>
      <w:divBdr>
        <w:top w:val="none" w:sz="0" w:space="0" w:color="auto"/>
        <w:left w:val="none" w:sz="0" w:space="0" w:color="auto"/>
        <w:bottom w:val="none" w:sz="0" w:space="0" w:color="auto"/>
        <w:right w:val="none" w:sz="0" w:space="0" w:color="auto"/>
      </w:divBdr>
    </w:div>
    <w:div w:id="187946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drive.google.com/file/d/19k_CF9jO-mAC6X8dhQOGa_G90iOq8olu/view?usp=sharin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drive.google.com/file/d/1k7E5nHm1V8eXx3KwoOom6b3ZCSBjfNU-/view?usp=sharing" TargetMode="External"/><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hyperlink" Target="https://drive.google.com/file/d/1hqnWiyQyZ2qjoQbzQHWGhoV2p7j6H18d/view?usp=sharing" TargetMode="External"/><Relationship Id="rId20" Type="http://schemas.openxmlformats.org/officeDocument/2006/relationships/hyperlink" Target="https://drive.google.com/file/d/1-TTe_PW4yBWChQqMNXZquySgU26DX_os/view?usp=sharing" TargetMode="External"/><Relationship Id="rId24" Type="http://schemas.openxmlformats.org/officeDocument/2006/relationships/theme" Target="theme/theme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drive.google.com/file/d/1TES5nkHDfQv_PE8UmAYtmuNuAgwu1fph/view?usp=sharing"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drive.google.com/file/d/19mRqPDp0pMwobebaPrB4IjQcRIG1Os6l/view?usp=sharing" TargetMode="External"/><Relationship Id="rId22" Type="http://schemas.openxmlformats.org/officeDocument/2006/relationships/footer" Target="footer1.xml"/><Relationship Id="rId9" Type="http://schemas.openxmlformats.org/officeDocument/2006/relationships/styles" Target="styles.xml"/><Relationship Id="rId14" Type="http://schemas.openxmlformats.org/officeDocument/2006/relationships/hyperlink" Target="http://servicios.infoleg.gob.ar/infolegInternet/anexos/315000-319999/316036/norm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8784F935F655842BDBB6FB4D4EDC39A" ma:contentTypeVersion="1793" ma:contentTypeDescription="The base project type from which other project content types inherit their information." ma:contentTypeScope="" ma:versionID="a5b2513e892b37d041a590bb6c743704">
  <xsd:schema xmlns:xsd="http://www.w3.org/2001/XMLSchema" xmlns:xs="http://www.w3.org/2001/XMLSchema" xmlns:p="http://schemas.microsoft.com/office/2006/metadata/properties" xmlns:ns2="cdc7663a-08f0-4737-9e8c-148ce897a09c" targetNamespace="http://schemas.microsoft.com/office/2006/metadata/properties" ma:root="true" ma:fieldsID="93fdd351fb5e6bc95b48894c8e99cde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0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R0002915738</Record_x0020_Number>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EZSHARE-117804576-5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314</Value>
      <Value>5</Value>
      <Value>4</Value>
      <Value>36</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AR-L1304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English</Document_x0020_Language_x0020_IDB>
    <_dlc_DocIdUrl xmlns="cdc7663a-08f0-4737-9e8c-148ce897a09c">
      <Url>https://idbg.sharepoint.com/teams/EZ-AR-LON/AR-L1304/_layouts/15/DocIdRedir.aspx?ID=EZSHARE-117804576-5</Url>
      <Description>EZSHARE-117804576-5</Description>
    </_dlc_DocIdUrl>
    <Phase xmlns="cdc7663a-08f0-4737-9e8c-148ce897a09c">ACTIVE</Phase>
    <Other_x0020_Author xmlns="cdc7663a-08f0-4737-9e8c-148ce897a09c">Joan Prats</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Finance;Information Technology and Communications;Development Communications;Information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A8784F935F655842BDBB6FB4D4EDC39A" ma:contentTypeVersion="1660" ma:contentTypeDescription="The base project type from which other project content types inherit their information." ma:contentTypeScope="" ma:versionID="785c9de17c671480d85300ddb29337e1">
  <xsd:schema xmlns:xsd="http://www.w3.org/2001/XMLSchema" xmlns:xs="http://www.w3.org/2001/XMLSchema" xmlns:p="http://schemas.microsoft.com/office/2006/metadata/properties" xmlns:ns2="cdc7663a-08f0-4737-9e8c-148ce897a09c" targetNamespace="http://schemas.microsoft.com/office/2006/metadata/properties" ma:root="true" ma:fieldsID="93fdd351fb5e6bc95b48894c8e99cde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AR-L130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8C33D8A73F364494E3CDD45A313440" ma:contentTypeVersion="1793" ma:contentTypeDescription="A content type to manage public (operations) IDB documents" ma:contentTypeScope="" ma:versionID="4b5f52565ba1ef7023d4f1734ad121af">
  <xsd:schema xmlns:xsd="http://www.w3.org/2001/XMLSchema" xmlns:xs="http://www.w3.org/2001/XMLSchema" xmlns:p="http://schemas.microsoft.com/office/2006/metadata/properties" xmlns:ns2="cdc7663a-08f0-4737-9e8c-148ce897a09c" targetNamespace="http://schemas.microsoft.com/office/2006/metadata/properties" ma:root="true" ma:fieldsID="cc91b42ad2f4eb89ed9c99129cb330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30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E21203-AAF7-438D-B46E-A393AC377462}"/>
</file>

<file path=customXml/itemProps2.xml><?xml version="1.0" encoding="utf-8"?>
<ds:datastoreItem xmlns:ds="http://schemas.openxmlformats.org/officeDocument/2006/customXml" ds:itemID="{874130D5-4F82-49ED-A3C6-50CB69915A41}"/>
</file>

<file path=customXml/itemProps3.xml><?xml version="1.0" encoding="utf-8"?>
<ds:datastoreItem xmlns:ds="http://schemas.openxmlformats.org/officeDocument/2006/customXml" ds:itemID="{D6EA8F4B-49F5-4C10-9D19-B36159B02E69}">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51E0C42C-2225-4F6C-B7E1-8D0B3C3F1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930F21-100E-4DAD-9E71-4DD1ED71C372}">
  <ds:schemaRefs>
    <ds:schemaRef ds:uri="http://schemas.microsoft.com/sharepoint/v3/contenttype/forms"/>
  </ds:schemaRefs>
</ds:datastoreItem>
</file>

<file path=customXml/itemProps6.xml><?xml version="1.0" encoding="utf-8"?>
<ds:datastoreItem xmlns:ds="http://schemas.openxmlformats.org/officeDocument/2006/customXml" ds:itemID="{60DCEA7A-4126-464B-8D36-955A713681EF}">
  <ds:schemaRefs>
    <ds:schemaRef ds:uri="http://schemas.microsoft.com/sharepoint/events"/>
  </ds:schemaRefs>
</ds:datastoreItem>
</file>

<file path=customXml/itemProps7.xml><?xml version="1.0" encoding="utf-8"?>
<ds:datastoreItem xmlns:ds="http://schemas.openxmlformats.org/officeDocument/2006/customXml" ds:itemID="{AB838151-6690-46A8-8542-8134642AC76A}">
  <ds:schemaRefs>
    <ds:schemaRef ds:uri="http://schemas.openxmlformats.org/officeDocument/2006/bibliography"/>
  </ds:schemaRefs>
</ds:datastoreItem>
</file>

<file path=customXml/itemProps8.xml><?xml version="1.0" encoding="utf-8"?>
<ds:datastoreItem xmlns:ds="http://schemas.openxmlformats.org/officeDocument/2006/customXml" ds:itemID="{B6D2662A-737F-4AC4-B347-0C1A343FEAFE}"/>
</file>

<file path=docProps/app.xml><?xml version="1.0" encoding="utf-8"?>
<Properties xmlns="http://schemas.openxmlformats.org/officeDocument/2006/extended-properties" xmlns:vt="http://schemas.openxmlformats.org/officeDocument/2006/docPropsVTypes">
  <Template>Normal.dotm</Template>
  <TotalTime>0</TotalTime>
  <Pages>8</Pages>
  <Words>2280</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2019-02-05T18:38:00Z</dcterms:created>
  <dcterms:modified xsi:type="dcterms:W3CDTF">2019-02-05T18:38:00Z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314;#E-GOVERNMENT|281505e9-fdf9-47b0-b36a-d5df63f0fdea</vt:lpwstr>
  </property>
  <property fmtid="{D5CDD505-2E9C-101B-9397-08002B2CF9AE}" pid="7" name="Country">
    <vt:lpwstr>5;#Argentina|eb1b705c-195f-4c3b-9661-b201f2fee3c5</vt:lpwstr>
  </property>
  <property fmtid="{D5CDD505-2E9C-101B-9397-08002B2CF9AE}" pid="8" name="Fund IDB">
    <vt:lpwstr>4;#ORC|c028a4b2-ad8b-4cf4-9cac-a2ae6a778e23</vt:lpwstr>
  </property>
  <property fmtid="{D5CDD505-2E9C-101B-9397-08002B2CF9AE}" pid="9" name="_dlc_DocIdItemGuid">
    <vt:lpwstr>e527d80a-c149-4203-a091-a91701ddcedb</vt:lpwstr>
  </property>
  <property fmtid="{D5CDD505-2E9C-101B-9397-08002B2CF9AE}" pid="10" name="Sector IDB">
    <vt:lpwstr>36;#REFORM / MODERNIZATION OF THE STATE|c8fda4a7-691a-4c65-b227-9825197b5cd2</vt:lpwstr>
  </property>
  <property fmtid="{D5CDD505-2E9C-101B-9397-08002B2CF9AE}" pid="11" name="Function Operations IDB">
    <vt:lpwstr>8;#Monitoring and Reporting|df3c2aa1-d63e-41aa-b1f5-bb15dee691ca</vt:lpwstr>
  </property>
  <property fmtid="{D5CDD505-2E9C-101B-9397-08002B2CF9AE}" pid="12" name="Disclosure Activity">
    <vt:lpwstr>Loan Proposal</vt:lpwstr>
  </property>
  <property fmtid="{D5CDD505-2E9C-101B-9397-08002B2CF9AE}" pid="13" name="ContentTypeId">
    <vt:lpwstr>0x0101001A458A224826124E8B45B1D613300CFC003E8C33D8A73F364494E3CDD45A313440</vt:lpwstr>
  </property>
</Properties>
</file>