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DD0D3" w14:textId="77777777" w:rsidR="009461A3" w:rsidRPr="007344D5" w:rsidRDefault="00077D37" w:rsidP="006B2941">
      <w:pPr>
        <w:widowControl w:val="0"/>
        <w:autoSpaceDE w:val="0"/>
        <w:autoSpaceDN w:val="0"/>
        <w:adjustRightInd w:val="0"/>
        <w:ind w:left="720" w:hanging="720"/>
        <w:jc w:val="center"/>
        <w:rPr>
          <w:rFonts w:ascii="Arial" w:hAnsi="Arial" w:cs="Arial"/>
          <w:b/>
          <w:bCs/>
          <w:smallCaps/>
          <w:spacing w:val="-1"/>
          <w:szCs w:val="24"/>
          <w:lang w:val="es-ES"/>
        </w:rPr>
      </w:pPr>
      <w:bookmarkStart w:id="0" w:name="_GoBack"/>
      <w:bookmarkEnd w:id="0"/>
      <w:r w:rsidRPr="007344D5">
        <w:rPr>
          <w:rFonts w:ascii="Arial" w:hAnsi="Arial" w:cs="Arial"/>
          <w:b/>
          <w:bCs/>
          <w:smallCaps/>
          <w:spacing w:val="-1"/>
          <w:szCs w:val="24"/>
          <w:lang w:val="es-ES"/>
        </w:rPr>
        <w:t>Medios de Verificación</w:t>
      </w:r>
    </w:p>
    <w:p w14:paraId="1550DDDC" w14:textId="77777777" w:rsidR="00737463" w:rsidRPr="008A13B0" w:rsidRDefault="00737463" w:rsidP="00737463">
      <w:pPr>
        <w:widowControl w:val="0"/>
        <w:autoSpaceDE w:val="0"/>
        <w:autoSpaceDN w:val="0"/>
        <w:adjustRightInd w:val="0"/>
        <w:spacing w:before="37"/>
        <w:jc w:val="center"/>
        <w:rPr>
          <w:rFonts w:ascii="Arial" w:hAnsi="Arial" w:cs="Arial"/>
          <w:sz w:val="14"/>
          <w:szCs w:val="16"/>
          <w:lang w:val="es-ES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9"/>
        <w:gridCol w:w="5020"/>
        <w:gridCol w:w="6039"/>
        <w:gridCol w:w="270"/>
      </w:tblGrid>
      <w:tr w:rsidR="00737463" w:rsidRPr="008A13B0" w14:paraId="05283E9C" w14:textId="77777777" w:rsidTr="00AB5416">
        <w:trPr>
          <w:cantSplit/>
          <w:trHeight w:val="305"/>
          <w:tblHeader/>
        </w:trPr>
        <w:tc>
          <w:tcPr>
            <w:tcW w:w="1714" w:type="dxa"/>
            <w:vMerge w:val="restart"/>
            <w:shd w:val="clear" w:color="auto" w:fill="8DB3E2"/>
            <w:vAlign w:val="center"/>
          </w:tcPr>
          <w:p w14:paraId="5A5C0508" w14:textId="77777777" w:rsidR="00737463" w:rsidRPr="007344D5" w:rsidRDefault="00737463" w:rsidP="00471B35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7344D5">
              <w:rPr>
                <w:rFonts w:ascii="Arial" w:hAnsi="Arial" w:cs="Arial"/>
                <w:b/>
                <w:sz w:val="20"/>
                <w:lang w:val="es-ES"/>
              </w:rPr>
              <w:t>Componente</w:t>
            </w:r>
          </w:p>
          <w:p w14:paraId="1739E205" w14:textId="77777777" w:rsidR="00737463" w:rsidRPr="007344D5" w:rsidRDefault="00737463" w:rsidP="00471B35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7344D5">
              <w:rPr>
                <w:rFonts w:ascii="Arial" w:hAnsi="Arial" w:cs="Arial"/>
                <w:b/>
                <w:sz w:val="20"/>
                <w:lang w:val="es-ES"/>
              </w:rPr>
              <w:t>Objetivo</w:t>
            </w:r>
          </w:p>
        </w:tc>
        <w:tc>
          <w:tcPr>
            <w:tcW w:w="11354" w:type="dxa"/>
            <w:gridSpan w:val="3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2A092B0" w14:textId="77777777" w:rsidR="00737463" w:rsidRPr="007344D5" w:rsidRDefault="00737463" w:rsidP="00471B35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7344D5">
              <w:rPr>
                <w:rFonts w:ascii="Arial" w:hAnsi="Arial" w:cs="Arial"/>
                <w:b/>
                <w:sz w:val="20"/>
                <w:lang w:val="es-ES"/>
              </w:rPr>
              <w:t>Programático III (201</w:t>
            </w:r>
            <w:r w:rsidR="004E71B9" w:rsidRPr="007344D5">
              <w:rPr>
                <w:rFonts w:ascii="Arial" w:hAnsi="Arial" w:cs="Arial"/>
                <w:b/>
                <w:sz w:val="20"/>
                <w:lang w:val="es-ES"/>
              </w:rPr>
              <w:t>8</w:t>
            </w:r>
            <w:r w:rsidRPr="007344D5">
              <w:rPr>
                <w:rFonts w:ascii="Arial" w:hAnsi="Arial" w:cs="Arial"/>
                <w:b/>
                <w:sz w:val="20"/>
                <w:lang w:val="es-ES"/>
              </w:rPr>
              <w:t>)</w:t>
            </w:r>
          </w:p>
        </w:tc>
      </w:tr>
      <w:tr w:rsidR="00737463" w:rsidRPr="008A13B0" w14:paraId="4A1ACFB1" w14:textId="77777777" w:rsidTr="00AB5416">
        <w:trPr>
          <w:cantSplit/>
          <w:trHeight w:val="350"/>
          <w:tblHeader/>
        </w:trPr>
        <w:tc>
          <w:tcPr>
            <w:tcW w:w="1714" w:type="dxa"/>
            <w:vMerge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73F6A3E3" w14:textId="77777777" w:rsidR="00737463" w:rsidRPr="007344D5" w:rsidRDefault="00737463" w:rsidP="00471B35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57FA24AA" w14:textId="77777777" w:rsidR="00737463" w:rsidRPr="007344D5" w:rsidRDefault="00737463" w:rsidP="00471B35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7344D5">
              <w:rPr>
                <w:rFonts w:ascii="Arial" w:hAnsi="Arial" w:cs="Arial"/>
                <w:b/>
                <w:sz w:val="20"/>
                <w:lang w:val="es-ES"/>
              </w:rPr>
              <w:t>Condiciones de Política</w:t>
            </w:r>
          </w:p>
        </w:tc>
        <w:tc>
          <w:tcPr>
            <w:tcW w:w="6053" w:type="dxa"/>
            <w:tcBorders>
              <w:bottom w:val="single" w:sz="4" w:space="0" w:color="auto"/>
              <w:right w:val="nil"/>
            </w:tcBorders>
            <w:shd w:val="clear" w:color="auto" w:fill="8DB3E2"/>
            <w:vAlign w:val="center"/>
          </w:tcPr>
          <w:p w14:paraId="325D687F" w14:textId="77777777" w:rsidR="00737463" w:rsidRPr="007344D5" w:rsidRDefault="00737463" w:rsidP="00471B35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7344D5">
              <w:rPr>
                <w:rFonts w:ascii="Arial" w:hAnsi="Arial" w:cs="Arial"/>
                <w:b/>
                <w:sz w:val="20"/>
                <w:lang w:val="es-ES"/>
              </w:rPr>
              <w:t>Medios de verificación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  <w:shd w:val="clear" w:color="auto" w:fill="8DB3E2"/>
            <w:vAlign w:val="center"/>
          </w:tcPr>
          <w:p w14:paraId="447EA8B4" w14:textId="77777777" w:rsidR="00737463" w:rsidRPr="008A13B0" w:rsidRDefault="00737463" w:rsidP="00471B35">
            <w:pPr>
              <w:jc w:val="center"/>
              <w:rPr>
                <w:rFonts w:ascii="Arial" w:hAnsi="Arial" w:cs="Arial"/>
                <w:b/>
                <w:sz w:val="18"/>
                <w:lang w:val="es-ES"/>
              </w:rPr>
            </w:pPr>
          </w:p>
        </w:tc>
      </w:tr>
      <w:tr w:rsidR="00737463" w:rsidRPr="00B064F5" w14:paraId="3A6E8A09" w14:textId="77777777" w:rsidTr="00AB5416">
        <w:trPr>
          <w:cantSplit/>
          <w:trHeight w:val="359"/>
        </w:trPr>
        <w:tc>
          <w:tcPr>
            <w:tcW w:w="1306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9E8C07" w14:textId="77777777" w:rsidR="00737463" w:rsidRPr="007344D5" w:rsidRDefault="00737463" w:rsidP="007344D5">
            <w:pPr>
              <w:rPr>
                <w:rFonts w:ascii="Arial" w:hAnsi="Arial" w:cs="Arial"/>
                <w:b/>
                <w:sz w:val="20"/>
                <w:lang w:val="es-ES"/>
              </w:rPr>
            </w:pPr>
            <w:r w:rsidRPr="007344D5">
              <w:rPr>
                <w:rFonts w:ascii="Arial" w:hAnsi="Arial" w:cs="Arial"/>
                <w:b/>
                <w:sz w:val="20"/>
                <w:lang w:val="es-ES"/>
              </w:rPr>
              <w:t>Componente 1. Marco macroeconómico</w:t>
            </w:r>
          </w:p>
        </w:tc>
      </w:tr>
      <w:tr w:rsidR="00737463" w:rsidRPr="009C2EE7" w14:paraId="197C26FC" w14:textId="77777777" w:rsidTr="00471B35">
        <w:trPr>
          <w:cantSplit/>
          <w:trHeight w:val="548"/>
        </w:trPr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</w:tcPr>
          <w:p w14:paraId="3DB25C87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Marco macroeconómico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auto"/>
          </w:tcPr>
          <w:p w14:paraId="7E948380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(1.1) Que se mantenga un marco de políticas macroeconómicas adecuado.</w:t>
            </w:r>
          </w:p>
        </w:tc>
        <w:tc>
          <w:tcPr>
            <w:tcW w:w="6053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285CB40" w14:textId="169737D9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Evaluación Independiente de Condiciones Macroeconómicas (IAMC) vigente al momento de solicitar el desembolso</w:t>
            </w:r>
            <w:r w:rsidR="009F4BDE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01D31292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0060CB2B" w14:textId="77777777" w:rsidTr="00471B35">
        <w:trPr>
          <w:cantSplit/>
          <w:trHeight w:val="368"/>
        </w:trPr>
        <w:tc>
          <w:tcPr>
            <w:tcW w:w="13068" w:type="dxa"/>
            <w:gridSpan w:val="4"/>
            <w:shd w:val="clear" w:color="auto" w:fill="BFBFBF" w:themeFill="background1" w:themeFillShade="BF"/>
          </w:tcPr>
          <w:p w14:paraId="4AF05103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b/>
                <w:sz w:val="20"/>
                <w:lang w:val="es-ES"/>
              </w:rPr>
              <w:t>Componente 2. Apoyo a la mejora de la equidad y eficiencia del gasto en protección social</w:t>
            </w:r>
          </w:p>
        </w:tc>
      </w:tr>
      <w:tr w:rsidR="00737463" w:rsidRPr="009C2EE7" w14:paraId="4DEC2592" w14:textId="77777777" w:rsidTr="00737463">
        <w:trPr>
          <w:cantSplit/>
          <w:trHeight w:val="1079"/>
        </w:trPr>
        <w:tc>
          <w:tcPr>
            <w:tcW w:w="1714" w:type="dxa"/>
            <w:vMerge w:val="restart"/>
            <w:shd w:val="clear" w:color="auto" w:fill="auto"/>
          </w:tcPr>
          <w:p w14:paraId="1C5ED364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Focalización</w:t>
            </w:r>
          </w:p>
        </w:tc>
        <w:tc>
          <w:tcPr>
            <w:tcW w:w="5031" w:type="dxa"/>
            <w:shd w:val="clear" w:color="auto" w:fill="auto"/>
          </w:tcPr>
          <w:p w14:paraId="7CE06197" w14:textId="77777777" w:rsidR="00737463" w:rsidRPr="007344D5" w:rsidRDefault="00737463" w:rsidP="007344D5">
            <w:pPr>
              <w:spacing w:after="120"/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(2.1a) Que se hayan evaluado los efectos de la implementación del nuevo mecanismo de focalización y del nuevo proceso de recertificación sobre cobertura y filtración de los programas Red de Oportunidades, 120 a los 65, Ángel Guardián.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470CEA45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Informe del MIDES que evalúe los efectos de la implementación del nuevo mecanismo de focalización y del nuevo proceso de recertificación sobre cobertura y filtración de los programas Red de Oportunidades, 120 a los 65, Ángel Guardián.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55844231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16017E7F" w14:textId="77777777" w:rsidTr="00471B35">
        <w:trPr>
          <w:cantSplit/>
          <w:trHeight w:val="809"/>
        </w:trPr>
        <w:tc>
          <w:tcPr>
            <w:tcW w:w="1714" w:type="dxa"/>
            <w:vMerge/>
            <w:shd w:val="clear" w:color="auto" w:fill="auto"/>
          </w:tcPr>
          <w:p w14:paraId="776A2EB9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3F8F637F" w14:textId="77777777" w:rsidR="00737463" w:rsidRPr="007344D5" w:rsidRDefault="00737463" w:rsidP="007344D5">
            <w:pPr>
              <w:spacing w:after="120"/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 xml:space="preserve">(2.1b) Que se hayan recertificado el 40% de los beneficiarios de los programas </w:t>
            </w:r>
            <w:proofErr w:type="spellStart"/>
            <w:r w:rsidRPr="007344D5">
              <w:rPr>
                <w:rFonts w:ascii="Arial" w:hAnsi="Arial" w:cs="Arial"/>
                <w:sz w:val="20"/>
                <w:lang w:val="es-ES"/>
              </w:rPr>
              <w:t>RdO</w:t>
            </w:r>
            <w:proofErr w:type="spellEnd"/>
            <w:r w:rsidRPr="007344D5">
              <w:rPr>
                <w:rFonts w:ascii="Arial" w:hAnsi="Arial" w:cs="Arial"/>
                <w:sz w:val="20"/>
                <w:lang w:val="es-ES"/>
              </w:rPr>
              <w:t>, 120 a los 65 y Ángel Guardián, usando el nuevo mecanismo de focalización.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7AE8D560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 xml:space="preserve">Informe del MIDES que documente la recertificación de al menos el 40% de los beneficiarios potencialmente </w:t>
            </w:r>
            <w:proofErr w:type="spellStart"/>
            <w:r w:rsidRPr="007344D5">
              <w:rPr>
                <w:rFonts w:ascii="Arial" w:hAnsi="Arial" w:cs="Arial"/>
                <w:sz w:val="20"/>
                <w:lang w:val="es-ES"/>
              </w:rPr>
              <w:t>recertificables</w:t>
            </w:r>
            <w:proofErr w:type="spellEnd"/>
            <w:r w:rsidRPr="007344D5">
              <w:rPr>
                <w:rFonts w:ascii="Arial" w:hAnsi="Arial" w:cs="Arial"/>
                <w:sz w:val="20"/>
                <w:lang w:val="es-ES"/>
              </w:rPr>
              <w:t xml:space="preserve"> de los programas Red de Oportunidades, 120 a los 65, Ángel Guardián, usando el nuevo mecanismo de focalización.</w:t>
            </w:r>
          </w:p>
          <w:p w14:paraId="514EC6B3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5629A08F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07CBB9C7" w14:textId="77777777" w:rsidTr="00471B35">
        <w:trPr>
          <w:cantSplit/>
          <w:trHeight w:val="809"/>
        </w:trPr>
        <w:tc>
          <w:tcPr>
            <w:tcW w:w="1714" w:type="dxa"/>
            <w:vMerge/>
            <w:shd w:val="clear" w:color="auto" w:fill="auto"/>
          </w:tcPr>
          <w:p w14:paraId="525E7ADE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0D9C815A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(2.1c) Que se hayan implementado los criterios de priorización de la Beca Universal para la población en pobreza enunciados en el componente (2.1a) de la primera operación.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481AFFFC" w14:textId="77777777" w:rsidR="00737463" w:rsidRPr="007344D5" w:rsidRDefault="00737463" w:rsidP="007344D5">
            <w:pPr>
              <w:tabs>
                <w:tab w:val="left" w:pos="0"/>
              </w:tabs>
              <w:rPr>
                <w:rFonts w:ascii="Arial" w:hAnsi="Arial" w:cs="Arial"/>
                <w:sz w:val="20"/>
                <w:lang w:val="es-PA"/>
              </w:rPr>
            </w:pPr>
            <w:r w:rsidRPr="007344D5">
              <w:rPr>
                <w:rFonts w:ascii="Arial" w:hAnsi="Arial" w:cs="Arial"/>
                <w:sz w:val="20"/>
                <w:lang w:val="es-PA"/>
              </w:rPr>
              <w:t xml:space="preserve">Nota del MIDES que documente el proceso de registro en la BU de aquellos beneficiarios de la </w:t>
            </w:r>
            <w:proofErr w:type="spellStart"/>
            <w:r w:rsidRPr="007344D5">
              <w:rPr>
                <w:rFonts w:ascii="Arial" w:hAnsi="Arial" w:cs="Arial"/>
                <w:sz w:val="20"/>
                <w:lang w:val="es-PA"/>
              </w:rPr>
              <w:t>RdO</w:t>
            </w:r>
            <w:proofErr w:type="spellEnd"/>
            <w:r w:rsidRPr="007344D5">
              <w:rPr>
                <w:rFonts w:ascii="Arial" w:hAnsi="Arial" w:cs="Arial"/>
                <w:sz w:val="20"/>
                <w:lang w:val="es-PA"/>
              </w:rPr>
              <w:t xml:space="preserve"> que no estén en el padrón de la BU.</w:t>
            </w:r>
          </w:p>
          <w:p w14:paraId="4EDB396B" w14:textId="77777777" w:rsidR="00737463" w:rsidRPr="007344D5" w:rsidRDefault="00737463" w:rsidP="007344D5">
            <w:pPr>
              <w:tabs>
                <w:tab w:val="left" w:pos="0"/>
              </w:tabs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4B3693AA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09ED4F7E" w14:textId="77777777" w:rsidTr="00471B35">
        <w:trPr>
          <w:cantSplit/>
          <w:trHeight w:val="809"/>
        </w:trPr>
        <w:tc>
          <w:tcPr>
            <w:tcW w:w="1714" w:type="dxa"/>
            <w:vMerge/>
            <w:shd w:val="clear" w:color="auto" w:fill="auto"/>
          </w:tcPr>
          <w:p w14:paraId="2DA2B2AE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55AD7734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(2.1d) Que subsidios generalizados</w:t>
            </w:r>
            <w:r w:rsidR="00DB183B">
              <w:rPr>
                <w:rStyle w:val="FootnoteReference"/>
                <w:rFonts w:ascii="Arial" w:hAnsi="Arial" w:cs="Arial"/>
                <w:sz w:val="20"/>
                <w:lang w:val="es-ES"/>
              </w:rPr>
              <w:footnoteReference w:id="1"/>
            </w:r>
            <w:r w:rsidRPr="007344D5">
              <w:rPr>
                <w:rFonts w:ascii="Arial" w:hAnsi="Arial" w:cs="Arial"/>
                <w:sz w:val="20"/>
                <w:lang w:val="es-ES"/>
              </w:rPr>
              <w:t xml:space="preserve"> por un monto de al menos 30 millones de Balboas (B./) por año, hayan sido re-focalizados usando el nuevo y único mecanismo de identificación de la población en pobreza y pobreza extrema en el país.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7AC2F65B" w14:textId="77777777" w:rsidR="00737463" w:rsidRPr="007344D5" w:rsidRDefault="00737463" w:rsidP="007344D5">
            <w:pPr>
              <w:tabs>
                <w:tab w:val="left" w:pos="0"/>
              </w:tabs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Nota del MEF que documente la reducción en el gasto en subsidios generalizados</w:t>
            </w:r>
            <w:r w:rsidR="00105C7D">
              <w:rPr>
                <w:rFonts w:ascii="Arial" w:hAnsi="Arial" w:cs="Arial"/>
                <w:sz w:val="20"/>
                <w:lang w:val="es-ES"/>
              </w:rPr>
              <w:t xml:space="preserve"> (</w:t>
            </w:r>
            <w:r w:rsidR="00105C7D">
              <w:rPr>
                <w:rFonts w:ascii="Arial" w:hAnsi="Arial" w:cs="Arial"/>
                <w:color w:val="000000"/>
                <w:sz w:val="20"/>
                <w:lang w:val="es-ES"/>
              </w:rPr>
              <w:t>principalmente al consumo de combustibles fósiles: subsidio eléctrico y gas licuado</w:t>
            </w:r>
            <w:r w:rsidR="00105C7D">
              <w:rPr>
                <w:rFonts w:ascii="Arial" w:hAnsi="Arial" w:cs="Arial"/>
                <w:sz w:val="20"/>
                <w:lang w:val="es-ES"/>
              </w:rPr>
              <w:t>)</w:t>
            </w:r>
            <w:r w:rsidRPr="007344D5">
              <w:rPr>
                <w:rFonts w:ascii="Arial" w:hAnsi="Arial" w:cs="Arial"/>
                <w:sz w:val="20"/>
                <w:lang w:val="es-ES"/>
              </w:rPr>
              <w:t>, y el aumento del presupuesto del MIDES para los programas Red de Oportunidades, 120 a los 65 y Ángel Guardián.</w:t>
            </w:r>
          </w:p>
          <w:p w14:paraId="2471F38D" w14:textId="77777777" w:rsidR="00737463" w:rsidRPr="007344D5" w:rsidRDefault="00737463" w:rsidP="007344D5">
            <w:pPr>
              <w:tabs>
                <w:tab w:val="left" w:pos="0"/>
              </w:tabs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429930AE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2DB69260" w14:textId="77777777" w:rsidTr="00EB475D">
        <w:trPr>
          <w:cantSplit/>
          <w:trHeight w:val="1295"/>
        </w:trPr>
        <w:tc>
          <w:tcPr>
            <w:tcW w:w="1714" w:type="dxa"/>
            <w:vMerge w:val="restart"/>
            <w:shd w:val="clear" w:color="auto" w:fill="auto"/>
          </w:tcPr>
          <w:p w14:paraId="700F44CD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419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lastRenderedPageBreak/>
              <w:t xml:space="preserve">Manejo del </w:t>
            </w:r>
            <w:proofErr w:type="spellStart"/>
            <w:r w:rsidRPr="007344D5">
              <w:rPr>
                <w:rFonts w:ascii="Arial" w:hAnsi="Arial" w:cs="Arial"/>
                <w:sz w:val="20"/>
                <w:lang w:val="es-ES"/>
              </w:rPr>
              <w:t>padr</w:t>
            </w:r>
            <w:r w:rsidRPr="007344D5">
              <w:rPr>
                <w:rFonts w:ascii="Arial" w:hAnsi="Arial" w:cs="Arial"/>
                <w:sz w:val="20"/>
                <w:lang w:val="es-419"/>
              </w:rPr>
              <w:t>ón</w:t>
            </w:r>
            <w:proofErr w:type="spellEnd"/>
          </w:p>
        </w:tc>
        <w:tc>
          <w:tcPr>
            <w:tcW w:w="5031" w:type="dxa"/>
            <w:shd w:val="clear" w:color="auto" w:fill="auto"/>
          </w:tcPr>
          <w:p w14:paraId="14CF56E0" w14:textId="77777777" w:rsidR="00737463" w:rsidRPr="007344D5" w:rsidRDefault="00737463" w:rsidP="007344D5">
            <w:pPr>
              <w:spacing w:after="120"/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(2.2a) Que se hayan incluido en el RUB los datos, incluyendo la cedula de identidad, de los beneficiarios de los siguientes programas: Red de Oportunidades, 120 a los 65 y Ángel Guardián.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71448027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Nota del MIDES sobre los datos que se encuentran en el sistema transitorio del registro único de beneficiarios.</w:t>
            </w:r>
          </w:p>
          <w:p w14:paraId="6BF53B85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Verificación in-situ del sistema para verificar los datos que se encuentran almacenados en el mismo sobre los programas Red de Oportunidades, 120 a los 65 y Ángel Guardián.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39F95820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59F2D88C" w14:textId="77777777" w:rsidTr="00471B35">
        <w:trPr>
          <w:cantSplit/>
        </w:trPr>
        <w:tc>
          <w:tcPr>
            <w:tcW w:w="1714" w:type="dxa"/>
            <w:vMerge/>
            <w:shd w:val="clear" w:color="auto" w:fill="auto"/>
          </w:tcPr>
          <w:p w14:paraId="501A430B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1A8AD27E" w14:textId="2DE4DABC" w:rsidR="00737463" w:rsidRPr="007344D5" w:rsidRDefault="00737463" w:rsidP="007344D5">
            <w:pPr>
              <w:spacing w:after="120"/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(2.2b) Que se haya establecido la interface entre el RUB y la base de datos del Tribunal Electoral, el IFARHU</w:t>
            </w:r>
            <w:r w:rsidR="0093773D">
              <w:rPr>
                <w:rFonts w:ascii="Arial" w:hAnsi="Arial" w:cs="Arial"/>
                <w:sz w:val="20"/>
                <w:lang w:val="es-ES"/>
              </w:rPr>
              <w:t xml:space="preserve"> y</w:t>
            </w:r>
            <w:r w:rsidRPr="007344D5">
              <w:rPr>
                <w:rFonts w:ascii="Arial" w:hAnsi="Arial" w:cs="Arial"/>
                <w:sz w:val="20"/>
                <w:lang w:val="es-ES"/>
              </w:rPr>
              <w:t xml:space="preserve"> el Ministerio de Salud</w:t>
            </w:r>
            <w:r w:rsidR="00941DA3">
              <w:rPr>
                <w:rFonts w:ascii="Arial" w:hAnsi="Arial" w:cs="Arial"/>
                <w:sz w:val="20"/>
                <w:lang w:val="es-ES"/>
              </w:rPr>
              <w:t>.</w:t>
            </w:r>
            <w:r w:rsidRPr="007344D5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5AB9E8EA" w14:textId="33A98673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Nota del MIDES que certifique la implementación y utilización de las interfaces del sistema transitorio del registro único de beneficiarios con el Tribunal Electoral,</w:t>
            </w:r>
            <w:r w:rsidR="00941DA3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7344D5">
              <w:rPr>
                <w:rFonts w:ascii="Arial" w:hAnsi="Arial" w:cs="Arial"/>
                <w:sz w:val="20"/>
                <w:lang w:val="es-ES"/>
              </w:rPr>
              <w:t>el IFARHU y el Ministerio de Salud.</w:t>
            </w:r>
          </w:p>
          <w:p w14:paraId="29293B3E" w14:textId="0997ABB8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Verificación in-situ del funcionamiento de las interfaces del sistema transitorio del registro único de beneficiarios con el Tribunal Electoral el IFARHU y el Ministerio de Salud.</w:t>
            </w:r>
          </w:p>
          <w:p w14:paraId="2DD27205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7D6D0201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501EF166" w14:textId="77777777" w:rsidTr="00471B35">
        <w:trPr>
          <w:cantSplit/>
        </w:trPr>
        <w:tc>
          <w:tcPr>
            <w:tcW w:w="1714" w:type="dxa"/>
            <w:vMerge/>
            <w:shd w:val="clear" w:color="auto" w:fill="auto"/>
          </w:tcPr>
          <w:p w14:paraId="546A5A2F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0F12A96D" w14:textId="088CD6D0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 xml:space="preserve">(2.2c) Que se haya empezado </w:t>
            </w:r>
            <w:r w:rsidR="00795D82">
              <w:rPr>
                <w:rFonts w:ascii="Arial" w:hAnsi="Arial" w:cs="Arial"/>
                <w:sz w:val="20"/>
                <w:lang w:val="es-ES"/>
              </w:rPr>
              <w:t>el proceso de pago de</w:t>
            </w:r>
            <w:r w:rsidRPr="007344D5">
              <w:rPr>
                <w:rFonts w:ascii="Arial" w:hAnsi="Arial" w:cs="Arial"/>
                <w:sz w:val="20"/>
                <w:lang w:val="es-ES"/>
              </w:rPr>
              <w:t xml:space="preserve"> las transferencias monetarias por medio de la plataforma única de pago integrada con el RUB.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59FA60BC" w14:textId="1E198D02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 xml:space="preserve">Nota del MIDES que detalle y certifique que se ha </w:t>
            </w:r>
            <w:r w:rsidR="00795D82">
              <w:rPr>
                <w:rFonts w:ascii="Arial" w:hAnsi="Arial" w:cs="Arial"/>
                <w:sz w:val="20"/>
                <w:lang w:val="es-ES"/>
              </w:rPr>
              <w:t>empezado</w:t>
            </w:r>
            <w:r w:rsidR="00795D82" w:rsidRPr="007344D5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7344D5">
              <w:rPr>
                <w:rFonts w:ascii="Arial" w:hAnsi="Arial" w:cs="Arial"/>
                <w:sz w:val="20"/>
                <w:lang w:val="es-ES"/>
              </w:rPr>
              <w:t>el proceso de pagos a través del sistema transitorio del registro único de beneficiarios.</w:t>
            </w:r>
          </w:p>
          <w:p w14:paraId="755DF797" w14:textId="0D3880E6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 xml:space="preserve">Verificación in-situ del proceso de pagos (envío de la planilla </w:t>
            </w:r>
            <w:r w:rsidR="00652F69">
              <w:rPr>
                <w:rFonts w:ascii="Arial" w:hAnsi="Arial" w:cs="Arial"/>
                <w:sz w:val="20"/>
                <w:lang w:val="es-ES"/>
              </w:rPr>
              <w:t xml:space="preserve">del MIDES </w:t>
            </w:r>
            <w:r w:rsidRPr="007344D5">
              <w:rPr>
                <w:rFonts w:ascii="Arial" w:hAnsi="Arial" w:cs="Arial"/>
                <w:sz w:val="20"/>
                <w:lang w:val="es-ES"/>
              </w:rPr>
              <w:t>al Banco Nacional de manera electrónica).</w:t>
            </w:r>
          </w:p>
          <w:p w14:paraId="30F06041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10A975F5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5F12EFA2" w14:textId="77777777" w:rsidTr="00EB475D">
        <w:trPr>
          <w:cantSplit/>
          <w:trHeight w:val="827"/>
        </w:trPr>
        <w:tc>
          <w:tcPr>
            <w:tcW w:w="1714" w:type="dxa"/>
            <w:vMerge w:val="restart"/>
            <w:shd w:val="clear" w:color="auto" w:fill="auto"/>
          </w:tcPr>
          <w:p w14:paraId="4E1FB523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Organización del MIDES</w:t>
            </w:r>
          </w:p>
        </w:tc>
        <w:tc>
          <w:tcPr>
            <w:tcW w:w="5031" w:type="dxa"/>
            <w:shd w:val="clear" w:color="auto" w:fill="auto"/>
          </w:tcPr>
          <w:p w14:paraId="3174ECD0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(2.3a) Que se haya evaluado operativamente la reorganización del MIDES</w:t>
            </w:r>
            <w:r w:rsidR="00D35BCC">
              <w:rPr>
                <w:rFonts w:ascii="Arial" w:hAnsi="Arial" w:cs="Arial"/>
                <w:sz w:val="20"/>
                <w:lang w:val="es-ES"/>
              </w:rPr>
              <w:t xml:space="preserve">, principalmente en relación con la </w:t>
            </w:r>
            <w:r w:rsidR="00D35BCC" w:rsidRPr="003269D1">
              <w:rPr>
                <w:rFonts w:ascii="Arial" w:hAnsi="Arial" w:cs="Arial"/>
                <w:sz w:val="20"/>
                <w:lang w:val="es-ES"/>
              </w:rPr>
              <w:t>Dirección de Inclusión y Desarrollo Social</w:t>
            </w:r>
            <w:r w:rsidR="00D35BCC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6DADAD05" w14:textId="77777777" w:rsidR="00737463" w:rsidRPr="007344D5" w:rsidRDefault="00737463" w:rsidP="00EB475D">
            <w:pPr>
              <w:spacing w:beforeLines="40" w:before="96" w:afterLines="40" w:after="96"/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 xml:space="preserve">Informe del Despacho Superior del MIDES que </w:t>
            </w:r>
            <w:r w:rsidR="00EB0B84">
              <w:rPr>
                <w:rFonts w:ascii="Arial" w:hAnsi="Arial" w:cs="Arial"/>
                <w:sz w:val="20"/>
                <w:lang w:val="es-ES"/>
              </w:rPr>
              <w:t>evalúe</w:t>
            </w:r>
            <w:r w:rsidR="00EB0B84" w:rsidRPr="007344D5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7344D5">
              <w:rPr>
                <w:rFonts w:ascii="Arial" w:hAnsi="Arial" w:cs="Arial"/>
                <w:sz w:val="20"/>
                <w:lang w:val="es-ES"/>
              </w:rPr>
              <w:t>el funcionamiento de la DIDS.</w:t>
            </w:r>
          </w:p>
        </w:tc>
        <w:tc>
          <w:tcPr>
            <w:tcW w:w="270" w:type="dxa"/>
            <w:tcBorders>
              <w:left w:val="nil"/>
            </w:tcBorders>
          </w:tcPr>
          <w:p w14:paraId="3AD38144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2233DA" w:rsidRPr="009C2EE7" w14:paraId="68CDE858" w14:textId="77777777" w:rsidTr="00471B35">
        <w:trPr>
          <w:cantSplit/>
        </w:trPr>
        <w:tc>
          <w:tcPr>
            <w:tcW w:w="1714" w:type="dxa"/>
            <w:vMerge/>
            <w:shd w:val="clear" w:color="auto" w:fill="auto"/>
          </w:tcPr>
          <w:p w14:paraId="74800333" w14:textId="77777777" w:rsidR="002233DA" w:rsidRPr="007344D5" w:rsidRDefault="002233DA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6E07A433" w14:textId="77777777" w:rsidR="002233DA" w:rsidRPr="007344D5" w:rsidRDefault="00981988" w:rsidP="007344D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 xml:space="preserve">(2.3b) </w:t>
            </w:r>
            <w:r w:rsidRPr="003269D1">
              <w:rPr>
                <w:rFonts w:ascii="Arial" w:hAnsi="Arial" w:cs="Arial"/>
                <w:sz w:val="20"/>
                <w:lang w:val="es-ES"/>
              </w:rPr>
              <w:t xml:space="preserve">Que se haya evaluado la racionalización de los procesos operativos del </w:t>
            </w:r>
            <w:r w:rsidR="00875F97" w:rsidRPr="00875F97">
              <w:rPr>
                <w:rFonts w:ascii="Arial" w:hAnsi="Arial" w:cs="Arial"/>
                <w:sz w:val="20"/>
                <w:lang w:val="es-ES"/>
              </w:rPr>
              <w:t>Bono Nutricional Alimenticio</w:t>
            </w:r>
            <w:r w:rsidR="00875F97">
              <w:rPr>
                <w:rFonts w:ascii="Arial" w:hAnsi="Arial" w:cs="Arial"/>
                <w:sz w:val="20"/>
                <w:lang w:val="es-ES"/>
              </w:rPr>
              <w:t xml:space="preserve"> (</w:t>
            </w:r>
            <w:r w:rsidRPr="003269D1">
              <w:rPr>
                <w:rFonts w:ascii="Arial" w:hAnsi="Arial" w:cs="Arial"/>
                <w:sz w:val="20"/>
                <w:lang w:val="es-ES"/>
              </w:rPr>
              <w:t>BNA</w:t>
            </w:r>
            <w:r w:rsidR="00875F97">
              <w:rPr>
                <w:rFonts w:ascii="Arial" w:hAnsi="Arial" w:cs="Arial"/>
                <w:sz w:val="20"/>
                <w:lang w:val="es-ES"/>
              </w:rPr>
              <w:t>)</w:t>
            </w:r>
            <w:r w:rsidRPr="003269D1">
              <w:rPr>
                <w:rFonts w:ascii="Arial" w:hAnsi="Arial" w:cs="Arial"/>
                <w:sz w:val="20"/>
                <w:lang w:val="es-ES"/>
              </w:rPr>
              <w:t xml:space="preserve"> y la </w:t>
            </w:r>
            <w:proofErr w:type="spellStart"/>
            <w:r w:rsidRPr="003269D1">
              <w:rPr>
                <w:rFonts w:ascii="Arial" w:hAnsi="Arial" w:cs="Arial"/>
                <w:sz w:val="20"/>
                <w:lang w:val="es-ES"/>
              </w:rPr>
              <w:t>RdO</w:t>
            </w:r>
            <w:r>
              <w:rPr>
                <w:rFonts w:ascii="Arial" w:hAnsi="Arial" w:cs="Arial"/>
                <w:sz w:val="20"/>
                <w:lang w:val="es-ES"/>
              </w:rPr>
              <w:t>.</w:t>
            </w:r>
            <w:proofErr w:type="spellEnd"/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36332F4A" w14:textId="77777777" w:rsidR="002233DA" w:rsidRPr="00EB475D" w:rsidRDefault="00981988" w:rsidP="007344D5">
            <w:pPr>
              <w:spacing w:beforeLines="40" w:before="96" w:afterLines="40" w:after="96"/>
              <w:rPr>
                <w:rFonts w:ascii="Arial" w:hAnsi="Arial" w:cs="Arial"/>
                <w:sz w:val="20"/>
                <w:lang w:val="es-ES"/>
              </w:rPr>
            </w:pPr>
            <w:r w:rsidRPr="00EB475D">
              <w:rPr>
                <w:rFonts w:ascii="Arial" w:hAnsi="Arial" w:cs="Arial"/>
                <w:sz w:val="20"/>
                <w:lang w:val="es-ES"/>
              </w:rPr>
              <w:t xml:space="preserve">Informe de la DIDS que describe la racionalización de los procesos operativos del BNA y </w:t>
            </w:r>
            <w:proofErr w:type="spellStart"/>
            <w:r w:rsidRPr="00EB475D">
              <w:rPr>
                <w:rFonts w:ascii="Arial" w:hAnsi="Arial" w:cs="Arial"/>
                <w:sz w:val="20"/>
                <w:lang w:val="es-ES"/>
              </w:rPr>
              <w:t>RdO</w:t>
            </w:r>
            <w:proofErr w:type="spellEnd"/>
            <w:r w:rsidRPr="00EB475D">
              <w:rPr>
                <w:rFonts w:ascii="Arial" w:hAnsi="Arial" w:cs="Arial"/>
                <w:sz w:val="20"/>
                <w:lang w:val="es-ES"/>
              </w:rPr>
              <w:t xml:space="preserve"> (unificación del padrón, utilización de la </w:t>
            </w:r>
            <w:r w:rsidR="008A27F3" w:rsidRPr="00EB475D">
              <w:rPr>
                <w:rFonts w:ascii="Arial" w:hAnsi="Arial" w:cs="Arial"/>
                <w:sz w:val="20"/>
                <w:lang w:val="es-ES_tradnl"/>
              </w:rPr>
              <w:t>Ficha Única de Protección Social (</w:t>
            </w:r>
            <w:r w:rsidRPr="00EB475D">
              <w:rPr>
                <w:rFonts w:ascii="Arial" w:hAnsi="Arial" w:cs="Arial"/>
                <w:sz w:val="20"/>
                <w:lang w:val="es-ES"/>
              </w:rPr>
              <w:t>FUPS</w:t>
            </w:r>
            <w:r w:rsidR="008A27F3" w:rsidRPr="00EB475D">
              <w:rPr>
                <w:rFonts w:ascii="Arial" w:hAnsi="Arial" w:cs="Arial"/>
                <w:sz w:val="20"/>
                <w:lang w:val="es-ES"/>
              </w:rPr>
              <w:t>)</w:t>
            </w:r>
            <w:r w:rsidRPr="00EB475D">
              <w:rPr>
                <w:rFonts w:ascii="Arial" w:hAnsi="Arial" w:cs="Arial"/>
                <w:sz w:val="20"/>
                <w:lang w:val="es-ES"/>
              </w:rPr>
              <w:t xml:space="preserve"> y unificación de la función de promotores).</w:t>
            </w:r>
          </w:p>
        </w:tc>
        <w:tc>
          <w:tcPr>
            <w:tcW w:w="270" w:type="dxa"/>
            <w:tcBorders>
              <w:left w:val="nil"/>
            </w:tcBorders>
          </w:tcPr>
          <w:p w14:paraId="64A9FFF9" w14:textId="77777777" w:rsidR="002233DA" w:rsidRPr="008A13B0" w:rsidRDefault="002233DA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6778CC6D" w14:textId="77777777" w:rsidTr="00471B35">
        <w:trPr>
          <w:cantSplit/>
        </w:trPr>
        <w:tc>
          <w:tcPr>
            <w:tcW w:w="1714" w:type="dxa"/>
            <w:vMerge/>
            <w:shd w:val="clear" w:color="auto" w:fill="auto"/>
          </w:tcPr>
          <w:p w14:paraId="3E575F98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38FB2C13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(2.</w:t>
            </w:r>
            <w:r w:rsidR="00981988" w:rsidRPr="007344D5">
              <w:rPr>
                <w:rFonts w:ascii="Arial" w:hAnsi="Arial" w:cs="Arial"/>
                <w:sz w:val="20"/>
                <w:lang w:val="es-ES"/>
              </w:rPr>
              <w:t>3</w:t>
            </w:r>
            <w:r w:rsidR="00981988">
              <w:rPr>
                <w:rFonts w:ascii="Arial" w:hAnsi="Arial" w:cs="Arial"/>
                <w:sz w:val="20"/>
                <w:lang w:val="es-ES"/>
              </w:rPr>
              <w:t>c</w:t>
            </w:r>
            <w:r w:rsidRPr="007344D5">
              <w:rPr>
                <w:rFonts w:ascii="Arial" w:hAnsi="Arial" w:cs="Arial"/>
                <w:sz w:val="20"/>
                <w:lang w:val="es-ES"/>
              </w:rPr>
              <w:t xml:space="preserve">) Que se haya adoptado el uso de la información levantada por el IFARHU para la verificación de corresponsabilidades en educación de la </w:t>
            </w:r>
            <w:proofErr w:type="spellStart"/>
            <w:r w:rsidRPr="007344D5">
              <w:rPr>
                <w:rFonts w:ascii="Arial" w:hAnsi="Arial" w:cs="Arial"/>
                <w:sz w:val="20"/>
                <w:lang w:val="es-ES"/>
              </w:rPr>
              <w:t>RdO.</w:t>
            </w:r>
            <w:proofErr w:type="spellEnd"/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16D6B749" w14:textId="77777777" w:rsidR="00737463" w:rsidRPr="00EB475D" w:rsidRDefault="00737463" w:rsidP="007344D5">
            <w:pPr>
              <w:spacing w:beforeLines="40" w:before="96" w:afterLines="40" w:after="96"/>
              <w:rPr>
                <w:rFonts w:ascii="Arial" w:hAnsi="Arial" w:cs="Arial"/>
                <w:sz w:val="20"/>
                <w:lang w:val="es-ES"/>
              </w:rPr>
            </w:pPr>
            <w:r w:rsidRPr="00EB475D">
              <w:rPr>
                <w:rFonts w:ascii="Arial" w:hAnsi="Arial" w:cs="Arial"/>
                <w:sz w:val="20"/>
                <w:lang w:val="es-ES"/>
              </w:rPr>
              <w:t xml:space="preserve">Informe del MIDES que certifique la implementación y utilización de la interface del sistema transitorio del registro único de beneficiarios con el sistema informático gerencial del IFARHU, y su utilización para la verificación de corresponsabilidades en educación de la </w:t>
            </w:r>
            <w:proofErr w:type="spellStart"/>
            <w:r w:rsidRPr="00EB475D">
              <w:rPr>
                <w:rFonts w:ascii="Arial" w:hAnsi="Arial" w:cs="Arial"/>
                <w:sz w:val="20"/>
                <w:lang w:val="es-ES"/>
              </w:rPr>
              <w:t>RdO.</w:t>
            </w:r>
            <w:proofErr w:type="spellEnd"/>
          </w:p>
          <w:p w14:paraId="464231F4" w14:textId="77777777" w:rsidR="00737463" w:rsidRPr="00EB475D" w:rsidRDefault="00737463" w:rsidP="007344D5">
            <w:pPr>
              <w:spacing w:beforeLines="40" w:before="96" w:afterLines="40" w:after="96"/>
              <w:rPr>
                <w:rFonts w:ascii="Arial" w:hAnsi="Arial" w:cs="Arial"/>
                <w:sz w:val="20"/>
                <w:lang w:val="es-ES"/>
              </w:rPr>
            </w:pPr>
            <w:r w:rsidRPr="00EB475D">
              <w:rPr>
                <w:rFonts w:ascii="Arial" w:hAnsi="Arial" w:cs="Arial"/>
                <w:sz w:val="20"/>
                <w:lang w:val="es-ES"/>
              </w:rPr>
              <w:t xml:space="preserve">Verificación in-situ del funcionamiento de la interface del sistema transitorio del registro único de beneficiarios con el sistema informático gerencial del IFARHU, y su utilización para la verificación de corresponsabilidades en educación de la </w:t>
            </w:r>
            <w:proofErr w:type="spellStart"/>
            <w:r w:rsidRPr="00EB475D">
              <w:rPr>
                <w:rFonts w:ascii="Arial" w:hAnsi="Arial" w:cs="Arial"/>
                <w:sz w:val="20"/>
                <w:lang w:val="es-ES"/>
              </w:rPr>
              <w:t>RdO.</w:t>
            </w:r>
            <w:proofErr w:type="spellEnd"/>
          </w:p>
        </w:tc>
        <w:tc>
          <w:tcPr>
            <w:tcW w:w="270" w:type="dxa"/>
            <w:tcBorders>
              <w:left w:val="nil"/>
            </w:tcBorders>
          </w:tcPr>
          <w:p w14:paraId="74832D96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6B22CDFA" w14:textId="77777777" w:rsidTr="00471B35">
        <w:trPr>
          <w:cantSplit/>
          <w:trHeight w:val="350"/>
        </w:trPr>
        <w:tc>
          <w:tcPr>
            <w:tcW w:w="13068" w:type="dxa"/>
            <w:gridSpan w:val="4"/>
            <w:shd w:val="clear" w:color="auto" w:fill="BFBFBF" w:themeFill="background1" w:themeFillShade="BF"/>
          </w:tcPr>
          <w:p w14:paraId="20475208" w14:textId="77777777" w:rsidR="00737463" w:rsidRPr="007344D5" w:rsidRDefault="00737463" w:rsidP="007344D5">
            <w:pPr>
              <w:keepNext/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b/>
                <w:sz w:val="20"/>
                <w:lang w:val="es-ES"/>
              </w:rPr>
              <w:t>Componente 3. Acumulación de capital humano</w:t>
            </w:r>
          </w:p>
        </w:tc>
      </w:tr>
      <w:tr w:rsidR="00737463" w:rsidRPr="009C2EE7" w14:paraId="7C153631" w14:textId="77777777" w:rsidTr="00471B35">
        <w:trPr>
          <w:cantSplit/>
          <w:trHeight w:val="800"/>
        </w:trPr>
        <w:tc>
          <w:tcPr>
            <w:tcW w:w="1714" w:type="dxa"/>
            <w:vMerge w:val="restart"/>
            <w:shd w:val="clear" w:color="auto" w:fill="auto"/>
          </w:tcPr>
          <w:p w14:paraId="3144DE31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proofErr w:type="spellStart"/>
            <w:r w:rsidRPr="007344D5">
              <w:rPr>
                <w:rFonts w:ascii="Arial" w:hAnsi="Arial" w:cs="Arial"/>
                <w:sz w:val="20"/>
              </w:rPr>
              <w:t>Programas</w:t>
            </w:r>
            <w:proofErr w:type="spellEnd"/>
            <w:r w:rsidRPr="007344D5"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 w:rsidRPr="007344D5">
              <w:rPr>
                <w:rFonts w:ascii="Arial" w:hAnsi="Arial" w:cs="Arial"/>
                <w:sz w:val="20"/>
              </w:rPr>
              <w:t>Transferencias</w:t>
            </w:r>
            <w:proofErr w:type="spellEnd"/>
            <w:r w:rsidRPr="007344D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344D5">
              <w:rPr>
                <w:rFonts w:ascii="Arial" w:hAnsi="Arial" w:cs="Arial"/>
                <w:sz w:val="20"/>
              </w:rPr>
              <w:t>Monetarias</w:t>
            </w:r>
            <w:proofErr w:type="spellEnd"/>
            <w:r w:rsidRPr="007344D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344D5">
              <w:rPr>
                <w:rFonts w:ascii="Arial" w:hAnsi="Arial" w:cs="Arial"/>
                <w:sz w:val="20"/>
              </w:rPr>
              <w:t>Condicionadas</w:t>
            </w:r>
            <w:proofErr w:type="spellEnd"/>
            <w:r w:rsidRPr="007344D5">
              <w:rPr>
                <w:rFonts w:ascii="Arial" w:hAnsi="Arial" w:cs="Arial"/>
                <w:sz w:val="20"/>
                <w:lang w:val="es-ES"/>
              </w:rPr>
              <w:t xml:space="preserve"> (PTMC)</w:t>
            </w:r>
          </w:p>
        </w:tc>
        <w:tc>
          <w:tcPr>
            <w:tcW w:w="5031" w:type="dxa"/>
            <w:shd w:val="clear" w:color="auto" w:fill="auto"/>
          </w:tcPr>
          <w:p w14:paraId="3A0CC6B5" w14:textId="77777777" w:rsidR="00737463" w:rsidRPr="007344D5" w:rsidRDefault="00737463" w:rsidP="007344D5">
            <w:pPr>
              <w:spacing w:after="120"/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 xml:space="preserve">(3.1a) Que al menos al 50% de los beneficiarios de la </w:t>
            </w:r>
            <w:proofErr w:type="spellStart"/>
            <w:r w:rsidRPr="007344D5">
              <w:rPr>
                <w:rFonts w:ascii="Arial" w:hAnsi="Arial" w:cs="Arial"/>
                <w:sz w:val="20"/>
                <w:lang w:val="es-ES"/>
              </w:rPr>
              <w:t>RdO</w:t>
            </w:r>
            <w:proofErr w:type="spellEnd"/>
            <w:r w:rsidRPr="007344D5">
              <w:rPr>
                <w:rFonts w:ascii="Arial" w:hAnsi="Arial" w:cs="Arial"/>
                <w:sz w:val="20"/>
                <w:lang w:val="es-ES"/>
              </w:rPr>
              <w:t xml:space="preserve"> se les esté verificando el cumplimiento de las corresponsabilidades en salud y educación, a través del Sistema de Información Gerencial (SIG) del programa.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172FDD7B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Informe del MIDES que documente la verificación del cumplimiento de corresponsabilidades en salud y educación. El informe debe contener al menos: (i) el porcentaje de beneficiarios a los cuales se les verificó el cumplimiento de corresponsabilidades por medio del sistema transitorio del registro único de beneficiarios, (ii) el número de beneficiarios que cumplieron y no cumplieron, desglosado en salud y educación.</w:t>
            </w:r>
          </w:p>
          <w:p w14:paraId="2250755A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Manual Operativo de la Red de Oportunidades revisado y aprobado por resolución ministerial.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03B2C3FB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06A3D5B8" w14:textId="77777777" w:rsidTr="00471B35">
        <w:trPr>
          <w:cantSplit/>
          <w:trHeight w:val="800"/>
        </w:trPr>
        <w:tc>
          <w:tcPr>
            <w:tcW w:w="1714" w:type="dxa"/>
            <w:vMerge/>
            <w:shd w:val="clear" w:color="auto" w:fill="auto"/>
          </w:tcPr>
          <w:p w14:paraId="54CCF6FA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562BB45A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(3.1b) Que en al menos un ciclo de pago de las transferencias de la Red de Oportunidades se aplique la siguiente regla: el incumplimiento parcial o total de las corresponsabilidades en salud y/o educación se sanciona con la suspensión del pago.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65B2D13C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 xml:space="preserve">Informe del MIDES del último ciclo de pago que documente el número de beneficiarios de la </w:t>
            </w:r>
            <w:proofErr w:type="spellStart"/>
            <w:r w:rsidRPr="007344D5">
              <w:rPr>
                <w:rFonts w:ascii="Arial" w:hAnsi="Arial" w:cs="Arial"/>
                <w:sz w:val="20"/>
                <w:lang w:val="es-ES"/>
              </w:rPr>
              <w:t>RdO</w:t>
            </w:r>
            <w:proofErr w:type="spellEnd"/>
            <w:r w:rsidRPr="007344D5">
              <w:rPr>
                <w:rFonts w:ascii="Arial" w:hAnsi="Arial" w:cs="Arial"/>
                <w:sz w:val="20"/>
                <w:lang w:val="es-ES"/>
              </w:rPr>
              <w:t xml:space="preserve"> a los cuales se les ha suspendido el pago por incumplimiento de las corresponsabilidades en salud y/o educación.</w:t>
            </w:r>
          </w:p>
          <w:p w14:paraId="1811E442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016E7C51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23FDB45E" w14:textId="77777777" w:rsidTr="00471B35">
        <w:trPr>
          <w:cantSplit/>
          <w:trHeight w:val="674"/>
        </w:trPr>
        <w:tc>
          <w:tcPr>
            <w:tcW w:w="1714" w:type="dxa"/>
            <w:vMerge w:val="restart"/>
            <w:shd w:val="clear" w:color="auto" w:fill="auto"/>
          </w:tcPr>
          <w:p w14:paraId="564AA05A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Desarrollo Infantil Temprano (DIT)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auto"/>
          </w:tcPr>
          <w:p w14:paraId="07F67DFD" w14:textId="77777777" w:rsidR="00737463" w:rsidRPr="007344D5" w:rsidRDefault="00737463" w:rsidP="007344D5">
            <w:pPr>
              <w:spacing w:after="120"/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(3.2a) Que se esté utilizando la Libreta del Niño para al menos 40.000 niños o madres gestantes, y que se haya evaluado operativamente su funcionamiento.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164C0C9C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Nota del MINSA que certifica la cantidad de libretas entregadas a las Regionales de Salud</w:t>
            </w:r>
            <w:r w:rsidR="00083D5B">
              <w:rPr>
                <w:rFonts w:ascii="Arial" w:hAnsi="Arial" w:cs="Arial"/>
                <w:sz w:val="20"/>
                <w:lang w:val="es-ES"/>
              </w:rPr>
              <w:t xml:space="preserve"> y la instrucción de su utilización</w:t>
            </w:r>
            <w:r w:rsidRPr="007344D5">
              <w:rPr>
                <w:rFonts w:ascii="Arial" w:hAnsi="Arial" w:cs="Arial"/>
                <w:sz w:val="20"/>
                <w:lang w:val="es-ES"/>
              </w:rPr>
              <w:t>.</w:t>
            </w:r>
          </w:p>
          <w:p w14:paraId="7E8C6AE6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Informe de la evaluación operativa del funcionamiento de la libreta del Niño elaborado por la Unidad Coordinadora de la Primera Infancia y validado por el Comité Técnico del CONAIPI (certificación del punto de acta de la reunión del Comité Técnico donde se aprobó la validación de la evaluación).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</w:tcPr>
          <w:p w14:paraId="6BEDFC87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  <w:r w:rsidRPr="008A13B0">
              <w:rPr>
                <w:rFonts w:ascii="Arial" w:hAnsi="Arial" w:cs="Arial"/>
                <w:sz w:val="18"/>
                <w:lang w:val="es-ES"/>
              </w:rPr>
              <w:t xml:space="preserve"> </w:t>
            </w:r>
          </w:p>
        </w:tc>
      </w:tr>
      <w:tr w:rsidR="00737463" w:rsidRPr="009C2EE7" w14:paraId="3932C962" w14:textId="77777777" w:rsidTr="00471B35">
        <w:trPr>
          <w:cantSplit/>
          <w:trHeight w:val="548"/>
        </w:trPr>
        <w:tc>
          <w:tcPr>
            <w:tcW w:w="1714" w:type="dxa"/>
            <w:vMerge/>
            <w:shd w:val="clear" w:color="auto" w:fill="auto"/>
          </w:tcPr>
          <w:p w14:paraId="56FD2E39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49E323C3" w14:textId="58723BD4" w:rsidR="00737463" w:rsidRPr="007344D5" w:rsidRDefault="00737463" w:rsidP="007344D5">
            <w:pPr>
              <w:spacing w:after="120"/>
              <w:rPr>
                <w:rFonts w:ascii="Arial" w:hAnsi="Arial" w:cs="Arial"/>
                <w:color w:val="FF0000"/>
                <w:sz w:val="20"/>
                <w:lang w:val="es-EC"/>
              </w:rPr>
            </w:pPr>
            <w:r w:rsidRPr="007344D5">
              <w:rPr>
                <w:rFonts w:ascii="Arial" w:hAnsi="Arial" w:cs="Arial"/>
                <w:color w:val="212121"/>
                <w:sz w:val="20"/>
                <w:shd w:val="clear" w:color="auto" w:fill="FFFFFF"/>
                <w:lang w:val="es-EC"/>
              </w:rPr>
              <w:t>(3.2b) </w:t>
            </w:r>
            <w:r w:rsidRPr="007344D5">
              <w:rPr>
                <w:rFonts w:ascii="Arial" w:hAnsi="Arial" w:cs="Arial"/>
                <w:color w:val="212121"/>
                <w:sz w:val="20"/>
                <w:lang w:val="es-EC"/>
              </w:rPr>
              <w:t xml:space="preserve">Que los estándares de calidad de los servicios de atención integral a la primera infancia aprobados para los niños atendidos en </w:t>
            </w:r>
            <w:r w:rsidR="00867D34" w:rsidRPr="00486631">
              <w:rPr>
                <w:rFonts w:ascii="Arial" w:hAnsi="Arial" w:cs="Arial"/>
                <w:sz w:val="20"/>
                <w:lang w:val="es-ES"/>
              </w:rPr>
              <w:t>Centros de Atención Integral a la Primera Infancia</w:t>
            </w:r>
            <w:r w:rsidR="00867D34" w:rsidRPr="007344D5">
              <w:rPr>
                <w:rFonts w:ascii="Arial" w:hAnsi="Arial" w:cs="Arial"/>
                <w:color w:val="212121"/>
                <w:sz w:val="20"/>
                <w:lang w:val="es-EC"/>
              </w:rPr>
              <w:t xml:space="preserve"> </w:t>
            </w:r>
            <w:r w:rsidR="00867D34">
              <w:rPr>
                <w:rFonts w:ascii="Arial" w:hAnsi="Arial" w:cs="Arial"/>
                <w:color w:val="212121"/>
                <w:sz w:val="20"/>
                <w:lang w:val="es-EC"/>
              </w:rPr>
              <w:t>(</w:t>
            </w:r>
            <w:r w:rsidRPr="007344D5">
              <w:rPr>
                <w:rFonts w:ascii="Arial" w:hAnsi="Arial" w:cs="Arial"/>
                <w:color w:val="212121"/>
                <w:sz w:val="20"/>
                <w:lang w:val="es-EC"/>
              </w:rPr>
              <w:t>CAIPI</w:t>
            </w:r>
            <w:r w:rsidR="00867D34">
              <w:rPr>
                <w:rFonts w:ascii="Arial" w:hAnsi="Arial" w:cs="Arial"/>
                <w:color w:val="212121"/>
                <w:sz w:val="20"/>
                <w:lang w:val="es-EC"/>
              </w:rPr>
              <w:t>)</w:t>
            </w:r>
            <w:r w:rsidRPr="007344D5">
              <w:rPr>
                <w:rFonts w:ascii="Arial" w:hAnsi="Arial" w:cs="Arial"/>
                <w:color w:val="212121"/>
                <w:sz w:val="20"/>
                <w:lang w:val="es-EC"/>
              </w:rPr>
              <w:t xml:space="preserve"> se estén implementando y monitoreando.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29DFCEA0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Resolución Ministerial del MIDES que adopte el Reglamento Operativo del Modelo de Atención Integral a la Primera Infancia con sus fases de implementación progresiva.</w:t>
            </w:r>
          </w:p>
          <w:p w14:paraId="0A06A15A" w14:textId="4BB5C149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Instrumentos de supervisión de los estándares desarrollados e informes de supervisión de la DISPROS para los CAIPI de tratamiento.</w:t>
            </w:r>
          </w:p>
        </w:tc>
        <w:tc>
          <w:tcPr>
            <w:tcW w:w="270" w:type="dxa"/>
            <w:tcBorders>
              <w:left w:val="nil"/>
            </w:tcBorders>
          </w:tcPr>
          <w:p w14:paraId="3B68A946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69C7D603" w14:textId="77777777" w:rsidTr="00471B35">
        <w:trPr>
          <w:cantSplit/>
          <w:trHeight w:val="449"/>
        </w:trPr>
        <w:tc>
          <w:tcPr>
            <w:tcW w:w="1714" w:type="dxa"/>
            <w:vMerge/>
            <w:shd w:val="clear" w:color="auto" w:fill="auto"/>
          </w:tcPr>
          <w:p w14:paraId="6C647E1B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6646B2EA" w14:textId="16C4DD2C" w:rsidR="00737463" w:rsidRPr="007344D5" w:rsidRDefault="00737463" w:rsidP="007344D5">
            <w:pPr>
              <w:spacing w:after="120"/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 xml:space="preserve">(3.2c) Que el modelo de atención integral a la primera infancia de </w:t>
            </w:r>
            <w:r w:rsidR="009F4BDE">
              <w:rPr>
                <w:rFonts w:ascii="Arial" w:hAnsi="Arial" w:cs="Arial"/>
                <w:sz w:val="20"/>
                <w:lang w:val="es-ES"/>
              </w:rPr>
              <w:t xml:space="preserve">los </w:t>
            </w:r>
            <w:r w:rsidR="008843DE" w:rsidRPr="007344D5">
              <w:rPr>
                <w:rFonts w:ascii="Arial" w:hAnsi="Arial" w:cs="Arial"/>
                <w:sz w:val="20"/>
                <w:lang w:val="es-ES"/>
              </w:rPr>
              <w:t>C</w:t>
            </w:r>
            <w:r w:rsidR="008843DE">
              <w:rPr>
                <w:rFonts w:ascii="Arial" w:hAnsi="Arial" w:cs="Arial"/>
                <w:sz w:val="20"/>
                <w:lang w:val="es-ES"/>
              </w:rPr>
              <w:t>AIPI</w:t>
            </w:r>
            <w:r w:rsidR="008843DE" w:rsidRPr="007344D5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7344D5">
              <w:rPr>
                <w:rFonts w:ascii="Arial" w:hAnsi="Arial" w:cs="Arial"/>
                <w:sz w:val="20"/>
                <w:lang w:val="es-ES"/>
              </w:rPr>
              <w:t>se esté implementando.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414AA46F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 xml:space="preserve">Resolución Ministerial del MIDES que adopte el Reglamento Operativo del Modelo de Atención Integral a la Primera Infancia que refleje el proceso del pago por resultado y su implementación de forma progresiva. </w:t>
            </w:r>
          </w:p>
          <w:p w14:paraId="6792FF9A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  <w:r w:rsidRPr="007344D5">
              <w:rPr>
                <w:rFonts w:ascii="Arial" w:hAnsi="Arial" w:cs="Arial"/>
                <w:sz w:val="20"/>
                <w:lang w:val="es-ES"/>
              </w:rPr>
              <w:t>Informe que describa el avance en la implementación del modelo de atención integral.</w:t>
            </w:r>
          </w:p>
        </w:tc>
        <w:tc>
          <w:tcPr>
            <w:tcW w:w="270" w:type="dxa"/>
            <w:tcBorders>
              <w:left w:val="nil"/>
            </w:tcBorders>
          </w:tcPr>
          <w:p w14:paraId="0D64A984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737463" w:rsidRPr="009C2EE7" w14:paraId="37E8F3B5" w14:textId="77777777" w:rsidTr="00471B35">
        <w:trPr>
          <w:cantSplit/>
          <w:trHeight w:val="512"/>
        </w:trPr>
        <w:tc>
          <w:tcPr>
            <w:tcW w:w="1714" w:type="dxa"/>
            <w:vMerge/>
            <w:shd w:val="clear" w:color="auto" w:fill="auto"/>
          </w:tcPr>
          <w:p w14:paraId="326A1F9C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1" w:type="dxa"/>
            <w:shd w:val="clear" w:color="auto" w:fill="auto"/>
          </w:tcPr>
          <w:p w14:paraId="2C4B7A71" w14:textId="77777777" w:rsidR="00737463" w:rsidRPr="007344D5" w:rsidRDefault="00737463" w:rsidP="007344D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</w:pPr>
            <w:r w:rsidRPr="007344D5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>(</w:t>
            </w:r>
            <w:r w:rsidRPr="007344D5">
              <w:rPr>
                <w:rFonts w:ascii="Arial" w:hAnsi="Arial" w:cs="Arial"/>
                <w:sz w:val="20"/>
                <w:szCs w:val="20"/>
                <w:lang w:val="es-ES"/>
              </w:rPr>
              <w:t>3.2d) Que el modelo de atención integral de visitas domiciliarias para áreas comarcales y rurales dispersas se esté implementando.</w:t>
            </w:r>
          </w:p>
        </w:tc>
        <w:tc>
          <w:tcPr>
            <w:tcW w:w="6053" w:type="dxa"/>
            <w:tcBorders>
              <w:right w:val="nil"/>
            </w:tcBorders>
            <w:shd w:val="clear" w:color="auto" w:fill="auto"/>
          </w:tcPr>
          <w:p w14:paraId="66A50190" w14:textId="7BACD79B" w:rsidR="00737463" w:rsidRPr="007344D5" w:rsidRDefault="00737463" w:rsidP="007344D5">
            <w:pPr>
              <w:rPr>
                <w:rFonts w:ascii="Arial" w:hAnsi="Arial" w:cs="Arial"/>
                <w:sz w:val="20"/>
                <w:lang w:val="es-ES_tradnl"/>
              </w:rPr>
            </w:pPr>
            <w:r w:rsidRPr="007344D5">
              <w:rPr>
                <w:rFonts w:ascii="Arial" w:hAnsi="Arial" w:cs="Arial"/>
                <w:sz w:val="20"/>
                <w:lang w:val="es-ES_tradnl"/>
              </w:rPr>
              <w:t xml:space="preserve">Ayuda memoria </w:t>
            </w:r>
            <w:r w:rsidR="00B647EC">
              <w:rPr>
                <w:rFonts w:ascii="Arial" w:hAnsi="Arial" w:cs="Arial"/>
                <w:sz w:val="20"/>
                <w:lang w:val="es-ES_tradnl"/>
              </w:rPr>
              <w:t xml:space="preserve">de la reunión </w:t>
            </w:r>
            <w:r w:rsidRPr="007344D5">
              <w:rPr>
                <w:rFonts w:ascii="Arial" w:hAnsi="Arial" w:cs="Arial"/>
                <w:sz w:val="20"/>
                <w:lang w:val="es-ES_tradnl"/>
              </w:rPr>
              <w:t xml:space="preserve">del Comité Técnico de la CONAIPI </w:t>
            </w:r>
            <w:r w:rsidR="00B647EC">
              <w:rPr>
                <w:rFonts w:ascii="Arial" w:hAnsi="Arial" w:cs="Arial"/>
                <w:sz w:val="20"/>
                <w:lang w:val="es-ES_tradnl"/>
              </w:rPr>
              <w:t xml:space="preserve">en </w:t>
            </w:r>
            <w:r w:rsidRPr="007344D5">
              <w:rPr>
                <w:rFonts w:ascii="Arial" w:hAnsi="Arial" w:cs="Arial"/>
                <w:sz w:val="20"/>
                <w:lang w:val="es-ES_tradnl"/>
              </w:rPr>
              <w:t xml:space="preserve">que </w:t>
            </w:r>
            <w:r w:rsidR="00B647EC">
              <w:rPr>
                <w:rFonts w:ascii="Arial" w:hAnsi="Arial" w:cs="Arial"/>
                <w:sz w:val="20"/>
                <w:lang w:val="es-ES_tradnl"/>
              </w:rPr>
              <w:t xml:space="preserve">se </w:t>
            </w:r>
            <w:r w:rsidRPr="007344D5">
              <w:rPr>
                <w:rFonts w:ascii="Arial" w:hAnsi="Arial" w:cs="Arial"/>
                <w:sz w:val="20"/>
                <w:lang w:val="es-ES_tradnl"/>
              </w:rPr>
              <w:t>aprueba el plan de implementación gradual del modelo de atención integral de visitas domiciliarias para áreas comarcales y rurales.</w:t>
            </w:r>
          </w:p>
          <w:p w14:paraId="6339DA36" w14:textId="1C8DD47A" w:rsidR="00737463" w:rsidRPr="007344D5" w:rsidRDefault="00737463" w:rsidP="007344D5">
            <w:pPr>
              <w:rPr>
                <w:rFonts w:ascii="Arial" w:hAnsi="Arial" w:cs="Arial"/>
                <w:sz w:val="20"/>
                <w:lang w:val="es-ES_tradnl"/>
              </w:rPr>
            </w:pPr>
            <w:r w:rsidRPr="007344D5">
              <w:rPr>
                <w:rFonts w:ascii="Arial" w:hAnsi="Arial" w:cs="Arial"/>
                <w:sz w:val="20"/>
                <w:lang w:val="es-ES_tradnl"/>
              </w:rPr>
              <w:t>Informe de</w:t>
            </w:r>
            <w:r w:rsidR="00B647EC">
              <w:rPr>
                <w:rFonts w:ascii="Arial" w:hAnsi="Arial" w:cs="Arial"/>
                <w:sz w:val="20"/>
                <w:lang w:val="es-ES_tradnl"/>
              </w:rPr>
              <w:t>l MIDES de</w:t>
            </w:r>
            <w:r w:rsidRPr="007344D5">
              <w:rPr>
                <w:rFonts w:ascii="Arial" w:hAnsi="Arial" w:cs="Arial"/>
                <w:sz w:val="20"/>
                <w:lang w:val="es-ES_tradnl"/>
              </w:rPr>
              <w:t xml:space="preserve"> avance de la implementación del modelo de atención en un piloto.</w:t>
            </w:r>
          </w:p>
          <w:p w14:paraId="3D752ED9" w14:textId="77777777" w:rsidR="00737463" w:rsidRPr="007344D5" w:rsidRDefault="00737463" w:rsidP="007344D5">
            <w:pPr>
              <w:rPr>
                <w:rFonts w:ascii="Arial" w:hAnsi="Arial" w:cs="Arial"/>
                <w:sz w:val="20"/>
                <w:lang w:val="es-ES_tradnl"/>
              </w:rPr>
            </w:pPr>
            <w:r w:rsidRPr="007344D5">
              <w:rPr>
                <w:rFonts w:ascii="Arial" w:hAnsi="Arial" w:cs="Arial"/>
                <w:sz w:val="20"/>
                <w:lang w:val="es-ES_tradnl"/>
              </w:rPr>
              <w:t xml:space="preserve">Pliego de licitación para la contratación de </w:t>
            </w:r>
            <w:proofErr w:type="spellStart"/>
            <w:r w:rsidRPr="007344D5">
              <w:rPr>
                <w:rFonts w:ascii="Arial" w:hAnsi="Arial" w:cs="Arial"/>
                <w:sz w:val="20"/>
                <w:lang w:val="es-ES_tradnl"/>
              </w:rPr>
              <w:t>ONGs</w:t>
            </w:r>
            <w:proofErr w:type="spellEnd"/>
            <w:r w:rsidRPr="007344D5">
              <w:rPr>
                <w:rFonts w:ascii="Arial" w:hAnsi="Arial" w:cs="Arial"/>
                <w:sz w:val="20"/>
                <w:lang w:val="es-ES_tradnl"/>
              </w:rPr>
              <w:t xml:space="preserve"> que entregue el modelo de visitas domiciliarias elaborado.</w:t>
            </w:r>
          </w:p>
          <w:p w14:paraId="5392FD84" w14:textId="77777777" w:rsidR="00737463" w:rsidRPr="007344D5" w:rsidRDefault="00737463" w:rsidP="007344D5">
            <w:pPr>
              <w:spacing w:after="120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14:paraId="4914A41E" w14:textId="77777777" w:rsidR="00737463" w:rsidRPr="008A13B0" w:rsidRDefault="00737463" w:rsidP="007344D5">
            <w:pPr>
              <w:rPr>
                <w:rFonts w:ascii="Arial" w:hAnsi="Arial" w:cs="Arial"/>
                <w:sz w:val="18"/>
                <w:lang w:val="es-ES"/>
              </w:rPr>
            </w:pPr>
          </w:p>
        </w:tc>
      </w:tr>
    </w:tbl>
    <w:p w14:paraId="7EDA344D" w14:textId="77777777" w:rsidR="00737463" w:rsidRPr="007B2B55" w:rsidRDefault="00737463" w:rsidP="007344D5">
      <w:pPr>
        <w:rPr>
          <w:rFonts w:ascii="Arial" w:hAnsi="Arial" w:cs="Arial"/>
          <w:sz w:val="22"/>
          <w:lang w:val="es-EC"/>
        </w:rPr>
      </w:pPr>
    </w:p>
    <w:p w14:paraId="14156E1A" w14:textId="77777777" w:rsidR="00737463" w:rsidRPr="00B421E3" w:rsidRDefault="00737463" w:rsidP="006B2941">
      <w:pPr>
        <w:widowControl w:val="0"/>
        <w:autoSpaceDE w:val="0"/>
        <w:autoSpaceDN w:val="0"/>
        <w:adjustRightInd w:val="0"/>
        <w:ind w:left="720" w:hanging="720"/>
        <w:jc w:val="center"/>
        <w:rPr>
          <w:rFonts w:ascii="Arial" w:hAnsi="Arial" w:cs="Arial"/>
          <w:b/>
          <w:bCs/>
          <w:smallCaps/>
          <w:spacing w:val="-1"/>
          <w:sz w:val="22"/>
          <w:lang w:val="es-EC"/>
        </w:rPr>
      </w:pPr>
    </w:p>
    <w:sectPr w:rsidR="00737463" w:rsidRPr="00B421E3" w:rsidSect="00F03B9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 w:code="1"/>
      <w:pgMar w:top="1800" w:right="1440" w:bottom="1800" w:left="1440" w:header="706" w:footer="706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67105" w14:textId="77777777" w:rsidR="00864310" w:rsidRDefault="00864310" w:rsidP="00C149DB">
      <w:r>
        <w:separator/>
      </w:r>
    </w:p>
  </w:endnote>
  <w:endnote w:type="continuationSeparator" w:id="0">
    <w:p w14:paraId="1715A2BF" w14:textId="77777777" w:rsidR="00864310" w:rsidRDefault="00864310" w:rsidP="00C14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99861" w14:textId="77777777" w:rsidR="00DD2D06" w:rsidRDefault="00DD2D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DC3CE" w14:textId="77777777" w:rsidR="00DD2D06" w:rsidRDefault="00DD2D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49147" w14:textId="77777777" w:rsidR="00DD2D06" w:rsidRDefault="00DD2D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B545F" w14:textId="77777777" w:rsidR="00864310" w:rsidRDefault="00864310" w:rsidP="00C149DB">
      <w:r>
        <w:separator/>
      </w:r>
    </w:p>
  </w:footnote>
  <w:footnote w:type="continuationSeparator" w:id="0">
    <w:p w14:paraId="62D124A3" w14:textId="77777777" w:rsidR="00864310" w:rsidRDefault="00864310" w:rsidP="00C149DB">
      <w:r>
        <w:continuationSeparator/>
      </w:r>
    </w:p>
  </w:footnote>
  <w:footnote w:id="1">
    <w:p w14:paraId="68EADCCC" w14:textId="77777777" w:rsidR="00DB183B" w:rsidRPr="00B421E3" w:rsidRDefault="00DB183B" w:rsidP="00B421E3">
      <w:pPr>
        <w:pStyle w:val="FootnoteText"/>
        <w:ind w:left="288" w:hanging="288"/>
        <w:rPr>
          <w:sz w:val="18"/>
          <w:szCs w:val="18"/>
          <w:lang w:val="es-ES_tradnl"/>
        </w:rPr>
      </w:pPr>
      <w:r w:rsidRPr="00B421E3">
        <w:rPr>
          <w:rStyle w:val="FootnoteReference"/>
          <w:rFonts w:ascii="Arial" w:hAnsi="Arial" w:cs="Arial"/>
          <w:sz w:val="18"/>
          <w:szCs w:val="18"/>
        </w:rPr>
        <w:footnoteRef/>
      </w:r>
      <w:r w:rsidRPr="00B421E3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327BC6">
        <w:rPr>
          <w:rFonts w:ascii="Arial" w:hAnsi="Arial" w:cs="Arial"/>
          <w:sz w:val="18"/>
          <w:szCs w:val="18"/>
          <w:lang w:val="es-ES_tradnl"/>
        </w:rPr>
        <w:tab/>
      </w:r>
      <w:r w:rsidR="00105C7D" w:rsidRPr="00B421E3">
        <w:rPr>
          <w:rFonts w:ascii="Arial" w:hAnsi="Arial" w:cs="Arial"/>
          <w:color w:val="000000"/>
          <w:sz w:val="18"/>
          <w:szCs w:val="18"/>
          <w:lang w:val="es-ES"/>
        </w:rPr>
        <w:t>Principalmente al consumo de combustibles fósiles: subsidio eléctrico y gas licuado.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</w:rPr>
      <w:id w:val="1241215603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258CD7C5" w14:textId="196597AF" w:rsidR="00F03B99" w:rsidRPr="00F03B99" w:rsidRDefault="00F03B99" w:rsidP="00F03B99">
        <w:pPr>
          <w:pStyle w:val="Header"/>
          <w:rPr>
            <w:rFonts w:ascii="Arial" w:hAnsi="Arial" w:cs="Arial"/>
            <w:sz w:val="18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>EER #</w:t>
        </w:r>
        <w:r w:rsidR="00DD2D06">
          <w:rPr>
            <w:rFonts w:ascii="Arial" w:hAnsi="Arial" w:cs="Arial"/>
            <w:sz w:val="18"/>
            <w:lang w:val="es-ES_tradnl"/>
          </w:rPr>
          <w:t>2</w:t>
        </w:r>
        <w:r w:rsidRPr="00F03B99">
          <w:rPr>
            <w:rFonts w:ascii="Arial" w:hAnsi="Arial" w:cs="Arial"/>
            <w:sz w:val="18"/>
            <w:lang w:val="es-ES_tradnl"/>
          </w:rPr>
          <w:t>-PN-L11</w:t>
        </w:r>
        <w:r w:rsidR="005352EA">
          <w:rPr>
            <w:rFonts w:ascii="Arial" w:hAnsi="Arial" w:cs="Arial"/>
            <w:sz w:val="18"/>
            <w:lang w:val="es-ES_tradnl"/>
          </w:rPr>
          <w:t>52</w:t>
        </w:r>
      </w:p>
      <w:p w14:paraId="273E723D" w14:textId="77777777" w:rsidR="00F03B99" w:rsidRPr="00F03B99" w:rsidRDefault="00F03B99" w:rsidP="00F03B99">
        <w:pPr>
          <w:pStyle w:val="Header"/>
          <w:rPr>
            <w:rFonts w:ascii="Arial" w:hAnsi="Arial" w:cs="Arial"/>
            <w:sz w:val="22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 xml:space="preserve">Página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PAGE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FB6E89">
          <w:rPr>
            <w:rFonts w:ascii="Arial" w:hAnsi="Arial" w:cs="Arial"/>
            <w:bCs/>
            <w:noProof/>
            <w:sz w:val="18"/>
            <w:lang w:val="es-ES_tradnl"/>
          </w:rPr>
          <w:t>4</w:t>
        </w:r>
        <w:r w:rsidRPr="008A13B0">
          <w:rPr>
            <w:rFonts w:ascii="Arial" w:hAnsi="Arial" w:cs="Arial"/>
            <w:bCs/>
            <w:sz w:val="18"/>
          </w:rPr>
          <w:fldChar w:fldCharType="end"/>
        </w:r>
        <w:r w:rsidRPr="00F03B99">
          <w:rPr>
            <w:rFonts w:ascii="Arial" w:hAnsi="Arial" w:cs="Arial"/>
            <w:sz w:val="18"/>
            <w:lang w:val="es-ES_tradnl"/>
          </w:rPr>
          <w:t xml:space="preserve"> de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NUMPAGES 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FB6E89">
          <w:rPr>
            <w:rFonts w:ascii="Arial" w:hAnsi="Arial" w:cs="Arial"/>
            <w:bCs/>
            <w:noProof/>
            <w:sz w:val="18"/>
            <w:lang w:val="es-ES_tradnl"/>
          </w:rPr>
          <w:t>4</w:t>
        </w:r>
        <w:r w:rsidRPr="008A13B0">
          <w:rPr>
            <w:rFonts w:ascii="Arial" w:hAnsi="Arial" w:cs="Arial"/>
            <w:bCs/>
            <w:sz w:val="18"/>
          </w:rPr>
          <w:fldChar w:fldCharType="end"/>
        </w:r>
      </w:p>
    </w:sdtContent>
  </w:sdt>
  <w:p w14:paraId="21B1678D" w14:textId="77777777" w:rsidR="00F03B99" w:rsidRPr="00F03B99" w:rsidRDefault="00F03B99" w:rsidP="00F03B99">
    <w:pPr>
      <w:pStyle w:val="Header"/>
      <w:rPr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</w:rPr>
      <w:id w:val="1436480750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4640B988" w14:textId="6978DEFA" w:rsidR="00750B08" w:rsidRPr="00F03B99" w:rsidRDefault="00750B08" w:rsidP="00750B08">
        <w:pPr>
          <w:pStyle w:val="Header"/>
          <w:jc w:val="right"/>
          <w:rPr>
            <w:rFonts w:ascii="Arial" w:hAnsi="Arial" w:cs="Arial"/>
            <w:sz w:val="18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>EER #</w:t>
        </w:r>
        <w:r w:rsidR="00DD2D06">
          <w:rPr>
            <w:rFonts w:ascii="Arial" w:hAnsi="Arial" w:cs="Arial"/>
            <w:sz w:val="18"/>
            <w:lang w:val="es-ES_tradnl"/>
          </w:rPr>
          <w:t>2</w:t>
        </w:r>
        <w:r w:rsidRPr="00F03B99">
          <w:rPr>
            <w:rFonts w:ascii="Arial" w:hAnsi="Arial" w:cs="Arial"/>
            <w:sz w:val="18"/>
            <w:lang w:val="es-ES_tradnl"/>
          </w:rPr>
          <w:t>-PN-L11</w:t>
        </w:r>
        <w:r w:rsidR="005352EA">
          <w:rPr>
            <w:rFonts w:ascii="Arial" w:hAnsi="Arial" w:cs="Arial"/>
            <w:sz w:val="18"/>
            <w:lang w:val="es-ES_tradnl"/>
          </w:rPr>
          <w:t>52</w:t>
        </w:r>
      </w:p>
      <w:p w14:paraId="3C1A6262" w14:textId="77777777" w:rsidR="00750B08" w:rsidRPr="00F03B99" w:rsidRDefault="00750B08" w:rsidP="00750B08">
        <w:pPr>
          <w:pStyle w:val="Header"/>
          <w:jc w:val="right"/>
          <w:rPr>
            <w:rFonts w:ascii="Arial" w:hAnsi="Arial" w:cs="Arial"/>
            <w:sz w:val="22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 xml:space="preserve">Página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PAGE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722524">
          <w:rPr>
            <w:rFonts w:ascii="Arial" w:hAnsi="Arial" w:cs="Arial"/>
            <w:bCs/>
            <w:noProof/>
            <w:sz w:val="18"/>
            <w:lang w:val="es-ES_tradnl"/>
          </w:rPr>
          <w:t>3</w:t>
        </w:r>
        <w:r w:rsidRPr="008A13B0">
          <w:rPr>
            <w:rFonts w:ascii="Arial" w:hAnsi="Arial" w:cs="Arial"/>
            <w:bCs/>
            <w:sz w:val="18"/>
          </w:rPr>
          <w:fldChar w:fldCharType="end"/>
        </w:r>
        <w:r w:rsidRPr="00F03B99">
          <w:rPr>
            <w:rFonts w:ascii="Arial" w:hAnsi="Arial" w:cs="Arial"/>
            <w:sz w:val="18"/>
            <w:lang w:val="es-ES_tradnl"/>
          </w:rPr>
          <w:t xml:space="preserve"> de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NUMPAGES 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722524">
          <w:rPr>
            <w:rFonts w:ascii="Arial" w:hAnsi="Arial" w:cs="Arial"/>
            <w:bCs/>
            <w:noProof/>
            <w:sz w:val="18"/>
            <w:lang w:val="es-ES_tradnl"/>
          </w:rPr>
          <w:t>4</w:t>
        </w:r>
        <w:r w:rsidRPr="008A13B0">
          <w:rPr>
            <w:rFonts w:ascii="Arial" w:hAnsi="Arial" w:cs="Arial"/>
            <w:bCs/>
            <w:sz w:val="1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</w:rPr>
      <w:id w:val="1477648756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5493AB91" w14:textId="5D0F04D2" w:rsidR="008A13B0" w:rsidRPr="00F03B99" w:rsidRDefault="00F03B99" w:rsidP="008A13B0">
        <w:pPr>
          <w:pStyle w:val="Header"/>
          <w:jc w:val="right"/>
          <w:rPr>
            <w:rFonts w:ascii="Arial" w:hAnsi="Arial" w:cs="Arial"/>
            <w:sz w:val="18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>EER #</w:t>
        </w:r>
        <w:r w:rsidR="00DD2D06">
          <w:rPr>
            <w:rFonts w:ascii="Arial" w:hAnsi="Arial" w:cs="Arial"/>
            <w:sz w:val="18"/>
            <w:lang w:val="es-ES_tradnl"/>
          </w:rPr>
          <w:t>2</w:t>
        </w:r>
        <w:r w:rsidRPr="00F03B99">
          <w:rPr>
            <w:rFonts w:ascii="Arial" w:hAnsi="Arial" w:cs="Arial"/>
            <w:sz w:val="18"/>
            <w:lang w:val="es-ES_tradnl"/>
          </w:rPr>
          <w:t>-</w:t>
        </w:r>
        <w:r w:rsidR="00C149DB" w:rsidRPr="00F03B99">
          <w:rPr>
            <w:rFonts w:ascii="Arial" w:hAnsi="Arial" w:cs="Arial"/>
            <w:sz w:val="18"/>
            <w:lang w:val="es-ES_tradnl"/>
          </w:rPr>
          <w:t>PN-L11</w:t>
        </w:r>
        <w:r w:rsidR="005352EA">
          <w:rPr>
            <w:rFonts w:ascii="Arial" w:hAnsi="Arial" w:cs="Arial"/>
            <w:sz w:val="18"/>
            <w:lang w:val="es-ES_tradnl"/>
          </w:rPr>
          <w:t>52</w:t>
        </w:r>
      </w:p>
      <w:p w14:paraId="4029AF52" w14:textId="77777777" w:rsidR="00C149DB" w:rsidRPr="00F03B99" w:rsidRDefault="00C149DB">
        <w:pPr>
          <w:pStyle w:val="Header"/>
          <w:jc w:val="right"/>
          <w:rPr>
            <w:rFonts w:ascii="Arial" w:hAnsi="Arial" w:cs="Arial"/>
            <w:sz w:val="22"/>
            <w:lang w:val="es-ES_tradnl"/>
          </w:rPr>
        </w:pPr>
        <w:r w:rsidRPr="00F03B99">
          <w:rPr>
            <w:rFonts w:ascii="Arial" w:hAnsi="Arial" w:cs="Arial"/>
            <w:sz w:val="18"/>
            <w:lang w:val="es-ES_tradnl"/>
          </w:rPr>
          <w:t xml:space="preserve">Página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PAGE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FB6E89">
          <w:rPr>
            <w:rFonts w:ascii="Arial" w:hAnsi="Arial" w:cs="Arial"/>
            <w:bCs/>
            <w:noProof/>
            <w:sz w:val="18"/>
            <w:lang w:val="es-ES_tradnl"/>
          </w:rPr>
          <w:t>1</w:t>
        </w:r>
        <w:r w:rsidRPr="008A13B0">
          <w:rPr>
            <w:rFonts w:ascii="Arial" w:hAnsi="Arial" w:cs="Arial"/>
            <w:bCs/>
            <w:sz w:val="18"/>
          </w:rPr>
          <w:fldChar w:fldCharType="end"/>
        </w:r>
        <w:r w:rsidRPr="00F03B99">
          <w:rPr>
            <w:rFonts w:ascii="Arial" w:hAnsi="Arial" w:cs="Arial"/>
            <w:sz w:val="18"/>
            <w:lang w:val="es-ES_tradnl"/>
          </w:rPr>
          <w:t xml:space="preserve"> de </w:t>
        </w:r>
        <w:r w:rsidRPr="008A13B0">
          <w:rPr>
            <w:rFonts w:ascii="Arial" w:hAnsi="Arial" w:cs="Arial"/>
            <w:bCs/>
            <w:sz w:val="18"/>
          </w:rPr>
          <w:fldChar w:fldCharType="begin"/>
        </w:r>
        <w:r w:rsidRPr="00F03B99">
          <w:rPr>
            <w:rFonts w:ascii="Arial" w:hAnsi="Arial" w:cs="Arial"/>
            <w:bCs/>
            <w:sz w:val="18"/>
            <w:lang w:val="es-ES_tradnl"/>
          </w:rPr>
          <w:instrText xml:space="preserve"> NUMPAGES  </w:instrText>
        </w:r>
        <w:r w:rsidRPr="008A13B0">
          <w:rPr>
            <w:rFonts w:ascii="Arial" w:hAnsi="Arial" w:cs="Arial"/>
            <w:bCs/>
            <w:sz w:val="18"/>
          </w:rPr>
          <w:fldChar w:fldCharType="separate"/>
        </w:r>
        <w:r w:rsidR="00FB6E89">
          <w:rPr>
            <w:rFonts w:ascii="Arial" w:hAnsi="Arial" w:cs="Arial"/>
            <w:bCs/>
            <w:noProof/>
            <w:sz w:val="18"/>
            <w:lang w:val="es-ES_tradnl"/>
          </w:rPr>
          <w:t>4</w:t>
        </w:r>
        <w:r w:rsidRPr="008A13B0">
          <w:rPr>
            <w:rFonts w:ascii="Arial" w:hAnsi="Arial" w:cs="Arial"/>
            <w:bCs/>
            <w:sz w:val="18"/>
          </w:rPr>
          <w:fldChar w:fldCharType="end"/>
        </w:r>
      </w:p>
    </w:sdtContent>
  </w:sdt>
  <w:p w14:paraId="1A37A7DF" w14:textId="3FF2D26D" w:rsidR="00C149DB" w:rsidRPr="00F03B99" w:rsidRDefault="00C149DB">
    <w:pPr>
      <w:pStyle w:val="Header"/>
      <w:rPr>
        <w:rFonts w:ascii="Arial" w:hAnsi="Arial" w:cs="Arial"/>
        <w:sz w:val="2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A5CB0"/>
    <w:multiLevelType w:val="hybridMultilevel"/>
    <w:tmpl w:val="834A405A"/>
    <w:lvl w:ilvl="0" w:tplc="180A000F">
      <w:start w:val="1"/>
      <w:numFmt w:val="decimal"/>
      <w:lvlText w:val="%1."/>
      <w:lvlJc w:val="left"/>
      <w:pPr>
        <w:ind w:left="720" w:hanging="360"/>
      </w:p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576CD"/>
    <w:multiLevelType w:val="hybridMultilevel"/>
    <w:tmpl w:val="834A405A"/>
    <w:lvl w:ilvl="0" w:tplc="180A000F">
      <w:start w:val="1"/>
      <w:numFmt w:val="decimal"/>
      <w:lvlText w:val="%1."/>
      <w:lvlJc w:val="left"/>
      <w:pPr>
        <w:ind w:left="360" w:hanging="360"/>
      </w:pPr>
    </w:lvl>
    <w:lvl w:ilvl="1" w:tplc="180A0019" w:tentative="1">
      <w:start w:val="1"/>
      <w:numFmt w:val="lowerLetter"/>
      <w:lvlText w:val="%2."/>
      <w:lvlJc w:val="left"/>
      <w:pPr>
        <w:ind w:left="1080" w:hanging="360"/>
      </w:pPr>
    </w:lvl>
    <w:lvl w:ilvl="2" w:tplc="180A001B" w:tentative="1">
      <w:start w:val="1"/>
      <w:numFmt w:val="lowerRoman"/>
      <w:lvlText w:val="%3."/>
      <w:lvlJc w:val="right"/>
      <w:pPr>
        <w:ind w:left="1800" w:hanging="180"/>
      </w:pPr>
    </w:lvl>
    <w:lvl w:ilvl="3" w:tplc="180A000F" w:tentative="1">
      <w:start w:val="1"/>
      <w:numFmt w:val="decimal"/>
      <w:lvlText w:val="%4."/>
      <w:lvlJc w:val="left"/>
      <w:pPr>
        <w:ind w:left="2520" w:hanging="360"/>
      </w:pPr>
    </w:lvl>
    <w:lvl w:ilvl="4" w:tplc="180A0019" w:tentative="1">
      <w:start w:val="1"/>
      <w:numFmt w:val="lowerLetter"/>
      <w:lvlText w:val="%5."/>
      <w:lvlJc w:val="left"/>
      <w:pPr>
        <w:ind w:left="3240" w:hanging="360"/>
      </w:pPr>
    </w:lvl>
    <w:lvl w:ilvl="5" w:tplc="180A001B" w:tentative="1">
      <w:start w:val="1"/>
      <w:numFmt w:val="lowerRoman"/>
      <w:lvlText w:val="%6."/>
      <w:lvlJc w:val="right"/>
      <w:pPr>
        <w:ind w:left="3960" w:hanging="180"/>
      </w:pPr>
    </w:lvl>
    <w:lvl w:ilvl="6" w:tplc="180A000F" w:tentative="1">
      <w:start w:val="1"/>
      <w:numFmt w:val="decimal"/>
      <w:lvlText w:val="%7."/>
      <w:lvlJc w:val="left"/>
      <w:pPr>
        <w:ind w:left="4680" w:hanging="360"/>
      </w:pPr>
    </w:lvl>
    <w:lvl w:ilvl="7" w:tplc="180A0019" w:tentative="1">
      <w:start w:val="1"/>
      <w:numFmt w:val="lowerLetter"/>
      <w:lvlText w:val="%8."/>
      <w:lvlJc w:val="left"/>
      <w:pPr>
        <w:ind w:left="5400" w:hanging="360"/>
      </w:pPr>
    </w:lvl>
    <w:lvl w:ilvl="8" w:tplc="1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AB7FC9"/>
    <w:multiLevelType w:val="multilevel"/>
    <w:tmpl w:val="C17667AE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720D2D62"/>
    <w:multiLevelType w:val="hybridMultilevel"/>
    <w:tmpl w:val="834A405A"/>
    <w:lvl w:ilvl="0" w:tplc="180A000F">
      <w:start w:val="1"/>
      <w:numFmt w:val="decimal"/>
      <w:lvlText w:val="%1."/>
      <w:lvlJc w:val="left"/>
      <w:pPr>
        <w:ind w:left="360" w:hanging="360"/>
      </w:pPr>
    </w:lvl>
    <w:lvl w:ilvl="1" w:tplc="180A0019" w:tentative="1">
      <w:start w:val="1"/>
      <w:numFmt w:val="lowerLetter"/>
      <w:lvlText w:val="%2."/>
      <w:lvlJc w:val="left"/>
      <w:pPr>
        <w:ind w:left="1080" w:hanging="360"/>
      </w:pPr>
    </w:lvl>
    <w:lvl w:ilvl="2" w:tplc="180A001B" w:tentative="1">
      <w:start w:val="1"/>
      <w:numFmt w:val="lowerRoman"/>
      <w:lvlText w:val="%3."/>
      <w:lvlJc w:val="right"/>
      <w:pPr>
        <w:ind w:left="1800" w:hanging="180"/>
      </w:pPr>
    </w:lvl>
    <w:lvl w:ilvl="3" w:tplc="180A000F" w:tentative="1">
      <w:start w:val="1"/>
      <w:numFmt w:val="decimal"/>
      <w:lvlText w:val="%4."/>
      <w:lvlJc w:val="left"/>
      <w:pPr>
        <w:ind w:left="2520" w:hanging="360"/>
      </w:pPr>
    </w:lvl>
    <w:lvl w:ilvl="4" w:tplc="180A0019" w:tentative="1">
      <w:start w:val="1"/>
      <w:numFmt w:val="lowerLetter"/>
      <w:lvlText w:val="%5."/>
      <w:lvlJc w:val="left"/>
      <w:pPr>
        <w:ind w:left="3240" w:hanging="360"/>
      </w:pPr>
    </w:lvl>
    <w:lvl w:ilvl="5" w:tplc="180A001B" w:tentative="1">
      <w:start w:val="1"/>
      <w:numFmt w:val="lowerRoman"/>
      <w:lvlText w:val="%6."/>
      <w:lvlJc w:val="right"/>
      <w:pPr>
        <w:ind w:left="3960" w:hanging="180"/>
      </w:pPr>
    </w:lvl>
    <w:lvl w:ilvl="6" w:tplc="180A000F" w:tentative="1">
      <w:start w:val="1"/>
      <w:numFmt w:val="decimal"/>
      <w:lvlText w:val="%7."/>
      <w:lvlJc w:val="left"/>
      <w:pPr>
        <w:ind w:left="4680" w:hanging="360"/>
      </w:pPr>
    </w:lvl>
    <w:lvl w:ilvl="7" w:tplc="180A0019" w:tentative="1">
      <w:start w:val="1"/>
      <w:numFmt w:val="lowerLetter"/>
      <w:lvlText w:val="%8."/>
      <w:lvlJc w:val="left"/>
      <w:pPr>
        <w:ind w:left="5400" w:hanging="360"/>
      </w:pPr>
    </w:lvl>
    <w:lvl w:ilvl="8" w:tplc="1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1A3"/>
    <w:rsid w:val="00012A0B"/>
    <w:rsid w:val="000146DB"/>
    <w:rsid w:val="00022210"/>
    <w:rsid w:val="0003471A"/>
    <w:rsid w:val="00043A44"/>
    <w:rsid w:val="00043CBE"/>
    <w:rsid w:val="00056823"/>
    <w:rsid w:val="0006668C"/>
    <w:rsid w:val="00067853"/>
    <w:rsid w:val="0007072A"/>
    <w:rsid w:val="00077D37"/>
    <w:rsid w:val="00083D5B"/>
    <w:rsid w:val="000C46CE"/>
    <w:rsid w:val="000D7F88"/>
    <w:rsid w:val="00105C7D"/>
    <w:rsid w:val="00121455"/>
    <w:rsid w:val="001333B3"/>
    <w:rsid w:val="00136592"/>
    <w:rsid w:val="0014442D"/>
    <w:rsid w:val="001507CF"/>
    <w:rsid w:val="00166F88"/>
    <w:rsid w:val="00185C40"/>
    <w:rsid w:val="001929CD"/>
    <w:rsid w:val="00194E77"/>
    <w:rsid w:val="001A3384"/>
    <w:rsid w:val="001A573F"/>
    <w:rsid w:val="001D1F1C"/>
    <w:rsid w:val="001D207A"/>
    <w:rsid w:val="001D2194"/>
    <w:rsid w:val="001E2CFA"/>
    <w:rsid w:val="001E2EDD"/>
    <w:rsid w:val="001E49A8"/>
    <w:rsid w:val="00205D1E"/>
    <w:rsid w:val="00221EA5"/>
    <w:rsid w:val="002233DA"/>
    <w:rsid w:val="00225C68"/>
    <w:rsid w:val="00227F35"/>
    <w:rsid w:val="00256327"/>
    <w:rsid w:val="00256CB9"/>
    <w:rsid w:val="00265EB7"/>
    <w:rsid w:val="00286B7F"/>
    <w:rsid w:val="00286EF6"/>
    <w:rsid w:val="002A7EF7"/>
    <w:rsid w:val="002B6D08"/>
    <w:rsid w:val="002C17F9"/>
    <w:rsid w:val="00310C89"/>
    <w:rsid w:val="003228B9"/>
    <w:rsid w:val="00327BC6"/>
    <w:rsid w:val="003333F7"/>
    <w:rsid w:val="003523BC"/>
    <w:rsid w:val="003647CD"/>
    <w:rsid w:val="00370A8B"/>
    <w:rsid w:val="003A4A66"/>
    <w:rsid w:val="003A5068"/>
    <w:rsid w:val="003B03E1"/>
    <w:rsid w:val="003B32D0"/>
    <w:rsid w:val="003D1AC1"/>
    <w:rsid w:val="003D39A1"/>
    <w:rsid w:val="003F6627"/>
    <w:rsid w:val="00402E41"/>
    <w:rsid w:val="0040337E"/>
    <w:rsid w:val="0043022E"/>
    <w:rsid w:val="00467602"/>
    <w:rsid w:val="00470FA3"/>
    <w:rsid w:val="0047326D"/>
    <w:rsid w:val="00486C38"/>
    <w:rsid w:val="00492D8A"/>
    <w:rsid w:val="004A6505"/>
    <w:rsid w:val="004B0F4E"/>
    <w:rsid w:val="004E2E2A"/>
    <w:rsid w:val="004E4424"/>
    <w:rsid w:val="004E71B9"/>
    <w:rsid w:val="004F0C7E"/>
    <w:rsid w:val="00515E79"/>
    <w:rsid w:val="00516468"/>
    <w:rsid w:val="005244A9"/>
    <w:rsid w:val="005352EA"/>
    <w:rsid w:val="005578FD"/>
    <w:rsid w:val="005706E9"/>
    <w:rsid w:val="00577500"/>
    <w:rsid w:val="0058797C"/>
    <w:rsid w:val="00590345"/>
    <w:rsid w:val="00593890"/>
    <w:rsid w:val="005A0EE7"/>
    <w:rsid w:val="005A31F9"/>
    <w:rsid w:val="005A64D4"/>
    <w:rsid w:val="005B2FBE"/>
    <w:rsid w:val="005D19BF"/>
    <w:rsid w:val="005D7890"/>
    <w:rsid w:val="005D7AFB"/>
    <w:rsid w:val="005F5B04"/>
    <w:rsid w:val="00604CAA"/>
    <w:rsid w:val="00605199"/>
    <w:rsid w:val="00616E53"/>
    <w:rsid w:val="006335C9"/>
    <w:rsid w:val="0063759F"/>
    <w:rsid w:val="00652F69"/>
    <w:rsid w:val="006904DB"/>
    <w:rsid w:val="00692D2B"/>
    <w:rsid w:val="006A2751"/>
    <w:rsid w:val="006B2941"/>
    <w:rsid w:val="006D138B"/>
    <w:rsid w:val="006D3AC4"/>
    <w:rsid w:val="006F0D61"/>
    <w:rsid w:val="006F58E4"/>
    <w:rsid w:val="00722524"/>
    <w:rsid w:val="00722739"/>
    <w:rsid w:val="007331DD"/>
    <w:rsid w:val="007344D5"/>
    <w:rsid w:val="00735B0F"/>
    <w:rsid w:val="00737463"/>
    <w:rsid w:val="00740484"/>
    <w:rsid w:val="0074707F"/>
    <w:rsid w:val="00750B08"/>
    <w:rsid w:val="00765797"/>
    <w:rsid w:val="00765FF4"/>
    <w:rsid w:val="00767A3F"/>
    <w:rsid w:val="007935F2"/>
    <w:rsid w:val="00795D82"/>
    <w:rsid w:val="0079677D"/>
    <w:rsid w:val="007977C4"/>
    <w:rsid w:val="007A0694"/>
    <w:rsid w:val="007B121D"/>
    <w:rsid w:val="007B2B55"/>
    <w:rsid w:val="007C09E0"/>
    <w:rsid w:val="007C5007"/>
    <w:rsid w:val="007D53C4"/>
    <w:rsid w:val="007F1B92"/>
    <w:rsid w:val="0080408F"/>
    <w:rsid w:val="00810AE4"/>
    <w:rsid w:val="00810E17"/>
    <w:rsid w:val="00820060"/>
    <w:rsid w:val="00835622"/>
    <w:rsid w:val="0083701D"/>
    <w:rsid w:val="008401C4"/>
    <w:rsid w:val="00842D4D"/>
    <w:rsid w:val="00850D2B"/>
    <w:rsid w:val="008550F8"/>
    <w:rsid w:val="00863DE0"/>
    <w:rsid w:val="00863EB6"/>
    <w:rsid w:val="00864310"/>
    <w:rsid w:val="00867D34"/>
    <w:rsid w:val="00870974"/>
    <w:rsid w:val="00872266"/>
    <w:rsid w:val="00875F97"/>
    <w:rsid w:val="008843DE"/>
    <w:rsid w:val="00885B36"/>
    <w:rsid w:val="00892841"/>
    <w:rsid w:val="00892F71"/>
    <w:rsid w:val="008941FA"/>
    <w:rsid w:val="008A13B0"/>
    <w:rsid w:val="008A27F3"/>
    <w:rsid w:val="008A3235"/>
    <w:rsid w:val="008A434D"/>
    <w:rsid w:val="008D0A86"/>
    <w:rsid w:val="008F351E"/>
    <w:rsid w:val="008F6E7C"/>
    <w:rsid w:val="00900F6C"/>
    <w:rsid w:val="00906B1D"/>
    <w:rsid w:val="009074BB"/>
    <w:rsid w:val="00933C25"/>
    <w:rsid w:val="0093773D"/>
    <w:rsid w:val="00937B2A"/>
    <w:rsid w:val="00941DA3"/>
    <w:rsid w:val="00946137"/>
    <w:rsid w:val="009461A3"/>
    <w:rsid w:val="00953161"/>
    <w:rsid w:val="0097046E"/>
    <w:rsid w:val="00981988"/>
    <w:rsid w:val="00996F39"/>
    <w:rsid w:val="009B28C0"/>
    <w:rsid w:val="009B64E6"/>
    <w:rsid w:val="009C2EE7"/>
    <w:rsid w:val="009D3656"/>
    <w:rsid w:val="009E512E"/>
    <w:rsid w:val="009F4BDE"/>
    <w:rsid w:val="00A40FA0"/>
    <w:rsid w:val="00A6046C"/>
    <w:rsid w:val="00A65D4B"/>
    <w:rsid w:val="00A95FA9"/>
    <w:rsid w:val="00AA369E"/>
    <w:rsid w:val="00AB5416"/>
    <w:rsid w:val="00AC4DCB"/>
    <w:rsid w:val="00AD26AA"/>
    <w:rsid w:val="00AE3216"/>
    <w:rsid w:val="00AF3894"/>
    <w:rsid w:val="00B064F5"/>
    <w:rsid w:val="00B169CC"/>
    <w:rsid w:val="00B34D1B"/>
    <w:rsid w:val="00B421E3"/>
    <w:rsid w:val="00B647EC"/>
    <w:rsid w:val="00B64924"/>
    <w:rsid w:val="00B6741F"/>
    <w:rsid w:val="00B85EF5"/>
    <w:rsid w:val="00B86EB6"/>
    <w:rsid w:val="00B87CB6"/>
    <w:rsid w:val="00BA2BFD"/>
    <w:rsid w:val="00BC404B"/>
    <w:rsid w:val="00BC5DF4"/>
    <w:rsid w:val="00BE4B8B"/>
    <w:rsid w:val="00BF0B7D"/>
    <w:rsid w:val="00BF51C4"/>
    <w:rsid w:val="00C00C66"/>
    <w:rsid w:val="00C02B64"/>
    <w:rsid w:val="00C149DB"/>
    <w:rsid w:val="00C215AB"/>
    <w:rsid w:val="00C328C0"/>
    <w:rsid w:val="00C41C81"/>
    <w:rsid w:val="00C440EC"/>
    <w:rsid w:val="00C5426B"/>
    <w:rsid w:val="00C7057C"/>
    <w:rsid w:val="00C7308E"/>
    <w:rsid w:val="00C73185"/>
    <w:rsid w:val="00C7460F"/>
    <w:rsid w:val="00C961D7"/>
    <w:rsid w:val="00CA3513"/>
    <w:rsid w:val="00CD2C40"/>
    <w:rsid w:val="00D135C0"/>
    <w:rsid w:val="00D2408F"/>
    <w:rsid w:val="00D24CF4"/>
    <w:rsid w:val="00D31037"/>
    <w:rsid w:val="00D35BCC"/>
    <w:rsid w:val="00D3636B"/>
    <w:rsid w:val="00D6110C"/>
    <w:rsid w:val="00D614C1"/>
    <w:rsid w:val="00D62E71"/>
    <w:rsid w:val="00D662AF"/>
    <w:rsid w:val="00D71EF3"/>
    <w:rsid w:val="00DA0FE0"/>
    <w:rsid w:val="00DB183B"/>
    <w:rsid w:val="00DD2D06"/>
    <w:rsid w:val="00DD3E85"/>
    <w:rsid w:val="00E02E61"/>
    <w:rsid w:val="00E02F28"/>
    <w:rsid w:val="00E03E9D"/>
    <w:rsid w:val="00E33ADD"/>
    <w:rsid w:val="00E552F4"/>
    <w:rsid w:val="00E577F2"/>
    <w:rsid w:val="00E6339C"/>
    <w:rsid w:val="00E84679"/>
    <w:rsid w:val="00EB0B84"/>
    <w:rsid w:val="00EB1A70"/>
    <w:rsid w:val="00EB4019"/>
    <w:rsid w:val="00EB475D"/>
    <w:rsid w:val="00ED498E"/>
    <w:rsid w:val="00EE5080"/>
    <w:rsid w:val="00F03B99"/>
    <w:rsid w:val="00F121BD"/>
    <w:rsid w:val="00F1244D"/>
    <w:rsid w:val="00F413E8"/>
    <w:rsid w:val="00F62A1E"/>
    <w:rsid w:val="00F74669"/>
    <w:rsid w:val="00F770DD"/>
    <w:rsid w:val="00F7776C"/>
    <w:rsid w:val="00F85A62"/>
    <w:rsid w:val="00F92461"/>
    <w:rsid w:val="00F93008"/>
    <w:rsid w:val="00F938FE"/>
    <w:rsid w:val="00FB3722"/>
    <w:rsid w:val="00FB6E89"/>
    <w:rsid w:val="00FC0C39"/>
    <w:rsid w:val="00FC5F7B"/>
    <w:rsid w:val="00FD5D51"/>
    <w:rsid w:val="00FD6954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53CF8A"/>
  <w15:docId w15:val="{9C10A35B-7F71-4E18-B927-FC1DA798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61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9461A3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9461A3"/>
    <w:pPr>
      <w:numPr>
        <w:ilvl w:val="1"/>
        <w:numId w:val="1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9461A3"/>
    <w:pPr>
      <w:numPr>
        <w:ilvl w:val="2"/>
        <w:numId w:val="1"/>
      </w:numPr>
      <w:tabs>
        <w:tab w:val="clear" w:pos="1152"/>
        <w:tab w:val="num" w:pos="360"/>
      </w:tabs>
      <w:spacing w:before="120"/>
      <w:ind w:left="360" w:firstLine="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9461A3"/>
    <w:pPr>
      <w:numPr>
        <w:ilvl w:val="3"/>
      </w:numPr>
      <w:tabs>
        <w:tab w:val="clear" w:pos="1584"/>
        <w:tab w:val="left" w:pos="0"/>
        <w:tab w:val="num" w:pos="360"/>
      </w:tabs>
    </w:pPr>
  </w:style>
  <w:style w:type="character" w:customStyle="1" w:styleId="ParagraphChar">
    <w:name w:val="Paragraph Char"/>
    <w:link w:val="Paragraph"/>
    <w:locked/>
    <w:rsid w:val="009461A3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461A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461A3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61A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61A3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6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6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0F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PA"/>
    </w:rPr>
  </w:style>
  <w:style w:type="paragraph" w:styleId="Header">
    <w:name w:val="header"/>
    <w:basedOn w:val="Normal"/>
    <w:link w:val="HeaderChar"/>
    <w:uiPriority w:val="99"/>
    <w:unhideWhenUsed/>
    <w:rsid w:val="00C149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9DB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149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9DB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365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50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D2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D2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D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D2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26AA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26A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26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4E0886BC4AA114FB47F62B6B9F6DCE6" ma:contentTypeVersion="322" ma:contentTypeDescription="A content type to manage public (operations) IDB documents" ma:contentTypeScope="" ma:versionID="eda987f9704c2c632dccac082741581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0cd7e93c408e3af369371e5049938f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15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Silveira, Sheyla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396ec9c3-9632-4cdc-a19a-36df0d2b2979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25</Value>
      <Value>22</Value>
      <Value>2</Value>
      <Value>29</Value>
      <Value>148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PN-L1152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R0002251941</Record_x0020_Number>
    <_dlc_DocId xmlns="cdc7663a-08f0-4737-9e8c-148ce897a09c">EZSHARE-118147578-26</_dlc_DocId>
    <_dlc_DocIdUrl xmlns="cdc7663a-08f0-4737-9e8c-148ce897a09c">
      <Url>https://idbg.sharepoint.com/teams/EZ-PN-LON/PN-L1152/_layouts/15/DocIdRedir.aspx?ID=EZSHARE-118147578-26</Url>
      <Description>EZSHARE-118147578-26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DB024-BDAB-40CA-BA29-AC83DF1365AA}"/>
</file>

<file path=customXml/itemProps2.xml><?xml version="1.0" encoding="utf-8"?>
<ds:datastoreItem xmlns:ds="http://schemas.openxmlformats.org/officeDocument/2006/customXml" ds:itemID="{1256607B-076F-4A43-B045-4B6E1AA1ED8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E538966-4457-48A3-800A-6EA97F3419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03742-D85A-426C-8EAD-8F2F46A504F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dc7663a-08f0-4737-9e8c-148ce897a09c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4331F4A-3F03-4797-B3C5-C227CFAA70C2}"/>
</file>

<file path=customXml/itemProps6.xml><?xml version="1.0" encoding="utf-8"?>
<ds:datastoreItem xmlns:ds="http://schemas.openxmlformats.org/officeDocument/2006/customXml" ds:itemID="{8C4317A4-A58A-4FB7-8A57-7901A504A020}"/>
</file>

<file path=customXml/itemProps7.xml><?xml version="1.0" encoding="utf-8"?>
<ds:datastoreItem xmlns:ds="http://schemas.openxmlformats.org/officeDocument/2006/customXml" ds:itemID="{F624A836-CA06-4491-85D4-05CA67FDC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IADB</dc:creator>
  <cp:keywords/>
  <cp:lastModifiedBy>Silveira, Sheyla</cp:lastModifiedBy>
  <cp:revision>5</cp:revision>
  <cp:lastPrinted>2016-02-18T21:05:00Z</cp:lastPrinted>
  <dcterms:created xsi:type="dcterms:W3CDTF">2018-07-10T21:05:00Z</dcterms:created>
  <dcterms:modified xsi:type="dcterms:W3CDTF">2018-07-18T22:01:00Z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148;#SOCIAL INVESTMENT|396ec9c3-9632-4cdc-a19a-36df0d2b2979</vt:lpwstr>
  </property>
  <property fmtid="{D5CDD505-2E9C-101B-9397-08002B2CF9AE}" pid="7" name="Fund IDB">
    <vt:lpwstr>25;#ORC|c028a4b2-ad8b-4cf4-9cac-a2ae6a778e23</vt:lpwstr>
  </property>
  <property fmtid="{D5CDD505-2E9C-101B-9397-08002B2CF9AE}" pid="8" name="Country">
    <vt:lpwstr>22;#Panama|7af43a84-776d-43d1-b0f2-8a1f2a8ffc7b</vt:lpwstr>
  </property>
  <property fmtid="{D5CDD505-2E9C-101B-9397-08002B2CF9AE}" pid="9" name="Sector IDB">
    <vt:lpwstr>29;#SOCIAL INVESTMENT|3f908695-d5b5-49f6-941f-76876b39564f</vt:lpwstr>
  </property>
  <property fmtid="{D5CDD505-2E9C-101B-9397-08002B2CF9AE}" pid="10" name="Function Operations IDB">
    <vt:lpwstr>2;#Monitoring and Reporting|df3c2aa1-d63e-41aa-b1f5-bb15dee691ca</vt:lpwstr>
  </property>
  <property fmtid="{D5CDD505-2E9C-101B-9397-08002B2CF9AE}" pid="11" name="_dlc_DocIdItemGuid">
    <vt:lpwstr>3f16afed-a019-4d8a-9499-f00abf415fa0</vt:lpwstr>
  </property>
  <property fmtid="{D5CDD505-2E9C-101B-9397-08002B2CF9AE}" pid="12" name="ContentTypeId">
    <vt:lpwstr>0x0101001A458A224826124E8B45B1D613300CFC0044E0886BC4AA114FB47F62B6B9F6DCE6</vt:lpwstr>
  </property>
</Properties>
</file>