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customXml/itemProps9.xml" ContentType="application/vnd.openxmlformats-officedocument.customXmlProperties+xml"/>
  <Override PartName="/customXml/itemProps8.xml" ContentType="application/vnd.openxmlformats-officedocument.customXmlProperties+xml"/>
  <Override PartName="/customXml/itemProps7.xml" ContentType="application/vnd.openxmlformats-officedocument.customXmlProperties+xml"/>
  <Override PartName="/word/webSettings.xml" ContentType="application/vnd.openxmlformats-officedocument.wordprocessingml.webSettings+xml"/>
  <Override PartName="/customXml/itemProps10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8319A" w14:textId="77777777" w:rsidR="00A763AE" w:rsidRPr="00F91F74" w:rsidRDefault="009A7AE3" w:rsidP="00341A7E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smallCaps/>
          <w:sz w:val="24"/>
          <w:szCs w:val="24"/>
          <w:lang w:val="es-419"/>
        </w:rPr>
      </w:pPr>
      <w:bookmarkStart w:id="0" w:name="_GoBack"/>
      <w:bookmarkEnd w:id="0"/>
      <w:r w:rsidRPr="00F91F74">
        <w:rPr>
          <w:rFonts w:ascii="Arial" w:hAnsi="Arial" w:cs="Arial"/>
          <w:b/>
          <w:bCs/>
          <w:smallCaps/>
          <w:sz w:val="24"/>
          <w:szCs w:val="24"/>
          <w:lang w:val="es-419"/>
        </w:rPr>
        <w:t>Matriz d</w:t>
      </w:r>
      <w:r w:rsidR="00205AC6" w:rsidRPr="00F91F74">
        <w:rPr>
          <w:rFonts w:ascii="Arial" w:hAnsi="Arial" w:cs="Arial"/>
          <w:b/>
          <w:bCs/>
          <w:smallCaps/>
          <w:sz w:val="24"/>
          <w:szCs w:val="24"/>
          <w:lang w:val="es-419"/>
        </w:rPr>
        <w:t>e Resultados</w:t>
      </w:r>
    </w:p>
    <w:tbl>
      <w:tblPr>
        <w:tblStyle w:val="TableGrid"/>
        <w:tblW w:w="13675" w:type="dxa"/>
        <w:tblLook w:val="04A0" w:firstRow="1" w:lastRow="0" w:firstColumn="1" w:lastColumn="0" w:noHBand="0" w:noVBand="1"/>
      </w:tblPr>
      <w:tblGrid>
        <w:gridCol w:w="2718"/>
        <w:gridCol w:w="10957"/>
      </w:tblGrid>
      <w:tr w:rsidR="00795640" w:rsidRPr="00630AE5" w14:paraId="3858F780" w14:textId="77777777" w:rsidTr="00EE6645">
        <w:tc>
          <w:tcPr>
            <w:tcW w:w="2718" w:type="dxa"/>
          </w:tcPr>
          <w:p w14:paraId="74E3A26E" w14:textId="77777777" w:rsidR="00795640" w:rsidRPr="00F91F74" w:rsidRDefault="00205AC6" w:rsidP="00BF00CF">
            <w:pPr>
              <w:pStyle w:val="Paragraph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lang w:val="es-419"/>
              </w:rPr>
            </w:pPr>
            <w:r w:rsidRPr="00F91F74">
              <w:rPr>
                <w:rFonts w:ascii="Arial" w:hAnsi="Arial" w:cs="Arial"/>
                <w:b/>
                <w:sz w:val="20"/>
                <w:lang w:val="es-419"/>
              </w:rPr>
              <w:t>Objetivo del Proyecto</w:t>
            </w:r>
            <w:r w:rsidR="00795640" w:rsidRPr="00F91F74">
              <w:rPr>
                <w:rFonts w:ascii="Arial" w:hAnsi="Arial" w:cs="Arial"/>
                <w:b/>
                <w:sz w:val="20"/>
                <w:lang w:val="es-419"/>
              </w:rPr>
              <w:t>:</w:t>
            </w:r>
          </w:p>
        </w:tc>
        <w:tc>
          <w:tcPr>
            <w:tcW w:w="10957" w:type="dxa"/>
          </w:tcPr>
          <w:p w14:paraId="071B2B4E" w14:textId="4F0F362B" w:rsidR="00192135" w:rsidRPr="00F91F74" w:rsidRDefault="00F91F74" w:rsidP="00BF00CF">
            <w:pPr>
              <w:pStyle w:val="Paragraph"/>
              <w:numPr>
                <w:ilvl w:val="0"/>
                <w:numId w:val="0"/>
              </w:numPr>
              <w:rPr>
                <w:rFonts w:ascii="Arial" w:hAnsi="Arial" w:cs="Arial"/>
                <w:sz w:val="20"/>
                <w:lang w:val="es-419"/>
              </w:rPr>
            </w:pPr>
            <w:r w:rsidRPr="00F91F74">
              <w:rPr>
                <w:rFonts w:ascii="Arial" w:hAnsi="Arial" w:cs="Arial"/>
                <w:sz w:val="20"/>
              </w:rPr>
              <w:t>El objetivo de esta operación, así como de la serie programática, es mejorar la transparencia, equidad y eficiencia del gasto en protección social para los pobres, y aumentar su capacidad de promover la acumulación de capital humano. Esta operación es la tercera y última de una serie Programática en Apoyo a Reformas de Política (PBP) conformada por tres operaciones.</w:t>
            </w:r>
          </w:p>
        </w:tc>
      </w:tr>
    </w:tbl>
    <w:p w14:paraId="481BAAC3" w14:textId="77777777" w:rsidR="00795640" w:rsidRPr="00A547DB" w:rsidRDefault="00795640" w:rsidP="005F0F86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0"/>
          <w:szCs w:val="20"/>
          <w:lang w:val="es-419"/>
        </w:rPr>
      </w:pPr>
    </w:p>
    <w:tbl>
      <w:tblPr>
        <w:tblW w:w="137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1350"/>
        <w:gridCol w:w="1170"/>
        <w:gridCol w:w="1260"/>
        <w:gridCol w:w="1170"/>
        <w:gridCol w:w="1350"/>
        <w:gridCol w:w="3690"/>
        <w:gridCol w:w="1852"/>
      </w:tblGrid>
      <w:tr w:rsidR="00A547DB" w:rsidRPr="00F91F74" w14:paraId="7198D8FB" w14:textId="77777777" w:rsidTr="002662BE">
        <w:trPr>
          <w:trHeight w:val="305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14:paraId="37CC199B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  <w:t>Indicadores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14:paraId="2BFF1F1C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  <w:t>Unidad de Medida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14:paraId="755939CE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  <w:t xml:space="preserve">Línea de Base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14:paraId="02AEBE40" w14:textId="7190CEE0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  <w:t>Año Línea de Base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14:paraId="04C5553A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  <w:t>2016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14:paraId="482644E4" w14:textId="0504F1AD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  <w:t>Meta Final</w:t>
            </w:r>
          </w:p>
          <w:p w14:paraId="76A12958" w14:textId="5CF5435E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  <w:t>(2019)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14:paraId="1FBC07B9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  <w:t>Medios de Verificación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14:paraId="0B8111E9" w14:textId="29B82D06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  <w:t>Comentarios</w:t>
            </w:r>
          </w:p>
        </w:tc>
      </w:tr>
      <w:tr w:rsidR="00A547DB" w:rsidRPr="00630AE5" w14:paraId="2CC57110" w14:textId="77777777" w:rsidTr="00A547DB">
        <w:trPr>
          <w:trHeight w:val="188"/>
        </w:trPr>
        <w:tc>
          <w:tcPr>
            <w:tcW w:w="1372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FC8FE03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</w:pPr>
            <w:r w:rsidRPr="00630AE5">
              <w:rPr>
                <w:rFonts w:ascii="Arial" w:eastAsia="Arial" w:hAnsi="Arial" w:cs="Arial"/>
                <w:b/>
                <w:smallCaps/>
                <w:sz w:val="20"/>
                <w:szCs w:val="20"/>
                <w:lang w:val="es-419"/>
              </w:rPr>
              <w:t>IMPACTO #1</w:t>
            </w:r>
            <w:r w:rsidRPr="00F91F74">
              <w:rPr>
                <w:rFonts w:ascii="Arial" w:eastAsia="Arial" w:hAnsi="Arial" w:cs="Arial"/>
                <w:b/>
                <w:smallCaps/>
                <w:sz w:val="20"/>
                <w:szCs w:val="20"/>
                <w:lang w:val="es-419"/>
              </w:rPr>
              <w:t xml:space="preserve">: </w:t>
            </w:r>
            <w:r w:rsidRPr="00F91F74"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  <w:t>Reducción de la pobreza y pobreza extrema</w:t>
            </w:r>
          </w:p>
        </w:tc>
      </w:tr>
      <w:tr w:rsidR="00A547DB" w:rsidRPr="00630AE5" w14:paraId="03B582F0" w14:textId="77777777" w:rsidTr="002662BE">
        <w:trPr>
          <w:trHeight w:val="1646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F4097" w14:textId="257B57E5" w:rsidR="00A547DB" w:rsidRPr="00F91F74" w:rsidRDefault="00A547DB" w:rsidP="00F91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Incidencia pobreza extrema</w:t>
            </w:r>
            <w:r w:rsid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DA929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Porcentaje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F6E9A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11%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2C238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2014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1A1A1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9,9%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28A0F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6,5%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742DC" w14:textId="19A41B58" w:rsidR="00A547DB" w:rsidRPr="002662BE" w:rsidRDefault="00A547DB" w:rsidP="00F91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2662BE">
              <w:rPr>
                <w:rFonts w:ascii="Arial" w:eastAsia="Arial" w:hAnsi="Arial" w:cs="Arial"/>
                <w:sz w:val="20"/>
                <w:szCs w:val="20"/>
                <w:lang w:val="es-419"/>
              </w:rPr>
              <w:t>A calcular con base en datos de la encuesta de propósitos múltiples (marzo) o mercados laborales (agosto) de</w:t>
            </w:r>
            <w:r w:rsidR="002662BE" w:rsidRPr="002662BE">
              <w:rPr>
                <w:rFonts w:ascii="Arial" w:eastAsia="Arial" w:hAnsi="Arial" w:cs="Arial"/>
                <w:sz w:val="20"/>
                <w:szCs w:val="20"/>
                <w:lang w:val="es-419"/>
              </w:rPr>
              <w:t>l</w:t>
            </w:r>
            <w:r w:rsidRPr="002662BE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 </w:t>
            </w:r>
            <w:r w:rsidR="002662BE" w:rsidRPr="002662BE">
              <w:rPr>
                <w:rFonts w:ascii="Arial" w:eastAsia="Arial" w:hAnsi="Arial" w:cs="Arial"/>
                <w:sz w:val="20"/>
                <w:szCs w:val="20"/>
                <w:lang w:val="es-419"/>
              </w:rPr>
              <w:t>Instituto Nacional de Estadística y Censo (</w:t>
            </w:r>
            <w:r w:rsidRPr="002662BE">
              <w:rPr>
                <w:rFonts w:ascii="Arial" w:eastAsia="Arial" w:hAnsi="Arial" w:cs="Arial"/>
                <w:sz w:val="20"/>
                <w:szCs w:val="20"/>
                <w:lang w:val="es-419"/>
              </w:rPr>
              <w:t>INEC</w:t>
            </w:r>
            <w:r w:rsidR="002662BE" w:rsidRPr="002662BE">
              <w:rPr>
                <w:rFonts w:ascii="Arial" w:eastAsia="Arial" w:hAnsi="Arial" w:cs="Arial"/>
                <w:sz w:val="20"/>
                <w:szCs w:val="20"/>
                <w:lang w:val="es-419"/>
              </w:rPr>
              <w:t>)</w:t>
            </w:r>
            <w:r w:rsidRPr="002662BE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. Variables de ingreso per-cápita y líneas de pobreza (extrema y general) del </w:t>
            </w:r>
            <w:r w:rsidR="002662BE" w:rsidRPr="002662BE">
              <w:rPr>
                <w:rFonts w:ascii="Arial" w:hAnsi="Arial" w:cs="Arial"/>
                <w:sz w:val="20"/>
                <w:szCs w:val="20"/>
                <w:lang w:val="es-ES_tradnl"/>
              </w:rPr>
              <w:t>Ministerio de Economía y Finanzas</w:t>
            </w:r>
            <w:r w:rsidR="002662BE" w:rsidRPr="002662BE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 (</w:t>
            </w:r>
            <w:r w:rsidRPr="002662BE">
              <w:rPr>
                <w:rFonts w:ascii="Arial" w:eastAsia="Arial" w:hAnsi="Arial" w:cs="Arial"/>
                <w:sz w:val="20"/>
                <w:szCs w:val="20"/>
                <w:lang w:val="es-419"/>
              </w:rPr>
              <w:t>MEF</w:t>
            </w:r>
            <w:r w:rsidR="002662BE" w:rsidRPr="002662BE">
              <w:rPr>
                <w:rFonts w:ascii="Arial" w:eastAsia="Arial" w:hAnsi="Arial" w:cs="Arial"/>
                <w:sz w:val="20"/>
                <w:szCs w:val="20"/>
                <w:lang w:val="es-419"/>
              </w:rPr>
              <w:t>)</w:t>
            </w:r>
            <w:r w:rsidRPr="002662BE">
              <w:rPr>
                <w:rFonts w:ascii="Arial" w:eastAsia="Arial" w:hAnsi="Arial" w:cs="Arial"/>
                <w:sz w:val="20"/>
                <w:szCs w:val="20"/>
                <w:lang w:val="es-419"/>
              </w:rPr>
              <w:t>.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CAA7E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</w:p>
        </w:tc>
      </w:tr>
      <w:tr w:rsidR="00A547DB" w:rsidRPr="00630AE5" w14:paraId="3B628730" w14:textId="77777777" w:rsidTr="002662BE">
        <w:trPr>
          <w:trHeight w:val="1790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CD886" w14:textId="07E7AB6F" w:rsidR="00A547DB" w:rsidRPr="00F91F74" w:rsidRDefault="00A547DB" w:rsidP="00F91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Incidencia pobreza general</w:t>
            </w:r>
            <w:r w:rsid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B7462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Porcentaje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C9611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25,8%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5C213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2014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319B5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22,1%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E3301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16,7%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7B009" w14:textId="56C5DCBF" w:rsidR="00A547DB" w:rsidRPr="00F91F74" w:rsidRDefault="00A547DB" w:rsidP="00F91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A calcular con base en datos de la encuesta de propósitos múltiples (marzo) o mercados laborales (agosto) de</w:t>
            </w:r>
            <w:r w:rsidR="00391A04">
              <w:rPr>
                <w:rFonts w:ascii="Arial" w:eastAsia="Arial" w:hAnsi="Arial" w:cs="Arial"/>
                <w:sz w:val="20"/>
                <w:szCs w:val="20"/>
                <w:lang w:val="es-419"/>
              </w:rPr>
              <w:t>l</w:t>
            </w: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 INEC. Variables de ingreso per</w:t>
            </w:r>
            <w:r w:rsidR="00391A04">
              <w:rPr>
                <w:rFonts w:ascii="Arial" w:eastAsia="Arial" w:hAnsi="Arial" w:cs="Arial"/>
                <w:sz w:val="20"/>
                <w:szCs w:val="20"/>
                <w:lang w:val="es-419"/>
              </w:rPr>
              <w:t> </w:t>
            </w: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cápita y líneas de pobreza (extrema y general) del MEF.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94115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</w:p>
        </w:tc>
      </w:tr>
    </w:tbl>
    <w:p w14:paraId="4DE91DFE" w14:textId="77777777" w:rsidR="00A547DB" w:rsidRPr="00F91F74" w:rsidRDefault="00A547DB" w:rsidP="00F91F74">
      <w:pPr>
        <w:spacing w:after="0" w:line="240" w:lineRule="auto"/>
        <w:rPr>
          <w:rFonts w:ascii="Arial" w:eastAsia="Arial" w:hAnsi="Arial" w:cs="Arial"/>
          <w:b/>
          <w:smallCaps/>
          <w:color w:val="000000"/>
          <w:sz w:val="20"/>
          <w:szCs w:val="20"/>
          <w:lang w:val="es-419"/>
        </w:rPr>
      </w:pPr>
    </w:p>
    <w:p w14:paraId="795B67DF" w14:textId="5871C3D7" w:rsidR="00F91F74" w:rsidRDefault="00F91F74">
      <w:pPr>
        <w:spacing w:after="0" w:line="240" w:lineRule="auto"/>
        <w:rPr>
          <w:rFonts w:ascii="Arial" w:eastAsia="Arial" w:hAnsi="Arial" w:cs="Arial"/>
          <w:b/>
          <w:smallCaps/>
          <w:color w:val="000000"/>
          <w:sz w:val="20"/>
          <w:szCs w:val="20"/>
          <w:lang w:val="es-419"/>
        </w:rPr>
      </w:pPr>
      <w:r>
        <w:rPr>
          <w:rFonts w:ascii="Arial" w:eastAsia="Arial" w:hAnsi="Arial" w:cs="Arial"/>
          <w:b/>
          <w:smallCaps/>
          <w:color w:val="000000"/>
          <w:sz w:val="20"/>
          <w:szCs w:val="20"/>
          <w:lang w:val="es-419"/>
        </w:rPr>
        <w:br w:type="page"/>
      </w:r>
    </w:p>
    <w:p w14:paraId="42ACCDAC" w14:textId="77777777" w:rsidR="00A547DB" w:rsidRPr="00F91F74" w:rsidRDefault="00A547DB" w:rsidP="00F91F74">
      <w:pPr>
        <w:spacing w:after="60" w:line="240" w:lineRule="auto"/>
        <w:jc w:val="center"/>
        <w:rPr>
          <w:rFonts w:ascii="Arial" w:hAnsi="Arial" w:cs="Arial"/>
          <w:sz w:val="20"/>
          <w:szCs w:val="20"/>
          <w:lang w:val="es-419"/>
        </w:rPr>
      </w:pPr>
      <w:r w:rsidRPr="00F91F74">
        <w:rPr>
          <w:rFonts w:ascii="Arial" w:eastAsia="Arial" w:hAnsi="Arial" w:cs="Arial"/>
          <w:b/>
          <w:smallCaps/>
          <w:color w:val="000000"/>
          <w:sz w:val="20"/>
          <w:szCs w:val="20"/>
          <w:lang w:val="es-419"/>
        </w:rPr>
        <w:lastRenderedPageBreak/>
        <w:t>Resultados Esperados</w:t>
      </w:r>
    </w:p>
    <w:tbl>
      <w:tblPr>
        <w:tblW w:w="13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15"/>
        <w:gridCol w:w="1260"/>
        <w:gridCol w:w="1080"/>
        <w:gridCol w:w="1170"/>
        <w:gridCol w:w="990"/>
        <w:gridCol w:w="990"/>
        <w:gridCol w:w="3510"/>
        <w:gridCol w:w="1890"/>
      </w:tblGrid>
      <w:tr w:rsidR="00A547DB" w:rsidRPr="00F91F74" w14:paraId="51BF1123" w14:textId="77777777" w:rsidTr="003E5AD7">
        <w:trPr>
          <w:trHeight w:val="760"/>
          <w:tblHeader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14:paraId="7A5B1C78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  <w:t>Indicadores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14:paraId="14601165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  <w:t>Unidad de Medida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14:paraId="44881573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  <w:t xml:space="preserve">Línea de Base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14:paraId="33ABBABD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  <w:t xml:space="preserve">Año </w:t>
            </w:r>
          </w:p>
          <w:p w14:paraId="5E27B5F5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  <w:t>Línea de Base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14:paraId="347C54EB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  <w:t>2016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14:paraId="20D277D7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  <w:t>Meta Final</w:t>
            </w:r>
          </w:p>
          <w:p w14:paraId="454C3CFC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  <w:t>(2019)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14:paraId="18CC6D23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  <w:t>Medios de Verificación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14:paraId="7583862B" w14:textId="152777E1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  <w:t>Comentarios</w:t>
            </w:r>
          </w:p>
        </w:tc>
      </w:tr>
      <w:tr w:rsidR="00A547DB" w:rsidRPr="00F91F74" w14:paraId="0EEA1DD9" w14:textId="77777777" w:rsidTr="00F91F74">
        <w:trPr>
          <w:trHeight w:val="305"/>
        </w:trPr>
        <w:tc>
          <w:tcPr>
            <w:tcW w:w="134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A014CC0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b/>
                <w:smallCaps/>
                <w:sz w:val="20"/>
                <w:szCs w:val="20"/>
                <w:lang w:val="es-419"/>
              </w:rPr>
              <w:t>RESULTADO #</w:t>
            </w:r>
            <w:proofErr w:type="gramStart"/>
            <w:r w:rsidRPr="00F91F74">
              <w:rPr>
                <w:rFonts w:ascii="Arial" w:eastAsia="Arial" w:hAnsi="Arial" w:cs="Arial"/>
                <w:b/>
                <w:smallCaps/>
                <w:sz w:val="20"/>
                <w:szCs w:val="20"/>
                <w:lang w:val="es-419"/>
              </w:rPr>
              <w:t>1:</w:t>
            </w:r>
            <w:r w:rsidRPr="00F91F74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es-419"/>
              </w:rPr>
              <w:t>Incremento</w:t>
            </w:r>
            <w:proofErr w:type="gramEnd"/>
            <w:r w:rsidRPr="00F91F74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es-419"/>
              </w:rPr>
              <w:t xml:space="preserve"> en la cobertura de programas anti-pobreza</w:t>
            </w:r>
          </w:p>
        </w:tc>
      </w:tr>
      <w:tr w:rsidR="00A547DB" w:rsidRPr="00630AE5" w14:paraId="5952C912" w14:textId="77777777" w:rsidTr="003E5AD7">
        <w:trPr>
          <w:trHeight w:val="1360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7B4DF" w14:textId="7EC19B5D" w:rsidR="00A547DB" w:rsidRPr="00F91F74" w:rsidRDefault="00A547DB" w:rsidP="00F91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Cobertura del programa R</w:t>
            </w:r>
            <w:r w:rsidR="00391A04">
              <w:rPr>
                <w:rFonts w:ascii="Arial" w:eastAsia="Arial" w:hAnsi="Arial" w:cs="Arial"/>
                <w:sz w:val="20"/>
                <w:szCs w:val="20"/>
                <w:lang w:val="es-419"/>
              </w:rPr>
              <w:t>ed de Oportunidades (</w:t>
            </w:r>
            <w:proofErr w:type="spellStart"/>
            <w:r w:rsidR="00391A04">
              <w:rPr>
                <w:rFonts w:ascii="Arial" w:eastAsia="Arial" w:hAnsi="Arial" w:cs="Arial"/>
                <w:sz w:val="20"/>
                <w:szCs w:val="20"/>
                <w:lang w:val="es-419"/>
              </w:rPr>
              <w:t>R</w:t>
            </w: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dO</w:t>
            </w:r>
            <w:proofErr w:type="spellEnd"/>
            <w:r w:rsidR="00391A04">
              <w:rPr>
                <w:rFonts w:ascii="Arial" w:eastAsia="Arial" w:hAnsi="Arial" w:cs="Arial"/>
                <w:sz w:val="20"/>
                <w:szCs w:val="20"/>
                <w:lang w:val="es-419"/>
              </w:rPr>
              <w:t>)</w:t>
            </w: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: % de pobres extremos en hogares con menores de 18 años incluidos en el programa</w:t>
            </w:r>
            <w:r w:rsid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29AD6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Porcentaje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AFD0D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48%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AB87C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2013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441F1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n/a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28CAC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80%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B7F51" w14:textId="05D9FF42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Calculado en base a datos de la encuesta de propósitos múltiples (marzo) o mercados laborales (agosto) de</w:t>
            </w:r>
            <w:r w:rsidR="006C745F">
              <w:rPr>
                <w:rFonts w:ascii="Arial" w:eastAsia="Arial" w:hAnsi="Arial" w:cs="Arial"/>
                <w:sz w:val="20"/>
                <w:szCs w:val="20"/>
                <w:lang w:val="es-419"/>
              </w:rPr>
              <w:t>l</w:t>
            </w: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 INEC. Variables de ingreso per</w:t>
            </w:r>
            <w:r w:rsidR="006C745F">
              <w:rPr>
                <w:rFonts w:ascii="Arial" w:eastAsia="Arial" w:hAnsi="Arial" w:cs="Arial"/>
                <w:sz w:val="20"/>
                <w:szCs w:val="20"/>
                <w:lang w:val="es-419"/>
              </w:rPr>
              <w:t> </w:t>
            </w: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cápita y líneas de pobreza (extrema y general) del MEF. </w:t>
            </w:r>
          </w:p>
          <w:p w14:paraId="2A1048A7" w14:textId="77777777" w:rsidR="00A547DB" w:rsidRPr="00F91F74" w:rsidRDefault="00A547DB" w:rsidP="003E5AD7">
            <w:pPr>
              <w:spacing w:after="6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Observaciones: Se consideran beneficiarios todos los miembros de un hogar en que una o más personas reciben la transferencia. n/a= no aplica.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FFCD1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</w:p>
        </w:tc>
      </w:tr>
      <w:tr w:rsidR="00A547DB" w:rsidRPr="00630AE5" w14:paraId="16C9C6CE" w14:textId="77777777" w:rsidTr="003E5AD7">
        <w:trPr>
          <w:trHeight w:val="1600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8AE00" w14:textId="245619F9" w:rsidR="00A547DB" w:rsidRPr="00F91F74" w:rsidRDefault="00A547DB" w:rsidP="00F91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Cobertura del programa 120 a los 65: % de pobres en hogares con mayores de 64 años y donde nadie recibe una pensión por viejez incluidos en el programa</w:t>
            </w:r>
            <w:r w:rsid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81681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Porcentaje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45144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52%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E8808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2013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544B7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n/a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A07F5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70%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015ED" w14:textId="3AE54FBD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Calculado en base a datos de la encuesta de propósitos múltiples (marzo) o mercados laborales (agosto) de INEC. Variables de ingreso per</w:t>
            </w:r>
            <w:r w:rsidR="004B7C6A">
              <w:rPr>
                <w:rFonts w:ascii="Arial" w:eastAsia="Arial" w:hAnsi="Arial" w:cs="Arial"/>
                <w:sz w:val="20"/>
                <w:szCs w:val="20"/>
                <w:lang w:val="es-419"/>
              </w:rPr>
              <w:t> </w:t>
            </w: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cápita y líneas de pobreza (extrema y general) del MEF.</w:t>
            </w:r>
          </w:p>
          <w:p w14:paraId="07B5E95C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Observaciones: Se consideran beneficiarios todos los miembros de un hogar en que una o más personas reciben la transferencia. n/a= no aplica.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6341A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</w:pPr>
          </w:p>
        </w:tc>
      </w:tr>
      <w:tr w:rsidR="00A547DB" w:rsidRPr="00F91F74" w14:paraId="1B269E99" w14:textId="77777777" w:rsidTr="003E5AD7">
        <w:trPr>
          <w:trHeight w:val="60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C7BE4" w14:textId="5691B02A" w:rsidR="00A547DB" w:rsidRPr="00F91F74" w:rsidRDefault="00A547DB" w:rsidP="00F91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Cobertura del programa </w:t>
            </w:r>
            <w:r w:rsidR="004B7C6A"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Á</w:t>
            </w:r>
            <w:r w:rsidR="004B7C6A">
              <w:rPr>
                <w:rFonts w:ascii="Arial" w:eastAsia="Arial" w:hAnsi="Arial" w:cs="Arial"/>
                <w:sz w:val="20"/>
                <w:szCs w:val="20"/>
                <w:lang w:val="es-419"/>
              </w:rPr>
              <w:t>ngel Guardián (A</w:t>
            </w: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G</w:t>
            </w:r>
            <w:r w:rsidR="004B7C6A">
              <w:rPr>
                <w:rFonts w:ascii="Arial" w:eastAsia="Arial" w:hAnsi="Arial" w:cs="Arial"/>
                <w:sz w:val="20"/>
                <w:szCs w:val="20"/>
                <w:lang w:val="es-419"/>
              </w:rPr>
              <w:t>)</w:t>
            </w: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: número de individuos en pobreza extrema y con discapacidad severa incluidos en el programa</w:t>
            </w:r>
            <w:r w:rsid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9B65E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Porcentaje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5F423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n/a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3C134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2013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79D51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n/a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AF376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n/a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AB0D6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Falta disponibilidad de datos sobre discapacidad severa en las encuestas de hogares.</w:t>
            </w:r>
          </w:p>
          <w:p w14:paraId="1F4ED9B6" w14:textId="1FFD62A0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Observación: n/a= no aplica</w:t>
            </w:r>
            <w:r w:rsid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2D809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</w:pPr>
          </w:p>
        </w:tc>
      </w:tr>
      <w:tr w:rsidR="00A547DB" w:rsidRPr="00630AE5" w14:paraId="3920BD73" w14:textId="77777777" w:rsidTr="003E5AD7">
        <w:trPr>
          <w:trHeight w:val="60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F1871" w14:textId="239F4994" w:rsidR="00A547DB" w:rsidRPr="00F91F74" w:rsidRDefault="00A547DB" w:rsidP="00F91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Cobertura del programa </w:t>
            </w:r>
            <w:r w:rsidR="008923C5">
              <w:rPr>
                <w:rFonts w:ascii="Arial" w:eastAsia="Arial" w:hAnsi="Arial" w:cs="Arial"/>
                <w:sz w:val="20"/>
                <w:szCs w:val="20"/>
                <w:lang w:val="es-419"/>
              </w:rPr>
              <w:t>Beca Universal (</w:t>
            </w: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BU</w:t>
            </w:r>
            <w:r w:rsidR="008923C5">
              <w:rPr>
                <w:rFonts w:ascii="Arial" w:eastAsia="Arial" w:hAnsi="Arial" w:cs="Arial"/>
                <w:sz w:val="20"/>
                <w:szCs w:val="20"/>
                <w:lang w:val="es-419"/>
              </w:rPr>
              <w:t>)</w:t>
            </w: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: % de pobres en hogares con menores entre 6 </w:t>
            </w:r>
            <w:r w:rsidR="00C467A6">
              <w:rPr>
                <w:rFonts w:ascii="Arial" w:eastAsia="Arial" w:hAnsi="Arial" w:cs="Arial"/>
                <w:sz w:val="20"/>
                <w:szCs w:val="20"/>
                <w:lang w:val="es-419"/>
              </w:rPr>
              <w:t>y</w:t>
            </w: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 17 años incluidos en el programa</w:t>
            </w:r>
            <w:r w:rsid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97E1D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Porcentaje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82149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80%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1C603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2013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6286D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n/a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98E14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80%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C5CC0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Calculado en base a datos de la encuesta de propósitos múltiples (marzo) o mercados laborales (agosto) de INEC. Variables de ingreso per-cápita y líneas de </w:t>
            </w: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lastRenderedPageBreak/>
              <w:t>pobreza (extrema y general) del MEF.</w:t>
            </w:r>
          </w:p>
          <w:p w14:paraId="247EF02B" w14:textId="30D67BBF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Observaciones: Se consideran beneficiarios todos los miembros de un hogar en que una o más personas reciben la transferencia. n/a= no aplica</w:t>
            </w:r>
            <w:r w:rsidR="00C467A6">
              <w:rPr>
                <w:rFonts w:ascii="Arial" w:eastAsia="Arial" w:hAnsi="Arial" w:cs="Arial"/>
                <w:sz w:val="20"/>
                <w:szCs w:val="20"/>
                <w:lang w:val="es-419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060DD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</w:pPr>
          </w:p>
        </w:tc>
      </w:tr>
      <w:tr w:rsidR="00A547DB" w:rsidRPr="00630AE5" w14:paraId="76229CEB" w14:textId="77777777" w:rsidTr="00DC1D72">
        <w:trPr>
          <w:trHeight w:val="60"/>
        </w:trPr>
        <w:tc>
          <w:tcPr>
            <w:tcW w:w="134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10C356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b/>
                <w:smallCaps/>
                <w:sz w:val="20"/>
                <w:szCs w:val="20"/>
                <w:lang w:val="es-419"/>
              </w:rPr>
              <w:t xml:space="preserve">RESULTADO #2: </w:t>
            </w:r>
            <w:r w:rsidRPr="00F91F74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es-419"/>
              </w:rPr>
              <w:t xml:space="preserve">Reducción en la filtración de los programas </w:t>
            </w:r>
            <w:proofErr w:type="gramStart"/>
            <w:r w:rsidRPr="00F91F74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es-419"/>
              </w:rPr>
              <w:t>anti-pobreza</w:t>
            </w:r>
            <w:proofErr w:type="gramEnd"/>
          </w:p>
        </w:tc>
      </w:tr>
      <w:tr w:rsidR="00A547DB" w:rsidRPr="00630AE5" w14:paraId="27D14D61" w14:textId="77777777" w:rsidTr="00845DF6">
        <w:trPr>
          <w:trHeight w:val="3320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AEC0B" w14:textId="0C38AF04" w:rsidR="00A547DB" w:rsidRPr="00F91F74" w:rsidRDefault="00A547DB" w:rsidP="00F91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Filtración en el programa </w:t>
            </w:r>
            <w:proofErr w:type="spellStart"/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RdO</w:t>
            </w:r>
            <w:proofErr w:type="spellEnd"/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: % de beneficiarios que no son pobres extremos</w:t>
            </w:r>
            <w:r w:rsid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E2176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Porcentaje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67FF0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42%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6EC63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2013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74F67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n/a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E2086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25%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28321" w14:textId="16D9502D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Calculado en base a datos de la encuesta de propósitos múltiples (marzo) o mercados laborales (agosto) de INEC. Variables de ingreso per</w:t>
            </w:r>
            <w:r w:rsidR="00C467A6">
              <w:rPr>
                <w:rFonts w:ascii="Arial" w:eastAsia="Arial" w:hAnsi="Arial" w:cs="Arial"/>
                <w:sz w:val="20"/>
                <w:szCs w:val="20"/>
                <w:lang w:val="es-419"/>
              </w:rPr>
              <w:t> </w:t>
            </w: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cápita y líneas de pobreza (extrema y general) del MEF.</w:t>
            </w:r>
          </w:p>
          <w:p w14:paraId="27DD69A6" w14:textId="29E59502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Observaciones: Se consideran beneficiarios todos los miembros de un hogar en que una o más personas reciben la transferencia. Para el cálculo de filtración, no se aplica alguna restricción (demográfica). n/a=no aplica</w:t>
            </w:r>
            <w:r w:rsid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AC4EA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</w:p>
        </w:tc>
      </w:tr>
      <w:tr w:rsidR="00A547DB" w:rsidRPr="00630AE5" w14:paraId="314B6745" w14:textId="77777777" w:rsidTr="003E5AD7">
        <w:trPr>
          <w:trHeight w:val="60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24C32" w14:textId="759EE6BF" w:rsidR="00A547DB" w:rsidRPr="00F91F74" w:rsidRDefault="00A547DB" w:rsidP="00F91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Filtración en el programa 120 a los 65: % de beneficiarios que no son pobres</w:t>
            </w:r>
            <w:r w:rsid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1D85B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Porcentaje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5EBC2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53%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23D00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2013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B2CCC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n/a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27B6D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25%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60566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Calculado en base a datos de la encuesta de propósitos múltiples (marzo) o mercados laborales (agosto) de INEC. Variables de ingreso per-cápita y líneas de pobreza (extrema y general) del MEF.</w:t>
            </w:r>
          </w:p>
          <w:p w14:paraId="76294EB0" w14:textId="77777777" w:rsidR="0012386B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Observaciones: Se consideran beneficiarios todos los miembros de un hogar en que una o más personas reciben la transferencia. Para el cálculo de filtración, no se aplica alguna restricción (relativa a la recepción de una pensión por viejez). n/a= no aplica</w:t>
            </w:r>
            <w:r w:rsid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.</w:t>
            </w: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 </w:t>
            </w:r>
          </w:p>
          <w:p w14:paraId="72A9FD2F" w14:textId="1F4A0833" w:rsidR="00845DF6" w:rsidRPr="00F91F74" w:rsidRDefault="00845DF6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2D9D3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</w:p>
        </w:tc>
      </w:tr>
      <w:tr w:rsidR="00A547DB" w:rsidRPr="00470268" w14:paraId="78328C66" w14:textId="77777777" w:rsidTr="003E5AD7">
        <w:trPr>
          <w:trHeight w:val="440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58008" w14:textId="6C07135D" w:rsidR="00A547DB" w:rsidRPr="00F91F74" w:rsidRDefault="00A547DB" w:rsidP="00F91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lastRenderedPageBreak/>
              <w:t>Filtración en el programa AG: % de beneficiarios que no son pobres extremos</w:t>
            </w:r>
            <w:r w:rsid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D9511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Porcentaje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C5EB4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n/d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9FBB4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2013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9F9D6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n/a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27198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25%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C8871" w14:textId="03A1D51B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Calculado en base a datos de la encuesta de propósitos múltiples (marzo) o mercados laborales (agosto) de INEC. Variables de ingreso per</w:t>
            </w:r>
            <w:r w:rsidR="00C467A6">
              <w:rPr>
                <w:rFonts w:ascii="Arial" w:eastAsia="Arial" w:hAnsi="Arial" w:cs="Arial"/>
                <w:sz w:val="20"/>
                <w:szCs w:val="20"/>
                <w:lang w:val="es-419"/>
              </w:rPr>
              <w:t> </w:t>
            </w: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cápita y líneas de pobreza (extrema y general) del MEF.</w:t>
            </w:r>
          </w:p>
          <w:p w14:paraId="327B480C" w14:textId="2BEC814A" w:rsidR="00A547DB" w:rsidRPr="00F91F74" w:rsidRDefault="00A547DB" w:rsidP="00C467A6">
            <w:pPr>
              <w:spacing w:after="6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Observaciones: Se consideran beneficiarios todos los miembros de un hogar en que una o más personas reciben la transferencia. Para el cálculo de filtración, no se aplica alguna restricción (demográfica). n/d=no está disponible, n/a= no aplica</w:t>
            </w:r>
            <w:r w:rsid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7BB8B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</w:p>
        </w:tc>
      </w:tr>
      <w:tr w:rsidR="00A547DB" w:rsidRPr="00470268" w14:paraId="4ABB181B" w14:textId="77777777" w:rsidTr="0012386B">
        <w:trPr>
          <w:trHeight w:val="314"/>
        </w:trPr>
        <w:tc>
          <w:tcPr>
            <w:tcW w:w="134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6411B24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b/>
                <w:smallCaps/>
                <w:sz w:val="20"/>
                <w:szCs w:val="20"/>
                <w:lang w:val="es-419"/>
              </w:rPr>
              <w:t xml:space="preserve">RESULTADO #3: </w:t>
            </w:r>
            <w:r w:rsidRPr="00F91F74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es-419"/>
              </w:rPr>
              <w:t xml:space="preserve">Mejoramiento en la focalización de los programas </w:t>
            </w:r>
            <w:proofErr w:type="gramStart"/>
            <w:r w:rsidRPr="00F91F74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es-419"/>
              </w:rPr>
              <w:t>anti-pobreza</w:t>
            </w:r>
            <w:proofErr w:type="gramEnd"/>
          </w:p>
        </w:tc>
      </w:tr>
      <w:tr w:rsidR="00A547DB" w:rsidRPr="00470268" w14:paraId="63D25691" w14:textId="77777777" w:rsidTr="00845DF6">
        <w:trPr>
          <w:trHeight w:val="2420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8B075" w14:textId="667EB8DD" w:rsidR="00A547DB" w:rsidRPr="00633757" w:rsidRDefault="00A547DB" w:rsidP="00F91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Beneficiarios de programas focalizados contra la pobreza (número de individuos)</w:t>
            </w:r>
            <w:r w:rsidR="00F91F74"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63A84" w14:textId="77777777" w:rsidR="00A547DB" w:rsidRPr="00633757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Número de individuos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FB4C5" w14:textId="77777777" w:rsidR="00A547DB" w:rsidRPr="00633757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633.700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6A2BD" w14:textId="77777777" w:rsidR="00A547DB" w:rsidRPr="00633757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2013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DF6D8" w14:textId="77777777" w:rsidR="00A547DB" w:rsidRPr="00633757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n/a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36933" w14:textId="77777777" w:rsidR="00A547DB" w:rsidRPr="00633757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633.700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7B43B" w14:textId="77777777" w:rsidR="00A547DB" w:rsidRPr="00633757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Calculado en base a datos de la encuesta de propósitos múltiples (marzo) o mercados laborales (agosto) de INEC.</w:t>
            </w:r>
          </w:p>
          <w:p w14:paraId="7E79F8B9" w14:textId="65A46B6E" w:rsidR="00A547DB" w:rsidRPr="00633757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Observaciones: Se consideran beneficiarios todos los miembros de un hogar en el que una o más personas reciben la transferencia de </w:t>
            </w:r>
            <w:proofErr w:type="spellStart"/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RdO</w:t>
            </w:r>
            <w:proofErr w:type="spellEnd"/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, o 120 a los 65, o </w:t>
            </w:r>
            <w:r w:rsidR="00C467A6"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AG</w:t>
            </w: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. n/a=no aplica.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7C160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</w:p>
        </w:tc>
      </w:tr>
      <w:tr w:rsidR="008C3C0C" w:rsidRPr="00E13F2B" w14:paraId="1EE3ED4E" w14:textId="77777777" w:rsidTr="00845DF6">
        <w:trPr>
          <w:trHeight w:val="737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24B28" w14:textId="5F8B9EC6" w:rsidR="008C3C0C" w:rsidRPr="00633757" w:rsidRDefault="008C3C0C" w:rsidP="00F91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Porcentaje de mujeres entre los receptores </w:t>
            </w:r>
            <w:r w:rsidR="00214A29"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del programa </w:t>
            </w:r>
            <w:proofErr w:type="spellStart"/>
            <w:r w:rsidR="00214A29"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R</w:t>
            </w:r>
            <w:r w:rsidR="00EE6645">
              <w:rPr>
                <w:rFonts w:ascii="Arial" w:eastAsia="Arial" w:hAnsi="Arial" w:cs="Arial"/>
                <w:sz w:val="20"/>
                <w:szCs w:val="20"/>
                <w:lang w:val="es-419"/>
              </w:rPr>
              <w:t>dO</w:t>
            </w:r>
            <w:r w:rsidR="00570837">
              <w:rPr>
                <w:rFonts w:ascii="Arial" w:eastAsia="Arial" w:hAnsi="Arial" w:cs="Arial"/>
                <w:sz w:val="20"/>
                <w:szCs w:val="20"/>
                <w:lang w:val="es-419"/>
              </w:rPr>
              <w:t>.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A241C" w14:textId="7B92271B" w:rsidR="008C3C0C" w:rsidRPr="00633757" w:rsidRDefault="00BA1D19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81347" w14:textId="0A57003A" w:rsidR="008C3C0C" w:rsidRPr="00633757" w:rsidRDefault="00886A43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96</w:t>
            </w:r>
            <w:r w:rsidR="00570837">
              <w:rPr>
                <w:rFonts w:ascii="Arial" w:eastAsia="Arial" w:hAnsi="Arial" w:cs="Arial"/>
                <w:sz w:val="20"/>
                <w:szCs w:val="20"/>
                <w:lang w:val="es-419"/>
              </w:rPr>
              <w:t>,</w:t>
            </w: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83ABF" w14:textId="7A1470DF" w:rsidR="008C3C0C" w:rsidRPr="00633757" w:rsidRDefault="0028761D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2018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294D2" w14:textId="6C02C658" w:rsidR="008C3C0C" w:rsidRPr="00EE6645" w:rsidRDefault="0028761D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EE6645">
              <w:rPr>
                <w:rFonts w:ascii="Arial" w:eastAsia="Arial" w:hAnsi="Arial" w:cs="Arial"/>
                <w:sz w:val="20"/>
                <w:szCs w:val="20"/>
                <w:lang w:val="es-419"/>
              </w:rPr>
              <w:t>n/a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3FCA8" w14:textId="46B072EF" w:rsidR="008C3C0C" w:rsidRPr="00EE6645" w:rsidRDefault="00886A43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EE6645">
              <w:rPr>
                <w:rFonts w:ascii="Arial" w:eastAsia="Arial" w:hAnsi="Arial" w:cs="Arial"/>
                <w:sz w:val="20"/>
                <w:szCs w:val="20"/>
                <w:lang w:val="es-419"/>
              </w:rPr>
              <w:t>96</w:t>
            </w:r>
            <w:r w:rsidR="00570837" w:rsidRPr="00EE6645">
              <w:rPr>
                <w:rFonts w:ascii="Arial" w:eastAsia="Arial" w:hAnsi="Arial" w:cs="Arial"/>
                <w:sz w:val="20"/>
                <w:szCs w:val="20"/>
                <w:lang w:val="es-419"/>
              </w:rPr>
              <w:t>,</w:t>
            </w:r>
            <w:r w:rsidRPr="00EE6645">
              <w:rPr>
                <w:rFonts w:ascii="Arial" w:eastAsia="Arial" w:hAnsi="Arial" w:cs="Arial"/>
                <w:sz w:val="20"/>
                <w:szCs w:val="20"/>
                <w:lang w:val="es-419"/>
              </w:rPr>
              <w:t>6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06DA2" w14:textId="4EEF10DD" w:rsidR="008C3C0C" w:rsidRPr="00633757" w:rsidRDefault="001A0210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Reporte del Sistema Transitorio del Registro Nacional de Beneficiarios</w:t>
            </w:r>
            <w:r w:rsidR="00666A78"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AA6F6" w14:textId="2D776CA5" w:rsidR="008C3C0C" w:rsidRPr="00E13F2B" w:rsidRDefault="00E13F2B" w:rsidP="00CD384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pt-BR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  <w:lang w:val="pt-BR"/>
              </w:rPr>
              <w:t>Seguimiento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  <w:lang w:val="pt-BR"/>
              </w:rPr>
              <w:t xml:space="preserve"> </w:t>
            </w:r>
            <w:r w:rsidR="00CD3845">
              <w:rPr>
                <w:rFonts w:ascii="Arial" w:eastAsia="Arial" w:hAnsi="Arial" w:cs="Arial"/>
                <w:sz w:val="20"/>
                <w:szCs w:val="20"/>
                <w:lang w:val="pt-BR"/>
              </w:rPr>
              <w:t>de G</w:t>
            </w:r>
            <w:r w:rsidRPr="00E13F2B">
              <w:rPr>
                <w:rFonts w:ascii="Arial" w:eastAsia="Arial" w:hAnsi="Arial" w:cs="Arial"/>
                <w:sz w:val="20"/>
                <w:szCs w:val="20"/>
                <w:lang w:val="pt-BR"/>
              </w:rPr>
              <w:t>énero</w:t>
            </w:r>
            <w:r w:rsidR="00570837">
              <w:rPr>
                <w:rFonts w:ascii="Arial" w:eastAsia="Arial" w:hAnsi="Arial" w:cs="Arial"/>
                <w:sz w:val="20"/>
                <w:szCs w:val="20"/>
                <w:lang w:val="pt-BR"/>
              </w:rPr>
              <w:t>.</w:t>
            </w:r>
          </w:p>
        </w:tc>
      </w:tr>
      <w:tr w:rsidR="00A12A52" w:rsidRPr="00E13F2B" w14:paraId="4DA50A7B" w14:textId="77777777" w:rsidTr="006E192C">
        <w:trPr>
          <w:trHeight w:val="773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C8ACB" w14:textId="7FE05A20" w:rsidR="00A12A52" w:rsidRPr="00633757" w:rsidRDefault="00214A29" w:rsidP="00F91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Porcentaje de mujeres entre los receptores del programa 120 a los 65</w:t>
            </w:r>
            <w:r w:rsidR="00570837">
              <w:rPr>
                <w:rFonts w:ascii="Arial" w:eastAsia="Arial" w:hAnsi="Arial" w:cs="Arial"/>
                <w:sz w:val="20"/>
                <w:szCs w:val="20"/>
                <w:lang w:val="es-419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57393" w14:textId="7D44E7DF" w:rsidR="00A12A52" w:rsidRPr="00633757" w:rsidRDefault="0028761D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FA27A" w14:textId="7A3607B3" w:rsidR="00A12A52" w:rsidRPr="00633757" w:rsidRDefault="00B852EF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40</w:t>
            </w:r>
            <w:r w:rsidR="00570837">
              <w:rPr>
                <w:rFonts w:ascii="Arial" w:eastAsia="Arial" w:hAnsi="Arial" w:cs="Arial"/>
                <w:sz w:val="20"/>
                <w:szCs w:val="20"/>
                <w:lang w:val="es-419"/>
              </w:rPr>
              <w:t>,</w:t>
            </w: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8CE28" w14:textId="4AA2719A" w:rsidR="00A12A52" w:rsidRPr="00633757" w:rsidRDefault="0028761D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2018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991FA" w14:textId="41801B06" w:rsidR="00A12A52" w:rsidRPr="00633757" w:rsidRDefault="0028761D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n/a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1D533" w14:textId="05D245CF" w:rsidR="00A12A52" w:rsidRPr="00633757" w:rsidRDefault="00B852EF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42</w:t>
            </w:r>
            <w:r w:rsidR="00570837">
              <w:rPr>
                <w:rFonts w:ascii="Arial" w:eastAsia="Arial" w:hAnsi="Arial" w:cs="Arial"/>
                <w:sz w:val="20"/>
                <w:szCs w:val="20"/>
                <w:lang w:val="es-419"/>
              </w:rPr>
              <w:t>,</w:t>
            </w: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CD3E6" w14:textId="59A4D866" w:rsidR="00A12A52" w:rsidRPr="00633757" w:rsidRDefault="00666A78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Reporte del Sistema Transitorio del Registro Nacional de Beneficiarios.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A1E9B" w14:textId="598FBD1F" w:rsidR="00A12A52" w:rsidRPr="00F91F74" w:rsidRDefault="00E13F2B" w:rsidP="00CD384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Seguimiento de </w:t>
            </w:r>
            <w:r w:rsidR="00CD3845">
              <w:rPr>
                <w:rFonts w:ascii="Arial" w:eastAsia="Arial" w:hAnsi="Arial" w:cs="Arial"/>
                <w:sz w:val="20"/>
                <w:szCs w:val="20"/>
                <w:lang w:val="es-419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  <w:lang w:val="es-419"/>
              </w:rPr>
              <w:t>énero</w:t>
            </w:r>
            <w:r w:rsidR="00570837">
              <w:rPr>
                <w:rFonts w:ascii="Arial" w:eastAsia="Arial" w:hAnsi="Arial" w:cs="Arial"/>
                <w:sz w:val="20"/>
                <w:szCs w:val="20"/>
                <w:lang w:val="es-419"/>
              </w:rPr>
              <w:t>.</w:t>
            </w:r>
          </w:p>
        </w:tc>
      </w:tr>
      <w:tr w:rsidR="00A12A52" w:rsidRPr="00E13F2B" w14:paraId="6A8F1F03" w14:textId="77777777" w:rsidTr="00845DF6">
        <w:trPr>
          <w:trHeight w:val="683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03084" w14:textId="6ECCB957" w:rsidR="00A12A52" w:rsidRPr="00633757" w:rsidRDefault="00214A29" w:rsidP="006E1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Porcentaje de mujeres entre los receptores del programa</w:t>
            </w:r>
            <w:r w:rsidR="0077145D"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 </w:t>
            </w:r>
            <w:r w:rsidR="00EE6645">
              <w:rPr>
                <w:rFonts w:ascii="Arial" w:eastAsia="Arial" w:hAnsi="Arial" w:cs="Arial"/>
                <w:sz w:val="20"/>
                <w:szCs w:val="20"/>
                <w:lang w:val="es-419"/>
              </w:rPr>
              <w:t>AG</w:t>
            </w:r>
            <w:r w:rsidR="00570837">
              <w:rPr>
                <w:rFonts w:ascii="Arial" w:eastAsia="Arial" w:hAnsi="Arial" w:cs="Arial"/>
                <w:sz w:val="20"/>
                <w:szCs w:val="20"/>
                <w:lang w:val="es-419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1E343" w14:textId="57805850" w:rsidR="00A12A52" w:rsidRPr="00633757" w:rsidRDefault="0028761D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85ABB" w14:textId="3EEF1FB7" w:rsidR="00A12A52" w:rsidRPr="00633757" w:rsidRDefault="00C70196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44</w:t>
            </w:r>
            <w:r w:rsidR="00570837">
              <w:rPr>
                <w:rFonts w:ascii="Arial" w:eastAsia="Arial" w:hAnsi="Arial" w:cs="Arial"/>
                <w:sz w:val="20"/>
                <w:szCs w:val="20"/>
                <w:lang w:val="es-419"/>
              </w:rPr>
              <w:t>,</w:t>
            </w: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D8628" w14:textId="54ED03DA" w:rsidR="00A12A52" w:rsidRPr="00633757" w:rsidRDefault="0028761D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2018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09EA6" w14:textId="6A999529" w:rsidR="00A12A52" w:rsidRPr="00633757" w:rsidRDefault="0028761D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n/a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3125C" w14:textId="76A0728A" w:rsidR="00A12A52" w:rsidRPr="00633757" w:rsidRDefault="00C70196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46</w:t>
            </w:r>
            <w:r w:rsidR="00570837">
              <w:rPr>
                <w:rFonts w:ascii="Arial" w:eastAsia="Arial" w:hAnsi="Arial" w:cs="Arial"/>
                <w:sz w:val="20"/>
                <w:szCs w:val="20"/>
                <w:lang w:val="es-419"/>
              </w:rPr>
              <w:t>,</w:t>
            </w: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414E9" w14:textId="240EAED4" w:rsidR="00A12A52" w:rsidRPr="00633757" w:rsidRDefault="00666A78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Reporte del Sistema Transitorio del Registro Nacional de Beneficiarios.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2FF0A" w14:textId="45E4EE2D" w:rsidR="00A12A52" w:rsidRPr="00F91F74" w:rsidRDefault="00CD3845" w:rsidP="00CD384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s-419"/>
              </w:rPr>
              <w:t>Seguimiento de G</w:t>
            </w:r>
            <w:r w:rsidR="00E13F2B">
              <w:rPr>
                <w:rFonts w:ascii="Arial" w:eastAsia="Arial" w:hAnsi="Arial" w:cs="Arial"/>
                <w:sz w:val="20"/>
                <w:szCs w:val="20"/>
                <w:lang w:val="es-419"/>
              </w:rPr>
              <w:t>énero</w:t>
            </w:r>
            <w:r w:rsidR="00570837">
              <w:rPr>
                <w:rFonts w:ascii="Arial" w:eastAsia="Arial" w:hAnsi="Arial" w:cs="Arial"/>
                <w:sz w:val="20"/>
                <w:szCs w:val="20"/>
                <w:lang w:val="es-419"/>
              </w:rPr>
              <w:t>.</w:t>
            </w:r>
          </w:p>
        </w:tc>
      </w:tr>
      <w:tr w:rsidR="00FA2CCE" w:rsidRPr="00E13F2B" w14:paraId="53DC1F8D" w14:textId="77777777" w:rsidTr="00EE6645">
        <w:trPr>
          <w:trHeight w:val="1340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B2DF4" w14:textId="7039BFCD" w:rsidR="00FA2CCE" w:rsidRPr="00633757" w:rsidRDefault="00FA2CCE" w:rsidP="00FA2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lastRenderedPageBreak/>
              <w:t xml:space="preserve">Porcentaje de mujeres entre los receptores </w:t>
            </w:r>
            <w:proofErr w:type="spellStart"/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del</w:t>
            </w:r>
            <w:proofErr w:type="spellEnd"/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 los tres PTMC del MIDES (</w:t>
            </w:r>
            <w:proofErr w:type="spellStart"/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RdO</w:t>
            </w:r>
            <w:proofErr w:type="spellEnd"/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, 120 a los 65 y AG)</w:t>
            </w:r>
            <w:r w:rsidR="00570837">
              <w:rPr>
                <w:rFonts w:ascii="Arial" w:eastAsia="Arial" w:hAnsi="Arial" w:cs="Arial"/>
                <w:sz w:val="20"/>
                <w:szCs w:val="20"/>
                <w:lang w:val="es-419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ED936" w14:textId="595B2929" w:rsidR="00FA2CCE" w:rsidRPr="00633757" w:rsidRDefault="00FA2CCE" w:rsidP="00FA2CCE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FB1ED" w14:textId="045707C8" w:rsidR="00FA2CCE" w:rsidRPr="00633757" w:rsidRDefault="00A32DF7" w:rsidP="00FA2CCE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5</w:t>
            </w:r>
            <w:r w:rsidR="00FA2CCE"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4</w:t>
            </w:r>
            <w:r w:rsidR="00570837">
              <w:rPr>
                <w:rFonts w:ascii="Arial" w:eastAsia="Arial" w:hAnsi="Arial" w:cs="Arial"/>
                <w:sz w:val="20"/>
                <w:szCs w:val="20"/>
                <w:lang w:val="es-419"/>
              </w:rPr>
              <w:t>,</w:t>
            </w: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8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9AB9C" w14:textId="4F6D770A" w:rsidR="00FA2CCE" w:rsidRPr="00633757" w:rsidRDefault="00FA2CCE" w:rsidP="00FA2CCE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2018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969B2" w14:textId="357C893C" w:rsidR="00FA2CCE" w:rsidRPr="00633757" w:rsidRDefault="00FA2CCE" w:rsidP="00FA2CCE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n/a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8AC68" w14:textId="19D229A6" w:rsidR="00FA2CCE" w:rsidRPr="00633757" w:rsidRDefault="00CD610C" w:rsidP="00FA2CCE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55</w:t>
            </w:r>
            <w:r w:rsidR="00570837">
              <w:rPr>
                <w:rFonts w:ascii="Arial" w:eastAsia="Arial" w:hAnsi="Arial" w:cs="Arial"/>
                <w:sz w:val="20"/>
                <w:szCs w:val="20"/>
                <w:lang w:val="es-419"/>
              </w:rPr>
              <w:t>,</w:t>
            </w: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9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AC3FC" w14:textId="54476947" w:rsidR="00FA2CCE" w:rsidRPr="00633757" w:rsidRDefault="00FA2CCE" w:rsidP="00FA2CCE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Reporte del Sistema Transitorio del Registro Nacional de Beneficiarios.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D68D8" w14:textId="7A91FD53" w:rsidR="00FA2CCE" w:rsidRPr="00F91F74" w:rsidRDefault="00CD3845" w:rsidP="00CD3845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s-419"/>
              </w:rPr>
              <w:t>Seguimiento de G</w:t>
            </w:r>
            <w:r w:rsidR="00E13F2B">
              <w:rPr>
                <w:rFonts w:ascii="Arial" w:eastAsia="Arial" w:hAnsi="Arial" w:cs="Arial"/>
                <w:sz w:val="20"/>
                <w:szCs w:val="20"/>
                <w:lang w:val="es-419"/>
              </w:rPr>
              <w:t>énero</w:t>
            </w:r>
            <w:r w:rsidR="00570837">
              <w:rPr>
                <w:rFonts w:ascii="Arial" w:eastAsia="Arial" w:hAnsi="Arial" w:cs="Arial"/>
                <w:sz w:val="20"/>
                <w:szCs w:val="20"/>
                <w:lang w:val="es-419"/>
              </w:rPr>
              <w:t>.</w:t>
            </w:r>
          </w:p>
        </w:tc>
      </w:tr>
      <w:tr w:rsidR="00A547DB" w:rsidRPr="00470268" w14:paraId="62F2C4E0" w14:textId="77777777" w:rsidTr="0028306A">
        <w:trPr>
          <w:trHeight w:val="3104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FD896" w14:textId="31448D33" w:rsidR="00A547DB" w:rsidRPr="00633757" w:rsidRDefault="00A547DB" w:rsidP="00F91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Focalización de los subsidios generalizados: </w:t>
            </w:r>
            <w:r w:rsidR="005243BA" w:rsidRPr="00E13F2B">
              <w:rPr>
                <w:rFonts w:ascii="Arial" w:hAnsi="Arial" w:cs="Arial"/>
                <w:sz w:val="20"/>
                <w:szCs w:val="20"/>
                <w:lang w:val="es-ES"/>
              </w:rPr>
              <w:t xml:space="preserve"> reducción en el gasto en subsidios generalizados (</w:t>
            </w:r>
            <w:r w:rsidR="005243BA" w:rsidRPr="00633757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principalmente al consumo de combustibles fósiles: subsidio eléctrico y gas licuado</w:t>
            </w:r>
            <w:r w:rsidR="005243BA" w:rsidRPr="00E13F2B">
              <w:rPr>
                <w:rFonts w:ascii="Arial" w:hAnsi="Arial" w:cs="Arial"/>
                <w:sz w:val="20"/>
                <w:szCs w:val="20"/>
                <w:lang w:val="es-ES"/>
              </w:rPr>
              <w:t xml:space="preserve">), y el aumento del presupuesto del MIDES para los programas Red de Oportunidades, 120 a los 65 y </w:t>
            </w:r>
            <w:r w:rsidR="00B41F83" w:rsidRPr="00E13F2B">
              <w:rPr>
                <w:rFonts w:ascii="Arial" w:hAnsi="Arial" w:cs="Arial"/>
                <w:sz w:val="20"/>
                <w:szCs w:val="20"/>
                <w:lang w:val="es-ES"/>
              </w:rPr>
              <w:t>AG</w:t>
            </w:r>
            <w:r w:rsidR="00505E53" w:rsidRPr="00CD3845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4B926" w14:textId="77777777" w:rsidR="00A547DB" w:rsidRPr="00633757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Millones de Balboas por año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FCBA9" w14:textId="77777777" w:rsidR="00A547DB" w:rsidRPr="00633757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4D8C0" w14:textId="77777777" w:rsidR="00A547DB" w:rsidRPr="00633757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2013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C2D18" w14:textId="03004B1A" w:rsidR="00A547DB" w:rsidRPr="00633757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20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AC869" w14:textId="2BD2F8F7" w:rsidR="00A547DB" w:rsidRPr="00633757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30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7440D" w14:textId="3E6A39D0" w:rsidR="00A547DB" w:rsidRPr="00633757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Datos administrativos del MEF y presupuesto general de la nación</w:t>
            </w:r>
            <w:r w:rsidR="00F91F74"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A93BF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</w:p>
        </w:tc>
      </w:tr>
      <w:tr w:rsidR="00A547DB" w:rsidRPr="00470268" w14:paraId="08F27253" w14:textId="77777777" w:rsidTr="00EE6645">
        <w:trPr>
          <w:trHeight w:val="140"/>
        </w:trPr>
        <w:tc>
          <w:tcPr>
            <w:tcW w:w="134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77B1F3" w14:textId="77777777" w:rsidR="00A547DB" w:rsidRPr="00633757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b/>
                <w:smallCaps/>
                <w:sz w:val="20"/>
                <w:szCs w:val="20"/>
                <w:lang w:val="es-419"/>
              </w:rPr>
              <w:t xml:space="preserve">RESULTADO #4: </w:t>
            </w:r>
            <w:r w:rsidRPr="00633757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es-419"/>
              </w:rPr>
              <w:t>Fomento de la acumulación de capital humano</w:t>
            </w:r>
          </w:p>
        </w:tc>
      </w:tr>
      <w:tr w:rsidR="00A547DB" w:rsidRPr="00F91F74" w14:paraId="7440649D" w14:textId="77777777" w:rsidTr="00EE6645">
        <w:trPr>
          <w:trHeight w:val="1100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892B9" w14:textId="2157BA58" w:rsidR="00A547DB" w:rsidRPr="00633757" w:rsidRDefault="00A547DB" w:rsidP="00F91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Porcentaje de los beneficiarios de la </w:t>
            </w:r>
            <w:proofErr w:type="spellStart"/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RdO</w:t>
            </w:r>
            <w:proofErr w:type="spellEnd"/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 para que se verifican las corresponsabilidades en salud y educación a través del Sistema de Información Gerencial (SIG) del programa</w:t>
            </w:r>
            <w:r w:rsidR="00F91F74"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1A25E" w14:textId="77777777" w:rsidR="00A547DB" w:rsidRPr="00633757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Porcentaje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EBDDA" w14:textId="77777777" w:rsidR="00A547DB" w:rsidRPr="00633757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0%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61588" w14:textId="77777777" w:rsidR="00A547DB" w:rsidRPr="00633757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2013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4EB3B" w14:textId="77777777" w:rsidR="00A547DB" w:rsidRPr="00633757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n/a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114B1" w14:textId="77777777" w:rsidR="00A547DB" w:rsidRPr="00633757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50%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3B779" w14:textId="5462F4FF" w:rsidR="00A547DB" w:rsidRPr="00633757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Datos administrativos del </w:t>
            </w:r>
            <w:r w:rsidR="00147467"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Ministerio de Desarrollo Social (</w:t>
            </w: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MIDES</w:t>
            </w:r>
            <w:r w:rsidR="00147467"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)</w:t>
            </w: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, reportes del SIG de la </w:t>
            </w:r>
            <w:proofErr w:type="spellStart"/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RdO.</w:t>
            </w:r>
            <w:proofErr w:type="spellEnd"/>
          </w:p>
          <w:p w14:paraId="31526963" w14:textId="77777777" w:rsidR="00A547DB" w:rsidRPr="00633757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Observación: n/a = no aplica.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1B8EE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</w:p>
        </w:tc>
      </w:tr>
      <w:tr w:rsidR="00A547DB" w:rsidRPr="00470268" w14:paraId="357129EE" w14:textId="77777777" w:rsidTr="00EE6645">
        <w:trPr>
          <w:trHeight w:val="760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0D94A" w14:textId="3D948EEC" w:rsidR="00A547DB" w:rsidRPr="00633757" w:rsidRDefault="00A547DB" w:rsidP="00F91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Número de niños con Libreta del Niño</w:t>
            </w:r>
            <w:r w:rsidR="00F91F74"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CC845" w14:textId="77777777" w:rsidR="00A547DB" w:rsidRPr="00633757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Número de individuos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BD77C" w14:textId="77777777" w:rsidR="00A547DB" w:rsidRPr="00633757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6706A" w14:textId="77777777" w:rsidR="00A547DB" w:rsidRPr="00633757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2013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3471B" w14:textId="2DE9AAB4" w:rsidR="00A547DB" w:rsidRPr="00633757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20.000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BCFC9" w14:textId="77777777" w:rsidR="00A547DB" w:rsidRPr="00633757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40.000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EFC5B" w14:textId="5CE5C494" w:rsidR="00A547DB" w:rsidRPr="00633757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Datos administrativos del </w:t>
            </w:r>
            <w:r w:rsidR="00147467"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Ministerio de Salud (MINSA)</w:t>
            </w: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, Informe de avance Programa de salud infantil.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3FA95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</w:p>
        </w:tc>
      </w:tr>
      <w:tr w:rsidR="00A547DB" w:rsidRPr="00F91F74" w14:paraId="3906E6C9" w14:textId="77777777" w:rsidTr="00EE6645">
        <w:trPr>
          <w:trHeight w:val="422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2566B" w14:textId="1DF189F9" w:rsidR="00A547DB" w:rsidRPr="00633757" w:rsidRDefault="00A547DB" w:rsidP="00F91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Porcentaje de </w:t>
            </w:r>
            <w:r w:rsidR="00052CB7" w:rsidRPr="00633757">
              <w:rPr>
                <w:rFonts w:ascii="Arial" w:hAnsi="Arial" w:cs="Arial"/>
                <w:sz w:val="20"/>
                <w:szCs w:val="20"/>
                <w:lang w:val="es-ES_tradnl"/>
              </w:rPr>
              <w:t>Centros de Atención Integral a la Primera Infancia</w:t>
            </w:r>
            <w:r w:rsidR="00052CB7"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 (</w:t>
            </w: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CAIPI</w:t>
            </w:r>
            <w:r w:rsidR="00052CB7"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)</w:t>
            </w: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 que reciben financiamiento por cápita con base en resultados</w:t>
            </w:r>
            <w:r w:rsidR="00F91F74"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.</w:t>
            </w:r>
            <w:r w:rsidRPr="00633757">
              <w:rPr>
                <w:rFonts w:ascii="Arial" w:eastAsia="Arial" w:hAnsi="Arial" w:cs="Arial"/>
                <w:color w:val="000000"/>
                <w:sz w:val="20"/>
                <w:szCs w:val="20"/>
                <w:lang w:val="es-419"/>
              </w:rPr>
              <w:t xml:space="preserve"> 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A213C" w14:textId="77777777" w:rsidR="00A547DB" w:rsidRPr="00633757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Porcentaje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9D6E2" w14:textId="77777777" w:rsidR="00A547DB" w:rsidRPr="00633757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0%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57F01" w14:textId="77777777" w:rsidR="00A547DB" w:rsidRPr="00633757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2013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64093" w14:textId="77777777" w:rsidR="00A547DB" w:rsidRPr="00633757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n/a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820F1" w14:textId="77777777" w:rsidR="00A547DB" w:rsidRPr="00633757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80%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499B6" w14:textId="77777777" w:rsidR="00A547DB" w:rsidRPr="00633757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Datos administrativos del MIDES, Informe de la Dirección de Servicios Sociales.</w:t>
            </w:r>
          </w:p>
          <w:p w14:paraId="6BD9C4FD" w14:textId="77777777" w:rsidR="00A547DB" w:rsidRPr="00633757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Observación: n/a = no aplica.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71114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</w:p>
        </w:tc>
      </w:tr>
      <w:tr w:rsidR="00A547DB" w:rsidRPr="00470268" w14:paraId="56812F58" w14:textId="77777777" w:rsidTr="00EE6645">
        <w:trPr>
          <w:trHeight w:val="1682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0818A" w14:textId="19AC9036" w:rsidR="00A547DB" w:rsidRPr="00633757" w:rsidRDefault="00A547DB" w:rsidP="00F91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lastRenderedPageBreak/>
              <w:t>Porcentaje de CAIPI que aplica los estándares de calidad aprobados por el MIDES</w:t>
            </w:r>
            <w:r w:rsidR="00F91F74"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660C6" w14:textId="77777777" w:rsidR="00A547DB" w:rsidRPr="00633757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Porcentaje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B7D5F" w14:textId="77777777" w:rsidR="00A547DB" w:rsidRPr="00633757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n/d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57F81" w14:textId="77777777" w:rsidR="00A547DB" w:rsidRPr="00633757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2013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9311C" w14:textId="77777777" w:rsidR="00A547DB" w:rsidRPr="00633757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n/a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DD052" w14:textId="77777777" w:rsidR="00A547DB" w:rsidRPr="00633757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80%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DA8C4" w14:textId="77777777" w:rsidR="00A547DB" w:rsidRPr="00633757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Datos administrativos del MIDES. Informe de la Dirección de Servicios Sociales.</w:t>
            </w:r>
          </w:p>
          <w:p w14:paraId="55502BE9" w14:textId="77777777" w:rsidR="00A547DB" w:rsidRPr="00633757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633757">
              <w:rPr>
                <w:rFonts w:ascii="Arial" w:eastAsia="Arial" w:hAnsi="Arial" w:cs="Arial"/>
                <w:sz w:val="20"/>
                <w:szCs w:val="20"/>
                <w:lang w:val="es-419"/>
              </w:rPr>
              <w:t>Observaciones: No se conoce el valor actual del indicador, cómo los estándares de calidad no han sido definidos. n/a = no aplica.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17923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</w:p>
        </w:tc>
      </w:tr>
      <w:tr w:rsidR="00A547DB" w:rsidRPr="00F91F74" w14:paraId="3CED0ACD" w14:textId="77777777" w:rsidTr="0028306A">
        <w:trPr>
          <w:trHeight w:val="1871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23815" w14:textId="7FFDED51" w:rsidR="00A547DB" w:rsidRPr="00F91F74" w:rsidRDefault="00A547DB" w:rsidP="00F91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Cobertura de servicios integrales de </w:t>
            </w:r>
            <w:r w:rsidR="00052CB7">
              <w:rPr>
                <w:rFonts w:ascii="Arial" w:eastAsia="Arial" w:hAnsi="Arial" w:cs="Arial"/>
                <w:sz w:val="20"/>
                <w:szCs w:val="20"/>
                <w:lang w:val="es-419"/>
              </w:rPr>
              <w:t>Desarrollo Infantil Temprano (</w:t>
            </w: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DIT</w:t>
            </w:r>
            <w:r w:rsidR="00052CB7">
              <w:rPr>
                <w:rFonts w:ascii="Arial" w:eastAsia="Arial" w:hAnsi="Arial" w:cs="Arial"/>
                <w:sz w:val="20"/>
                <w:szCs w:val="20"/>
                <w:lang w:val="es-419"/>
              </w:rPr>
              <w:t>)</w:t>
            </w: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: cobertura en CAIPI y en modalidad familiar</w:t>
            </w:r>
            <w:r w:rsid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E53CC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Porcentaje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18E9A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3,8%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88D74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2013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75703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n/a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1C697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10%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C40AE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Cálculo con base en número de niños entre 0 y 4 años matriculados en CAIPI (datos administrativos del MIDES) o que reciben servicios en modalidad familiar y población en el mismo grupo etario (datos INEC).</w:t>
            </w:r>
          </w:p>
          <w:p w14:paraId="22CA4B66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Observación: n/a = no aplica.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B4904" w14:textId="7944E730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Seguimiento Étnico</w:t>
            </w:r>
            <w:r w:rsidR="001C636C">
              <w:rPr>
                <w:rFonts w:ascii="Arial" w:eastAsia="Arial" w:hAnsi="Arial" w:cs="Arial"/>
                <w:sz w:val="20"/>
                <w:szCs w:val="20"/>
                <w:lang w:val="es-419"/>
              </w:rPr>
              <w:t>.</w:t>
            </w:r>
          </w:p>
        </w:tc>
      </w:tr>
    </w:tbl>
    <w:p w14:paraId="73B97454" w14:textId="31CB579C" w:rsidR="00331F7B" w:rsidRDefault="00331F7B" w:rsidP="00F91F74">
      <w:pPr>
        <w:spacing w:after="0" w:line="240" w:lineRule="auto"/>
        <w:rPr>
          <w:rFonts w:ascii="Arial" w:eastAsia="Arial" w:hAnsi="Arial" w:cs="Arial"/>
          <w:b/>
          <w:smallCaps/>
          <w:color w:val="000000"/>
          <w:sz w:val="20"/>
          <w:szCs w:val="20"/>
          <w:lang w:val="es-419"/>
        </w:rPr>
      </w:pPr>
    </w:p>
    <w:p w14:paraId="60ECBF41" w14:textId="77777777" w:rsidR="00331F7B" w:rsidRDefault="00331F7B">
      <w:pPr>
        <w:spacing w:after="0" w:line="240" w:lineRule="auto"/>
        <w:rPr>
          <w:rFonts w:ascii="Arial" w:eastAsia="Arial" w:hAnsi="Arial" w:cs="Arial"/>
          <w:b/>
          <w:smallCaps/>
          <w:color w:val="000000"/>
          <w:sz w:val="20"/>
          <w:szCs w:val="20"/>
          <w:lang w:val="es-419"/>
        </w:rPr>
      </w:pPr>
      <w:r>
        <w:rPr>
          <w:rFonts w:ascii="Arial" w:eastAsia="Arial" w:hAnsi="Arial" w:cs="Arial"/>
          <w:b/>
          <w:smallCaps/>
          <w:color w:val="000000"/>
          <w:sz w:val="20"/>
          <w:szCs w:val="20"/>
          <w:lang w:val="es-419"/>
        </w:rPr>
        <w:br w:type="page"/>
      </w:r>
    </w:p>
    <w:p w14:paraId="2CB0A930" w14:textId="77777777" w:rsidR="00A547DB" w:rsidRPr="00F91F74" w:rsidRDefault="00A547DB" w:rsidP="00F91F74">
      <w:pPr>
        <w:spacing w:after="60" w:line="240" w:lineRule="auto"/>
        <w:jc w:val="center"/>
        <w:rPr>
          <w:rFonts w:ascii="Arial" w:eastAsia="Arial" w:hAnsi="Arial" w:cs="Arial"/>
          <w:sz w:val="20"/>
          <w:szCs w:val="20"/>
          <w:lang w:val="es-419"/>
        </w:rPr>
      </w:pPr>
      <w:r w:rsidRPr="00F91F74">
        <w:rPr>
          <w:rFonts w:ascii="Arial" w:eastAsia="Arial" w:hAnsi="Arial" w:cs="Arial"/>
          <w:b/>
          <w:smallCaps/>
          <w:color w:val="000000"/>
          <w:sz w:val="20"/>
          <w:szCs w:val="20"/>
          <w:lang w:val="es-419"/>
        </w:rPr>
        <w:lastRenderedPageBreak/>
        <w:t>Productos</w:t>
      </w:r>
    </w:p>
    <w:tbl>
      <w:tblPr>
        <w:tblW w:w="1341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80"/>
        <w:gridCol w:w="1260"/>
        <w:gridCol w:w="810"/>
        <w:gridCol w:w="1080"/>
        <w:gridCol w:w="900"/>
        <w:gridCol w:w="3690"/>
        <w:gridCol w:w="1890"/>
      </w:tblGrid>
      <w:tr w:rsidR="00A547DB" w:rsidRPr="00F91F74" w14:paraId="40EB01B9" w14:textId="77777777" w:rsidTr="007022FB">
        <w:trPr>
          <w:trHeight w:val="1020"/>
          <w:tblHeader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14:paraId="105754DB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  <w:t>Productos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14:paraId="015F14CD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  <w:t>Unidad de Medida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14:paraId="37ADBBA3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  <w:t xml:space="preserve">Línea de Base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14:paraId="1F043AC7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  <w:t xml:space="preserve">Año </w:t>
            </w:r>
          </w:p>
          <w:p w14:paraId="004FAC14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  <w:t>Línea de Base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14:paraId="0B892F32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  <w:t>Meta Final (2019)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14:paraId="28E43FEC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  <w:t>Medios de Verificación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14:paraId="57750FC6" w14:textId="688CB692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  <w:t>Comentarios</w:t>
            </w:r>
          </w:p>
        </w:tc>
      </w:tr>
      <w:tr w:rsidR="00A547DB" w:rsidRPr="00F91F74" w14:paraId="35D62E6C" w14:textId="77777777" w:rsidTr="00F55D17">
        <w:trPr>
          <w:trHeight w:val="305"/>
        </w:trPr>
        <w:tc>
          <w:tcPr>
            <w:tcW w:w="134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12ADEFD3" w14:textId="3CA33D55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  <w:t>Componente 1. Marco macroeconómico</w:t>
            </w:r>
          </w:p>
        </w:tc>
      </w:tr>
      <w:tr w:rsidR="00A547DB" w:rsidRPr="00630AE5" w14:paraId="7FD7AF95" w14:textId="77777777" w:rsidTr="00F55D17">
        <w:trPr>
          <w:trHeight w:val="539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FA49F" w14:textId="77777777" w:rsidR="00A547DB" w:rsidRPr="00F91F74" w:rsidRDefault="00A547DB" w:rsidP="00F91F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color w:val="000000"/>
                <w:sz w:val="20"/>
                <w:szCs w:val="20"/>
                <w:lang w:val="es-419"/>
              </w:rPr>
              <w:t>Marco de políticas macroeconómicas adecuado.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B5B39" w14:textId="48304F53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IAMC</w:t>
            </w:r>
            <w:r w:rsidR="0040239F">
              <w:rPr>
                <w:rStyle w:val="FootnoteReference"/>
                <w:rFonts w:ascii="Arial" w:eastAsia="Arial" w:hAnsi="Arial" w:cs="Arial"/>
                <w:sz w:val="20"/>
                <w:szCs w:val="20"/>
                <w:lang w:val="es-419"/>
              </w:rPr>
              <w:footnoteReference w:id="2"/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79676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41757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2018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042CB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F2597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IAMC, vigente al momento de solicitar el desembolso.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1BC0B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</w:p>
        </w:tc>
      </w:tr>
      <w:tr w:rsidR="00A547DB" w:rsidRPr="00630AE5" w14:paraId="64B8A531" w14:textId="77777777" w:rsidTr="00845DF6">
        <w:trPr>
          <w:trHeight w:val="251"/>
        </w:trPr>
        <w:tc>
          <w:tcPr>
            <w:tcW w:w="134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1077F32C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  <w:t>Componente 2. Apoyo a la mejora de la equidad y eficiencia del gasto en protección social</w:t>
            </w:r>
          </w:p>
        </w:tc>
      </w:tr>
      <w:tr w:rsidR="00A547DB" w:rsidRPr="00F91F74" w14:paraId="11FED909" w14:textId="77777777" w:rsidTr="007022FB">
        <w:trPr>
          <w:trHeight w:val="60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62A36" w14:textId="5EAFB5B2" w:rsidR="00A547DB" w:rsidRPr="00F91F74" w:rsidRDefault="00A547DB" w:rsidP="002662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color w:val="000000"/>
                <w:sz w:val="20"/>
                <w:szCs w:val="20"/>
                <w:lang w:val="es-419"/>
              </w:rPr>
              <w:t xml:space="preserve">Informe del MIDES que evalúe los efectos de la implementación del nuevo mecanismo de focalización y del nuevo proceso de recertificación sobre cobertura y filtración de los programas </w:t>
            </w:r>
            <w:proofErr w:type="spellStart"/>
            <w:r w:rsidRPr="00F91F74">
              <w:rPr>
                <w:rFonts w:ascii="Arial" w:eastAsia="Arial" w:hAnsi="Arial" w:cs="Arial"/>
                <w:color w:val="000000"/>
                <w:sz w:val="20"/>
                <w:szCs w:val="20"/>
                <w:lang w:val="es-419"/>
              </w:rPr>
              <w:t>R</w:t>
            </w:r>
            <w:r w:rsidR="00331F7B">
              <w:rPr>
                <w:rFonts w:ascii="Arial" w:eastAsia="Arial" w:hAnsi="Arial" w:cs="Arial"/>
                <w:color w:val="000000"/>
                <w:sz w:val="20"/>
                <w:szCs w:val="20"/>
                <w:lang w:val="es-419"/>
              </w:rPr>
              <w:t>d</w:t>
            </w:r>
            <w:r w:rsidRPr="00F91F74">
              <w:rPr>
                <w:rFonts w:ascii="Arial" w:eastAsia="Arial" w:hAnsi="Arial" w:cs="Arial"/>
                <w:color w:val="000000"/>
                <w:sz w:val="20"/>
                <w:szCs w:val="20"/>
                <w:lang w:val="es-419"/>
              </w:rPr>
              <w:t>O</w:t>
            </w:r>
            <w:proofErr w:type="spellEnd"/>
            <w:r w:rsidRPr="00F91F74">
              <w:rPr>
                <w:rFonts w:ascii="Arial" w:eastAsia="Arial" w:hAnsi="Arial" w:cs="Arial"/>
                <w:color w:val="000000"/>
                <w:sz w:val="20"/>
                <w:szCs w:val="20"/>
                <w:lang w:val="es-419"/>
              </w:rPr>
              <w:t xml:space="preserve">, 120 a los 65, </w:t>
            </w:r>
            <w:r w:rsidR="00331F7B">
              <w:rPr>
                <w:rFonts w:ascii="Arial" w:eastAsia="Arial" w:hAnsi="Arial" w:cs="Arial"/>
                <w:color w:val="000000"/>
                <w:sz w:val="20"/>
                <w:szCs w:val="20"/>
                <w:lang w:val="es-419"/>
              </w:rPr>
              <w:t>y AG</w:t>
            </w:r>
            <w:r w:rsidRPr="00F91F74">
              <w:rPr>
                <w:rFonts w:ascii="Arial" w:eastAsia="Arial" w:hAnsi="Arial" w:cs="Arial"/>
                <w:color w:val="000000"/>
                <w:sz w:val="20"/>
                <w:szCs w:val="20"/>
                <w:lang w:val="es-419"/>
              </w:rPr>
              <w:t>, revisado y aprobado.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E122F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Informe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C9A98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3AD6F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2018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14AAC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A900A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Informe del MIDES.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48428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</w:p>
        </w:tc>
      </w:tr>
      <w:tr w:rsidR="00A547DB" w:rsidRPr="00F91F74" w14:paraId="6FE0ADD0" w14:textId="77777777" w:rsidTr="007022FB">
        <w:trPr>
          <w:trHeight w:val="1100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8F453" w14:textId="1AD0FE96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Informe del MIDES que documente la recertificación de al menos el 40% de los beneficiarios potencialmente </w:t>
            </w:r>
            <w:proofErr w:type="spellStart"/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recertificables</w:t>
            </w:r>
            <w:proofErr w:type="spellEnd"/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 de los programas </w:t>
            </w:r>
            <w:proofErr w:type="spellStart"/>
            <w:r w:rsidR="00331F7B">
              <w:rPr>
                <w:rFonts w:ascii="Arial" w:eastAsia="Arial" w:hAnsi="Arial" w:cs="Arial"/>
                <w:sz w:val="20"/>
                <w:szCs w:val="20"/>
                <w:lang w:val="es-419"/>
              </w:rPr>
              <w:t>RdO</w:t>
            </w:r>
            <w:proofErr w:type="spellEnd"/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, 120 a los 65, </w:t>
            </w:r>
            <w:r w:rsidR="00331F7B">
              <w:rPr>
                <w:rFonts w:ascii="Arial" w:eastAsia="Arial" w:hAnsi="Arial" w:cs="Arial"/>
                <w:sz w:val="20"/>
                <w:szCs w:val="20"/>
                <w:lang w:val="es-419"/>
              </w:rPr>
              <w:t>AG</w:t>
            </w: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, usando el nuevo mecanismo de focalización.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20DFD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Informe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F63DF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74E5B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2018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5EBEC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8A809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Informe del MIDES.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318F0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</w:p>
        </w:tc>
      </w:tr>
      <w:tr w:rsidR="00A547DB" w:rsidRPr="00F91F74" w14:paraId="05AEB2B7" w14:textId="77777777" w:rsidTr="007022FB">
        <w:trPr>
          <w:trHeight w:val="1061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903DE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Nota del MIDES que documente el proceso de registro en la BU de aquellos beneficiarios de la </w:t>
            </w:r>
            <w:proofErr w:type="spellStart"/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RdO</w:t>
            </w:r>
            <w:proofErr w:type="spellEnd"/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 que no estén en el padrón de la BU.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62680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Nota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FE7F2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21AE3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2018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E467D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302F2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Nota del MIDES.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50071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</w:p>
        </w:tc>
      </w:tr>
      <w:tr w:rsidR="00A547DB" w:rsidRPr="00F91F74" w14:paraId="459E17EF" w14:textId="77777777" w:rsidTr="007022FB">
        <w:trPr>
          <w:trHeight w:val="1250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ACAC8" w14:textId="103EA353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Nota del MEF que documente la reducción en el gasto en subsidios generalizados</w:t>
            </w:r>
            <w:r w:rsidR="00E13F2B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 (principalmente al consumo de combustibles fósiles: subsidio eléctrico y gas licuado)</w:t>
            </w: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, y el aumento del presupuesto del MIDES para los programas </w:t>
            </w:r>
            <w:proofErr w:type="spellStart"/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R</w:t>
            </w:r>
            <w:r w:rsidR="0001022A">
              <w:rPr>
                <w:rFonts w:ascii="Arial" w:eastAsia="Arial" w:hAnsi="Arial" w:cs="Arial"/>
                <w:sz w:val="20"/>
                <w:szCs w:val="20"/>
                <w:lang w:val="es-419"/>
              </w:rPr>
              <w:t>dO</w:t>
            </w:r>
            <w:proofErr w:type="spellEnd"/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, 120 a los 65 y </w:t>
            </w:r>
            <w:r w:rsidR="0001022A">
              <w:rPr>
                <w:rFonts w:ascii="Arial" w:eastAsia="Arial" w:hAnsi="Arial" w:cs="Arial"/>
                <w:sz w:val="20"/>
                <w:szCs w:val="20"/>
                <w:lang w:val="es-419"/>
              </w:rPr>
              <w:t>AG</w:t>
            </w: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22C41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Nota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88C08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1079D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2018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E03DA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698A9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Nota del MEF.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B7CC2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</w:p>
        </w:tc>
      </w:tr>
      <w:tr w:rsidR="00A547DB" w:rsidRPr="00630AE5" w14:paraId="79C2EB19" w14:textId="77777777" w:rsidTr="007022FB">
        <w:trPr>
          <w:trHeight w:val="220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91685" w14:textId="3C52F3B2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Nota del MIDES sobre los datos que se encuentran en el sistema transitorio del </w:t>
            </w:r>
            <w:r w:rsidR="00094CC7">
              <w:rPr>
                <w:rFonts w:ascii="Arial" w:eastAsia="Arial" w:hAnsi="Arial" w:cs="Arial"/>
                <w:sz w:val="20"/>
                <w:szCs w:val="20"/>
                <w:lang w:val="es-419"/>
              </w:rPr>
              <w:t>RUB</w:t>
            </w: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1DF55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Nota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192C1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7A58B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2018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69E84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BF057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Nota del MIDES.</w:t>
            </w:r>
          </w:p>
          <w:p w14:paraId="305010E6" w14:textId="1597739D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Verificación in-situ del sistema para verificar los datos que se encuentran </w:t>
            </w: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lastRenderedPageBreak/>
              <w:t xml:space="preserve">almacenados en el mismo sobre los programas </w:t>
            </w:r>
            <w:proofErr w:type="spellStart"/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RdO</w:t>
            </w:r>
            <w:proofErr w:type="spellEnd"/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, 120 a los 65 y </w:t>
            </w:r>
            <w:r w:rsidR="0068784B">
              <w:rPr>
                <w:rFonts w:ascii="Arial" w:eastAsia="Arial" w:hAnsi="Arial" w:cs="Arial"/>
                <w:sz w:val="20"/>
                <w:szCs w:val="20"/>
                <w:lang w:val="es-419"/>
              </w:rPr>
              <w:t>AG.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5127D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</w:p>
        </w:tc>
      </w:tr>
      <w:tr w:rsidR="00A547DB" w:rsidRPr="00630AE5" w14:paraId="23DEDD42" w14:textId="77777777" w:rsidTr="007022FB">
        <w:trPr>
          <w:trHeight w:val="1480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205EF" w14:textId="49508E06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Nota del MIDES que certifique la implementación y utilización de las interfaces del sistema transitorio del registro único de beneficiarios con el Tribunal Electoral, el IFARHU y el </w:t>
            </w:r>
            <w:r w:rsidR="00094CC7">
              <w:rPr>
                <w:rFonts w:ascii="Arial" w:eastAsia="Arial" w:hAnsi="Arial" w:cs="Arial"/>
                <w:sz w:val="20"/>
                <w:szCs w:val="20"/>
                <w:lang w:val="es-419"/>
              </w:rPr>
              <w:t>MINSA</w:t>
            </w: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A725F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Nota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28A77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6DCE8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2018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59CDB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F389A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Nota del MIDES.</w:t>
            </w:r>
          </w:p>
          <w:p w14:paraId="5A0B4AE1" w14:textId="3265478F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Verificación in-situ del funcionamiento de las interfaces del sistema transitorio del registro único de beneficiarios con el Tribunal Electoral, el IFARHU y el </w:t>
            </w:r>
            <w:r w:rsidR="00094CC7">
              <w:rPr>
                <w:rFonts w:ascii="Arial" w:eastAsia="Arial" w:hAnsi="Arial" w:cs="Arial"/>
                <w:sz w:val="20"/>
                <w:szCs w:val="20"/>
                <w:lang w:val="es-419"/>
              </w:rPr>
              <w:t>MINSA</w:t>
            </w: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478E5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</w:p>
        </w:tc>
      </w:tr>
      <w:tr w:rsidR="00A547DB" w:rsidRPr="00630AE5" w14:paraId="03E9A3B9" w14:textId="77777777" w:rsidTr="00470268">
        <w:trPr>
          <w:trHeight w:val="1250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AEE64" w14:textId="72770872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Nota del MIDES que detalle y certifique que se ha </w:t>
            </w:r>
            <w:r w:rsidR="00F6456D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empezado </w:t>
            </w: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el proceso de pagos a través del sistema transitorio del registro único de beneficiarios.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83BC2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Nota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95B9E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C8395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2018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0B409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78CFE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Nota del MIDES.</w:t>
            </w:r>
          </w:p>
          <w:p w14:paraId="6FE8D04D" w14:textId="46892D90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Verificación in-situ del proceso de pagos (envío de la planilla al Banco Nacional de manera electrónica).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C06B1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</w:p>
        </w:tc>
      </w:tr>
      <w:tr w:rsidR="00A547DB" w:rsidRPr="00630AE5" w14:paraId="1474C8F0" w14:textId="77777777" w:rsidTr="007022FB">
        <w:trPr>
          <w:trHeight w:val="220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AA781" w14:textId="000835F3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Informe del </w:t>
            </w:r>
            <w:r w:rsidRPr="00E21910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Despacho Superior del MIDES que el funcionamiento de la </w:t>
            </w:r>
            <w:r w:rsidR="00E21910" w:rsidRPr="00E21910">
              <w:rPr>
                <w:rFonts w:ascii="Arial" w:hAnsi="Arial" w:cs="Arial"/>
                <w:sz w:val="20"/>
                <w:szCs w:val="20"/>
                <w:lang w:val="es-ES_tradnl"/>
              </w:rPr>
              <w:t>Dirección de Inclusión y Desarrollo Social</w:t>
            </w:r>
            <w:r w:rsidR="00E21910" w:rsidRPr="00E21910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 (</w:t>
            </w:r>
            <w:r w:rsidRPr="00E21910">
              <w:rPr>
                <w:rFonts w:ascii="Arial" w:eastAsia="Arial" w:hAnsi="Arial" w:cs="Arial"/>
                <w:sz w:val="20"/>
                <w:szCs w:val="20"/>
                <w:lang w:val="es-419"/>
              </w:rPr>
              <w:t>DIDS</w:t>
            </w:r>
            <w:r w:rsidR="00E21910" w:rsidRPr="00E21910">
              <w:rPr>
                <w:rFonts w:ascii="Arial" w:eastAsia="Arial" w:hAnsi="Arial" w:cs="Arial"/>
                <w:sz w:val="20"/>
                <w:szCs w:val="20"/>
                <w:lang w:val="es-419"/>
              </w:rPr>
              <w:t>)</w:t>
            </w:r>
            <w:r w:rsidRPr="00E21910">
              <w:rPr>
                <w:rFonts w:ascii="Arial" w:eastAsia="Arial" w:hAnsi="Arial" w:cs="Arial"/>
                <w:sz w:val="20"/>
                <w:szCs w:val="20"/>
                <w:lang w:val="es-419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8DBA7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Informe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F5CB3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4205B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2018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A4177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E3631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Informe del Despacho Superior del MIDES.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1C5F9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</w:p>
        </w:tc>
      </w:tr>
      <w:tr w:rsidR="00A547DB" w:rsidRPr="00630AE5" w14:paraId="02372D1D" w14:textId="77777777" w:rsidTr="007022FB">
        <w:trPr>
          <w:trHeight w:val="1673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D4CD1" w14:textId="440C0E55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Informe de la DIDS que describe la racionalización de los procesos operativos del </w:t>
            </w:r>
            <w:r w:rsidR="00E21910" w:rsidRPr="00E21910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Bono Nutricional Alimenticio </w:t>
            </w:r>
            <w:r w:rsidR="00E21910">
              <w:rPr>
                <w:rFonts w:ascii="Arial" w:eastAsia="Arial" w:hAnsi="Arial" w:cs="Arial"/>
                <w:sz w:val="20"/>
                <w:szCs w:val="20"/>
                <w:lang w:val="es-419"/>
              </w:rPr>
              <w:t>(</w:t>
            </w: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BNA</w:t>
            </w:r>
            <w:r w:rsidR="00E21910">
              <w:rPr>
                <w:rFonts w:ascii="Arial" w:eastAsia="Arial" w:hAnsi="Arial" w:cs="Arial"/>
                <w:sz w:val="20"/>
                <w:szCs w:val="20"/>
                <w:lang w:val="es-419"/>
              </w:rPr>
              <w:t>)</w:t>
            </w: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 y </w:t>
            </w:r>
            <w:proofErr w:type="spellStart"/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RdO</w:t>
            </w:r>
            <w:proofErr w:type="spellEnd"/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 (unificación del padrón, utilización de la FUPS y unificación de la función de promotores)</w:t>
            </w:r>
            <w:r w:rsidR="00E21910">
              <w:rPr>
                <w:rFonts w:ascii="Arial" w:eastAsia="Arial" w:hAnsi="Arial" w:cs="Arial"/>
                <w:sz w:val="20"/>
                <w:szCs w:val="20"/>
                <w:lang w:val="es-419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8DF85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Informe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3B2E1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2391B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2018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592B5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9F1B0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fr-FR"/>
              </w:rPr>
              <w:t>Informe de la DIDS (MIDES).</w:t>
            </w:r>
          </w:p>
          <w:p w14:paraId="3789AECD" w14:textId="10EB38A3" w:rsidR="00A547DB" w:rsidRPr="00E21910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E21910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Observación: El informe debe documentar la unificación del padrón, la utilización de la </w:t>
            </w:r>
            <w:r w:rsidR="00E21910" w:rsidRPr="00E21910">
              <w:rPr>
                <w:rFonts w:ascii="Arial" w:hAnsi="Arial" w:cs="Arial"/>
                <w:sz w:val="20"/>
                <w:szCs w:val="20"/>
                <w:lang w:val="es-ES_tradnl"/>
              </w:rPr>
              <w:t>Ficha Única de Protección Social</w:t>
            </w:r>
            <w:r w:rsidR="00E21910" w:rsidRPr="00E21910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 (</w:t>
            </w:r>
            <w:r w:rsidRPr="00E21910">
              <w:rPr>
                <w:rFonts w:ascii="Arial" w:eastAsia="Arial" w:hAnsi="Arial" w:cs="Arial"/>
                <w:sz w:val="20"/>
                <w:szCs w:val="20"/>
                <w:lang w:val="es-419"/>
              </w:rPr>
              <w:t>FUPS</w:t>
            </w:r>
            <w:r w:rsidR="00E21910" w:rsidRPr="00E21910">
              <w:rPr>
                <w:rFonts w:ascii="Arial" w:eastAsia="Arial" w:hAnsi="Arial" w:cs="Arial"/>
                <w:sz w:val="20"/>
                <w:szCs w:val="20"/>
                <w:lang w:val="es-419"/>
              </w:rPr>
              <w:t>)</w:t>
            </w:r>
            <w:r w:rsidRPr="00E21910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 y la unificación de promotores</w:t>
            </w:r>
            <w:r w:rsidR="00A551E9">
              <w:rPr>
                <w:rFonts w:ascii="Arial" w:eastAsia="Arial" w:hAnsi="Arial" w:cs="Arial"/>
                <w:sz w:val="20"/>
                <w:szCs w:val="20"/>
                <w:lang w:val="es-419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3BB5A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</w:p>
        </w:tc>
      </w:tr>
      <w:tr w:rsidR="00A547DB" w:rsidRPr="00630AE5" w14:paraId="5FB31ED8" w14:textId="77777777" w:rsidTr="007022FB">
        <w:trPr>
          <w:trHeight w:val="1943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A549B" w14:textId="690D90ED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Informe del MIDES que certifique la implementación y utilización de la interface del sistema transitorio del registro único de beneficiarios con el sistema informático gerencial del IFARHU, y su utilización para la verificación de corresponsabilidades en educación de la </w:t>
            </w:r>
            <w:proofErr w:type="spellStart"/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RdO.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C7217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Informe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1942E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E688E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2018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DD0C7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B366D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Informe del MIDES.</w:t>
            </w:r>
          </w:p>
          <w:p w14:paraId="79F3E004" w14:textId="0452F366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Verificación in-situ del funcionamiento de la interface del sistema transitorio del registro único de beneficiarios con el sistema informático gerencial del IFARHU, y su utilización para la verificación de corresponsabilidades en educación de la </w:t>
            </w:r>
            <w:proofErr w:type="spellStart"/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RdO</w:t>
            </w:r>
            <w:r w:rsidR="00174C6D">
              <w:rPr>
                <w:rFonts w:ascii="Arial" w:eastAsia="Arial" w:hAnsi="Arial" w:cs="Arial"/>
                <w:sz w:val="20"/>
                <w:szCs w:val="20"/>
                <w:lang w:val="es-419"/>
              </w:rPr>
              <w:t>.</w:t>
            </w:r>
            <w:proofErr w:type="spellEnd"/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F34A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</w:p>
        </w:tc>
      </w:tr>
      <w:tr w:rsidR="00A547DB" w:rsidRPr="00630AE5" w14:paraId="76648E6D" w14:textId="77777777" w:rsidTr="00F00983">
        <w:trPr>
          <w:trHeight w:val="220"/>
        </w:trPr>
        <w:tc>
          <w:tcPr>
            <w:tcW w:w="134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75B330D0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b/>
                <w:sz w:val="20"/>
                <w:szCs w:val="20"/>
                <w:lang w:val="es-419"/>
              </w:rPr>
              <w:t>Componente 3. Acumulación de capital humano</w:t>
            </w:r>
          </w:p>
        </w:tc>
      </w:tr>
      <w:tr w:rsidR="00A547DB" w:rsidRPr="00630AE5" w14:paraId="470D4C51" w14:textId="77777777" w:rsidTr="007022FB">
        <w:trPr>
          <w:trHeight w:val="220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8D6F9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Informe del MIDES que documente la verificación del cumplimiento de </w:t>
            </w: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lastRenderedPageBreak/>
              <w:t xml:space="preserve">corresponsabilidades en salud y educación. </w:t>
            </w:r>
          </w:p>
          <w:p w14:paraId="701BCD2B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AEC18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lastRenderedPageBreak/>
              <w:t>Informe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05020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EBBC2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2018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5DD0A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DA11F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Informe del MIDES.</w:t>
            </w:r>
          </w:p>
          <w:p w14:paraId="02BB0FF6" w14:textId="3F487C61" w:rsidR="00A547DB" w:rsidRPr="00F91F74" w:rsidRDefault="00A547DB" w:rsidP="00A551E9">
            <w:pPr>
              <w:spacing w:after="6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Observación: el informe debe contener al menos: (i) el porcentaje de </w:t>
            </w: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lastRenderedPageBreak/>
              <w:t>beneficiarios a los cuales se les verificó el cumplimiento de corresponsabilidades por medio del sistema transitorio del registro único de beneficiarios</w:t>
            </w:r>
            <w:r w:rsidR="00A551E9">
              <w:rPr>
                <w:rFonts w:ascii="Arial" w:eastAsia="Arial" w:hAnsi="Arial" w:cs="Arial"/>
                <w:sz w:val="20"/>
                <w:szCs w:val="20"/>
                <w:lang w:val="es-419"/>
              </w:rPr>
              <w:t>; y</w:t>
            </w: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 (ii) el número de beneficiarios que cumplieron y no cumplieron, desglosado en salud y educación.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000D8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</w:p>
        </w:tc>
      </w:tr>
      <w:tr w:rsidR="00A547DB" w:rsidRPr="00F91F74" w14:paraId="3FD3640A" w14:textId="77777777" w:rsidTr="007A20A5">
        <w:trPr>
          <w:trHeight w:val="638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594D8" w14:textId="7072802F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Manual Operativo de la </w:t>
            </w:r>
            <w:proofErr w:type="spellStart"/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R</w:t>
            </w:r>
            <w:r w:rsidR="00D50AD9">
              <w:rPr>
                <w:rFonts w:ascii="Arial" w:eastAsia="Arial" w:hAnsi="Arial" w:cs="Arial"/>
                <w:sz w:val="20"/>
                <w:szCs w:val="20"/>
                <w:lang w:val="es-419"/>
              </w:rPr>
              <w:t>d</w:t>
            </w: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O</w:t>
            </w:r>
            <w:proofErr w:type="spellEnd"/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 revisado y aprobado por resolución ministerial.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BFF01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Manual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2AFB7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BDE1D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2018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4E830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C3169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Manual operativo revisado.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056EB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</w:p>
        </w:tc>
      </w:tr>
      <w:tr w:rsidR="00A547DB" w:rsidRPr="00F91F74" w14:paraId="3714FE83" w14:textId="77777777" w:rsidTr="007022FB">
        <w:trPr>
          <w:trHeight w:val="1709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1B86A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Informe del MIDES del último ciclo de pago que documente el número de beneficiarios de la </w:t>
            </w:r>
            <w:proofErr w:type="spellStart"/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RdO</w:t>
            </w:r>
            <w:proofErr w:type="spellEnd"/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 a los cuales se les ha suspendido el pago por incumplimiento de las corresponsabilidades en salud y/o educación.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C79BF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Informe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779E9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CE492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2018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97181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4521B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Informe del MIDES.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EB364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</w:p>
        </w:tc>
      </w:tr>
      <w:tr w:rsidR="00A547DB" w:rsidRPr="00F91F74" w14:paraId="3FCB4A3B" w14:textId="77777777" w:rsidTr="007022FB">
        <w:trPr>
          <w:trHeight w:val="791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A03FC" w14:textId="6B8F1CB4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Nota del MINSA que certifica la cantidad de libretas entregadas a las Regionales de Salud.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78FAC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Nota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F8B02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4972E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2018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8962E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62DB7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Nota del MINSA.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49881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</w:p>
        </w:tc>
      </w:tr>
      <w:tr w:rsidR="00A547DB" w:rsidRPr="00630AE5" w14:paraId="5EF79610" w14:textId="77777777" w:rsidTr="007022FB">
        <w:trPr>
          <w:trHeight w:val="220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B8A34" w14:textId="273D642D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Informe de la evaluación operativa del funcionamiento de la libreta del Niño elaborado por la Unidad </w:t>
            </w:r>
            <w:r w:rsidRPr="007022FB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Coordinadora de la Primera Infancia y validado por el Comité Técnico del </w:t>
            </w:r>
            <w:r w:rsidR="007022FB" w:rsidRPr="007022FB">
              <w:rPr>
                <w:rFonts w:ascii="Arial" w:eastAsia="Arial" w:hAnsi="Arial" w:cs="Arial"/>
                <w:sz w:val="20"/>
                <w:szCs w:val="20"/>
                <w:lang w:val="es-ES_tradnl"/>
              </w:rPr>
              <w:t>Consejo Nacional de Atención Integral a la Primera Infancia</w:t>
            </w:r>
            <w:r w:rsidR="007022FB" w:rsidRPr="007022FB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 (</w:t>
            </w:r>
            <w:r w:rsidRPr="007022FB">
              <w:rPr>
                <w:rFonts w:ascii="Arial" w:eastAsia="Arial" w:hAnsi="Arial" w:cs="Arial"/>
                <w:sz w:val="20"/>
                <w:szCs w:val="20"/>
                <w:lang w:val="es-419"/>
              </w:rPr>
              <w:t>CONAIPI</w:t>
            </w:r>
            <w:r w:rsidR="007022FB" w:rsidRPr="007022FB">
              <w:rPr>
                <w:rFonts w:ascii="Arial" w:eastAsia="Arial" w:hAnsi="Arial" w:cs="Arial"/>
                <w:sz w:val="20"/>
                <w:szCs w:val="20"/>
                <w:lang w:val="es-419"/>
              </w:rPr>
              <w:t>)</w:t>
            </w:r>
            <w:r w:rsidR="007022FB">
              <w:rPr>
                <w:rFonts w:ascii="Arial" w:eastAsia="Arial" w:hAnsi="Arial" w:cs="Arial"/>
                <w:sz w:val="20"/>
                <w:szCs w:val="20"/>
                <w:lang w:val="es-419"/>
              </w:rPr>
              <w:t>.</w:t>
            </w:r>
            <w:r w:rsidRPr="007022FB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1E5C1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Informe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D024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8C34E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2018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95317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56555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Informe de la Unidad Coordinadora de la Primera Infancia, validado por el Comité Técnico del CONAIPI.</w:t>
            </w:r>
          </w:p>
          <w:p w14:paraId="23AD4EC3" w14:textId="4221D143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Observación: certificación del punto de</w:t>
            </w:r>
            <w:r w:rsidR="00F64F3C">
              <w:rPr>
                <w:rFonts w:ascii="Arial" w:eastAsia="Arial" w:hAnsi="Arial" w:cs="Arial"/>
                <w:sz w:val="20"/>
                <w:szCs w:val="20"/>
                <w:lang w:val="es-419"/>
              </w:rPr>
              <w:t>l</w:t>
            </w: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 acta de la reunión del Comité Técnico donde se aprobó la validación de la evaluación.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3635C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</w:p>
        </w:tc>
      </w:tr>
      <w:tr w:rsidR="00A547DB" w:rsidRPr="00F91F74" w14:paraId="7BE40BE1" w14:textId="77777777" w:rsidTr="007022FB">
        <w:trPr>
          <w:trHeight w:val="220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4D541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Resolución Ministerial del MIDES que adopte el Reglamento Operativo del Modelo de Atención Integral a la Primera Infancia con sus fases de implementación progresiva.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5F899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Resolución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F0B8E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B17BD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2018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A5646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C8024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Resolución Ministerial vigente.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CAE34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</w:p>
        </w:tc>
      </w:tr>
      <w:tr w:rsidR="00A547DB" w:rsidRPr="00470268" w14:paraId="4D4574BB" w14:textId="77777777" w:rsidTr="007022FB">
        <w:trPr>
          <w:trHeight w:val="220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8B4D7" w14:textId="0F1A75CC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Instrumentos de supervisión de los estándares desarrollados e </w:t>
            </w:r>
            <w:r w:rsidRPr="001E135C">
              <w:rPr>
                <w:rFonts w:ascii="Arial" w:eastAsia="Arial" w:hAnsi="Arial" w:cs="Arial"/>
                <w:sz w:val="20"/>
                <w:szCs w:val="20"/>
                <w:lang w:val="es-419"/>
              </w:rPr>
              <w:t>informes de supervisión de la</w:t>
            </w:r>
            <w:r w:rsidR="001E135C" w:rsidRPr="001E135C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 Dirección de Servicios </w:t>
            </w:r>
            <w:r w:rsidR="001E135C" w:rsidRPr="001E135C">
              <w:rPr>
                <w:rFonts w:ascii="Arial" w:eastAsia="Arial" w:hAnsi="Arial" w:cs="Arial"/>
                <w:sz w:val="20"/>
                <w:szCs w:val="20"/>
                <w:lang w:val="es-419"/>
              </w:rPr>
              <w:lastRenderedPageBreak/>
              <w:t>de Protección Social</w:t>
            </w:r>
            <w:r w:rsidRPr="001E135C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 </w:t>
            </w:r>
            <w:r w:rsidR="001E135C" w:rsidRPr="001E135C">
              <w:rPr>
                <w:rFonts w:ascii="Arial" w:eastAsia="Arial" w:hAnsi="Arial" w:cs="Arial"/>
                <w:sz w:val="20"/>
                <w:szCs w:val="20"/>
                <w:lang w:val="es-419"/>
              </w:rPr>
              <w:t>(</w:t>
            </w:r>
            <w:r w:rsidRPr="001E135C">
              <w:rPr>
                <w:rFonts w:ascii="Arial" w:eastAsia="Arial" w:hAnsi="Arial" w:cs="Arial"/>
                <w:sz w:val="20"/>
                <w:szCs w:val="20"/>
                <w:lang w:val="es-419"/>
              </w:rPr>
              <w:t>DISPROS</w:t>
            </w:r>
            <w:r w:rsidR="001E135C" w:rsidRPr="001E135C">
              <w:rPr>
                <w:rFonts w:ascii="Arial" w:eastAsia="Arial" w:hAnsi="Arial" w:cs="Arial"/>
                <w:sz w:val="20"/>
                <w:szCs w:val="20"/>
                <w:lang w:val="es-419"/>
              </w:rPr>
              <w:t>)</w:t>
            </w:r>
            <w:r w:rsidRPr="001E135C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 para</w:t>
            </w: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 los CAIPIS de tratamiento.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E90EB" w14:textId="2C69719D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proofErr w:type="spellStart"/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lastRenderedPageBreak/>
              <w:t>Instrumen</w:t>
            </w:r>
            <w:proofErr w:type="spellEnd"/>
            <w:r w:rsidR="007022FB">
              <w:rPr>
                <w:rFonts w:ascii="Arial" w:eastAsia="Arial" w:hAnsi="Arial" w:cs="Arial"/>
                <w:sz w:val="20"/>
                <w:szCs w:val="20"/>
                <w:lang w:val="es-419"/>
              </w:rPr>
              <w:t>-</w:t>
            </w: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tos /Informes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A681B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89A65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2018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7CC38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2244F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Instrumentos de supervisión desarrollados.</w:t>
            </w:r>
          </w:p>
          <w:p w14:paraId="46E7CBBB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Informes de la DISPROS.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FA764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</w:p>
        </w:tc>
      </w:tr>
      <w:tr w:rsidR="00A547DB" w:rsidRPr="00F91F74" w14:paraId="4B722957" w14:textId="77777777" w:rsidTr="007022FB">
        <w:trPr>
          <w:trHeight w:val="220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BF5C2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Resolución Ministerial del MIDES que adopte el Reglamento Operativo del Modelo de Atención Integral a la Primera Infancia que refleje el proceso del pago por resultado y su implementación de forma progresiva.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00CCA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Resolución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757DA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2486C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2018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12563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40BC0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Resolución Ministerial vigente.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394D9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</w:p>
        </w:tc>
      </w:tr>
      <w:tr w:rsidR="00A547DB" w:rsidRPr="00F91F74" w14:paraId="18F81C6B" w14:textId="77777777" w:rsidTr="007022FB">
        <w:trPr>
          <w:trHeight w:val="220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8C6A5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Informe que describa el avance en la implementación del modelo de atención integral.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99230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Informe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A2B28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670B4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2018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E74B1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F9932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Informe MIDES.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4E669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</w:p>
        </w:tc>
      </w:tr>
      <w:tr w:rsidR="00A547DB" w:rsidRPr="00F91F74" w14:paraId="608C13C8" w14:textId="77777777" w:rsidTr="007022FB">
        <w:trPr>
          <w:trHeight w:val="220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6F949" w14:textId="477DD7A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Ayuda memoria de</w:t>
            </w:r>
            <w:r w:rsidR="00FA3473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 la reunión del</w:t>
            </w: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 Comité Técnico de la CONAIPI </w:t>
            </w:r>
            <w:r w:rsidR="00FA3473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en </w:t>
            </w: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que </w:t>
            </w:r>
            <w:r w:rsidR="00FA3473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se </w:t>
            </w: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aprueba el plan de implementación gradual del modelo de atención integral de visitas domiciliarias para áreas comarcales y rurales.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612C6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Ayuda memoria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B2B0B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F26A0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2018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9BBF8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CC587" w14:textId="1174C38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Ayuda memoria de</w:t>
            </w:r>
            <w:r w:rsidR="00FA3473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 </w:t>
            </w: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l</w:t>
            </w:r>
            <w:r w:rsidR="00FA3473">
              <w:rPr>
                <w:rFonts w:ascii="Arial" w:eastAsia="Arial" w:hAnsi="Arial" w:cs="Arial"/>
                <w:sz w:val="20"/>
                <w:szCs w:val="20"/>
                <w:lang w:val="es-419"/>
              </w:rPr>
              <w:t>a reunión del</w:t>
            </w: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 Comité Técnico de la CONAIPI.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29ADE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Seguimiento Étnico</w:t>
            </w:r>
          </w:p>
        </w:tc>
      </w:tr>
      <w:tr w:rsidR="00A547DB" w:rsidRPr="00F91F74" w14:paraId="1926A6D0" w14:textId="77777777" w:rsidTr="007022FB">
        <w:trPr>
          <w:trHeight w:val="220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FD763" w14:textId="7A38B0DF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Informe de</w:t>
            </w:r>
            <w:r w:rsidR="00FA3473">
              <w:rPr>
                <w:rFonts w:ascii="Arial" w:eastAsia="Arial" w:hAnsi="Arial" w:cs="Arial"/>
                <w:sz w:val="20"/>
                <w:szCs w:val="20"/>
                <w:lang w:val="es-419"/>
              </w:rPr>
              <w:t>l MIDES de</w:t>
            </w: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 avance de la implementación del modelo de atención integral de visitas domiciliarias para áreas comarcales y rurales en un piloto.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6FB35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Informe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FFF0A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7F3DA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2018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2EE80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48B87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Informe MIDES.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98A98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Seguimiento Étnico</w:t>
            </w:r>
          </w:p>
        </w:tc>
      </w:tr>
      <w:tr w:rsidR="00A547DB" w:rsidRPr="00F91F74" w14:paraId="3468AF14" w14:textId="77777777" w:rsidTr="00470268">
        <w:trPr>
          <w:trHeight w:val="953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A38E0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Pliego de licitación para la contratación de </w:t>
            </w:r>
            <w:proofErr w:type="spellStart"/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ONGs</w:t>
            </w:r>
            <w:proofErr w:type="spellEnd"/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 xml:space="preserve"> que entregue el modelo de visitas domiciliarias elaborado.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4D5E0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Pliego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A673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76CD5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2018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70629" w14:textId="77777777" w:rsidR="00A547DB" w:rsidRPr="00F91F74" w:rsidRDefault="00A547DB" w:rsidP="00F91F7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44A7B" w14:textId="6852A404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Pliego elaborado.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A26A0" w14:textId="77777777" w:rsidR="00A547DB" w:rsidRPr="00F91F74" w:rsidRDefault="00A547DB" w:rsidP="00F91F7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F91F74">
              <w:rPr>
                <w:rFonts w:ascii="Arial" w:eastAsia="Arial" w:hAnsi="Arial" w:cs="Arial"/>
                <w:sz w:val="20"/>
                <w:szCs w:val="20"/>
                <w:lang w:val="es-419"/>
              </w:rPr>
              <w:t>Seguimiento Étnico</w:t>
            </w:r>
          </w:p>
        </w:tc>
      </w:tr>
    </w:tbl>
    <w:p w14:paraId="6C50D838" w14:textId="77777777" w:rsidR="00C75DF7" w:rsidRPr="00A547DB" w:rsidRDefault="00C75DF7" w:rsidP="00EB04A7">
      <w:pPr>
        <w:spacing w:before="240" w:after="240" w:line="240" w:lineRule="auto"/>
        <w:jc w:val="center"/>
        <w:textAlignment w:val="baseline"/>
        <w:rPr>
          <w:rFonts w:ascii="Arial" w:eastAsia="Times New Roman" w:hAnsi="Arial" w:cs="Arial"/>
          <w:b/>
          <w:bCs/>
          <w:smallCaps/>
          <w:color w:val="000000"/>
          <w:sz w:val="20"/>
          <w:szCs w:val="20"/>
          <w:lang w:val="es-419"/>
        </w:rPr>
      </w:pPr>
    </w:p>
    <w:sectPr w:rsidR="00C75DF7" w:rsidRPr="00A547DB" w:rsidSect="00205AC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footnotePr>
        <w:numRestart w:val="eachSect"/>
      </w:footnotePr>
      <w:type w:val="continuous"/>
      <w:pgSz w:w="15840" w:h="12240" w:orient="landscape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996618" w14:textId="77777777" w:rsidR="008B222A" w:rsidRDefault="008B222A" w:rsidP="007B6ECD">
      <w:pPr>
        <w:spacing w:after="0" w:line="240" w:lineRule="auto"/>
      </w:pPr>
      <w:r>
        <w:separator/>
      </w:r>
    </w:p>
  </w:endnote>
  <w:endnote w:type="continuationSeparator" w:id="0">
    <w:p w14:paraId="4998962E" w14:textId="77777777" w:rsidR="008B222A" w:rsidRDefault="008B222A" w:rsidP="007B6ECD">
      <w:pPr>
        <w:spacing w:after="0" w:line="240" w:lineRule="auto"/>
      </w:pPr>
      <w:r>
        <w:continuationSeparator/>
      </w:r>
    </w:p>
  </w:endnote>
  <w:endnote w:type="continuationNotice" w:id="1">
    <w:p w14:paraId="39E55532" w14:textId="77777777" w:rsidR="008B222A" w:rsidRDefault="008B22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0A2D4" w14:textId="77777777" w:rsidR="001D2ABE" w:rsidRDefault="001D2A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765B5" w14:textId="77777777" w:rsidR="001D2ABE" w:rsidRDefault="001D2AB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28054" w14:textId="77777777" w:rsidR="001D2ABE" w:rsidRDefault="001D2A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AFFB2C" w14:textId="77777777" w:rsidR="008B222A" w:rsidRDefault="008B222A" w:rsidP="007B6ECD">
      <w:pPr>
        <w:spacing w:after="0" w:line="240" w:lineRule="auto"/>
      </w:pPr>
      <w:r>
        <w:separator/>
      </w:r>
    </w:p>
  </w:footnote>
  <w:footnote w:type="continuationSeparator" w:id="0">
    <w:p w14:paraId="2B521B3F" w14:textId="77777777" w:rsidR="008B222A" w:rsidRDefault="008B222A" w:rsidP="007B6ECD">
      <w:pPr>
        <w:spacing w:after="0" w:line="240" w:lineRule="auto"/>
      </w:pPr>
      <w:r>
        <w:continuationSeparator/>
      </w:r>
    </w:p>
  </w:footnote>
  <w:footnote w:type="continuationNotice" w:id="1">
    <w:p w14:paraId="04A448C7" w14:textId="77777777" w:rsidR="008B222A" w:rsidRDefault="008B222A">
      <w:pPr>
        <w:spacing w:after="0" w:line="240" w:lineRule="auto"/>
      </w:pPr>
    </w:p>
  </w:footnote>
  <w:footnote w:id="2">
    <w:p w14:paraId="005FF1C2" w14:textId="16A997D1" w:rsidR="0040239F" w:rsidRPr="0040239F" w:rsidRDefault="0040239F" w:rsidP="0040239F">
      <w:pPr>
        <w:pStyle w:val="FootnoteText"/>
        <w:ind w:left="288" w:hanging="288"/>
        <w:rPr>
          <w:rFonts w:ascii="Arial" w:hAnsi="Arial" w:cs="Arial"/>
          <w:sz w:val="16"/>
          <w:szCs w:val="16"/>
          <w:lang w:val="es-ES_tradnl"/>
        </w:rPr>
      </w:pPr>
      <w:r w:rsidRPr="0040239F">
        <w:rPr>
          <w:rStyle w:val="FootnoteReference"/>
          <w:rFonts w:ascii="Arial" w:hAnsi="Arial" w:cs="Arial"/>
          <w:sz w:val="16"/>
          <w:szCs w:val="16"/>
        </w:rPr>
        <w:footnoteRef/>
      </w:r>
      <w:r w:rsidRPr="0040239F">
        <w:rPr>
          <w:rFonts w:ascii="Arial" w:hAnsi="Arial" w:cs="Arial"/>
          <w:sz w:val="16"/>
          <w:szCs w:val="16"/>
        </w:rPr>
        <w:t xml:space="preserve"> </w:t>
      </w:r>
      <w:r w:rsidRPr="0040239F">
        <w:rPr>
          <w:rFonts w:ascii="Arial" w:hAnsi="Arial" w:cs="Arial"/>
          <w:sz w:val="16"/>
          <w:szCs w:val="16"/>
        </w:rPr>
        <w:tab/>
      </w:r>
      <w:r w:rsidRPr="0040239F">
        <w:rPr>
          <w:rFonts w:ascii="Arial" w:hAnsi="Arial" w:cs="Arial"/>
          <w:sz w:val="16"/>
          <w:szCs w:val="16"/>
          <w:lang w:val="es-ES_tradnl"/>
        </w:rPr>
        <w:t>Evaluación independiente de las condiciones macroeconómicas (IAMC, por sus siglas en inglés).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1EFDA" w14:textId="17A5D2B1" w:rsidR="00792458" w:rsidRPr="00A12A52" w:rsidRDefault="00AB71AD" w:rsidP="00604287">
    <w:pPr>
      <w:pStyle w:val="Header"/>
      <w:rPr>
        <w:rFonts w:ascii="Arial" w:hAnsi="Arial" w:cs="Arial"/>
        <w:sz w:val="18"/>
        <w:szCs w:val="20"/>
        <w:lang w:val="es-ES_tradnl"/>
      </w:rPr>
    </w:pPr>
    <w:r w:rsidRPr="00A12A52">
      <w:rPr>
        <w:rFonts w:ascii="Arial" w:hAnsi="Arial" w:cs="Arial"/>
        <w:sz w:val="18"/>
        <w:szCs w:val="20"/>
        <w:lang w:val="es-ES_tradnl"/>
      </w:rPr>
      <w:t>EE</w:t>
    </w:r>
    <w:r w:rsidR="001D2ABE" w:rsidRPr="00A12A52">
      <w:rPr>
        <w:rFonts w:ascii="Arial" w:hAnsi="Arial" w:cs="Arial"/>
        <w:sz w:val="18"/>
        <w:szCs w:val="20"/>
        <w:lang w:val="es-ES_tradnl"/>
      </w:rPr>
      <w:t>R</w:t>
    </w:r>
    <w:r w:rsidRPr="00A12A52">
      <w:rPr>
        <w:rFonts w:ascii="Arial" w:hAnsi="Arial" w:cs="Arial"/>
        <w:sz w:val="18"/>
        <w:szCs w:val="20"/>
        <w:lang w:val="es-ES_tradnl"/>
      </w:rPr>
      <w:t>#</w:t>
    </w:r>
    <w:r w:rsidR="00C76900">
      <w:rPr>
        <w:rFonts w:ascii="Arial" w:hAnsi="Arial" w:cs="Arial"/>
        <w:sz w:val="18"/>
        <w:szCs w:val="20"/>
        <w:lang w:val="es-ES_tradnl"/>
      </w:rPr>
      <w:t>3</w:t>
    </w:r>
    <w:r w:rsidR="00792458" w:rsidRPr="00A12A52">
      <w:rPr>
        <w:rFonts w:ascii="Arial" w:hAnsi="Arial" w:cs="Arial"/>
        <w:sz w:val="18"/>
        <w:szCs w:val="20"/>
        <w:lang w:val="es-ES_tradnl"/>
      </w:rPr>
      <w:t>–PN-L1152</w:t>
    </w:r>
  </w:p>
  <w:p w14:paraId="3C7B1D84" w14:textId="53C27105" w:rsidR="00792458" w:rsidRPr="00A12A52" w:rsidRDefault="00792458" w:rsidP="00604287">
    <w:pPr>
      <w:pStyle w:val="Header"/>
      <w:spacing w:after="120"/>
      <w:rPr>
        <w:rFonts w:ascii="Arial" w:hAnsi="Arial" w:cs="Arial"/>
        <w:sz w:val="18"/>
        <w:lang w:val="es-ES_tradnl"/>
      </w:rPr>
    </w:pPr>
    <w:r w:rsidRPr="00A12A52">
      <w:rPr>
        <w:rFonts w:ascii="Arial" w:hAnsi="Arial" w:cs="Arial"/>
        <w:sz w:val="18"/>
        <w:szCs w:val="20"/>
        <w:lang w:val="es-ES_tradnl"/>
      </w:rPr>
      <w:t xml:space="preserve">Página </w:t>
    </w:r>
    <w:r w:rsidRPr="00302181">
      <w:rPr>
        <w:rFonts w:ascii="Arial" w:hAnsi="Arial" w:cs="Arial"/>
        <w:sz w:val="18"/>
        <w:szCs w:val="20"/>
      </w:rPr>
      <w:fldChar w:fldCharType="begin"/>
    </w:r>
    <w:r w:rsidRPr="00A12A52">
      <w:rPr>
        <w:rFonts w:ascii="Arial" w:hAnsi="Arial" w:cs="Arial"/>
        <w:sz w:val="18"/>
        <w:szCs w:val="20"/>
        <w:lang w:val="es-ES_tradnl"/>
      </w:rPr>
      <w:instrText xml:space="preserve"> PAGE </w:instrText>
    </w:r>
    <w:r w:rsidRPr="00302181">
      <w:rPr>
        <w:rFonts w:ascii="Arial" w:hAnsi="Arial" w:cs="Arial"/>
        <w:sz w:val="18"/>
        <w:szCs w:val="20"/>
      </w:rPr>
      <w:fldChar w:fldCharType="separate"/>
    </w:r>
    <w:r w:rsidR="00CD3845">
      <w:rPr>
        <w:rFonts w:ascii="Arial" w:hAnsi="Arial" w:cs="Arial"/>
        <w:noProof/>
        <w:sz w:val="18"/>
        <w:szCs w:val="20"/>
        <w:lang w:val="es-ES_tradnl"/>
      </w:rPr>
      <w:t>4</w:t>
    </w:r>
    <w:r w:rsidRPr="00302181">
      <w:rPr>
        <w:rFonts w:ascii="Arial" w:hAnsi="Arial" w:cs="Arial"/>
        <w:sz w:val="18"/>
        <w:szCs w:val="20"/>
      </w:rPr>
      <w:fldChar w:fldCharType="end"/>
    </w:r>
    <w:r w:rsidRPr="00A12A52">
      <w:rPr>
        <w:rFonts w:ascii="Arial" w:hAnsi="Arial" w:cs="Arial"/>
        <w:sz w:val="18"/>
        <w:szCs w:val="20"/>
        <w:lang w:val="es-ES_tradnl"/>
      </w:rPr>
      <w:t xml:space="preserve"> de </w:t>
    </w:r>
    <w:r w:rsidR="00E3406E">
      <w:rPr>
        <w:rFonts w:ascii="Arial" w:hAnsi="Arial" w:cs="Arial"/>
        <w:sz w:val="18"/>
        <w:szCs w:val="20"/>
        <w:lang w:val="es-ES_tradnl"/>
      </w:rPr>
      <w:t>10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14FCC" w14:textId="4F90A0EC" w:rsidR="00792458" w:rsidRPr="00AB71AD" w:rsidRDefault="00AB71AD" w:rsidP="00795640">
    <w:pPr>
      <w:pStyle w:val="Header"/>
      <w:jc w:val="right"/>
      <w:rPr>
        <w:rFonts w:ascii="Arial" w:hAnsi="Arial" w:cs="Arial"/>
        <w:sz w:val="18"/>
        <w:szCs w:val="20"/>
        <w:lang w:val="es-ES_tradnl"/>
      </w:rPr>
    </w:pPr>
    <w:r w:rsidRPr="00AB71AD">
      <w:rPr>
        <w:rFonts w:ascii="Arial" w:hAnsi="Arial" w:cs="Arial"/>
        <w:sz w:val="18"/>
        <w:szCs w:val="20"/>
        <w:lang w:val="es-ES_tradnl"/>
      </w:rPr>
      <w:t>EE</w:t>
    </w:r>
    <w:r w:rsidR="001D2ABE">
      <w:rPr>
        <w:rFonts w:ascii="Arial" w:hAnsi="Arial" w:cs="Arial"/>
        <w:sz w:val="18"/>
        <w:szCs w:val="20"/>
        <w:lang w:val="es-ES_tradnl"/>
      </w:rPr>
      <w:t>R</w:t>
    </w:r>
    <w:r w:rsidRPr="00AB71AD">
      <w:rPr>
        <w:rFonts w:ascii="Arial" w:hAnsi="Arial" w:cs="Arial"/>
        <w:sz w:val="18"/>
        <w:szCs w:val="20"/>
        <w:lang w:val="es-ES_tradnl"/>
      </w:rPr>
      <w:t>#</w:t>
    </w:r>
    <w:r w:rsidR="00C76900">
      <w:rPr>
        <w:rFonts w:ascii="Arial" w:hAnsi="Arial" w:cs="Arial"/>
        <w:sz w:val="18"/>
        <w:szCs w:val="20"/>
        <w:lang w:val="es-ES_tradnl"/>
      </w:rPr>
      <w:t>3</w:t>
    </w:r>
    <w:r w:rsidR="00792458" w:rsidRPr="00AB71AD">
      <w:rPr>
        <w:rFonts w:ascii="Arial" w:hAnsi="Arial" w:cs="Arial"/>
        <w:sz w:val="18"/>
        <w:szCs w:val="20"/>
        <w:lang w:val="es-ES_tradnl"/>
      </w:rPr>
      <w:t>–PN-L1152</w:t>
    </w:r>
  </w:p>
  <w:p w14:paraId="4EAF19A1" w14:textId="5374DDF0" w:rsidR="00792458" w:rsidRPr="00AB71AD" w:rsidRDefault="00792458" w:rsidP="00795640">
    <w:pPr>
      <w:pStyle w:val="Header"/>
      <w:spacing w:after="120"/>
      <w:jc w:val="right"/>
      <w:rPr>
        <w:rFonts w:ascii="Arial" w:hAnsi="Arial" w:cs="Arial"/>
        <w:sz w:val="18"/>
        <w:lang w:val="es-ES_tradnl"/>
      </w:rPr>
    </w:pPr>
    <w:r w:rsidRPr="00AB71AD">
      <w:rPr>
        <w:rFonts w:ascii="Arial" w:hAnsi="Arial" w:cs="Arial"/>
        <w:sz w:val="18"/>
        <w:szCs w:val="20"/>
        <w:lang w:val="es-ES_tradnl"/>
      </w:rPr>
      <w:t xml:space="preserve">Página </w:t>
    </w:r>
    <w:r w:rsidRPr="00302181">
      <w:rPr>
        <w:rFonts w:ascii="Arial" w:hAnsi="Arial" w:cs="Arial"/>
        <w:sz w:val="18"/>
        <w:szCs w:val="20"/>
      </w:rPr>
      <w:fldChar w:fldCharType="begin"/>
    </w:r>
    <w:r w:rsidRPr="00AB71AD">
      <w:rPr>
        <w:rFonts w:ascii="Arial" w:hAnsi="Arial" w:cs="Arial"/>
        <w:sz w:val="18"/>
        <w:szCs w:val="20"/>
        <w:lang w:val="es-ES_tradnl"/>
      </w:rPr>
      <w:instrText xml:space="preserve"> PAGE </w:instrText>
    </w:r>
    <w:r w:rsidRPr="00302181">
      <w:rPr>
        <w:rFonts w:ascii="Arial" w:hAnsi="Arial" w:cs="Arial"/>
        <w:sz w:val="18"/>
        <w:szCs w:val="20"/>
      </w:rPr>
      <w:fldChar w:fldCharType="separate"/>
    </w:r>
    <w:r w:rsidR="00CD3845">
      <w:rPr>
        <w:rFonts w:ascii="Arial" w:hAnsi="Arial" w:cs="Arial"/>
        <w:noProof/>
        <w:sz w:val="18"/>
        <w:szCs w:val="20"/>
        <w:lang w:val="es-ES_tradnl"/>
      </w:rPr>
      <w:t>5</w:t>
    </w:r>
    <w:r w:rsidRPr="00302181">
      <w:rPr>
        <w:rFonts w:ascii="Arial" w:hAnsi="Arial" w:cs="Arial"/>
        <w:sz w:val="18"/>
        <w:szCs w:val="20"/>
      </w:rPr>
      <w:fldChar w:fldCharType="end"/>
    </w:r>
    <w:r w:rsidRPr="00AB71AD">
      <w:rPr>
        <w:rFonts w:ascii="Arial" w:hAnsi="Arial" w:cs="Arial"/>
        <w:sz w:val="18"/>
        <w:szCs w:val="20"/>
        <w:lang w:val="es-ES_tradnl"/>
      </w:rPr>
      <w:t xml:space="preserve"> of </w:t>
    </w:r>
    <w:r w:rsidR="000B66E7">
      <w:rPr>
        <w:rFonts w:ascii="Arial" w:hAnsi="Arial" w:cs="Arial"/>
        <w:sz w:val="18"/>
        <w:szCs w:val="20"/>
        <w:lang w:val="es-ES_tradnl"/>
      </w:rPr>
      <w:t>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54F75" w14:textId="77777777" w:rsidR="001D2ABE" w:rsidRDefault="001D2A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C3391"/>
    <w:multiLevelType w:val="hybridMultilevel"/>
    <w:tmpl w:val="D9449F7C"/>
    <w:lvl w:ilvl="0" w:tplc="E516FBD8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827BD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275D3"/>
    <w:multiLevelType w:val="hybridMultilevel"/>
    <w:tmpl w:val="5F222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65AEA"/>
    <w:multiLevelType w:val="hybridMultilevel"/>
    <w:tmpl w:val="2ED62A6A"/>
    <w:lvl w:ilvl="0" w:tplc="C21883B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B317F"/>
    <w:multiLevelType w:val="hybridMultilevel"/>
    <w:tmpl w:val="435C7E62"/>
    <w:lvl w:ilvl="0" w:tplc="1848065C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832F7"/>
    <w:multiLevelType w:val="hybridMultilevel"/>
    <w:tmpl w:val="DE001ED0"/>
    <w:lvl w:ilvl="0" w:tplc="8DD2164C">
      <w:start w:val="1"/>
      <w:numFmt w:val="decimal"/>
      <w:lvlText w:val="4.%1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2F4769D2"/>
    <w:multiLevelType w:val="hybridMultilevel"/>
    <w:tmpl w:val="F716D126"/>
    <w:lvl w:ilvl="0" w:tplc="14820AB0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E168C"/>
    <w:multiLevelType w:val="hybridMultilevel"/>
    <w:tmpl w:val="64C8B162"/>
    <w:lvl w:ilvl="0" w:tplc="F87EACA2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3E550F"/>
    <w:multiLevelType w:val="hybridMultilevel"/>
    <w:tmpl w:val="CFE40A5E"/>
    <w:lvl w:ilvl="0" w:tplc="DB723606">
      <w:start w:val="2"/>
      <w:numFmt w:val="bullet"/>
      <w:lvlText w:val=""/>
      <w:lvlJc w:val="left"/>
      <w:pPr>
        <w:ind w:left="585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9" w15:restartNumberingAfterBreak="0">
    <w:nsid w:val="540F0548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5530A9C"/>
    <w:multiLevelType w:val="multilevel"/>
    <w:tmpl w:val="7A4C2E3A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11" w15:restartNumberingAfterBreak="0">
    <w:nsid w:val="63435F38"/>
    <w:multiLevelType w:val="hybridMultilevel"/>
    <w:tmpl w:val="8390A242"/>
    <w:lvl w:ilvl="0" w:tplc="445A9A44">
      <w:start w:val="1"/>
      <w:numFmt w:val="decimal"/>
      <w:lvlText w:val="%1."/>
      <w:lvlJc w:val="left"/>
      <w:pPr>
        <w:ind w:left="792" w:hanging="360"/>
      </w:pPr>
      <w:rPr>
        <w:rFonts w:ascii="Cambria" w:eastAsia="Times New Roman" w:hAnsi="Cambria" w:cs="Times New Roman"/>
      </w:rPr>
    </w:lvl>
    <w:lvl w:ilvl="1" w:tplc="0409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2" w15:restartNumberingAfterBreak="0">
    <w:nsid w:val="6C0E1AE9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BAA6946"/>
    <w:multiLevelType w:val="hybridMultilevel"/>
    <w:tmpl w:val="FC40ADE8"/>
    <w:lvl w:ilvl="0" w:tplc="055855F4">
      <w:start w:val="20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4E65DE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2"/>
  </w:num>
  <w:num w:numId="12">
    <w:abstractNumId w:val="1"/>
  </w:num>
  <w:num w:numId="13">
    <w:abstractNumId w:val="12"/>
  </w:num>
  <w:num w:numId="14">
    <w:abstractNumId w:val="9"/>
  </w:num>
  <w:num w:numId="1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6145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C59"/>
    <w:rsid w:val="00000A82"/>
    <w:rsid w:val="00002FBE"/>
    <w:rsid w:val="00005605"/>
    <w:rsid w:val="00005AC0"/>
    <w:rsid w:val="00007303"/>
    <w:rsid w:val="0001022A"/>
    <w:rsid w:val="00016F82"/>
    <w:rsid w:val="0002055E"/>
    <w:rsid w:val="00022A27"/>
    <w:rsid w:val="00023C48"/>
    <w:rsid w:val="0002526D"/>
    <w:rsid w:val="00026183"/>
    <w:rsid w:val="00035ED9"/>
    <w:rsid w:val="0004302D"/>
    <w:rsid w:val="00051DF2"/>
    <w:rsid w:val="00052CB7"/>
    <w:rsid w:val="00056F4C"/>
    <w:rsid w:val="00060AE9"/>
    <w:rsid w:val="0006189B"/>
    <w:rsid w:val="000660DE"/>
    <w:rsid w:val="000701B1"/>
    <w:rsid w:val="000751B3"/>
    <w:rsid w:val="00080701"/>
    <w:rsid w:val="00094CC7"/>
    <w:rsid w:val="000A2132"/>
    <w:rsid w:val="000A55DE"/>
    <w:rsid w:val="000B219E"/>
    <w:rsid w:val="000B254C"/>
    <w:rsid w:val="000B4FB5"/>
    <w:rsid w:val="000B66E7"/>
    <w:rsid w:val="000B7EC5"/>
    <w:rsid w:val="000C0515"/>
    <w:rsid w:val="000C128D"/>
    <w:rsid w:val="000E5438"/>
    <w:rsid w:val="000F44DF"/>
    <w:rsid w:val="000F5D84"/>
    <w:rsid w:val="000F5FBF"/>
    <w:rsid w:val="0010101C"/>
    <w:rsid w:val="001015BF"/>
    <w:rsid w:val="00110E29"/>
    <w:rsid w:val="00111FF8"/>
    <w:rsid w:val="001139F5"/>
    <w:rsid w:val="00113B4A"/>
    <w:rsid w:val="0011501A"/>
    <w:rsid w:val="00115379"/>
    <w:rsid w:val="001153A2"/>
    <w:rsid w:val="00117A23"/>
    <w:rsid w:val="00121C5B"/>
    <w:rsid w:val="0012312C"/>
    <w:rsid w:val="0012386B"/>
    <w:rsid w:val="0012516F"/>
    <w:rsid w:val="00127CA3"/>
    <w:rsid w:val="00134095"/>
    <w:rsid w:val="00135F64"/>
    <w:rsid w:val="0014088A"/>
    <w:rsid w:val="00143BD3"/>
    <w:rsid w:val="00143CAC"/>
    <w:rsid w:val="00147467"/>
    <w:rsid w:val="00150D0B"/>
    <w:rsid w:val="001516C4"/>
    <w:rsid w:val="00151D06"/>
    <w:rsid w:val="001539B9"/>
    <w:rsid w:val="0015401A"/>
    <w:rsid w:val="00154E58"/>
    <w:rsid w:val="001556EC"/>
    <w:rsid w:val="00157C12"/>
    <w:rsid w:val="00163C04"/>
    <w:rsid w:val="00167DD5"/>
    <w:rsid w:val="00174C6D"/>
    <w:rsid w:val="00175010"/>
    <w:rsid w:val="00177249"/>
    <w:rsid w:val="00180BFF"/>
    <w:rsid w:val="0018147E"/>
    <w:rsid w:val="00185F7B"/>
    <w:rsid w:val="00186711"/>
    <w:rsid w:val="00191A42"/>
    <w:rsid w:val="00192135"/>
    <w:rsid w:val="00192469"/>
    <w:rsid w:val="00195981"/>
    <w:rsid w:val="001A0210"/>
    <w:rsid w:val="001A4F42"/>
    <w:rsid w:val="001A625A"/>
    <w:rsid w:val="001B4470"/>
    <w:rsid w:val="001B46BF"/>
    <w:rsid w:val="001B53CA"/>
    <w:rsid w:val="001B59EF"/>
    <w:rsid w:val="001C148F"/>
    <w:rsid w:val="001C231B"/>
    <w:rsid w:val="001C636C"/>
    <w:rsid w:val="001C7B29"/>
    <w:rsid w:val="001D0FEA"/>
    <w:rsid w:val="001D1B01"/>
    <w:rsid w:val="001D2ABE"/>
    <w:rsid w:val="001D542B"/>
    <w:rsid w:val="001D5AD8"/>
    <w:rsid w:val="001E0C89"/>
    <w:rsid w:val="001E135C"/>
    <w:rsid w:val="001E37F7"/>
    <w:rsid w:val="001E55F3"/>
    <w:rsid w:val="001E562E"/>
    <w:rsid w:val="001E6681"/>
    <w:rsid w:val="001F5546"/>
    <w:rsid w:val="002010E1"/>
    <w:rsid w:val="002047F5"/>
    <w:rsid w:val="00205AC6"/>
    <w:rsid w:val="00205C50"/>
    <w:rsid w:val="00214A29"/>
    <w:rsid w:val="0021583D"/>
    <w:rsid w:val="0022128F"/>
    <w:rsid w:val="00221E06"/>
    <w:rsid w:val="0022498F"/>
    <w:rsid w:val="0022614F"/>
    <w:rsid w:val="00231AA7"/>
    <w:rsid w:val="00233600"/>
    <w:rsid w:val="00233A74"/>
    <w:rsid w:val="00237E31"/>
    <w:rsid w:val="0024045D"/>
    <w:rsid w:val="00242405"/>
    <w:rsid w:val="002603B8"/>
    <w:rsid w:val="002662BE"/>
    <w:rsid w:val="00266F4D"/>
    <w:rsid w:val="00270FED"/>
    <w:rsid w:val="0027411D"/>
    <w:rsid w:val="002805D5"/>
    <w:rsid w:val="00281347"/>
    <w:rsid w:val="0028306A"/>
    <w:rsid w:val="002830EC"/>
    <w:rsid w:val="00284E26"/>
    <w:rsid w:val="00285D55"/>
    <w:rsid w:val="0028761D"/>
    <w:rsid w:val="00287836"/>
    <w:rsid w:val="00291086"/>
    <w:rsid w:val="00292862"/>
    <w:rsid w:val="002952DD"/>
    <w:rsid w:val="002A2752"/>
    <w:rsid w:val="002A460D"/>
    <w:rsid w:val="002A4D3B"/>
    <w:rsid w:val="002B5CA4"/>
    <w:rsid w:val="002B6A6F"/>
    <w:rsid w:val="002C4FE1"/>
    <w:rsid w:val="002C6ADB"/>
    <w:rsid w:val="002C7D1C"/>
    <w:rsid w:val="002D154A"/>
    <w:rsid w:val="002E60DE"/>
    <w:rsid w:val="002F08D6"/>
    <w:rsid w:val="002F1991"/>
    <w:rsid w:val="002F1F5B"/>
    <w:rsid w:val="002F2F27"/>
    <w:rsid w:val="002F481B"/>
    <w:rsid w:val="002F5FD4"/>
    <w:rsid w:val="002F6774"/>
    <w:rsid w:val="002F6A68"/>
    <w:rsid w:val="00300C59"/>
    <w:rsid w:val="00302181"/>
    <w:rsid w:val="00306655"/>
    <w:rsid w:val="00306AC0"/>
    <w:rsid w:val="00306D38"/>
    <w:rsid w:val="003158DF"/>
    <w:rsid w:val="00316598"/>
    <w:rsid w:val="003166D7"/>
    <w:rsid w:val="003225C8"/>
    <w:rsid w:val="00326973"/>
    <w:rsid w:val="00331F7B"/>
    <w:rsid w:val="0033767F"/>
    <w:rsid w:val="00341A7E"/>
    <w:rsid w:val="00342AF3"/>
    <w:rsid w:val="00347930"/>
    <w:rsid w:val="00347BBC"/>
    <w:rsid w:val="00354689"/>
    <w:rsid w:val="00354D7A"/>
    <w:rsid w:val="00355CDE"/>
    <w:rsid w:val="00361DF3"/>
    <w:rsid w:val="0037043C"/>
    <w:rsid w:val="00372642"/>
    <w:rsid w:val="00373A4F"/>
    <w:rsid w:val="00387E97"/>
    <w:rsid w:val="003901F3"/>
    <w:rsid w:val="00391A04"/>
    <w:rsid w:val="003920ED"/>
    <w:rsid w:val="00395036"/>
    <w:rsid w:val="003A1F08"/>
    <w:rsid w:val="003A2482"/>
    <w:rsid w:val="003A273B"/>
    <w:rsid w:val="003A2ABD"/>
    <w:rsid w:val="003B4026"/>
    <w:rsid w:val="003B6A72"/>
    <w:rsid w:val="003C12EB"/>
    <w:rsid w:val="003C1A3C"/>
    <w:rsid w:val="003C70EB"/>
    <w:rsid w:val="003D3ACC"/>
    <w:rsid w:val="003D4B6F"/>
    <w:rsid w:val="003D5B36"/>
    <w:rsid w:val="003E258D"/>
    <w:rsid w:val="003E33B3"/>
    <w:rsid w:val="003E4BDC"/>
    <w:rsid w:val="003E5AD7"/>
    <w:rsid w:val="003F58AE"/>
    <w:rsid w:val="004002FD"/>
    <w:rsid w:val="0040239F"/>
    <w:rsid w:val="00404238"/>
    <w:rsid w:val="004051F3"/>
    <w:rsid w:val="004058FE"/>
    <w:rsid w:val="0040752D"/>
    <w:rsid w:val="00407E88"/>
    <w:rsid w:val="004139B5"/>
    <w:rsid w:val="0041798D"/>
    <w:rsid w:val="004252EA"/>
    <w:rsid w:val="00432037"/>
    <w:rsid w:val="004321D9"/>
    <w:rsid w:val="004349AC"/>
    <w:rsid w:val="00434F7D"/>
    <w:rsid w:val="00436377"/>
    <w:rsid w:val="00436E41"/>
    <w:rsid w:val="00444AB7"/>
    <w:rsid w:val="004519A8"/>
    <w:rsid w:val="00456C3D"/>
    <w:rsid w:val="0046310E"/>
    <w:rsid w:val="004632FE"/>
    <w:rsid w:val="00463EB0"/>
    <w:rsid w:val="00465853"/>
    <w:rsid w:val="004668B9"/>
    <w:rsid w:val="0046791C"/>
    <w:rsid w:val="00470268"/>
    <w:rsid w:val="00470D84"/>
    <w:rsid w:val="004719B2"/>
    <w:rsid w:val="00472FC8"/>
    <w:rsid w:val="004768F6"/>
    <w:rsid w:val="0047735D"/>
    <w:rsid w:val="004811BC"/>
    <w:rsid w:val="00483EA4"/>
    <w:rsid w:val="0048587F"/>
    <w:rsid w:val="00491F1E"/>
    <w:rsid w:val="00493D21"/>
    <w:rsid w:val="00495FAB"/>
    <w:rsid w:val="004A10DB"/>
    <w:rsid w:val="004A2488"/>
    <w:rsid w:val="004A68BA"/>
    <w:rsid w:val="004B032D"/>
    <w:rsid w:val="004B2CC6"/>
    <w:rsid w:val="004B6D3C"/>
    <w:rsid w:val="004B7C6A"/>
    <w:rsid w:val="004B7EA8"/>
    <w:rsid w:val="004C2EFE"/>
    <w:rsid w:val="004D5D3E"/>
    <w:rsid w:val="004D7BD1"/>
    <w:rsid w:val="004E604B"/>
    <w:rsid w:val="004F0875"/>
    <w:rsid w:val="004F0C2A"/>
    <w:rsid w:val="004F55A0"/>
    <w:rsid w:val="004F5774"/>
    <w:rsid w:val="004F5EA1"/>
    <w:rsid w:val="004F6477"/>
    <w:rsid w:val="004F78F0"/>
    <w:rsid w:val="004F7EEE"/>
    <w:rsid w:val="00505E46"/>
    <w:rsid w:val="00505E53"/>
    <w:rsid w:val="00507157"/>
    <w:rsid w:val="00510EC1"/>
    <w:rsid w:val="005136FE"/>
    <w:rsid w:val="005145CC"/>
    <w:rsid w:val="00514902"/>
    <w:rsid w:val="005153FE"/>
    <w:rsid w:val="00515A3D"/>
    <w:rsid w:val="00516F98"/>
    <w:rsid w:val="00523B0F"/>
    <w:rsid w:val="005243BA"/>
    <w:rsid w:val="00524650"/>
    <w:rsid w:val="00524F25"/>
    <w:rsid w:val="00530E5D"/>
    <w:rsid w:val="0053473D"/>
    <w:rsid w:val="00535810"/>
    <w:rsid w:val="00536BC4"/>
    <w:rsid w:val="005509E6"/>
    <w:rsid w:val="00560B63"/>
    <w:rsid w:val="00562981"/>
    <w:rsid w:val="00562D13"/>
    <w:rsid w:val="00566117"/>
    <w:rsid w:val="00570837"/>
    <w:rsid w:val="00576594"/>
    <w:rsid w:val="00577C26"/>
    <w:rsid w:val="005808DF"/>
    <w:rsid w:val="00586AB5"/>
    <w:rsid w:val="00591F0C"/>
    <w:rsid w:val="00596969"/>
    <w:rsid w:val="00597251"/>
    <w:rsid w:val="005A07F9"/>
    <w:rsid w:val="005A0CDB"/>
    <w:rsid w:val="005A11A0"/>
    <w:rsid w:val="005A4237"/>
    <w:rsid w:val="005A5CAF"/>
    <w:rsid w:val="005A6480"/>
    <w:rsid w:val="005A6C85"/>
    <w:rsid w:val="005A70FC"/>
    <w:rsid w:val="005A7AFD"/>
    <w:rsid w:val="005A7EE1"/>
    <w:rsid w:val="005B1138"/>
    <w:rsid w:val="005B238B"/>
    <w:rsid w:val="005B2468"/>
    <w:rsid w:val="005B474D"/>
    <w:rsid w:val="005B47E8"/>
    <w:rsid w:val="005B4808"/>
    <w:rsid w:val="005B7039"/>
    <w:rsid w:val="005B780E"/>
    <w:rsid w:val="005C0113"/>
    <w:rsid w:val="005C1F47"/>
    <w:rsid w:val="005C29E5"/>
    <w:rsid w:val="005C34EC"/>
    <w:rsid w:val="005D087F"/>
    <w:rsid w:val="005D3C08"/>
    <w:rsid w:val="005E23F8"/>
    <w:rsid w:val="005E464B"/>
    <w:rsid w:val="005E5075"/>
    <w:rsid w:val="005E7E65"/>
    <w:rsid w:val="005F095E"/>
    <w:rsid w:val="005F0F86"/>
    <w:rsid w:val="005F7EAB"/>
    <w:rsid w:val="00601CEE"/>
    <w:rsid w:val="00604287"/>
    <w:rsid w:val="0061249A"/>
    <w:rsid w:val="006224BC"/>
    <w:rsid w:val="00623016"/>
    <w:rsid w:val="00624474"/>
    <w:rsid w:val="00630AE5"/>
    <w:rsid w:val="00633757"/>
    <w:rsid w:val="006342F5"/>
    <w:rsid w:val="00637F8D"/>
    <w:rsid w:val="006416F5"/>
    <w:rsid w:val="00651678"/>
    <w:rsid w:val="006617D1"/>
    <w:rsid w:val="00666567"/>
    <w:rsid w:val="00666A78"/>
    <w:rsid w:val="00666C17"/>
    <w:rsid w:val="0067482D"/>
    <w:rsid w:val="00674F2E"/>
    <w:rsid w:val="00681A01"/>
    <w:rsid w:val="00687723"/>
    <w:rsid w:val="0068784B"/>
    <w:rsid w:val="00697BC0"/>
    <w:rsid w:val="006A40A3"/>
    <w:rsid w:val="006A43E0"/>
    <w:rsid w:val="006A480C"/>
    <w:rsid w:val="006A70A8"/>
    <w:rsid w:val="006B6810"/>
    <w:rsid w:val="006B7266"/>
    <w:rsid w:val="006C6CE5"/>
    <w:rsid w:val="006C745F"/>
    <w:rsid w:val="006D02BD"/>
    <w:rsid w:val="006D0359"/>
    <w:rsid w:val="006D0A00"/>
    <w:rsid w:val="006D1FD2"/>
    <w:rsid w:val="006D3787"/>
    <w:rsid w:val="006D5012"/>
    <w:rsid w:val="006E192C"/>
    <w:rsid w:val="006E45D5"/>
    <w:rsid w:val="006E4629"/>
    <w:rsid w:val="006E6637"/>
    <w:rsid w:val="006F2D46"/>
    <w:rsid w:val="006F4B96"/>
    <w:rsid w:val="006F5BF6"/>
    <w:rsid w:val="006F5C64"/>
    <w:rsid w:val="007002E7"/>
    <w:rsid w:val="00701BA2"/>
    <w:rsid w:val="007022FB"/>
    <w:rsid w:val="00704028"/>
    <w:rsid w:val="0070585B"/>
    <w:rsid w:val="00706F91"/>
    <w:rsid w:val="00713D10"/>
    <w:rsid w:val="00715517"/>
    <w:rsid w:val="007205D0"/>
    <w:rsid w:val="00720EF4"/>
    <w:rsid w:val="00721F27"/>
    <w:rsid w:val="00722B27"/>
    <w:rsid w:val="00730197"/>
    <w:rsid w:val="007305F6"/>
    <w:rsid w:val="00732FFD"/>
    <w:rsid w:val="00733023"/>
    <w:rsid w:val="00736466"/>
    <w:rsid w:val="007364A3"/>
    <w:rsid w:val="00743411"/>
    <w:rsid w:val="00754CC9"/>
    <w:rsid w:val="00756C05"/>
    <w:rsid w:val="0076121D"/>
    <w:rsid w:val="00764B2C"/>
    <w:rsid w:val="00765098"/>
    <w:rsid w:val="00766693"/>
    <w:rsid w:val="00767CDB"/>
    <w:rsid w:val="00770D03"/>
    <w:rsid w:val="0077145D"/>
    <w:rsid w:val="00774118"/>
    <w:rsid w:val="00781455"/>
    <w:rsid w:val="00784B5E"/>
    <w:rsid w:val="00785013"/>
    <w:rsid w:val="0078554E"/>
    <w:rsid w:val="00792458"/>
    <w:rsid w:val="00795640"/>
    <w:rsid w:val="007A1E69"/>
    <w:rsid w:val="007A20A5"/>
    <w:rsid w:val="007A2E03"/>
    <w:rsid w:val="007A4E9B"/>
    <w:rsid w:val="007A657D"/>
    <w:rsid w:val="007B6ECD"/>
    <w:rsid w:val="007B7C28"/>
    <w:rsid w:val="007C03FC"/>
    <w:rsid w:val="007C2D6F"/>
    <w:rsid w:val="007C461C"/>
    <w:rsid w:val="007C784D"/>
    <w:rsid w:val="007D1607"/>
    <w:rsid w:val="007D1A17"/>
    <w:rsid w:val="007D672A"/>
    <w:rsid w:val="007E2122"/>
    <w:rsid w:val="007E22A3"/>
    <w:rsid w:val="007E4F27"/>
    <w:rsid w:val="007E630F"/>
    <w:rsid w:val="007F0B43"/>
    <w:rsid w:val="007F48FF"/>
    <w:rsid w:val="007F7953"/>
    <w:rsid w:val="00817B08"/>
    <w:rsid w:val="00821FAD"/>
    <w:rsid w:val="008234FA"/>
    <w:rsid w:val="008250F1"/>
    <w:rsid w:val="00831349"/>
    <w:rsid w:val="008346F8"/>
    <w:rsid w:val="00834D4C"/>
    <w:rsid w:val="00842EB8"/>
    <w:rsid w:val="00845A1F"/>
    <w:rsid w:val="00845DF6"/>
    <w:rsid w:val="008501DD"/>
    <w:rsid w:val="00851ABF"/>
    <w:rsid w:val="00857D67"/>
    <w:rsid w:val="00870C92"/>
    <w:rsid w:val="00873F19"/>
    <w:rsid w:val="00873FD0"/>
    <w:rsid w:val="00874FB2"/>
    <w:rsid w:val="008755DD"/>
    <w:rsid w:val="00877287"/>
    <w:rsid w:val="00877CFA"/>
    <w:rsid w:val="00883361"/>
    <w:rsid w:val="00884F40"/>
    <w:rsid w:val="00885AB3"/>
    <w:rsid w:val="00886201"/>
    <w:rsid w:val="00886A43"/>
    <w:rsid w:val="00891C03"/>
    <w:rsid w:val="008923C5"/>
    <w:rsid w:val="00895C43"/>
    <w:rsid w:val="008A41E7"/>
    <w:rsid w:val="008B222A"/>
    <w:rsid w:val="008B438B"/>
    <w:rsid w:val="008B5B2C"/>
    <w:rsid w:val="008C0A9F"/>
    <w:rsid w:val="008C30B6"/>
    <w:rsid w:val="008C3C0C"/>
    <w:rsid w:val="008C4556"/>
    <w:rsid w:val="008C765B"/>
    <w:rsid w:val="008E6F03"/>
    <w:rsid w:val="008F2E3F"/>
    <w:rsid w:val="008F5CE5"/>
    <w:rsid w:val="008F782C"/>
    <w:rsid w:val="00901604"/>
    <w:rsid w:val="00901707"/>
    <w:rsid w:val="009101D7"/>
    <w:rsid w:val="009102B2"/>
    <w:rsid w:val="00912ED1"/>
    <w:rsid w:val="00914313"/>
    <w:rsid w:val="0092175E"/>
    <w:rsid w:val="00922991"/>
    <w:rsid w:val="0092387A"/>
    <w:rsid w:val="009249FE"/>
    <w:rsid w:val="00924ADD"/>
    <w:rsid w:val="00932D09"/>
    <w:rsid w:val="00940EEA"/>
    <w:rsid w:val="00943CCF"/>
    <w:rsid w:val="00944FD2"/>
    <w:rsid w:val="00952E20"/>
    <w:rsid w:val="00953774"/>
    <w:rsid w:val="009559D9"/>
    <w:rsid w:val="00955D6B"/>
    <w:rsid w:val="00962137"/>
    <w:rsid w:val="0096275F"/>
    <w:rsid w:val="009676D9"/>
    <w:rsid w:val="00967DA8"/>
    <w:rsid w:val="00980AF8"/>
    <w:rsid w:val="00983093"/>
    <w:rsid w:val="00985A94"/>
    <w:rsid w:val="00993D17"/>
    <w:rsid w:val="009962DF"/>
    <w:rsid w:val="00996C8B"/>
    <w:rsid w:val="009A6506"/>
    <w:rsid w:val="009A7AE3"/>
    <w:rsid w:val="009A7DA5"/>
    <w:rsid w:val="009B0293"/>
    <w:rsid w:val="009B05D6"/>
    <w:rsid w:val="009B6433"/>
    <w:rsid w:val="009C2619"/>
    <w:rsid w:val="009C3484"/>
    <w:rsid w:val="009C47EE"/>
    <w:rsid w:val="009C52A2"/>
    <w:rsid w:val="009C79A5"/>
    <w:rsid w:val="009D0086"/>
    <w:rsid w:val="009D376C"/>
    <w:rsid w:val="009D5047"/>
    <w:rsid w:val="009D696D"/>
    <w:rsid w:val="009E3A64"/>
    <w:rsid w:val="009E3BD1"/>
    <w:rsid w:val="009E4142"/>
    <w:rsid w:val="009F778C"/>
    <w:rsid w:val="00A046D9"/>
    <w:rsid w:val="00A12A52"/>
    <w:rsid w:val="00A13929"/>
    <w:rsid w:val="00A15177"/>
    <w:rsid w:val="00A16624"/>
    <w:rsid w:val="00A17EC7"/>
    <w:rsid w:val="00A2161F"/>
    <w:rsid w:val="00A2577D"/>
    <w:rsid w:val="00A32A31"/>
    <w:rsid w:val="00A32DF7"/>
    <w:rsid w:val="00A33AB7"/>
    <w:rsid w:val="00A349DE"/>
    <w:rsid w:val="00A431B5"/>
    <w:rsid w:val="00A43253"/>
    <w:rsid w:val="00A46CB3"/>
    <w:rsid w:val="00A53E24"/>
    <w:rsid w:val="00A547DB"/>
    <w:rsid w:val="00A551E9"/>
    <w:rsid w:val="00A61E8A"/>
    <w:rsid w:val="00A665DC"/>
    <w:rsid w:val="00A708A9"/>
    <w:rsid w:val="00A71582"/>
    <w:rsid w:val="00A72680"/>
    <w:rsid w:val="00A763AE"/>
    <w:rsid w:val="00A773BA"/>
    <w:rsid w:val="00A80B02"/>
    <w:rsid w:val="00A82307"/>
    <w:rsid w:val="00A834D1"/>
    <w:rsid w:val="00A850A4"/>
    <w:rsid w:val="00A87960"/>
    <w:rsid w:val="00A90894"/>
    <w:rsid w:val="00A92B62"/>
    <w:rsid w:val="00A95DF4"/>
    <w:rsid w:val="00AA36F0"/>
    <w:rsid w:val="00AA4B04"/>
    <w:rsid w:val="00AA4C42"/>
    <w:rsid w:val="00AA5B7B"/>
    <w:rsid w:val="00AA5FB7"/>
    <w:rsid w:val="00AB1710"/>
    <w:rsid w:val="00AB71AD"/>
    <w:rsid w:val="00AC0E00"/>
    <w:rsid w:val="00AD0943"/>
    <w:rsid w:val="00AE0E83"/>
    <w:rsid w:val="00AE371C"/>
    <w:rsid w:val="00AE617E"/>
    <w:rsid w:val="00AF4DDC"/>
    <w:rsid w:val="00B033BD"/>
    <w:rsid w:val="00B03495"/>
    <w:rsid w:val="00B04319"/>
    <w:rsid w:val="00B062FA"/>
    <w:rsid w:val="00B135C1"/>
    <w:rsid w:val="00B137CB"/>
    <w:rsid w:val="00B161CA"/>
    <w:rsid w:val="00B16590"/>
    <w:rsid w:val="00B2657F"/>
    <w:rsid w:val="00B32010"/>
    <w:rsid w:val="00B36B75"/>
    <w:rsid w:val="00B407EC"/>
    <w:rsid w:val="00B41F83"/>
    <w:rsid w:val="00B43FAE"/>
    <w:rsid w:val="00B47C8A"/>
    <w:rsid w:val="00B53C26"/>
    <w:rsid w:val="00B60ECD"/>
    <w:rsid w:val="00B65902"/>
    <w:rsid w:val="00B670E6"/>
    <w:rsid w:val="00B6757D"/>
    <w:rsid w:val="00B715AA"/>
    <w:rsid w:val="00B71CE2"/>
    <w:rsid w:val="00B73EE1"/>
    <w:rsid w:val="00B752D5"/>
    <w:rsid w:val="00B75835"/>
    <w:rsid w:val="00B812E8"/>
    <w:rsid w:val="00B843E3"/>
    <w:rsid w:val="00B852EF"/>
    <w:rsid w:val="00B906ED"/>
    <w:rsid w:val="00B95455"/>
    <w:rsid w:val="00B965B8"/>
    <w:rsid w:val="00BA1485"/>
    <w:rsid w:val="00BA1D19"/>
    <w:rsid w:val="00BB123C"/>
    <w:rsid w:val="00BB2EED"/>
    <w:rsid w:val="00BC3D7B"/>
    <w:rsid w:val="00BC4908"/>
    <w:rsid w:val="00BC5588"/>
    <w:rsid w:val="00BD313A"/>
    <w:rsid w:val="00BD39F0"/>
    <w:rsid w:val="00BD6FEB"/>
    <w:rsid w:val="00BE00D4"/>
    <w:rsid w:val="00BE520A"/>
    <w:rsid w:val="00BF00CF"/>
    <w:rsid w:val="00BF0EDD"/>
    <w:rsid w:val="00BF788C"/>
    <w:rsid w:val="00C01001"/>
    <w:rsid w:val="00C022E2"/>
    <w:rsid w:val="00C0369D"/>
    <w:rsid w:val="00C10A28"/>
    <w:rsid w:val="00C10FD9"/>
    <w:rsid w:val="00C13BE5"/>
    <w:rsid w:val="00C15792"/>
    <w:rsid w:val="00C22C8F"/>
    <w:rsid w:val="00C243AA"/>
    <w:rsid w:val="00C30C70"/>
    <w:rsid w:val="00C32F2D"/>
    <w:rsid w:val="00C3455E"/>
    <w:rsid w:val="00C37547"/>
    <w:rsid w:val="00C407D5"/>
    <w:rsid w:val="00C4082B"/>
    <w:rsid w:val="00C43E84"/>
    <w:rsid w:val="00C467A6"/>
    <w:rsid w:val="00C52A59"/>
    <w:rsid w:val="00C54CC9"/>
    <w:rsid w:val="00C609A1"/>
    <w:rsid w:val="00C60EE2"/>
    <w:rsid w:val="00C63F83"/>
    <w:rsid w:val="00C64754"/>
    <w:rsid w:val="00C70196"/>
    <w:rsid w:val="00C73ED1"/>
    <w:rsid w:val="00C75DF7"/>
    <w:rsid w:val="00C76900"/>
    <w:rsid w:val="00C81324"/>
    <w:rsid w:val="00C849AC"/>
    <w:rsid w:val="00C85925"/>
    <w:rsid w:val="00C86439"/>
    <w:rsid w:val="00C91B93"/>
    <w:rsid w:val="00C92B26"/>
    <w:rsid w:val="00C95DC5"/>
    <w:rsid w:val="00C96046"/>
    <w:rsid w:val="00CA25B4"/>
    <w:rsid w:val="00CA610F"/>
    <w:rsid w:val="00CA7B76"/>
    <w:rsid w:val="00CB0208"/>
    <w:rsid w:val="00CB26A2"/>
    <w:rsid w:val="00CB3963"/>
    <w:rsid w:val="00CB3F45"/>
    <w:rsid w:val="00CB6769"/>
    <w:rsid w:val="00CB67B0"/>
    <w:rsid w:val="00CC1E3B"/>
    <w:rsid w:val="00CC213E"/>
    <w:rsid w:val="00CC3B1F"/>
    <w:rsid w:val="00CC587B"/>
    <w:rsid w:val="00CD3845"/>
    <w:rsid w:val="00CD610C"/>
    <w:rsid w:val="00CD6B46"/>
    <w:rsid w:val="00CD743B"/>
    <w:rsid w:val="00CF1633"/>
    <w:rsid w:val="00CF6712"/>
    <w:rsid w:val="00D00CD7"/>
    <w:rsid w:val="00D01744"/>
    <w:rsid w:val="00D02610"/>
    <w:rsid w:val="00D02C30"/>
    <w:rsid w:val="00D04F88"/>
    <w:rsid w:val="00D1137F"/>
    <w:rsid w:val="00D12C64"/>
    <w:rsid w:val="00D169CB"/>
    <w:rsid w:val="00D17366"/>
    <w:rsid w:val="00D17F85"/>
    <w:rsid w:val="00D23FA1"/>
    <w:rsid w:val="00D2462F"/>
    <w:rsid w:val="00D26C6F"/>
    <w:rsid w:val="00D3148B"/>
    <w:rsid w:val="00D31678"/>
    <w:rsid w:val="00D32324"/>
    <w:rsid w:val="00D35C2E"/>
    <w:rsid w:val="00D3658E"/>
    <w:rsid w:val="00D37ACE"/>
    <w:rsid w:val="00D43EFD"/>
    <w:rsid w:val="00D44FAB"/>
    <w:rsid w:val="00D45496"/>
    <w:rsid w:val="00D45B7D"/>
    <w:rsid w:val="00D50AD9"/>
    <w:rsid w:val="00D53FD6"/>
    <w:rsid w:val="00D54A67"/>
    <w:rsid w:val="00D612CF"/>
    <w:rsid w:val="00D62E88"/>
    <w:rsid w:val="00D813F4"/>
    <w:rsid w:val="00D841C0"/>
    <w:rsid w:val="00D850F0"/>
    <w:rsid w:val="00D9004F"/>
    <w:rsid w:val="00D909AB"/>
    <w:rsid w:val="00D92115"/>
    <w:rsid w:val="00D93B00"/>
    <w:rsid w:val="00D9454C"/>
    <w:rsid w:val="00D959B3"/>
    <w:rsid w:val="00D97B13"/>
    <w:rsid w:val="00DA2B97"/>
    <w:rsid w:val="00DA75FB"/>
    <w:rsid w:val="00DB1987"/>
    <w:rsid w:val="00DB4CCB"/>
    <w:rsid w:val="00DB6331"/>
    <w:rsid w:val="00DC02C9"/>
    <w:rsid w:val="00DD1691"/>
    <w:rsid w:val="00DD40B6"/>
    <w:rsid w:val="00DD7FC2"/>
    <w:rsid w:val="00DE41F3"/>
    <w:rsid w:val="00DF4DA1"/>
    <w:rsid w:val="00E01C28"/>
    <w:rsid w:val="00E0457D"/>
    <w:rsid w:val="00E046D0"/>
    <w:rsid w:val="00E05C22"/>
    <w:rsid w:val="00E10B72"/>
    <w:rsid w:val="00E13F2B"/>
    <w:rsid w:val="00E1626C"/>
    <w:rsid w:val="00E2119F"/>
    <w:rsid w:val="00E21910"/>
    <w:rsid w:val="00E2213D"/>
    <w:rsid w:val="00E3406E"/>
    <w:rsid w:val="00E35C78"/>
    <w:rsid w:val="00E36DFD"/>
    <w:rsid w:val="00E410B2"/>
    <w:rsid w:val="00E46733"/>
    <w:rsid w:val="00E52DD0"/>
    <w:rsid w:val="00E576D4"/>
    <w:rsid w:val="00E64C9F"/>
    <w:rsid w:val="00E7413C"/>
    <w:rsid w:val="00E74320"/>
    <w:rsid w:val="00E74E2A"/>
    <w:rsid w:val="00E764A0"/>
    <w:rsid w:val="00E817E5"/>
    <w:rsid w:val="00E81FDD"/>
    <w:rsid w:val="00E82204"/>
    <w:rsid w:val="00E91FCD"/>
    <w:rsid w:val="00E92D07"/>
    <w:rsid w:val="00E93B45"/>
    <w:rsid w:val="00E94175"/>
    <w:rsid w:val="00E95353"/>
    <w:rsid w:val="00E97EF2"/>
    <w:rsid w:val="00EA044B"/>
    <w:rsid w:val="00EA456F"/>
    <w:rsid w:val="00EA510F"/>
    <w:rsid w:val="00EA77C2"/>
    <w:rsid w:val="00EB04A7"/>
    <w:rsid w:val="00EB240A"/>
    <w:rsid w:val="00EC3981"/>
    <w:rsid w:val="00ED2DBD"/>
    <w:rsid w:val="00ED4070"/>
    <w:rsid w:val="00ED44A2"/>
    <w:rsid w:val="00ED5B6F"/>
    <w:rsid w:val="00ED6D0E"/>
    <w:rsid w:val="00ED75A7"/>
    <w:rsid w:val="00EE0DEF"/>
    <w:rsid w:val="00EE5764"/>
    <w:rsid w:val="00EE6645"/>
    <w:rsid w:val="00EF0FD4"/>
    <w:rsid w:val="00EF4283"/>
    <w:rsid w:val="00EF6CB0"/>
    <w:rsid w:val="00F00983"/>
    <w:rsid w:val="00F0219F"/>
    <w:rsid w:val="00F022F3"/>
    <w:rsid w:val="00F0461C"/>
    <w:rsid w:val="00F078BA"/>
    <w:rsid w:val="00F1213B"/>
    <w:rsid w:val="00F12DA0"/>
    <w:rsid w:val="00F133CB"/>
    <w:rsid w:val="00F13BFB"/>
    <w:rsid w:val="00F17A08"/>
    <w:rsid w:val="00F2144A"/>
    <w:rsid w:val="00F225E7"/>
    <w:rsid w:val="00F22F5C"/>
    <w:rsid w:val="00F24A2F"/>
    <w:rsid w:val="00F2603F"/>
    <w:rsid w:val="00F27887"/>
    <w:rsid w:val="00F27E50"/>
    <w:rsid w:val="00F42F9A"/>
    <w:rsid w:val="00F43DD0"/>
    <w:rsid w:val="00F45011"/>
    <w:rsid w:val="00F4544B"/>
    <w:rsid w:val="00F469E9"/>
    <w:rsid w:val="00F510E9"/>
    <w:rsid w:val="00F51376"/>
    <w:rsid w:val="00F51F1C"/>
    <w:rsid w:val="00F5253C"/>
    <w:rsid w:val="00F55D17"/>
    <w:rsid w:val="00F56DA7"/>
    <w:rsid w:val="00F57B2A"/>
    <w:rsid w:val="00F61D62"/>
    <w:rsid w:val="00F637E1"/>
    <w:rsid w:val="00F6456D"/>
    <w:rsid w:val="00F645E1"/>
    <w:rsid w:val="00F64F3C"/>
    <w:rsid w:val="00F74030"/>
    <w:rsid w:val="00F91F74"/>
    <w:rsid w:val="00F971DA"/>
    <w:rsid w:val="00FA247B"/>
    <w:rsid w:val="00FA2CCE"/>
    <w:rsid w:val="00FA3473"/>
    <w:rsid w:val="00FA6B74"/>
    <w:rsid w:val="00FA758A"/>
    <w:rsid w:val="00FB1C95"/>
    <w:rsid w:val="00FB200A"/>
    <w:rsid w:val="00FB555B"/>
    <w:rsid w:val="00FC3E88"/>
    <w:rsid w:val="00FC3F4C"/>
    <w:rsid w:val="00FC552D"/>
    <w:rsid w:val="00FC5988"/>
    <w:rsid w:val="00FC65DE"/>
    <w:rsid w:val="00FC7A5A"/>
    <w:rsid w:val="00FD0163"/>
    <w:rsid w:val="00FE1BA4"/>
    <w:rsid w:val="00FE40E8"/>
    <w:rsid w:val="00FE58C6"/>
    <w:rsid w:val="00FE615C"/>
    <w:rsid w:val="00FE75A2"/>
    <w:rsid w:val="00FF229D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48B8581C"/>
  <w15:docId w15:val="{276DBE0C-E3A4-4DEB-8460-05A441E54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520A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501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8E6F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6F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6F0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6F0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E6F0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E6F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6E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7B6EC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B6E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7B6ECD"/>
    <w:rPr>
      <w:sz w:val="22"/>
      <w:szCs w:val="22"/>
    </w:rPr>
  </w:style>
  <w:style w:type="paragraph" w:styleId="FootnoteText">
    <w:name w:val="footnote text"/>
    <w:basedOn w:val="Normal"/>
    <w:link w:val="FootnoteTextChar"/>
    <w:semiHidden/>
    <w:rsid w:val="00110E29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"/>
    </w:rPr>
  </w:style>
  <w:style w:type="character" w:customStyle="1" w:styleId="FootnoteTextChar">
    <w:name w:val="Footnote Text Char"/>
    <w:link w:val="FootnoteText"/>
    <w:semiHidden/>
    <w:rsid w:val="00110E29"/>
    <w:rPr>
      <w:rFonts w:ascii="Times New Roman" w:eastAsia="Times New Roman" w:hAnsi="Times New Roman"/>
      <w:lang w:val="es-ES"/>
    </w:rPr>
  </w:style>
  <w:style w:type="paragraph" w:customStyle="1" w:styleId="Default">
    <w:name w:val="Default"/>
    <w:rsid w:val="00221E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TableText">
    <w:name w:val="Table Text"/>
    <w:basedOn w:val="Normal"/>
    <w:rsid w:val="00DF4DA1"/>
    <w:pPr>
      <w:spacing w:after="0" w:line="280" w:lineRule="atLeast"/>
      <w:jc w:val="both"/>
    </w:pPr>
    <w:rPr>
      <w:rFonts w:ascii="Arial" w:eastAsia="Times New Roman" w:hAnsi="Arial"/>
      <w:sz w:val="16"/>
      <w:szCs w:val="20"/>
      <w:lang w:val="en-GB" w:eastAsia="fr-FR"/>
    </w:rPr>
  </w:style>
  <w:style w:type="paragraph" w:styleId="ListParagraph">
    <w:name w:val="List Paragraph"/>
    <w:basedOn w:val="Normal"/>
    <w:link w:val="ListParagraphChar"/>
    <w:uiPriority w:val="34"/>
    <w:qFormat/>
    <w:rsid w:val="00E01C28"/>
    <w:pPr>
      <w:ind w:left="720"/>
      <w:contextualSpacing/>
    </w:pPr>
    <w:rPr>
      <w:lang w:val="es-CO"/>
    </w:rPr>
  </w:style>
  <w:style w:type="character" w:customStyle="1" w:styleId="ListParagraphChar">
    <w:name w:val="List Paragraph Char"/>
    <w:link w:val="ListParagraph"/>
    <w:uiPriority w:val="34"/>
    <w:locked/>
    <w:rsid w:val="00CB0208"/>
    <w:rPr>
      <w:sz w:val="22"/>
      <w:szCs w:val="22"/>
      <w:lang w:val="es-CO"/>
    </w:rPr>
  </w:style>
  <w:style w:type="character" w:styleId="FootnoteReference">
    <w:name w:val="footnote reference"/>
    <w:uiPriority w:val="99"/>
    <w:unhideWhenUsed/>
    <w:rsid w:val="00B32010"/>
    <w:rPr>
      <w:vertAlign w:val="superscript"/>
    </w:rPr>
  </w:style>
  <w:style w:type="paragraph" w:customStyle="1" w:styleId="Chapter">
    <w:name w:val="Chapter"/>
    <w:basedOn w:val="Normal"/>
    <w:next w:val="Normal"/>
    <w:rsid w:val="00795640"/>
    <w:pPr>
      <w:keepNext/>
      <w:numPr>
        <w:numId w:val="16"/>
      </w:numPr>
      <w:tabs>
        <w:tab w:val="left" w:pos="1440"/>
      </w:tabs>
      <w:spacing w:before="240" w:after="240" w:line="240" w:lineRule="auto"/>
      <w:jc w:val="center"/>
    </w:pPr>
    <w:rPr>
      <w:rFonts w:ascii="Times New Roman" w:eastAsia="Times New Roman" w:hAnsi="Times New Roman"/>
      <w:b/>
      <w:smallCaps/>
      <w:sz w:val="24"/>
      <w:szCs w:val="20"/>
      <w:lang w:val="es-ES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795640"/>
    <w:pPr>
      <w:numPr>
        <w:ilvl w:val="1"/>
        <w:numId w:val="16"/>
      </w:numPr>
      <w:spacing w:before="12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es-ES"/>
    </w:rPr>
  </w:style>
  <w:style w:type="paragraph" w:customStyle="1" w:styleId="subpar">
    <w:name w:val="subpar"/>
    <w:basedOn w:val="BodyTextIndent3"/>
    <w:rsid w:val="00795640"/>
    <w:pPr>
      <w:numPr>
        <w:ilvl w:val="2"/>
        <w:numId w:val="16"/>
      </w:numPr>
      <w:tabs>
        <w:tab w:val="clear" w:pos="2304"/>
        <w:tab w:val="num" w:pos="360"/>
        <w:tab w:val="num" w:pos="1152"/>
      </w:tabs>
      <w:spacing w:before="120" w:line="240" w:lineRule="auto"/>
      <w:ind w:left="1152" w:hanging="720"/>
      <w:jc w:val="both"/>
      <w:outlineLvl w:val="2"/>
    </w:pPr>
    <w:rPr>
      <w:rFonts w:ascii="Times New Roman" w:eastAsia="Times New Roman" w:hAnsi="Times New Roman"/>
      <w:sz w:val="24"/>
      <w:szCs w:val="20"/>
      <w:lang w:val="es-ES_tradnl"/>
    </w:rPr>
  </w:style>
  <w:style w:type="paragraph" w:customStyle="1" w:styleId="SubSubPar">
    <w:name w:val="SubSubPar"/>
    <w:basedOn w:val="subpar"/>
    <w:rsid w:val="00795640"/>
    <w:pPr>
      <w:numPr>
        <w:ilvl w:val="3"/>
      </w:numPr>
      <w:tabs>
        <w:tab w:val="clear" w:pos="2736"/>
        <w:tab w:val="left" w:pos="0"/>
        <w:tab w:val="num" w:pos="360"/>
        <w:tab w:val="num" w:pos="1152"/>
        <w:tab w:val="num" w:pos="1296"/>
      </w:tabs>
      <w:ind w:left="1296" w:hanging="720"/>
    </w:pPr>
  </w:style>
  <w:style w:type="character" w:customStyle="1" w:styleId="ParagraphChar">
    <w:name w:val="Paragraph Char"/>
    <w:link w:val="Paragraph"/>
    <w:rsid w:val="00795640"/>
    <w:rPr>
      <w:rFonts w:ascii="Times New Roman" w:eastAsia="Times New Roman" w:hAnsi="Times New Roman"/>
      <w:sz w:val="24"/>
      <w:lang w:val="es-ES" w:eastAsia="en-US"/>
    </w:rPr>
  </w:style>
  <w:style w:type="character" w:customStyle="1" w:styleId="hps">
    <w:name w:val="hps"/>
    <w:basedOn w:val="DefaultParagraphFont"/>
    <w:rsid w:val="00795640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9564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95640"/>
    <w:rPr>
      <w:sz w:val="22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9564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95640"/>
    <w:rPr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unhideWhenUsed/>
    <w:rsid w:val="00472FC8"/>
    <w:rPr>
      <w:color w:val="0000FF" w:themeColor="hyperlink"/>
      <w:u w:val="single"/>
    </w:rPr>
  </w:style>
  <w:style w:type="character" w:customStyle="1" w:styleId="spellingerror">
    <w:name w:val="spellingerror"/>
    <w:basedOn w:val="DefaultParagraphFont"/>
    <w:rsid w:val="00EB04A7"/>
  </w:style>
  <w:style w:type="character" w:customStyle="1" w:styleId="normaltextrun1">
    <w:name w:val="normaltextrun1"/>
    <w:basedOn w:val="DefaultParagraphFont"/>
    <w:rsid w:val="00EB04A7"/>
  </w:style>
  <w:style w:type="character" w:customStyle="1" w:styleId="eop">
    <w:name w:val="eop"/>
    <w:basedOn w:val="DefaultParagraphFont"/>
    <w:rsid w:val="00EB0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2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0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9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60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3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059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917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672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676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0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3185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37134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86857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3223955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6922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2465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2502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98930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820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425696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6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4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24" Type="http://schemas.openxmlformats.org/officeDocument/2006/relationships/customXml" Target="../customXml/item10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23" Type="http://schemas.openxmlformats.org/officeDocument/2006/relationships/theme" Target="theme/theme1.xml"/><Relationship Id="rId10" Type="http://schemas.openxmlformats.org/officeDocument/2006/relationships/numbering" Target="numbering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10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44E0886BC4AA114FB47F62B6B9F6DCE6" ma:contentTypeVersion="322" ma:contentTypeDescription="A content type to manage public (operations) IDB documents" ma:contentTypeScope="" ma:versionID="eda987f9704c2c632dccac0827415811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a0cd7e93c408e3af369371e5049938f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PN-L1152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Panama</TermName>
          <TermId xmlns="http://schemas.microsoft.com/office/infopath/2007/PartnerControls">7af43a84-776d-43d1-b0f2-8a1f2a8ffc7b</TermId>
        </TermInfo>
      </Terms>
    </ic46d7e087fd4a108fb86518ca413cc6>
    <IDBDocs_x0020_Number xmlns="cdc7663a-08f0-4737-9e8c-148ce897a09c" xsi:nil="true"/>
    <Division_x0020_or_x0020_Unit xmlns="cdc7663a-08f0-4737-9e8c-148ce897a09c">SCL/SPH</Division_x0020_or_x0020_Unit>
    <Fiscal_x0020_Year_x0020_IDB xmlns="cdc7663a-08f0-4737-9e8c-148ce897a09c">2018</Fiscal_x0020_Year_x0020_IDB>
    <Other_x0020_Author xmlns="cdc7663a-08f0-4737-9e8c-148ce897a09c" xsi:nil="true"/>
    <Migration_x0020_Info xmlns="cdc7663a-08f0-4737-9e8c-148ce897a09c" xsi:nil="true"/>
    <Document_x0020_Author xmlns="cdc7663a-08f0-4737-9e8c-148ce897a09c">Silveira, Sheyla</Document_x0020_Author>
    <Document_x0020_Language_x0020_IDB xmlns="cdc7663a-08f0-4737-9e8c-148ce897a09c">Spanish</Document_x0020_Language_x0020_IDB>
    <TaxCatchAll xmlns="cdc7663a-08f0-4737-9e8c-148ce897a09c">
      <Value>22</Value>
      <Value>25</Value>
      <Value>29</Value>
      <Value>1</Value>
      <Value>148</Value>
    </TaxCatchAll>
    <Identifier xmlns="cdc7663a-08f0-4737-9e8c-148ce897a09c" xsi:nil="true"/>
    <_dlc_DocId xmlns="cdc7663a-08f0-4737-9e8c-148ce897a09c">EZSHARE-118147578-27</_dlc_DocId>
    <_dlc_DocIdUrl xmlns="cdc7663a-08f0-4737-9e8c-148ce897a09c">
      <Url>https://idbg.sharepoint.com/teams/EZ-PN-LON/PN-L1152/_layouts/15/DocIdRedir.aspx?ID=EZSHARE-118147578-27</Url>
      <Description>EZSHARE-118147578-27</Description>
    </_dlc_DocIdUrl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Approval_x0020_Number xmlns="cdc7663a-08f0-4737-9e8c-148ce897a09c" xsi:nil="true"/>
    <Phase xmlns="cdc7663a-08f0-4737-9e8c-148ce897a09c" xsi:nil="true"/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396ec9c3-9632-4cdc-a19a-36df0d2b2979</TermId>
        </TermInfo>
      </Terms>
    </b2ec7cfb18674cb8803df6b262e8b107>
    <Business_x0020_Area xmlns="cdc7663a-08f0-4737-9e8c-148ce897a09c" xsi:nil="true"/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Operation_x0020_Type xmlns="cdc7663a-08f0-4737-9e8c-148ce897a09c">Loan Operation</Operation_x0020_Type>
    <Package_x0020_Code xmlns="cdc7663a-08f0-4737-9e8c-148ce897a09c" xsi:nil="true"/>
    <Project_x0020_Number xmlns="cdc7663a-08f0-4737-9e8c-148ce897a09c">PN-L1152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Record_x0020_Number xmlns="cdc7663a-08f0-4737-9e8c-148ce897a09c">R0002251943</Record_x0020_Number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37BCF-EDDE-447A-9102-467A6C899FCD}">
  <ds:schemaRefs>
    <ds:schemaRef ds:uri="http://schemas.microsoft.com/sharepoint/v3/contenttype/forms"/>
  </ds:schemaRefs>
</ds:datastoreItem>
</file>

<file path=customXml/itemProps10.xml><?xml version="1.0" encoding="utf-8"?>
<ds:datastoreItem xmlns:ds="http://schemas.openxmlformats.org/officeDocument/2006/customXml" ds:itemID="{70508003-90E6-4DFF-868D-E6C05C951388}"/>
</file>

<file path=customXml/itemProps2.xml><?xml version="1.0" encoding="utf-8"?>
<ds:datastoreItem xmlns:ds="http://schemas.openxmlformats.org/officeDocument/2006/customXml" ds:itemID="{23A03974-1981-4839-91D8-EE7626E21FB2}"/>
</file>

<file path=customXml/itemProps3.xml><?xml version="1.0" encoding="utf-8"?>
<ds:datastoreItem xmlns:ds="http://schemas.openxmlformats.org/officeDocument/2006/customXml" ds:itemID="{2CB60758-88E7-4706-9458-B1B9E924B719}"/>
</file>

<file path=customXml/itemProps4.xml><?xml version="1.0" encoding="utf-8"?>
<ds:datastoreItem xmlns:ds="http://schemas.openxmlformats.org/officeDocument/2006/customXml" ds:itemID="{501F9787-1867-4160-8CBB-E76B4348222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13ED0EC-5CA4-4274-A428-7EB296DB6767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5E04B564-42B7-417E-A09C-8468903C27B9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cdc7663a-08f0-4737-9e8c-148ce897a09c"/>
    <ds:schemaRef ds:uri="http://www.w3.org/XML/1998/namespace"/>
    <ds:schemaRef ds:uri="http://purl.org/dc/dcmitype/"/>
  </ds:schemaRefs>
</ds:datastoreItem>
</file>

<file path=customXml/itemProps7.xml><?xml version="1.0" encoding="utf-8"?>
<ds:datastoreItem xmlns:ds="http://schemas.openxmlformats.org/officeDocument/2006/customXml" ds:itemID="{53271993-6CDA-4AEF-81D6-2299FA4908EC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CA607F30-2BA8-4F1D-A3AC-9BE46DF1A1C7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24055D12-A68D-422E-97B8-3DE4CAC3D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2175</Words>
  <Characters>12401</Characters>
  <Application>Microsoft Office Word</Application>
  <DocSecurity>0</DocSecurity>
  <Lines>103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14547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TeodoroZ</dc:creator>
  <cp:keywords/>
  <cp:lastModifiedBy>Silveira, Sheyla</cp:lastModifiedBy>
  <cp:revision>7</cp:revision>
  <cp:lastPrinted>2013-12-02T21:23:00Z</cp:lastPrinted>
  <dcterms:created xsi:type="dcterms:W3CDTF">2018-07-10T20:53:00Z</dcterms:created>
  <dcterms:modified xsi:type="dcterms:W3CDTF">2018-07-13T22:45:00Z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29;#Guideline|b87520e0-9f78-4604-afc7-b360fd9c6e69</vt:lpwstr>
  </property>
  <property fmtid="{D5CDD505-2E9C-101B-9397-08002B2CF9AE}" pid="5" name="TaxKeywordTaxHTField">
    <vt:lpwstr/>
  </property>
  <property fmtid="{D5CDD505-2E9C-101B-9397-08002B2CF9AE}" pid="6" name="Country">
    <vt:lpwstr>22;#Panama|7af43a84-776d-43d1-b0f2-8a1f2a8ffc7b</vt:lpwstr>
  </property>
  <property fmtid="{D5CDD505-2E9C-101B-9397-08002B2CF9AE}" pid="7" name="Function Corporate IDB">
    <vt:lpwstr>4;#Guideline, Standard and Policy|55052825-ede1-4fc0-9b73-7b2230e7239d</vt:lpwstr>
  </property>
  <property fmtid="{D5CDD505-2E9C-101B-9397-08002B2CF9AE}" pid="8" name="_dlc_DocIdItemGuid">
    <vt:lpwstr>207c48e3-a086-43f6-909b-c52e71f479fb</vt:lpwstr>
  </property>
  <property fmtid="{D5CDD505-2E9C-101B-9397-08002B2CF9AE}" pid="9" name="Series Operations IDB">
    <vt:lpwstr/>
  </property>
  <property fmtid="{D5CDD505-2E9C-101B-9397-08002B2CF9AE}" pid="10" name="Sub-Sector">
    <vt:lpwstr>148;#SOCIAL INVESTMENT|396ec9c3-9632-4cdc-a19a-36df0d2b2979</vt:lpwstr>
  </property>
  <property fmtid="{D5CDD505-2E9C-101B-9397-08002B2CF9AE}" pid="11" name="Fund IDB">
    <vt:lpwstr>25;#ORC|c028a4b2-ad8b-4cf4-9cac-a2ae6a778e23</vt:lpwstr>
  </property>
  <property fmtid="{D5CDD505-2E9C-101B-9397-08002B2CF9AE}" pid="12" name="Sector IDB">
    <vt:lpwstr>29;#SOCIAL INVESTMENT|3f908695-d5b5-49f6-941f-76876b39564f</vt:lpwstr>
  </property>
  <property fmtid="{D5CDD505-2E9C-101B-9397-08002B2CF9AE}" pid="13" name="Function Operations IDB">
    <vt:lpwstr>1;#Project Preparation, Planning and Design|29ca0c72-1fc4-435f-a09c-28585cb5eac9</vt:lpwstr>
  </property>
  <property fmtid="{D5CDD505-2E9C-101B-9397-08002B2CF9AE}" pid="14" name="ContentTypeId">
    <vt:lpwstr>0x0101001A458A224826124E8B45B1D613300CFC0044E0886BC4AA114FB47F62B6B9F6DCE6</vt:lpwstr>
  </property>
</Properties>
</file>