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343BC" w14:textId="2F2E0A20" w:rsidR="00EB3481" w:rsidRPr="009166FD" w:rsidRDefault="00EB3481" w:rsidP="009166FD">
      <w:pPr>
        <w:jc w:val="center"/>
        <w:rPr>
          <w:rFonts w:ascii="Arial" w:hAnsi="Arial" w:cs="Arial"/>
          <w:b/>
          <w:smallCaps/>
          <w:sz w:val="24"/>
          <w:szCs w:val="24"/>
          <w:lang w:val="es-ES"/>
        </w:rPr>
      </w:pPr>
      <w:r w:rsidRPr="009166FD">
        <w:rPr>
          <w:rFonts w:ascii="Arial" w:hAnsi="Arial" w:cs="Arial"/>
          <w:b/>
          <w:smallCaps/>
          <w:sz w:val="24"/>
          <w:szCs w:val="24"/>
          <w:lang w:val="es-ES"/>
        </w:rPr>
        <w:t>M</w:t>
      </w:r>
      <w:r w:rsidR="009166FD">
        <w:rPr>
          <w:rFonts w:ascii="Arial" w:hAnsi="Arial" w:cs="Arial"/>
          <w:b/>
          <w:smallCaps/>
          <w:sz w:val="24"/>
          <w:szCs w:val="24"/>
          <w:lang w:val="es-ES"/>
        </w:rPr>
        <w:t>atriz</w:t>
      </w:r>
      <w:r w:rsidRPr="009166FD">
        <w:rPr>
          <w:rFonts w:ascii="Arial" w:hAnsi="Arial" w:cs="Arial"/>
          <w:b/>
          <w:smallCaps/>
          <w:sz w:val="24"/>
          <w:szCs w:val="24"/>
          <w:lang w:val="es-ES"/>
        </w:rPr>
        <w:t xml:space="preserve"> C</w:t>
      </w:r>
      <w:r w:rsidR="009166FD">
        <w:rPr>
          <w:rFonts w:ascii="Arial" w:hAnsi="Arial" w:cs="Arial"/>
          <w:b/>
          <w:smallCaps/>
          <w:sz w:val="24"/>
          <w:szCs w:val="24"/>
          <w:lang w:val="es-ES"/>
        </w:rPr>
        <w:t>omparativa</w:t>
      </w:r>
      <w:bookmarkStart w:id="0" w:name="_GoBack"/>
      <w:bookmarkEnd w:id="0"/>
    </w:p>
    <w:p w14:paraId="325A67B4" w14:textId="77777777" w:rsidR="00FD65A9" w:rsidRDefault="007B249E" w:rsidP="00FD65A9">
      <w:pPr>
        <w:spacing w:after="0" w:line="240" w:lineRule="auto"/>
        <w:jc w:val="center"/>
        <w:rPr>
          <w:rFonts w:ascii="Arial" w:hAnsi="Arial" w:cs="Arial"/>
          <w:b/>
          <w:smallCaps/>
          <w:sz w:val="20"/>
          <w:szCs w:val="20"/>
          <w:lang w:val="es-ES"/>
        </w:rPr>
      </w:pPr>
      <w:r w:rsidRPr="00FD65A9">
        <w:rPr>
          <w:rFonts w:ascii="Arial" w:hAnsi="Arial" w:cs="Arial"/>
          <w:b/>
          <w:smallCaps/>
          <w:sz w:val="20"/>
          <w:szCs w:val="20"/>
          <w:lang w:val="es-ES"/>
        </w:rPr>
        <w:t xml:space="preserve">Condiciones acordadas para la </w:t>
      </w:r>
      <w:r w:rsidR="00A21A9E" w:rsidRPr="00FD65A9">
        <w:rPr>
          <w:rFonts w:ascii="Arial" w:hAnsi="Arial" w:cs="Arial"/>
          <w:b/>
          <w:smallCaps/>
          <w:sz w:val="20"/>
          <w:szCs w:val="20"/>
          <w:lang w:val="es-ES"/>
        </w:rPr>
        <w:t>tercera</w:t>
      </w:r>
      <w:r w:rsidRPr="00FD65A9">
        <w:rPr>
          <w:rFonts w:ascii="Arial" w:hAnsi="Arial" w:cs="Arial"/>
          <w:b/>
          <w:smallCaps/>
          <w:sz w:val="20"/>
          <w:szCs w:val="20"/>
          <w:lang w:val="es-ES"/>
        </w:rPr>
        <w:t xml:space="preserve"> operación vs. condiciones acordadas en la propuesta de </w:t>
      </w:r>
      <w:r w:rsidR="001945FB" w:rsidRPr="00FD65A9">
        <w:rPr>
          <w:rFonts w:ascii="Arial" w:hAnsi="Arial" w:cs="Arial"/>
          <w:b/>
          <w:smallCaps/>
          <w:sz w:val="20"/>
          <w:szCs w:val="20"/>
          <w:lang w:val="es-ES"/>
        </w:rPr>
        <w:t>préstamo</w:t>
      </w:r>
      <w:r w:rsidRPr="00FD65A9">
        <w:rPr>
          <w:rFonts w:ascii="Arial" w:hAnsi="Arial" w:cs="Arial"/>
          <w:b/>
          <w:smallCaps/>
          <w:sz w:val="20"/>
          <w:szCs w:val="20"/>
          <w:lang w:val="es-ES"/>
        </w:rPr>
        <w:t xml:space="preserve"> de la </w:t>
      </w:r>
    </w:p>
    <w:p w14:paraId="51492727" w14:textId="77777777" w:rsidR="00F74396" w:rsidRPr="00FD65A9" w:rsidRDefault="00A21A9E" w:rsidP="00CE2635">
      <w:pPr>
        <w:spacing w:after="120" w:line="240" w:lineRule="auto"/>
        <w:jc w:val="center"/>
        <w:rPr>
          <w:rFonts w:ascii="Arial" w:hAnsi="Arial" w:cs="Arial"/>
          <w:b/>
          <w:smallCaps/>
          <w:sz w:val="20"/>
          <w:szCs w:val="20"/>
          <w:lang w:val="es-ES"/>
        </w:rPr>
      </w:pPr>
      <w:r w:rsidRPr="00FD65A9">
        <w:rPr>
          <w:rFonts w:ascii="Arial" w:hAnsi="Arial" w:cs="Arial"/>
          <w:b/>
          <w:smallCaps/>
          <w:sz w:val="20"/>
          <w:szCs w:val="20"/>
          <w:lang w:val="es-ES"/>
        </w:rPr>
        <w:t>Segunda</w:t>
      </w:r>
      <w:r w:rsidR="007B249E" w:rsidRPr="00FD65A9">
        <w:rPr>
          <w:rFonts w:ascii="Arial" w:hAnsi="Arial" w:cs="Arial"/>
          <w:b/>
          <w:smallCaps/>
          <w:sz w:val="20"/>
          <w:szCs w:val="20"/>
          <w:lang w:val="es-ES"/>
        </w:rPr>
        <w:t xml:space="preserve"> operación del PBP </w:t>
      </w:r>
    </w:p>
    <w:tbl>
      <w:tblPr>
        <w:tblW w:w="13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5"/>
        <w:gridCol w:w="3695"/>
        <w:gridCol w:w="3420"/>
        <w:gridCol w:w="3870"/>
      </w:tblGrid>
      <w:tr w:rsidR="00AD7AAD" w:rsidRPr="00FD65A9" w14:paraId="0235D056" w14:textId="77777777" w:rsidTr="00FD65A9">
        <w:trPr>
          <w:trHeight w:val="971"/>
          <w:tblHeader/>
          <w:jc w:val="center"/>
        </w:trPr>
        <w:tc>
          <w:tcPr>
            <w:tcW w:w="224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7E6FD6EF" w14:textId="77777777" w:rsidR="00AD7AAD" w:rsidRPr="00FD65A9" w:rsidRDefault="00AD7AAD" w:rsidP="00FD65A9">
            <w:pPr>
              <w:spacing w:after="0" w:line="240" w:lineRule="auto"/>
              <w:jc w:val="center"/>
              <w:rPr>
                <w:rFonts w:ascii="Arial" w:hAnsi="Arial" w:cs="Arial"/>
                <w:b/>
                <w:sz w:val="20"/>
                <w:szCs w:val="20"/>
                <w:lang w:val="es-ES"/>
              </w:rPr>
            </w:pPr>
            <w:r w:rsidRPr="00FD65A9">
              <w:rPr>
                <w:rFonts w:ascii="Arial" w:hAnsi="Arial" w:cs="Arial"/>
                <w:b/>
                <w:sz w:val="20"/>
                <w:szCs w:val="20"/>
                <w:lang w:val="es-ES"/>
              </w:rPr>
              <w:t xml:space="preserve">Componente y </w:t>
            </w:r>
            <w:r w:rsidR="00FD65A9" w:rsidRPr="00FD65A9">
              <w:rPr>
                <w:rFonts w:ascii="Arial" w:hAnsi="Arial" w:cs="Arial"/>
                <w:b/>
                <w:sz w:val="20"/>
                <w:szCs w:val="20"/>
                <w:lang w:val="es-ES"/>
              </w:rPr>
              <w:t>o</w:t>
            </w:r>
            <w:r w:rsidRPr="00FD65A9">
              <w:rPr>
                <w:rFonts w:ascii="Arial" w:hAnsi="Arial" w:cs="Arial"/>
                <w:b/>
                <w:sz w:val="20"/>
                <w:szCs w:val="20"/>
                <w:lang w:val="es-ES"/>
              </w:rPr>
              <w:t>bjetivo</w:t>
            </w:r>
          </w:p>
        </w:tc>
        <w:tc>
          <w:tcPr>
            <w:tcW w:w="369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239591E0" w14:textId="77777777" w:rsidR="00AD7AAD" w:rsidRPr="00FD65A9" w:rsidRDefault="00AD7AAD" w:rsidP="00FD65A9">
            <w:pPr>
              <w:spacing w:after="0" w:line="240" w:lineRule="auto"/>
              <w:jc w:val="center"/>
              <w:rPr>
                <w:rFonts w:ascii="Arial" w:hAnsi="Arial" w:cs="Arial"/>
                <w:b/>
                <w:sz w:val="20"/>
                <w:szCs w:val="20"/>
                <w:lang w:val="es-ES"/>
              </w:rPr>
            </w:pPr>
            <w:r w:rsidRPr="00FD65A9">
              <w:rPr>
                <w:rFonts w:ascii="Arial" w:hAnsi="Arial" w:cs="Arial"/>
                <w:b/>
                <w:sz w:val="20"/>
                <w:szCs w:val="20"/>
                <w:lang w:val="es-ES"/>
              </w:rPr>
              <w:t xml:space="preserve">Condiciones </w:t>
            </w:r>
            <w:r w:rsidR="001945FB" w:rsidRPr="00FD65A9">
              <w:rPr>
                <w:rFonts w:ascii="Arial" w:hAnsi="Arial" w:cs="Arial"/>
                <w:b/>
                <w:sz w:val="20"/>
                <w:szCs w:val="20"/>
                <w:lang w:val="es-ES"/>
              </w:rPr>
              <w:t xml:space="preserve">para la </w:t>
            </w:r>
            <w:r w:rsidR="00A21A9E" w:rsidRPr="00FD65A9">
              <w:rPr>
                <w:rFonts w:ascii="Arial" w:hAnsi="Arial" w:cs="Arial"/>
                <w:b/>
                <w:sz w:val="20"/>
                <w:szCs w:val="20"/>
                <w:lang w:val="es-ES"/>
              </w:rPr>
              <w:t>tercera</w:t>
            </w:r>
            <w:r w:rsidR="001945FB" w:rsidRPr="00FD65A9">
              <w:rPr>
                <w:rFonts w:ascii="Arial" w:hAnsi="Arial" w:cs="Arial"/>
                <w:b/>
                <w:sz w:val="20"/>
                <w:szCs w:val="20"/>
                <w:lang w:val="es-ES"/>
              </w:rPr>
              <w:t xml:space="preserve"> operación establecidas en la Propuesta de Préstamo del </w:t>
            </w:r>
            <w:r w:rsidR="00A21A9E" w:rsidRPr="00FD65A9">
              <w:rPr>
                <w:rFonts w:ascii="Arial" w:hAnsi="Arial" w:cs="Arial"/>
                <w:b/>
                <w:sz w:val="20"/>
                <w:szCs w:val="20"/>
                <w:lang w:val="es-ES"/>
              </w:rPr>
              <w:t>segundo</w:t>
            </w:r>
            <w:r w:rsidR="001945FB" w:rsidRPr="00FD65A9">
              <w:rPr>
                <w:rFonts w:ascii="Arial" w:hAnsi="Arial" w:cs="Arial"/>
                <w:b/>
                <w:sz w:val="20"/>
                <w:szCs w:val="20"/>
                <w:lang w:val="es-ES"/>
              </w:rPr>
              <w:t xml:space="preserve"> PBP</w:t>
            </w:r>
          </w:p>
        </w:tc>
        <w:tc>
          <w:tcPr>
            <w:tcW w:w="342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C0A0C60" w14:textId="77777777" w:rsidR="00AD7AAD" w:rsidRPr="00FD65A9" w:rsidRDefault="00AD7AAD" w:rsidP="00FD65A9">
            <w:pPr>
              <w:spacing w:after="0" w:line="240" w:lineRule="auto"/>
              <w:jc w:val="center"/>
              <w:rPr>
                <w:rFonts w:ascii="Arial" w:hAnsi="Arial" w:cs="Arial"/>
                <w:b/>
                <w:sz w:val="20"/>
                <w:szCs w:val="20"/>
                <w:lang w:val="es-ES"/>
              </w:rPr>
            </w:pPr>
            <w:r w:rsidRPr="00FD65A9">
              <w:rPr>
                <w:rFonts w:ascii="Arial" w:hAnsi="Arial" w:cs="Arial"/>
                <w:b/>
                <w:sz w:val="20"/>
                <w:szCs w:val="20"/>
                <w:lang w:val="es-ES"/>
              </w:rPr>
              <w:t xml:space="preserve">Condiciones </w:t>
            </w:r>
            <w:r w:rsidR="001945FB" w:rsidRPr="00FD65A9">
              <w:rPr>
                <w:rFonts w:ascii="Arial" w:hAnsi="Arial" w:cs="Arial"/>
                <w:b/>
                <w:sz w:val="20"/>
                <w:szCs w:val="20"/>
                <w:lang w:val="es-ES"/>
              </w:rPr>
              <w:t xml:space="preserve">revisadas y acordadas para la </w:t>
            </w:r>
            <w:r w:rsidR="00334CA9" w:rsidRPr="00FD65A9">
              <w:rPr>
                <w:rFonts w:ascii="Arial" w:hAnsi="Arial" w:cs="Arial"/>
                <w:b/>
                <w:sz w:val="20"/>
                <w:szCs w:val="20"/>
                <w:lang w:val="es-ES"/>
              </w:rPr>
              <w:t>tercera</w:t>
            </w:r>
            <w:r w:rsidR="001945FB" w:rsidRPr="00FD65A9">
              <w:rPr>
                <w:rFonts w:ascii="Arial" w:hAnsi="Arial" w:cs="Arial"/>
                <w:b/>
                <w:sz w:val="20"/>
                <w:szCs w:val="20"/>
                <w:lang w:val="es-ES"/>
              </w:rPr>
              <w:t xml:space="preserve"> operación </w:t>
            </w:r>
          </w:p>
        </w:tc>
        <w:tc>
          <w:tcPr>
            <w:tcW w:w="387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8899C15" w14:textId="77777777" w:rsidR="00AD7AAD" w:rsidRPr="00FD65A9" w:rsidRDefault="001945FB" w:rsidP="00FD65A9">
            <w:pPr>
              <w:spacing w:after="0" w:line="240" w:lineRule="auto"/>
              <w:jc w:val="center"/>
              <w:rPr>
                <w:rFonts w:ascii="Arial" w:hAnsi="Arial" w:cs="Arial"/>
                <w:b/>
                <w:sz w:val="20"/>
                <w:szCs w:val="20"/>
                <w:lang w:val="es-ES"/>
              </w:rPr>
            </w:pPr>
            <w:r w:rsidRPr="00FD65A9">
              <w:rPr>
                <w:rFonts w:ascii="Arial" w:hAnsi="Arial" w:cs="Arial"/>
                <w:b/>
                <w:sz w:val="20"/>
                <w:szCs w:val="20"/>
                <w:lang w:val="es-ES"/>
              </w:rPr>
              <w:t>Comentarios</w:t>
            </w:r>
          </w:p>
        </w:tc>
      </w:tr>
      <w:tr w:rsidR="00970BBB" w:rsidRPr="00FD65A9" w14:paraId="676B484D" w14:textId="77777777" w:rsidTr="00FD65A9">
        <w:trPr>
          <w:trHeight w:val="260"/>
          <w:jc w:val="center"/>
        </w:trPr>
        <w:tc>
          <w:tcPr>
            <w:tcW w:w="1323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862CA3" w14:textId="77777777" w:rsidR="00755A5F" w:rsidRPr="00FD65A9" w:rsidRDefault="00D82BCE" w:rsidP="00FD65A9">
            <w:pPr>
              <w:pStyle w:val="ListParagraph"/>
              <w:numPr>
                <w:ilvl w:val="0"/>
                <w:numId w:val="15"/>
              </w:numPr>
              <w:spacing w:after="0" w:line="240" w:lineRule="auto"/>
              <w:contextualSpacing w:val="0"/>
              <w:rPr>
                <w:rFonts w:ascii="Arial" w:hAnsi="Arial" w:cs="Arial"/>
                <w:sz w:val="20"/>
                <w:szCs w:val="20"/>
                <w:lang w:val="es-ES"/>
              </w:rPr>
            </w:pPr>
            <w:r w:rsidRPr="00FD65A9">
              <w:rPr>
                <w:rFonts w:ascii="Arial" w:hAnsi="Arial" w:cs="Arial"/>
                <w:b/>
                <w:sz w:val="20"/>
                <w:szCs w:val="20"/>
                <w:lang w:val="es-ES"/>
              </w:rPr>
              <w:t>Marco Macroeconómico</w:t>
            </w:r>
          </w:p>
        </w:tc>
      </w:tr>
      <w:tr w:rsidR="00601E37" w:rsidRPr="00FD65A9" w14:paraId="645CBBB3" w14:textId="77777777" w:rsidTr="00FD65A9">
        <w:trPr>
          <w:trHeight w:val="647"/>
          <w:jc w:val="center"/>
        </w:trPr>
        <w:tc>
          <w:tcPr>
            <w:tcW w:w="2245" w:type="dxa"/>
            <w:tcBorders>
              <w:top w:val="single" w:sz="4" w:space="0" w:color="auto"/>
              <w:left w:val="single" w:sz="4" w:space="0" w:color="auto"/>
              <w:bottom w:val="single" w:sz="4" w:space="0" w:color="auto"/>
              <w:right w:val="single" w:sz="4" w:space="0" w:color="auto"/>
            </w:tcBorders>
            <w:hideMark/>
          </w:tcPr>
          <w:p w14:paraId="19C18FB6" w14:textId="77777777" w:rsidR="00601E37" w:rsidRPr="00FD65A9" w:rsidRDefault="00A21A9E" w:rsidP="00FD65A9">
            <w:pPr>
              <w:spacing w:after="0" w:line="240" w:lineRule="auto"/>
              <w:rPr>
                <w:rFonts w:ascii="Arial" w:hAnsi="Arial" w:cs="Arial"/>
                <w:b/>
                <w:sz w:val="20"/>
                <w:szCs w:val="20"/>
                <w:lang w:val="es-419"/>
              </w:rPr>
            </w:pPr>
            <w:r w:rsidRPr="00FD65A9">
              <w:rPr>
                <w:rFonts w:ascii="Arial" w:hAnsi="Arial" w:cs="Arial"/>
                <w:sz w:val="20"/>
                <w:szCs w:val="20"/>
                <w:lang w:val="es-ES"/>
              </w:rPr>
              <w:t>Marco Macroeconómico</w:t>
            </w:r>
          </w:p>
        </w:tc>
        <w:tc>
          <w:tcPr>
            <w:tcW w:w="3695" w:type="dxa"/>
            <w:tcBorders>
              <w:top w:val="single" w:sz="4" w:space="0" w:color="auto"/>
              <w:left w:val="single" w:sz="4" w:space="0" w:color="auto"/>
              <w:bottom w:val="single" w:sz="4" w:space="0" w:color="auto"/>
              <w:right w:val="single" w:sz="4" w:space="0" w:color="auto"/>
            </w:tcBorders>
            <w:hideMark/>
          </w:tcPr>
          <w:p w14:paraId="31B2F583" w14:textId="77777777" w:rsidR="00601E37" w:rsidRPr="00FD65A9" w:rsidRDefault="00601E37" w:rsidP="00FD65A9">
            <w:pPr>
              <w:spacing w:after="0" w:line="240" w:lineRule="auto"/>
              <w:rPr>
                <w:rFonts w:ascii="Arial" w:hAnsi="Arial" w:cs="Arial"/>
                <w:sz w:val="20"/>
                <w:szCs w:val="20"/>
                <w:lang w:val="es-ES"/>
              </w:rPr>
            </w:pPr>
            <w:r w:rsidRPr="00FD65A9">
              <w:rPr>
                <w:rFonts w:ascii="Arial" w:hAnsi="Arial" w:cs="Arial"/>
                <w:sz w:val="20"/>
                <w:szCs w:val="20"/>
                <w:lang w:val="es-ES"/>
              </w:rPr>
              <w:t xml:space="preserve">(1.1) </w:t>
            </w:r>
            <w:r w:rsidR="00A21A9E" w:rsidRPr="00FD65A9">
              <w:rPr>
                <w:rFonts w:ascii="Arial" w:hAnsi="Arial" w:cs="Arial"/>
                <w:sz w:val="20"/>
                <w:szCs w:val="20"/>
                <w:lang w:val="es-ES"/>
              </w:rPr>
              <w:t>Que se mantenga un marco de políticas macroeconómicas adecuado.</w:t>
            </w:r>
          </w:p>
        </w:tc>
        <w:tc>
          <w:tcPr>
            <w:tcW w:w="3420" w:type="dxa"/>
            <w:tcBorders>
              <w:top w:val="single" w:sz="4" w:space="0" w:color="auto"/>
              <w:left w:val="single" w:sz="4" w:space="0" w:color="auto"/>
              <w:bottom w:val="single" w:sz="4" w:space="0" w:color="auto"/>
              <w:right w:val="single" w:sz="4" w:space="0" w:color="auto"/>
            </w:tcBorders>
          </w:tcPr>
          <w:p w14:paraId="39816580" w14:textId="77777777" w:rsidR="00601E37" w:rsidRPr="00FD65A9" w:rsidRDefault="00A21A9E" w:rsidP="00FD65A9">
            <w:pPr>
              <w:spacing w:after="0" w:line="240" w:lineRule="auto"/>
              <w:rPr>
                <w:rFonts w:ascii="Arial" w:hAnsi="Arial" w:cs="Arial"/>
                <w:sz w:val="20"/>
                <w:szCs w:val="20"/>
                <w:lang w:val="es-ES"/>
              </w:rPr>
            </w:pPr>
            <w:r w:rsidRPr="00FD65A9">
              <w:rPr>
                <w:rFonts w:ascii="Arial" w:hAnsi="Arial" w:cs="Arial"/>
                <w:sz w:val="20"/>
                <w:szCs w:val="20"/>
                <w:lang w:val="es-ES"/>
              </w:rPr>
              <w:t>(</w:t>
            </w:r>
            <w:r w:rsidR="00601E37" w:rsidRPr="00FD65A9">
              <w:rPr>
                <w:rFonts w:ascii="Arial" w:hAnsi="Arial" w:cs="Arial"/>
                <w:sz w:val="20"/>
                <w:szCs w:val="20"/>
                <w:lang w:val="es-ES"/>
              </w:rPr>
              <w:t xml:space="preserve">1.1) </w:t>
            </w:r>
            <w:r w:rsidR="00334CA9" w:rsidRPr="00FD65A9">
              <w:rPr>
                <w:rFonts w:ascii="Arial" w:hAnsi="Arial" w:cs="Arial"/>
                <w:sz w:val="20"/>
                <w:szCs w:val="20"/>
                <w:lang w:val="es-ES"/>
              </w:rPr>
              <w:t>Que se mantenga un marco de políticas macroeconómicas adecuado.</w:t>
            </w:r>
          </w:p>
        </w:tc>
        <w:tc>
          <w:tcPr>
            <w:tcW w:w="3870" w:type="dxa"/>
            <w:tcBorders>
              <w:top w:val="single" w:sz="4" w:space="0" w:color="auto"/>
              <w:left w:val="single" w:sz="4" w:space="0" w:color="auto"/>
              <w:bottom w:val="single" w:sz="4" w:space="0" w:color="auto"/>
              <w:right w:val="single" w:sz="4" w:space="0" w:color="auto"/>
            </w:tcBorders>
          </w:tcPr>
          <w:p w14:paraId="341FC135" w14:textId="77777777" w:rsidR="00601E37" w:rsidRPr="00FD65A9" w:rsidRDefault="001945FB" w:rsidP="00FD65A9">
            <w:pPr>
              <w:spacing w:after="0" w:line="240" w:lineRule="auto"/>
              <w:rPr>
                <w:rFonts w:ascii="Arial" w:hAnsi="Arial" w:cs="Arial"/>
                <w:sz w:val="20"/>
                <w:szCs w:val="20"/>
                <w:lang w:val="es-ES"/>
              </w:rPr>
            </w:pPr>
            <w:r w:rsidRPr="00FD65A9">
              <w:rPr>
                <w:rFonts w:ascii="Arial" w:hAnsi="Arial" w:cs="Arial"/>
                <w:sz w:val="20"/>
                <w:szCs w:val="20"/>
                <w:lang w:val="es-ES"/>
              </w:rPr>
              <w:t>Ningún cambio</w:t>
            </w:r>
            <w:r w:rsidR="00D57AD5" w:rsidRPr="00FD65A9">
              <w:rPr>
                <w:rFonts w:ascii="Arial" w:hAnsi="Arial" w:cs="Arial"/>
                <w:sz w:val="20"/>
                <w:szCs w:val="20"/>
                <w:lang w:val="es-ES"/>
              </w:rPr>
              <w:t>.</w:t>
            </w:r>
          </w:p>
          <w:p w14:paraId="4143E2B3" w14:textId="77777777" w:rsidR="00601E37" w:rsidRPr="00FD65A9" w:rsidRDefault="00601E37" w:rsidP="00FD65A9">
            <w:pPr>
              <w:spacing w:after="0" w:line="240" w:lineRule="auto"/>
              <w:rPr>
                <w:rFonts w:ascii="Arial" w:hAnsi="Arial" w:cs="Arial"/>
                <w:sz w:val="20"/>
                <w:szCs w:val="20"/>
                <w:lang w:val="es-ES"/>
              </w:rPr>
            </w:pPr>
          </w:p>
        </w:tc>
      </w:tr>
      <w:tr w:rsidR="00755A5F" w:rsidRPr="009166FD" w14:paraId="2824F579" w14:textId="77777777" w:rsidTr="006C7A13">
        <w:trPr>
          <w:trHeight w:val="215"/>
          <w:jc w:val="center"/>
        </w:trPr>
        <w:tc>
          <w:tcPr>
            <w:tcW w:w="1323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99B797" w14:textId="1457A38B" w:rsidR="00755A5F" w:rsidRPr="00FD65A9" w:rsidRDefault="00334CA9" w:rsidP="00FD65A9">
            <w:pPr>
              <w:pStyle w:val="ListParagraph"/>
              <w:numPr>
                <w:ilvl w:val="0"/>
                <w:numId w:val="15"/>
              </w:numPr>
              <w:spacing w:after="0" w:line="240" w:lineRule="auto"/>
              <w:contextualSpacing w:val="0"/>
              <w:rPr>
                <w:rFonts w:ascii="Arial" w:hAnsi="Arial" w:cs="Arial"/>
                <w:sz w:val="20"/>
                <w:szCs w:val="20"/>
                <w:lang w:val="es-ES"/>
              </w:rPr>
            </w:pPr>
            <w:r w:rsidRPr="00FD65A9">
              <w:rPr>
                <w:rFonts w:ascii="Arial" w:hAnsi="Arial" w:cs="Arial"/>
                <w:b/>
                <w:sz w:val="20"/>
                <w:szCs w:val="20"/>
                <w:lang w:val="es-ES"/>
              </w:rPr>
              <w:t>Apoyo a la mejora de la equidad y eficiencia del gasto en protección social</w:t>
            </w:r>
            <w:r w:rsidR="001446AF">
              <w:rPr>
                <w:rStyle w:val="FootnoteReference"/>
                <w:rFonts w:ascii="Arial" w:hAnsi="Arial" w:cs="Arial"/>
                <w:b/>
                <w:sz w:val="20"/>
                <w:lang w:val="es-ES"/>
              </w:rPr>
              <w:footnoteReference w:id="1"/>
            </w:r>
          </w:p>
        </w:tc>
      </w:tr>
      <w:tr w:rsidR="002A7128" w:rsidRPr="009166FD" w14:paraId="7AA931DD" w14:textId="77777777" w:rsidTr="000D0DD9">
        <w:trPr>
          <w:cantSplit/>
          <w:trHeight w:val="2141"/>
          <w:jc w:val="center"/>
        </w:trPr>
        <w:tc>
          <w:tcPr>
            <w:tcW w:w="2245" w:type="dxa"/>
            <w:tcBorders>
              <w:top w:val="single" w:sz="4" w:space="0" w:color="auto"/>
              <w:left w:val="single" w:sz="4" w:space="0" w:color="auto"/>
              <w:bottom w:val="single" w:sz="4" w:space="0" w:color="auto"/>
              <w:right w:val="single" w:sz="4" w:space="0" w:color="auto"/>
            </w:tcBorders>
          </w:tcPr>
          <w:p w14:paraId="2CE9DFBA" w14:textId="77777777" w:rsidR="002A7128" w:rsidRPr="00FD65A9" w:rsidRDefault="002A7128" w:rsidP="00FD65A9">
            <w:pPr>
              <w:spacing w:after="0" w:line="240" w:lineRule="auto"/>
              <w:rPr>
                <w:rFonts w:ascii="Arial" w:hAnsi="Arial" w:cs="Arial"/>
                <w:b/>
                <w:sz w:val="20"/>
                <w:szCs w:val="20"/>
                <w:lang w:val="es-ES"/>
              </w:rPr>
            </w:pPr>
            <w:r w:rsidRPr="00FD65A9">
              <w:rPr>
                <w:rFonts w:ascii="Arial" w:hAnsi="Arial" w:cs="Arial"/>
                <w:sz w:val="20"/>
                <w:szCs w:val="20"/>
                <w:lang w:val="es-ES"/>
              </w:rPr>
              <w:t>Focalización</w:t>
            </w:r>
          </w:p>
          <w:p w14:paraId="2338A1F6" w14:textId="77777777" w:rsidR="002A7128" w:rsidRPr="00FD65A9" w:rsidRDefault="002A7128" w:rsidP="00FD65A9">
            <w:pPr>
              <w:spacing w:after="0" w:line="240" w:lineRule="auto"/>
              <w:rPr>
                <w:rFonts w:ascii="Arial" w:hAnsi="Arial" w:cs="Arial"/>
                <w:sz w:val="20"/>
                <w:szCs w:val="20"/>
                <w:lang w:val="es-ES"/>
              </w:rPr>
            </w:pPr>
          </w:p>
        </w:tc>
        <w:tc>
          <w:tcPr>
            <w:tcW w:w="3695" w:type="dxa"/>
            <w:tcBorders>
              <w:top w:val="single" w:sz="4" w:space="0" w:color="auto"/>
              <w:left w:val="single" w:sz="4" w:space="0" w:color="auto"/>
              <w:right w:val="single" w:sz="4" w:space="0" w:color="auto"/>
            </w:tcBorders>
          </w:tcPr>
          <w:p w14:paraId="4EAA2778"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(2.1a) Que se hayan evaluado los efectos de la implementación del nuevo mecanismo de focalización y del nuevo proceso de recertificación sobre cobertura y filtración de los programas Red de Oportunidades</w:t>
            </w:r>
            <w:r w:rsidR="0085483C">
              <w:rPr>
                <w:rFonts w:ascii="Arial" w:hAnsi="Arial" w:cs="Arial"/>
                <w:sz w:val="20"/>
                <w:szCs w:val="20"/>
                <w:lang w:val="es-ES"/>
              </w:rPr>
              <w:t xml:space="preserve"> (RdO</w:t>
            </w:r>
            <w:r w:rsidRPr="00FD65A9">
              <w:rPr>
                <w:rFonts w:ascii="Arial" w:hAnsi="Arial" w:cs="Arial"/>
                <w:sz w:val="20"/>
                <w:szCs w:val="20"/>
                <w:lang w:val="es-ES"/>
              </w:rPr>
              <w:t xml:space="preserve">, 120 a los 65, </w:t>
            </w:r>
            <w:r w:rsidR="0085483C">
              <w:rPr>
                <w:rFonts w:ascii="Arial" w:hAnsi="Arial" w:cs="Arial"/>
                <w:sz w:val="20"/>
                <w:szCs w:val="20"/>
                <w:lang w:val="es-ES"/>
              </w:rPr>
              <w:t>y AG</w:t>
            </w:r>
            <w:r w:rsidRPr="00FD65A9">
              <w:rPr>
                <w:rFonts w:ascii="Arial" w:hAnsi="Arial" w:cs="Arial"/>
                <w:sz w:val="20"/>
                <w:szCs w:val="20"/>
                <w:lang w:val="es-ES"/>
              </w:rPr>
              <w:t>, y sobre la focalización de parte de los subsidios generalizados.</w:t>
            </w:r>
          </w:p>
        </w:tc>
        <w:tc>
          <w:tcPr>
            <w:tcW w:w="3420" w:type="dxa"/>
            <w:tcBorders>
              <w:top w:val="single" w:sz="4" w:space="0" w:color="auto"/>
              <w:left w:val="single" w:sz="4" w:space="0" w:color="auto"/>
              <w:bottom w:val="single" w:sz="4" w:space="0" w:color="auto"/>
              <w:right w:val="single" w:sz="4" w:space="0" w:color="auto"/>
            </w:tcBorders>
          </w:tcPr>
          <w:p w14:paraId="70B8FCE9"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 xml:space="preserve">(2.1a) Que se hayan evaluado los efectos de la implementación del nuevo mecanismo de focalización y del nuevo proceso de recertificación sobre cobertura y filtración de los programas </w:t>
            </w:r>
            <w:r w:rsidR="0085483C">
              <w:rPr>
                <w:rFonts w:ascii="Arial" w:hAnsi="Arial" w:cs="Arial"/>
                <w:sz w:val="20"/>
                <w:szCs w:val="20"/>
                <w:lang w:val="es-ES"/>
              </w:rPr>
              <w:t>RdO</w:t>
            </w:r>
            <w:r w:rsidRPr="00FD65A9">
              <w:rPr>
                <w:rFonts w:ascii="Arial" w:hAnsi="Arial" w:cs="Arial"/>
                <w:sz w:val="20"/>
                <w:szCs w:val="20"/>
                <w:lang w:val="es-ES"/>
              </w:rPr>
              <w:t xml:space="preserve">, 120 a los 65, </w:t>
            </w:r>
            <w:r w:rsidR="0085483C">
              <w:rPr>
                <w:rFonts w:ascii="Arial" w:hAnsi="Arial" w:cs="Arial"/>
                <w:sz w:val="20"/>
                <w:szCs w:val="20"/>
                <w:lang w:val="es-ES"/>
              </w:rPr>
              <w:t>AG</w:t>
            </w:r>
            <w:r w:rsidRPr="00FD65A9">
              <w:rPr>
                <w:rFonts w:ascii="Arial" w:hAnsi="Arial" w:cs="Arial"/>
                <w:sz w:val="20"/>
                <w:szCs w:val="20"/>
                <w:lang w:val="es-ES"/>
              </w:rPr>
              <w:t>.</w:t>
            </w:r>
          </w:p>
          <w:p w14:paraId="03CB5A14" w14:textId="77777777" w:rsidR="002A7128" w:rsidRPr="00FD65A9" w:rsidRDefault="002A7128" w:rsidP="00FD65A9">
            <w:pPr>
              <w:spacing w:after="0" w:line="240" w:lineRule="auto"/>
              <w:rPr>
                <w:rFonts w:ascii="Arial" w:hAnsi="Arial" w:cs="Arial"/>
                <w:sz w:val="20"/>
                <w:szCs w:val="20"/>
                <w:lang w:val="es-ES"/>
              </w:rPr>
            </w:pPr>
          </w:p>
        </w:tc>
        <w:tc>
          <w:tcPr>
            <w:tcW w:w="3870" w:type="dxa"/>
            <w:tcBorders>
              <w:top w:val="single" w:sz="4" w:space="0" w:color="auto"/>
              <w:left w:val="single" w:sz="4" w:space="0" w:color="auto"/>
              <w:bottom w:val="single" w:sz="4" w:space="0" w:color="auto"/>
              <w:right w:val="single" w:sz="4" w:space="0" w:color="auto"/>
            </w:tcBorders>
          </w:tcPr>
          <w:p w14:paraId="2B4B663E" w14:textId="77777777" w:rsidR="002A7128" w:rsidRPr="00FD65A9" w:rsidRDefault="00B46EAC" w:rsidP="00FD65A9">
            <w:pPr>
              <w:spacing w:after="0" w:line="240" w:lineRule="auto"/>
              <w:rPr>
                <w:rFonts w:ascii="Arial" w:hAnsi="Arial" w:cs="Arial"/>
                <w:sz w:val="20"/>
                <w:szCs w:val="20"/>
                <w:lang w:val="es-ES"/>
              </w:rPr>
            </w:pPr>
            <w:r w:rsidRPr="00FD65A9">
              <w:rPr>
                <w:rFonts w:ascii="Arial" w:hAnsi="Arial" w:cs="Arial"/>
                <w:sz w:val="20"/>
                <w:szCs w:val="20"/>
                <w:lang w:val="es-ES"/>
              </w:rPr>
              <w:t>Se eliminó la frase “y sobre la focalización de parte de los subsidios generalizados”, en cuanto este es el argumento de la condición 2.1d abajo.</w:t>
            </w:r>
          </w:p>
          <w:p w14:paraId="069E1C1D" w14:textId="77777777" w:rsidR="002A7128" w:rsidRPr="00FD65A9" w:rsidRDefault="002A7128" w:rsidP="00FD65A9">
            <w:pPr>
              <w:spacing w:after="0" w:line="240" w:lineRule="auto"/>
              <w:rPr>
                <w:rFonts w:ascii="Arial" w:hAnsi="Arial" w:cs="Arial"/>
                <w:sz w:val="20"/>
                <w:szCs w:val="20"/>
                <w:lang w:val="es-ES"/>
              </w:rPr>
            </w:pPr>
          </w:p>
        </w:tc>
      </w:tr>
      <w:tr w:rsidR="002A7128" w:rsidRPr="00FD65A9" w14:paraId="34C563E0" w14:textId="77777777" w:rsidTr="000D0DD9">
        <w:trPr>
          <w:cantSplit/>
          <w:trHeight w:val="1250"/>
          <w:jc w:val="center"/>
        </w:trPr>
        <w:tc>
          <w:tcPr>
            <w:tcW w:w="2245" w:type="dxa"/>
            <w:vMerge w:val="restart"/>
            <w:tcBorders>
              <w:top w:val="single" w:sz="4" w:space="0" w:color="auto"/>
              <w:left w:val="single" w:sz="4" w:space="0" w:color="auto"/>
              <w:bottom w:val="single" w:sz="4" w:space="0" w:color="auto"/>
              <w:right w:val="single" w:sz="4" w:space="0" w:color="auto"/>
            </w:tcBorders>
          </w:tcPr>
          <w:p w14:paraId="47EAE75E" w14:textId="77777777" w:rsidR="002A7128" w:rsidRPr="00FD65A9" w:rsidRDefault="002A7128" w:rsidP="00FD65A9">
            <w:pPr>
              <w:spacing w:after="0" w:line="240" w:lineRule="auto"/>
              <w:rPr>
                <w:rFonts w:ascii="Arial" w:hAnsi="Arial" w:cs="Arial"/>
                <w:sz w:val="20"/>
                <w:szCs w:val="20"/>
                <w:lang w:val="es-ES"/>
              </w:rPr>
            </w:pPr>
          </w:p>
        </w:tc>
        <w:tc>
          <w:tcPr>
            <w:tcW w:w="3695" w:type="dxa"/>
            <w:tcBorders>
              <w:top w:val="single" w:sz="4" w:space="0" w:color="auto"/>
              <w:left w:val="single" w:sz="4" w:space="0" w:color="auto"/>
              <w:right w:val="single" w:sz="4" w:space="0" w:color="auto"/>
            </w:tcBorders>
            <w:hideMark/>
          </w:tcPr>
          <w:p w14:paraId="19BAD333"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(2.1</w:t>
            </w:r>
            <w:r w:rsidR="00B46EAC" w:rsidRPr="00FD65A9">
              <w:rPr>
                <w:rFonts w:ascii="Arial" w:hAnsi="Arial" w:cs="Arial"/>
                <w:sz w:val="20"/>
                <w:szCs w:val="20"/>
                <w:lang w:val="es-ES"/>
              </w:rPr>
              <w:t>b</w:t>
            </w:r>
            <w:r w:rsidRPr="00FD65A9">
              <w:rPr>
                <w:rFonts w:ascii="Arial" w:hAnsi="Arial" w:cs="Arial"/>
                <w:sz w:val="20"/>
                <w:szCs w:val="20"/>
                <w:lang w:val="es-ES"/>
              </w:rPr>
              <w:t>) Que se hayan recertificado el 40% de los beneficiarios de los programas RdO, 120 a los 65 y Ángel Guardián, usando el nuevo mecanismo de focalización.</w:t>
            </w:r>
          </w:p>
        </w:tc>
        <w:tc>
          <w:tcPr>
            <w:tcW w:w="3420" w:type="dxa"/>
            <w:tcBorders>
              <w:top w:val="single" w:sz="4" w:space="0" w:color="auto"/>
              <w:left w:val="single" w:sz="4" w:space="0" w:color="auto"/>
              <w:bottom w:val="single" w:sz="4" w:space="0" w:color="auto"/>
              <w:right w:val="single" w:sz="4" w:space="0" w:color="auto"/>
            </w:tcBorders>
          </w:tcPr>
          <w:p w14:paraId="2F44FB09"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(2.1</w:t>
            </w:r>
            <w:r w:rsidR="00B46EAC" w:rsidRPr="00FD65A9">
              <w:rPr>
                <w:rFonts w:ascii="Arial" w:hAnsi="Arial" w:cs="Arial"/>
                <w:sz w:val="20"/>
                <w:szCs w:val="20"/>
                <w:lang w:val="es-ES"/>
              </w:rPr>
              <w:t>b</w:t>
            </w:r>
            <w:r w:rsidRPr="00FD65A9">
              <w:rPr>
                <w:rFonts w:ascii="Arial" w:hAnsi="Arial" w:cs="Arial"/>
                <w:sz w:val="20"/>
                <w:szCs w:val="20"/>
                <w:lang w:val="es-ES"/>
              </w:rPr>
              <w:t>) Que se hayan recertificado el 40% de los beneficiarios de los programas RdO, 120 a los 65 y Ángel Guardián, usando el nuevo mecanismo de focalización.</w:t>
            </w:r>
          </w:p>
        </w:tc>
        <w:tc>
          <w:tcPr>
            <w:tcW w:w="3870" w:type="dxa"/>
            <w:tcBorders>
              <w:top w:val="single" w:sz="4" w:space="0" w:color="auto"/>
              <w:left w:val="single" w:sz="4" w:space="0" w:color="auto"/>
              <w:bottom w:val="single" w:sz="4" w:space="0" w:color="auto"/>
              <w:right w:val="single" w:sz="4" w:space="0" w:color="auto"/>
            </w:tcBorders>
          </w:tcPr>
          <w:p w14:paraId="045F41E5"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Ningún cambio.</w:t>
            </w:r>
          </w:p>
          <w:p w14:paraId="556F9574" w14:textId="77777777" w:rsidR="002A7128" w:rsidRPr="00FD65A9" w:rsidRDefault="002A7128" w:rsidP="00FD65A9">
            <w:pPr>
              <w:spacing w:after="0" w:line="240" w:lineRule="auto"/>
              <w:rPr>
                <w:rFonts w:ascii="Arial" w:hAnsi="Arial" w:cs="Arial"/>
                <w:sz w:val="20"/>
                <w:szCs w:val="20"/>
                <w:lang w:val="es-ES"/>
              </w:rPr>
            </w:pPr>
          </w:p>
        </w:tc>
      </w:tr>
      <w:tr w:rsidR="002A7128" w:rsidRPr="00FD65A9" w14:paraId="3FF467EC" w14:textId="77777777" w:rsidTr="0085483C">
        <w:trPr>
          <w:cantSplit/>
          <w:trHeight w:val="1007"/>
          <w:jc w:val="center"/>
        </w:trPr>
        <w:tc>
          <w:tcPr>
            <w:tcW w:w="2245" w:type="dxa"/>
            <w:vMerge/>
            <w:tcBorders>
              <w:top w:val="single" w:sz="4" w:space="0" w:color="auto"/>
              <w:left w:val="single" w:sz="4" w:space="0" w:color="auto"/>
              <w:bottom w:val="single" w:sz="4" w:space="0" w:color="auto"/>
              <w:right w:val="single" w:sz="4" w:space="0" w:color="auto"/>
            </w:tcBorders>
          </w:tcPr>
          <w:p w14:paraId="13954EF6" w14:textId="77777777" w:rsidR="002A7128" w:rsidRPr="00FD65A9" w:rsidRDefault="002A7128" w:rsidP="00FD65A9">
            <w:pPr>
              <w:numPr>
                <w:ilvl w:val="0"/>
                <w:numId w:val="1"/>
              </w:numPr>
              <w:tabs>
                <w:tab w:val="num" w:pos="216"/>
              </w:tabs>
              <w:spacing w:after="0" w:line="240" w:lineRule="auto"/>
              <w:ind w:left="216" w:hanging="216"/>
              <w:rPr>
                <w:rFonts w:ascii="Arial" w:hAnsi="Arial" w:cs="Arial"/>
                <w:b/>
                <w:sz w:val="20"/>
                <w:szCs w:val="20"/>
                <w:lang w:val="es-ES"/>
              </w:rPr>
            </w:pPr>
          </w:p>
        </w:tc>
        <w:tc>
          <w:tcPr>
            <w:tcW w:w="3695" w:type="dxa"/>
            <w:tcBorders>
              <w:left w:val="single" w:sz="4" w:space="0" w:color="auto"/>
              <w:bottom w:val="single" w:sz="4" w:space="0" w:color="auto"/>
              <w:right w:val="single" w:sz="4" w:space="0" w:color="auto"/>
            </w:tcBorders>
          </w:tcPr>
          <w:p w14:paraId="6202EAE3"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(2.1</w:t>
            </w:r>
            <w:r w:rsidR="00B46EAC" w:rsidRPr="00FD65A9">
              <w:rPr>
                <w:rFonts w:ascii="Arial" w:hAnsi="Arial" w:cs="Arial"/>
                <w:sz w:val="20"/>
                <w:szCs w:val="20"/>
                <w:lang w:val="es-ES"/>
              </w:rPr>
              <w:t>c</w:t>
            </w:r>
            <w:r w:rsidRPr="00FD65A9">
              <w:rPr>
                <w:rFonts w:ascii="Arial" w:hAnsi="Arial" w:cs="Arial"/>
                <w:sz w:val="20"/>
                <w:szCs w:val="20"/>
                <w:lang w:val="es-ES"/>
              </w:rPr>
              <w:t>) Que se hayan implementado los criterios de priorización de la Beca Universal para la población en pobreza enunciados en el componente (2.1a) de la primera operación.</w:t>
            </w:r>
          </w:p>
        </w:tc>
        <w:tc>
          <w:tcPr>
            <w:tcW w:w="3420" w:type="dxa"/>
            <w:tcBorders>
              <w:top w:val="single" w:sz="4" w:space="0" w:color="auto"/>
              <w:left w:val="single" w:sz="4" w:space="0" w:color="auto"/>
              <w:bottom w:val="single" w:sz="4" w:space="0" w:color="auto"/>
              <w:right w:val="single" w:sz="4" w:space="0" w:color="auto"/>
            </w:tcBorders>
          </w:tcPr>
          <w:p w14:paraId="248B9A91" w14:textId="54E7CCC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(2.1</w:t>
            </w:r>
            <w:r w:rsidR="00B46EAC" w:rsidRPr="00FD65A9">
              <w:rPr>
                <w:rFonts w:ascii="Arial" w:hAnsi="Arial" w:cs="Arial"/>
                <w:sz w:val="20"/>
                <w:szCs w:val="20"/>
                <w:lang w:val="es-ES"/>
              </w:rPr>
              <w:t>c</w:t>
            </w:r>
            <w:r w:rsidRPr="00FD65A9">
              <w:rPr>
                <w:rFonts w:ascii="Arial" w:hAnsi="Arial" w:cs="Arial"/>
                <w:sz w:val="20"/>
                <w:szCs w:val="20"/>
                <w:lang w:val="es-ES"/>
              </w:rPr>
              <w:t>) Que se hayan implementado los criterios de priorización de la Beca Universal para la población en pobreza enunciados en el componente (2.1a) de la primera operación.</w:t>
            </w:r>
          </w:p>
        </w:tc>
        <w:tc>
          <w:tcPr>
            <w:tcW w:w="3870" w:type="dxa"/>
            <w:tcBorders>
              <w:top w:val="single" w:sz="4" w:space="0" w:color="auto"/>
              <w:left w:val="single" w:sz="4" w:space="0" w:color="auto"/>
              <w:bottom w:val="single" w:sz="4" w:space="0" w:color="auto"/>
              <w:right w:val="single" w:sz="4" w:space="0" w:color="auto"/>
            </w:tcBorders>
          </w:tcPr>
          <w:p w14:paraId="1AB568C5"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Ningún cambio.</w:t>
            </w:r>
          </w:p>
          <w:p w14:paraId="3C811AF8" w14:textId="77777777" w:rsidR="002A7128" w:rsidRPr="00FD65A9" w:rsidRDefault="002A7128" w:rsidP="00FD65A9">
            <w:pPr>
              <w:spacing w:after="0" w:line="240" w:lineRule="auto"/>
              <w:rPr>
                <w:rFonts w:ascii="Arial" w:hAnsi="Arial" w:cs="Arial"/>
                <w:sz w:val="20"/>
                <w:szCs w:val="20"/>
                <w:lang w:val="es-ES"/>
              </w:rPr>
            </w:pPr>
          </w:p>
        </w:tc>
      </w:tr>
      <w:tr w:rsidR="002A7128" w:rsidRPr="009166FD" w14:paraId="5B875FC7" w14:textId="77777777" w:rsidTr="000D0DD9">
        <w:trPr>
          <w:cantSplit/>
          <w:trHeight w:val="1979"/>
          <w:jc w:val="center"/>
        </w:trPr>
        <w:tc>
          <w:tcPr>
            <w:tcW w:w="2245" w:type="dxa"/>
            <w:vMerge/>
            <w:tcBorders>
              <w:top w:val="single" w:sz="4" w:space="0" w:color="auto"/>
              <w:left w:val="single" w:sz="4" w:space="0" w:color="auto"/>
              <w:bottom w:val="single" w:sz="4" w:space="0" w:color="auto"/>
              <w:right w:val="single" w:sz="4" w:space="0" w:color="auto"/>
            </w:tcBorders>
            <w:vAlign w:val="center"/>
          </w:tcPr>
          <w:p w14:paraId="1E439BAF" w14:textId="77777777" w:rsidR="002A7128" w:rsidRPr="00FD65A9" w:rsidRDefault="002A7128" w:rsidP="00FD65A9">
            <w:pPr>
              <w:numPr>
                <w:ilvl w:val="0"/>
                <w:numId w:val="1"/>
              </w:numPr>
              <w:tabs>
                <w:tab w:val="num" w:pos="216"/>
              </w:tabs>
              <w:spacing w:after="0" w:line="240" w:lineRule="auto"/>
              <w:ind w:left="216" w:hanging="216"/>
              <w:rPr>
                <w:rFonts w:ascii="Arial" w:hAnsi="Arial" w:cs="Arial"/>
                <w:b/>
                <w:sz w:val="20"/>
                <w:szCs w:val="20"/>
                <w:lang w:val="es-ES"/>
              </w:rPr>
            </w:pPr>
          </w:p>
        </w:tc>
        <w:tc>
          <w:tcPr>
            <w:tcW w:w="3695" w:type="dxa"/>
            <w:tcBorders>
              <w:top w:val="single" w:sz="4" w:space="0" w:color="auto"/>
              <w:left w:val="single" w:sz="4" w:space="0" w:color="auto"/>
              <w:right w:val="single" w:sz="4" w:space="0" w:color="auto"/>
            </w:tcBorders>
          </w:tcPr>
          <w:p w14:paraId="22B83EF9"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(2.1</w:t>
            </w:r>
            <w:r w:rsidR="00B46EAC" w:rsidRPr="00FD65A9">
              <w:rPr>
                <w:rFonts w:ascii="Arial" w:hAnsi="Arial" w:cs="Arial"/>
                <w:sz w:val="20"/>
                <w:szCs w:val="20"/>
                <w:lang w:val="es-ES"/>
              </w:rPr>
              <w:t>d</w:t>
            </w:r>
            <w:r w:rsidRPr="00FD65A9">
              <w:rPr>
                <w:rFonts w:ascii="Arial" w:hAnsi="Arial" w:cs="Arial"/>
                <w:sz w:val="20"/>
                <w:szCs w:val="20"/>
                <w:lang w:val="es-ES"/>
              </w:rPr>
              <w:t>) Que subsidios generalizados por un monto de al menos 30 millones de Balboas (B./) por año, hayan sido refocalizados usando el nuevo y único mecanismo de identificación de la población en pobreza y pobreza extrema en el país.</w:t>
            </w:r>
          </w:p>
        </w:tc>
        <w:tc>
          <w:tcPr>
            <w:tcW w:w="3420" w:type="dxa"/>
            <w:tcBorders>
              <w:top w:val="single" w:sz="4" w:space="0" w:color="auto"/>
              <w:left w:val="single" w:sz="4" w:space="0" w:color="auto"/>
              <w:bottom w:val="single" w:sz="4" w:space="0" w:color="auto"/>
              <w:right w:val="single" w:sz="4" w:space="0" w:color="auto"/>
            </w:tcBorders>
          </w:tcPr>
          <w:p w14:paraId="1154AB5B" w14:textId="1F93457B"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(2.1</w:t>
            </w:r>
            <w:r w:rsidR="00B46EAC" w:rsidRPr="00FD65A9">
              <w:rPr>
                <w:rFonts w:ascii="Arial" w:hAnsi="Arial" w:cs="Arial"/>
                <w:sz w:val="20"/>
                <w:szCs w:val="20"/>
                <w:lang w:val="es-ES"/>
              </w:rPr>
              <w:t>d</w:t>
            </w:r>
            <w:r w:rsidRPr="00FD65A9">
              <w:rPr>
                <w:rFonts w:ascii="Arial" w:hAnsi="Arial" w:cs="Arial"/>
                <w:sz w:val="20"/>
                <w:szCs w:val="20"/>
                <w:lang w:val="es-ES"/>
              </w:rPr>
              <w:t>) Que subsidios generalizados</w:t>
            </w:r>
            <w:r w:rsidR="00135FEA">
              <w:rPr>
                <w:rStyle w:val="FootnoteReference"/>
                <w:rFonts w:ascii="Arial" w:hAnsi="Arial" w:cs="Arial"/>
                <w:lang w:val="es-ES"/>
              </w:rPr>
              <w:footnoteReference w:id="2"/>
            </w:r>
            <w:r w:rsidRPr="00FD65A9">
              <w:rPr>
                <w:rFonts w:ascii="Arial" w:hAnsi="Arial" w:cs="Arial"/>
                <w:sz w:val="20"/>
                <w:szCs w:val="20"/>
                <w:lang w:val="es-ES"/>
              </w:rPr>
              <w:t xml:space="preserve"> por un monto de al menos 30 millones de Balboas (B./) por año, hayan sido refocalizados usando el nuevo y único mecanismo de identificación de la población en pobreza y pobreza extrema en el país.</w:t>
            </w:r>
          </w:p>
        </w:tc>
        <w:tc>
          <w:tcPr>
            <w:tcW w:w="3870" w:type="dxa"/>
            <w:tcBorders>
              <w:top w:val="single" w:sz="4" w:space="0" w:color="auto"/>
              <w:left w:val="single" w:sz="4" w:space="0" w:color="auto"/>
              <w:bottom w:val="single" w:sz="4" w:space="0" w:color="auto"/>
              <w:right w:val="single" w:sz="4" w:space="0" w:color="auto"/>
            </w:tcBorders>
          </w:tcPr>
          <w:p w14:paraId="783E6DD0" w14:textId="5ACDCAE8" w:rsidR="002A7128" w:rsidRPr="00FD65A9" w:rsidRDefault="00135FEA" w:rsidP="00FD65A9">
            <w:pPr>
              <w:spacing w:after="0" w:line="240" w:lineRule="auto"/>
              <w:rPr>
                <w:rFonts w:ascii="Arial" w:hAnsi="Arial" w:cs="Arial"/>
                <w:sz w:val="20"/>
                <w:szCs w:val="20"/>
                <w:lang w:val="es-ES"/>
              </w:rPr>
            </w:pPr>
            <w:r>
              <w:rPr>
                <w:rFonts w:ascii="Arial" w:hAnsi="Arial" w:cs="Arial"/>
                <w:sz w:val="20"/>
                <w:szCs w:val="20"/>
                <w:lang w:val="es-ES"/>
              </w:rPr>
              <w:t>Se incluyo una nota para especificar el tipo de subsidios generalizados que se están reduciendo</w:t>
            </w:r>
            <w:r w:rsidR="002A7128" w:rsidRPr="00FD65A9">
              <w:rPr>
                <w:rFonts w:ascii="Arial" w:hAnsi="Arial" w:cs="Arial"/>
                <w:sz w:val="20"/>
                <w:szCs w:val="20"/>
                <w:lang w:val="es-ES"/>
              </w:rPr>
              <w:t>.</w:t>
            </w:r>
          </w:p>
          <w:p w14:paraId="0E07C7C4" w14:textId="77777777" w:rsidR="002A7128" w:rsidRPr="00FD65A9" w:rsidRDefault="002A7128" w:rsidP="00FD65A9">
            <w:pPr>
              <w:spacing w:after="0" w:line="240" w:lineRule="auto"/>
              <w:rPr>
                <w:rFonts w:ascii="Arial" w:hAnsi="Arial" w:cs="Arial"/>
                <w:sz w:val="20"/>
                <w:szCs w:val="20"/>
                <w:lang w:val="es-ES"/>
              </w:rPr>
            </w:pPr>
          </w:p>
        </w:tc>
      </w:tr>
      <w:tr w:rsidR="002A7128" w:rsidRPr="009166FD" w14:paraId="53664CA8" w14:textId="77777777" w:rsidTr="006952A3">
        <w:trPr>
          <w:cantSplit/>
          <w:trHeight w:val="5048"/>
          <w:jc w:val="center"/>
        </w:trPr>
        <w:tc>
          <w:tcPr>
            <w:tcW w:w="2245" w:type="dxa"/>
            <w:vMerge w:val="restart"/>
            <w:tcBorders>
              <w:top w:val="single" w:sz="4" w:space="0" w:color="auto"/>
              <w:left w:val="single" w:sz="4" w:space="0" w:color="auto"/>
              <w:right w:val="single" w:sz="4" w:space="0" w:color="auto"/>
            </w:tcBorders>
          </w:tcPr>
          <w:p w14:paraId="73722A42"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Manejo del padrón</w:t>
            </w:r>
          </w:p>
        </w:tc>
        <w:tc>
          <w:tcPr>
            <w:tcW w:w="3695" w:type="dxa"/>
            <w:tcBorders>
              <w:left w:val="single" w:sz="4" w:space="0" w:color="auto"/>
              <w:bottom w:val="single" w:sz="4" w:space="0" w:color="auto"/>
              <w:right w:val="single" w:sz="4" w:space="0" w:color="auto"/>
            </w:tcBorders>
          </w:tcPr>
          <w:p w14:paraId="7DCC256D"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 xml:space="preserve">(2.2a) Que se hayan incluido en el </w:t>
            </w:r>
            <w:r w:rsidR="006C7A13">
              <w:rPr>
                <w:rFonts w:ascii="Arial" w:hAnsi="Arial" w:cs="Arial"/>
                <w:sz w:val="20"/>
                <w:szCs w:val="20"/>
                <w:lang w:val="es-ES"/>
              </w:rPr>
              <w:t xml:space="preserve">Registro </w:t>
            </w:r>
            <w:r w:rsidR="006C7A13" w:rsidRPr="006C7A13">
              <w:rPr>
                <w:rFonts w:ascii="Arial" w:hAnsi="Arial" w:cs="Arial"/>
                <w:caps/>
                <w:sz w:val="20"/>
                <w:szCs w:val="20"/>
                <w:lang w:val="es-ES"/>
              </w:rPr>
              <w:t>ú</w:t>
            </w:r>
            <w:r w:rsidR="006C7A13">
              <w:rPr>
                <w:rFonts w:ascii="Arial" w:hAnsi="Arial" w:cs="Arial"/>
                <w:sz w:val="20"/>
                <w:szCs w:val="20"/>
                <w:lang w:val="es-ES"/>
              </w:rPr>
              <w:t>nico de Beneficiarios (</w:t>
            </w:r>
            <w:r w:rsidRPr="00FD65A9">
              <w:rPr>
                <w:rFonts w:ascii="Arial" w:hAnsi="Arial" w:cs="Arial"/>
                <w:sz w:val="20"/>
                <w:szCs w:val="20"/>
                <w:lang w:val="es-ES"/>
              </w:rPr>
              <w:t>RUB</w:t>
            </w:r>
            <w:r w:rsidR="006C7A13">
              <w:rPr>
                <w:rFonts w:ascii="Arial" w:hAnsi="Arial" w:cs="Arial"/>
                <w:sz w:val="20"/>
                <w:szCs w:val="20"/>
                <w:lang w:val="es-ES"/>
              </w:rPr>
              <w:t>)</w:t>
            </w:r>
            <w:r w:rsidRPr="00FD65A9">
              <w:rPr>
                <w:rFonts w:ascii="Arial" w:hAnsi="Arial" w:cs="Arial"/>
                <w:sz w:val="20"/>
                <w:szCs w:val="20"/>
                <w:lang w:val="es-ES"/>
              </w:rPr>
              <w:t xml:space="preserve"> los datos, incluyendo el número único de identificación, de todos los miembros de los hogares beneficiarios de los siguientes programas: R</w:t>
            </w:r>
            <w:r w:rsidR="006C7A13">
              <w:rPr>
                <w:rFonts w:ascii="Arial" w:hAnsi="Arial" w:cs="Arial"/>
                <w:sz w:val="20"/>
                <w:szCs w:val="20"/>
                <w:lang w:val="es-ES"/>
              </w:rPr>
              <w:t>dO</w:t>
            </w:r>
            <w:r w:rsidRPr="00FD65A9">
              <w:rPr>
                <w:rFonts w:ascii="Arial" w:hAnsi="Arial" w:cs="Arial"/>
                <w:sz w:val="20"/>
                <w:szCs w:val="20"/>
                <w:lang w:val="es-ES"/>
              </w:rPr>
              <w:t xml:space="preserve">, 120 a los 65 y </w:t>
            </w:r>
            <w:r w:rsidR="006C7A13">
              <w:rPr>
                <w:rFonts w:ascii="Arial" w:hAnsi="Arial" w:cs="Arial"/>
                <w:sz w:val="20"/>
                <w:szCs w:val="20"/>
                <w:lang w:val="es-ES"/>
              </w:rPr>
              <w:t>AG</w:t>
            </w:r>
            <w:r w:rsidRPr="00FD65A9">
              <w:rPr>
                <w:rFonts w:ascii="Arial" w:hAnsi="Arial" w:cs="Arial"/>
                <w:sz w:val="20"/>
                <w:szCs w:val="20"/>
                <w:lang w:val="es-ES"/>
              </w:rPr>
              <w:t>.</w:t>
            </w:r>
          </w:p>
        </w:tc>
        <w:tc>
          <w:tcPr>
            <w:tcW w:w="3420" w:type="dxa"/>
            <w:tcBorders>
              <w:top w:val="single" w:sz="4" w:space="0" w:color="auto"/>
              <w:left w:val="single" w:sz="4" w:space="0" w:color="auto"/>
              <w:bottom w:val="single" w:sz="4" w:space="0" w:color="auto"/>
              <w:right w:val="single" w:sz="4" w:space="0" w:color="auto"/>
            </w:tcBorders>
          </w:tcPr>
          <w:p w14:paraId="1BC4C5C1"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(2.2a) Que se hayan incluido en el RUB los datos, incluyendo la c</w:t>
            </w:r>
            <w:r w:rsidR="006C7A13">
              <w:rPr>
                <w:rFonts w:ascii="Arial" w:hAnsi="Arial" w:cs="Arial"/>
                <w:sz w:val="20"/>
                <w:szCs w:val="20"/>
                <w:lang w:val="es-ES"/>
              </w:rPr>
              <w:t>é</w:t>
            </w:r>
            <w:r w:rsidRPr="00FD65A9">
              <w:rPr>
                <w:rFonts w:ascii="Arial" w:hAnsi="Arial" w:cs="Arial"/>
                <w:sz w:val="20"/>
                <w:szCs w:val="20"/>
                <w:lang w:val="es-ES"/>
              </w:rPr>
              <w:t xml:space="preserve">dula de identidad, de los beneficiarios de los siguientes programas: Red de oportunidades, 120 a los 65 y </w:t>
            </w:r>
            <w:r w:rsidR="006C7A13">
              <w:rPr>
                <w:rFonts w:ascii="Arial" w:hAnsi="Arial" w:cs="Arial"/>
                <w:sz w:val="20"/>
                <w:szCs w:val="20"/>
                <w:lang w:val="es-ES"/>
              </w:rPr>
              <w:t>AG.</w:t>
            </w:r>
          </w:p>
          <w:p w14:paraId="66E33A07" w14:textId="77777777" w:rsidR="002A7128" w:rsidRPr="00FD65A9" w:rsidRDefault="002A7128" w:rsidP="00FD65A9">
            <w:pPr>
              <w:spacing w:after="0" w:line="240" w:lineRule="auto"/>
              <w:rPr>
                <w:rFonts w:ascii="Arial" w:hAnsi="Arial" w:cs="Arial"/>
                <w:sz w:val="20"/>
                <w:szCs w:val="20"/>
                <w:lang w:val="es-ES"/>
              </w:rPr>
            </w:pPr>
          </w:p>
        </w:tc>
        <w:tc>
          <w:tcPr>
            <w:tcW w:w="3870" w:type="dxa"/>
            <w:tcBorders>
              <w:top w:val="single" w:sz="4" w:space="0" w:color="auto"/>
              <w:left w:val="single" w:sz="4" w:space="0" w:color="auto"/>
              <w:bottom w:val="single" w:sz="4" w:space="0" w:color="auto"/>
              <w:right w:val="single" w:sz="4" w:space="0" w:color="auto"/>
            </w:tcBorders>
            <w:shd w:val="clear" w:color="auto" w:fill="auto"/>
          </w:tcPr>
          <w:p w14:paraId="3636123C" w14:textId="77777777" w:rsidR="002A7128" w:rsidRPr="00FD65A9" w:rsidRDefault="00C32C58" w:rsidP="00FE61EF">
            <w:pPr>
              <w:spacing w:after="120" w:line="240" w:lineRule="auto"/>
              <w:rPr>
                <w:rFonts w:ascii="Arial" w:hAnsi="Arial" w:cs="Arial"/>
                <w:sz w:val="20"/>
                <w:szCs w:val="20"/>
                <w:lang w:val="es-ES"/>
              </w:rPr>
            </w:pPr>
            <w:r w:rsidRPr="00FD65A9">
              <w:rPr>
                <w:rFonts w:ascii="Arial" w:hAnsi="Arial" w:cs="Arial"/>
                <w:sz w:val="20"/>
                <w:szCs w:val="20"/>
                <w:lang w:val="es-ES"/>
              </w:rPr>
              <w:t xml:space="preserve">El cambio refleja el hecho que la inclusión de los datos de todos los miembros de los hogares beneficiarios de los </w:t>
            </w:r>
            <w:r w:rsidR="00062633" w:rsidRPr="00FD65A9">
              <w:rPr>
                <w:rFonts w:ascii="Arial" w:hAnsi="Arial" w:cs="Arial"/>
                <w:sz w:val="20"/>
                <w:szCs w:val="20"/>
                <w:lang w:val="es-ES_tradnl"/>
              </w:rPr>
              <w:t>Programas de Transferencias Monetarias Condicionadas</w:t>
            </w:r>
            <w:r w:rsidR="00062633" w:rsidRPr="00FD65A9">
              <w:rPr>
                <w:rFonts w:ascii="Arial" w:hAnsi="Arial" w:cs="Arial"/>
                <w:sz w:val="20"/>
                <w:szCs w:val="20"/>
                <w:lang w:val="es-ES"/>
              </w:rPr>
              <w:t xml:space="preserve"> </w:t>
            </w:r>
            <w:r w:rsidR="00062633">
              <w:rPr>
                <w:rFonts w:ascii="Arial" w:hAnsi="Arial" w:cs="Arial"/>
                <w:sz w:val="20"/>
                <w:szCs w:val="20"/>
                <w:lang w:val="es-ES"/>
              </w:rPr>
              <w:t>(</w:t>
            </w:r>
            <w:r w:rsidRPr="00FD65A9">
              <w:rPr>
                <w:rFonts w:ascii="Arial" w:hAnsi="Arial" w:cs="Arial"/>
                <w:sz w:val="20"/>
                <w:szCs w:val="20"/>
                <w:lang w:val="es-ES"/>
              </w:rPr>
              <w:t>PTMC</w:t>
            </w:r>
            <w:r w:rsidR="00062633">
              <w:rPr>
                <w:rFonts w:ascii="Arial" w:hAnsi="Arial" w:cs="Arial"/>
                <w:sz w:val="20"/>
                <w:szCs w:val="20"/>
                <w:lang w:val="es-ES"/>
              </w:rPr>
              <w:t>)</w:t>
            </w:r>
            <w:r w:rsidRPr="00FD65A9">
              <w:rPr>
                <w:rFonts w:ascii="Arial" w:hAnsi="Arial" w:cs="Arial"/>
                <w:sz w:val="20"/>
                <w:szCs w:val="20"/>
                <w:lang w:val="es-ES"/>
              </w:rPr>
              <w:t xml:space="preserve"> (cuadros familiares), incluyendo </w:t>
            </w:r>
            <w:r w:rsidR="005E30DF" w:rsidRPr="00FD65A9">
              <w:rPr>
                <w:rFonts w:ascii="Arial" w:hAnsi="Arial" w:cs="Arial"/>
                <w:sz w:val="20"/>
                <w:szCs w:val="20"/>
                <w:lang w:val="es-ES"/>
              </w:rPr>
              <w:t>su</w:t>
            </w:r>
            <w:r w:rsidRPr="00FD65A9">
              <w:rPr>
                <w:rFonts w:ascii="Arial" w:hAnsi="Arial" w:cs="Arial"/>
                <w:sz w:val="20"/>
                <w:szCs w:val="20"/>
                <w:lang w:val="es-ES"/>
              </w:rPr>
              <w:t xml:space="preserve"> número de cédula</w:t>
            </w:r>
            <w:r w:rsidR="005E30DF" w:rsidRPr="00FD65A9">
              <w:rPr>
                <w:rFonts w:ascii="Arial" w:hAnsi="Arial" w:cs="Arial"/>
                <w:sz w:val="20"/>
                <w:szCs w:val="20"/>
                <w:lang w:val="es-ES"/>
              </w:rPr>
              <w:t>,</w:t>
            </w:r>
            <w:r w:rsidRPr="00FD65A9">
              <w:rPr>
                <w:rFonts w:ascii="Arial" w:hAnsi="Arial" w:cs="Arial"/>
                <w:sz w:val="20"/>
                <w:szCs w:val="20"/>
                <w:lang w:val="es-ES"/>
              </w:rPr>
              <w:t xml:space="preserve"> es gradual. Los datos de los miembros del hogar están disponibles para los beneficiarios de la RdO, y estará disponible para los beneficiarios de </w:t>
            </w:r>
            <w:r w:rsidRPr="00062633">
              <w:rPr>
                <w:rFonts w:ascii="Arial" w:hAnsi="Arial" w:cs="Arial"/>
                <w:sz w:val="20"/>
                <w:szCs w:val="20"/>
                <w:lang w:val="es-ES"/>
              </w:rPr>
              <w:t>los programas 120 a los 65 y AG</w:t>
            </w:r>
            <w:r w:rsidR="00062633" w:rsidRPr="00062633">
              <w:rPr>
                <w:rFonts w:ascii="Arial" w:hAnsi="Arial" w:cs="Arial"/>
                <w:sz w:val="20"/>
                <w:szCs w:val="20"/>
                <w:lang w:val="es-ES"/>
              </w:rPr>
              <w:t>,</w:t>
            </w:r>
            <w:r w:rsidRPr="00062633">
              <w:rPr>
                <w:rFonts w:ascii="Arial" w:hAnsi="Arial" w:cs="Arial"/>
                <w:sz w:val="20"/>
                <w:szCs w:val="20"/>
                <w:lang w:val="es-ES"/>
              </w:rPr>
              <w:t xml:space="preserve"> en la medida que se administre la </w:t>
            </w:r>
            <w:r w:rsidR="00062633" w:rsidRPr="00062633">
              <w:rPr>
                <w:rFonts w:ascii="Arial" w:hAnsi="Arial" w:cs="Arial"/>
                <w:sz w:val="20"/>
                <w:szCs w:val="20"/>
                <w:lang w:val="es-ES_tradnl"/>
              </w:rPr>
              <w:t>Ficha Única de Protección Social</w:t>
            </w:r>
            <w:r w:rsidR="00062633" w:rsidRPr="00062633">
              <w:rPr>
                <w:rFonts w:ascii="Arial" w:hAnsi="Arial" w:cs="Arial"/>
                <w:sz w:val="20"/>
                <w:szCs w:val="20"/>
                <w:lang w:val="es-ES"/>
              </w:rPr>
              <w:t xml:space="preserve"> (</w:t>
            </w:r>
            <w:r w:rsidRPr="00062633">
              <w:rPr>
                <w:rFonts w:ascii="Arial" w:hAnsi="Arial" w:cs="Arial"/>
                <w:sz w:val="20"/>
                <w:szCs w:val="20"/>
                <w:lang w:val="es-ES"/>
              </w:rPr>
              <w:t>FUPS</w:t>
            </w:r>
            <w:r w:rsidR="00062633" w:rsidRPr="00062633">
              <w:rPr>
                <w:rFonts w:ascii="Arial" w:hAnsi="Arial" w:cs="Arial"/>
                <w:sz w:val="20"/>
                <w:szCs w:val="20"/>
                <w:lang w:val="es-ES"/>
              </w:rPr>
              <w:t>)</w:t>
            </w:r>
            <w:r w:rsidRPr="00062633">
              <w:rPr>
                <w:rFonts w:ascii="Arial" w:hAnsi="Arial" w:cs="Arial"/>
                <w:sz w:val="20"/>
                <w:szCs w:val="20"/>
                <w:lang w:val="es-ES"/>
              </w:rPr>
              <w:t>. Esta modificación</w:t>
            </w:r>
            <w:r w:rsidRPr="00FD65A9">
              <w:rPr>
                <w:rFonts w:ascii="Arial" w:hAnsi="Arial" w:cs="Arial"/>
                <w:sz w:val="20"/>
                <w:szCs w:val="20"/>
                <w:lang w:val="es-ES"/>
              </w:rPr>
              <w:t xml:space="preserve"> no cambia el objetivo de tener</w:t>
            </w:r>
            <w:r w:rsidR="00062633">
              <w:rPr>
                <w:rFonts w:ascii="Arial" w:hAnsi="Arial" w:cs="Arial"/>
                <w:sz w:val="20"/>
                <w:szCs w:val="20"/>
                <w:lang w:val="es-ES"/>
              </w:rPr>
              <w:t>,</w:t>
            </w:r>
            <w:r w:rsidRPr="00FD65A9">
              <w:rPr>
                <w:rFonts w:ascii="Arial" w:hAnsi="Arial" w:cs="Arial"/>
                <w:sz w:val="20"/>
                <w:szCs w:val="20"/>
                <w:lang w:val="es-ES"/>
              </w:rPr>
              <w:t xml:space="preserve"> no solamente la información del beneficiario</w:t>
            </w:r>
            <w:r w:rsidR="005E30DF" w:rsidRPr="00FD65A9">
              <w:rPr>
                <w:rFonts w:ascii="Arial" w:hAnsi="Arial" w:cs="Arial"/>
                <w:sz w:val="20"/>
                <w:szCs w:val="20"/>
                <w:lang w:val="es-ES"/>
              </w:rPr>
              <w:t>,</w:t>
            </w:r>
            <w:r w:rsidRPr="00FD65A9">
              <w:rPr>
                <w:rFonts w:ascii="Arial" w:hAnsi="Arial" w:cs="Arial"/>
                <w:sz w:val="20"/>
                <w:szCs w:val="20"/>
                <w:lang w:val="es-ES"/>
              </w:rPr>
              <w:t xml:space="preserve"> sino de los miembros del hogar</w:t>
            </w:r>
            <w:r w:rsidR="005E30DF" w:rsidRPr="00FD65A9">
              <w:rPr>
                <w:rFonts w:ascii="Arial" w:hAnsi="Arial" w:cs="Arial"/>
                <w:sz w:val="20"/>
                <w:szCs w:val="20"/>
                <w:lang w:val="es-ES"/>
              </w:rPr>
              <w:t>,</w:t>
            </w:r>
            <w:r w:rsidRPr="00FD65A9">
              <w:rPr>
                <w:rFonts w:ascii="Arial" w:hAnsi="Arial" w:cs="Arial"/>
                <w:sz w:val="20"/>
                <w:szCs w:val="20"/>
                <w:lang w:val="es-ES"/>
              </w:rPr>
              <w:t xml:space="preserve"> puesto que esta información se tendrá en la medida en que se avance con la recertificación de los beneficiarios y el ingreso de nuevos beneficiarios se administre mediante la FUPS.</w:t>
            </w:r>
          </w:p>
        </w:tc>
      </w:tr>
      <w:tr w:rsidR="002A7128" w:rsidRPr="009166FD" w14:paraId="0B1BA413" w14:textId="77777777" w:rsidTr="000D0DD9">
        <w:trPr>
          <w:cantSplit/>
          <w:trHeight w:val="1889"/>
          <w:jc w:val="center"/>
        </w:trPr>
        <w:tc>
          <w:tcPr>
            <w:tcW w:w="2245" w:type="dxa"/>
            <w:vMerge/>
            <w:tcBorders>
              <w:left w:val="single" w:sz="4" w:space="0" w:color="auto"/>
              <w:right w:val="single" w:sz="4" w:space="0" w:color="auto"/>
            </w:tcBorders>
            <w:vAlign w:val="center"/>
          </w:tcPr>
          <w:p w14:paraId="1697A01A" w14:textId="77777777" w:rsidR="002A7128" w:rsidRPr="00FD65A9" w:rsidRDefault="002A7128" w:rsidP="00FD65A9">
            <w:pPr>
              <w:spacing w:after="0" w:line="240" w:lineRule="auto"/>
              <w:rPr>
                <w:rFonts w:ascii="Arial" w:hAnsi="Arial" w:cs="Arial"/>
                <w:sz w:val="20"/>
                <w:szCs w:val="20"/>
                <w:lang w:val="es-ES"/>
              </w:rPr>
            </w:pPr>
          </w:p>
        </w:tc>
        <w:tc>
          <w:tcPr>
            <w:tcW w:w="3695" w:type="dxa"/>
            <w:tcBorders>
              <w:left w:val="single" w:sz="4" w:space="0" w:color="auto"/>
              <w:bottom w:val="single" w:sz="4" w:space="0" w:color="auto"/>
              <w:right w:val="single" w:sz="4" w:space="0" w:color="auto"/>
            </w:tcBorders>
            <w:shd w:val="clear" w:color="auto" w:fill="auto"/>
          </w:tcPr>
          <w:p w14:paraId="51E5BB78" w14:textId="77777777" w:rsidR="002A7128" w:rsidRPr="00FD65A9" w:rsidRDefault="00B46EAC" w:rsidP="00FD65A9">
            <w:pPr>
              <w:spacing w:after="0" w:line="240" w:lineRule="auto"/>
              <w:rPr>
                <w:rFonts w:ascii="Arial" w:hAnsi="Arial" w:cs="Arial"/>
                <w:sz w:val="20"/>
                <w:szCs w:val="20"/>
                <w:lang w:val="es-ES"/>
              </w:rPr>
            </w:pPr>
            <w:r w:rsidRPr="00FD65A9">
              <w:rPr>
                <w:rFonts w:ascii="Arial" w:hAnsi="Arial" w:cs="Arial"/>
                <w:sz w:val="20"/>
                <w:szCs w:val="20"/>
                <w:lang w:val="es-ES"/>
              </w:rPr>
              <w:t>(</w:t>
            </w:r>
            <w:r w:rsidR="002A7128" w:rsidRPr="00FD65A9">
              <w:rPr>
                <w:rFonts w:ascii="Arial" w:hAnsi="Arial" w:cs="Arial"/>
                <w:sz w:val="20"/>
                <w:szCs w:val="20"/>
                <w:lang w:val="es-ES"/>
              </w:rPr>
              <w:t>2.2b) Que se haya establecido la interface entre el RUB y la base de datos del Tribunal Electoral y la Caja del Seguro Social.</w:t>
            </w:r>
          </w:p>
          <w:p w14:paraId="7555C302" w14:textId="77777777" w:rsidR="002A7128" w:rsidRPr="00FD65A9" w:rsidRDefault="002A7128" w:rsidP="00FD65A9">
            <w:pPr>
              <w:spacing w:after="0" w:line="240" w:lineRule="auto"/>
              <w:rPr>
                <w:rFonts w:ascii="Arial" w:hAnsi="Arial" w:cs="Arial"/>
                <w:sz w:val="20"/>
                <w:szCs w:val="20"/>
                <w:lang w:val="es-ES"/>
              </w:rPr>
            </w:pPr>
          </w:p>
        </w:tc>
        <w:tc>
          <w:tcPr>
            <w:tcW w:w="3420" w:type="dxa"/>
            <w:tcBorders>
              <w:top w:val="single" w:sz="4" w:space="0" w:color="auto"/>
              <w:left w:val="single" w:sz="4" w:space="0" w:color="auto"/>
              <w:bottom w:val="single" w:sz="4" w:space="0" w:color="auto"/>
              <w:right w:val="single" w:sz="4" w:space="0" w:color="auto"/>
            </w:tcBorders>
          </w:tcPr>
          <w:p w14:paraId="76270A73" w14:textId="739FAC3F"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 xml:space="preserve">(2.2b) Que se haya establecido la interface </w:t>
            </w:r>
            <w:r w:rsidRPr="008A3AAD">
              <w:rPr>
                <w:rFonts w:ascii="Arial" w:hAnsi="Arial" w:cs="Arial"/>
                <w:sz w:val="20"/>
                <w:szCs w:val="20"/>
                <w:lang w:val="es-ES"/>
              </w:rPr>
              <w:t xml:space="preserve">entre el RUB y la base de datos del Tribunal Electoral, el </w:t>
            </w:r>
            <w:r w:rsidR="008A3AAD" w:rsidRPr="008A3AAD">
              <w:rPr>
                <w:rFonts w:ascii="Arial" w:hAnsi="Arial" w:cs="Arial"/>
                <w:sz w:val="20"/>
                <w:szCs w:val="20"/>
                <w:lang w:val="es-ES_tradnl"/>
              </w:rPr>
              <w:t>Instituto para la Formación y Aprovechamiento de Recurso Humanos (</w:t>
            </w:r>
            <w:r w:rsidRPr="008A3AAD">
              <w:rPr>
                <w:rFonts w:ascii="Arial" w:hAnsi="Arial" w:cs="Arial"/>
                <w:sz w:val="20"/>
                <w:szCs w:val="20"/>
                <w:lang w:val="es-ES"/>
              </w:rPr>
              <w:t>IFARHU</w:t>
            </w:r>
            <w:r w:rsidR="008A3AAD">
              <w:rPr>
                <w:rFonts w:ascii="Arial" w:hAnsi="Arial" w:cs="Arial"/>
                <w:sz w:val="20"/>
                <w:szCs w:val="20"/>
                <w:lang w:val="es-ES"/>
              </w:rPr>
              <w:t>)</w:t>
            </w:r>
            <w:r w:rsidR="006372C9">
              <w:rPr>
                <w:rFonts w:ascii="Arial" w:hAnsi="Arial" w:cs="Arial"/>
                <w:sz w:val="20"/>
                <w:szCs w:val="20"/>
                <w:lang w:val="es-ES"/>
              </w:rPr>
              <w:t xml:space="preserve"> y</w:t>
            </w:r>
            <w:r w:rsidRPr="00FD65A9">
              <w:rPr>
                <w:rFonts w:ascii="Arial" w:hAnsi="Arial" w:cs="Arial"/>
                <w:sz w:val="20"/>
                <w:szCs w:val="20"/>
                <w:lang w:val="es-ES"/>
              </w:rPr>
              <w:t xml:space="preserve"> el Ministerio de Salud</w:t>
            </w:r>
            <w:r w:rsidR="00C32C58" w:rsidRPr="00FD65A9">
              <w:rPr>
                <w:rFonts w:ascii="Arial" w:hAnsi="Arial" w:cs="Arial"/>
                <w:sz w:val="20"/>
                <w:szCs w:val="20"/>
                <w:lang w:val="es-ES"/>
              </w:rPr>
              <w:t>.</w:t>
            </w:r>
          </w:p>
        </w:tc>
        <w:tc>
          <w:tcPr>
            <w:tcW w:w="3870" w:type="dxa"/>
            <w:tcBorders>
              <w:top w:val="single" w:sz="4" w:space="0" w:color="auto"/>
              <w:left w:val="single" w:sz="4" w:space="0" w:color="auto"/>
              <w:bottom w:val="single" w:sz="4" w:space="0" w:color="auto"/>
              <w:right w:val="single" w:sz="4" w:space="0" w:color="auto"/>
            </w:tcBorders>
          </w:tcPr>
          <w:p w14:paraId="7F26B5DC" w14:textId="4F9FF422" w:rsidR="002A7128" w:rsidRPr="00FD65A9" w:rsidRDefault="00C32C58" w:rsidP="00FD65A9">
            <w:pPr>
              <w:spacing w:after="0" w:line="240" w:lineRule="auto"/>
              <w:rPr>
                <w:rFonts w:ascii="Arial" w:hAnsi="Arial" w:cs="Arial"/>
                <w:sz w:val="20"/>
                <w:szCs w:val="20"/>
                <w:lang w:val="es-EC"/>
              </w:rPr>
            </w:pPr>
            <w:r w:rsidRPr="00FD65A9">
              <w:rPr>
                <w:rFonts w:ascii="Arial" w:hAnsi="Arial" w:cs="Arial"/>
                <w:sz w:val="20"/>
                <w:szCs w:val="20"/>
                <w:lang w:val="es-ES"/>
              </w:rPr>
              <w:t xml:space="preserve">Se adiciona el intercambio de información, mediante procesos de interoperabilidad con el IFARHU y el Ministerio de Salud para verificar el cumplimiento de las corresponsabilidades de educación y salud de la RdO. </w:t>
            </w:r>
            <w:r w:rsidR="006372C9">
              <w:rPr>
                <w:rFonts w:ascii="Arial" w:hAnsi="Arial" w:cs="Arial"/>
                <w:sz w:val="20"/>
                <w:szCs w:val="20"/>
                <w:lang w:val="es-ES"/>
              </w:rPr>
              <w:t xml:space="preserve">La interface con la Caja de Seguro Social </w:t>
            </w:r>
            <w:r w:rsidR="006372C9" w:rsidRPr="007F0595">
              <w:rPr>
                <w:rFonts w:ascii="Arial" w:hAnsi="Arial" w:cs="Arial"/>
                <w:sz w:val="20"/>
                <w:szCs w:val="20"/>
                <w:lang w:val="es-ES"/>
              </w:rPr>
              <w:t>se deja para una fase sucesiva de desarrollo del registro único</w:t>
            </w:r>
            <w:r w:rsidR="00F04516">
              <w:rPr>
                <w:rFonts w:ascii="Arial" w:hAnsi="Arial" w:cs="Arial"/>
                <w:sz w:val="20"/>
                <w:szCs w:val="20"/>
                <w:lang w:val="es-ES"/>
              </w:rPr>
              <w:t xml:space="preserve"> </w:t>
            </w:r>
            <w:r w:rsidR="007F0595" w:rsidRPr="009166FD">
              <w:rPr>
                <w:rFonts w:ascii="Arial" w:hAnsi="Arial" w:cs="Arial"/>
                <w:sz w:val="20"/>
                <w:szCs w:val="20"/>
                <w:lang w:val="es-ES_tradnl"/>
              </w:rPr>
              <w:t>(con financiación de la operación PN</w:t>
            </w:r>
            <w:r w:rsidR="00F04516">
              <w:rPr>
                <w:rFonts w:ascii="Arial" w:hAnsi="Arial" w:cs="Arial"/>
                <w:sz w:val="20"/>
                <w:szCs w:val="20"/>
                <w:lang w:val="es-ES_tradnl"/>
              </w:rPr>
              <w:noBreakHyphen/>
            </w:r>
            <w:r w:rsidR="007F0595" w:rsidRPr="009166FD">
              <w:rPr>
                <w:rFonts w:ascii="Arial" w:hAnsi="Arial" w:cs="Arial"/>
                <w:sz w:val="20"/>
                <w:szCs w:val="20"/>
                <w:lang w:val="es-ES_tradnl"/>
              </w:rPr>
              <w:t>L1105),</w:t>
            </w:r>
            <w:r w:rsidR="006372C9" w:rsidRPr="007F0595">
              <w:rPr>
                <w:rFonts w:ascii="Arial" w:hAnsi="Arial" w:cs="Arial"/>
                <w:sz w:val="20"/>
                <w:szCs w:val="20"/>
                <w:lang w:val="es-ES"/>
              </w:rPr>
              <w:t xml:space="preserve"> que incluirá la interoperabilidad con un</w:t>
            </w:r>
            <w:r w:rsidR="006372C9">
              <w:rPr>
                <w:rFonts w:ascii="Arial" w:hAnsi="Arial" w:cs="Arial"/>
                <w:sz w:val="20"/>
                <w:szCs w:val="20"/>
                <w:lang w:val="es-ES"/>
              </w:rPr>
              <w:t xml:space="preserve"> grupo más amplios de instituciones públicas.</w:t>
            </w:r>
          </w:p>
        </w:tc>
      </w:tr>
      <w:tr w:rsidR="002A7128" w:rsidRPr="009166FD" w14:paraId="0ABC15A9" w14:textId="77777777" w:rsidTr="00FD65A9">
        <w:trPr>
          <w:cantSplit/>
          <w:trHeight w:val="1007"/>
          <w:jc w:val="center"/>
        </w:trPr>
        <w:tc>
          <w:tcPr>
            <w:tcW w:w="2245" w:type="dxa"/>
            <w:tcBorders>
              <w:left w:val="single" w:sz="4" w:space="0" w:color="auto"/>
              <w:right w:val="single" w:sz="4" w:space="0" w:color="auto"/>
            </w:tcBorders>
            <w:vAlign w:val="center"/>
          </w:tcPr>
          <w:p w14:paraId="3E7216CA" w14:textId="77777777" w:rsidR="002A7128" w:rsidRPr="00FD65A9" w:rsidRDefault="002A7128" w:rsidP="00FD65A9">
            <w:pPr>
              <w:spacing w:after="0" w:line="240" w:lineRule="auto"/>
              <w:rPr>
                <w:rFonts w:ascii="Arial" w:hAnsi="Arial" w:cs="Arial"/>
                <w:sz w:val="20"/>
                <w:szCs w:val="20"/>
                <w:lang w:val="es-ES"/>
              </w:rPr>
            </w:pPr>
          </w:p>
        </w:tc>
        <w:tc>
          <w:tcPr>
            <w:tcW w:w="3695" w:type="dxa"/>
            <w:tcBorders>
              <w:left w:val="single" w:sz="4" w:space="0" w:color="auto"/>
              <w:bottom w:val="single" w:sz="4" w:space="0" w:color="auto"/>
              <w:right w:val="single" w:sz="4" w:space="0" w:color="auto"/>
            </w:tcBorders>
            <w:shd w:val="clear" w:color="auto" w:fill="auto"/>
          </w:tcPr>
          <w:p w14:paraId="39E10B77"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(2.2c) Que se hayan empezado a pagar las transferencias monetarias por medio de la plataforma única de pago integrada con el RUB.</w:t>
            </w:r>
          </w:p>
        </w:tc>
        <w:tc>
          <w:tcPr>
            <w:tcW w:w="3420" w:type="dxa"/>
            <w:tcBorders>
              <w:top w:val="single" w:sz="4" w:space="0" w:color="auto"/>
              <w:left w:val="single" w:sz="4" w:space="0" w:color="auto"/>
              <w:bottom w:val="single" w:sz="4" w:space="0" w:color="auto"/>
              <w:right w:val="single" w:sz="4" w:space="0" w:color="auto"/>
            </w:tcBorders>
          </w:tcPr>
          <w:p w14:paraId="0981A408" w14:textId="4176708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 xml:space="preserve">(2.2c) Que se haya empezado </w:t>
            </w:r>
            <w:r w:rsidR="006372C9">
              <w:rPr>
                <w:rFonts w:ascii="Arial" w:hAnsi="Arial" w:cs="Arial"/>
                <w:sz w:val="20"/>
                <w:szCs w:val="20"/>
                <w:lang w:val="es-ES"/>
              </w:rPr>
              <w:t xml:space="preserve">el proceso de pago de </w:t>
            </w:r>
            <w:r w:rsidRPr="00FD65A9">
              <w:rPr>
                <w:rFonts w:ascii="Arial" w:hAnsi="Arial" w:cs="Arial"/>
                <w:sz w:val="20"/>
                <w:szCs w:val="20"/>
                <w:lang w:val="es-ES"/>
              </w:rPr>
              <w:t>las transferencias monetarias por medio de la plataforma única de pago integrada con el RUB.</w:t>
            </w:r>
          </w:p>
        </w:tc>
        <w:tc>
          <w:tcPr>
            <w:tcW w:w="3870" w:type="dxa"/>
            <w:tcBorders>
              <w:top w:val="single" w:sz="4" w:space="0" w:color="auto"/>
              <w:left w:val="single" w:sz="4" w:space="0" w:color="auto"/>
              <w:bottom w:val="single" w:sz="4" w:space="0" w:color="auto"/>
              <w:right w:val="single" w:sz="4" w:space="0" w:color="auto"/>
            </w:tcBorders>
          </w:tcPr>
          <w:p w14:paraId="4D7E8B8A" w14:textId="77C7B1FF" w:rsidR="002A7128" w:rsidRPr="00FD65A9" w:rsidRDefault="004961DF" w:rsidP="00FD65A9">
            <w:pPr>
              <w:spacing w:after="0" w:line="240" w:lineRule="auto"/>
              <w:rPr>
                <w:rFonts w:ascii="Arial" w:hAnsi="Arial" w:cs="Arial"/>
                <w:sz w:val="20"/>
                <w:szCs w:val="20"/>
                <w:lang w:val="es-ES"/>
              </w:rPr>
            </w:pPr>
            <w:r>
              <w:rPr>
                <w:rFonts w:ascii="Arial" w:hAnsi="Arial" w:cs="Arial"/>
                <w:sz w:val="20"/>
                <w:szCs w:val="20"/>
                <w:lang w:val="es-ES"/>
              </w:rPr>
              <w:t xml:space="preserve">La condición requiere que el MIDES transmita la planilla de pago al sistema bancario de manera electrónica. El cambio especifica que no es necesario esperar que el sistema bancario complete el ciclo de pago para considerar cumplida la condición. </w:t>
            </w:r>
          </w:p>
        </w:tc>
      </w:tr>
      <w:tr w:rsidR="002A7128" w:rsidRPr="009166FD" w14:paraId="355CE914" w14:textId="77777777" w:rsidTr="006952A3">
        <w:trPr>
          <w:cantSplit/>
          <w:trHeight w:val="2168"/>
          <w:jc w:val="center"/>
        </w:trPr>
        <w:tc>
          <w:tcPr>
            <w:tcW w:w="2245" w:type="dxa"/>
            <w:vMerge w:val="restart"/>
            <w:tcBorders>
              <w:left w:val="single" w:sz="4" w:space="0" w:color="auto"/>
              <w:right w:val="single" w:sz="4" w:space="0" w:color="auto"/>
            </w:tcBorders>
          </w:tcPr>
          <w:p w14:paraId="6C97B6C7"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Organización del MIDES</w:t>
            </w:r>
          </w:p>
        </w:tc>
        <w:tc>
          <w:tcPr>
            <w:tcW w:w="3695" w:type="dxa"/>
            <w:tcBorders>
              <w:left w:val="single" w:sz="4" w:space="0" w:color="auto"/>
              <w:bottom w:val="single" w:sz="4" w:space="0" w:color="auto"/>
              <w:right w:val="single" w:sz="4" w:space="0" w:color="auto"/>
            </w:tcBorders>
            <w:shd w:val="clear" w:color="auto" w:fill="auto"/>
          </w:tcPr>
          <w:p w14:paraId="134BEDF3"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(2.3a) Que se haya evaluado operativamente la reorganización del MIDES y de la racionalización de los procesos operativos del BNA y la RdO.</w:t>
            </w:r>
          </w:p>
        </w:tc>
        <w:tc>
          <w:tcPr>
            <w:tcW w:w="3420" w:type="dxa"/>
            <w:tcBorders>
              <w:top w:val="single" w:sz="4" w:space="0" w:color="auto"/>
              <w:left w:val="single" w:sz="4" w:space="0" w:color="auto"/>
              <w:bottom w:val="single" w:sz="4" w:space="0" w:color="auto"/>
              <w:right w:val="single" w:sz="4" w:space="0" w:color="auto"/>
            </w:tcBorders>
          </w:tcPr>
          <w:p w14:paraId="15C2C72A" w14:textId="77777777" w:rsidR="00685981" w:rsidRDefault="002A7128" w:rsidP="00FD65A9">
            <w:pPr>
              <w:spacing w:after="0" w:line="240" w:lineRule="auto"/>
              <w:rPr>
                <w:rFonts w:ascii="Arial" w:hAnsi="Arial" w:cs="Arial"/>
                <w:sz w:val="20"/>
                <w:lang w:val="es-ES"/>
              </w:rPr>
            </w:pPr>
            <w:r w:rsidRPr="00FD65A9">
              <w:rPr>
                <w:rFonts w:ascii="Arial" w:hAnsi="Arial" w:cs="Arial"/>
                <w:sz w:val="20"/>
                <w:szCs w:val="20"/>
                <w:lang w:val="es-ES"/>
              </w:rPr>
              <w:t>(2.3a) Que se haya evaluado operativamente la reorganización del MIDES</w:t>
            </w:r>
            <w:r w:rsidR="00685981">
              <w:rPr>
                <w:rFonts w:ascii="Arial" w:hAnsi="Arial" w:cs="Arial"/>
                <w:sz w:val="20"/>
                <w:lang w:val="es-ES"/>
              </w:rPr>
              <w:t xml:space="preserve">, principalmente en relación con la </w:t>
            </w:r>
            <w:r w:rsidR="00685981" w:rsidRPr="003269D1">
              <w:rPr>
                <w:rFonts w:ascii="Arial" w:hAnsi="Arial" w:cs="Arial"/>
                <w:sz w:val="20"/>
                <w:lang w:val="es-ES"/>
              </w:rPr>
              <w:t>Dirección de Inclusión y Desarrollo Social</w:t>
            </w:r>
            <w:r w:rsidR="00685981">
              <w:rPr>
                <w:rFonts w:ascii="Arial" w:hAnsi="Arial" w:cs="Arial"/>
                <w:sz w:val="20"/>
                <w:lang w:val="es-ES"/>
              </w:rPr>
              <w:t>.</w:t>
            </w:r>
          </w:p>
          <w:p w14:paraId="1E40871C" w14:textId="77777777" w:rsidR="00685981" w:rsidRDefault="00685981" w:rsidP="00FD65A9">
            <w:pPr>
              <w:spacing w:after="0" w:line="240" w:lineRule="auto"/>
              <w:rPr>
                <w:rFonts w:ascii="Arial" w:hAnsi="Arial" w:cs="Arial"/>
                <w:sz w:val="20"/>
                <w:szCs w:val="20"/>
                <w:lang w:val="es-ES"/>
              </w:rPr>
            </w:pPr>
          </w:p>
          <w:p w14:paraId="62F44E47" w14:textId="6051103D" w:rsidR="002A7128" w:rsidRPr="00FD65A9" w:rsidRDefault="00685981" w:rsidP="00FD65A9">
            <w:pPr>
              <w:spacing w:after="0" w:line="240" w:lineRule="auto"/>
              <w:rPr>
                <w:rFonts w:ascii="Arial" w:hAnsi="Arial" w:cs="Arial"/>
                <w:sz w:val="20"/>
                <w:szCs w:val="20"/>
                <w:lang w:val="es-ES"/>
              </w:rPr>
            </w:pPr>
            <w:r>
              <w:rPr>
                <w:rFonts w:ascii="Arial" w:hAnsi="Arial" w:cs="Arial"/>
                <w:sz w:val="20"/>
                <w:szCs w:val="20"/>
                <w:lang w:val="es-ES"/>
              </w:rPr>
              <w:t>(2.3b)</w:t>
            </w:r>
            <w:r w:rsidR="002A7128" w:rsidRPr="00FD65A9">
              <w:rPr>
                <w:rFonts w:ascii="Arial" w:hAnsi="Arial" w:cs="Arial"/>
                <w:sz w:val="20"/>
                <w:szCs w:val="20"/>
                <w:lang w:val="es-ES"/>
              </w:rPr>
              <w:t xml:space="preserve"> </w:t>
            </w:r>
            <w:r w:rsidR="0066416C" w:rsidRPr="003269D1">
              <w:rPr>
                <w:rFonts w:ascii="Arial" w:hAnsi="Arial" w:cs="Arial"/>
                <w:sz w:val="20"/>
                <w:lang w:val="es-ES"/>
              </w:rPr>
              <w:t>Que se haya evaluado</w:t>
            </w:r>
            <w:r w:rsidR="0066416C" w:rsidRPr="00FD65A9">
              <w:rPr>
                <w:rFonts w:ascii="Arial" w:hAnsi="Arial" w:cs="Arial"/>
                <w:sz w:val="20"/>
                <w:szCs w:val="20"/>
                <w:lang w:val="es-ES"/>
              </w:rPr>
              <w:t xml:space="preserve"> </w:t>
            </w:r>
            <w:r w:rsidR="002A7128" w:rsidRPr="00FD65A9">
              <w:rPr>
                <w:rFonts w:ascii="Arial" w:hAnsi="Arial" w:cs="Arial"/>
                <w:sz w:val="20"/>
                <w:szCs w:val="20"/>
                <w:lang w:val="es-ES"/>
              </w:rPr>
              <w:t>la racionalización de los procesos operativos del BNA y la RdO.</w:t>
            </w:r>
          </w:p>
        </w:tc>
        <w:tc>
          <w:tcPr>
            <w:tcW w:w="3870" w:type="dxa"/>
            <w:tcBorders>
              <w:top w:val="single" w:sz="4" w:space="0" w:color="auto"/>
              <w:left w:val="single" w:sz="4" w:space="0" w:color="auto"/>
              <w:bottom w:val="single" w:sz="4" w:space="0" w:color="auto"/>
              <w:right w:val="single" w:sz="4" w:space="0" w:color="auto"/>
            </w:tcBorders>
          </w:tcPr>
          <w:p w14:paraId="516BF32D" w14:textId="22D9B222" w:rsidR="002A7128" w:rsidRPr="00FD65A9" w:rsidRDefault="0066416C" w:rsidP="00FD65A9">
            <w:pPr>
              <w:spacing w:after="0" w:line="240" w:lineRule="auto"/>
              <w:rPr>
                <w:rFonts w:ascii="Arial" w:hAnsi="Arial" w:cs="Arial"/>
                <w:sz w:val="20"/>
                <w:szCs w:val="20"/>
                <w:lang w:val="es-ES"/>
              </w:rPr>
            </w:pPr>
            <w:r>
              <w:rPr>
                <w:rFonts w:ascii="Arial" w:hAnsi="Arial" w:cs="Arial"/>
                <w:sz w:val="20"/>
                <w:szCs w:val="20"/>
                <w:lang w:val="es-ES"/>
              </w:rPr>
              <w:t xml:space="preserve">Se dividió la condición en dos, para aclarar la </w:t>
            </w:r>
            <w:r w:rsidR="008D0D5E">
              <w:rPr>
                <w:rFonts w:ascii="Arial" w:hAnsi="Arial" w:cs="Arial"/>
                <w:sz w:val="20"/>
                <w:szCs w:val="20"/>
                <w:lang w:val="es-ES"/>
              </w:rPr>
              <w:t>secuencia con las reformas de la segunda operación de la serie (PN</w:t>
            </w:r>
            <w:r w:rsidR="00D870B0">
              <w:rPr>
                <w:rFonts w:ascii="Arial" w:hAnsi="Arial" w:cs="Arial"/>
                <w:sz w:val="20"/>
                <w:szCs w:val="20"/>
                <w:lang w:val="es-ES"/>
              </w:rPr>
              <w:noBreakHyphen/>
            </w:r>
            <w:r w:rsidR="008D0D5E">
              <w:rPr>
                <w:rFonts w:ascii="Arial" w:hAnsi="Arial" w:cs="Arial"/>
                <w:sz w:val="20"/>
                <w:szCs w:val="20"/>
                <w:lang w:val="es-ES"/>
              </w:rPr>
              <w:t xml:space="preserve">L1118). Además, se aclaró que </w:t>
            </w:r>
            <w:r w:rsidR="003659CC">
              <w:rPr>
                <w:rFonts w:ascii="Arial" w:hAnsi="Arial" w:cs="Arial"/>
                <w:sz w:val="20"/>
                <w:szCs w:val="20"/>
                <w:lang w:val="es-ES"/>
              </w:rPr>
              <w:t>la evaluación de la reorganización del MIDES se enfoca en el funcionamiento de la Dirección de Inclusión y Desarrollo Social.</w:t>
            </w:r>
          </w:p>
        </w:tc>
      </w:tr>
      <w:tr w:rsidR="002A7128" w:rsidRPr="009166FD" w14:paraId="4D61156A" w14:textId="77777777" w:rsidTr="00FD65A9">
        <w:trPr>
          <w:cantSplit/>
          <w:trHeight w:val="1007"/>
          <w:jc w:val="center"/>
        </w:trPr>
        <w:tc>
          <w:tcPr>
            <w:tcW w:w="2245" w:type="dxa"/>
            <w:vMerge/>
            <w:tcBorders>
              <w:left w:val="single" w:sz="4" w:space="0" w:color="auto"/>
              <w:right w:val="single" w:sz="4" w:space="0" w:color="auto"/>
            </w:tcBorders>
            <w:vAlign w:val="center"/>
          </w:tcPr>
          <w:p w14:paraId="4866750A" w14:textId="77777777" w:rsidR="002A7128" w:rsidRPr="00FD65A9" w:rsidRDefault="002A7128" w:rsidP="00FD65A9">
            <w:pPr>
              <w:spacing w:after="0" w:line="240" w:lineRule="auto"/>
              <w:rPr>
                <w:rFonts w:ascii="Arial" w:hAnsi="Arial" w:cs="Arial"/>
                <w:sz w:val="20"/>
                <w:szCs w:val="20"/>
                <w:lang w:val="es-ES"/>
              </w:rPr>
            </w:pPr>
          </w:p>
        </w:tc>
        <w:tc>
          <w:tcPr>
            <w:tcW w:w="3695" w:type="dxa"/>
            <w:tcBorders>
              <w:left w:val="single" w:sz="4" w:space="0" w:color="auto"/>
              <w:bottom w:val="single" w:sz="4" w:space="0" w:color="auto"/>
              <w:right w:val="single" w:sz="4" w:space="0" w:color="auto"/>
            </w:tcBorders>
            <w:shd w:val="clear" w:color="auto" w:fill="auto"/>
          </w:tcPr>
          <w:p w14:paraId="1DA4D322"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(2.3b) Que se haya adoptado la condición para el pago de la Beca Universal como corresponsabilidad educativa de la RdO.</w:t>
            </w:r>
          </w:p>
        </w:tc>
        <w:tc>
          <w:tcPr>
            <w:tcW w:w="3420" w:type="dxa"/>
            <w:tcBorders>
              <w:top w:val="single" w:sz="4" w:space="0" w:color="auto"/>
              <w:left w:val="single" w:sz="4" w:space="0" w:color="auto"/>
              <w:bottom w:val="single" w:sz="4" w:space="0" w:color="auto"/>
              <w:right w:val="single" w:sz="4" w:space="0" w:color="auto"/>
            </w:tcBorders>
          </w:tcPr>
          <w:p w14:paraId="5744724D" w14:textId="1493899D"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(2.</w:t>
            </w:r>
            <w:r w:rsidR="009C40A2" w:rsidRPr="00FD65A9">
              <w:rPr>
                <w:rFonts w:ascii="Arial" w:hAnsi="Arial" w:cs="Arial"/>
                <w:sz w:val="20"/>
                <w:szCs w:val="20"/>
                <w:lang w:val="es-ES"/>
              </w:rPr>
              <w:t>3</w:t>
            </w:r>
            <w:r w:rsidR="009C40A2">
              <w:rPr>
                <w:rFonts w:ascii="Arial" w:hAnsi="Arial" w:cs="Arial"/>
                <w:sz w:val="20"/>
                <w:szCs w:val="20"/>
                <w:lang w:val="es-ES"/>
              </w:rPr>
              <w:t>c</w:t>
            </w:r>
            <w:r w:rsidRPr="00FD65A9">
              <w:rPr>
                <w:rFonts w:ascii="Arial" w:hAnsi="Arial" w:cs="Arial"/>
                <w:sz w:val="20"/>
                <w:szCs w:val="20"/>
                <w:lang w:val="es-ES"/>
              </w:rPr>
              <w:t>) Que se haya adoptado el uso de la información levantada por el IFARHU para la verificación de corresponsabilidades en educación de la RdO</w:t>
            </w:r>
          </w:p>
        </w:tc>
        <w:tc>
          <w:tcPr>
            <w:tcW w:w="3870" w:type="dxa"/>
            <w:tcBorders>
              <w:top w:val="single" w:sz="4" w:space="0" w:color="auto"/>
              <w:left w:val="single" w:sz="4" w:space="0" w:color="auto"/>
              <w:bottom w:val="single" w:sz="4" w:space="0" w:color="auto"/>
              <w:right w:val="single" w:sz="4" w:space="0" w:color="auto"/>
            </w:tcBorders>
          </w:tcPr>
          <w:p w14:paraId="77E1E197" w14:textId="77777777" w:rsidR="002A7128" w:rsidRDefault="00B26DAF" w:rsidP="00FD65A9">
            <w:pPr>
              <w:spacing w:after="0" w:line="240" w:lineRule="auto"/>
              <w:rPr>
                <w:rFonts w:ascii="Arial" w:hAnsi="Arial" w:cs="Arial"/>
                <w:sz w:val="20"/>
                <w:szCs w:val="20"/>
                <w:lang w:val="es-ES"/>
              </w:rPr>
            </w:pPr>
            <w:r w:rsidRPr="00FD65A9">
              <w:rPr>
                <w:rFonts w:ascii="Arial" w:hAnsi="Arial" w:cs="Arial"/>
                <w:sz w:val="20"/>
                <w:szCs w:val="20"/>
                <w:lang w:val="es-ES"/>
              </w:rPr>
              <w:t>El Gobierno decidió</w:t>
            </w:r>
            <w:r w:rsidR="002A7128" w:rsidRPr="00FD65A9">
              <w:rPr>
                <w:rFonts w:ascii="Arial" w:hAnsi="Arial" w:cs="Arial"/>
                <w:sz w:val="20"/>
                <w:szCs w:val="20"/>
                <w:lang w:val="es-ES"/>
              </w:rPr>
              <w:t xml:space="preserve"> que no es oportuno condicionar el pago de la RdO al logro escolar, como se hace para la Beca Universal. Sin embargo,</w:t>
            </w:r>
            <w:r w:rsidRPr="00FD65A9">
              <w:rPr>
                <w:rFonts w:ascii="Arial" w:hAnsi="Arial" w:cs="Arial"/>
                <w:sz w:val="20"/>
                <w:szCs w:val="20"/>
                <w:lang w:val="es-ES"/>
              </w:rPr>
              <w:t xml:space="preserve"> </w:t>
            </w:r>
            <w:r w:rsidR="002A7128" w:rsidRPr="00FD65A9">
              <w:rPr>
                <w:rFonts w:ascii="Arial" w:hAnsi="Arial" w:cs="Arial"/>
                <w:sz w:val="20"/>
                <w:szCs w:val="20"/>
                <w:lang w:val="es-ES"/>
              </w:rPr>
              <w:t>el MIDES usará la información sobre asistencia escolar levantada por el IFARHU para la verificación de la corresponsabilidad en educación de la RdO.</w:t>
            </w:r>
            <w:r w:rsidR="00C32C58" w:rsidRPr="00FD65A9">
              <w:rPr>
                <w:rFonts w:ascii="Arial" w:hAnsi="Arial" w:cs="Arial"/>
                <w:sz w:val="20"/>
                <w:szCs w:val="20"/>
                <w:lang w:val="es-ES"/>
              </w:rPr>
              <w:t xml:space="preserve"> Con esto </w:t>
            </w:r>
            <w:r w:rsidRPr="00FD65A9">
              <w:rPr>
                <w:rFonts w:ascii="Arial" w:hAnsi="Arial" w:cs="Arial"/>
                <w:sz w:val="20"/>
                <w:szCs w:val="20"/>
                <w:lang w:val="es-ES"/>
              </w:rPr>
              <w:t>se racionaliza el levantamiento de información en las escuela</w:t>
            </w:r>
            <w:r w:rsidR="008F7F08" w:rsidRPr="00FD65A9">
              <w:rPr>
                <w:rFonts w:ascii="Arial" w:hAnsi="Arial" w:cs="Arial"/>
                <w:sz w:val="20"/>
                <w:szCs w:val="20"/>
                <w:lang w:val="es-ES"/>
              </w:rPr>
              <w:t>s</w:t>
            </w:r>
            <w:r w:rsidRPr="00FD65A9">
              <w:rPr>
                <w:rFonts w:ascii="Arial" w:hAnsi="Arial" w:cs="Arial"/>
                <w:sz w:val="20"/>
                <w:szCs w:val="20"/>
                <w:lang w:val="es-ES"/>
              </w:rPr>
              <w:t xml:space="preserve"> y alinea</w:t>
            </w:r>
            <w:r w:rsidR="008F7F08" w:rsidRPr="00FD65A9">
              <w:rPr>
                <w:rFonts w:ascii="Arial" w:hAnsi="Arial" w:cs="Arial"/>
                <w:sz w:val="20"/>
                <w:szCs w:val="20"/>
                <w:lang w:val="es-ES"/>
              </w:rPr>
              <w:t>n</w:t>
            </w:r>
            <w:r w:rsidRPr="00FD65A9">
              <w:rPr>
                <w:rFonts w:ascii="Arial" w:hAnsi="Arial" w:cs="Arial"/>
                <w:sz w:val="20"/>
                <w:szCs w:val="20"/>
                <w:lang w:val="es-ES"/>
              </w:rPr>
              <w:t xml:space="preserve"> los requerimiento</w:t>
            </w:r>
            <w:r w:rsidR="008F7F08" w:rsidRPr="00FD65A9">
              <w:rPr>
                <w:rFonts w:ascii="Arial" w:hAnsi="Arial" w:cs="Arial"/>
                <w:sz w:val="20"/>
                <w:szCs w:val="20"/>
                <w:lang w:val="es-ES"/>
              </w:rPr>
              <w:t>s</w:t>
            </w:r>
            <w:r w:rsidRPr="00FD65A9">
              <w:rPr>
                <w:rFonts w:ascii="Arial" w:hAnsi="Arial" w:cs="Arial"/>
                <w:sz w:val="20"/>
                <w:szCs w:val="20"/>
                <w:lang w:val="es-ES"/>
              </w:rPr>
              <w:t xml:space="preserve"> de los diferentes programas del Estad</w:t>
            </w:r>
            <w:r w:rsidR="008F7F08" w:rsidRPr="00FD65A9">
              <w:rPr>
                <w:rFonts w:ascii="Arial" w:hAnsi="Arial" w:cs="Arial"/>
                <w:sz w:val="20"/>
                <w:szCs w:val="20"/>
                <w:lang w:val="es-ES"/>
              </w:rPr>
              <w:t>o</w:t>
            </w:r>
            <w:r w:rsidR="00C32C58" w:rsidRPr="00FD65A9">
              <w:rPr>
                <w:rFonts w:ascii="Arial" w:hAnsi="Arial" w:cs="Arial"/>
                <w:sz w:val="20"/>
                <w:szCs w:val="20"/>
                <w:lang w:val="es-ES"/>
              </w:rPr>
              <w:t>.</w:t>
            </w:r>
          </w:p>
          <w:p w14:paraId="03437160" w14:textId="77777777" w:rsidR="000D0DD9" w:rsidRPr="00FD65A9" w:rsidRDefault="000D0DD9" w:rsidP="00FD65A9">
            <w:pPr>
              <w:spacing w:after="0" w:line="240" w:lineRule="auto"/>
              <w:rPr>
                <w:rFonts w:ascii="Arial" w:hAnsi="Arial" w:cs="Arial"/>
                <w:sz w:val="20"/>
                <w:szCs w:val="20"/>
                <w:lang w:val="es-ES"/>
              </w:rPr>
            </w:pPr>
          </w:p>
        </w:tc>
      </w:tr>
      <w:tr w:rsidR="002A7128" w:rsidRPr="00FD65A9" w14:paraId="512FE7E0" w14:textId="77777777" w:rsidTr="00FD65A9">
        <w:trPr>
          <w:cantSplit/>
          <w:trHeight w:val="341"/>
          <w:jc w:val="center"/>
        </w:trPr>
        <w:tc>
          <w:tcPr>
            <w:tcW w:w="13230" w:type="dxa"/>
            <w:gridSpan w:val="4"/>
            <w:tcBorders>
              <w:left w:val="single" w:sz="4" w:space="0" w:color="auto"/>
              <w:right w:val="single" w:sz="4" w:space="0" w:color="auto"/>
            </w:tcBorders>
            <w:shd w:val="clear" w:color="auto" w:fill="D9D9D9" w:themeFill="background1" w:themeFillShade="D9"/>
            <w:vAlign w:val="center"/>
          </w:tcPr>
          <w:p w14:paraId="207F5D6D" w14:textId="77777777" w:rsidR="002A7128" w:rsidRPr="00FD65A9" w:rsidRDefault="002A7128" w:rsidP="00FD65A9">
            <w:pPr>
              <w:pStyle w:val="ListParagraph"/>
              <w:numPr>
                <w:ilvl w:val="0"/>
                <w:numId w:val="15"/>
              </w:numPr>
              <w:spacing w:after="0" w:line="240" w:lineRule="auto"/>
              <w:contextualSpacing w:val="0"/>
              <w:rPr>
                <w:rFonts w:ascii="Arial" w:hAnsi="Arial" w:cs="Arial"/>
                <w:b/>
                <w:sz w:val="20"/>
                <w:szCs w:val="20"/>
                <w:lang w:val="es-ES"/>
              </w:rPr>
            </w:pPr>
            <w:r w:rsidRPr="00FD65A9">
              <w:rPr>
                <w:rFonts w:ascii="Arial" w:hAnsi="Arial" w:cs="Arial"/>
                <w:b/>
                <w:sz w:val="20"/>
                <w:szCs w:val="20"/>
                <w:lang w:val="es-ES"/>
              </w:rPr>
              <w:t>Acumulación de capital humano</w:t>
            </w:r>
          </w:p>
        </w:tc>
      </w:tr>
      <w:tr w:rsidR="002A7128" w:rsidRPr="00FD65A9" w14:paraId="24A3690D" w14:textId="77777777" w:rsidTr="000D0DD9">
        <w:trPr>
          <w:cantSplit/>
          <w:trHeight w:val="1718"/>
          <w:jc w:val="center"/>
        </w:trPr>
        <w:tc>
          <w:tcPr>
            <w:tcW w:w="2245" w:type="dxa"/>
            <w:vMerge w:val="restart"/>
            <w:tcBorders>
              <w:top w:val="single" w:sz="4" w:space="0" w:color="auto"/>
              <w:left w:val="single" w:sz="4" w:space="0" w:color="auto"/>
              <w:right w:val="single" w:sz="4" w:space="0" w:color="auto"/>
            </w:tcBorders>
          </w:tcPr>
          <w:p w14:paraId="35DF6EF1"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_tradnl"/>
              </w:rPr>
              <w:t>Programas de Transferencias Monetarias Condicionadas</w:t>
            </w:r>
            <w:r w:rsidRPr="00FD65A9">
              <w:rPr>
                <w:rFonts w:ascii="Arial" w:hAnsi="Arial" w:cs="Arial"/>
                <w:sz w:val="20"/>
                <w:szCs w:val="20"/>
                <w:lang w:val="es-ES"/>
              </w:rPr>
              <w:t xml:space="preserve"> (PTMC)</w:t>
            </w:r>
          </w:p>
          <w:p w14:paraId="57AFE2F9" w14:textId="77777777" w:rsidR="002A7128" w:rsidRPr="00FD65A9" w:rsidRDefault="002A7128" w:rsidP="00FD65A9">
            <w:pPr>
              <w:spacing w:after="0" w:line="240" w:lineRule="auto"/>
              <w:rPr>
                <w:rFonts w:ascii="Arial" w:hAnsi="Arial" w:cs="Arial"/>
                <w:sz w:val="20"/>
                <w:szCs w:val="20"/>
                <w:lang w:val="es-ES"/>
              </w:rPr>
            </w:pPr>
          </w:p>
        </w:tc>
        <w:tc>
          <w:tcPr>
            <w:tcW w:w="3695" w:type="dxa"/>
            <w:tcBorders>
              <w:top w:val="single" w:sz="4" w:space="0" w:color="auto"/>
              <w:left w:val="single" w:sz="4" w:space="0" w:color="auto"/>
              <w:bottom w:val="single" w:sz="4" w:space="0" w:color="auto"/>
              <w:right w:val="single" w:sz="4" w:space="0" w:color="auto"/>
            </w:tcBorders>
            <w:shd w:val="clear" w:color="auto" w:fill="auto"/>
          </w:tcPr>
          <w:p w14:paraId="11A358FB"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 xml:space="preserve">(3.1a) Que al menos al 50 % de los beneficiarios de la RdO se les esté verificando el cumplimiento de las corresponsabilidades en salud y educación, a través del Sistema de Información Gerencial (SIG) del programa. </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42994596"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 xml:space="preserve">(3.1a) Que al menos al 50 % de los beneficiarios de la RdO se les esté verificando el cumplimiento de las corresponsabilidades en salud y educación, a través del Sistema de Información Gerencial (SIG) del programa. </w:t>
            </w:r>
          </w:p>
        </w:tc>
        <w:tc>
          <w:tcPr>
            <w:tcW w:w="3870" w:type="dxa"/>
            <w:tcBorders>
              <w:top w:val="single" w:sz="4" w:space="0" w:color="auto"/>
              <w:left w:val="single" w:sz="4" w:space="0" w:color="auto"/>
              <w:bottom w:val="single" w:sz="4" w:space="0" w:color="auto"/>
              <w:right w:val="single" w:sz="4" w:space="0" w:color="auto"/>
            </w:tcBorders>
          </w:tcPr>
          <w:p w14:paraId="0D0F725F"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Ningún cambio.</w:t>
            </w:r>
          </w:p>
        </w:tc>
      </w:tr>
      <w:tr w:rsidR="002A7128" w:rsidRPr="009166FD" w14:paraId="7DEC986B" w14:textId="77777777" w:rsidTr="00FD65A9">
        <w:trPr>
          <w:cantSplit/>
          <w:trHeight w:val="1727"/>
          <w:jc w:val="center"/>
        </w:trPr>
        <w:tc>
          <w:tcPr>
            <w:tcW w:w="2245" w:type="dxa"/>
            <w:vMerge/>
            <w:tcBorders>
              <w:top w:val="single" w:sz="4" w:space="0" w:color="auto"/>
              <w:left w:val="single" w:sz="4" w:space="0" w:color="auto"/>
              <w:right w:val="single" w:sz="4" w:space="0" w:color="auto"/>
            </w:tcBorders>
          </w:tcPr>
          <w:p w14:paraId="2C01D697" w14:textId="77777777" w:rsidR="002A7128" w:rsidRPr="00FD65A9" w:rsidRDefault="002A7128" w:rsidP="00FD65A9">
            <w:pPr>
              <w:spacing w:after="0" w:line="240" w:lineRule="auto"/>
              <w:rPr>
                <w:rFonts w:ascii="Arial" w:hAnsi="Arial" w:cs="Arial"/>
                <w:sz w:val="20"/>
                <w:szCs w:val="20"/>
                <w:lang w:val="es-ES_tradnl"/>
              </w:rPr>
            </w:pPr>
          </w:p>
        </w:tc>
        <w:tc>
          <w:tcPr>
            <w:tcW w:w="3695" w:type="dxa"/>
            <w:tcBorders>
              <w:top w:val="single" w:sz="4" w:space="0" w:color="auto"/>
              <w:left w:val="single" w:sz="4" w:space="0" w:color="auto"/>
              <w:bottom w:val="single" w:sz="4" w:space="0" w:color="auto"/>
              <w:right w:val="single" w:sz="4" w:space="0" w:color="auto"/>
            </w:tcBorders>
            <w:shd w:val="clear" w:color="auto" w:fill="auto"/>
          </w:tcPr>
          <w:p w14:paraId="5D92218A" w14:textId="77777777" w:rsidR="002A7128" w:rsidRPr="00FD65A9" w:rsidRDefault="00F53148" w:rsidP="00FD65A9">
            <w:pPr>
              <w:spacing w:after="0" w:line="240" w:lineRule="auto"/>
              <w:rPr>
                <w:rFonts w:ascii="Arial" w:hAnsi="Arial" w:cs="Arial"/>
                <w:sz w:val="20"/>
                <w:szCs w:val="20"/>
                <w:lang w:val="es-ES"/>
              </w:rPr>
            </w:pPr>
            <w:r w:rsidRPr="00FD65A9">
              <w:rPr>
                <w:rFonts w:ascii="Arial" w:hAnsi="Arial" w:cs="Arial"/>
                <w:sz w:val="20"/>
                <w:szCs w:val="20"/>
                <w:lang w:val="es-ES"/>
              </w:rPr>
              <w:t>Nueva condición</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4A1D9E4C"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 xml:space="preserve">(3.1b) Que en al menos </w:t>
            </w:r>
            <w:r w:rsidR="00F53148" w:rsidRPr="00FD65A9">
              <w:rPr>
                <w:rFonts w:ascii="Arial" w:hAnsi="Arial" w:cs="Arial"/>
                <w:sz w:val="20"/>
                <w:szCs w:val="20"/>
                <w:lang w:val="es-ES"/>
              </w:rPr>
              <w:t>un ciclo</w:t>
            </w:r>
            <w:r w:rsidRPr="00FD65A9">
              <w:rPr>
                <w:rFonts w:ascii="Arial" w:hAnsi="Arial" w:cs="Arial"/>
                <w:sz w:val="20"/>
                <w:szCs w:val="20"/>
                <w:lang w:val="es-ES"/>
              </w:rPr>
              <w:t xml:space="preserve"> de pago de las transferencias de la RdO se aplique la siguiente regla: el incumplimiento parcial o total de las corresponsabilidades en salud y/o educación se sanciona con la suspensión del pago.</w:t>
            </w:r>
          </w:p>
        </w:tc>
        <w:tc>
          <w:tcPr>
            <w:tcW w:w="3870" w:type="dxa"/>
            <w:tcBorders>
              <w:top w:val="single" w:sz="4" w:space="0" w:color="auto"/>
              <w:left w:val="single" w:sz="4" w:space="0" w:color="auto"/>
              <w:bottom w:val="single" w:sz="4" w:space="0" w:color="auto"/>
              <w:right w:val="single" w:sz="4" w:space="0" w:color="auto"/>
            </w:tcBorders>
          </w:tcPr>
          <w:p w14:paraId="6D4EAA6A" w14:textId="77777777" w:rsidR="002A7128" w:rsidRPr="00FD65A9" w:rsidRDefault="00F53148" w:rsidP="000D0DD9">
            <w:pPr>
              <w:spacing w:after="120" w:line="240" w:lineRule="auto"/>
              <w:rPr>
                <w:rFonts w:ascii="Arial" w:hAnsi="Arial" w:cs="Arial"/>
                <w:sz w:val="20"/>
                <w:szCs w:val="20"/>
                <w:lang w:val="es-ES"/>
              </w:rPr>
            </w:pPr>
            <w:r w:rsidRPr="00FD65A9">
              <w:rPr>
                <w:rFonts w:ascii="Arial" w:hAnsi="Arial" w:cs="Arial"/>
                <w:sz w:val="20"/>
                <w:szCs w:val="20"/>
                <w:lang w:val="es-ES"/>
              </w:rPr>
              <w:t xml:space="preserve">Se incluyó esta nueva condición para introducir una consecuencia </w:t>
            </w:r>
            <w:r w:rsidR="00B46EAC" w:rsidRPr="00FD65A9">
              <w:rPr>
                <w:rFonts w:ascii="Arial" w:hAnsi="Arial" w:cs="Arial"/>
                <w:sz w:val="20"/>
                <w:szCs w:val="20"/>
                <w:lang w:val="es-ES"/>
              </w:rPr>
              <w:t>sistemática</w:t>
            </w:r>
            <w:r w:rsidRPr="00FD65A9">
              <w:rPr>
                <w:rFonts w:ascii="Arial" w:hAnsi="Arial" w:cs="Arial"/>
                <w:sz w:val="20"/>
                <w:szCs w:val="20"/>
                <w:lang w:val="es-ES"/>
              </w:rPr>
              <w:t xml:space="preserve"> para la falta de cumplimiento de la</w:t>
            </w:r>
            <w:r w:rsidR="005D3E11" w:rsidRPr="00FD65A9">
              <w:rPr>
                <w:rFonts w:ascii="Arial" w:hAnsi="Arial" w:cs="Arial"/>
                <w:sz w:val="20"/>
                <w:szCs w:val="20"/>
                <w:lang w:val="es-ES"/>
              </w:rPr>
              <w:t>s</w:t>
            </w:r>
            <w:r w:rsidRPr="00FD65A9">
              <w:rPr>
                <w:rFonts w:ascii="Arial" w:hAnsi="Arial" w:cs="Arial"/>
                <w:sz w:val="20"/>
                <w:szCs w:val="20"/>
                <w:lang w:val="es-ES"/>
              </w:rPr>
              <w:t xml:space="preserve"> corresponsabilidad</w:t>
            </w:r>
            <w:r w:rsidR="005D3E11" w:rsidRPr="00FD65A9">
              <w:rPr>
                <w:rFonts w:ascii="Arial" w:hAnsi="Arial" w:cs="Arial"/>
                <w:sz w:val="20"/>
                <w:szCs w:val="20"/>
                <w:lang w:val="es-ES"/>
              </w:rPr>
              <w:t>es</w:t>
            </w:r>
            <w:r w:rsidRPr="00FD65A9">
              <w:rPr>
                <w:rFonts w:ascii="Arial" w:hAnsi="Arial" w:cs="Arial"/>
                <w:sz w:val="20"/>
                <w:szCs w:val="20"/>
                <w:lang w:val="es-ES"/>
              </w:rPr>
              <w:t>.</w:t>
            </w:r>
            <w:r w:rsidR="005D3E11" w:rsidRPr="00FD65A9">
              <w:rPr>
                <w:rFonts w:ascii="Arial" w:hAnsi="Arial" w:cs="Arial"/>
                <w:sz w:val="20"/>
                <w:szCs w:val="20"/>
                <w:lang w:val="es-ES"/>
              </w:rPr>
              <w:t xml:space="preserve"> </w:t>
            </w:r>
            <w:r w:rsidR="00705049" w:rsidRPr="00FD65A9">
              <w:rPr>
                <w:rFonts w:ascii="Arial" w:hAnsi="Arial" w:cs="Arial"/>
                <w:sz w:val="20"/>
                <w:szCs w:val="20"/>
                <w:lang w:val="es-ES"/>
              </w:rPr>
              <w:t>La decisión</w:t>
            </w:r>
            <w:r w:rsidR="005D3E11" w:rsidRPr="00FD65A9">
              <w:rPr>
                <w:rFonts w:ascii="Arial" w:hAnsi="Arial" w:cs="Arial"/>
                <w:sz w:val="20"/>
                <w:szCs w:val="20"/>
                <w:lang w:val="es-ES"/>
              </w:rPr>
              <w:t xml:space="preserve"> del MIDES</w:t>
            </w:r>
            <w:r w:rsidR="00705049" w:rsidRPr="00FD65A9">
              <w:rPr>
                <w:rFonts w:ascii="Arial" w:hAnsi="Arial" w:cs="Arial"/>
                <w:sz w:val="20"/>
                <w:szCs w:val="20"/>
                <w:lang w:val="es-ES"/>
              </w:rPr>
              <w:t xml:space="preserve"> es que el incumplimiento parcial de las corresponsabilidades determina la suspensión del pago (dejando una estructura fija de la transferencia, que se paga en su totalidad o se suspende en caso de incumplimiento). </w:t>
            </w:r>
          </w:p>
        </w:tc>
      </w:tr>
      <w:tr w:rsidR="00A206E9" w:rsidRPr="009166FD" w14:paraId="6A3EED60" w14:textId="77777777" w:rsidTr="00FD65A9">
        <w:trPr>
          <w:cantSplit/>
          <w:trHeight w:val="1727"/>
          <w:jc w:val="center"/>
        </w:trPr>
        <w:tc>
          <w:tcPr>
            <w:tcW w:w="2245" w:type="dxa"/>
            <w:vMerge/>
            <w:tcBorders>
              <w:top w:val="single" w:sz="4" w:space="0" w:color="auto"/>
              <w:left w:val="single" w:sz="4" w:space="0" w:color="auto"/>
              <w:right w:val="single" w:sz="4" w:space="0" w:color="auto"/>
            </w:tcBorders>
          </w:tcPr>
          <w:p w14:paraId="78A04112" w14:textId="77777777" w:rsidR="00A206E9" w:rsidRPr="00FD65A9" w:rsidRDefault="00A206E9" w:rsidP="00FD65A9">
            <w:pPr>
              <w:spacing w:after="0" w:line="240" w:lineRule="auto"/>
              <w:rPr>
                <w:rFonts w:ascii="Arial" w:hAnsi="Arial" w:cs="Arial"/>
                <w:sz w:val="20"/>
                <w:szCs w:val="20"/>
                <w:lang w:val="es-ES_tradnl"/>
              </w:rPr>
            </w:pPr>
          </w:p>
        </w:tc>
        <w:tc>
          <w:tcPr>
            <w:tcW w:w="3695" w:type="dxa"/>
            <w:tcBorders>
              <w:top w:val="single" w:sz="4" w:space="0" w:color="auto"/>
              <w:left w:val="single" w:sz="4" w:space="0" w:color="auto"/>
              <w:bottom w:val="single" w:sz="4" w:space="0" w:color="auto"/>
              <w:right w:val="single" w:sz="4" w:space="0" w:color="auto"/>
            </w:tcBorders>
            <w:shd w:val="clear" w:color="auto" w:fill="auto"/>
          </w:tcPr>
          <w:p w14:paraId="36ED47A6" w14:textId="77777777" w:rsidR="00A206E9" w:rsidRPr="00FD65A9" w:rsidRDefault="00A206E9" w:rsidP="00FD65A9">
            <w:pPr>
              <w:spacing w:after="0" w:line="240" w:lineRule="auto"/>
              <w:rPr>
                <w:rFonts w:ascii="Arial" w:hAnsi="Arial" w:cs="Arial"/>
                <w:sz w:val="20"/>
                <w:szCs w:val="20"/>
                <w:lang w:val="es-ES"/>
              </w:rPr>
            </w:pPr>
            <w:r w:rsidRPr="00FD65A9">
              <w:rPr>
                <w:rFonts w:ascii="Arial" w:hAnsi="Arial" w:cs="Arial"/>
                <w:sz w:val="20"/>
                <w:szCs w:val="20"/>
                <w:lang w:val="es-ES"/>
              </w:rPr>
              <w:t>(3.1b)</w:t>
            </w:r>
            <w:r w:rsidRPr="00FD65A9">
              <w:rPr>
                <w:rFonts w:ascii="Arial" w:hAnsi="Arial" w:cs="Arial"/>
                <w:b/>
                <w:sz w:val="20"/>
                <w:szCs w:val="20"/>
                <w:lang w:val="es-ES"/>
              </w:rPr>
              <w:t xml:space="preserve"> </w:t>
            </w:r>
            <w:r w:rsidRPr="00FD65A9">
              <w:rPr>
                <w:rFonts w:ascii="Arial" w:hAnsi="Arial" w:cs="Arial"/>
                <w:sz w:val="20"/>
                <w:szCs w:val="20"/>
                <w:lang w:val="es-ES"/>
              </w:rPr>
              <w:t>Que se entreguen transferencias de la RdO de acuerdo con la nueva estructura (variable), en al menos dos ciclos de pago a que se refiere la condición (3.1b).</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47E28BBD" w14:textId="77777777" w:rsidR="00A206E9" w:rsidRPr="00FD65A9" w:rsidRDefault="00A206E9" w:rsidP="00FD65A9">
            <w:pPr>
              <w:spacing w:after="0" w:line="240" w:lineRule="auto"/>
              <w:rPr>
                <w:rFonts w:ascii="Arial" w:hAnsi="Arial" w:cs="Arial"/>
                <w:sz w:val="20"/>
                <w:szCs w:val="20"/>
                <w:lang w:val="es-ES"/>
              </w:rPr>
            </w:pPr>
            <w:r w:rsidRPr="00FD65A9">
              <w:rPr>
                <w:rFonts w:ascii="Arial" w:hAnsi="Arial" w:cs="Arial"/>
                <w:sz w:val="20"/>
                <w:szCs w:val="20"/>
                <w:lang w:val="es-ES"/>
              </w:rPr>
              <w:t>Se elimina</w:t>
            </w:r>
            <w:r>
              <w:rPr>
                <w:rFonts w:ascii="Arial" w:hAnsi="Arial" w:cs="Arial"/>
                <w:sz w:val="20"/>
                <w:szCs w:val="20"/>
                <w:lang w:val="es-ES"/>
              </w:rPr>
              <w:t>.</w:t>
            </w:r>
          </w:p>
        </w:tc>
        <w:tc>
          <w:tcPr>
            <w:tcW w:w="3870" w:type="dxa"/>
            <w:tcBorders>
              <w:top w:val="single" w:sz="4" w:space="0" w:color="auto"/>
              <w:left w:val="single" w:sz="4" w:space="0" w:color="auto"/>
              <w:bottom w:val="single" w:sz="4" w:space="0" w:color="auto"/>
              <w:right w:val="single" w:sz="4" w:space="0" w:color="auto"/>
            </w:tcBorders>
          </w:tcPr>
          <w:p w14:paraId="5917A2BB" w14:textId="77777777" w:rsidR="00A206E9" w:rsidRPr="00FD65A9" w:rsidRDefault="00A206E9" w:rsidP="00A206E9">
            <w:pPr>
              <w:spacing w:after="0" w:line="240" w:lineRule="auto"/>
              <w:rPr>
                <w:rFonts w:ascii="Arial" w:hAnsi="Arial" w:cs="Arial"/>
                <w:sz w:val="20"/>
                <w:szCs w:val="20"/>
                <w:lang w:val="es-ES"/>
              </w:rPr>
            </w:pPr>
            <w:r w:rsidRPr="00FD65A9">
              <w:rPr>
                <w:rFonts w:ascii="Arial" w:hAnsi="Arial" w:cs="Arial"/>
                <w:sz w:val="20"/>
                <w:szCs w:val="20"/>
                <w:lang w:val="es-ES"/>
              </w:rPr>
              <w:t>En la segunda operación de la serie, el MIDES evaluó la introducción de una estructura variable para la transferencia de la RdO, concluyendo que no era oportuno proceder con la reforma.</w:t>
            </w:r>
          </w:p>
          <w:p w14:paraId="51594F2A" w14:textId="06F7D06B" w:rsidR="00A206E9" w:rsidRPr="00FD65A9" w:rsidRDefault="00A206E9" w:rsidP="00E3100A">
            <w:pPr>
              <w:spacing w:after="0" w:line="240" w:lineRule="auto"/>
              <w:rPr>
                <w:rFonts w:ascii="Arial" w:hAnsi="Arial" w:cs="Arial"/>
                <w:sz w:val="20"/>
                <w:szCs w:val="20"/>
                <w:lang w:val="es-ES"/>
              </w:rPr>
            </w:pPr>
            <w:r w:rsidRPr="00FD65A9">
              <w:rPr>
                <w:rFonts w:ascii="Arial" w:hAnsi="Arial" w:cs="Arial"/>
                <w:sz w:val="20"/>
                <w:szCs w:val="20"/>
                <w:lang w:val="es-ES"/>
              </w:rPr>
              <w:t xml:space="preserve">Más recientemente, una evaluación legal por parte del MIDES evidenció que el artículo 18 de la Ley 54 del 2016 establece que la transferencia monetaria de la RdO tiene un monto fijo mensual de B/.50. </w:t>
            </w:r>
            <w:r w:rsidR="00C8636C" w:rsidRPr="00FD65A9">
              <w:rPr>
                <w:rFonts w:ascii="Arial" w:hAnsi="Arial" w:cs="Arial"/>
                <w:sz w:val="20"/>
                <w:szCs w:val="20"/>
                <w:lang w:val="es-ES"/>
              </w:rPr>
              <w:t>Consecuentemente, el gobierno confirmó su voluntad de no realizar en este momento una reforma a la estructura de la transferencia de la RdO. Esto determina la condición anterior de la matriz, que penaliza el incumplimiento parcial de las corresponsabilidades con la suspensión del pago.</w:t>
            </w:r>
          </w:p>
        </w:tc>
      </w:tr>
      <w:tr w:rsidR="002A7128" w:rsidRPr="009166FD" w14:paraId="1157493A" w14:textId="77777777" w:rsidTr="00FD65A9">
        <w:trPr>
          <w:cantSplit/>
          <w:trHeight w:val="1322"/>
          <w:jc w:val="center"/>
        </w:trPr>
        <w:tc>
          <w:tcPr>
            <w:tcW w:w="2245" w:type="dxa"/>
            <w:vMerge w:val="restart"/>
            <w:tcBorders>
              <w:left w:val="single" w:sz="4" w:space="0" w:color="auto"/>
              <w:right w:val="single" w:sz="4" w:space="0" w:color="auto"/>
            </w:tcBorders>
          </w:tcPr>
          <w:p w14:paraId="578F7E6C"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Desarrollo Infantil Temprano (DIT)</w:t>
            </w:r>
          </w:p>
        </w:tc>
        <w:tc>
          <w:tcPr>
            <w:tcW w:w="3695" w:type="dxa"/>
            <w:tcBorders>
              <w:top w:val="single" w:sz="4" w:space="0" w:color="auto"/>
              <w:left w:val="single" w:sz="4" w:space="0" w:color="auto"/>
              <w:bottom w:val="single" w:sz="4" w:space="0" w:color="auto"/>
              <w:right w:val="single" w:sz="4" w:space="0" w:color="auto"/>
            </w:tcBorders>
          </w:tcPr>
          <w:p w14:paraId="36F1DEA9"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(3.2a) Que se esté utilizando la Libreta del Niño para al menos 40.000 niños, y que se haya evaluado operativamente su funcionamiento.</w:t>
            </w:r>
          </w:p>
        </w:tc>
        <w:tc>
          <w:tcPr>
            <w:tcW w:w="3420" w:type="dxa"/>
            <w:tcBorders>
              <w:top w:val="single" w:sz="4" w:space="0" w:color="auto"/>
              <w:left w:val="single" w:sz="4" w:space="0" w:color="auto"/>
              <w:bottom w:val="single" w:sz="4" w:space="0" w:color="auto"/>
              <w:right w:val="single" w:sz="4" w:space="0" w:color="auto"/>
            </w:tcBorders>
          </w:tcPr>
          <w:p w14:paraId="77F7C2AC"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(3.2a) Que se esté utilizando la Libreta del Niño para al menos 40.000 niños o madres gestantes, y que se haya evaluado operativamente su funcionamiento.</w:t>
            </w:r>
          </w:p>
        </w:tc>
        <w:tc>
          <w:tcPr>
            <w:tcW w:w="3870" w:type="dxa"/>
            <w:tcBorders>
              <w:top w:val="single" w:sz="4" w:space="0" w:color="auto"/>
              <w:left w:val="single" w:sz="4" w:space="0" w:color="auto"/>
              <w:bottom w:val="single" w:sz="4" w:space="0" w:color="auto"/>
              <w:right w:val="single" w:sz="4" w:space="0" w:color="auto"/>
            </w:tcBorders>
          </w:tcPr>
          <w:p w14:paraId="76F4330C" w14:textId="77777777" w:rsidR="002A7128" w:rsidRPr="00FD65A9" w:rsidRDefault="00F53148" w:rsidP="00FD65A9">
            <w:pPr>
              <w:spacing w:after="0" w:line="240" w:lineRule="auto"/>
              <w:rPr>
                <w:rFonts w:ascii="Arial" w:hAnsi="Arial" w:cs="Arial"/>
                <w:sz w:val="20"/>
                <w:szCs w:val="20"/>
                <w:lang w:val="es-ES"/>
              </w:rPr>
            </w:pPr>
            <w:r w:rsidRPr="00FD65A9">
              <w:rPr>
                <w:rFonts w:ascii="Arial" w:hAnsi="Arial" w:cs="Arial"/>
                <w:sz w:val="20"/>
                <w:szCs w:val="20"/>
                <w:lang w:val="es-ES"/>
              </w:rPr>
              <w:t xml:space="preserve">El cambio refleja </w:t>
            </w:r>
            <w:r w:rsidR="00B46EAC" w:rsidRPr="00FD65A9">
              <w:rPr>
                <w:rFonts w:ascii="Arial" w:hAnsi="Arial" w:cs="Arial"/>
                <w:sz w:val="20"/>
                <w:szCs w:val="20"/>
                <w:lang w:val="es-ES"/>
              </w:rPr>
              <w:t xml:space="preserve">el hecho que la Libreta se distribuye a las madres gestantes al momento del control prenatal. La nueva formulación es coherente con la misma condición de la segunda operación de la serie. </w:t>
            </w:r>
          </w:p>
        </w:tc>
      </w:tr>
      <w:tr w:rsidR="002A7128" w:rsidRPr="009166FD" w14:paraId="67F2D798" w14:textId="77777777" w:rsidTr="00FD65A9">
        <w:trPr>
          <w:cantSplit/>
          <w:trHeight w:val="1520"/>
          <w:jc w:val="center"/>
        </w:trPr>
        <w:tc>
          <w:tcPr>
            <w:tcW w:w="2245" w:type="dxa"/>
            <w:vMerge/>
            <w:tcBorders>
              <w:left w:val="single" w:sz="4" w:space="0" w:color="auto"/>
              <w:right w:val="single" w:sz="4" w:space="0" w:color="auto"/>
            </w:tcBorders>
          </w:tcPr>
          <w:p w14:paraId="5CA0DEE8" w14:textId="77777777" w:rsidR="002A7128" w:rsidRPr="00FD65A9" w:rsidRDefault="002A7128" w:rsidP="00FD65A9">
            <w:pPr>
              <w:spacing w:after="0" w:line="240" w:lineRule="auto"/>
              <w:rPr>
                <w:rFonts w:ascii="Arial" w:hAnsi="Arial" w:cs="Arial"/>
                <w:sz w:val="20"/>
                <w:szCs w:val="20"/>
                <w:lang w:val="es-ES"/>
              </w:rPr>
            </w:pPr>
          </w:p>
        </w:tc>
        <w:tc>
          <w:tcPr>
            <w:tcW w:w="3695" w:type="dxa"/>
            <w:tcBorders>
              <w:top w:val="single" w:sz="4" w:space="0" w:color="auto"/>
              <w:left w:val="single" w:sz="4" w:space="0" w:color="auto"/>
              <w:bottom w:val="single" w:sz="4" w:space="0" w:color="auto"/>
              <w:right w:val="single" w:sz="4" w:space="0" w:color="auto"/>
            </w:tcBorders>
          </w:tcPr>
          <w:p w14:paraId="229443E6" w14:textId="5E1BCC00"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 xml:space="preserve">(3.2b) Que la atención integral para niños atendidos en </w:t>
            </w:r>
            <w:r w:rsidR="00225E78">
              <w:rPr>
                <w:rFonts w:ascii="Arial" w:hAnsi="Arial" w:cs="Arial"/>
                <w:sz w:val="20"/>
                <w:szCs w:val="20"/>
                <w:lang w:val="es-ES"/>
              </w:rPr>
              <w:t xml:space="preserve">Centros de </w:t>
            </w:r>
            <w:r w:rsidR="00AC2AD1">
              <w:rPr>
                <w:rFonts w:ascii="Arial" w:hAnsi="Arial" w:cs="Arial"/>
                <w:sz w:val="20"/>
                <w:szCs w:val="20"/>
                <w:lang w:val="es-ES"/>
              </w:rPr>
              <w:t>Orientación Infantil y Familiar</w:t>
            </w:r>
            <w:r w:rsidR="00225E78">
              <w:rPr>
                <w:rFonts w:ascii="Arial" w:hAnsi="Arial" w:cs="Arial"/>
                <w:sz w:val="20"/>
                <w:szCs w:val="20"/>
                <w:lang w:val="es-ES"/>
              </w:rPr>
              <w:t xml:space="preserve"> </w:t>
            </w:r>
            <w:r w:rsidR="007459FF">
              <w:rPr>
                <w:rFonts w:ascii="Arial" w:hAnsi="Arial" w:cs="Arial"/>
                <w:sz w:val="20"/>
                <w:szCs w:val="20"/>
                <w:lang w:val="es-ES"/>
              </w:rPr>
              <w:t>(</w:t>
            </w:r>
            <w:r w:rsidR="00AC2AD1">
              <w:rPr>
                <w:rFonts w:ascii="Arial" w:hAnsi="Arial" w:cs="Arial"/>
                <w:sz w:val="20"/>
                <w:szCs w:val="20"/>
                <w:lang w:val="es-ES"/>
              </w:rPr>
              <w:t>COIF</w:t>
            </w:r>
            <w:r w:rsidR="007459FF">
              <w:rPr>
                <w:rFonts w:ascii="Arial" w:hAnsi="Arial" w:cs="Arial"/>
                <w:sz w:val="20"/>
                <w:szCs w:val="20"/>
                <w:lang w:val="es-ES"/>
              </w:rPr>
              <w:t>)</w:t>
            </w:r>
            <w:r w:rsidRPr="00FD65A9">
              <w:rPr>
                <w:rFonts w:ascii="Arial" w:hAnsi="Arial" w:cs="Arial"/>
                <w:sz w:val="20"/>
                <w:szCs w:val="20"/>
                <w:lang w:val="es-ES"/>
              </w:rPr>
              <w:t xml:space="preserve"> cumpla los estándares de calidad de servicio integral para </w:t>
            </w:r>
            <w:r w:rsidR="00AC2AD1">
              <w:rPr>
                <w:rFonts w:ascii="Arial" w:hAnsi="Arial" w:cs="Arial"/>
                <w:sz w:val="20"/>
                <w:szCs w:val="20"/>
                <w:lang w:val="es-ES"/>
              </w:rPr>
              <w:t xml:space="preserve">COIF </w:t>
            </w:r>
            <w:r w:rsidRPr="00FD65A9">
              <w:rPr>
                <w:rFonts w:ascii="Arial" w:hAnsi="Arial" w:cs="Arial"/>
                <w:sz w:val="20"/>
                <w:szCs w:val="20"/>
                <w:lang w:val="es-ES"/>
              </w:rPr>
              <w:t>aprobados y esa calidad pueda ser monitoreada.</w:t>
            </w:r>
          </w:p>
        </w:tc>
        <w:tc>
          <w:tcPr>
            <w:tcW w:w="3420" w:type="dxa"/>
            <w:tcBorders>
              <w:top w:val="single" w:sz="4" w:space="0" w:color="auto"/>
              <w:left w:val="single" w:sz="4" w:space="0" w:color="auto"/>
              <w:bottom w:val="single" w:sz="4" w:space="0" w:color="auto"/>
              <w:right w:val="single" w:sz="4" w:space="0" w:color="auto"/>
            </w:tcBorders>
          </w:tcPr>
          <w:p w14:paraId="2CFD8B53" w14:textId="09F41B0A"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 xml:space="preserve">(3.2b) Que los estándares de calidad de los servicios de atención integral a la primera infancia aprobados para los niños atendidos en </w:t>
            </w:r>
            <w:r w:rsidR="006372C9" w:rsidRPr="00486631">
              <w:rPr>
                <w:rFonts w:ascii="Arial" w:hAnsi="Arial" w:cs="Arial"/>
                <w:sz w:val="20"/>
                <w:lang w:val="es-ES"/>
              </w:rPr>
              <w:t xml:space="preserve">Centros de Atención Integral a la Primera Infancia </w:t>
            </w:r>
            <w:r w:rsidR="006372C9">
              <w:rPr>
                <w:rFonts w:ascii="Arial" w:hAnsi="Arial" w:cs="Arial"/>
                <w:sz w:val="20"/>
                <w:lang w:val="es-ES"/>
              </w:rPr>
              <w:t>(</w:t>
            </w:r>
            <w:r w:rsidRPr="00FD65A9">
              <w:rPr>
                <w:rFonts w:ascii="Arial" w:hAnsi="Arial" w:cs="Arial"/>
                <w:sz w:val="20"/>
                <w:szCs w:val="20"/>
                <w:lang w:val="es-ES"/>
              </w:rPr>
              <w:t>CAIPI</w:t>
            </w:r>
            <w:r w:rsidR="006372C9">
              <w:rPr>
                <w:rFonts w:ascii="Arial" w:hAnsi="Arial" w:cs="Arial"/>
                <w:sz w:val="20"/>
                <w:szCs w:val="20"/>
                <w:lang w:val="es-ES"/>
              </w:rPr>
              <w:t>)</w:t>
            </w:r>
            <w:r w:rsidRPr="00FD65A9">
              <w:rPr>
                <w:rFonts w:ascii="Arial" w:hAnsi="Arial" w:cs="Arial"/>
                <w:sz w:val="20"/>
                <w:szCs w:val="20"/>
                <w:lang w:val="es-ES"/>
              </w:rPr>
              <w:t xml:space="preserve"> se estén implementando y monitoreando.</w:t>
            </w:r>
          </w:p>
        </w:tc>
        <w:tc>
          <w:tcPr>
            <w:tcW w:w="3870" w:type="dxa"/>
            <w:tcBorders>
              <w:top w:val="single" w:sz="4" w:space="0" w:color="auto"/>
              <w:left w:val="single" w:sz="4" w:space="0" w:color="auto"/>
              <w:bottom w:val="single" w:sz="4" w:space="0" w:color="auto"/>
              <w:right w:val="single" w:sz="4" w:space="0" w:color="auto"/>
            </w:tcBorders>
          </w:tcPr>
          <w:p w14:paraId="3E539AFF" w14:textId="77777777" w:rsidR="00D5700F" w:rsidRDefault="00D5700F" w:rsidP="00FD65A9">
            <w:pPr>
              <w:spacing w:after="0" w:line="240" w:lineRule="auto"/>
              <w:rPr>
                <w:rFonts w:ascii="Arial" w:hAnsi="Arial" w:cs="Arial"/>
                <w:sz w:val="20"/>
                <w:szCs w:val="20"/>
                <w:lang w:val="es-ES"/>
              </w:rPr>
            </w:pPr>
            <w:r>
              <w:rPr>
                <w:rFonts w:ascii="Arial" w:hAnsi="Arial" w:cs="Arial"/>
                <w:sz w:val="20"/>
                <w:szCs w:val="20"/>
                <w:lang w:val="es-ES"/>
              </w:rPr>
              <w:t xml:space="preserve">Los COIF fueron renombrados </w:t>
            </w:r>
            <w:r w:rsidRPr="00486631">
              <w:rPr>
                <w:rFonts w:ascii="Arial" w:hAnsi="Arial" w:cs="Arial"/>
                <w:sz w:val="20"/>
                <w:lang w:val="es-ES"/>
              </w:rPr>
              <w:t xml:space="preserve">Centros de Atención Integral a la Primera Infancia </w:t>
            </w:r>
            <w:r>
              <w:rPr>
                <w:rFonts w:ascii="Arial" w:hAnsi="Arial" w:cs="Arial"/>
                <w:sz w:val="20"/>
                <w:lang w:val="es-ES"/>
              </w:rPr>
              <w:t>(</w:t>
            </w:r>
            <w:r w:rsidRPr="00FD65A9">
              <w:rPr>
                <w:rFonts w:ascii="Arial" w:hAnsi="Arial" w:cs="Arial"/>
                <w:sz w:val="20"/>
                <w:szCs w:val="20"/>
                <w:lang w:val="es-ES"/>
              </w:rPr>
              <w:t>CAIPI</w:t>
            </w:r>
            <w:r>
              <w:rPr>
                <w:rFonts w:ascii="Arial" w:hAnsi="Arial" w:cs="Arial"/>
                <w:sz w:val="20"/>
                <w:szCs w:val="20"/>
                <w:lang w:val="es-ES"/>
              </w:rPr>
              <w:t xml:space="preserve">). </w:t>
            </w:r>
          </w:p>
          <w:p w14:paraId="15D6AE8B" w14:textId="0387866C" w:rsidR="0065387E" w:rsidRPr="00FD65A9" w:rsidRDefault="00B46EAC" w:rsidP="00FD65A9">
            <w:pPr>
              <w:spacing w:after="0" w:line="240" w:lineRule="auto"/>
              <w:rPr>
                <w:rFonts w:ascii="Arial" w:hAnsi="Arial" w:cs="Arial"/>
                <w:sz w:val="20"/>
                <w:szCs w:val="20"/>
                <w:lang w:val="es-ES"/>
              </w:rPr>
            </w:pPr>
            <w:r w:rsidRPr="00FD65A9">
              <w:rPr>
                <w:rFonts w:ascii="Arial" w:hAnsi="Arial" w:cs="Arial"/>
                <w:sz w:val="20"/>
                <w:szCs w:val="20"/>
                <w:lang w:val="es-ES"/>
              </w:rPr>
              <w:t xml:space="preserve">El cambio </w:t>
            </w:r>
            <w:r w:rsidR="00D5700F">
              <w:rPr>
                <w:rFonts w:ascii="Arial" w:hAnsi="Arial" w:cs="Arial"/>
                <w:sz w:val="20"/>
                <w:szCs w:val="20"/>
                <w:lang w:val="es-ES"/>
              </w:rPr>
              <w:t xml:space="preserve">en la condición </w:t>
            </w:r>
            <w:r w:rsidRPr="00FD65A9">
              <w:rPr>
                <w:rFonts w:ascii="Arial" w:hAnsi="Arial" w:cs="Arial"/>
                <w:sz w:val="20"/>
                <w:szCs w:val="20"/>
                <w:lang w:val="es-ES"/>
              </w:rPr>
              <w:t xml:space="preserve">refleja la implementación </w:t>
            </w:r>
            <w:r w:rsidR="00E66782" w:rsidRPr="00FD65A9">
              <w:rPr>
                <w:rFonts w:ascii="Arial" w:hAnsi="Arial" w:cs="Arial"/>
                <w:sz w:val="20"/>
                <w:szCs w:val="20"/>
                <w:lang w:val="es-ES"/>
              </w:rPr>
              <w:t>gradual de los estándares de calidad. No es posible que todos los estándares de calidad se cumplan en todos los CAIPI. Lo que se requiere es que</w:t>
            </w:r>
            <w:r w:rsidR="0073073E" w:rsidRPr="00FD65A9">
              <w:rPr>
                <w:rFonts w:ascii="Arial" w:hAnsi="Arial" w:cs="Arial"/>
                <w:sz w:val="20"/>
                <w:szCs w:val="20"/>
                <w:lang w:val="es-ES"/>
              </w:rPr>
              <w:t>: (i) se haya establecido un plan gradual de implementación (estableciendo estándares prioritarios); (ii)</w:t>
            </w:r>
            <w:r w:rsidR="00E66782" w:rsidRPr="00FD65A9">
              <w:rPr>
                <w:rFonts w:ascii="Arial" w:hAnsi="Arial" w:cs="Arial"/>
                <w:sz w:val="20"/>
                <w:szCs w:val="20"/>
                <w:lang w:val="es-ES"/>
              </w:rPr>
              <w:t xml:space="preserve"> se haya </w:t>
            </w:r>
            <w:r w:rsidR="0073073E" w:rsidRPr="00FD65A9">
              <w:rPr>
                <w:rFonts w:ascii="Arial" w:hAnsi="Arial" w:cs="Arial"/>
                <w:sz w:val="20"/>
                <w:szCs w:val="20"/>
                <w:lang w:val="es-ES"/>
              </w:rPr>
              <w:t xml:space="preserve">capacitado el personal de los CAIPI para que implemente estos estándares; </w:t>
            </w:r>
            <w:r w:rsidR="00332B4E">
              <w:rPr>
                <w:rFonts w:ascii="Arial" w:hAnsi="Arial" w:cs="Arial"/>
                <w:sz w:val="20"/>
                <w:szCs w:val="20"/>
                <w:lang w:val="es-ES"/>
              </w:rPr>
              <w:t xml:space="preserve">y </w:t>
            </w:r>
            <w:r w:rsidR="0073073E" w:rsidRPr="00FD65A9">
              <w:rPr>
                <w:rFonts w:ascii="Arial" w:hAnsi="Arial" w:cs="Arial"/>
                <w:sz w:val="20"/>
                <w:szCs w:val="20"/>
                <w:lang w:val="es-ES"/>
              </w:rPr>
              <w:t>(iii)</w:t>
            </w:r>
            <w:r w:rsidR="006673C6">
              <w:rPr>
                <w:rFonts w:ascii="Arial" w:hAnsi="Arial" w:cs="Arial"/>
                <w:sz w:val="20"/>
                <w:szCs w:val="20"/>
                <w:lang w:val="es-ES"/>
              </w:rPr>
              <w:t> </w:t>
            </w:r>
            <w:r w:rsidR="00E66782" w:rsidRPr="00FD65A9">
              <w:rPr>
                <w:rFonts w:ascii="Arial" w:hAnsi="Arial" w:cs="Arial"/>
                <w:sz w:val="20"/>
                <w:szCs w:val="20"/>
                <w:lang w:val="es-ES"/>
              </w:rPr>
              <w:t>se esté monitoreando el cumplimiento.</w:t>
            </w:r>
          </w:p>
        </w:tc>
      </w:tr>
      <w:tr w:rsidR="002A7128" w:rsidRPr="007E3C07" w14:paraId="6D741286" w14:textId="77777777" w:rsidTr="000D0DD9">
        <w:trPr>
          <w:cantSplit/>
          <w:trHeight w:val="782"/>
          <w:jc w:val="center"/>
        </w:trPr>
        <w:tc>
          <w:tcPr>
            <w:tcW w:w="2245" w:type="dxa"/>
            <w:vMerge/>
            <w:tcBorders>
              <w:left w:val="single" w:sz="4" w:space="0" w:color="auto"/>
              <w:right w:val="single" w:sz="4" w:space="0" w:color="auto"/>
            </w:tcBorders>
          </w:tcPr>
          <w:p w14:paraId="6A45DEE6" w14:textId="77777777" w:rsidR="002A7128" w:rsidRPr="00FD65A9" w:rsidRDefault="002A7128" w:rsidP="00FD65A9">
            <w:pPr>
              <w:spacing w:after="0" w:line="240" w:lineRule="auto"/>
              <w:rPr>
                <w:rFonts w:ascii="Arial" w:hAnsi="Arial" w:cs="Arial"/>
                <w:sz w:val="20"/>
                <w:szCs w:val="20"/>
                <w:lang w:val="es-ES"/>
              </w:rPr>
            </w:pPr>
          </w:p>
        </w:tc>
        <w:tc>
          <w:tcPr>
            <w:tcW w:w="3695" w:type="dxa"/>
            <w:tcBorders>
              <w:top w:val="single" w:sz="4" w:space="0" w:color="auto"/>
              <w:left w:val="single" w:sz="4" w:space="0" w:color="auto"/>
              <w:bottom w:val="single" w:sz="4" w:space="0" w:color="auto"/>
              <w:right w:val="single" w:sz="4" w:space="0" w:color="auto"/>
            </w:tcBorders>
          </w:tcPr>
          <w:p w14:paraId="158500FD" w14:textId="748B6A21"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 xml:space="preserve">(3.2c) Que el modelo de atención integral a la primera infancia de </w:t>
            </w:r>
            <w:r w:rsidR="006372C9">
              <w:rPr>
                <w:rFonts w:ascii="Arial" w:hAnsi="Arial" w:cs="Arial"/>
                <w:sz w:val="20"/>
                <w:szCs w:val="20"/>
                <w:lang w:val="es-ES"/>
              </w:rPr>
              <w:t>COIF</w:t>
            </w:r>
            <w:r w:rsidR="006372C9" w:rsidRPr="00FD65A9">
              <w:rPr>
                <w:rFonts w:ascii="Arial" w:hAnsi="Arial" w:cs="Arial"/>
                <w:sz w:val="20"/>
                <w:szCs w:val="20"/>
                <w:lang w:val="es-ES"/>
              </w:rPr>
              <w:t xml:space="preserve"> </w:t>
            </w:r>
            <w:r w:rsidRPr="00FD65A9">
              <w:rPr>
                <w:rFonts w:ascii="Arial" w:hAnsi="Arial" w:cs="Arial"/>
                <w:sz w:val="20"/>
                <w:szCs w:val="20"/>
                <w:lang w:val="es-ES"/>
              </w:rPr>
              <w:t>se esté implementando.</w:t>
            </w:r>
          </w:p>
        </w:tc>
        <w:tc>
          <w:tcPr>
            <w:tcW w:w="3420" w:type="dxa"/>
            <w:tcBorders>
              <w:top w:val="single" w:sz="4" w:space="0" w:color="auto"/>
              <w:left w:val="single" w:sz="4" w:space="0" w:color="auto"/>
              <w:bottom w:val="single" w:sz="4" w:space="0" w:color="auto"/>
              <w:right w:val="single" w:sz="4" w:space="0" w:color="auto"/>
            </w:tcBorders>
          </w:tcPr>
          <w:p w14:paraId="2A839ED0" w14:textId="0CB3AB43"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 xml:space="preserve">(3.2c) Que el modelo de atención integral a la primera infancia de </w:t>
            </w:r>
            <w:r w:rsidR="00704009">
              <w:rPr>
                <w:rFonts w:ascii="Arial" w:hAnsi="Arial" w:cs="Arial"/>
                <w:sz w:val="20"/>
                <w:szCs w:val="20"/>
                <w:lang w:val="es-ES"/>
              </w:rPr>
              <w:t>CAIPI</w:t>
            </w:r>
            <w:r w:rsidRPr="00FD65A9">
              <w:rPr>
                <w:rFonts w:ascii="Arial" w:hAnsi="Arial" w:cs="Arial"/>
                <w:sz w:val="20"/>
                <w:szCs w:val="20"/>
                <w:lang w:val="es-ES"/>
              </w:rPr>
              <w:t xml:space="preserve"> se esté implementando.</w:t>
            </w:r>
          </w:p>
        </w:tc>
        <w:tc>
          <w:tcPr>
            <w:tcW w:w="3870" w:type="dxa"/>
            <w:tcBorders>
              <w:top w:val="single" w:sz="4" w:space="0" w:color="auto"/>
              <w:left w:val="single" w:sz="4" w:space="0" w:color="auto"/>
              <w:bottom w:val="single" w:sz="4" w:space="0" w:color="auto"/>
              <w:right w:val="single" w:sz="4" w:space="0" w:color="auto"/>
            </w:tcBorders>
          </w:tcPr>
          <w:p w14:paraId="16704E2F" w14:textId="70D102D4" w:rsidR="002A7128" w:rsidRPr="00FD65A9" w:rsidRDefault="006372C9" w:rsidP="00FD65A9">
            <w:pPr>
              <w:spacing w:after="0" w:line="240" w:lineRule="auto"/>
              <w:rPr>
                <w:rFonts w:ascii="Arial" w:hAnsi="Arial" w:cs="Arial"/>
                <w:sz w:val="20"/>
                <w:szCs w:val="20"/>
                <w:lang w:val="es-ES"/>
              </w:rPr>
            </w:pPr>
            <w:r>
              <w:rPr>
                <w:rFonts w:ascii="Arial" w:hAnsi="Arial" w:cs="Arial"/>
                <w:sz w:val="20"/>
                <w:szCs w:val="20"/>
                <w:lang w:val="es-ES"/>
              </w:rPr>
              <w:t xml:space="preserve">Los COIF fueron renombrados </w:t>
            </w:r>
            <w:r w:rsidRPr="00486631">
              <w:rPr>
                <w:rFonts w:ascii="Arial" w:hAnsi="Arial" w:cs="Arial"/>
                <w:sz w:val="20"/>
                <w:lang w:val="es-ES"/>
              </w:rPr>
              <w:t xml:space="preserve">Centros de Atención Integral a la Primera Infancia </w:t>
            </w:r>
            <w:r>
              <w:rPr>
                <w:rFonts w:ascii="Arial" w:hAnsi="Arial" w:cs="Arial"/>
                <w:sz w:val="20"/>
                <w:lang w:val="es-ES"/>
              </w:rPr>
              <w:t>(</w:t>
            </w:r>
            <w:r w:rsidRPr="00FD65A9">
              <w:rPr>
                <w:rFonts w:ascii="Arial" w:hAnsi="Arial" w:cs="Arial"/>
                <w:sz w:val="20"/>
                <w:szCs w:val="20"/>
                <w:lang w:val="es-ES"/>
              </w:rPr>
              <w:t>CAIPI</w:t>
            </w:r>
            <w:r>
              <w:rPr>
                <w:rFonts w:ascii="Arial" w:hAnsi="Arial" w:cs="Arial"/>
                <w:sz w:val="20"/>
                <w:szCs w:val="20"/>
                <w:lang w:val="es-ES"/>
              </w:rPr>
              <w:t>). La corrección es de forma.</w:t>
            </w:r>
          </w:p>
        </w:tc>
      </w:tr>
      <w:tr w:rsidR="002A7128" w:rsidRPr="00FD65A9" w14:paraId="16498903" w14:textId="77777777" w:rsidTr="00FD65A9">
        <w:trPr>
          <w:cantSplit/>
          <w:trHeight w:val="1106"/>
          <w:jc w:val="center"/>
        </w:trPr>
        <w:tc>
          <w:tcPr>
            <w:tcW w:w="2245" w:type="dxa"/>
            <w:vMerge/>
            <w:tcBorders>
              <w:left w:val="single" w:sz="4" w:space="0" w:color="auto"/>
              <w:right w:val="single" w:sz="4" w:space="0" w:color="auto"/>
            </w:tcBorders>
          </w:tcPr>
          <w:p w14:paraId="18F79A64" w14:textId="77777777" w:rsidR="002A7128" w:rsidRPr="00FD65A9" w:rsidRDefault="002A7128" w:rsidP="00FD65A9">
            <w:pPr>
              <w:spacing w:after="0" w:line="240" w:lineRule="auto"/>
              <w:rPr>
                <w:rFonts w:ascii="Arial" w:hAnsi="Arial" w:cs="Arial"/>
                <w:sz w:val="20"/>
                <w:szCs w:val="20"/>
                <w:lang w:val="es-ES"/>
              </w:rPr>
            </w:pPr>
          </w:p>
        </w:tc>
        <w:tc>
          <w:tcPr>
            <w:tcW w:w="3695" w:type="dxa"/>
            <w:tcBorders>
              <w:top w:val="single" w:sz="4" w:space="0" w:color="auto"/>
              <w:left w:val="single" w:sz="4" w:space="0" w:color="auto"/>
              <w:bottom w:val="single" w:sz="4" w:space="0" w:color="auto"/>
              <w:right w:val="single" w:sz="4" w:space="0" w:color="auto"/>
            </w:tcBorders>
          </w:tcPr>
          <w:p w14:paraId="6DEA9D9B"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(3.2d) Que el modelo de atención integral de visitas domiciliarias para áreas comarcales y rurales dispersas se esté implementando.</w:t>
            </w:r>
          </w:p>
        </w:tc>
        <w:tc>
          <w:tcPr>
            <w:tcW w:w="3420" w:type="dxa"/>
            <w:tcBorders>
              <w:top w:val="single" w:sz="4" w:space="0" w:color="auto"/>
              <w:left w:val="single" w:sz="4" w:space="0" w:color="auto"/>
              <w:bottom w:val="single" w:sz="4" w:space="0" w:color="auto"/>
              <w:right w:val="single" w:sz="4" w:space="0" w:color="auto"/>
            </w:tcBorders>
          </w:tcPr>
          <w:p w14:paraId="5CAD34C0"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(3.2d) Que el modelo de atención integral de visitas domiciliarias para áreas comarcales y rurales dispersas se esté implementando.</w:t>
            </w:r>
          </w:p>
        </w:tc>
        <w:tc>
          <w:tcPr>
            <w:tcW w:w="3870" w:type="dxa"/>
            <w:tcBorders>
              <w:top w:val="single" w:sz="4" w:space="0" w:color="auto"/>
              <w:left w:val="single" w:sz="4" w:space="0" w:color="auto"/>
              <w:bottom w:val="single" w:sz="4" w:space="0" w:color="auto"/>
              <w:right w:val="single" w:sz="4" w:space="0" w:color="auto"/>
            </w:tcBorders>
          </w:tcPr>
          <w:p w14:paraId="7BCD83E3" w14:textId="77777777" w:rsidR="002A7128" w:rsidRPr="00FD65A9" w:rsidRDefault="002A7128" w:rsidP="00FD65A9">
            <w:pPr>
              <w:spacing w:after="0" w:line="240" w:lineRule="auto"/>
              <w:rPr>
                <w:rFonts w:ascii="Arial" w:hAnsi="Arial" w:cs="Arial"/>
                <w:sz w:val="20"/>
                <w:szCs w:val="20"/>
                <w:lang w:val="es-ES"/>
              </w:rPr>
            </w:pPr>
            <w:r w:rsidRPr="00FD65A9">
              <w:rPr>
                <w:rFonts w:ascii="Arial" w:hAnsi="Arial" w:cs="Arial"/>
                <w:sz w:val="20"/>
                <w:szCs w:val="20"/>
                <w:lang w:val="es-ES"/>
              </w:rPr>
              <w:t>Ningún cambio.</w:t>
            </w:r>
          </w:p>
        </w:tc>
      </w:tr>
    </w:tbl>
    <w:p w14:paraId="1E1A0126" w14:textId="77777777" w:rsidR="00AD7AAD" w:rsidRPr="00334CA9" w:rsidRDefault="00AD7AAD" w:rsidP="00FD65A9">
      <w:pPr>
        <w:spacing w:line="240" w:lineRule="auto"/>
        <w:rPr>
          <w:rFonts w:ascii="Arial" w:hAnsi="Arial" w:cs="Arial"/>
          <w:sz w:val="18"/>
          <w:szCs w:val="18"/>
          <w:lang w:val="es-ES"/>
        </w:rPr>
      </w:pPr>
    </w:p>
    <w:sectPr w:rsidR="00AD7AAD" w:rsidRPr="00334CA9" w:rsidSect="00E324BF">
      <w:headerReference w:type="even" r:id="rId13"/>
      <w:headerReference w:type="default" r:id="rId14"/>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11EA3" w14:textId="77777777" w:rsidR="0072179E" w:rsidRDefault="0072179E" w:rsidP="002E5FA7">
      <w:pPr>
        <w:spacing w:after="0" w:line="240" w:lineRule="auto"/>
      </w:pPr>
      <w:r>
        <w:separator/>
      </w:r>
    </w:p>
  </w:endnote>
  <w:endnote w:type="continuationSeparator" w:id="0">
    <w:p w14:paraId="468B42AB" w14:textId="77777777" w:rsidR="0072179E" w:rsidRDefault="0072179E" w:rsidP="002E5F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36360" w14:textId="77777777" w:rsidR="0072179E" w:rsidRDefault="0072179E" w:rsidP="002E5FA7">
      <w:pPr>
        <w:spacing w:after="0" w:line="240" w:lineRule="auto"/>
      </w:pPr>
      <w:r>
        <w:separator/>
      </w:r>
    </w:p>
  </w:footnote>
  <w:footnote w:type="continuationSeparator" w:id="0">
    <w:p w14:paraId="1DA43E60" w14:textId="77777777" w:rsidR="0072179E" w:rsidRDefault="0072179E" w:rsidP="002E5FA7">
      <w:pPr>
        <w:spacing w:after="0" w:line="240" w:lineRule="auto"/>
      </w:pPr>
      <w:r>
        <w:continuationSeparator/>
      </w:r>
    </w:p>
  </w:footnote>
  <w:footnote w:id="1">
    <w:p w14:paraId="0129BF5A" w14:textId="24E7836D" w:rsidR="001446AF" w:rsidRPr="00121455" w:rsidRDefault="001446AF" w:rsidP="001446AF">
      <w:pPr>
        <w:pStyle w:val="FootnoteText"/>
        <w:rPr>
          <w:rFonts w:ascii="Arial" w:hAnsi="Arial" w:cs="Arial"/>
          <w:sz w:val="18"/>
          <w:lang w:val="es-ES_tradnl"/>
        </w:rPr>
      </w:pPr>
      <w:r w:rsidRPr="00121455">
        <w:rPr>
          <w:rStyle w:val="FootnoteReference"/>
          <w:rFonts w:ascii="Arial" w:hAnsi="Arial" w:cs="Arial"/>
          <w:sz w:val="18"/>
        </w:rPr>
        <w:footnoteRef/>
      </w:r>
      <w:r w:rsidRPr="00121455">
        <w:rPr>
          <w:rFonts w:ascii="Arial" w:hAnsi="Arial" w:cs="Arial"/>
          <w:sz w:val="18"/>
          <w:lang w:val="es-ES_tradnl"/>
        </w:rPr>
        <w:t xml:space="preserve"> </w:t>
      </w:r>
      <w:r w:rsidR="000B0FCF">
        <w:rPr>
          <w:rFonts w:ascii="Arial" w:hAnsi="Arial" w:cs="Arial"/>
          <w:sz w:val="18"/>
          <w:lang w:val="es-ES_tradnl"/>
        </w:rPr>
        <w:tab/>
      </w:r>
      <w:r w:rsidRPr="00121455">
        <w:rPr>
          <w:rFonts w:ascii="Arial" w:hAnsi="Arial" w:cs="Arial"/>
          <w:sz w:val="18"/>
          <w:lang w:val="es-ES_tradnl"/>
        </w:rPr>
        <w:t>En esta</w:t>
      </w:r>
      <w:r>
        <w:rPr>
          <w:rFonts w:ascii="Arial" w:hAnsi="Arial" w:cs="Arial"/>
          <w:sz w:val="18"/>
          <w:lang w:val="es-ES_tradnl"/>
        </w:rPr>
        <w:t xml:space="preserve"> operación, se cambió el orden y la numeración de algunas de las condiciones de políticas respecto a la matriz de la anterior operación de la serie (PN-L1118), con el fin de hacer más clara la secuencia de las reformas (en línea horizontal). La </w:t>
      </w:r>
      <w:r w:rsidR="0011051A">
        <w:rPr>
          <w:rFonts w:ascii="Arial" w:hAnsi="Arial" w:cs="Arial"/>
          <w:sz w:val="18"/>
          <w:lang w:val="es-ES_tradnl"/>
        </w:rPr>
        <w:t>antigua</w:t>
      </w:r>
      <w:r>
        <w:rPr>
          <w:rFonts w:ascii="Arial" w:hAnsi="Arial" w:cs="Arial"/>
          <w:sz w:val="18"/>
          <w:lang w:val="es-ES_tradnl"/>
        </w:rPr>
        <w:t xml:space="preserve"> condición 2.1d es ahora 2.1a, porque el puntaje de focalización que ahora se evalúa fue establecido como parte del marco legal de los PTMC. Consecuentemente, la </w:t>
      </w:r>
      <w:r w:rsidR="0011051A">
        <w:rPr>
          <w:rFonts w:ascii="Arial" w:hAnsi="Arial" w:cs="Arial"/>
          <w:sz w:val="18"/>
          <w:lang w:val="es-ES_tradnl"/>
        </w:rPr>
        <w:t>antigua</w:t>
      </w:r>
      <w:r>
        <w:rPr>
          <w:rFonts w:ascii="Arial" w:hAnsi="Arial" w:cs="Arial"/>
          <w:sz w:val="18"/>
          <w:lang w:val="es-ES_tradnl"/>
        </w:rPr>
        <w:t xml:space="preserve"> condición 2.1a pasa a ser 2.1b, la </w:t>
      </w:r>
      <w:r w:rsidR="0011051A">
        <w:rPr>
          <w:rFonts w:ascii="Arial" w:hAnsi="Arial" w:cs="Arial"/>
          <w:sz w:val="18"/>
          <w:lang w:val="es-ES_tradnl"/>
        </w:rPr>
        <w:t>antigua</w:t>
      </w:r>
      <w:r>
        <w:rPr>
          <w:rFonts w:ascii="Arial" w:hAnsi="Arial" w:cs="Arial"/>
          <w:sz w:val="18"/>
          <w:lang w:val="es-ES_tradnl"/>
        </w:rPr>
        <w:t xml:space="preserve"> 2.1b pasa a ser 2.1c y la </w:t>
      </w:r>
      <w:r w:rsidR="0011051A">
        <w:rPr>
          <w:rFonts w:ascii="Arial" w:hAnsi="Arial" w:cs="Arial"/>
          <w:sz w:val="18"/>
          <w:lang w:val="es-ES_tradnl"/>
        </w:rPr>
        <w:t>antigua</w:t>
      </w:r>
      <w:r>
        <w:rPr>
          <w:rFonts w:ascii="Arial" w:hAnsi="Arial" w:cs="Arial"/>
          <w:sz w:val="18"/>
          <w:lang w:val="es-ES_tradnl"/>
        </w:rPr>
        <w:t xml:space="preserve"> 2.1c pasa a ser 2.1d. </w:t>
      </w:r>
    </w:p>
  </w:footnote>
  <w:footnote w:id="2">
    <w:p w14:paraId="6FDD4CDB" w14:textId="6FF385D8" w:rsidR="00135FEA" w:rsidRPr="007A5302" w:rsidRDefault="00135FEA" w:rsidP="00135FEA">
      <w:pPr>
        <w:pStyle w:val="FootnoteText"/>
        <w:rPr>
          <w:rFonts w:ascii="Arial" w:hAnsi="Arial" w:cs="Arial"/>
          <w:sz w:val="18"/>
          <w:szCs w:val="18"/>
          <w:lang w:val="es-ES_tradnl"/>
        </w:rPr>
      </w:pPr>
      <w:r w:rsidRPr="007A5302">
        <w:rPr>
          <w:rStyle w:val="FootnoteReference"/>
          <w:rFonts w:ascii="Arial" w:hAnsi="Arial" w:cs="Arial"/>
          <w:sz w:val="18"/>
          <w:szCs w:val="18"/>
        </w:rPr>
        <w:footnoteRef/>
      </w:r>
      <w:r w:rsidRPr="007A5302">
        <w:rPr>
          <w:rFonts w:ascii="Arial" w:hAnsi="Arial" w:cs="Arial"/>
          <w:sz w:val="18"/>
          <w:szCs w:val="18"/>
          <w:lang w:val="es-ES_tradnl"/>
        </w:rPr>
        <w:t xml:space="preserve"> </w:t>
      </w:r>
      <w:r w:rsidR="00F0464B" w:rsidRPr="007A5302">
        <w:rPr>
          <w:rFonts w:ascii="Arial" w:hAnsi="Arial" w:cs="Arial"/>
          <w:sz w:val="18"/>
          <w:szCs w:val="18"/>
          <w:lang w:val="es-ES_tradnl"/>
        </w:rPr>
        <w:tab/>
      </w:r>
      <w:r w:rsidRPr="007A5302">
        <w:rPr>
          <w:rFonts w:ascii="Arial" w:hAnsi="Arial" w:cs="Arial"/>
          <w:color w:val="000000"/>
          <w:sz w:val="18"/>
          <w:szCs w:val="18"/>
          <w:lang w:val="es-ES"/>
        </w:rPr>
        <w:t>Principalmente al consumo de combustibles fósiles: subsidio eléctrico y gas licuado.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12985075"/>
      <w:docPartObj>
        <w:docPartGallery w:val="Page Numbers (Top of Page)"/>
        <w:docPartUnique/>
      </w:docPartObj>
    </w:sdtPr>
    <w:sdtEndPr/>
    <w:sdtContent>
      <w:p w14:paraId="407EAF3C" w14:textId="77777777" w:rsidR="00E324BF" w:rsidRPr="00E324BF" w:rsidRDefault="00E324BF" w:rsidP="00E324BF">
        <w:pPr>
          <w:pStyle w:val="Header"/>
          <w:tabs>
            <w:tab w:val="clear" w:pos="4680"/>
            <w:tab w:val="clear" w:pos="9360"/>
            <w:tab w:val="left" w:pos="2412"/>
          </w:tabs>
          <w:rPr>
            <w:rFonts w:ascii="Arial" w:hAnsi="Arial" w:cs="Arial"/>
            <w:sz w:val="18"/>
            <w:szCs w:val="18"/>
            <w:lang w:val="es-ES"/>
          </w:rPr>
        </w:pPr>
        <w:r w:rsidRPr="00E324BF">
          <w:rPr>
            <w:rFonts w:ascii="Arial" w:hAnsi="Arial" w:cs="Arial"/>
            <w:sz w:val="18"/>
            <w:szCs w:val="18"/>
            <w:lang w:val="es-ES"/>
          </w:rPr>
          <w:t>EEO#1-PN-L1152</w:t>
        </w:r>
      </w:p>
      <w:p w14:paraId="571557D4" w14:textId="77777777" w:rsidR="00E324BF" w:rsidRPr="00E324BF" w:rsidRDefault="00E324BF" w:rsidP="00E324BF">
        <w:pPr>
          <w:pStyle w:val="Header"/>
          <w:rPr>
            <w:rFonts w:ascii="Arial" w:hAnsi="Arial" w:cs="Arial"/>
            <w:sz w:val="18"/>
            <w:szCs w:val="18"/>
            <w:lang w:val="pt-BR"/>
          </w:rPr>
        </w:pPr>
        <w:r w:rsidRPr="00E324BF">
          <w:rPr>
            <w:rFonts w:ascii="Arial" w:hAnsi="Arial" w:cs="Arial"/>
            <w:sz w:val="18"/>
            <w:szCs w:val="18"/>
            <w:lang w:val="pt-BR"/>
          </w:rPr>
          <w:t xml:space="preserve">Página </w:t>
        </w:r>
        <w:r w:rsidRPr="00E324BF">
          <w:rPr>
            <w:rFonts w:ascii="Arial" w:hAnsi="Arial" w:cs="Arial"/>
            <w:bCs/>
            <w:sz w:val="18"/>
            <w:szCs w:val="18"/>
          </w:rPr>
          <w:fldChar w:fldCharType="begin"/>
        </w:r>
        <w:r w:rsidRPr="00E324BF">
          <w:rPr>
            <w:rFonts w:ascii="Arial" w:hAnsi="Arial" w:cs="Arial"/>
            <w:bCs/>
            <w:sz w:val="18"/>
            <w:szCs w:val="18"/>
            <w:lang w:val="pt-BR"/>
          </w:rPr>
          <w:instrText xml:space="preserve"> PAGE </w:instrText>
        </w:r>
        <w:r w:rsidRPr="00E324BF">
          <w:rPr>
            <w:rFonts w:ascii="Arial" w:hAnsi="Arial" w:cs="Arial"/>
            <w:bCs/>
            <w:sz w:val="18"/>
            <w:szCs w:val="18"/>
          </w:rPr>
          <w:fldChar w:fldCharType="separate"/>
        </w:r>
        <w:r>
          <w:rPr>
            <w:rFonts w:ascii="Arial" w:hAnsi="Arial" w:cs="Arial"/>
            <w:bCs/>
            <w:sz w:val="18"/>
            <w:szCs w:val="18"/>
          </w:rPr>
          <w:t>1</w:t>
        </w:r>
        <w:r w:rsidRPr="00E324BF">
          <w:rPr>
            <w:rFonts w:ascii="Arial" w:hAnsi="Arial" w:cs="Arial"/>
            <w:bCs/>
            <w:sz w:val="18"/>
            <w:szCs w:val="18"/>
          </w:rPr>
          <w:fldChar w:fldCharType="end"/>
        </w:r>
        <w:r w:rsidRPr="00E324BF">
          <w:rPr>
            <w:rFonts w:ascii="Arial" w:hAnsi="Arial" w:cs="Arial"/>
            <w:sz w:val="18"/>
            <w:szCs w:val="18"/>
            <w:lang w:val="pt-BR"/>
          </w:rPr>
          <w:t xml:space="preserve"> de </w:t>
        </w:r>
        <w:r w:rsidRPr="00E324BF">
          <w:rPr>
            <w:rFonts w:ascii="Arial" w:hAnsi="Arial" w:cs="Arial"/>
            <w:bCs/>
            <w:sz w:val="18"/>
            <w:szCs w:val="18"/>
          </w:rPr>
          <w:fldChar w:fldCharType="begin"/>
        </w:r>
        <w:r w:rsidRPr="00E324BF">
          <w:rPr>
            <w:rFonts w:ascii="Arial" w:hAnsi="Arial" w:cs="Arial"/>
            <w:bCs/>
            <w:sz w:val="18"/>
            <w:szCs w:val="18"/>
            <w:lang w:val="pt-BR"/>
          </w:rPr>
          <w:instrText xml:space="preserve"> NUMPAGES  </w:instrText>
        </w:r>
        <w:r w:rsidRPr="00E324BF">
          <w:rPr>
            <w:rFonts w:ascii="Arial" w:hAnsi="Arial" w:cs="Arial"/>
            <w:bCs/>
            <w:sz w:val="18"/>
            <w:szCs w:val="18"/>
          </w:rPr>
          <w:fldChar w:fldCharType="separate"/>
        </w:r>
        <w:r>
          <w:rPr>
            <w:rFonts w:ascii="Arial" w:hAnsi="Arial" w:cs="Arial"/>
            <w:bCs/>
            <w:sz w:val="18"/>
            <w:szCs w:val="18"/>
          </w:rPr>
          <w:t>5</w:t>
        </w:r>
        <w:r w:rsidRPr="00E324BF">
          <w:rPr>
            <w:rFonts w:ascii="Arial" w:hAnsi="Arial" w:cs="Arial"/>
            <w:bCs/>
            <w:sz w:val="18"/>
            <w:szCs w:val="18"/>
          </w:rPr>
          <w:fldChar w:fldCharType="end"/>
        </w:r>
      </w:p>
    </w:sdtContent>
  </w:sdt>
  <w:p w14:paraId="68D74158" w14:textId="77777777" w:rsidR="00E8133A" w:rsidRDefault="00E8133A" w:rsidP="00E324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477648756"/>
      <w:docPartObj>
        <w:docPartGallery w:val="Page Numbers (Top of Page)"/>
        <w:docPartUnique/>
      </w:docPartObj>
    </w:sdtPr>
    <w:sdtEndPr/>
    <w:sdtContent>
      <w:p w14:paraId="116E05E4" w14:textId="77777777" w:rsidR="007F5C40" w:rsidRPr="00E324BF" w:rsidRDefault="00E8133A">
        <w:pPr>
          <w:pStyle w:val="Header"/>
          <w:jc w:val="right"/>
          <w:rPr>
            <w:rFonts w:ascii="Arial" w:hAnsi="Arial" w:cs="Arial"/>
            <w:sz w:val="18"/>
            <w:szCs w:val="18"/>
            <w:lang w:val="es-ES"/>
          </w:rPr>
        </w:pPr>
        <w:r w:rsidRPr="00E324BF">
          <w:rPr>
            <w:rFonts w:ascii="Arial" w:hAnsi="Arial" w:cs="Arial"/>
            <w:sz w:val="18"/>
            <w:szCs w:val="18"/>
            <w:lang w:val="es-ES"/>
          </w:rPr>
          <w:t>EEO#1</w:t>
        </w:r>
        <w:r w:rsidR="00EB3481" w:rsidRPr="00E324BF">
          <w:rPr>
            <w:rFonts w:ascii="Arial" w:hAnsi="Arial" w:cs="Arial"/>
            <w:sz w:val="18"/>
            <w:szCs w:val="18"/>
            <w:lang w:val="es-ES"/>
          </w:rPr>
          <w:t>-</w:t>
        </w:r>
        <w:r w:rsidR="00A21A9E" w:rsidRPr="00E324BF">
          <w:rPr>
            <w:rFonts w:ascii="Arial" w:hAnsi="Arial" w:cs="Arial"/>
            <w:sz w:val="18"/>
            <w:szCs w:val="18"/>
            <w:lang w:val="es-ES"/>
          </w:rPr>
          <w:t>PN</w:t>
        </w:r>
        <w:r w:rsidR="007F5C40" w:rsidRPr="00E324BF">
          <w:rPr>
            <w:rFonts w:ascii="Arial" w:hAnsi="Arial" w:cs="Arial"/>
            <w:sz w:val="18"/>
            <w:szCs w:val="18"/>
            <w:lang w:val="es-ES"/>
          </w:rPr>
          <w:t>-L11</w:t>
        </w:r>
        <w:r w:rsidR="00A21A9E" w:rsidRPr="00E324BF">
          <w:rPr>
            <w:rFonts w:ascii="Arial" w:hAnsi="Arial" w:cs="Arial"/>
            <w:sz w:val="18"/>
            <w:szCs w:val="18"/>
            <w:lang w:val="es-ES"/>
          </w:rPr>
          <w:t>52</w:t>
        </w:r>
      </w:p>
      <w:p w14:paraId="44E4C927" w14:textId="77777777" w:rsidR="007F5C40" w:rsidRPr="00E324BF" w:rsidRDefault="007F5C40">
        <w:pPr>
          <w:pStyle w:val="Header"/>
          <w:jc w:val="right"/>
          <w:rPr>
            <w:rFonts w:ascii="Arial" w:hAnsi="Arial" w:cs="Arial"/>
            <w:sz w:val="18"/>
            <w:szCs w:val="18"/>
            <w:lang w:val="pt-BR"/>
          </w:rPr>
        </w:pPr>
        <w:r w:rsidRPr="00E324BF">
          <w:rPr>
            <w:rFonts w:ascii="Arial" w:hAnsi="Arial" w:cs="Arial"/>
            <w:sz w:val="18"/>
            <w:szCs w:val="18"/>
            <w:lang w:val="pt-BR"/>
          </w:rPr>
          <w:t xml:space="preserve">Página </w:t>
        </w:r>
        <w:r w:rsidR="00357DB5" w:rsidRPr="00E324BF">
          <w:rPr>
            <w:rFonts w:ascii="Arial" w:hAnsi="Arial" w:cs="Arial"/>
            <w:bCs/>
            <w:sz w:val="18"/>
            <w:szCs w:val="18"/>
          </w:rPr>
          <w:fldChar w:fldCharType="begin"/>
        </w:r>
        <w:r w:rsidRPr="00E324BF">
          <w:rPr>
            <w:rFonts w:ascii="Arial" w:hAnsi="Arial" w:cs="Arial"/>
            <w:bCs/>
            <w:sz w:val="18"/>
            <w:szCs w:val="18"/>
            <w:lang w:val="pt-BR"/>
          </w:rPr>
          <w:instrText xml:space="preserve"> PAGE </w:instrText>
        </w:r>
        <w:r w:rsidR="00357DB5" w:rsidRPr="00E324BF">
          <w:rPr>
            <w:rFonts w:ascii="Arial" w:hAnsi="Arial" w:cs="Arial"/>
            <w:bCs/>
            <w:sz w:val="18"/>
            <w:szCs w:val="18"/>
          </w:rPr>
          <w:fldChar w:fldCharType="separate"/>
        </w:r>
        <w:r w:rsidR="00AC7A6A" w:rsidRPr="00E324BF">
          <w:rPr>
            <w:rFonts w:ascii="Arial" w:hAnsi="Arial" w:cs="Arial"/>
            <w:bCs/>
            <w:noProof/>
            <w:sz w:val="18"/>
            <w:szCs w:val="18"/>
            <w:lang w:val="pt-BR"/>
          </w:rPr>
          <w:t>5</w:t>
        </w:r>
        <w:r w:rsidR="00357DB5" w:rsidRPr="00E324BF">
          <w:rPr>
            <w:rFonts w:ascii="Arial" w:hAnsi="Arial" w:cs="Arial"/>
            <w:bCs/>
            <w:sz w:val="18"/>
            <w:szCs w:val="18"/>
          </w:rPr>
          <w:fldChar w:fldCharType="end"/>
        </w:r>
        <w:r w:rsidRPr="00E324BF">
          <w:rPr>
            <w:rFonts w:ascii="Arial" w:hAnsi="Arial" w:cs="Arial"/>
            <w:sz w:val="18"/>
            <w:szCs w:val="18"/>
            <w:lang w:val="pt-BR"/>
          </w:rPr>
          <w:t xml:space="preserve"> de </w:t>
        </w:r>
        <w:r w:rsidR="00357DB5" w:rsidRPr="00E324BF">
          <w:rPr>
            <w:rFonts w:ascii="Arial" w:hAnsi="Arial" w:cs="Arial"/>
            <w:bCs/>
            <w:sz w:val="18"/>
            <w:szCs w:val="18"/>
          </w:rPr>
          <w:fldChar w:fldCharType="begin"/>
        </w:r>
        <w:r w:rsidRPr="00E324BF">
          <w:rPr>
            <w:rFonts w:ascii="Arial" w:hAnsi="Arial" w:cs="Arial"/>
            <w:bCs/>
            <w:sz w:val="18"/>
            <w:szCs w:val="18"/>
            <w:lang w:val="pt-BR"/>
          </w:rPr>
          <w:instrText xml:space="preserve"> NUMPAGES  </w:instrText>
        </w:r>
        <w:r w:rsidR="00357DB5" w:rsidRPr="00E324BF">
          <w:rPr>
            <w:rFonts w:ascii="Arial" w:hAnsi="Arial" w:cs="Arial"/>
            <w:bCs/>
            <w:sz w:val="18"/>
            <w:szCs w:val="18"/>
          </w:rPr>
          <w:fldChar w:fldCharType="separate"/>
        </w:r>
        <w:r w:rsidR="00AC7A6A" w:rsidRPr="00E324BF">
          <w:rPr>
            <w:rFonts w:ascii="Arial" w:hAnsi="Arial" w:cs="Arial"/>
            <w:bCs/>
            <w:noProof/>
            <w:sz w:val="18"/>
            <w:szCs w:val="18"/>
            <w:lang w:val="pt-BR"/>
          </w:rPr>
          <w:t>5</w:t>
        </w:r>
        <w:r w:rsidR="00357DB5" w:rsidRPr="00E324BF">
          <w:rPr>
            <w:rFonts w:ascii="Arial" w:hAnsi="Arial" w:cs="Arial"/>
            <w:bCs/>
            <w:sz w:val="18"/>
            <w:szCs w:val="18"/>
          </w:rPr>
          <w:fldChar w:fldCharType="end"/>
        </w:r>
      </w:p>
    </w:sdtContent>
  </w:sdt>
  <w:p w14:paraId="1805C865" w14:textId="77777777" w:rsidR="002E5FA7" w:rsidRPr="007F5C40" w:rsidRDefault="002E5FA7">
    <w:pPr>
      <w:pStyle w:val="Heade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E184D"/>
    <w:multiLevelType w:val="multilevel"/>
    <w:tmpl w:val="2CBA390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071615DB"/>
    <w:multiLevelType w:val="hybridMultilevel"/>
    <w:tmpl w:val="F09A0E1E"/>
    <w:lvl w:ilvl="0" w:tplc="53D2FE42">
      <w:start w:val="1"/>
      <w:numFmt w:val="lowerRoman"/>
      <w:lvlText w:val="%1)"/>
      <w:lvlJc w:val="left"/>
      <w:pPr>
        <w:ind w:left="936" w:hanging="72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 w15:restartNumberingAfterBreak="0">
    <w:nsid w:val="0D594768"/>
    <w:multiLevelType w:val="multilevel"/>
    <w:tmpl w:val="DCEA8FCC"/>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23231F9B"/>
    <w:multiLevelType w:val="hybridMultilevel"/>
    <w:tmpl w:val="4EAC7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825DFE"/>
    <w:multiLevelType w:val="multilevel"/>
    <w:tmpl w:val="5CA80F24"/>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25920B9F"/>
    <w:multiLevelType w:val="hybridMultilevel"/>
    <w:tmpl w:val="9A3A3466"/>
    <w:lvl w:ilvl="0" w:tplc="7640D0A2">
      <w:start w:val="1"/>
      <w:numFmt w:val="decimal"/>
      <w:pStyle w:val="FirstHeading"/>
      <w:lvlText w:val="%1."/>
      <w:lvlJc w:val="left"/>
      <w:pPr>
        <w:tabs>
          <w:tab w:val="num" w:pos="360"/>
        </w:tabs>
        <w:ind w:left="360" w:hanging="360"/>
      </w:pPr>
      <w:rPr>
        <w:rFonts w:ascii="Times New Roman" w:hAnsi="Times New Roman" w:cs="Times New Roman" w:hint="default"/>
        <w:b/>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6" w15:restartNumberingAfterBreak="0">
    <w:nsid w:val="37847AC1"/>
    <w:multiLevelType w:val="hybridMultilevel"/>
    <w:tmpl w:val="E348BF44"/>
    <w:lvl w:ilvl="0" w:tplc="17BCCF7E">
      <w:start w:val="1"/>
      <w:numFmt w:val="lowerRoman"/>
      <w:lvlText w:val="%1)"/>
      <w:lvlJc w:val="left"/>
      <w:pPr>
        <w:ind w:left="778" w:hanging="720"/>
      </w:pPr>
      <w:rPr>
        <w:rFonts w:hint="default"/>
        <w:b w:val="0"/>
      </w:rPr>
    </w:lvl>
    <w:lvl w:ilvl="1" w:tplc="04090019" w:tentative="1">
      <w:start w:val="1"/>
      <w:numFmt w:val="lowerLetter"/>
      <w:lvlText w:val="%2."/>
      <w:lvlJc w:val="left"/>
      <w:pPr>
        <w:ind w:left="1138" w:hanging="360"/>
      </w:pPr>
    </w:lvl>
    <w:lvl w:ilvl="2" w:tplc="0409001B" w:tentative="1">
      <w:start w:val="1"/>
      <w:numFmt w:val="lowerRoman"/>
      <w:lvlText w:val="%3."/>
      <w:lvlJc w:val="right"/>
      <w:pPr>
        <w:ind w:left="1858" w:hanging="180"/>
      </w:pPr>
    </w:lvl>
    <w:lvl w:ilvl="3" w:tplc="0409000F" w:tentative="1">
      <w:start w:val="1"/>
      <w:numFmt w:val="decimal"/>
      <w:lvlText w:val="%4."/>
      <w:lvlJc w:val="left"/>
      <w:pPr>
        <w:ind w:left="2578" w:hanging="360"/>
      </w:pPr>
    </w:lvl>
    <w:lvl w:ilvl="4" w:tplc="04090019" w:tentative="1">
      <w:start w:val="1"/>
      <w:numFmt w:val="lowerLetter"/>
      <w:lvlText w:val="%5."/>
      <w:lvlJc w:val="left"/>
      <w:pPr>
        <w:ind w:left="3298" w:hanging="360"/>
      </w:pPr>
    </w:lvl>
    <w:lvl w:ilvl="5" w:tplc="0409001B" w:tentative="1">
      <w:start w:val="1"/>
      <w:numFmt w:val="lowerRoman"/>
      <w:lvlText w:val="%6."/>
      <w:lvlJc w:val="right"/>
      <w:pPr>
        <w:ind w:left="4018" w:hanging="180"/>
      </w:pPr>
    </w:lvl>
    <w:lvl w:ilvl="6" w:tplc="0409000F" w:tentative="1">
      <w:start w:val="1"/>
      <w:numFmt w:val="decimal"/>
      <w:lvlText w:val="%7."/>
      <w:lvlJc w:val="left"/>
      <w:pPr>
        <w:ind w:left="4738" w:hanging="360"/>
      </w:pPr>
    </w:lvl>
    <w:lvl w:ilvl="7" w:tplc="04090019" w:tentative="1">
      <w:start w:val="1"/>
      <w:numFmt w:val="lowerLetter"/>
      <w:lvlText w:val="%8."/>
      <w:lvlJc w:val="left"/>
      <w:pPr>
        <w:ind w:left="5458" w:hanging="360"/>
      </w:pPr>
    </w:lvl>
    <w:lvl w:ilvl="8" w:tplc="0409001B" w:tentative="1">
      <w:start w:val="1"/>
      <w:numFmt w:val="lowerRoman"/>
      <w:lvlText w:val="%9."/>
      <w:lvlJc w:val="right"/>
      <w:pPr>
        <w:ind w:left="6178" w:hanging="180"/>
      </w:pPr>
    </w:lvl>
  </w:abstractNum>
  <w:abstractNum w:abstractNumId="7" w15:restartNumberingAfterBreak="0">
    <w:nsid w:val="3C0F4DC6"/>
    <w:multiLevelType w:val="multilevel"/>
    <w:tmpl w:val="63A2AAD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422E2A78"/>
    <w:multiLevelType w:val="multilevel"/>
    <w:tmpl w:val="1FA69AB4"/>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4DB434C1"/>
    <w:multiLevelType w:val="hybridMultilevel"/>
    <w:tmpl w:val="FCBE9A74"/>
    <w:lvl w:ilvl="0" w:tplc="5F4C69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105129"/>
    <w:multiLevelType w:val="hybridMultilevel"/>
    <w:tmpl w:val="ACE0C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8A0273"/>
    <w:multiLevelType w:val="hybridMultilevel"/>
    <w:tmpl w:val="A5EE4612"/>
    <w:lvl w:ilvl="0" w:tplc="4B5A518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15:restartNumberingAfterBreak="0">
    <w:nsid w:val="6381085D"/>
    <w:multiLevelType w:val="hybridMultilevel"/>
    <w:tmpl w:val="E88AACE0"/>
    <w:lvl w:ilvl="0" w:tplc="2EFE246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FC7F3C"/>
    <w:multiLevelType w:val="multilevel"/>
    <w:tmpl w:val="EF508C1E"/>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716628A8"/>
    <w:multiLevelType w:val="multilevel"/>
    <w:tmpl w:val="B8D4263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62D6801"/>
    <w:multiLevelType w:val="multilevel"/>
    <w:tmpl w:val="F836B99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7D43487D"/>
    <w:multiLevelType w:val="hybridMultilevel"/>
    <w:tmpl w:val="6602C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
  </w:num>
  <w:num w:numId="4">
    <w:abstractNumId w:val="9"/>
  </w:num>
  <w:num w:numId="5">
    <w:abstractNumId w:val="8"/>
  </w:num>
  <w:num w:numId="6">
    <w:abstractNumId w:val="15"/>
  </w:num>
  <w:num w:numId="7">
    <w:abstractNumId w:val="7"/>
  </w:num>
  <w:num w:numId="8">
    <w:abstractNumId w:val="14"/>
  </w:num>
  <w:num w:numId="9">
    <w:abstractNumId w:val="0"/>
  </w:num>
  <w:num w:numId="10">
    <w:abstractNumId w:val="4"/>
  </w:num>
  <w:num w:numId="11">
    <w:abstractNumId w:val="2"/>
  </w:num>
  <w:num w:numId="12">
    <w:abstractNumId w:val="13"/>
  </w:num>
  <w:num w:numId="13">
    <w:abstractNumId w:val="6"/>
  </w:num>
  <w:num w:numId="14">
    <w:abstractNumId w:val="10"/>
  </w:num>
  <w:num w:numId="15">
    <w:abstractNumId w:val="12"/>
  </w:num>
  <w:num w:numId="16">
    <w:abstractNumId w:val="1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2D5"/>
    <w:rsid w:val="0000218D"/>
    <w:rsid w:val="000165B5"/>
    <w:rsid w:val="00020FFC"/>
    <w:rsid w:val="000376E1"/>
    <w:rsid w:val="00037A7E"/>
    <w:rsid w:val="00062633"/>
    <w:rsid w:val="000628EA"/>
    <w:rsid w:val="000812B7"/>
    <w:rsid w:val="000875C5"/>
    <w:rsid w:val="00090403"/>
    <w:rsid w:val="000B0FCF"/>
    <w:rsid w:val="000C5AAD"/>
    <w:rsid w:val="000D0DD9"/>
    <w:rsid w:val="000D2487"/>
    <w:rsid w:val="000D462B"/>
    <w:rsid w:val="000E5B65"/>
    <w:rsid w:val="00101403"/>
    <w:rsid w:val="0011051A"/>
    <w:rsid w:val="001257B7"/>
    <w:rsid w:val="00131D8C"/>
    <w:rsid w:val="0013238F"/>
    <w:rsid w:val="00135FEA"/>
    <w:rsid w:val="00137DAB"/>
    <w:rsid w:val="001446AF"/>
    <w:rsid w:val="00153BFE"/>
    <w:rsid w:val="001540D1"/>
    <w:rsid w:val="00154794"/>
    <w:rsid w:val="00156F9F"/>
    <w:rsid w:val="0016605A"/>
    <w:rsid w:val="00170637"/>
    <w:rsid w:val="00170BB3"/>
    <w:rsid w:val="001869E7"/>
    <w:rsid w:val="001945FB"/>
    <w:rsid w:val="00197DF1"/>
    <w:rsid w:val="001A67DB"/>
    <w:rsid w:val="001C28C8"/>
    <w:rsid w:val="001C7B9C"/>
    <w:rsid w:val="001D0A60"/>
    <w:rsid w:val="001D5BCC"/>
    <w:rsid w:val="001E4BA2"/>
    <w:rsid w:val="001F0395"/>
    <w:rsid w:val="001F5072"/>
    <w:rsid w:val="002000B7"/>
    <w:rsid w:val="00203128"/>
    <w:rsid w:val="00212CD1"/>
    <w:rsid w:val="002167C7"/>
    <w:rsid w:val="0021797F"/>
    <w:rsid w:val="00225E78"/>
    <w:rsid w:val="0023093A"/>
    <w:rsid w:val="00262FE4"/>
    <w:rsid w:val="002752AE"/>
    <w:rsid w:val="00285568"/>
    <w:rsid w:val="002873B7"/>
    <w:rsid w:val="0029174C"/>
    <w:rsid w:val="00293DA9"/>
    <w:rsid w:val="002A5894"/>
    <w:rsid w:val="002A7128"/>
    <w:rsid w:val="002B0B6D"/>
    <w:rsid w:val="002C5687"/>
    <w:rsid w:val="002D778B"/>
    <w:rsid w:val="002E5FA7"/>
    <w:rsid w:val="002F2232"/>
    <w:rsid w:val="00302E79"/>
    <w:rsid w:val="00304455"/>
    <w:rsid w:val="00313582"/>
    <w:rsid w:val="00330415"/>
    <w:rsid w:val="00332B4E"/>
    <w:rsid w:val="00334CA9"/>
    <w:rsid w:val="003400B1"/>
    <w:rsid w:val="003517EB"/>
    <w:rsid w:val="003534B8"/>
    <w:rsid w:val="00357DB5"/>
    <w:rsid w:val="00357F1E"/>
    <w:rsid w:val="003659CC"/>
    <w:rsid w:val="00383418"/>
    <w:rsid w:val="003B1AA8"/>
    <w:rsid w:val="003B3C75"/>
    <w:rsid w:val="003D252E"/>
    <w:rsid w:val="003D7DCE"/>
    <w:rsid w:val="003F4481"/>
    <w:rsid w:val="003F5068"/>
    <w:rsid w:val="003F6EBC"/>
    <w:rsid w:val="004252D5"/>
    <w:rsid w:val="004518B1"/>
    <w:rsid w:val="00457EBF"/>
    <w:rsid w:val="0046548B"/>
    <w:rsid w:val="00476A13"/>
    <w:rsid w:val="00480586"/>
    <w:rsid w:val="0049611B"/>
    <w:rsid w:val="004961DF"/>
    <w:rsid w:val="00496667"/>
    <w:rsid w:val="004C0268"/>
    <w:rsid w:val="004E4EDF"/>
    <w:rsid w:val="004F4A34"/>
    <w:rsid w:val="005127A8"/>
    <w:rsid w:val="005231B9"/>
    <w:rsid w:val="00547457"/>
    <w:rsid w:val="00550139"/>
    <w:rsid w:val="005614B2"/>
    <w:rsid w:val="00567E9B"/>
    <w:rsid w:val="00574B0A"/>
    <w:rsid w:val="00581677"/>
    <w:rsid w:val="00582D1F"/>
    <w:rsid w:val="00591392"/>
    <w:rsid w:val="00594AF0"/>
    <w:rsid w:val="005A0243"/>
    <w:rsid w:val="005A106C"/>
    <w:rsid w:val="005A3250"/>
    <w:rsid w:val="005D2D27"/>
    <w:rsid w:val="005D3E11"/>
    <w:rsid w:val="005D5881"/>
    <w:rsid w:val="005E0CA2"/>
    <w:rsid w:val="005E2217"/>
    <w:rsid w:val="005E30DF"/>
    <w:rsid w:val="005E6A3E"/>
    <w:rsid w:val="005F5D70"/>
    <w:rsid w:val="00601E37"/>
    <w:rsid w:val="00620FD8"/>
    <w:rsid w:val="006372C9"/>
    <w:rsid w:val="0065387E"/>
    <w:rsid w:val="00660413"/>
    <w:rsid w:val="0066416C"/>
    <w:rsid w:val="00664B49"/>
    <w:rsid w:val="006673C6"/>
    <w:rsid w:val="00685981"/>
    <w:rsid w:val="00687242"/>
    <w:rsid w:val="006952A3"/>
    <w:rsid w:val="00696B1F"/>
    <w:rsid w:val="006A619E"/>
    <w:rsid w:val="006C0710"/>
    <w:rsid w:val="006C5297"/>
    <w:rsid w:val="006C7A13"/>
    <w:rsid w:val="006D6D1C"/>
    <w:rsid w:val="006E2591"/>
    <w:rsid w:val="006F16C4"/>
    <w:rsid w:val="006F5AEC"/>
    <w:rsid w:val="007002A4"/>
    <w:rsid w:val="00704009"/>
    <w:rsid w:val="00705049"/>
    <w:rsid w:val="007062F8"/>
    <w:rsid w:val="0072179E"/>
    <w:rsid w:val="00724361"/>
    <w:rsid w:val="00725A19"/>
    <w:rsid w:val="0073073E"/>
    <w:rsid w:val="0073552F"/>
    <w:rsid w:val="007401EC"/>
    <w:rsid w:val="007459FF"/>
    <w:rsid w:val="00746B4A"/>
    <w:rsid w:val="0075094E"/>
    <w:rsid w:val="00755A5F"/>
    <w:rsid w:val="00770221"/>
    <w:rsid w:val="00776A94"/>
    <w:rsid w:val="007958BC"/>
    <w:rsid w:val="007A1AC9"/>
    <w:rsid w:val="007A5302"/>
    <w:rsid w:val="007A7191"/>
    <w:rsid w:val="007B249E"/>
    <w:rsid w:val="007B2E89"/>
    <w:rsid w:val="007B3147"/>
    <w:rsid w:val="007D25BF"/>
    <w:rsid w:val="007D4DBA"/>
    <w:rsid w:val="007E00CD"/>
    <w:rsid w:val="007E3C07"/>
    <w:rsid w:val="007E7FA3"/>
    <w:rsid w:val="007F0595"/>
    <w:rsid w:val="007F0AA5"/>
    <w:rsid w:val="007F5C40"/>
    <w:rsid w:val="00805246"/>
    <w:rsid w:val="00805AA8"/>
    <w:rsid w:val="00806203"/>
    <w:rsid w:val="00807A38"/>
    <w:rsid w:val="00814E9F"/>
    <w:rsid w:val="008165E0"/>
    <w:rsid w:val="0084390F"/>
    <w:rsid w:val="0085483C"/>
    <w:rsid w:val="00855261"/>
    <w:rsid w:val="00874A47"/>
    <w:rsid w:val="00886E0B"/>
    <w:rsid w:val="008A3AAD"/>
    <w:rsid w:val="008A3B8D"/>
    <w:rsid w:val="008C0DF6"/>
    <w:rsid w:val="008C48A3"/>
    <w:rsid w:val="008C5986"/>
    <w:rsid w:val="008D0D5E"/>
    <w:rsid w:val="008F7C0B"/>
    <w:rsid w:val="008F7F08"/>
    <w:rsid w:val="00906CCF"/>
    <w:rsid w:val="00910EAF"/>
    <w:rsid w:val="0091348D"/>
    <w:rsid w:val="009166FD"/>
    <w:rsid w:val="009428D7"/>
    <w:rsid w:val="00944BEC"/>
    <w:rsid w:val="00944E88"/>
    <w:rsid w:val="009563C2"/>
    <w:rsid w:val="009608D7"/>
    <w:rsid w:val="00970BBB"/>
    <w:rsid w:val="0097474D"/>
    <w:rsid w:val="00982DEC"/>
    <w:rsid w:val="009C09D8"/>
    <w:rsid w:val="009C1BB0"/>
    <w:rsid w:val="009C40A2"/>
    <w:rsid w:val="009C4300"/>
    <w:rsid w:val="009C4BBC"/>
    <w:rsid w:val="009F0424"/>
    <w:rsid w:val="00A0275F"/>
    <w:rsid w:val="00A13407"/>
    <w:rsid w:val="00A206E9"/>
    <w:rsid w:val="00A21A9E"/>
    <w:rsid w:val="00A33F92"/>
    <w:rsid w:val="00A408E3"/>
    <w:rsid w:val="00A608D1"/>
    <w:rsid w:val="00A6321D"/>
    <w:rsid w:val="00A80512"/>
    <w:rsid w:val="00A83166"/>
    <w:rsid w:val="00A913D1"/>
    <w:rsid w:val="00A92C8B"/>
    <w:rsid w:val="00A97225"/>
    <w:rsid w:val="00AB2C1F"/>
    <w:rsid w:val="00AB6592"/>
    <w:rsid w:val="00AC2AD1"/>
    <w:rsid w:val="00AC7A6A"/>
    <w:rsid w:val="00AD7AAD"/>
    <w:rsid w:val="00AE0F14"/>
    <w:rsid w:val="00AE14ED"/>
    <w:rsid w:val="00AE789C"/>
    <w:rsid w:val="00B00720"/>
    <w:rsid w:val="00B00C3F"/>
    <w:rsid w:val="00B17979"/>
    <w:rsid w:val="00B26DAF"/>
    <w:rsid w:val="00B374A8"/>
    <w:rsid w:val="00B46EAC"/>
    <w:rsid w:val="00B473E9"/>
    <w:rsid w:val="00B64450"/>
    <w:rsid w:val="00B97F71"/>
    <w:rsid w:val="00BB68C6"/>
    <w:rsid w:val="00BC2ED0"/>
    <w:rsid w:val="00BC3BA3"/>
    <w:rsid w:val="00BC7B93"/>
    <w:rsid w:val="00BE7378"/>
    <w:rsid w:val="00BF7926"/>
    <w:rsid w:val="00C0415C"/>
    <w:rsid w:val="00C04AF6"/>
    <w:rsid w:val="00C127B0"/>
    <w:rsid w:val="00C26C9C"/>
    <w:rsid w:val="00C32C58"/>
    <w:rsid w:val="00C35F61"/>
    <w:rsid w:val="00C51812"/>
    <w:rsid w:val="00C5345E"/>
    <w:rsid w:val="00C6418A"/>
    <w:rsid w:val="00C70EE3"/>
    <w:rsid w:val="00C76990"/>
    <w:rsid w:val="00C771DF"/>
    <w:rsid w:val="00C8636C"/>
    <w:rsid w:val="00CB1C31"/>
    <w:rsid w:val="00CC1521"/>
    <w:rsid w:val="00CE2635"/>
    <w:rsid w:val="00D03467"/>
    <w:rsid w:val="00D1079B"/>
    <w:rsid w:val="00D24970"/>
    <w:rsid w:val="00D32601"/>
    <w:rsid w:val="00D327CA"/>
    <w:rsid w:val="00D47677"/>
    <w:rsid w:val="00D5398F"/>
    <w:rsid w:val="00D5700F"/>
    <w:rsid w:val="00D57AD5"/>
    <w:rsid w:val="00D57AD9"/>
    <w:rsid w:val="00D64D9B"/>
    <w:rsid w:val="00D730CA"/>
    <w:rsid w:val="00D82BCE"/>
    <w:rsid w:val="00D8650F"/>
    <w:rsid w:val="00D870B0"/>
    <w:rsid w:val="00DA2460"/>
    <w:rsid w:val="00DA3579"/>
    <w:rsid w:val="00DA7B9E"/>
    <w:rsid w:val="00DB049F"/>
    <w:rsid w:val="00DB4811"/>
    <w:rsid w:val="00DC6B3E"/>
    <w:rsid w:val="00DC7E36"/>
    <w:rsid w:val="00DD6014"/>
    <w:rsid w:val="00DE56BF"/>
    <w:rsid w:val="00E03A90"/>
    <w:rsid w:val="00E24085"/>
    <w:rsid w:val="00E273E5"/>
    <w:rsid w:val="00E3100A"/>
    <w:rsid w:val="00E324BF"/>
    <w:rsid w:val="00E36737"/>
    <w:rsid w:val="00E4764F"/>
    <w:rsid w:val="00E66782"/>
    <w:rsid w:val="00E8133A"/>
    <w:rsid w:val="00E820C4"/>
    <w:rsid w:val="00EB3481"/>
    <w:rsid w:val="00EB57D0"/>
    <w:rsid w:val="00ED6741"/>
    <w:rsid w:val="00EE76D1"/>
    <w:rsid w:val="00EF22CE"/>
    <w:rsid w:val="00F04516"/>
    <w:rsid w:val="00F0464B"/>
    <w:rsid w:val="00F14152"/>
    <w:rsid w:val="00F14A63"/>
    <w:rsid w:val="00F15923"/>
    <w:rsid w:val="00F212E1"/>
    <w:rsid w:val="00F27000"/>
    <w:rsid w:val="00F34673"/>
    <w:rsid w:val="00F35E14"/>
    <w:rsid w:val="00F37155"/>
    <w:rsid w:val="00F4704A"/>
    <w:rsid w:val="00F50683"/>
    <w:rsid w:val="00F50715"/>
    <w:rsid w:val="00F511FC"/>
    <w:rsid w:val="00F53148"/>
    <w:rsid w:val="00F53488"/>
    <w:rsid w:val="00F56CC0"/>
    <w:rsid w:val="00F60FC4"/>
    <w:rsid w:val="00F610EA"/>
    <w:rsid w:val="00F74396"/>
    <w:rsid w:val="00F76ECE"/>
    <w:rsid w:val="00F803E9"/>
    <w:rsid w:val="00F83C76"/>
    <w:rsid w:val="00FA508D"/>
    <w:rsid w:val="00FB4BC4"/>
    <w:rsid w:val="00FB746B"/>
    <w:rsid w:val="00FC0578"/>
    <w:rsid w:val="00FC4F91"/>
    <w:rsid w:val="00FD36AD"/>
    <w:rsid w:val="00FD4163"/>
    <w:rsid w:val="00FD65A9"/>
    <w:rsid w:val="00FE61EF"/>
    <w:rsid w:val="00FF1E76"/>
    <w:rsid w:val="00FF5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D0B171"/>
  <w15:docId w15:val="{D0E432ED-647E-4CAA-93D2-D21F76139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F5C40"/>
    <w:pPr>
      <w:keepNext/>
      <w:keepLines/>
      <w:numPr>
        <w:ilvl w:val="1"/>
        <w:numId w:val="5"/>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F5C40"/>
    <w:pPr>
      <w:keepNext/>
      <w:keepLines/>
      <w:numPr>
        <w:ilvl w:val="2"/>
        <w:numId w:val="5"/>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F5C40"/>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F5C40"/>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F5C40"/>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F5C40"/>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F5C40"/>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F5C40"/>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rsid w:val="004252D5"/>
    <w:pPr>
      <w:spacing w:after="0" w:line="240" w:lineRule="auto"/>
      <w:ind w:left="72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E5F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5FA7"/>
  </w:style>
  <w:style w:type="paragraph" w:styleId="Footer">
    <w:name w:val="footer"/>
    <w:basedOn w:val="Normal"/>
    <w:link w:val="FooterChar"/>
    <w:uiPriority w:val="99"/>
    <w:unhideWhenUsed/>
    <w:rsid w:val="002E5F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5FA7"/>
  </w:style>
  <w:style w:type="paragraph" w:styleId="BalloonText">
    <w:name w:val="Balloon Text"/>
    <w:basedOn w:val="Normal"/>
    <w:link w:val="BalloonTextChar"/>
    <w:uiPriority w:val="99"/>
    <w:semiHidden/>
    <w:unhideWhenUsed/>
    <w:rsid w:val="002E5F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FA7"/>
    <w:rPr>
      <w:rFonts w:ascii="Tahoma" w:hAnsi="Tahoma" w:cs="Tahoma"/>
      <w:sz w:val="16"/>
      <w:szCs w:val="16"/>
    </w:rPr>
  </w:style>
  <w:style w:type="character" w:styleId="CommentReference">
    <w:name w:val="annotation reference"/>
    <w:basedOn w:val="DefaultParagraphFont"/>
    <w:uiPriority w:val="99"/>
    <w:semiHidden/>
    <w:unhideWhenUsed/>
    <w:rsid w:val="0000218D"/>
    <w:rPr>
      <w:sz w:val="16"/>
      <w:szCs w:val="16"/>
    </w:rPr>
  </w:style>
  <w:style w:type="paragraph" w:styleId="CommentText">
    <w:name w:val="annotation text"/>
    <w:basedOn w:val="Normal"/>
    <w:link w:val="CommentTextChar"/>
    <w:uiPriority w:val="99"/>
    <w:semiHidden/>
    <w:unhideWhenUsed/>
    <w:rsid w:val="0000218D"/>
    <w:pPr>
      <w:spacing w:line="240" w:lineRule="auto"/>
    </w:pPr>
    <w:rPr>
      <w:sz w:val="20"/>
      <w:szCs w:val="20"/>
    </w:rPr>
  </w:style>
  <w:style w:type="character" w:customStyle="1" w:styleId="CommentTextChar">
    <w:name w:val="Comment Text Char"/>
    <w:basedOn w:val="DefaultParagraphFont"/>
    <w:link w:val="CommentText"/>
    <w:uiPriority w:val="99"/>
    <w:semiHidden/>
    <w:rsid w:val="0000218D"/>
    <w:rPr>
      <w:sz w:val="20"/>
      <w:szCs w:val="20"/>
    </w:rPr>
  </w:style>
  <w:style w:type="paragraph" w:styleId="CommentSubject">
    <w:name w:val="annotation subject"/>
    <w:basedOn w:val="CommentText"/>
    <w:next w:val="CommentText"/>
    <w:link w:val="CommentSubjectChar"/>
    <w:uiPriority w:val="99"/>
    <w:semiHidden/>
    <w:unhideWhenUsed/>
    <w:rsid w:val="0000218D"/>
    <w:rPr>
      <w:b/>
      <w:bCs/>
    </w:rPr>
  </w:style>
  <w:style w:type="character" w:customStyle="1" w:styleId="CommentSubjectChar">
    <w:name w:val="Comment Subject Char"/>
    <w:basedOn w:val="CommentTextChar"/>
    <w:link w:val="CommentSubject"/>
    <w:uiPriority w:val="99"/>
    <w:semiHidden/>
    <w:rsid w:val="0000218D"/>
    <w:rPr>
      <w:b/>
      <w:bCs/>
      <w:sz w:val="20"/>
      <w:szCs w:val="20"/>
    </w:rPr>
  </w:style>
  <w:style w:type="paragraph" w:styleId="ListParagraph">
    <w:name w:val="List Paragraph"/>
    <w:basedOn w:val="Normal"/>
    <w:uiPriority w:val="34"/>
    <w:qFormat/>
    <w:rsid w:val="00101403"/>
    <w:pPr>
      <w:ind w:left="720"/>
      <w:contextualSpacing/>
    </w:pPr>
  </w:style>
  <w:style w:type="paragraph" w:customStyle="1" w:styleId="Chapter">
    <w:name w:val="Chapter"/>
    <w:basedOn w:val="Normal"/>
    <w:next w:val="Normal"/>
    <w:link w:val="ChapterChar"/>
    <w:rsid w:val="007F5C40"/>
    <w:pPr>
      <w:keepNext/>
      <w:numPr>
        <w:numId w:val="5"/>
      </w:numPr>
      <w:tabs>
        <w:tab w:val="num" w:pos="648"/>
        <w:tab w:val="left" w:pos="1440"/>
      </w:tabs>
      <w:spacing w:before="240" w:after="240" w:line="240" w:lineRule="auto"/>
      <w:ind w:left="0" w:firstLine="288"/>
      <w:jc w:val="center"/>
    </w:pPr>
    <w:rPr>
      <w:rFonts w:ascii="Times New Roman" w:hAnsi="Times New Roman" w:cs="Times New Roman"/>
      <w:b/>
      <w:smallCaps/>
      <w:sz w:val="24"/>
      <w:szCs w:val="20"/>
      <w:lang w:val="es-ES_tradnl"/>
    </w:rPr>
  </w:style>
  <w:style w:type="character" w:customStyle="1" w:styleId="ChapterChar">
    <w:name w:val="Chapter Char"/>
    <w:basedOn w:val="DefaultParagraphFont"/>
    <w:link w:val="Chapter"/>
    <w:rsid w:val="007F5C40"/>
    <w:rPr>
      <w:rFonts w:ascii="Times New Roman" w:hAnsi="Times New Roman" w:cs="Times New Roman"/>
      <w:b/>
      <w:smallCaps/>
      <w:sz w:val="24"/>
      <w:szCs w:val="20"/>
      <w:lang w:val="es-ES_tradnl"/>
    </w:rPr>
  </w:style>
  <w:style w:type="paragraph" w:customStyle="1" w:styleId="FirstHeading">
    <w:name w:val="FirstHeading"/>
    <w:basedOn w:val="Normal"/>
    <w:next w:val="Normal"/>
    <w:link w:val="FirstHeadingChar"/>
    <w:rsid w:val="007F5C40"/>
    <w:pPr>
      <w:keepNext/>
      <w:numPr>
        <w:numId w:val="1"/>
      </w:numPr>
      <w:tabs>
        <w:tab w:val="clear" w:pos="360"/>
        <w:tab w:val="left" w:pos="0"/>
        <w:tab w:val="left" w:pos="86"/>
      </w:tabs>
      <w:spacing w:before="120" w:after="120" w:line="240" w:lineRule="auto"/>
      <w:ind w:left="720" w:hanging="720"/>
    </w:pPr>
    <w:rPr>
      <w:rFonts w:ascii="Times New Roman" w:hAnsi="Times New Roman" w:cs="Times New Roman"/>
      <w:b/>
      <w:sz w:val="24"/>
      <w:szCs w:val="20"/>
      <w:lang w:val="es-ES_tradnl"/>
    </w:rPr>
  </w:style>
  <w:style w:type="character" w:customStyle="1" w:styleId="FirstHeadingChar">
    <w:name w:val="FirstHeading Char"/>
    <w:basedOn w:val="DefaultParagraphFont"/>
    <w:link w:val="FirstHeading"/>
    <w:rsid w:val="007F5C40"/>
    <w:rPr>
      <w:rFonts w:ascii="Times New Roman" w:hAnsi="Times New Roman" w:cs="Times New Roman"/>
      <w:b/>
      <w:sz w:val="24"/>
      <w:szCs w:val="20"/>
      <w:lang w:val="es-ES_tradnl"/>
    </w:rPr>
  </w:style>
  <w:style w:type="paragraph" w:customStyle="1" w:styleId="SecHeading">
    <w:name w:val="SecHeading"/>
    <w:basedOn w:val="Normal"/>
    <w:next w:val="Paragraph"/>
    <w:link w:val="SecHeadingChar"/>
    <w:rsid w:val="007F5C40"/>
    <w:pPr>
      <w:keepNext/>
      <w:tabs>
        <w:tab w:val="num" w:pos="1296"/>
      </w:tabs>
      <w:spacing w:before="120" w:after="120" w:line="240" w:lineRule="auto"/>
      <w:ind w:left="1296" w:hanging="576"/>
    </w:pPr>
    <w:rPr>
      <w:rFonts w:ascii="Times New Roman" w:hAnsi="Times New Roman" w:cs="Times New Roman"/>
      <w:b/>
      <w:sz w:val="24"/>
      <w:szCs w:val="20"/>
      <w:lang w:val="es-ES_tradnl"/>
    </w:rPr>
  </w:style>
  <w:style w:type="character" w:customStyle="1" w:styleId="SecHeadingChar">
    <w:name w:val="SecHeading Char"/>
    <w:basedOn w:val="DefaultParagraphFont"/>
    <w:link w:val="SecHeading"/>
    <w:rsid w:val="007F5C40"/>
    <w:rPr>
      <w:rFonts w:ascii="Times New Roman" w:hAnsi="Times New Roman" w:cs="Times New Roman"/>
      <w:b/>
      <w:sz w:val="24"/>
      <w:szCs w:val="20"/>
      <w:lang w:val="es-ES_tradnl"/>
    </w:rPr>
  </w:style>
  <w:style w:type="paragraph" w:customStyle="1" w:styleId="SubHeading1">
    <w:name w:val="SubHeading1"/>
    <w:basedOn w:val="SecHeading"/>
    <w:link w:val="SubHeading1Char"/>
    <w:rsid w:val="007F5C40"/>
    <w:pPr>
      <w:tabs>
        <w:tab w:val="clear" w:pos="1296"/>
        <w:tab w:val="num" w:pos="1872"/>
      </w:tabs>
      <w:ind w:left="1872"/>
    </w:pPr>
  </w:style>
  <w:style w:type="character" w:customStyle="1" w:styleId="SubHeading1Char">
    <w:name w:val="SubHeading1 Char"/>
    <w:basedOn w:val="DefaultParagraphFont"/>
    <w:link w:val="SubHeading1"/>
    <w:rsid w:val="007F5C40"/>
    <w:rPr>
      <w:rFonts w:ascii="Times New Roman" w:hAnsi="Times New Roman" w:cs="Times New Roman"/>
      <w:b/>
      <w:sz w:val="24"/>
      <w:szCs w:val="20"/>
      <w:lang w:val="es-ES_tradnl"/>
    </w:rPr>
  </w:style>
  <w:style w:type="paragraph" w:customStyle="1" w:styleId="Subheading2">
    <w:name w:val="Subheading2"/>
    <w:basedOn w:val="SecHeading"/>
    <w:link w:val="Subheading2Char"/>
    <w:rsid w:val="007F5C40"/>
    <w:pPr>
      <w:tabs>
        <w:tab w:val="clear" w:pos="1296"/>
        <w:tab w:val="num" w:pos="2376"/>
      </w:tabs>
      <w:ind w:left="2376" w:hanging="288"/>
    </w:pPr>
  </w:style>
  <w:style w:type="character" w:customStyle="1" w:styleId="Subheading2Char">
    <w:name w:val="Subheading2 Char"/>
    <w:basedOn w:val="DefaultParagraphFont"/>
    <w:link w:val="Subheading2"/>
    <w:rsid w:val="007F5C40"/>
    <w:rPr>
      <w:rFonts w:ascii="Times New Roman" w:hAnsi="Times New Roman" w:cs="Times New Roman"/>
      <w:b/>
      <w:sz w:val="24"/>
      <w:szCs w:val="20"/>
      <w:lang w:val="es-ES_tradnl"/>
    </w:rPr>
  </w:style>
  <w:style w:type="paragraph" w:customStyle="1" w:styleId="Paragraph">
    <w:name w:val="Paragraph"/>
    <w:basedOn w:val="BodyTextIndent"/>
    <w:link w:val="ParagraphChar"/>
    <w:rsid w:val="007F5C40"/>
    <w:pPr>
      <w:tabs>
        <w:tab w:val="num" w:pos="720"/>
      </w:tabs>
      <w:spacing w:before="120"/>
      <w:ind w:left="720" w:hanging="720"/>
      <w:jc w:val="both"/>
      <w:outlineLvl w:val="1"/>
    </w:pPr>
    <w:rPr>
      <w:szCs w:val="20"/>
      <w:lang w:val="es-ES_tradnl"/>
    </w:rPr>
  </w:style>
  <w:style w:type="character" w:customStyle="1" w:styleId="ParagraphChar">
    <w:name w:val="Paragraph Char"/>
    <w:basedOn w:val="DefaultParagraphFont"/>
    <w:link w:val="Paragraph"/>
    <w:rsid w:val="007F5C40"/>
    <w:rPr>
      <w:rFonts w:ascii="Times New Roman" w:hAnsi="Times New Roman" w:cs="Times New Roman"/>
      <w:sz w:val="24"/>
      <w:szCs w:val="20"/>
      <w:lang w:val="es-ES_tradnl"/>
    </w:rPr>
  </w:style>
  <w:style w:type="paragraph" w:customStyle="1" w:styleId="subpar">
    <w:name w:val="subpar"/>
    <w:basedOn w:val="BodyTextIndent3"/>
    <w:link w:val="subparChar"/>
    <w:rsid w:val="007F5C40"/>
    <w:pPr>
      <w:tabs>
        <w:tab w:val="num" w:pos="1152"/>
      </w:tabs>
      <w:spacing w:before="120"/>
      <w:ind w:left="1152" w:hanging="432"/>
      <w:jc w:val="both"/>
      <w:outlineLvl w:val="2"/>
    </w:pPr>
    <w:rPr>
      <w:szCs w:val="20"/>
      <w:lang w:val="es-ES_tradnl"/>
    </w:rPr>
  </w:style>
  <w:style w:type="character" w:customStyle="1" w:styleId="subparChar">
    <w:name w:val="subpar Char"/>
    <w:basedOn w:val="DefaultParagraphFont"/>
    <w:link w:val="subpar"/>
    <w:rsid w:val="007F5C40"/>
    <w:rPr>
      <w:rFonts w:ascii="Times New Roman" w:hAnsi="Times New Roman" w:cs="Times New Roman"/>
      <w:sz w:val="24"/>
      <w:szCs w:val="20"/>
      <w:lang w:val="es-ES_tradnl"/>
    </w:rPr>
  </w:style>
  <w:style w:type="paragraph" w:customStyle="1" w:styleId="SubSubPar">
    <w:name w:val="SubSubPar"/>
    <w:basedOn w:val="subpar"/>
    <w:link w:val="SubSubParChar"/>
    <w:rsid w:val="007F5C40"/>
    <w:pPr>
      <w:tabs>
        <w:tab w:val="clear" w:pos="1152"/>
        <w:tab w:val="left" w:pos="0"/>
        <w:tab w:val="num" w:pos="1296"/>
      </w:tabs>
      <w:ind w:left="1296" w:hanging="288"/>
    </w:pPr>
  </w:style>
  <w:style w:type="character" w:customStyle="1" w:styleId="SubSubParChar">
    <w:name w:val="SubSubPar Char"/>
    <w:basedOn w:val="DefaultParagraphFont"/>
    <w:link w:val="SubSubPar"/>
    <w:rsid w:val="007F5C40"/>
    <w:rPr>
      <w:rFonts w:ascii="Times New Roman" w:hAnsi="Times New Roman" w:cs="Times New Roman"/>
      <w:sz w:val="24"/>
      <w:szCs w:val="20"/>
      <w:lang w:val="es-ES_tradnl"/>
    </w:rPr>
  </w:style>
  <w:style w:type="paragraph" w:customStyle="1" w:styleId="Regtable">
    <w:name w:val="Regtable"/>
    <w:basedOn w:val="Normal"/>
    <w:link w:val="RegtableChar"/>
    <w:rsid w:val="007F5C40"/>
    <w:pPr>
      <w:keepLines/>
      <w:framePr w:wrap="around" w:vAnchor="text" w:hAnchor="text" w:y="1"/>
      <w:tabs>
        <w:tab w:val="num" w:pos="216"/>
      </w:tabs>
      <w:spacing w:before="20" w:after="20" w:line="240" w:lineRule="auto"/>
    </w:pPr>
    <w:rPr>
      <w:rFonts w:ascii="Times New Roman" w:hAnsi="Times New Roman" w:cs="Times New Roman"/>
      <w:sz w:val="20"/>
      <w:szCs w:val="20"/>
      <w:lang w:val="es-ES_tradnl"/>
    </w:rPr>
  </w:style>
  <w:style w:type="character" w:customStyle="1" w:styleId="RegtableChar">
    <w:name w:val="Regtable Char"/>
    <w:basedOn w:val="DefaultParagraphFont"/>
    <w:link w:val="Regtable"/>
    <w:rsid w:val="007F5C40"/>
    <w:rPr>
      <w:rFonts w:ascii="Times New Roman" w:hAnsi="Times New Roman" w:cs="Times New Roman"/>
      <w:sz w:val="20"/>
      <w:szCs w:val="20"/>
      <w:lang w:val="es-ES_tradnl"/>
    </w:rPr>
  </w:style>
  <w:style w:type="paragraph" w:customStyle="1" w:styleId="TableTitle">
    <w:name w:val="TableTitle"/>
    <w:basedOn w:val="Normal"/>
    <w:link w:val="TableTitleChar"/>
    <w:rsid w:val="007F5C40"/>
    <w:pPr>
      <w:keepNext/>
      <w:framePr w:wrap="around" w:vAnchor="text" w:hAnchor="text" w:y="1"/>
      <w:spacing w:before="20" w:after="20" w:line="240" w:lineRule="auto"/>
      <w:jc w:val="center"/>
    </w:pPr>
    <w:rPr>
      <w:rFonts w:ascii="Times New Roman Bold" w:hAnsi="Times New Roman Bold" w:cs="Times New Roman"/>
      <w:b/>
      <w:spacing w:val="-3"/>
      <w:sz w:val="20"/>
      <w:szCs w:val="20"/>
      <w:lang w:val="es-ES_tradnl"/>
    </w:rPr>
  </w:style>
  <w:style w:type="character" w:customStyle="1" w:styleId="TableTitleChar">
    <w:name w:val="TableTitle Char"/>
    <w:basedOn w:val="DefaultParagraphFont"/>
    <w:link w:val="TableTitle"/>
    <w:rsid w:val="007F5C40"/>
    <w:rPr>
      <w:rFonts w:ascii="Times New Roman Bold" w:hAnsi="Times New Roman Bold" w:cs="Times New Roman"/>
      <w:b/>
      <w:spacing w:val="-3"/>
      <w:sz w:val="20"/>
      <w:szCs w:val="20"/>
      <w:lang w:val="es-ES_tradnl"/>
    </w:rPr>
  </w:style>
  <w:style w:type="character" w:customStyle="1" w:styleId="Heading2Char">
    <w:name w:val="Heading 2 Char"/>
    <w:basedOn w:val="DefaultParagraphFont"/>
    <w:link w:val="Heading2"/>
    <w:uiPriority w:val="9"/>
    <w:semiHidden/>
    <w:rsid w:val="007F5C4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F5C4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F5C4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7F5C4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F5C4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F5C4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F5C4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F5C40"/>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7F5C40"/>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7F5C40"/>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7F5C40"/>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7F5C40"/>
    <w:rPr>
      <w:rFonts w:ascii="Times New Roman" w:hAnsi="Times New Roman" w:cs="Times New Roman"/>
      <w:sz w:val="24"/>
      <w:szCs w:val="16"/>
    </w:rPr>
  </w:style>
  <w:style w:type="paragraph" w:styleId="FootnoteText">
    <w:name w:val="footnote text"/>
    <w:basedOn w:val="Normal"/>
    <w:link w:val="FootnoteTextChar"/>
    <w:uiPriority w:val="99"/>
    <w:semiHidden/>
    <w:unhideWhenUsed/>
    <w:rsid w:val="007F5C40"/>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7F5C40"/>
    <w:rPr>
      <w:rFonts w:ascii="Times New Roman" w:hAnsi="Times New Roman" w:cs="Times New Roman"/>
      <w:spacing w:val="-3"/>
      <w:sz w:val="20"/>
      <w:szCs w:val="20"/>
    </w:rPr>
  </w:style>
  <w:style w:type="paragraph" w:customStyle="1" w:styleId="Default">
    <w:name w:val="Default"/>
    <w:rsid w:val="003F6EBC"/>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8C0DF6"/>
    <w:pPr>
      <w:spacing w:before="100" w:beforeAutospacing="1" w:after="100" w:afterAutospacing="1" w:line="240" w:lineRule="auto"/>
    </w:pPr>
    <w:rPr>
      <w:rFonts w:ascii="Times New Roman" w:eastAsia="Calibri" w:hAnsi="Times New Roman" w:cs="Times New Roman"/>
      <w:sz w:val="24"/>
      <w:szCs w:val="24"/>
      <w:lang w:val="es-ES" w:eastAsia="es-ES"/>
    </w:rPr>
  </w:style>
  <w:style w:type="character" w:styleId="FootnoteReference">
    <w:name w:val="footnote reference"/>
    <w:basedOn w:val="DefaultParagraphFont"/>
    <w:uiPriority w:val="99"/>
    <w:semiHidden/>
    <w:unhideWhenUsed/>
    <w:rsid w:val="00135F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885139">
      <w:bodyDiv w:val="1"/>
      <w:marLeft w:val="0"/>
      <w:marRight w:val="0"/>
      <w:marTop w:val="0"/>
      <w:marBottom w:val="0"/>
      <w:divBdr>
        <w:top w:val="none" w:sz="0" w:space="0" w:color="auto"/>
        <w:left w:val="none" w:sz="0" w:space="0" w:color="auto"/>
        <w:bottom w:val="none" w:sz="0" w:space="0" w:color="auto"/>
        <w:right w:val="none" w:sz="0" w:space="0" w:color="auto"/>
      </w:divBdr>
    </w:div>
    <w:div w:id="942609471">
      <w:bodyDiv w:val="1"/>
      <w:marLeft w:val="0"/>
      <w:marRight w:val="0"/>
      <w:marTop w:val="0"/>
      <w:marBottom w:val="0"/>
      <w:divBdr>
        <w:top w:val="none" w:sz="0" w:space="0" w:color="auto"/>
        <w:left w:val="none" w:sz="0" w:space="0" w:color="auto"/>
        <w:bottom w:val="none" w:sz="0" w:space="0" w:color="auto"/>
        <w:right w:val="none" w:sz="0" w:space="0" w:color="auto"/>
      </w:divBdr>
    </w:div>
    <w:div w:id="153218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customXml" Target="../customXml/item8.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customXml" Target="../customXml/item9.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9400B988B75C3540BBB00AD6D7D28BA1" ma:contentTypeVersion="209" ma:contentTypeDescription="The base project type from which other project content types inherit their information." ma:contentTypeScope="" ma:versionID="c8be9cca5201452c61975025063ba584">
  <xsd:schema xmlns:xsd="http://www.w3.org/2001/XMLSchema" xmlns:xs="http://www.w3.org/2001/XMLSchema" xmlns:p="http://schemas.microsoft.com/office/2006/metadata/properties" xmlns:ns2="cdc7663a-08f0-4737-9e8c-148ce897a09c" targetNamespace="http://schemas.microsoft.com/office/2006/metadata/properties" ma:root="true" ma:fieldsID="0f1288f3ba4f8c329f9210fbc4b6d55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N-L1152"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 xsi:nil="true"/>
    <Division_x0020_or_x0020_Unit xmlns="cdc7663a-08f0-4737-9e8c-148ce897a09c">SCL/SPH</Division_x0020_or_x0020_Unit>
    <Other_x0020_Author xmlns="cdc7663a-08f0-4737-9e8c-148ce897a09c" xsi:nil="true"/>
    <IDBDocs_x0020_Number xmlns="cdc7663a-08f0-4737-9e8c-148ce897a09c" xsi:nil="true"/>
    <Document_x0020_Author xmlns="cdc7663a-08f0-4737-9e8c-148ce897a09c">Silveira, Sheyla</Document_x0020_Author>
    <Operation_x0020_Type xmlns="cdc7663a-08f0-4737-9e8c-148ce897a09c">Loan Operation</Operation_x0020_Type>
    <TaxCatchAll xmlns="cdc7663a-08f0-4737-9e8c-148ce897a09c">
      <Value>25</Value>
      <Value>22</Value>
      <Value>9</Value>
      <Value>29</Value>
      <Value>148</Value>
    </TaxCatchAll>
    <Fiscal_x0020_Year_x0020_IDB xmlns="cdc7663a-08f0-4737-9e8c-148ce897a09c">2018</Fiscal_x0020_Year_x0020_IDB>
    <Project_x0020_Number xmlns="cdc7663a-08f0-4737-9e8c-148ce897a09c">PN-L1152</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 xsi:nil="true"/>
    <SISCOR_x0020_Number xmlns="cdc7663a-08f0-4737-9e8c-148ce897a09c" xsi:nil="true"/>
    <Identifier xmlns="cdc7663a-08f0-4737-9e8c-148ce897a09c" xsi:nil="true"/>
    <Document_x0020_Language_x0020_IDB xmlns="cdc7663a-08f0-4737-9e8c-148ce897a09c">Spanish</Document_x0020_Language_x0020_IDB>
    <Phase xmlns="cdc7663a-08f0-4737-9e8c-148ce897a09c" xsi:nil="true"/>
    <Access_x0020_to_x0020_Information_x00a0_Policy xmlns="cdc7663a-08f0-4737-9e8c-148ce897a09c">Public - Simultaneous Disclosure</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396ec9c3-9632-4cdc-a19a-36df0d2b2979</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R0002251948</Record_x0020_Number>
    <_dlc_DocId xmlns="cdc7663a-08f0-4737-9e8c-148ce897a09c">EZSHARE-118147578-29</_dlc_DocId>
    <_dlc_DocIdUrl xmlns="cdc7663a-08f0-4737-9e8c-148ce897a09c">
      <Url>https://idbg.sharepoint.com/teams/EZ-PN-LON/PN-L1152/_layouts/15/DocIdRedir.aspx?ID=EZSHARE-118147578-29</Url>
      <Description>EZSHARE-118147578-29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9400B988B75C3540BBB00AD6D7D28BA1" ma:contentTypeVersion="251" ma:contentTypeDescription="The base project type from which other project content types inherit their information." ma:contentTypeScope="" ma:versionID="114315ea8dbea26dc300b90463b996fd">
  <xsd:schema xmlns:xsd="http://www.w3.org/2001/XMLSchema" xmlns:xs="http://www.w3.org/2001/XMLSchema" xmlns:p="http://schemas.microsoft.com/office/2006/metadata/properties" xmlns:ns2="cdc7663a-08f0-4737-9e8c-148ce897a09c" targetNamespace="http://schemas.microsoft.com/office/2006/metadata/properties" ma:root="true" ma:fieldsID="0f1288f3ba4f8c329f9210fbc4b6d55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N-L1152"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4E0886BC4AA114FB47F62B6B9F6DCE6" ma:contentTypeVersion="322" ma:contentTypeDescription="A content type to manage public (operations) IDB documents" ma:contentTypeScope="" ma:versionID="eda987f9704c2c632dccac0827415811">
  <xsd:schema xmlns:xsd="http://www.w3.org/2001/XMLSchema" xmlns:xs="http://www.w3.org/2001/XMLSchema" xmlns:p="http://schemas.microsoft.com/office/2006/metadata/properties" xmlns:ns2="cdc7663a-08f0-4737-9e8c-148ce897a09c" targetNamespace="http://schemas.microsoft.com/office/2006/metadata/properties" ma:root="true" ma:fieldsID="a0cd7e93c408e3af369371e5049938f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D371FF6-3C54-4DA0-AE12-BCEEE851A12B}">
  <ds:schemaRefs>
    <ds:schemaRef ds:uri="http://schemas.microsoft.com/sharepoint/v3/contenttype/forms"/>
  </ds:schemaRefs>
</ds:datastoreItem>
</file>

<file path=customXml/itemProps2.xml><?xml version="1.0" encoding="utf-8"?>
<ds:datastoreItem xmlns:ds="http://schemas.openxmlformats.org/officeDocument/2006/customXml" ds:itemID="{6D7E7B53-1920-4077-8C20-6FDABD7C36B8}"/>
</file>

<file path=customXml/itemProps3.xml><?xml version="1.0" encoding="utf-8"?>
<ds:datastoreItem xmlns:ds="http://schemas.openxmlformats.org/officeDocument/2006/customXml" ds:itemID="{87D827A6-9CD3-4878-A217-937D5D67A733}">
  <ds:schemaRefs>
    <ds:schemaRef ds:uri="http://schemas.microsoft.com/sharepoint/events"/>
  </ds:schemaRefs>
</ds:datastoreItem>
</file>

<file path=customXml/itemProps4.xml><?xml version="1.0" encoding="utf-8"?>
<ds:datastoreItem xmlns:ds="http://schemas.openxmlformats.org/officeDocument/2006/customXml" ds:itemID="{D92A2C78-AE92-4765-B0BD-4EAB1DDFFF1C}">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cdc7663a-08f0-4737-9e8c-148ce897a09c"/>
    <ds:schemaRef ds:uri="http://www.w3.org/XML/1998/namespace"/>
    <ds:schemaRef ds:uri="http://purl.org/dc/dcmitype/"/>
  </ds:schemaRefs>
</ds:datastoreItem>
</file>

<file path=customXml/itemProps5.xml><?xml version="1.0" encoding="utf-8"?>
<ds:datastoreItem xmlns:ds="http://schemas.openxmlformats.org/officeDocument/2006/customXml" ds:itemID="{A2AE7B66-B934-4ED1-8960-64DDCF895116}"/>
</file>

<file path=customXml/itemProps6.xml><?xml version="1.0" encoding="utf-8"?>
<ds:datastoreItem xmlns:ds="http://schemas.openxmlformats.org/officeDocument/2006/customXml" ds:itemID="{C03C0B72-9781-4094-8498-7C7D604AFC03}">
  <ds:schemaRefs>
    <ds:schemaRef ds:uri="http://schemas.openxmlformats.org/officeDocument/2006/bibliography"/>
  </ds:schemaRefs>
</ds:datastoreItem>
</file>

<file path=customXml/itemProps7.xml><?xml version="1.0" encoding="utf-8"?>
<ds:datastoreItem xmlns:ds="http://schemas.openxmlformats.org/officeDocument/2006/customXml" ds:itemID="{F374974A-F965-48E9-8E02-D9BBF950E3EA}"/>
</file>

<file path=customXml/itemProps8.xml><?xml version="1.0" encoding="utf-8"?>
<ds:datastoreItem xmlns:ds="http://schemas.openxmlformats.org/officeDocument/2006/customXml" ds:itemID="{B270F94A-172A-46F1-A332-AF7022BEC30A}"/>
</file>

<file path=customXml/itemProps9.xml><?xml version="1.0" encoding="utf-8"?>
<ds:datastoreItem xmlns:ds="http://schemas.openxmlformats.org/officeDocument/2006/customXml" ds:itemID="{7F82B714-FBFA-4449-8FE5-9FCE231F1AB3}"/>
</file>

<file path=docProps/app.xml><?xml version="1.0" encoding="utf-8"?>
<Properties xmlns="http://schemas.openxmlformats.org/officeDocument/2006/extended-properties" xmlns:vt="http://schemas.openxmlformats.org/officeDocument/2006/docPropsVTypes">
  <Template>Normal.dotm</Template>
  <TotalTime>69</TotalTime>
  <Pages>6</Pages>
  <Words>1575</Words>
  <Characters>8980</Characters>
  <Application>Microsoft Office Word</Application>
  <DocSecurity>0</DocSecurity>
  <Lines>74</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LP enlace Matriz comparativa</vt:lpstr>
      <vt:lpstr>LP enlace Matriz comparativa</vt:lpstr>
    </vt:vector>
  </TitlesOfParts>
  <Company>Inter-American Development Bank</Company>
  <LinksUpToDate>false</LinksUpToDate>
  <CharactersWithSpaces>10534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enlace Matriz comparativa</dc:title>
  <dc:creator>Inter-American Development Bank</dc:creator>
  <cp:keywords/>
  <cp:lastModifiedBy>Silveira, Sheyla</cp:lastModifiedBy>
  <cp:revision>6</cp:revision>
  <cp:lastPrinted>2015-02-11T22:03:00Z</cp:lastPrinted>
  <dcterms:created xsi:type="dcterms:W3CDTF">2018-07-10T20:50:00Z</dcterms:created>
  <dcterms:modified xsi:type="dcterms:W3CDTF">2018-07-13T22:35:00Z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148;#SOCIAL INVESTMENT|396ec9c3-9632-4cdc-a19a-36df0d2b2979</vt:lpwstr>
  </property>
  <property fmtid="{D5CDD505-2E9C-101B-9397-08002B2CF9AE}" pid="8" name="Country">
    <vt:lpwstr>22;#Panama|7af43a84-776d-43d1-b0f2-8a1f2a8ffc7b</vt:lpwstr>
  </property>
  <property fmtid="{D5CDD505-2E9C-101B-9397-08002B2CF9AE}" pid="9" name="Fund IDB">
    <vt:lpwstr>25;#ORC|c028a4b2-ad8b-4cf4-9cac-a2ae6a778e23</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29;#SOCIAL INVESTMENT|3f908695-d5b5-49f6-941f-76876b39564f</vt:lpwstr>
  </property>
  <property fmtid="{D5CDD505-2E9C-101B-9397-08002B2CF9AE}" pid="14" name="Function Operations IDB">
    <vt:lpwstr>9;#IDBDocs|cca77002-e150-4b2d-ab1f-1d7a7cdcae16</vt:lpwstr>
  </property>
  <property fmtid="{D5CDD505-2E9C-101B-9397-08002B2CF9AE}" pid="15" name="_dlc_DocIdItemGuid">
    <vt:lpwstr>76ff2932-1141-4ce0-be27-75c7fe068f03</vt:lpwstr>
  </property>
  <property fmtid="{D5CDD505-2E9C-101B-9397-08002B2CF9AE}" pid="16" name="ContentTypeId">
    <vt:lpwstr>0x0101001A458A224826124E8B45B1D613300CFC0044E0886BC4AA114FB47F62B6B9F6DCE6</vt:lpwstr>
  </property>
</Properties>
</file>