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9A5A8" w14:textId="4922793D" w:rsidR="00FE3120" w:rsidRPr="00FE3120" w:rsidRDefault="00FE3120" w:rsidP="00FE3120">
      <w:pPr>
        <w:spacing w:before="120" w:after="120"/>
        <w:jc w:val="center"/>
        <w:outlineLvl w:val="1"/>
        <w:rPr>
          <w:rFonts w:ascii="Arial" w:eastAsia="Times New Roman" w:hAnsi="Arial" w:cs="Arial"/>
          <w:b/>
          <w:smallCaps/>
          <w:sz w:val="24"/>
          <w:lang w:val="es-ES"/>
        </w:rPr>
      </w:pPr>
      <w:bookmarkStart w:id="0" w:name="_Hlk505610165"/>
      <w:r w:rsidRPr="00FE3120">
        <w:rPr>
          <w:rFonts w:ascii="Arial" w:eastAsia="Times New Roman" w:hAnsi="Arial" w:cs="Arial"/>
          <w:b/>
          <w:smallCaps/>
          <w:sz w:val="24"/>
          <w:lang w:val="es-ES"/>
        </w:rPr>
        <w:t>Ejes de Inversión en Infraestructura Productiva</w:t>
      </w:r>
      <w:bookmarkStart w:id="1" w:name="_GoBack"/>
      <w:bookmarkEnd w:id="1"/>
    </w:p>
    <w:p w14:paraId="4A91F5EC" w14:textId="77777777" w:rsidR="00FE3120" w:rsidRDefault="00FE3120" w:rsidP="00FE3120">
      <w:pPr>
        <w:spacing w:before="120" w:after="120"/>
        <w:jc w:val="center"/>
        <w:outlineLvl w:val="1"/>
        <w:rPr>
          <w:rFonts w:ascii="Arial" w:eastAsia="Times New Roman" w:hAnsi="Arial" w:cs="Arial"/>
          <w:b/>
          <w:lang w:val="es-ES"/>
        </w:rPr>
      </w:pPr>
    </w:p>
    <w:p w14:paraId="661C1FA6" w14:textId="6271F4CF" w:rsidR="001532DD" w:rsidRDefault="001532DD" w:rsidP="34C42776">
      <w:pPr>
        <w:pStyle w:val="Paragraph"/>
        <w:rPr>
          <w:rFonts w:ascii="Arial" w:hAnsi="Arial" w:cs="Arial"/>
          <w:sz w:val="22"/>
          <w:szCs w:val="22"/>
        </w:rPr>
      </w:pPr>
      <w:r w:rsidRPr="34C42776">
        <w:rPr>
          <w:rFonts w:ascii="Arial" w:eastAsia="Arial" w:hAnsi="Arial" w:cs="Arial"/>
          <w:b/>
          <w:bCs/>
          <w:sz w:val="22"/>
          <w:szCs w:val="22"/>
        </w:rPr>
        <w:t>Corredores viales.</w:t>
      </w:r>
      <w:r w:rsidRPr="34C42776">
        <w:rPr>
          <w:rFonts w:ascii="Arial" w:eastAsia="Arial" w:hAnsi="Arial" w:cs="Arial"/>
          <w:sz w:val="22"/>
          <w:szCs w:val="22"/>
        </w:rPr>
        <w:t xml:space="preserve"> El país tiene indicadores de transporte significativamente por debajo de los niveles esperados para su nivel de ingreso</w:t>
      </w:r>
      <w:r w:rsidRPr="34C42776">
        <w:rPr>
          <w:rStyle w:val="FootnoteReference"/>
          <w:rFonts w:ascii="Arial" w:eastAsia="Arial" w:hAnsi="Arial" w:cs="Arial"/>
          <w:sz w:val="22"/>
          <w:szCs w:val="22"/>
        </w:rPr>
        <w:footnoteReference w:id="1"/>
      </w:r>
      <w:r w:rsidRPr="34C42776">
        <w:rPr>
          <w:rFonts w:ascii="Arial" w:eastAsia="Arial" w:hAnsi="Arial" w:cs="Arial"/>
          <w:sz w:val="22"/>
          <w:szCs w:val="22"/>
        </w:rPr>
        <w:t xml:space="preserve">, para lo cual se plantea, para el año 2020: (i) incrementar la oferta de autopistas en 2.800 kilómetros; (ii) incrementar la oferta de rutas en 4.000 kilómetros; y (iii) repavimentar 13.000 kilómetros de rutas. De acuerdo con la priorización del Ministerio de Finanzas (MF), estos serían </w:t>
      </w:r>
      <w:proofErr w:type="gramStart"/>
      <w:r w:rsidRPr="34C42776">
        <w:rPr>
          <w:rFonts w:ascii="Arial" w:eastAsia="Arial" w:hAnsi="Arial" w:cs="Arial"/>
          <w:sz w:val="22"/>
          <w:szCs w:val="22"/>
        </w:rPr>
        <w:t>los primeros proyectos a licitarse</w:t>
      </w:r>
      <w:proofErr w:type="gramEnd"/>
      <w:r w:rsidRPr="34C42776">
        <w:rPr>
          <w:rFonts w:ascii="Arial" w:eastAsia="Arial" w:hAnsi="Arial" w:cs="Arial"/>
          <w:sz w:val="22"/>
          <w:szCs w:val="22"/>
        </w:rPr>
        <w:t xml:space="preserve"> por PPP.</w:t>
      </w:r>
    </w:p>
    <w:p w14:paraId="2C3680B2" w14:textId="77777777" w:rsidR="001532DD" w:rsidRPr="001532DD" w:rsidRDefault="001532DD" w:rsidP="34C42776">
      <w:pPr>
        <w:pStyle w:val="Paragraph"/>
        <w:rPr>
          <w:rFonts w:ascii="Arial" w:hAnsi="Arial" w:cs="Arial"/>
          <w:sz w:val="22"/>
          <w:szCs w:val="22"/>
        </w:rPr>
      </w:pPr>
      <w:r w:rsidRPr="34C42776">
        <w:rPr>
          <w:rFonts w:ascii="Arial" w:eastAsia="Arial" w:hAnsi="Arial" w:cs="Arial"/>
          <w:b/>
          <w:bCs/>
          <w:sz w:val="22"/>
          <w:szCs w:val="22"/>
        </w:rPr>
        <w:t>Transmisión eléctrica.</w:t>
      </w:r>
      <w:r w:rsidRPr="34C42776">
        <w:rPr>
          <w:rFonts w:ascii="Arial" w:eastAsia="Arial" w:hAnsi="Arial" w:cs="Arial"/>
          <w:sz w:val="22"/>
          <w:szCs w:val="22"/>
        </w:rPr>
        <w:t xml:space="preserve"> El país requiere de inversiones en el sector eléctrico para hacer frente a la demanda de los próximos años y para descarbonizar la matriz eléctrica. En ese sentido, se prevén importantes inversiones en el fortalecimiento y la expansión de líneas de transmisión y estaciones transformadoras en la red de alta tensión en 500kV que contribuirán a mejorar la confiabilidad y estabilidad del sistema, y a la incorporación masiva de proyectos de energía renovable para los próximos años, especialmente de energía eólica y solar fotovoltaica.</w:t>
      </w:r>
    </w:p>
    <w:p w14:paraId="1A45A56A" w14:textId="49B5D404" w:rsidR="00BD7937" w:rsidRPr="001532DD" w:rsidRDefault="001532DD" w:rsidP="34C42776">
      <w:pPr>
        <w:pStyle w:val="Paragraph"/>
        <w:rPr>
          <w:rFonts w:ascii="Arial" w:hAnsi="Arial" w:cs="Arial"/>
          <w:sz w:val="22"/>
          <w:szCs w:val="22"/>
        </w:rPr>
      </w:pPr>
      <w:r w:rsidRPr="34C42776">
        <w:rPr>
          <w:rFonts w:ascii="Arial" w:eastAsia="Arial" w:hAnsi="Arial" w:cs="Arial"/>
          <w:b/>
          <w:bCs/>
          <w:sz w:val="22"/>
          <w:szCs w:val="22"/>
        </w:rPr>
        <w:t>Energía renovable.</w:t>
      </w:r>
      <w:r w:rsidRPr="34C42776">
        <w:rPr>
          <w:rFonts w:ascii="Arial" w:eastAsia="Arial" w:hAnsi="Arial" w:cs="Arial"/>
          <w:sz w:val="22"/>
          <w:szCs w:val="22"/>
        </w:rPr>
        <w:t xml:space="preserve"> La energía renovable no convencional representa menos del 2% de la matriz eléctrica del país. Para atender este tema, el gobierno propone alcanzar una participación de generación renovable en torno al 8% de la matriz eléctrica para 2018 y un 20% para 2025. El gobierno ha lanzado el programa </w:t>
      </w:r>
      <w:proofErr w:type="spellStart"/>
      <w:r w:rsidRPr="34C42776">
        <w:rPr>
          <w:rFonts w:ascii="Arial" w:eastAsia="Arial" w:hAnsi="Arial" w:cs="Arial"/>
          <w:sz w:val="22"/>
          <w:szCs w:val="22"/>
        </w:rPr>
        <w:t>RenovAr</w:t>
      </w:r>
      <w:proofErr w:type="spellEnd"/>
      <w:r w:rsidRPr="34C42776">
        <w:rPr>
          <w:rFonts w:ascii="Arial" w:eastAsia="Arial" w:hAnsi="Arial" w:cs="Arial"/>
          <w:sz w:val="22"/>
          <w:szCs w:val="22"/>
        </w:rPr>
        <w:t xml:space="preserve">, habiéndose adjudicado ya 2.425 megavatios de capacidad instalada bajo los programas </w:t>
      </w:r>
      <w:proofErr w:type="spellStart"/>
      <w:r w:rsidRPr="34C42776">
        <w:rPr>
          <w:rFonts w:ascii="Arial" w:eastAsia="Arial" w:hAnsi="Arial" w:cs="Arial"/>
          <w:sz w:val="22"/>
          <w:szCs w:val="22"/>
        </w:rPr>
        <w:t>RenovAr</w:t>
      </w:r>
      <w:proofErr w:type="spellEnd"/>
      <w:r w:rsidRPr="34C42776">
        <w:rPr>
          <w:rFonts w:ascii="Arial" w:eastAsia="Arial" w:hAnsi="Arial" w:cs="Arial"/>
          <w:sz w:val="22"/>
          <w:szCs w:val="22"/>
        </w:rPr>
        <w:t xml:space="preserve"> 1.0 y 1.5, y actualmente se encuentra en proceso el programa </w:t>
      </w:r>
      <w:proofErr w:type="spellStart"/>
      <w:r w:rsidRPr="34C42776">
        <w:rPr>
          <w:rFonts w:ascii="Arial" w:eastAsia="Arial" w:hAnsi="Arial" w:cs="Arial"/>
          <w:sz w:val="22"/>
          <w:szCs w:val="22"/>
        </w:rPr>
        <w:t>RenovAr</w:t>
      </w:r>
      <w:proofErr w:type="spellEnd"/>
      <w:r w:rsidRPr="34C42776">
        <w:rPr>
          <w:rFonts w:ascii="Arial" w:eastAsia="Arial" w:hAnsi="Arial" w:cs="Arial"/>
          <w:sz w:val="22"/>
          <w:szCs w:val="22"/>
        </w:rPr>
        <w:t xml:space="preserve"> 2.0 a través del cual se espera adjudicar 1.200 megavatios adicionales. La inversión necesaria para alcanzar la meta de 2025 se estima en US$20.000 millones.</w:t>
      </w:r>
      <w:bookmarkEnd w:id="0"/>
      <w:r w:rsidRPr="34C42776">
        <w:rPr>
          <w:rFonts w:ascii="Arial" w:eastAsia="Arial" w:hAnsi="Arial" w:cs="Arial"/>
          <w:sz w:val="22"/>
          <w:szCs w:val="22"/>
        </w:rPr>
        <w:t xml:space="preserve">  </w:t>
      </w:r>
    </w:p>
    <w:sectPr w:rsidR="00BD7937" w:rsidRPr="001532D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0E189" w14:textId="77777777" w:rsidR="00F64569" w:rsidRDefault="00F64569" w:rsidP="001532DD">
      <w:r>
        <w:separator/>
      </w:r>
    </w:p>
  </w:endnote>
  <w:endnote w:type="continuationSeparator" w:id="0">
    <w:p w14:paraId="7F05FC81" w14:textId="77777777" w:rsidR="00F64569" w:rsidRDefault="00F64569" w:rsidP="0015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2EE17" w14:textId="77777777" w:rsidR="00F64569" w:rsidRDefault="00F64569" w:rsidP="001532DD">
      <w:r>
        <w:separator/>
      </w:r>
    </w:p>
  </w:footnote>
  <w:footnote w:type="continuationSeparator" w:id="0">
    <w:p w14:paraId="034BBC99" w14:textId="77777777" w:rsidR="00F64569" w:rsidRDefault="00F64569" w:rsidP="001532DD">
      <w:r>
        <w:continuationSeparator/>
      </w:r>
    </w:p>
  </w:footnote>
  <w:footnote w:id="1">
    <w:p w14:paraId="50C380BB" w14:textId="75B680C4" w:rsidR="34C42776" w:rsidRDefault="34C42776" w:rsidP="34C42776">
      <w:pPr>
        <w:rPr>
          <w:rFonts w:ascii="Arial" w:eastAsia="Arial" w:hAnsi="Arial" w:cs="Arial"/>
          <w:sz w:val="18"/>
          <w:szCs w:val="18"/>
          <w:lang w:val="es-ES"/>
        </w:rPr>
      </w:pPr>
      <w:r w:rsidRPr="34C42776">
        <w:rPr>
          <w:rFonts w:ascii="Arial" w:eastAsia="Arial" w:hAnsi="Arial" w:cs="Arial"/>
          <w:sz w:val="18"/>
          <w:szCs w:val="18"/>
          <w:vertAlign w:val="superscript"/>
          <w:lang w:val="es-ES"/>
        </w:rPr>
        <w:t>1</w:t>
      </w:r>
      <w:r w:rsidRPr="34C42776">
        <w:rPr>
          <w:rFonts w:ascii="Arial" w:eastAsia="Arial" w:hAnsi="Arial" w:cs="Arial"/>
          <w:sz w:val="18"/>
          <w:szCs w:val="18"/>
          <w:lang w:val="es-ES"/>
        </w:rPr>
        <w:t xml:space="preserve"> </w:t>
      </w:r>
      <w:proofErr w:type="gramStart"/>
      <w:r w:rsidRPr="34C42776">
        <w:rPr>
          <w:rFonts w:ascii="Arial" w:eastAsia="Arial" w:hAnsi="Arial" w:cs="Arial"/>
          <w:sz w:val="18"/>
          <w:szCs w:val="18"/>
          <w:lang w:val="es-ES"/>
        </w:rPr>
        <w:t>Banco</w:t>
      </w:r>
      <w:proofErr w:type="gramEnd"/>
      <w:r w:rsidRPr="34C42776">
        <w:rPr>
          <w:rFonts w:ascii="Arial" w:eastAsia="Arial" w:hAnsi="Arial" w:cs="Arial"/>
          <w:sz w:val="18"/>
          <w:szCs w:val="18"/>
          <w:lang w:val="es-ES"/>
        </w:rPr>
        <w:t xml:space="preserve"> Interamericano de Desarrollo, “Country </w:t>
      </w:r>
      <w:proofErr w:type="spellStart"/>
      <w:r w:rsidRPr="34C42776">
        <w:rPr>
          <w:rFonts w:ascii="Arial" w:eastAsia="Arial" w:hAnsi="Arial" w:cs="Arial"/>
          <w:sz w:val="18"/>
          <w:szCs w:val="18"/>
          <w:lang w:val="es-ES"/>
        </w:rPr>
        <w:t>Development</w:t>
      </w:r>
      <w:proofErr w:type="spellEnd"/>
      <w:r w:rsidRPr="34C42776">
        <w:rPr>
          <w:rFonts w:ascii="Arial" w:eastAsia="Arial" w:hAnsi="Arial" w:cs="Arial"/>
          <w:sz w:val="18"/>
          <w:szCs w:val="18"/>
          <w:lang w:val="es-ES"/>
        </w:rPr>
        <w:t xml:space="preserve"> </w:t>
      </w:r>
      <w:proofErr w:type="spellStart"/>
      <w:r w:rsidRPr="34C42776">
        <w:rPr>
          <w:rFonts w:ascii="Arial" w:eastAsia="Arial" w:hAnsi="Arial" w:cs="Arial"/>
          <w:sz w:val="18"/>
          <w:szCs w:val="18"/>
          <w:lang w:val="es-ES"/>
        </w:rPr>
        <w:t>Challenges</w:t>
      </w:r>
      <w:proofErr w:type="spellEnd"/>
      <w:r w:rsidRPr="34C42776">
        <w:rPr>
          <w:rFonts w:ascii="Arial" w:eastAsia="Arial" w:hAnsi="Arial" w:cs="Arial"/>
          <w:sz w:val="18"/>
          <w:szCs w:val="18"/>
          <w:lang w:val="es-ES"/>
        </w:rPr>
        <w:t xml:space="preserve"> – Argentina”,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18117" w14:textId="7FFE8D88" w:rsidR="00FE3120" w:rsidRPr="00FE3120" w:rsidRDefault="005674B4" w:rsidP="00FE3120">
    <w:pPr>
      <w:pStyle w:val="Header"/>
      <w:jc w:val="right"/>
      <w:rPr>
        <w:rFonts w:ascii="Arial" w:hAnsi="Arial" w:cs="Arial"/>
        <w:sz w:val="18"/>
      </w:rPr>
    </w:pPr>
    <w:r>
      <w:rPr>
        <w:rFonts w:ascii="Arial" w:hAnsi="Arial" w:cs="Arial"/>
        <w:sz w:val="18"/>
      </w:rPr>
      <w:t xml:space="preserve">AR-O0009 &amp; </w:t>
    </w:r>
    <w:r w:rsidR="00FE3120" w:rsidRPr="00FE3120">
      <w:rPr>
        <w:rFonts w:ascii="Arial" w:hAnsi="Arial" w:cs="Arial"/>
        <w:sz w:val="18"/>
      </w:rPr>
      <w:t>AR-L1281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552"/>
    <w:rsid w:val="00113247"/>
    <w:rsid w:val="001532DD"/>
    <w:rsid w:val="00273C7E"/>
    <w:rsid w:val="00386868"/>
    <w:rsid w:val="003D3B30"/>
    <w:rsid w:val="005674B4"/>
    <w:rsid w:val="00740F8D"/>
    <w:rsid w:val="00861952"/>
    <w:rsid w:val="00B264FB"/>
    <w:rsid w:val="00BD7937"/>
    <w:rsid w:val="00F64569"/>
    <w:rsid w:val="00FB0552"/>
    <w:rsid w:val="00FC0E4E"/>
    <w:rsid w:val="00FE3120"/>
    <w:rsid w:val="34C42776"/>
    <w:rsid w:val="6C2BC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B651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532DD"/>
    <w:pPr>
      <w:keepNext/>
      <w:numPr>
        <w:numId w:val="1"/>
      </w:numPr>
      <w:tabs>
        <w:tab w:val="clear" w:pos="1800"/>
        <w:tab w:val="num" w:pos="648"/>
        <w:tab w:val="left" w:pos="1440"/>
      </w:tabs>
      <w:spacing w:before="240" w:after="240"/>
      <w:ind w:left="0"/>
      <w:jc w:val="center"/>
    </w:pPr>
    <w:rPr>
      <w:rFonts w:ascii="Times New Roman" w:eastAsia="Times New Roman" w:hAnsi="Times New Roman" w:cs="Times New Roman"/>
      <w:b/>
      <w:smallCaps/>
      <w:sz w:val="24"/>
      <w:szCs w:val="20"/>
      <w:lang w:val="es-ES"/>
    </w:rPr>
  </w:style>
  <w:style w:type="paragraph" w:styleId="FootnoteText">
    <w:name w:val="footnote text"/>
    <w:aliases w:val="fn,Footnote Text Char Char,Footnote Text1 Char,Footnote Text Char Char Char Char,Texto nota pie IIRSA,single space,texto de nota al pie,Texto nota pie Car Car Car Car Car Car Car Car,Texto nota pie Car Car Car,Texto nota pie Car1,Texto,F"/>
    <w:basedOn w:val="Normal"/>
    <w:link w:val="FootnoteTextChar"/>
    <w:qFormat/>
    <w:rsid w:val="001532DD"/>
    <w:pPr>
      <w:keepNext/>
      <w:keepLines/>
      <w:spacing w:after="120"/>
      <w:ind w:left="288" w:hanging="288"/>
    </w:pPr>
    <w:rPr>
      <w:rFonts w:ascii="Times New Roman" w:eastAsia="Times New Roman" w:hAnsi="Times New Roman" w:cs="Times New Roman"/>
      <w:spacing w:val="-3"/>
      <w:sz w:val="20"/>
      <w:szCs w:val="20"/>
    </w:rPr>
  </w:style>
  <w:style w:type="character" w:customStyle="1" w:styleId="FootnoteTextChar">
    <w:name w:val="Footnote Text Char"/>
    <w:aliases w:val="fn Char,Footnote Text Char Char Char,Footnote Text1 Char Char,Footnote Text Char Char Char Char Char,Texto nota pie IIRSA Char,single space Char,texto de nota al pie Char,Texto nota pie Car Car Car Car Car Car Car Car Char,Texto Char"/>
    <w:basedOn w:val="DefaultParagraphFont"/>
    <w:link w:val="FootnoteText"/>
    <w:rsid w:val="001532DD"/>
    <w:rPr>
      <w:rFonts w:ascii="Times New Roman" w:eastAsia="Times New Roman" w:hAnsi="Times New Roman" w:cs="Times New Roman"/>
      <w:spacing w:val="-3"/>
      <w:sz w:val="20"/>
      <w:szCs w:val="20"/>
      <w:lang w:val="es-ES_tradnl"/>
    </w:rPr>
  </w:style>
  <w:style w:type="paragraph" w:customStyle="1" w:styleId="Paragraph">
    <w:name w:val="Paragraph"/>
    <w:aliases w:val="paragraph,p,PARAGRAPH,PG,pa,at"/>
    <w:basedOn w:val="BodyTextIndent"/>
    <w:link w:val="ParagraphChar"/>
    <w:qFormat/>
    <w:rsid w:val="001532DD"/>
    <w:pPr>
      <w:numPr>
        <w:ilvl w:val="1"/>
        <w:numId w:val="1"/>
      </w:numPr>
      <w:tabs>
        <w:tab w:val="clear" w:pos="2448"/>
        <w:tab w:val="num" w:pos="720"/>
      </w:tabs>
      <w:spacing w:before="120"/>
      <w:ind w:left="720" w:hanging="720"/>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1532DD"/>
    <w:pPr>
      <w:numPr>
        <w:ilvl w:val="2"/>
        <w:numId w:val="1"/>
      </w:numPr>
      <w:tabs>
        <w:tab w:val="clear" w:pos="2304"/>
        <w:tab w:val="num" w:pos="360"/>
        <w:tab w:val="num" w:pos="1152"/>
      </w:tabs>
      <w:spacing w:before="120"/>
      <w:ind w:left="1152" w:firstLine="0"/>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1532DD"/>
    <w:pPr>
      <w:numPr>
        <w:ilvl w:val="3"/>
      </w:numPr>
      <w:tabs>
        <w:tab w:val="clear" w:pos="2736"/>
        <w:tab w:val="left" w:pos="0"/>
        <w:tab w:val="num" w:pos="360"/>
        <w:tab w:val="num" w:pos="1152"/>
        <w:tab w:val="num" w:pos="1296"/>
      </w:tabs>
      <w:ind w:left="1296"/>
    </w:pPr>
  </w:style>
  <w:style w:type="character" w:styleId="FootnoteReference">
    <w:name w:val="footnote reference"/>
    <w:aliases w:val="ftref,Fußnotenzeichen DISS,16 Point,Superscript 6 Point,BVI fnr, BVI fnr,Знак сноски 1,referencia nota al pie,titulo 2,FC,Footnote Referencefra,Ref. de nota al pie.,Footnote Reference.SES,Ref. de nota al pie EDEP,pie pddes,fr,SUPERS"/>
    <w:basedOn w:val="DefaultParagraphFont"/>
    <w:uiPriority w:val="99"/>
    <w:qFormat/>
    <w:rsid w:val="001532DD"/>
    <w:rPr>
      <w:vertAlign w:val="superscript"/>
    </w:rPr>
  </w:style>
  <w:style w:type="character" w:customStyle="1" w:styleId="ParagraphChar">
    <w:name w:val="Paragraph Char"/>
    <w:link w:val="Paragraph"/>
    <w:rsid w:val="001532DD"/>
    <w:rPr>
      <w:rFonts w:ascii="Times New Roman" w:eastAsia="Times New Roman" w:hAnsi="Times New Roman" w:cs="Times New Roman"/>
      <w:sz w:val="24"/>
      <w:szCs w:val="20"/>
      <w:lang w:val="es-ES"/>
    </w:rPr>
  </w:style>
  <w:style w:type="character" w:styleId="CommentReference">
    <w:name w:val="annotation reference"/>
    <w:basedOn w:val="DefaultParagraphFont"/>
    <w:uiPriority w:val="99"/>
    <w:semiHidden/>
    <w:unhideWhenUsed/>
    <w:rsid w:val="001532DD"/>
    <w:rPr>
      <w:sz w:val="16"/>
      <w:szCs w:val="16"/>
    </w:rPr>
  </w:style>
  <w:style w:type="paragraph" w:styleId="CommentText">
    <w:name w:val="annotation text"/>
    <w:basedOn w:val="Normal"/>
    <w:link w:val="CommentTextChar"/>
    <w:uiPriority w:val="99"/>
    <w:unhideWhenUsed/>
    <w:rsid w:val="001532DD"/>
    <w:pPr>
      <w:jc w:val="lef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1532DD"/>
    <w:rPr>
      <w:rFonts w:ascii="Times New Roman" w:eastAsia="Times New Roman" w:hAnsi="Times New Roman" w:cs="Times New Roman"/>
      <w:sz w:val="20"/>
      <w:szCs w:val="20"/>
      <w:lang w:val="es-ES_tradnl"/>
    </w:rPr>
  </w:style>
  <w:style w:type="paragraph" w:styleId="BodyTextIndent">
    <w:name w:val="Body Text Indent"/>
    <w:basedOn w:val="Normal"/>
    <w:link w:val="BodyTextIndentChar"/>
    <w:uiPriority w:val="99"/>
    <w:semiHidden/>
    <w:unhideWhenUsed/>
    <w:rsid w:val="001532DD"/>
    <w:pPr>
      <w:spacing w:after="120"/>
      <w:ind w:left="360"/>
    </w:pPr>
  </w:style>
  <w:style w:type="character" w:customStyle="1" w:styleId="BodyTextIndentChar">
    <w:name w:val="Body Text Indent Char"/>
    <w:basedOn w:val="DefaultParagraphFont"/>
    <w:link w:val="BodyTextIndent"/>
    <w:uiPriority w:val="99"/>
    <w:semiHidden/>
    <w:rsid w:val="001532DD"/>
    <w:rPr>
      <w:lang w:val="es-ES_tradnl"/>
    </w:rPr>
  </w:style>
  <w:style w:type="paragraph" w:styleId="BodyTextIndent3">
    <w:name w:val="Body Text Indent 3"/>
    <w:basedOn w:val="Normal"/>
    <w:link w:val="BodyTextIndent3Char"/>
    <w:uiPriority w:val="99"/>
    <w:semiHidden/>
    <w:unhideWhenUsed/>
    <w:rsid w:val="001532D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532DD"/>
    <w:rPr>
      <w:sz w:val="16"/>
      <w:szCs w:val="16"/>
      <w:lang w:val="es-ES_tradnl"/>
    </w:rPr>
  </w:style>
  <w:style w:type="paragraph" w:styleId="BalloonText">
    <w:name w:val="Balloon Text"/>
    <w:basedOn w:val="Normal"/>
    <w:link w:val="BalloonTextChar"/>
    <w:uiPriority w:val="99"/>
    <w:semiHidden/>
    <w:unhideWhenUsed/>
    <w:rsid w:val="001532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2DD"/>
    <w:rPr>
      <w:rFonts w:ascii="Segoe UI" w:hAnsi="Segoe UI" w:cs="Segoe UI"/>
      <w:sz w:val="18"/>
      <w:szCs w:val="18"/>
      <w:lang w:val="es-ES_tradnl"/>
    </w:rPr>
  </w:style>
  <w:style w:type="paragraph" w:styleId="Header">
    <w:name w:val="header"/>
    <w:basedOn w:val="Normal"/>
    <w:link w:val="HeaderChar"/>
    <w:uiPriority w:val="99"/>
    <w:unhideWhenUsed/>
    <w:rsid w:val="00FE3120"/>
    <w:pPr>
      <w:tabs>
        <w:tab w:val="center" w:pos="4680"/>
        <w:tab w:val="right" w:pos="9360"/>
      </w:tabs>
    </w:pPr>
  </w:style>
  <w:style w:type="character" w:customStyle="1" w:styleId="HeaderChar">
    <w:name w:val="Header Char"/>
    <w:basedOn w:val="DefaultParagraphFont"/>
    <w:link w:val="Header"/>
    <w:uiPriority w:val="99"/>
    <w:rsid w:val="00FE3120"/>
    <w:rPr>
      <w:lang w:val="es-ES_tradnl"/>
    </w:rPr>
  </w:style>
  <w:style w:type="paragraph" w:styleId="Footer">
    <w:name w:val="footer"/>
    <w:basedOn w:val="Normal"/>
    <w:link w:val="FooterChar"/>
    <w:uiPriority w:val="99"/>
    <w:unhideWhenUsed/>
    <w:rsid w:val="00FE3120"/>
    <w:pPr>
      <w:tabs>
        <w:tab w:val="center" w:pos="4680"/>
        <w:tab w:val="right" w:pos="9360"/>
      </w:tabs>
    </w:pPr>
  </w:style>
  <w:style w:type="character" w:customStyle="1" w:styleId="FooterChar">
    <w:name w:val="Footer Char"/>
    <w:basedOn w:val="DefaultParagraphFont"/>
    <w:link w:val="Footer"/>
    <w:uiPriority w:val="99"/>
    <w:rsid w:val="00FE3120"/>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78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R0002002863</Record_x0020_Number>
    <Division_x0020_or_x0020_Unit xmlns="cdc7663a-08f0-4737-9e8c-148ce897a09c">IFD/CMF</Division_x0020_or_x0020_Unit>
    <Key_x0020_Document xmlns="cdc7663a-08f0-4737-9e8c-148ce897a09c">false</Key_x0020_Document>
    <Document_x0020_Author xmlns="cdc7663a-08f0-4737-9e8c-148ce897a09c">Gaggero, Annabella</Document_x0020_Author>
    <_dlc_DocId xmlns="cdc7663a-08f0-4737-9e8c-148ce897a09c">EZSHARE-1182382088-16</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Fiscal_x0020_Year_x0020_IDB xmlns="cdc7663a-08f0-4737-9e8c-148ce897a09c">2019</Fiscal_x0020_Year_x0020_IDB>
    <TaxCatchAll xmlns="cdc7663a-08f0-4737-9e8c-148ce897a09c">
      <Value>32</Value>
      <Value>3</Value>
      <Value>2</Value>
      <Value>8</Value>
    </TaxCatchAll>
    <Operation_x0020_Type xmlns="cdc7663a-08f0-4737-9e8c-148ce897a09c">Container</Operation_x0020_Type>
    <b26cdb1da78c4bb4b1c1bac2f6ac5911 xmlns="cdc7663a-08f0-4737-9e8c-148ce897a09c">
      <Terms xmlns="http://schemas.microsoft.com/office/infopath/2007/PartnerControls"/>
    </b26cdb1da78c4bb4b1c1bac2f6ac5911>
    <Project_x0020_Number xmlns="cdc7663a-08f0-4737-9e8c-148ce897a09c">AR-O0009</Project_x0020_Number>
    <Migration_x0020_Info xmlns="cdc7663a-08f0-4737-9e8c-148ce897a09c" xsi:nil="true"/>
    <Related_x0020_SisCor_x0020_Number xmlns="cdc7663a-08f0-4737-9e8c-148ce897a09c" xsi:nil="true"/>
    <Package_x0020_Code xmlns="cdc7663a-08f0-4737-9e8c-148ce897a09c" xsi:nil="true"/>
    <Approval_x0020_Number xmlns="cdc7663a-08f0-4737-9e8c-148ce897a09c" xsi:nil="true"/>
    <Access_x0020_to_x0020_Information_x00a0_Policy xmlns="cdc7663a-08f0-4737-9e8c-148ce897a09c">Public - Simultaneous Disclosure</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usiness_x0020_Area xmlns="cdc7663a-08f0-4737-9e8c-148ce897a09c">Life Cycle</Business_x0020_Area>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Document_x0020_Language_x0020_IDB xmlns="cdc7663a-08f0-4737-9e8c-148ce897a09c">English</Document_x0020_Language_x0020_IDB>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https://idbg.sharepoint.com/teams/EZ-AR-CON/AR-O0009/_layouts/15/DocIdRedir.aspx?ID=EZSHARE-1182382088-16</Url>
      <Description>EZSHARE-1182382088-16</Description>
    </_dlc_DocIdUrl>
    <Phase xmlns="cdc7663a-08f0-4737-9e8c-148ce897a09c">ACTIVE</Phase>
    <Other_x0020_Author xmlns="cdc7663a-08f0-4737-9e8c-148ce897a09c">Fonseca, Daniel Fernando</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Finance;Finance;Financial and Capital Markets;Financial and Capital Markets;Financial Risk Management;Financial Risk Management;;</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C62D2E5B168F14386AD6F7F5D16ED9D" ma:contentTypeVersion="471" ma:contentTypeDescription="A content type to manage public (operations) IDB documents" ma:contentTypeScope="" ma:versionID="f740df95246013cea3e1e2b572b2a5ff">
  <xsd:schema xmlns:xsd="http://www.w3.org/2001/XMLSchema" xmlns:xs="http://www.w3.org/2001/XMLSchema" xmlns:p="http://schemas.microsoft.com/office/2006/metadata/properties" xmlns:ns2="cdc7663a-08f0-4737-9e8c-148ce897a09c" targetNamespace="http://schemas.microsoft.com/office/2006/metadata/properties" ma:root="true" ma:fieldsID="9ed787eeddb883fd66976a04b0b5f14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O000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Container"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4B2F66-0949-48E0-86B2-CF9E54CB1279}"/>
</file>

<file path=customXml/itemProps2.xml><?xml version="1.0" encoding="utf-8"?>
<ds:datastoreItem xmlns:ds="http://schemas.openxmlformats.org/officeDocument/2006/customXml" ds:itemID="{5AE26D6F-351A-4B32-B09F-6AAF30E076E1}">
  <ds:schemaRefs>
    <ds:schemaRef ds:uri="http://schemas.microsoft.com/office/2006/documentManagement/types"/>
    <ds:schemaRef ds:uri="http://purl.org/dc/elements/1.1/"/>
    <ds:schemaRef ds:uri="http://schemas.microsoft.com/office/2006/metadata/properties"/>
    <ds:schemaRef ds:uri="http://purl.org/dc/terms/"/>
    <ds:schemaRef ds:uri="http://purl.org/dc/dcmitype/"/>
    <ds:schemaRef ds:uri="cdc7663a-08f0-4737-9e8c-148ce897a09c"/>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760DCC8-C8DA-497C-86AD-9524A232B415}"/>
</file>

<file path=customXml/itemProps4.xml><?xml version="1.0" encoding="utf-8"?>
<ds:datastoreItem xmlns:ds="http://schemas.openxmlformats.org/officeDocument/2006/customXml" ds:itemID="{31D1E979-0017-4653-9BD2-665E26FADC8F}"/>
</file>

<file path=customXml/itemProps5.xml><?xml version="1.0" encoding="utf-8"?>
<ds:datastoreItem xmlns:ds="http://schemas.openxmlformats.org/officeDocument/2006/customXml" ds:itemID="{0858FE17-FE11-4B55-A3A6-46CD0104EF24}">
  <ds:schemaRefs>
    <ds:schemaRef ds:uri="http://schemas.microsoft.com/sharepoint/v3/contenttype/forms"/>
  </ds:schemaRefs>
</ds:datastoreItem>
</file>

<file path=customXml/itemProps6.xml><?xml version="1.0" encoding="utf-8"?>
<ds:datastoreItem xmlns:ds="http://schemas.openxmlformats.org/officeDocument/2006/customXml" ds:itemID="{428C2E5F-B2EE-4034-973B-30229521E34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2019-03-26T15:27:00Z</dcterms:created>
  <dcterms:modified xsi:type="dcterms:W3CDTF">2019-03-26T18:24:00Z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5" name="TaxKeywordTaxHTField">
    <vt:lpwstr/>
  </property>
  <property fmtid="{D5CDD505-2E9C-101B-9397-08002B2CF9AE}" pid="6" name="RecordStorageActiveId">
    <vt:lpwstr>f75e9f2a-701e-491f-9397-7ea63917bc8e</vt:lpwstr>
  </property>
  <property fmtid="{D5CDD505-2E9C-101B-9397-08002B2CF9AE}" pid="7" name="Series Operations IDB">
    <vt:lpwstr/>
  </property>
  <property fmtid="{D5CDD505-2E9C-101B-9397-08002B2CF9AE}" pid="8" name="Sub-Sector">
    <vt:lpwstr>32;#RISK FINANCING|c5c38d86-fff1-494c-a3d8-b52714531aea</vt:lpwstr>
  </property>
  <property fmtid="{D5CDD505-2E9C-101B-9397-08002B2CF9AE}" pid="9" name="Fund IDB">
    <vt:lpwstr/>
  </property>
  <property fmtid="{D5CDD505-2E9C-101B-9397-08002B2CF9AE}" pid="10" name="Country">
    <vt:lpwstr>2;#Argentina|eb1b705c-195f-4c3b-9661-b201f2fee3c5</vt:lpwstr>
  </property>
  <property fmtid="{D5CDD505-2E9C-101B-9397-08002B2CF9AE}" pid="11" name="_dlc_DocIdItemGuid">
    <vt:lpwstr>f11fd0b4-0144-44a2-9ca7-3be4181af624</vt:lpwstr>
  </property>
  <property fmtid="{D5CDD505-2E9C-101B-9397-08002B2CF9AE}" pid="12" name="Webtopic">
    <vt:lpwstr>Finance;Finance;Financial and Capital Markets;Financial and Capital Markets;Financial Risk Management;Financial Risk Management;;</vt:lpwstr>
  </property>
  <property fmtid="{D5CDD505-2E9C-101B-9397-08002B2CF9AE}" pid="13" name="Sector IDB">
    <vt:lpwstr>3;#FINANCIAL MARKETS|75500f29-2419-473a-bcd8-84901ddc2aa7</vt:lpwstr>
  </property>
  <property fmtid="{D5CDD505-2E9C-101B-9397-08002B2CF9AE}" pid="14" name="RecordPoint_ActiveItemMoved">
    <vt:lpwstr>/teams/EZ-AR-LON/AR-L1281/15 LifeCycle Milestones/Draft Area/AR-L1281-DLP. Ejes de inversión en infraestructura productiva.docx</vt:lpwstr>
  </property>
  <property fmtid="{D5CDD505-2E9C-101B-9397-08002B2CF9AE}" pid="15" name="Disclosed">
    <vt:bool>false</vt:bool>
  </property>
  <property fmtid="{D5CDD505-2E9C-101B-9397-08002B2CF9AE}" pid="16" name="Function Operations IDB">
    <vt:lpwstr>8;#Monitoring and Reporting|df3c2aa1-d63e-41aa-b1f5-bb15dee691ca</vt:lpwstr>
  </property>
  <property fmtid="{D5CDD505-2E9C-101B-9397-08002B2CF9AE}" pid="17" name="AuthorIds_UIVersion_4">
    <vt:lpwstr>699</vt:lpwstr>
  </property>
  <property fmtid="{D5CDD505-2E9C-101B-9397-08002B2CF9AE}" pid="18" name="ContentTypeId">
    <vt:lpwstr>0x0101001A458A224826124E8B45B1D613300CFC00CC62D2E5B168F14386AD6F7F5D16ED9D</vt:lpwstr>
  </property>
</Properties>
</file>