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pPr>
        <w:tabs>
          <w:tab w:val="left" w:pos="2340"/>
          <w:tab w:val="left" w:pos="2880"/>
        </w:tabs>
        <w:spacing w:after="240"/>
        <w:jc w:val="center"/>
        <w:rPr>
          <w:rFonts w:ascii="Arial" w:hAnsi="Arial" w:cs="Arial"/>
          <w:b/>
          <w:bCs/>
          <w:smallCaps/>
          <w:sz w:val="22"/>
          <w:szCs w:val="22"/>
          <w:lang w:val="es-ES"/>
        </w:rPr>
      </w:pPr>
      <w:r>
        <w:rPr>
          <w:rFonts w:ascii="Arial" w:hAnsi="Arial" w:cs="Arial"/>
          <w:b/>
          <w:bCs/>
          <w:smallCaps/>
          <w:sz w:val="22"/>
          <w:szCs w:val="22"/>
          <w:lang w:val="es-ES"/>
        </w:rPr>
        <w:t>Matriz de Medios de Verificación</w:t>
      </w:r>
    </w:p>
    <w:tbl>
      <w:tblPr>
        <w:tblStyle w:val="TableGrid"/>
        <w:tblW w:w="0" w:type="auto"/>
        <w:tblLook w:val="04A0" w:firstRow="1" w:lastRow="0" w:firstColumn="1" w:lastColumn="0" w:noHBand="0" w:noVBand="1"/>
      </w:tblPr>
      <w:tblGrid>
        <w:gridCol w:w="2209"/>
        <w:gridCol w:w="3749"/>
        <w:gridCol w:w="3813"/>
        <w:gridCol w:w="2459"/>
      </w:tblGrid>
      <w:tr>
        <w:trPr>
          <w:trHeight w:val="20"/>
          <w:tblHeader/>
        </w:trPr>
        <w:tc>
          <w:tcPr>
            <w:tcW w:w="2209" w:type="dxa"/>
            <w:shd w:val="clear" w:color="auto" w:fill="D9D9D9" w:themeFill="background1" w:themeFillShade="D9"/>
            <w:vAlign w:val="center"/>
          </w:tcPr>
          <w:p>
            <w:pPr>
              <w:spacing w:before="40" w:after="40"/>
              <w:jc w:val="center"/>
              <w:rPr>
                <w:rFonts w:ascii="Arial" w:hAnsi="Arial" w:cs="Arial"/>
                <w:b/>
                <w:bCs/>
                <w:sz w:val="20"/>
                <w:lang w:val="es-ES"/>
              </w:rPr>
            </w:pPr>
            <w:r>
              <w:rPr>
                <w:rFonts w:ascii="Arial" w:hAnsi="Arial" w:cs="Arial"/>
                <w:b/>
                <w:bCs/>
                <w:sz w:val="20"/>
                <w:lang w:val="es-ES"/>
              </w:rPr>
              <w:t>Objetivo</w:t>
            </w:r>
          </w:p>
        </w:tc>
        <w:tc>
          <w:tcPr>
            <w:tcW w:w="3749" w:type="dxa"/>
            <w:shd w:val="clear" w:color="auto" w:fill="D9D9D9" w:themeFill="background1" w:themeFillShade="D9"/>
            <w:vAlign w:val="center"/>
          </w:tcPr>
          <w:p>
            <w:pPr>
              <w:spacing w:before="40" w:after="40"/>
              <w:jc w:val="center"/>
              <w:rPr>
                <w:rFonts w:ascii="Arial" w:hAnsi="Arial" w:cs="Arial"/>
                <w:b/>
                <w:bCs/>
                <w:sz w:val="20"/>
                <w:lang w:val="es-ES"/>
              </w:rPr>
            </w:pPr>
            <w:r>
              <w:rPr>
                <w:rFonts w:ascii="Arial" w:hAnsi="Arial" w:cs="Arial"/>
                <w:b/>
                <w:bCs/>
                <w:sz w:val="20"/>
                <w:lang w:val="es-ES"/>
              </w:rPr>
              <w:t>Condiciones de política de la Segunda Operación Programática</w:t>
            </w:r>
          </w:p>
        </w:tc>
        <w:tc>
          <w:tcPr>
            <w:tcW w:w="3813" w:type="dxa"/>
            <w:shd w:val="clear" w:color="auto" w:fill="D9D9D9" w:themeFill="background1" w:themeFillShade="D9"/>
            <w:vAlign w:val="center"/>
          </w:tcPr>
          <w:p>
            <w:pPr>
              <w:spacing w:before="40" w:after="40"/>
              <w:ind w:left="348" w:hanging="348"/>
              <w:jc w:val="center"/>
              <w:rPr>
                <w:rFonts w:ascii="Arial" w:hAnsi="Arial" w:cs="Arial"/>
                <w:b/>
                <w:bCs/>
                <w:sz w:val="20"/>
                <w:lang w:val="es-ES"/>
              </w:rPr>
            </w:pPr>
            <w:r>
              <w:rPr>
                <w:rFonts w:ascii="Arial" w:hAnsi="Arial" w:cs="Arial"/>
                <w:b/>
                <w:bCs/>
                <w:sz w:val="20"/>
                <w:lang w:val="es-ES"/>
              </w:rPr>
              <w:t>Medio de verificación</w:t>
            </w:r>
          </w:p>
        </w:tc>
        <w:tc>
          <w:tcPr>
            <w:tcW w:w="2459" w:type="dxa"/>
            <w:shd w:val="clear" w:color="auto" w:fill="D9D9D9" w:themeFill="background1" w:themeFillShade="D9"/>
            <w:vAlign w:val="center"/>
          </w:tcPr>
          <w:p>
            <w:pPr>
              <w:spacing w:before="40" w:after="40"/>
              <w:ind w:left="348" w:hanging="348"/>
              <w:jc w:val="center"/>
              <w:rPr>
                <w:rFonts w:ascii="Arial" w:hAnsi="Arial" w:cs="Arial"/>
                <w:b/>
                <w:bCs/>
                <w:sz w:val="20"/>
                <w:lang w:val="es-ES"/>
              </w:rPr>
            </w:pPr>
            <w:r>
              <w:rPr>
                <w:rFonts w:ascii="Arial" w:hAnsi="Arial" w:cs="Arial"/>
                <w:b/>
                <w:bCs/>
                <w:sz w:val="20"/>
                <w:lang w:val="es-ES"/>
              </w:rPr>
              <w:t>Unidad Responsable</w:t>
            </w:r>
          </w:p>
        </w:tc>
      </w:tr>
      <w:tr>
        <w:trPr>
          <w:trHeight w:val="20"/>
        </w:trPr>
        <w:tc>
          <w:tcPr>
            <w:tcW w:w="12230" w:type="dxa"/>
            <w:gridSpan w:val="4"/>
            <w:shd w:val="clear" w:color="auto" w:fill="D9D9D9" w:themeFill="background1" w:themeFillShade="D9"/>
          </w:tcPr>
          <w:p>
            <w:pPr>
              <w:pStyle w:val="ListParagraph"/>
              <w:numPr>
                <w:ilvl w:val="0"/>
                <w:numId w:val="34"/>
              </w:numPr>
              <w:tabs>
                <w:tab w:val="left" w:pos="2340"/>
                <w:tab w:val="left" w:pos="3600"/>
                <w:tab w:val="left" w:pos="4320"/>
                <w:tab w:val="left" w:pos="5040"/>
                <w:tab w:val="left" w:pos="5760"/>
                <w:tab w:val="left" w:pos="6480"/>
                <w:tab w:val="left" w:pos="7200"/>
                <w:tab w:val="left" w:pos="7920"/>
              </w:tabs>
              <w:spacing w:before="40" w:after="40" w:line="240" w:lineRule="auto"/>
              <w:ind w:left="337" w:hanging="180"/>
              <w:contextualSpacing w:val="0"/>
              <w:rPr>
                <w:rFonts w:ascii="Arial" w:hAnsi="Arial" w:cs="Arial"/>
                <w:b/>
                <w:bCs/>
                <w:lang w:val="es-ES"/>
              </w:rPr>
            </w:pPr>
            <w:r>
              <w:rPr>
                <w:rFonts w:ascii="Arial" w:hAnsi="Arial" w:cs="Arial"/>
                <w:b/>
                <w:bCs/>
                <w:lang w:val="es-ES"/>
              </w:rPr>
              <w:t>Mantener la Estabilidad Macroeconómica</w:t>
            </w:r>
          </w:p>
        </w:tc>
      </w:tr>
      <w:tr>
        <w:trPr>
          <w:trHeight w:val="20"/>
        </w:trPr>
        <w:tc>
          <w:tcPr>
            <w:tcW w:w="2209" w:type="dxa"/>
          </w:tcPr>
          <w:p>
            <w:pPr>
              <w:pStyle w:val="Heading1"/>
              <w:keepNext w:val="0"/>
              <w:spacing w:before="40" w:after="40"/>
              <w:rPr>
                <w:rFonts w:ascii="Arial" w:hAnsi="Arial" w:cs="Arial"/>
                <w:b w:val="0"/>
                <w:bCs w:val="0"/>
                <w:sz w:val="20"/>
              </w:rPr>
            </w:pPr>
            <w:r>
              <w:rPr>
                <w:rFonts w:ascii="Arial" w:hAnsi="Arial" w:cs="Arial"/>
                <w:b w:val="0"/>
                <w:bCs w:val="0"/>
                <w:sz w:val="20"/>
              </w:rPr>
              <w:t>Mantener un entorno macroeconómico apropiado y sostenible fiscalmente.</w:t>
            </w:r>
          </w:p>
        </w:tc>
        <w:tc>
          <w:tcPr>
            <w:tcW w:w="3749" w:type="dxa"/>
          </w:tcPr>
          <w:p>
            <w:pPr>
              <w:pStyle w:val="FootnoteText"/>
              <w:numPr>
                <w:ilvl w:val="1"/>
                <w:numId w:val="34"/>
              </w:numPr>
              <w:spacing w:before="40" w:after="40"/>
              <w:ind w:left="376" w:hanging="376"/>
              <w:jc w:val="both"/>
              <w:rPr>
                <w:rFonts w:ascii="Arial" w:hAnsi="Arial" w:cs="Arial"/>
                <w:lang w:val="es-ES"/>
              </w:rPr>
            </w:pPr>
            <w:r>
              <w:rPr>
                <w:rFonts w:ascii="Arial" w:hAnsi="Arial" w:cs="Arial"/>
                <w:lang w:val="es-ES"/>
              </w:rPr>
              <w:t>El marco de políticas macroeconómicas se mantiene congruente con los objetivos del programa y con los lineamientos establecidos en la carta de política.</w:t>
            </w:r>
          </w:p>
        </w:tc>
        <w:tc>
          <w:tcPr>
            <w:tcW w:w="3813" w:type="dxa"/>
          </w:tcPr>
          <w:p>
            <w:pPr>
              <w:pStyle w:val="FootnoteText"/>
              <w:numPr>
                <w:ilvl w:val="1"/>
                <w:numId w:val="35"/>
              </w:numPr>
              <w:spacing w:before="40" w:after="40"/>
              <w:jc w:val="both"/>
              <w:rPr>
                <w:rFonts w:ascii="Arial" w:hAnsi="Arial" w:cs="Arial"/>
                <w:lang w:val="es-ES"/>
              </w:rPr>
            </w:pPr>
            <w:r>
              <w:rPr>
                <w:rFonts w:ascii="Arial" w:hAnsi="Arial" w:cs="Arial"/>
                <w:lang w:val="es-ES"/>
              </w:rPr>
              <w:t>IAMC y Carta de Política.</w:t>
            </w:r>
          </w:p>
          <w:p>
            <w:pPr>
              <w:pStyle w:val="FootnoteText"/>
              <w:spacing w:before="40" w:after="40"/>
              <w:ind w:left="360"/>
              <w:jc w:val="both"/>
              <w:rPr>
                <w:rFonts w:ascii="Arial" w:hAnsi="Arial" w:cs="Arial"/>
                <w:lang w:val="es-ES"/>
              </w:rPr>
            </w:pPr>
          </w:p>
        </w:tc>
        <w:tc>
          <w:tcPr>
            <w:tcW w:w="2459" w:type="dxa"/>
          </w:tcPr>
          <w:p>
            <w:pPr>
              <w:pStyle w:val="FootnoteText"/>
              <w:spacing w:before="40" w:after="40"/>
              <w:rPr>
                <w:rFonts w:ascii="Arial" w:hAnsi="Arial" w:cs="Arial"/>
                <w:lang w:val="es-ES"/>
              </w:rPr>
            </w:pPr>
            <w:r>
              <w:rPr>
                <w:rFonts w:ascii="Arial" w:hAnsi="Arial" w:cs="Arial"/>
                <w:lang w:val="es-ES"/>
              </w:rPr>
              <w:t>BID y Ministerio de Hacienda y Crédito Público (MHCP) y Departamento Nacional de Planeación (DNP)</w:t>
            </w:r>
          </w:p>
        </w:tc>
      </w:tr>
      <w:tr>
        <w:trPr>
          <w:trHeight w:val="20"/>
        </w:trPr>
        <w:tc>
          <w:tcPr>
            <w:tcW w:w="12230" w:type="dxa"/>
            <w:gridSpan w:val="4"/>
            <w:shd w:val="clear" w:color="auto" w:fill="D9D9D9" w:themeFill="background1" w:themeFillShade="D9"/>
            <w:vAlign w:val="center"/>
          </w:tcPr>
          <w:p>
            <w:pPr>
              <w:pStyle w:val="ListParagraph"/>
              <w:numPr>
                <w:ilvl w:val="0"/>
                <w:numId w:val="34"/>
              </w:numPr>
              <w:tabs>
                <w:tab w:val="left" w:pos="2340"/>
                <w:tab w:val="left" w:pos="3600"/>
                <w:tab w:val="left" w:pos="4320"/>
                <w:tab w:val="left" w:pos="5040"/>
                <w:tab w:val="left" w:pos="5760"/>
                <w:tab w:val="left" w:pos="6480"/>
                <w:tab w:val="left" w:pos="7200"/>
                <w:tab w:val="left" w:pos="7920"/>
              </w:tabs>
              <w:spacing w:before="40" w:after="40" w:line="240" w:lineRule="auto"/>
              <w:ind w:left="337" w:hanging="180"/>
              <w:contextualSpacing w:val="0"/>
              <w:rPr>
                <w:rFonts w:ascii="Arial" w:hAnsi="Arial" w:cs="Arial"/>
                <w:b/>
                <w:bCs/>
                <w:lang w:val="es-ES"/>
              </w:rPr>
            </w:pPr>
            <w:bookmarkStart w:id="0" w:name="_Hlk493781920"/>
            <w:r>
              <w:rPr>
                <w:rFonts w:ascii="Arial" w:hAnsi="Arial" w:cs="Arial"/>
                <w:b/>
                <w:bCs/>
                <w:lang w:val="es-ES"/>
              </w:rPr>
              <w:t>Fortalecer la Gestión y Recaudación de Ingresos Tributarios y Aduaneros</w:t>
            </w:r>
            <w:bookmarkEnd w:id="0"/>
          </w:p>
        </w:tc>
      </w:tr>
      <w:tr>
        <w:trPr>
          <w:trHeight w:val="20"/>
        </w:trPr>
        <w:tc>
          <w:tcPr>
            <w:tcW w:w="2209" w:type="dxa"/>
          </w:tcPr>
          <w:p>
            <w:pPr>
              <w:spacing w:before="40" w:after="40"/>
              <w:rPr>
                <w:rFonts w:ascii="Arial" w:hAnsi="Arial" w:cs="Arial"/>
                <w:sz w:val="20"/>
                <w:lang w:val="es-ES"/>
              </w:rPr>
            </w:pPr>
            <w:r>
              <w:rPr>
                <w:rFonts w:ascii="Arial" w:hAnsi="Arial" w:cs="Arial"/>
                <w:sz w:val="20"/>
                <w:lang w:val="es-ES"/>
              </w:rPr>
              <w:t>Aumentar la productividad de la base tributaria y mejorar la recaudación.</w:t>
            </w:r>
          </w:p>
        </w:tc>
        <w:tc>
          <w:tcPr>
            <w:tcW w:w="3749" w:type="dxa"/>
          </w:tcPr>
          <w:p>
            <w:pPr>
              <w:pStyle w:val="FootnoteText"/>
              <w:numPr>
                <w:ilvl w:val="1"/>
                <w:numId w:val="3"/>
              </w:numPr>
              <w:spacing w:before="40" w:after="40"/>
              <w:jc w:val="both"/>
              <w:rPr>
                <w:rFonts w:ascii="Arial" w:hAnsi="Arial" w:cs="Arial"/>
                <w:lang w:val="es-ES"/>
              </w:rPr>
            </w:pPr>
            <w:r>
              <w:rPr>
                <w:rFonts w:ascii="Arial" w:hAnsi="Arial" w:cs="Arial"/>
                <w:lang w:val="es-ES"/>
              </w:rPr>
              <w:t xml:space="preserve">Fortalecimiento de los ingresos tributarios del gobierno central, consistente con las metas de la Ley </w:t>
            </w:r>
            <w:r>
              <w:rPr>
                <w:rFonts w:ascii="Arial" w:hAnsi="Arial" w:cs="Arial"/>
                <w:lang w:val="es-ES"/>
              </w:rPr>
              <w:t>1473</w:t>
            </w:r>
            <w:r>
              <w:rPr>
                <w:rFonts w:ascii="Arial" w:hAnsi="Arial" w:cs="Arial"/>
                <w:lang w:val="es-ES"/>
              </w:rPr>
              <w:t xml:space="preserve"> de la Regla Fiscal en el corto y mediano plazo, mediante la reducción de exenciones, la creación de un monotributo para combatir la informalidad y la simplificación de los sistemas de declaración y pagos de impuestos.</w:t>
            </w:r>
          </w:p>
        </w:tc>
        <w:tc>
          <w:tcPr>
            <w:tcW w:w="3813" w:type="dxa"/>
          </w:tcPr>
          <w:p>
            <w:pPr>
              <w:pStyle w:val="FootnoteText"/>
              <w:numPr>
                <w:ilvl w:val="1"/>
                <w:numId w:val="20"/>
              </w:numPr>
              <w:spacing w:before="40" w:after="40"/>
              <w:ind w:left="348" w:hanging="348"/>
              <w:jc w:val="both"/>
              <w:rPr>
                <w:rFonts w:ascii="Arial" w:hAnsi="Arial" w:cs="Arial"/>
                <w:lang w:val="es-ES"/>
              </w:rPr>
            </w:pPr>
            <w:r>
              <w:rPr>
                <w:rFonts w:ascii="Arial" w:hAnsi="Arial" w:cs="Arial"/>
                <w:lang w:val="es-ES"/>
              </w:rPr>
              <w:t xml:space="preserve"> (i) Ley </w:t>
            </w:r>
            <w:r>
              <w:rPr>
                <w:rFonts w:ascii="Arial" w:hAnsi="Arial" w:cs="Arial"/>
                <w:lang w:val="es-ES"/>
              </w:rPr>
              <w:t>1819</w:t>
            </w:r>
            <w:r>
              <w:rPr>
                <w:rFonts w:ascii="Arial" w:hAnsi="Arial" w:cs="Arial"/>
                <w:lang w:val="es-ES"/>
              </w:rPr>
              <w:t xml:space="preserve"> del 29 de diciembre de 2016, de la Reforma Tributaria Estructural; (ii) Decreto 738 del 8 de mayo de 2017, por el cual se reglamenta el Monotributo; y (iii) Decreto </w:t>
            </w:r>
            <w:r>
              <w:rPr>
                <w:rFonts w:ascii="Arial" w:hAnsi="Arial" w:cs="Arial"/>
                <w:lang w:val="es-ES"/>
              </w:rPr>
              <w:t>2250</w:t>
            </w:r>
            <w:r>
              <w:rPr>
                <w:rFonts w:ascii="Arial" w:hAnsi="Arial" w:cs="Arial"/>
                <w:lang w:val="es-ES"/>
              </w:rPr>
              <w:t xml:space="preserve"> del 29 de diciembre de 2017 que reglamenta aspectos del impuesto de renta.</w:t>
            </w:r>
          </w:p>
        </w:tc>
        <w:tc>
          <w:tcPr>
            <w:tcW w:w="2459" w:type="dxa"/>
          </w:tcPr>
          <w:p>
            <w:pPr>
              <w:pStyle w:val="FootnoteText"/>
              <w:spacing w:before="40" w:after="40"/>
              <w:jc w:val="both"/>
              <w:rPr>
                <w:rFonts w:ascii="Arial" w:hAnsi="Arial" w:cs="Arial"/>
                <w:lang w:val="es-ES"/>
              </w:rPr>
            </w:pPr>
            <w:r>
              <w:rPr>
                <w:rFonts w:ascii="Arial" w:hAnsi="Arial" w:cs="Arial"/>
                <w:lang w:val="es-ES"/>
              </w:rPr>
              <w:t>MHCP y Dirección de Impuestos y Aduanas Nacionales (DIAN)</w:t>
            </w:r>
          </w:p>
        </w:tc>
      </w:tr>
      <w:tr>
        <w:trPr>
          <w:trHeight w:val="20"/>
        </w:trPr>
        <w:tc>
          <w:tcPr>
            <w:tcW w:w="2209" w:type="dxa"/>
          </w:tcPr>
          <w:p>
            <w:pPr>
              <w:spacing w:before="40" w:after="40"/>
              <w:rPr>
                <w:rFonts w:ascii="Arial" w:hAnsi="Arial" w:cs="Arial"/>
                <w:bCs/>
                <w:sz w:val="20"/>
                <w:lang w:val="es-ES"/>
              </w:rPr>
            </w:pPr>
          </w:p>
        </w:tc>
        <w:tc>
          <w:tcPr>
            <w:tcW w:w="3749" w:type="dxa"/>
          </w:tcPr>
          <w:p>
            <w:pPr>
              <w:pStyle w:val="FootnoteText"/>
              <w:numPr>
                <w:ilvl w:val="1"/>
                <w:numId w:val="3"/>
              </w:numPr>
              <w:spacing w:before="40" w:after="40"/>
              <w:jc w:val="both"/>
              <w:rPr>
                <w:rFonts w:ascii="Arial" w:hAnsi="Arial" w:cs="Arial"/>
                <w:lang w:val="es-ES"/>
              </w:rPr>
            </w:pPr>
            <w:r>
              <w:rPr>
                <w:rFonts w:ascii="Arial" w:hAnsi="Arial" w:cs="Arial"/>
                <w:lang w:val="es-ES"/>
              </w:rPr>
              <w:t>Cumplimiento de las normas de la OCDE, relativas al proyecto BEPS, mediante el establecimiento de los requisitos y metodologías para el reporte de información sobre precios de transferencia.</w:t>
            </w:r>
          </w:p>
        </w:tc>
        <w:tc>
          <w:tcPr>
            <w:tcW w:w="3813" w:type="dxa"/>
          </w:tcPr>
          <w:p>
            <w:pPr>
              <w:pStyle w:val="FootnoteText"/>
              <w:numPr>
                <w:ilvl w:val="1"/>
                <w:numId w:val="20"/>
              </w:numPr>
              <w:spacing w:before="40" w:after="40"/>
              <w:ind w:left="348" w:hanging="348"/>
              <w:jc w:val="both"/>
              <w:rPr>
                <w:rFonts w:ascii="Arial" w:hAnsi="Arial" w:cs="Arial"/>
                <w:lang w:val="es-ES"/>
              </w:rPr>
            </w:pPr>
            <w:r>
              <w:rPr>
                <w:rFonts w:ascii="Arial" w:hAnsi="Arial" w:cs="Arial"/>
                <w:lang w:val="es-ES"/>
              </w:rPr>
              <w:t xml:space="preserve"> (i) Ley </w:t>
            </w:r>
            <w:r>
              <w:rPr>
                <w:rFonts w:ascii="Arial" w:hAnsi="Arial" w:cs="Arial"/>
                <w:lang w:val="es-ES"/>
              </w:rPr>
              <w:t>1819</w:t>
            </w:r>
            <w:r>
              <w:rPr>
                <w:rFonts w:ascii="Arial" w:hAnsi="Arial" w:cs="Arial"/>
                <w:lang w:val="es-ES"/>
              </w:rPr>
              <w:t xml:space="preserve"> del 29 de diciembre de 2016, de la Reforma Tributaria Estructural; (ii) Decreto </w:t>
            </w:r>
            <w:r>
              <w:rPr>
                <w:rFonts w:ascii="Arial" w:hAnsi="Arial" w:cs="Arial"/>
                <w:lang w:val="es-ES"/>
              </w:rPr>
              <w:t>2120</w:t>
            </w:r>
            <w:r>
              <w:rPr>
                <w:rFonts w:ascii="Arial" w:hAnsi="Arial" w:cs="Arial"/>
                <w:lang w:val="es-ES"/>
              </w:rPr>
              <w:t xml:space="preserve"> de diciembre 15 de 2017 por el cual se especifican aspectos del régimen de precios de transferencia y de los informes para transmisión de información; y (iii) publicación web en la </w:t>
            </w:r>
            <w:hyperlink r:id="rId7" w:history="1">
              <w:r>
                <w:rPr>
                  <w:rStyle w:val="Hyperlink"/>
                  <w:rFonts w:ascii="Arial" w:hAnsi="Arial" w:cs="Arial"/>
                  <w:lang w:val="es-ES"/>
                </w:rPr>
                <w:t>página de la OCDE</w:t>
              </w:r>
            </w:hyperlink>
            <w:r>
              <w:rPr>
                <w:rFonts w:ascii="Arial" w:hAnsi="Arial" w:cs="Arial"/>
                <w:lang w:val="es-ES"/>
              </w:rPr>
              <w:t xml:space="preserve"> sobre el cumplimiento de estándares en materia de manejo confidencial de la información para efectos de intercambio de información.</w:t>
            </w:r>
          </w:p>
        </w:tc>
        <w:tc>
          <w:tcPr>
            <w:tcW w:w="2459" w:type="dxa"/>
          </w:tcPr>
          <w:p>
            <w:pPr>
              <w:pStyle w:val="FootnoteText"/>
              <w:spacing w:before="40" w:after="40"/>
              <w:jc w:val="both"/>
              <w:rPr>
                <w:rFonts w:ascii="Arial" w:hAnsi="Arial" w:cs="Arial"/>
                <w:lang w:val="es-ES"/>
              </w:rPr>
            </w:pPr>
            <w:r>
              <w:rPr>
                <w:rFonts w:ascii="Arial" w:hAnsi="Arial" w:cs="Arial"/>
                <w:lang w:val="es-ES"/>
              </w:rPr>
              <w:t>MHCP y DIAN</w:t>
            </w:r>
          </w:p>
        </w:tc>
      </w:tr>
      <w:tr>
        <w:trPr>
          <w:trHeight w:val="20"/>
        </w:trPr>
        <w:tc>
          <w:tcPr>
            <w:tcW w:w="2209" w:type="dxa"/>
          </w:tcPr>
          <w:p>
            <w:pPr>
              <w:spacing w:before="40" w:after="40"/>
              <w:rPr>
                <w:rFonts w:ascii="Arial" w:hAnsi="Arial" w:cs="Arial"/>
                <w:bCs/>
                <w:sz w:val="20"/>
                <w:lang w:val="es-ES"/>
              </w:rPr>
            </w:pPr>
          </w:p>
        </w:tc>
        <w:tc>
          <w:tcPr>
            <w:tcW w:w="3749" w:type="dxa"/>
          </w:tcPr>
          <w:p>
            <w:pPr>
              <w:pStyle w:val="FootnoteText"/>
              <w:numPr>
                <w:ilvl w:val="1"/>
                <w:numId w:val="3"/>
              </w:numPr>
              <w:spacing w:before="40" w:after="40"/>
              <w:jc w:val="both"/>
              <w:rPr>
                <w:rFonts w:ascii="Arial" w:hAnsi="Arial" w:cs="Arial"/>
                <w:lang w:val="es-ES"/>
              </w:rPr>
            </w:pPr>
            <w:r>
              <w:rPr>
                <w:rFonts w:ascii="Arial" w:hAnsi="Arial" w:cs="Arial"/>
                <w:lang w:val="es-ES"/>
              </w:rPr>
              <w:t xml:space="preserve">Fortalecimiento del recaudo tributario territorial mediante el ajuste de tarifas, la actualización </w:t>
            </w:r>
            <w:r>
              <w:rPr>
                <w:rFonts w:ascii="Arial" w:hAnsi="Arial" w:cs="Arial"/>
                <w:lang w:val="es-ES"/>
              </w:rPr>
              <w:lastRenderedPageBreak/>
              <w:t>catastral y el fortalecimiento de mecanismos de fiscalización.</w:t>
            </w:r>
          </w:p>
        </w:tc>
        <w:tc>
          <w:tcPr>
            <w:tcW w:w="3813" w:type="dxa"/>
          </w:tcPr>
          <w:p>
            <w:pPr>
              <w:pStyle w:val="FootnoteText"/>
              <w:numPr>
                <w:ilvl w:val="1"/>
                <w:numId w:val="20"/>
              </w:numPr>
              <w:spacing w:before="40" w:after="40"/>
              <w:ind w:left="348" w:hanging="348"/>
              <w:jc w:val="both"/>
              <w:rPr>
                <w:rFonts w:ascii="Arial" w:hAnsi="Arial" w:cs="Arial"/>
                <w:lang w:val="es-ES"/>
              </w:rPr>
            </w:pPr>
            <w:r>
              <w:rPr>
                <w:rFonts w:ascii="Arial" w:hAnsi="Arial" w:cs="Arial"/>
                <w:lang w:val="es-ES"/>
              </w:rPr>
              <w:lastRenderedPageBreak/>
              <w:t xml:space="preserve"> (i) Ley </w:t>
            </w:r>
            <w:r>
              <w:rPr>
                <w:rFonts w:ascii="Arial" w:hAnsi="Arial" w:cs="Arial"/>
                <w:lang w:val="es-ES"/>
              </w:rPr>
              <w:t>1819</w:t>
            </w:r>
            <w:r>
              <w:rPr>
                <w:rFonts w:ascii="Arial" w:hAnsi="Arial" w:cs="Arial"/>
                <w:lang w:val="es-ES"/>
              </w:rPr>
              <w:t xml:space="preserve"> del 29 de diciembre de 2016, de Reforma Tributaria Estructural; (ii) Ley </w:t>
            </w:r>
            <w:r>
              <w:rPr>
                <w:rFonts w:ascii="Arial" w:hAnsi="Arial" w:cs="Arial"/>
                <w:lang w:val="es-ES"/>
              </w:rPr>
              <w:t>1816</w:t>
            </w:r>
            <w:r>
              <w:rPr>
                <w:rFonts w:ascii="Arial" w:hAnsi="Arial" w:cs="Arial"/>
                <w:lang w:val="es-ES"/>
              </w:rPr>
              <w:t xml:space="preserve"> de </w:t>
            </w:r>
            <w:r>
              <w:rPr>
                <w:rFonts w:ascii="Arial" w:hAnsi="Arial" w:cs="Arial"/>
                <w:lang w:val="es-ES"/>
              </w:rPr>
              <w:lastRenderedPageBreak/>
              <w:t xml:space="preserve">19 de diciembre de 2016, (Ley de Licores); (iii) CONPES </w:t>
            </w:r>
            <w:r>
              <w:rPr>
                <w:rFonts w:ascii="Arial" w:hAnsi="Arial" w:cs="Arial"/>
                <w:lang w:val="es-ES"/>
              </w:rPr>
              <w:t>3859</w:t>
            </w:r>
            <w:r>
              <w:rPr>
                <w:rFonts w:ascii="Arial" w:hAnsi="Arial" w:cs="Arial"/>
                <w:lang w:val="es-ES"/>
              </w:rPr>
              <w:t xml:space="preserve"> de 13 de junio de 2016 Política para la Adopción e Implementación de un Catastro Multipropósito Rural-Urbano; (iv) Proyecto de Ley </w:t>
            </w:r>
            <w:hyperlink r:id="rId8" w:history="1">
              <w:r>
                <w:rPr>
                  <w:rStyle w:val="Hyperlink"/>
                  <w:rFonts w:ascii="Arial" w:hAnsi="Arial" w:cs="Arial"/>
                  <w:lang w:val="es-ES"/>
                </w:rPr>
                <w:t>242/2018C</w:t>
              </w:r>
            </w:hyperlink>
            <w:r>
              <w:rPr>
                <w:rFonts w:ascii="Arial" w:hAnsi="Arial" w:cs="Arial"/>
                <w:lang w:val="es-ES"/>
              </w:rPr>
              <w:t xml:space="preserve"> radicado el 28 de abril de 2018 para trámite ante la Comisión Tercera de la Cámara de Representantes por el cual se Regula el Sistema Nacional Catastral Multipropósito</w:t>
            </w:r>
            <w:r>
              <w:rPr>
                <w:rFonts w:ascii="Arial" w:hAnsi="Arial" w:cs="Arial"/>
                <w:lang w:val="es-ES"/>
              </w:rPr>
              <w:t>;</w:t>
            </w:r>
            <w:r>
              <w:rPr>
                <w:rFonts w:ascii="Arial" w:hAnsi="Arial" w:cs="Arial"/>
                <w:lang w:val="es-ES"/>
              </w:rPr>
              <w:t xml:space="preserve"> y (v) Decreto </w:t>
            </w:r>
            <w:r>
              <w:rPr>
                <w:rFonts w:ascii="Arial" w:hAnsi="Arial" w:cs="Arial"/>
                <w:lang w:val="es-ES"/>
              </w:rPr>
              <w:t>1684</w:t>
            </w:r>
            <w:r>
              <w:rPr>
                <w:rFonts w:ascii="Arial" w:hAnsi="Arial" w:cs="Arial"/>
                <w:lang w:val="es-ES"/>
              </w:rPr>
              <w:t xml:space="preserve"> del 17 de octubre de 2017, por el cual se reglamenta el Impuesto al cigarrillo y al tabaco</w:t>
            </w:r>
          </w:p>
        </w:tc>
        <w:tc>
          <w:tcPr>
            <w:tcW w:w="2459" w:type="dxa"/>
          </w:tcPr>
          <w:p>
            <w:pPr>
              <w:pStyle w:val="FootnoteText"/>
              <w:spacing w:before="40" w:after="40"/>
              <w:jc w:val="both"/>
              <w:rPr>
                <w:rFonts w:ascii="Arial" w:hAnsi="Arial" w:cs="Arial"/>
                <w:lang w:val="es-ES"/>
              </w:rPr>
            </w:pPr>
            <w:r>
              <w:rPr>
                <w:rFonts w:ascii="Arial" w:hAnsi="Arial" w:cs="Arial"/>
                <w:lang w:val="es-ES"/>
              </w:rPr>
              <w:lastRenderedPageBreak/>
              <w:t>MHCP y DNP</w:t>
            </w:r>
          </w:p>
        </w:tc>
      </w:tr>
      <w:tr>
        <w:trPr>
          <w:trHeight w:val="20"/>
        </w:trPr>
        <w:tc>
          <w:tcPr>
            <w:tcW w:w="2209" w:type="dxa"/>
          </w:tcPr>
          <w:p>
            <w:pPr>
              <w:spacing w:before="40" w:after="40"/>
              <w:rPr>
                <w:rFonts w:ascii="Arial" w:hAnsi="Arial" w:cs="Arial"/>
                <w:bCs/>
                <w:sz w:val="20"/>
                <w:lang w:val="es-ES"/>
              </w:rPr>
            </w:pPr>
          </w:p>
        </w:tc>
        <w:tc>
          <w:tcPr>
            <w:tcW w:w="3749" w:type="dxa"/>
          </w:tcPr>
          <w:p>
            <w:pPr>
              <w:pStyle w:val="FootnoteText"/>
              <w:numPr>
                <w:ilvl w:val="1"/>
                <w:numId w:val="3"/>
              </w:numPr>
              <w:spacing w:before="40" w:after="40"/>
              <w:jc w:val="both"/>
              <w:rPr>
                <w:rFonts w:ascii="Arial" w:hAnsi="Arial" w:cs="Arial"/>
                <w:lang w:val="es-ES"/>
              </w:rPr>
            </w:pPr>
            <w:r>
              <w:rPr>
                <w:rFonts w:ascii="Arial" w:hAnsi="Arial" w:cs="Arial"/>
                <w:lang w:val="es-ES"/>
              </w:rPr>
              <w:t xml:space="preserve"> Implementación del Plan Piloto para la masificación del uso de la factura electrónica. </w:t>
            </w:r>
          </w:p>
        </w:tc>
        <w:tc>
          <w:tcPr>
            <w:tcW w:w="3813" w:type="dxa"/>
          </w:tcPr>
          <w:p>
            <w:pPr>
              <w:pStyle w:val="FootnoteText"/>
              <w:numPr>
                <w:ilvl w:val="1"/>
                <w:numId w:val="20"/>
              </w:numPr>
              <w:spacing w:before="40" w:after="40"/>
              <w:ind w:left="348" w:hanging="348"/>
              <w:jc w:val="both"/>
              <w:rPr>
                <w:rFonts w:ascii="Arial" w:hAnsi="Arial" w:cs="Arial"/>
                <w:lang w:val="es-ES"/>
              </w:rPr>
            </w:pPr>
            <w:r>
              <w:rPr>
                <w:rFonts w:ascii="Arial" w:hAnsi="Arial" w:cs="Arial"/>
                <w:lang w:val="es-ES"/>
              </w:rPr>
              <w:t xml:space="preserve"> (i) Informe elaborado por la DIAN, enviado al Banco, sobre el Plan Piloto</w:t>
            </w:r>
            <w:r>
              <w:rPr>
                <w:rFonts w:ascii="Arial" w:hAnsi="Arial" w:cs="Arial"/>
                <w:vertAlign w:val="superscript"/>
                <w:lang w:val="es-ES"/>
              </w:rPr>
              <w:footnoteReference w:id="2"/>
            </w:r>
            <w:r>
              <w:rPr>
                <w:rFonts w:ascii="Arial" w:hAnsi="Arial" w:cs="Arial"/>
                <w:lang w:val="es-ES"/>
              </w:rPr>
              <w:t xml:space="preserve"> para la masificación del uso de la factura electrónica</w:t>
            </w:r>
            <w:r>
              <w:rPr>
                <w:rFonts w:ascii="Arial" w:hAnsi="Arial" w:cs="Arial"/>
                <w:lang w:val="es-ES"/>
              </w:rPr>
              <w:t>.</w:t>
            </w:r>
          </w:p>
        </w:tc>
        <w:tc>
          <w:tcPr>
            <w:tcW w:w="2459" w:type="dxa"/>
          </w:tcPr>
          <w:p>
            <w:pPr>
              <w:pStyle w:val="FootnoteText"/>
              <w:spacing w:before="40" w:after="40"/>
              <w:jc w:val="both"/>
              <w:rPr>
                <w:rFonts w:ascii="Arial" w:hAnsi="Arial" w:cs="Arial"/>
                <w:lang w:val="es-ES"/>
              </w:rPr>
            </w:pPr>
            <w:r>
              <w:rPr>
                <w:rFonts w:ascii="Arial" w:hAnsi="Arial" w:cs="Arial"/>
                <w:lang w:val="es-ES"/>
              </w:rPr>
              <w:t>DIAN</w:t>
            </w:r>
          </w:p>
        </w:tc>
      </w:tr>
      <w:tr>
        <w:trPr>
          <w:trHeight w:val="20"/>
        </w:trPr>
        <w:tc>
          <w:tcPr>
            <w:tcW w:w="2209" w:type="dxa"/>
          </w:tcPr>
          <w:p>
            <w:pPr>
              <w:spacing w:before="40" w:after="40"/>
              <w:rPr>
                <w:rFonts w:ascii="Arial" w:hAnsi="Arial" w:cs="Arial"/>
                <w:bCs/>
                <w:sz w:val="20"/>
                <w:lang w:val="es-ES"/>
              </w:rPr>
            </w:pPr>
          </w:p>
        </w:tc>
        <w:tc>
          <w:tcPr>
            <w:tcW w:w="3749" w:type="dxa"/>
          </w:tcPr>
          <w:p>
            <w:pPr>
              <w:pStyle w:val="FootnoteText"/>
              <w:numPr>
                <w:ilvl w:val="1"/>
                <w:numId w:val="3"/>
              </w:numPr>
              <w:spacing w:before="40" w:after="40"/>
              <w:jc w:val="both"/>
              <w:rPr>
                <w:rFonts w:ascii="Arial" w:hAnsi="Arial" w:cs="Arial"/>
                <w:lang w:val="es-ES"/>
              </w:rPr>
            </w:pPr>
            <w:r>
              <w:rPr>
                <w:rFonts w:ascii="Arial" w:hAnsi="Arial" w:cs="Arial"/>
                <w:lang w:val="es-ES"/>
              </w:rPr>
              <w:t>Modificación del modelo de factura electrónica, pasando de un modelo asincrónico sin validación previa por parte de la DIAN, a uno basado en tiempo real con validación previa.</w:t>
            </w:r>
          </w:p>
        </w:tc>
        <w:tc>
          <w:tcPr>
            <w:tcW w:w="3813" w:type="dxa"/>
          </w:tcPr>
          <w:p>
            <w:pPr>
              <w:pStyle w:val="FootnoteText"/>
              <w:numPr>
                <w:ilvl w:val="1"/>
                <w:numId w:val="20"/>
              </w:numPr>
              <w:spacing w:before="40" w:after="40"/>
              <w:ind w:left="348" w:hanging="348"/>
              <w:jc w:val="both"/>
              <w:rPr>
                <w:rFonts w:ascii="Arial" w:hAnsi="Arial" w:cs="Arial"/>
                <w:lang w:val="es-ES"/>
              </w:rPr>
            </w:pPr>
            <w:r>
              <w:rPr>
                <w:rFonts w:ascii="Arial" w:hAnsi="Arial" w:cs="Arial"/>
                <w:lang w:val="es-ES"/>
              </w:rPr>
              <w:t xml:space="preserve"> (i) Ley </w:t>
            </w:r>
            <w:r>
              <w:rPr>
                <w:rFonts w:ascii="Arial" w:hAnsi="Arial" w:cs="Arial"/>
                <w:lang w:val="es-ES"/>
              </w:rPr>
              <w:t>1819</w:t>
            </w:r>
            <w:r>
              <w:rPr>
                <w:rFonts w:ascii="Arial" w:hAnsi="Arial" w:cs="Arial"/>
                <w:lang w:val="es-ES"/>
              </w:rPr>
              <w:t xml:space="preserve"> del 29 de diciembre de 2016, de Reforma Tributaria Estructural.</w:t>
            </w:r>
          </w:p>
        </w:tc>
        <w:tc>
          <w:tcPr>
            <w:tcW w:w="2459" w:type="dxa"/>
          </w:tcPr>
          <w:p>
            <w:pPr>
              <w:pStyle w:val="FootnoteText"/>
              <w:spacing w:before="40" w:after="40"/>
              <w:jc w:val="both"/>
              <w:rPr>
                <w:rFonts w:ascii="Arial" w:hAnsi="Arial" w:cs="Arial"/>
                <w:lang w:val="es-ES"/>
              </w:rPr>
            </w:pPr>
            <w:r>
              <w:rPr>
                <w:rFonts w:ascii="Arial" w:hAnsi="Arial" w:cs="Arial"/>
                <w:lang w:val="es-ES"/>
              </w:rPr>
              <w:t>MHCP y DIAN</w:t>
            </w:r>
          </w:p>
        </w:tc>
      </w:tr>
      <w:tr>
        <w:trPr>
          <w:trHeight w:val="20"/>
        </w:trPr>
        <w:tc>
          <w:tcPr>
            <w:tcW w:w="2209" w:type="dxa"/>
          </w:tcPr>
          <w:p>
            <w:pPr>
              <w:spacing w:before="40" w:after="40"/>
              <w:rPr>
                <w:rFonts w:ascii="Arial" w:hAnsi="Arial" w:cs="Arial"/>
                <w:bCs/>
                <w:sz w:val="20"/>
                <w:lang w:val="es-ES"/>
              </w:rPr>
            </w:pPr>
          </w:p>
        </w:tc>
        <w:tc>
          <w:tcPr>
            <w:tcW w:w="3749" w:type="dxa"/>
          </w:tcPr>
          <w:p>
            <w:pPr>
              <w:pStyle w:val="FootnoteText"/>
              <w:numPr>
                <w:ilvl w:val="1"/>
                <w:numId w:val="3"/>
              </w:numPr>
              <w:spacing w:before="40" w:after="40"/>
              <w:jc w:val="both"/>
              <w:rPr>
                <w:rFonts w:ascii="Arial" w:hAnsi="Arial" w:cs="Arial"/>
                <w:lang w:val="es-ES"/>
              </w:rPr>
            </w:pPr>
            <w:r>
              <w:rPr>
                <w:rFonts w:ascii="Arial" w:hAnsi="Arial" w:cs="Arial"/>
                <w:lang w:val="es-ES"/>
              </w:rPr>
              <w:t>Regulación aduanera (Estatuto Aduanero), ajustada a las mejores prácticas y acuerdos internacionales, aprobada e implementada.</w:t>
            </w:r>
          </w:p>
        </w:tc>
        <w:tc>
          <w:tcPr>
            <w:tcW w:w="3813" w:type="dxa"/>
          </w:tcPr>
          <w:p>
            <w:pPr>
              <w:pStyle w:val="FootnoteText"/>
              <w:numPr>
                <w:ilvl w:val="1"/>
                <w:numId w:val="20"/>
              </w:numPr>
              <w:spacing w:before="40" w:after="40"/>
              <w:ind w:left="348" w:hanging="348"/>
              <w:jc w:val="both"/>
              <w:rPr>
                <w:rFonts w:ascii="Arial" w:hAnsi="Arial" w:cs="Arial"/>
                <w:lang w:val="es-ES"/>
              </w:rPr>
            </w:pPr>
            <w:r>
              <w:rPr>
                <w:rFonts w:ascii="Arial" w:hAnsi="Arial" w:cs="Arial"/>
                <w:lang w:val="es-ES"/>
              </w:rPr>
              <w:t xml:space="preserve"> (i) Decreto 390 del 7 de marzo de 2016, por el cual se aprobó el nuevo Estatuto Aduanero; y (ii) Resoluciones 41 del 11 de mayo de 2016, 42 del 13 de mayo de 2016, 64 del 28 de septiembre de 2016, y 72 del 29 de noviembre de 2016, por las </w:t>
            </w:r>
            <w:r>
              <w:rPr>
                <w:rFonts w:ascii="Arial" w:hAnsi="Arial" w:cs="Arial"/>
                <w:lang w:val="es-ES"/>
              </w:rPr>
              <w:lastRenderedPageBreak/>
              <w:t>cuales se reglamentan distintos artículos del Decreto 390.</w:t>
            </w:r>
          </w:p>
        </w:tc>
        <w:tc>
          <w:tcPr>
            <w:tcW w:w="2459" w:type="dxa"/>
          </w:tcPr>
          <w:p>
            <w:pPr>
              <w:pStyle w:val="FootnoteText"/>
              <w:spacing w:before="40" w:after="40"/>
              <w:jc w:val="both"/>
              <w:rPr>
                <w:rFonts w:ascii="Arial" w:hAnsi="Arial" w:cs="Arial"/>
                <w:lang w:val="es-ES"/>
              </w:rPr>
            </w:pPr>
            <w:r>
              <w:rPr>
                <w:rFonts w:ascii="Arial" w:hAnsi="Arial" w:cs="Arial"/>
                <w:lang w:val="es-ES"/>
              </w:rPr>
              <w:lastRenderedPageBreak/>
              <w:t>DIAN</w:t>
            </w:r>
          </w:p>
        </w:tc>
      </w:tr>
      <w:tr>
        <w:trPr>
          <w:trHeight w:val="20"/>
        </w:trPr>
        <w:tc>
          <w:tcPr>
            <w:tcW w:w="2209" w:type="dxa"/>
          </w:tcPr>
          <w:p>
            <w:pPr>
              <w:spacing w:before="40" w:after="40"/>
              <w:rPr>
                <w:rFonts w:ascii="Arial" w:hAnsi="Arial" w:cs="Arial"/>
                <w:bCs/>
                <w:sz w:val="20"/>
                <w:lang w:val="es-ES"/>
              </w:rPr>
            </w:pPr>
          </w:p>
        </w:tc>
        <w:tc>
          <w:tcPr>
            <w:tcW w:w="3749" w:type="dxa"/>
          </w:tcPr>
          <w:p>
            <w:pPr>
              <w:pStyle w:val="FootnoteText"/>
              <w:numPr>
                <w:ilvl w:val="1"/>
                <w:numId w:val="3"/>
              </w:numPr>
              <w:spacing w:before="40" w:after="40"/>
              <w:jc w:val="both"/>
              <w:rPr>
                <w:rFonts w:ascii="Arial" w:hAnsi="Arial" w:cs="Arial"/>
                <w:lang w:val="es-ES"/>
              </w:rPr>
            </w:pPr>
            <w:r>
              <w:rPr>
                <w:rFonts w:ascii="Arial" w:hAnsi="Arial" w:cs="Arial"/>
                <w:lang w:val="es-ES"/>
              </w:rPr>
              <w:t>Nuevo sistema de información para el fortalecimiento del control aduanero, implementado y operando a plena capacidad en el módulo de desaduanamiento.</w:t>
            </w:r>
          </w:p>
        </w:tc>
        <w:tc>
          <w:tcPr>
            <w:tcW w:w="3813" w:type="dxa"/>
          </w:tcPr>
          <w:p>
            <w:pPr>
              <w:pStyle w:val="FootnoteText"/>
              <w:numPr>
                <w:ilvl w:val="1"/>
                <w:numId w:val="20"/>
              </w:numPr>
              <w:spacing w:before="40" w:after="40"/>
              <w:ind w:left="348" w:hanging="348"/>
              <w:jc w:val="both"/>
              <w:rPr>
                <w:rFonts w:ascii="Arial" w:hAnsi="Arial" w:cs="Arial"/>
                <w:lang w:val="es-ES"/>
              </w:rPr>
            </w:pPr>
            <w:r>
              <w:rPr>
                <w:rFonts w:ascii="Arial" w:hAnsi="Arial" w:cs="Arial"/>
                <w:lang w:val="es-ES"/>
              </w:rPr>
              <w:t>Informe elaborado por la DIAN.  enviado al Banco, sobre la implementación y operación del Módulo de desaduanamiento del sistema de gestión de riesgo aduanero</w:t>
            </w:r>
            <w:r>
              <w:rPr>
                <w:rFonts w:ascii="Arial" w:hAnsi="Arial" w:cs="Arial"/>
                <w:lang w:val="es-ES"/>
              </w:rPr>
              <w:t>.</w:t>
            </w:r>
          </w:p>
        </w:tc>
        <w:tc>
          <w:tcPr>
            <w:tcW w:w="2459" w:type="dxa"/>
          </w:tcPr>
          <w:p>
            <w:pPr>
              <w:pStyle w:val="FootnoteText"/>
              <w:spacing w:before="40" w:after="40"/>
              <w:jc w:val="both"/>
              <w:rPr>
                <w:rFonts w:ascii="Arial" w:hAnsi="Arial" w:cs="Arial"/>
                <w:lang w:val="es-ES"/>
              </w:rPr>
            </w:pPr>
            <w:r>
              <w:rPr>
                <w:rFonts w:ascii="Arial" w:hAnsi="Arial" w:cs="Arial"/>
                <w:lang w:val="es-ES"/>
              </w:rPr>
              <w:t>DIAN</w:t>
            </w:r>
          </w:p>
        </w:tc>
      </w:tr>
      <w:tr>
        <w:trPr>
          <w:trHeight w:val="20"/>
        </w:trPr>
        <w:tc>
          <w:tcPr>
            <w:tcW w:w="2209" w:type="dxa"/>
          </w:tcPr>
          <w:p>
            <w:pPr>
              <w:spacing w:before="40" w:after="40"/>
              <w:rPr>
                <w:rFonts w:ascii="Arial" w:hAnsi="Arial" w:cs="Arial"/>
                <w:bCs/>
                <w:sz w:val="20"/>
                <w:lang w:val="es-ES"/>
              </w:rPr>
            </w:pPr>
          </w:p>
        </w:tc>
        <w:tc>
          <w:tcPr>
            <w:tcW w:w="3749" w:type="dxa"/>
          </w:tcPr>
          <w:p>
            <w:pPr>
              <w:pStyle w:val="FootnoteText"/>
              <w:numPr>
                <w:ilvl w:val="1"/>
                <w:numId w:val="3"/>
              </w:numPr>
              <w:spacing w:before="40" w:after="40"/>
              <w:jc w:val="both"/>
              <w:rPr>
                <w:rFonts w:ascii="Arial" w:hAnsi="Arial" w:cs="Arial"/>
                <w:lang w:val="es-ES"/>
              </w:rPr>
            </w:pPr>
            <w:r>
              <w:rPr>
                <w:rFonts w:ascii="Arial" w:hAnsi="Arial" w:cs="Arial"/>
                <w:lang w:val="es-ES"/>
              </w:rPr>
              <w:t>Dirección de Fiscalización de la DIAN fortalecida mediante la contratación de funcionarios adicionales y la actualización del sistema de carrera de la entidad.</w:t>
            </w:r>
          </w:p>
        </w:tc>
        <w:tc>
          <w:tcPr>
            <w:tcW w:w="3813" w:type="dxa"/>
          </w:tcPr>
          <w:p>
            <w:pPr>
              <w:pStyle w:val="FootnoteText"/>
              <w:numPr>
                <w:ilvl w:val="1"/>
                <w:numId w:val="20"/>
              </w:numPr>
              <w:spacing w:before="40" w:after="40"/>
              <w:ind w:left="348" w:hanging="348"/>
              <w:jc w:val="both"/>
              <w:rPr>
                <w:rFonts w:ascii="Arial" w:hAnsi="Arial" w:cs="Arial"/>
                <w:lang w:val="es-ES"/>
              </w:rPr>
            </w:pPr>
            <w:r>
              <w:rPr>
                <w:rFonts w:ascii="Arial" w:hAnsi="Arial" w:cs="Arial"/>
                <w:lang w:val="es-ES"/>
              </w:rPr>
              <w:t xml:space="preserve"> (i) Ley 1819</w:t>
            </w:r>
            <w:r>
              <w:rPr>
                <w:rFonts w:ascii="Arial" w:hAnsi="Arial" w:cs="Arial"/>
                <w:lang w:val="es-ES"/>
              </w:rPr>
              <w:t xml:space="preserve"> del 2016, de reforma tributaria estructural, en los cuales se establece el fortalecimiento de la capacidad institucional para mejorar la fiscalización; y (ii) Decreto </w:t>
            </w:r>
            <w:r>
              <w:rPr>
                <w:rFonts w:ascii="Arial" w:hAnsi="Arial" w:cs="Arial"/>
                <w:lang w:val="es-ES"/>
              </w:rPr>
              <w:t>2394</w:t>
            </w:r>
            <w:r>
              <w:rPr>
                <w:rFonts w:ascii="Arial" w:hAnsi="Arial" w:cs="Arial"/>
                <w:lang w:val="es-ES"/>
              </w:rPr>
              <w:t xml:space="preserve"> del 11 de diciembre de 2015, por el cual se contrata de forma exprés a funcionarios (auditores tributarios) para fortalecer la unidad de fiscalización.</w:t>
            </w:r>
          </w:p>
        </w:tc>
        <w:tc>
          <w:tcPr>
            <w:tcW w:w="2459" w:type="dxa"/>
          </w:tcPr>
          <w:p>
            <w:pPr>
              <w:pStyle w:val="FootnoteText"/>
              <w:spacing w:before="40" w:after="40"/>
              <w:jc w:val="both"/>
              <w:rPr>
                <w:rFonts w:ascii="Arial" w:hAnsi="Arial" w:cs="Arial"/>
                <w:lang w:val="es-ES"/>
              </w:rPr>
            </w:pPr>
            <w:r>
              <w:rPr>
                <w:rFonts w:ascii="Arial" w:hAnsi="Arial" w:cs="Arial"/>
                <w:lang w:val="es-ES"/>
              </w:rPr>
              <w:t>MHCP y DIAN</w:t>
            </w:r>
          </w:p>
        </w:tc>
      </w:tr>
      <w:tr>
        <w:trPr>
          <w:trHeight w:val="20"/>
        </w:trPr>
        <w:tc>
          <w:tcPr>
            <w:tcW w:w="12230" w:type="dxa"/>
            <w:gridSpan w:val="4"/>
            <w:shd w:val="clear" w:color="auto" w:fill="D9D9D9" w:themeFill="background1" w:themeFillShade="D9"/>
          </w:tcPr>
          <w:p>
            <w:pPr>
              <w:pStyle w:val="ListParagraph"/>
              <w:numPr>
                <w:ilvl w:val="0"/>
                <w:numId w:val="34"/>
              </w:numPr>
              <w:tabs>
                <w:tab w:val="left" w:pos="2340"/>
                <w:tab w:val="left" w:pos="3600"/>
                <w:tab w:val="left" w:pos="4320"/>
                <w:tab w:val="left" w:pos="5040"/>
                <w:tab w:val="left" w:pos="5760"/>
                <w:tab w:val="left" w:pos="6480"/>
                <w:tab w:val="left" w:pos="7200"/>
                <w:tab w:val="left" w:pos="7920"/>
              </w:tabs>
              <w:spacing w:before="40" w:after="40" w:line="240" w:lineRule="auto"/>
              <w:ind w:left="337" w:hanging="180"/>
              <w:contextualSpacing w:val="0"/>
              <w:rPr>
                <w:rFonts w:ascii="Arial" w:hAnsi="Arial" w:cs="Arial"/>
                <w:b/>
                <w:bCs/>
                <w:lang w:val="es-ES"/>
              </w:rPr>
            </w:pPr>
            <w:r>
              <w:rPr>
                <w:rFonts w:ascii="Arial" w:hAnsi="Arial" w:cs="Arial"/>
                <w:b/>
                <w:bCs/>
                <w:lang w:val="es-ES"/>
              </w:rPr>
              <w:t>Mejorar la Eficiencia del Gasto Público</w:t>
            </w:r>
          </w:p>
        </w:tc>
      </w:tr>
      <w:tr>
        <w:trPr>
          <w:trHeight w:val="20"/>
        </w:trPr>
        <w:tc>
          <w:tcPr>
            <w:tcW w:w="2209" w:type="dxa"/>
          </w:tcPr>
          <w:p>
            <w:pPr>
              <w:pStyle w:val="FootnoteText"/>
              <w:spacing w:before="40" w:after="40"/>
              <w:rPr>
                <w:rFonts w:ascii="Arial" w:hAnsi="Arial" w:cs="Arial"/>
                <w:lang w:val="es-ES"/>
              </w:rPr>
            </w:pPr>
            <w:r>
              <w:rPr>
                <w:rFonts w:ascii="Arial" w:hAnsi="Arial" w:cs="Arial"/>
                <w:lang w:val="es-ES"/>
              </w:rPr>
              <w:t>Fortalecer la calidad del gasto público.</w:t>
            </w:r>
          </w:p>
        </w:tc>
        <w:tc>
          <w:tcPr>
            <w:tcW w:w="3749" w:type="dxa"/>
          </w:tcPr>
          <w:p>
            <w:pPr>
              <w:pStyle w:val="FootnoteText"/>
              <w:numPr>
                <w:ilvl w:val="1"/>
                <w:numId w:val="6"/>
              </w:numPr>
              <w:spacing w:before="40" w:after="40"/>
              <w:jc w:val="both"/>
              <w:rPr>
                <w:rFonts w:ascii="Arial" w:hAnsi="Arial" w:cs="Arial"/>
                <w:lang w:val="es-ES"/>
              </w:rPr>
            </w:pPr>
            <w:bookmarkStart w:id="1" w:name="_Hlk493792801"/>
            <w:r>
              <w:rPr>
                <w:rFonts w:ascii="Arial" w:hAnsi="Arial" w:cs="Arial"/>
                <w:lang w:val="es-ES"/>
              </w:rPr>
              <w:t xml:space="preserve">Consolidación de la Coordinación y Operación del SGR mediante: </w:t>
            </w:r>
          </w:p>
          <w:p>
            <w:pPr>
              <w:pStyle w:val="FootnoteText"/>
              <w:numPr>
                <w:ilvl w:val="0"/>
                <w:numId w:val="31"/>
              </w:numPr>
              <w:spacing w:before="40" w:after="40"/>
              <w:ind w:left="342" w:hanging="342"/>
              <w:jc w:val="both"/>
              <w:rPr>
                <w:rFonts w:ascii="Arial" w:hAnsi="Arial" w:cs="Arial"/>
                <w:lang w:val="es-ES"/>
              </w:rPr>
            </w:pPr>
            <w:r>
              <w:rPr>
                <w:rFonts w:ascii="Arial" w:hAnsi="Arial" w:cs="Arial"/>
                <w:lang w:val="es-ES"/>
              </w:rPr>
              <w:t xml:space="preserve">La creación de una Dirección del Sistema General de Regalías en el DNP; </w:t>
            </w:r>
          </w:p>
          <w:p>
            <w:pPr>
              <w:pStyle w:val="FootnoteText"/>
              <w:numPr>
                <w:ilvl w:val="0"/>
                <w:numId w:val="31"/>
              </w:numPr>
              <w:spacing w:before="40"/>
              <w:ind w:left="342" w:hanging="342"/>
              <w:jc w:val="both"/>
              <w:rPr>
                <w:rFonts w:ascii="Arial" w:hAnsi="Arial" w:cs="Arial"/>
                <w:lang w:val="es-ES"/>
              </w:rPr>
            </w:pPr>
            <w:r>
              <w:rPr>
                <w:rFonts w:ascii="Arial" w:hAnsi="Arial" w:cs="Arial"/>
                <w:lang w:val="es-ES"/>
              </w:rPr>
              <w:t>La emisión de la normativa, desarrollo de herramientas y fortalecimiento del equipo técnico del DNP para la estructuración y gestión de proyectos de inversión financiados con recursos del SGR para las ET.</w:t>
            </w:r>
            <w:bookmarkEnd w:id="1"/>
          </w:p>
        </w:tc>
        <w:tc>
          <w:tcPr>
            <w:tcW w:w="3813" w:type="dxa"/>
          </w:tcPr>
          <w:p>
            <w:pPr>
              <w:pStyle w:val="FootnoteText"/>
              <w:numPr>
                <w:ilvl w:val="0"/>
                <w:numId w:val="21"/>
              </w:numPr>
              <w:spacing w:before="40"/>
              <w:ind w:left="348" w:hanging="348"/>
              <w:jc w:val="both"/>
              <w:rPr>
                <w:rFonts w:ascii="Arial" w:hAnsi="Arial" w:cs="Arial"/>
                <w:lang w:val="es-ES"/>
              </w:rPr>
            </w:pPr>
            <w:r>
              <w:rPr>
                <w:rFonts w:ascii="Arial" w:hAnsi="Arial" w:cs="Arial"/>
                <w:lang w:val="es-ES"/>
              </w:rPr>
              <w:t xml:space="preserve">(i) CONPES </w:t>
            </w:r>
            <w:r>
              <w:rPr>
                <w:rFonts w:ascii="Arial" w:hAnsi="Arial" w:cs="Arial"/>
                <w:lang w:val="es-ES"/>
              </w:rPr>
              <w:t>3856</w:t>
            </w:r>
            <w:r>
              <w:rPr>
                <w:rFonts w:ascii="Arial" w:hAnsi="Arial" w:cs="Arial"/>
                <w:lang w:val="es-ES"/>
              </w:rPr>
              <w:t xml:space="preserve"> de abril de 2016 para la Estrategia de Estandarización de Proyectos de Inversión de 2016-2018; (ii) Decreto </w:t>
            </w:r>
            <w:r>
              <w:rPr>
                <w:rFonts w:ascii="Arial" w:hAnsi="Arial" w:cs="Arial"/>
                <w:lang w:val="es-ES"/>
              </w:rPr>
              <w:t>2189</w:t>
            </w:r>
            <w:r>
              <w:rPr>
                <w:rFonts w:ascii="Arial" w:hAnsi="Arial" w:cs="Arial"/>
                <w:lang w:val="es-ES"/>
              </w:rPr>
              <w:t xml:space="preserve"> del 23 de diciembre de 2017, por el cual se crea la Dirección del Sistema General de Regalías; y (iii) Documento sobre la </w:t>
            </w:r>
            <w:hyperlink r:id="rId9">
              <w:r>
                <w:rPr>
                  <w:rStyle w:val="Hyperlink"/>
                  <w:rFonts w:ascii="Arial" w:hAnsi="Arial" w:cs="Arial"/>
                  <w:lang w:val="es-ES"/>
                </w:rPr>
                <w:t>Metodología del DNP para el desarrollo de proyectos de inversión estandarizados financiados con recursos del SGR, publicado en la web del DNP</w:t>
              </w:r>
            </w:hyperlink>
            <w:r>
              <w:rPr>
                <w:rFonts w:ascii="Arial" w:hAnsi="Arial" w:cs="Arial"/>
                <w:lang w:val="es-ES"/>
              </w:rPr>
              <w:t>.</w:t>
            </w:r>
          </w:p>
        </w:tc>
        <w:tc>
          <w:tcPr>
            <w:tcW w:w="2459" w:type="dxa"/>
          </w:tcPr>
          <w:p>
            <w:pPr>
              <w:pStyle w:val="FootnoteText"/>
              <w:spacing w:before="40" w:after="40"/>
              <w:jc w:val="both"/>
              <w:rPr>
                <w:rFonts w:ascii="Arial" w:hAnsi="Arial" w:cs="Arial"/>
                <w:lang w:val="es-ES"/>
              </w:rPr>
            </w:pPr>
            <w:r>
              <w:rPr>
                <w:rFonts w:ascii="Arial" w:hAnsi="Arial" w:cs="Arial"/>
                <w:lang w:val="es-ES"/>
              </w:rPr>
              <w:t>DNP</w:t>
            </w:r>
          </w:p>
        </w:tc>
      </w:tr>
      <w:tr>
        <w:trPr>
          <w:trHeight w:val="20"/>
        </w:trPr>
        <w:tc>
          <w:tcPr>
            <w:tcW w:w="2209" w:type="dxa"/>
          </w:tcPr>
          <w:p>
            <w:pPr>
              <w:pStyle w:val="FootnoteText"/>
              <w:spacing w:before="40" w:after="40"/>
              <w:rPr>
                <w:rFonts w:ascii="Arial" w:hAnsi="Arial" w:cs="Arial"/>
                <w:lang w:val="es-ES"/>
              </w:rPr>
            </w:pPr>
          </w:p>
        </w:tc>
        <w:tc>
          <w:tcPr>
            <w:tcW w:w="3749" w:type="dxa"/>
          </w:tcPr>
          <w:p>
            <w:pPr>
              <w:pStyle w:val="FootnoteText"/>
              <w:numPr>
                <w:ilvl w:val="1"/>
                <w:numId w:val="6"/>
              </w:numPr>
              <w:spacing w:before="40" w:after="40"/>
              <w:ind w:hanging="378"/>
              <w:jc w:val="both"/>
              <w:rPr>
                <w:rFonts w:ascii="Arial" w:hAnsi="Arial" w:cs="Arial"/>
                <w:lang w:val="es-ES"/>
              </w:rPr>
            </w:pPr>
            <w:bookmarkStart w:id="2" w:name="_Hlk493783602"/>
            <w:r>
              <w:rPr>
                <w:rFonts w:ascii="Arial" w:hAnsi="Arial" w:cs="Arial"/>
                <w:lang w:val="es-ES"/>
              </w:rPr>
              <w:t xml:space="preserve">Operación de la Red de Estructuradores para los proyectos de inversión financiados por el SGR, mediante la conformación de un grupo de expertos en la </w:t>
            </w:r>
            <w:r>
              <w:rPr>
                <w:rFonts w:ascii="Arial" w:hAnsi="Arial" w:cs="Arial"/>
                <w:lang w:val="es-ES"/>
              </w:rPr>
              <w:lastRenderedPageBreak/>
              <w:t xml:space="preserve">Dirección del SGR en </w:t>
            </w:r>
            <w:r>
              <w:rPr>
                <w:rFonts w:ascii="Arial" w:hAnsi="Arial" w:cs="Arial"/>
                <w:lang w:val="es-ES"/>
              </w:rPr>
              <w:t>el</w:t>
            </w:r>
            <w:r>
              <w:rPr>
                <w:rFonts w:ascii="Arial" w:hAnsi="Arial" w:cs="Arial"/>
                <w:lang w:val="es-ES"/>
              </w:rPr>
              <w:t xml:space="preserve"> DNP, </w:t>
            </w:r>
            <w:r>
              <w:rPr>
                <w:rFonts w:ascii="Arial" w:hAnsi="Arial" w:cs="Arial"/>
                <w:lang w:val="es-ES"/>
              </w:rPr>
              <w:t>encargado</w:t>
            </w:r>
            <w:r>
              <w:rPr>
                <w:rFonts w:ascii="Arial" w:hAnsi="Arial" w:cs="Arial"/>
                <w:lang w:val="es-ES"/>
              </w:rPr>
              <w:t xml:space="preserve"> de apoyar a las ET en la estructuración y formulación de proyectos de inversión financiados con el SGR.</w:t>
            </w:r>
            <w:bookmarkEnd w:id="2"/>
          </w:p>
        </w:tc>
        <w:tc>
          <w:tcPr>
            <w:tcW w:w="3813" w:type="dxa"/>
          </w:tcPr>
          <w:p>
            <w:pPr>
              <w:pStyle w:val="FootnoteText"/>
              <w:numPr>
                <w:ilvl w:val="0"/>
                <w:numId w:val="21"/>
              </w:numPr>
              <w:spacing w:before="40" w:after="40"/>
              <w:ind w:left="348" w:hanging="348"/>
              <w:jc w:val="both"/>
              <w:rPr>
                <w:rFonts w:ascii="Arial" w:hAnsi="Arial" w:cs="Arial"/>
                <w:lang w:val="es-ES"/>
              </w:rPr>
            </w:pPr>
            <w:r>
              <w:rPr>
                <w:rFonts w:ascii="Arial" w:hAnsi="Arial" w:cs="Arial"/>
                <w:lang w:val="es-ES"/>
              </w:rPr>
              <w:lastRenderedPageBreak/>
              <w:t xml:space="preserve">(i) </w:t>
            </w:r>
            <w:hyperlink r:id="rId10" w:history="1">
              <w:r>
                <w:rPr>
                  <w:rStyle w:val="Hyperlink"/>
                  <w:rFonts w:ascii="Arial" w:hAnsi="Arial" w:cs="Arial"/>
                  <w:lang w:val="es-ES"/>
                </w:rPr>
                <w:t>Guía de Operación de la Red de Estructuradores de la Dirección del SGR</w:t>
              </w:r>
            </w:hyperlink>
            <w:r>
              <w:rPr>
                <w:rFonts w:ascii="Arial" w:hAnsi="Arial" w:cs="Arial"/>
                <w:lang w:val="es-ES_tradnl"/>
              </w:rPr>
              <w:t>, de 2016, publicado en</w:t>
            </w:r>
            <w:r>
              <w:rPr>
                <w:rFonts w:ascii="Arial" w:hAnsi="Arial" w:cs="Arial"/>
              </w:rPr>
              <w:t xml:space="preserve"> l</w:t>
            </w:r>
            <w:r>
              <w:rPr>
                <w:rFonts w:ascii="Arial" w:hAnsi="Arial" w:cs="Arial"/>
                <w:lang w:val="es-ES"/>
              </w:rPr>
              <w:t xml:space="preserve">a </w:t>
            </w:r>
            <w:proofErr w:type="spellStart"/>
            <w:r>
              <w:rPr>
                <w:rFonts w:ascii="Arial" w:hAnsi="Arial" w:cs="Arial"/>
              </w:rPr>
              <w:t>página</w:t>
            </w:r>
            <w:proofErr w:type="spellEnd"/>
            <w:r>
              <w:rPr>
                <w:rFonts w:ascii="Arial" w:hAnsi="Arial" w:cs="Arial"/>
              </w:rPr>
              <w:t xml:space="preserve"> web del DNP</w:t>
            </w:r>
            <w:r>
              <w:rPr>
                <w:rFonts w:ascii="Arial" w:hAnsi="Arial" w:cs="Arial"/>
                <w:lang w:val="es-ES"/>
              </w:rPr>
              <w:t>; y</w:t>
            </w:r>
          </w:p>
          <w:p>
            <w:pPr>
              <w:pStyle w:val="FootnoteText"/>
              <w:numPr>
                <w:ilvl w:val="0"/>
                <w:numId w:val="21"/>
              </w:numPr>
              <w:spacing w:before="40" w:after="40"/>
              <w:ind w:left="348" w:hanging="348"/>
              <w:jc w:val="both"/>
              <w:rPr>
                <w:rFonts w:ascii="Arial" w:hAnsi="Arial" w:cs="Arial"/>
                <w:lang w:val="es-ES"/>
              </w:rPr>
            </w:pPr>
            <w:r>
              <w:rPr>
                <w:rFonts w:ascii="Arial" w:hAnsi="Arial" w:cs="Arial"/>
                <w:lang w:val="es-ES_tradnl"/>
              </w:rPr>
              <w:lastRenderedPageBreak/>
              <w:t>, de 2016, publicado en</w:t>
            </w:r>
            <w:r>
              <w:rPr>
                <w:rFonts w:ascii="Arial" w:hAnsi="Arial" w:cs="Arial"/>
              </w:rPr>
              <w:t xml:space="preserve"> l</w:t>
            </w:r>
            <w:r>
              <w:rPr>
                <w:rFonts w:ascii="Arial" w:hAnsi="Arial" w:cs="Arial"/>
                <w:lang w:val="es-ES"/>
              </w:rPr>
              <w:t xml:space="preserve">a </w:t>
            </w:r>
            <w:proofErr w:type="spellStart"/>
            <w:r>
              <w:rPr>
                <w:rFonts w:ascii="Arial" w:hAnsi="Arial" w:cs="Arial"/>
              </w:rPr>
              <w:t>página</w:t>
            </w:r>
            <w:proofErr w:type="spellEnd"/>
            <w:r>
              <w:rPr>
                <w:rFonts w:ascii="Arial" w:hAnsi="Arial" w:cs="Arial"/>
              </w:rPr>
              <w:t xml:space="preserve"> web del DNP</w:t>
            </w:r>
            <w:r>
              <w:rPr>
                <w:rFonts w:ascii="Arial" w:hAnsi="Arial" w:cs="Arial"/>
                <w:lang w:val="es-ES"/>
              </w:rPr>
              <w:t>; y</w:t>
            </w:r>
          </w:p>
          <w:p>
            <w:pPr>
              <w:pStyle w:val="FootnoteText"/>
              <w:spacing w:before="40" w:after="40"/>
              <w:ind w:left="348"/>
              <w:jc w:val="both"/>
              <w:rPr>
                <w:rFonts w:ascii="Arial" w:hAnsi="Arial" w:cs="Arial"/>
                <w:lang w:val="es-ES"/>
              </w:rPr>
            </w:pPr>
            <w:r>
              <w:rPr>
                <w:rFonts w:ascii="Arial" w:hAnsi="Arial" w:cs="Arial"/>
                <w:lang w:val="es-ES"/>
              </w:rPr>
              <w:t xml:space="preserve">(ii) Documento del </w:t>
            </w:r>
            <w:hyperlink r:id="rId11" w:history="1">
              <w:r>
                <w:rPr>
                  <w:rStyle w:val="Hyperlink"/>
                  <w:rFonts w:ascii="Arial" w:hAnsi="Arial" w:cs="Arial"/>
                  <w:lang w:val="es-ES"/>
                </w:rPr>
                <w:t>Programa de Fortalecimiento de Capacidades en Estructuración de Proyectos a los Entes Territoriales (DNP, 2015)</w:t>
              </w:r>
            </w:hyperlink>
            <w:r>
              <w:rPr>
                <w:rFonts w:ascii="Arial" w:hAnsi="Arial" w:cs="Arial"/>
                <w:lang w:val="es-ES"/>
              </w:rPr>
              <w:t>, publicado en la página web del DNP.</w:t>
            </w:r>
            <w:r>
              <w:rPr>
                <w:rFonts w:ascii="Arial" w:hAnsi="Arial" w:cs="Arial"/>
                <w:lang w:val="es-ES"/>
              </w:rPr>
              <w:t>DNP.</w:t>
            </w:r>
          </w:p>
        </w:tc>
        <w:tc>
          <w:tcPr>
            <w:tcW w:w="2459" w:type="dxa"/>
          </w:tcPr>
          <w:p>
            <w:pPr>
              <w:pStyle w:val="FootnoteText"/>
              <w:spacing w:before="40" w:after="40"/>
              <w:jc w:val="both"/>
              <w:rPr>
                <w:rFonts w:ascii="Arial" w:hAnsi="Arial" w:cs="Arial"/>
                <w:lang w:val="es-ES"/>
              </w:rPr>
            </w:pPr>
            <w:r>
              <w:rPr>
                <w:rFonts w:ascii="Arial" w:hAnsi="Arial" w:cs="Arial"/>
                <w:lang w:val="es-ES"/>
              </w:rPr>
              <w:lastRenderedPageBreak/>
              <w:t>DNP</w:t>
            </w:r>
          </w:p>
        </w:tc>
      </w:tr>
      <w:tr>
        <w:trPr>
          <w:trHeight w:val="20"/>
        </w:trPr>
        <w:tc>
          <w:tcPr>
            <w:tcW w:w="2209" w:type="dxa"/>
          </w:tcPr>
          <w:p>
            <w:pPr>
              <w:pStyle w:val="FootnoteText"/>
              <w:spacing w:before="40" w:after="40"/>
              <w:rPr>
                <w:rFonts w:ascii="Arial" w:hAnsi="Arial" w:cs="Arial"/>
                <w:lang w:val="es-ES"/>
              </w:rPr>
            </w:pPr>
          </w:p>
        </w:tc>
        <w:tc>
          <w:tcPr>
            <w:tcW w:w="3749" w:type="dxa"/>
          </w:tcPr>
          <w:p>
            <w:pPr>
              <w:pStyle w:val="FootnoteText"/>
              <w:numPr>
                <w:ilvl w:val="1"/>
                <w:numId w:val="6"/>
              </w:numPr>
              <w:spacing w:before="40" w:after="40"/>
              <w:jc w:val="both"/>
              <w:rPr>
                <w:rFonts w:ascii="Arial" w:hAnsi="Arial" w:cs="Arial"/>
                <w:lang w:val="es-ES"/>
              </w:rPr>
            </w:pPr>
            <w:r>
              <w:rPr>
                <w:rFonts w:ascii="Arial" w:hAnsi="Arial" w:cs="Arial"/>
                <w:lang w:val="es-ES"/>
              </w:rPr>
              <w:t>Fortalecimiento de la capacidad de las ET para diseñar y ejecutar proyectos de inversión en el ámbito regional mediante nuevos instrumentos de política para priorizar y articular esfuerzos y recursos.</w:t>
            </w:r>
            <w:bookmarkStart w:id="3" w:name="_Hlk493793066"/>
            <w:bookmarkStart w:id="4" w:name="_Hlk493855930"/>
            <w:bookmarkEnd w:id="3"/>
            <w:bookmarkEnd w:id="4"/>
          </w:p>
        </w:tc>
        <w:tc>
          <w:tcPr>
            <w:tcW w:w="3813" w:type="dxa"/>
          </w:tcPr>
          <w:p>
            <w:pPr>
              <w:pStyle w:val="FootnoteText"/>
              <w:numPr>
                <w:ilvl w:val="0"/>
                <w:numId w:val="21"/>
              </w:numPr>
              <w:spacing w:before="40" w:after="40"/>
              <w:ind w:left="348" w:hanging="348"/>
              <w:jc w:val="both"/>
              <w:rPr>
                <w:rFonts w:ascii="Arial" w:hAnsi="Arial" w:cs="Arial"/>
                <w:lang w:val="es-ES"/>
              </w:rPr>
            </w:pPr>
            <w:r>
              <w:rPr>
                <w:rFonts w:ascii="Arial" w:hAnsi="Arial" w:cs="Arial"/>
                <w:lang w:val="es-ES"/>
              </w:rPr>
              <w:t xml:space="preserve">(i) Publicación por parte del DNP del </w:t>
            </w:r>
            <w:hyperlink r:id="rId12">
              <w:r>
                <w:rPr>
                  <w:rStyle w:val="Hyperlink"/>
                  <w:rFonts w:ascii="Arial" w:hAnsi="Arial" w:cs="Arial"/>
                  <w:lang w:val="es-ES"/>
                </w:rPr>
                <w:t>Documento Marco: Programa de Fortalecimiento de Capacidades en Estructuración de Proyectos a los Entes Territoriales (DNP, 2015)</w:t>
              </w:r>
            </w:hyperlink>
            <w:r>
              <w:rPr>
                <w:rFonts w:ascii="Arial" w:hAnsi="Arial" w:cs="Arial"/>
              </w:rPr>
              <w:t xml:space="preserve"> </w:t>
            </w:r>
            <w:r>
              <w:rPr>
                <w:rFonts w:ascii="Arial" w:hAnsi="Arial" w:cs="Arial"/>
                <w:lang w:val="es-ES_tradnl"/>
              </w:rPr>
              <w:t>en la página web del DNP;</w:t>
            </w:r>
            <w:r>
              <w:rPr>
                <w:rFonts w:ascii="Arial" w:hAnsi="Arial" w:cs="Arial"/>
                <w:lang w:val="es-ES_tradnl"/>
              </w:rPr>
              <w:t>DNP;</w:t>
            </w:r>
            <w:r>
              <w:rPr>
                <w:rFonts w:ascii="Arial" w:hAnsi="Arial" w:cs="Arial"/>
                <w:lang w:val="es-ES_tradnl"/>
              </w:rPr>
              <w:t xml:space="preserve"> y (ii) CONP</w:t>
            </w:r>
            <w:r>
              <w:rPr>
                <w:rFonts w:ascii="Arial" w:hAnsi="Arial" w:cs="Arial"/>
                <w:lang w:val="es-ES"/>
              </w:rPr>
              <w:t xml:space="preserve">ES </w:t>
            </w:r>
            <w:r>
              <w:rPr>
                <w:rFonts w:ascii="Arial" w:hAnsi="Arial" w:cs="Arial"/>
                <w:lang w:val="es-ES"/>
              </w:rPr>
              <w:t>3885</w:t>
            </w:r>
            <w:r>
              <w:rPr>
                <w:rFonts w:ascii="Arial" w:hAnsi="Arial" w:cs="Arial"/>
                <w:lang w:val="es-ES"/>
              </w:rPr>
              <w:t xml:space="preserve"> de mayo de 2017, Contratos Plan para la Paz y el Posconflicto entre la Nación y los Departamentos de Bolívar y Sucre.</w:t>
            </w:r>
          </w:p>
        </w:tc>
        <w:tc>
          <w:tcPr>
            <w:tcW w:w="2459" w:type="dxa"/>
          </w:tcPr>
          <w:p>
            <w:pPr>
              <w:pStyle w:val="FootnoteText"/>
              <w:spacing w:before="40" w:after="40"/>
              <w:jc w:val="both"/>
              <w:rPr>
                <w:rFonts w:ascii="Arial" w:hAnsi="Arial" w:cs="Arial"/>
                <w:lang w:val="es-ES"/>
              </w:rPr>
            </w:pPr>
            <w:r>
              <w:rPr>
                <w:rFonts w:ascii="Arial" w:hAnsi="Arial" w:cs="Arial"/>
                <w:lang w:val="es-ES"/>
              </w:rPr>
              <w:t>DNP</w:t>
            </w:r>
          </w:p>
        </w:tc>
      </w:tr>
      <w:tr>
        <w:trPr>
          <w:trHeight w:val="20"/>
        </w:trPr>
        <w:tc>
          <w:tcPr>
            <w:tcW w:w="2209" w:type="dxa"/>
          </w:tcPr>
          <w:p>
            <w:pPr>
              <w:pStyle w:val="FootnoteText"/>
              <w:spacing w:before="40" w:after="40"/>
              <w:rPr>
                <w:rFonts w:ascii="Arial" w:hAnsi="Arial" w:cs="Arial"/>
                <w:lang w:val="es-ES"/>
              </w:rPr>
            </w:pPr>
          </w:p>
        </w:tc>
        <w:tc>
          <w:tcPr>
            <w:tcW w:w="3749" w:type="dxa"/>
          </w:tcPr>
          <w:p>
            <w:pPr>
              <w:pStyle w:val="FootnoteText"/>
              <w:numPr>
                <w:ilvl w:val="1"/>
                <w:numId w:val="6"/>
              </w:numPr>
              <w:spacing w:before="40" w:after="40"/>
              <w:jc w:val="both"/>
              <w:rPr>
                <w:rFonts w:ascii="Arial" w:hAnsi="Arial" w:cs="Arial"/>
                <w:lang w:val="es-ES"/>
              </w:rPr>
            </w:pPr>
            <w:r>
              <w:rPr>
                <w:rFonts w:ascii="Arial" w:hAnsi="Arial" w:cs="Arial"/>
                <w:lang w:val="es-ES"/>
              </w:rPr>
              <w:t>Modificación del SGR, orientando recursos del Ahorro Pensional Territorial y del Fondo de Ciencia y Tecnología para proyectos de inversión en el marco del Acuerdo Final para la Terminación del Conflicto.</w:t>
            </w:r>
          </w:p>
        </w:tc>
        <w:tc>
          <w:tcPr>
            <w:tcW w:w="3813" w:type="dxa"/>
          </w:tcPr>
          <w:p>
            <w:pPr>
              <w:pStyle w:val="FootnoteText"/>
              <w:numPr>
                <w:ilvl w:val="0"/>
                <w:numId w:val="21"/>
              </w:numPr>
              <w:spacing w:before="40" w:after="40"/>
              <w:ind w:left="348" w:hanging="348"/>
              <w:jc w:val="both"/>
              <w:rPr>
                <w:rFonts w:ascii="Arial" w:hAnsi="Arial" w:cs="Arial"/>
                <w:lang w:val="es-ES"/>
              </w:rPr>
            </w:pPr>
            <w:r>
              <w:rPr>
                <w:rFonts w:ascii="Arial" w:hAnsi="Arial" w:cs="Arial"/>
                <w:lang w:val="es-ES"/>
              </w:rPr>
              <w:t xml:space="preserve">(i) CONPES </w:t>
            </w:r>
            <w:r>
              <w:rPr>
                <w:rFonts w:ascii="Arial" w:hAnsi="Arial" w:cs="Arial"/>
                <w:lang w:val="es-ES"/>
              </w:rPr>
              <w:t>3885</w:t>
            </w:r>
            <w:r>
              <w:rPr>
                <w:rFonts w:ascii="Arial" w:hAnsi="Arial" w:cs="Arial"/>
                <w:lang w:val="es-ES"/>
              </w:rPr>
              <w:t xml:space="preserve"> de mayo de 2017, Contratos Plan para la Paz y el Posconflicto entre la Nación y los Departamentos de Bolívar y Sucre; (ii) Acto Legislativo 4 del 8 de septiembre de 2017, que modifica el SGR, por el cual se adiciona el artículo 361 de la Constitución Política de Colombia; y (iii) Decreto 1997 del 30 de noviembre de 2017 por el cual se regula el giro de recursos que sobrepasen el cubrimiento del pasivo pensional territorial. </w:t>
            </w:r>
          </w:p>
        </w:tc>
        <w:tc>
          <w:tcPr>
            <w:tcW w:w="2459" w:type="dxa"/>
          </w:tcPr>
          <w:p>
            <w:pPr>
              <w:pStyle w:val="FootnoteText"/>
              <w:spacing w:before="40" w:after="40"/>
              <w:jc w:val="both"/>
              <w:rPr>
                <w:rFonts w:ascii="Arial" w:hAnsi="Arial" w:cs="Arial"/>
                <w:lang w:val="es-ES"/>
              </w:rPr>
            </w:pPr>
            <w:r>
              <w:rPr>
                <w:rFonts w:ascii="Arial" w:hAnsi="Arial" w:cs="Arial"/>
                <w:lang w:val="es-ES"/>
              </w:rPr>
              <w:t>DNP y MHCP</w:t>
            </w:r>
          </w:p>
        </w:tc>
      </w:tr>
      <w:tr>
        <w:trPr>
          <w:trHeight w:val="20"/>
        </w:trPr>
        <w:tc>
          <w:tcPr>
            <w:tcW w:w="2209" w:type="dxa"/>
          </w:tcPr>
          <w:p>
            <w:pPr>
              <w:pStyle w:val="FootnoteText"/>
              <w:spacing w:before="40" w:after="40"/>
              <w:rPr>
                <w:rFonts w:ascii="Arial" w:hAnsi="Arial" w:cs="Arial"/>
                <w:lang w:val="es-ES"/>
              </w:rPr>
            </w:pPr>
          </w:p>
        </w:tc>
        <w:tc>
          <w:tcPr>
            <w:tcW w:w="3749" w:type="dxa"/>
          </w:tcPr>
          <w:p>
            <w:pPr>
              <w:pStyle w:val="FootnoteText"/>
              <w:numPr>
                <w:ilvl w:val="1"/>
                <w:numId w:val="6"/>
              </w:numPr>
              <w:spacing w:before="40" w:after="40"/>
              <w:jc w:val="both"/>
              <w:rPr>
                <w:rFonts w:ascii="Arial" w:hAnsi="Arial" w:cs="Arial"/>
                <w:lang w:val="es-ES"/>
              </w:rPr>
            </w:pPr>
            <w:bookmarkStart w:id="5" w:name="_Hlk493793099"/>
            <w:bookmarkStart w:id="6" w:name="_Hlk493785598"/>
            <w:r>
              <w:rPr>
                <w:rFonts w:ascii="Arial" w:hAnsi="Arial" w:cs="Arial"/>
                <w:lang w:val="es-ES"/>
              </w:rPr>
              <w:t>Levantamiento de la Línea Base para la evaluación de impacto del SGR en los FDR, FCR y FCTI.</w:t>
            </w:r>
            <w:bookmarkStart w:id="7" w:name="_Hlk493857193"/>
            <w:bookmarkEnd w:id="5"/>
            <w:bookmarkEnd w:id="6"/>
            <w:bookmarkEnd w:id="7"/>
          </w:p>
        </w:tc>
        <w:tc>
          <w:tcPr>
            <w:tcW w:w="3813" w:type="dxa"/>
          </w:tcPr>
          <w:p>
            <w:pPr>
              <w:pStyle w:val="FootnoteText"/>
              <w:numPr>
                <w:ilvl w:val="0"/>
                <w:numId w:val="21"/>
              </w:numPr>
              <w:spacing w:before="40" w:after="40"/>
              <w:ind w:left="348" w:hanging="348"/>
              <w:jc w:val="both"/>
              <w:rPr>
                <w:rFonts w:ascii="Arial" w:hAnsi="Arial" w:cs="Arial"/>
                <w:lang w:val="es-CO"/>
              </w:rPr>
            </w:pPr>
            <w:r>
              <w:rPr>
                <w:rFonts w:ascii="Arial" w:hAnsi="Arial" w:cs="Arial"/>
                <w:lang w:val="es-ES"/>
              </w:rPr>
              <w:t xml:space="preserve">(i) Informes publicados en la página web del DNP sobre el Levantamiento y Consolidación de la Línea Base de las inversiones financiadas con recursos del </w:t>
            </w:r>
            <w:hyperlink r:id="rId13">
              <w:r>
                <w:rPr>
                  <w:rStyle w:val="Hyperlink"/>
                  <w:rFonts w:ascii="Arial" w:hAnsi="Arial" w:cs="Arial"/>
                  <w:lang w:val="es-ES"/>
                </w:rPr>
                <w:t>FDR, FCR</w:t>
              </w:r>
            </w:hyperlink>
            <w:r>
              <w:rPr>
                <w:rFonts w:ascii="Arial" w:hAnsi="Arial" w:cs="Arial"/>
                <w:lang w:val="es-ES"/>
              </w:rPr>
              <w:t xml:space="preserve"> y </w:t>
            </w:r>
            <w:hyperlink r:id="rId14">
              <w:r>
                <w:rPr>
                  <w:rStyle w:val="Hyperlink"/>
                  <w:rFonts w:ascii="Arial" w:hAnsi="Arial" w:cs="Arial"/>
                  <w:lang w:val="es-ES"/>
                </w:rPr>
                <w:t>FCTI</w:t>
              </w:r>
            </w:hyperlink>
            <w:r>
              <w:rPr>
                <w:rStyle w:val="Hyperlink"/>
                <w:rFonts w:ascii="Arial" w:hAnsi="Arial" w:cs="Arial"/>
                <w:lang w:val="es-ES"/>
              </w:rPr>
              <w:t xml:space="preserve"> </w:t>
            </w:r>
            <w:r>
              <w:rPr>
                <w:rFonts w:ascii="Arial" w:hAnsi="Arial" w:cs="Arial"/>
                <w:lang w:val="es-ES"/>
              </w:rPr>
              <w:t>.</w:t>
            </w:r>
          </w:p>
        </w:tc>
        <w:tc>
          <w:tcPr>
            <w:tcW w:w="2459" w:type="dxa"/>
          </w:tcPr>
          <w:p>
            <w:pPr>
              <w:pStyle w:val="FootnoteText"/>
              <w:spacing w:before="40" w:after="40"/>
              <w:jc w:val="both"/>
              <w:rPr>
                <w:rFonts w:ascii="Arial" w:hAnsi="Arial" w:cs="Arial"/>
                <w:lang w:val="es-ES"/>
              </w:rPr>
            </w:pPr>
            <w:r>
              <w:rPr>
                <w:rFonts w:ascii="Arial" w:hAnsi="Arial" w:cs="Arial"/>
                <w:lang w:val="es-ES"/>
              </w:rPr>
              <w:t>DNP</w:t>
            </w:r>
          </w:p>
        </w:tc>
      </w:tr>
      <w:tr>
        <w:trPr>
          <w:trHeight w:val="20"/>
        </w:trPr>
        <w:tc>
          <w:tcPr>
            <w:tcW w:w="2209" w:type="dxa"/>
          </w:tcPr>
          <w:p>
            <w:pPr>
              <w:pStyle w:val="FootnoteText"/>
              <w:spacing w:before="40" w:after="40"/>
              <w:rPr>
                <w:rFonts w:ascii="Arial" w:hAnsi="Arial" w:cs="Arial"/>
                <w:lang w:val="es-ES"/>
              </w:rPr>
            </w:pPr>
          </w:p>
        </w:tc>
        <w:tc>
          <w:tcPr>
            <w:tcW w:w="3749" w:type="dxa"/>
          </w:tcPr>
          <w:p>
            <w:pPr>
              <w:pStyle w:val="FootnoteText"/>
              <w:numPr>
                <w:ilvl w:val="1"/>
                <w:numId w:val="6"/>
              </w:numPr>
              <w:spacing w:before="40" w:after="40"/>
              <w:jc w:val="both"/>
              <w:rPr>
                <w:rFonts w:ascii="Arial" w:hAnsi="Arial" w:cs="Arial"/>
                <w:lang w:val="es-ES"/>
              </w:rPr>
            </w:pPr>
            <w:bookmarkStart w:id="8" w:name="_Hlk493860647"/>
            <w:r>
              <w:rPr>
                <w:rFonts w:ascii="Arial" w:hAnsi="Arial" w:cs="Arial"/>
                <w:lang w:val="es-ES"/>
              </w:rPr>
              <w:t xml:space="preserve">Modificación al SGR con base a los resultados de la evaluación </w:t>
            </w:r>
            <w:r>
              <w:rPr>
                <w:rFonts w:ascii="Arial" w:hAnsi="Arial" w:cs="Arial"/>
                <w:lang w:val="es-ES"/>
              </w:rPr>
              <w:lastRenderedPageBreak/>
              <w:t>institucional y de procesos del SGR, para incorporar un sistema de evaluación por puntajes y redefinir plazos y responsabilidades en el ciclo del proyecto.</w:t>
            </w:r>
            <w:bookmarkEnd w:id="8"/>
          </w:p>
        </w:tc>
        <w:tc>
          <w:tcPr>
            <w:tcW w:w="3813" w:type="dxa"/>
          </w:tcPr>
          <w:p>
            <w:pPr>
              <w:pStyle w:val="FootnoteText"/>
              <w:numPr>
                <w:ilvl w:val="0"/>
                <w:numId w:val="21"/>
              </w:numPr>
              <w:spacing w:before="40" w:after="40"/>
              <w:ind w:left="348" w:hanging="348"/>
              <w:jc w:val="both"/>
              <w:rPr>
                <w:rFonts w:ascii="Arial" w:hAnsi="Arial" w:cs="Arial"/>
                <w:lang w:val="es-ES"/>
              </w:rPr>
            </w:pPr>
            <w:r>
              <w:rPr>
                <w:rFonts w:ascii="Arial" w:hAnsi="Arial" w:cs="Arial"/>
                <w:lang w:val="es-ES"/>
              </w:rPr>
              <w:lastRenderedPageBreak/>
              <w:t xml:space="preserve">(i) Acuerdo 32 de 2015 de la Comisión Rectora para la inclusión </w:t>
            </w:r>
            <w:r>
              <w:rPr>
                <w:rFonts w:ascii="Arial" w:hAnsi="Arial" w:cs="Arial"/>
                <w:lang w:val="es-ES"/>
              </w:rPr>
              <w:lastRenderedPageBreak/>
              <w:t xml:space="preserve">del Sistema de Evaluación por Puntajes en el SGR; y (ii) Decreto </w:t>
            </w:r>
            <w:r>
              <w:rPr>
                <w:rFonts w:ascii="Arial" w:hAnsi="Arial" w:cs="Arial"/>
                <w:lang w:val="es-ES"/>
              </w:rPr>
              <w:t>1544</w:t>
            </w:r>
            <w:r>
              <w:rPr>
                <w:rFonts w:ascii="Arial" w:hAnsi="Arial" w:cs="Arial"/>
                <w:lang w:val="es-ES"/>
              </w:rPr>
              <w:t xml:space="preserve"> del 16 de septiembre de 2017, por el cual se modifica el Decreto </w:t>
            </w:r>
            <w:r>
              <w:rPr>
                <w:rFonts w:ascii="Arial" w:hAnsi="Arial" w:cs="Arial"/>
                <w:lang w:val="es-ES"/>
              </w:rPr>
              <w:t>1082</w:t>
            </w:r>
            <w:r>
              <w:rPr>
                <w:rFonts w:ascii="Arial" w:hAnsi="Arial" w:cs="Arial"/>
                <w:lang w:val="es-ES"/>
              </w:rPr>
              <w:t xml:space="preserve"> de 2015, en lo relacionado al ciclo de los proyectos de inversión</w:t>
            </w:r>
            <w:r>
              <w:rPr>
                <w:rStyle w:val="FootnoteReference"/>
                <w:rFonts w:ascii="Arial" w:hAnsi="Arial" w:cs="Arial"/>
                <w:lang w:val="es-ES"/>
              </w:rPr>
              <w:footnoteReference w:id="3"/>
            </w:r>
            <w:r>
              <w:rPr>
                <w:rFonts w:ascii="Arial" w:hAnsi="Arial" w:cs="Arial"/>
                <w:lang w:val="es-ES"/>
              </w:rPr>
              <w:t xml:space="preserve">. </w:t>
            </w:r>
          </w:p>
        </w:tc>
        <w:tc>
          <w:tcPr>
            <w:tcW w:w="2459" w:type="dxa"/>
          </w:tcPr>
          <w:p>
            <w:pPr>
              <w:pStyle w:val="FootnoteText"/>
              <w:spacing w:before="40" w:after="40"/>
              <w:jc w:val="both"/>
              <w:rPr>
                <w:rFonts w:ascii="Arial" w:hAnsi="Arial" w:cs="Arial"/>
                <w:lang w:val="es-ES"/>
              </w:rPr>
            </w:pPr>
            <w:r>
              <w:rPr>
                <w:rFonts w:ascii="Arial" w:hAnsi="Arial" w:cs="Arial"/>
                <w:lang w:val="es-ES"/>
              </w:rPr>
              <w:lastRenderedPageBreak/>
              <w:t>DNP</w:t>
            </w:r>
          </w:p>
        </w:tc>
      </w:tr>
      <w:tr>
        <w:trPr>
          <w:trHeight w:val="20"/>
        </w:trPr>
        <w:tc>
          <w:tcPr>
            <w:tcW w:w="2209" w:type="dxa"/>
          </w:tcPr>
          <w:p>
            <w:pPr>
              <w:pStyle w:val="FootnoteText"/>
              <w:spacing w:before="40" w:after="40"/>
              <w:rPr>
                <w:rFonts w:ascii="Arial" w:hAnsi="Arial" w:cs="Arial"/>
                <w:lang w:val="es-ES"/>
              </w:rPr>
            </w:pPr>
          </w:p>
        </w:tc>
        <w:tc>
          <w:tcPr>
            <w:tcW w:w="3749" w:type="dxa"/>
          </w:tcPr>
          <w:p>
            <w:pPr>
              <w:pStyle w:val="FootnoteText"/>
              <w:numPr>
                <w:ilvl w:val="1"/>
                <w:numId w:val="6"/>
              </w:numPr>
              <w:spacing w:before="40" w:after="40"/>
              <w:jc w:val="both"/>
              <w:rPr>
                <w:rFonts w:ascii="Arial" w:hAnsi="Arial" w:cs="Arial"/>
                <w:lang w:val="es-ES"/>
              </w:rPr>
            </w:pPr>
            <w:bookmarkStart w:id="9" w:name="_Hlk493793149"/>
            <w:r>
              <w:rPr>
                <w:rFonts w:ascii="Arial" w:hAnsi="Arial" w:cs="Arial"/>
                <w:lang w:val="es-ES"/>
              </w:rPr>
              <w:t>Lanzamiento del SECOP II y firma de cinco nuevos acuerdos marco de precios, vinculando almacenes de grandes superficies a la Tienda Virtual del Estado (plataforma para los acuerdos marco).</w:t>
            </w:r>
            <w:bookmarkEnd w:id="9"/>
          </w:p>
        </w:tc>
        <w:tc>
          <w:tcPr>
            <w:tcW w:w="3813" w:type="dxa"/>
          </w:tcPr>
          <w:p>
            <w:pPr>
              <w:pStyle w:val="FootnoteText"/>
              <w:numPr>
                <w:ilvl w:val="0"/>
                <w:numId w:val="21"/>
              </w:numPr>
              <w:spacing w:before="40" w:after="40"/>
              <w:ind w:left="348" w:hanging="348"/>
              <w:jc w:val="both"/>
              <w:rPr>
                <w:rFonts w:ascii="Arial" w:hAnsi="Arial" w:cs="Arial"/>
                <w:lang w:val="es-ES"/>
              </w:rPr>
            </w:pPr>
            <w:r>
              <w:rPr>
                <w:rFonts w:ascii="Arial" w:hAnsi="Arial" w:cs="Arial"/>
                <w:lang w:val="es-ES"/>
              </w:rPr>
              <w:t xml:space="preserve">(i) Informe de Gestión 2017 de </w:t>
            </w:r>
            <w:hyperlink r:id="rId15">
              <w:r>
                <w:rPr>
                  <w:rStyle w:val="Hyperlink"/>
                  <w:rFonts w:ascii="Arial" w:hAnsi="Arial" w:cs="Arial"/>
                  <w:lang w:val="es-ES"/>
                </w:rPr>
                <w:t xml:space="preserve"> Colombia Compra Eficiente especificando los procesos de contratación pública </w:t>
              </w:r>
            </w:hyperlink>
            <w:r>
              <w:rPr>
                <w:rFonts w:ascii="Arial" w:hAnsi="Arial" w:cs="Arial"/>
                <w:lang w:val="es-ES"/>
              </w:rPr>
              <w:t xml:space="preserve"> a través de la plataforma SECOP II, publicado en la página web de la entidad</w:t>
            </w:r>
            <w:r>
              <w:rPr>
                <w:rFonts w:ascii="Arial" w:hAnsi="Arial" w:cs="Arial"/>
                <w:lang w:val="es-ES"/>
              </w:rPr>
              <w:t>;</w:t>
            </w:r>
            <w:r>
              <w:rPr>
                <w:rFonts w:ascii="Arial" w:hAnsi="Arial" w:cs="Arial"/>
                <w:lang w:val="es-ES"/>
              </w:rPr>
              <w:t xml:space="preserve"> (ii) </w:t>
            </w:r>
            <w:hyperlink r:id="rId16">
              <w:r>
                <w:rPr>
                  <w:rStyle w:val="Hyperlink"/>
                  <w:rFonts w:ascii="Arial" w:hAnsi="Arial" w:cs="Arial"/>
                  <w:lang w:val="es-ES_tradnl"/>
                </w:rPr>
                <w:t>cinco Acuerdos Marco de Precios publicados</w:t>
              </w:r>
            </w:hyperlink>
            <w:r>
              <w:rPr>
                <w:rFonts w:ascii="Arial" w:hAnsi="Arial" w:cs="Arial"/>
                <w:lang w:val="es-ES_tradnl"/>
              </w:rPr>
              <w:t xml:space="preserve"> en la página web de Colombia Compra Eficiente</w:t>
            </w:r>
            <w:r>
              <w:rPr>
                <w:rFonts w:ascii="Arial" w:hAnsi="Arial" w:cs="Arial"/>
                <w:lang w:val="es-ES_tradnl"/>
              </w:rPr>
              <w:t>.</w:t>
            </w:r>
            <w:r>
              <w:rPr>
                <w:rFonts w:ascii="Arial" w:hAnsi="Arial" w:cs="Arial"/>
                <w:lang w:val="es-ES"/>
              </w:rPr>
              <w:t xml:space="preserve"> </w:t>
            </w:r>
          </w:p>
        </w:tc>
        <w:tc>
          <w:tcPr>
            <w:tcW w:w="2459" w:type="dxa"/>
          </w:tcPr>
          <w:p>
            <w:pPr>
              <w:pStyle w:val="FootnoteText"/>
              <w:spacing w:before="40" w:after="40"/>
              <w:jc w:val="both"/>
              <w:rPr>
                <w:rFonts w:ascii="Arial" w:hAnsi="Arial" w:cs="Arial"/>
                <w:lang w:val="es-ES"/>
              </w:rPr>
            </w:pPr>
            <w:r>
              <w:rPr>
                <w:rFonts w:ascii="Arial" w:hAnsi="Arial" w:cs="Arial"/>
                <w:lang w:val="es-ES"/>
              </w:rPr>
              <w:t>Agencia Nacional de Compras Públicas – Colombia Compra Eficiente</w:t>
            </w:r>
          </w:p>
        </w:tc>
      </w:tr>
      <w:tr>
        <w:trPr>
          <w:trHeight w:val="20"/>
        </w:trPr>
        <w:tc>
          <w:tcPr>
            <w:tcW w:w="12230" w:type="dxa"/>
            <w:gridSpan w:val="4"/>
            <w:shd w:val="clear" w:color="auto" w:fill="D9D9D9" w:themeFill="background1" w:themeFillShade="D9"/>
          </w:tcPr>
          <w:p>
            <w:pPr>
              <w:pStyle w:val="ListParagraph"/>
              <w:numPr>
                <w:ilvl w:val="0"/>
                <w:numId w:val="34"/>
              </w:numPr>
              <w:tabs>
                <w:tab w:val="left" w:pos="2340"/>
                <w:tab w:val="left" w:pos="3600"/>
                <w:tab w:val="left" w:pos="4320"/>
                <w:tab w:val="left" w:pos="5040"/>
                <w:tab w:val="left" w:pos="5760"/>
                <w:tab w:val="left" w:pos="6480"/>
                <w:tab w:val="left" w:pos="7200"/>
                <w:tab w:val="left" w:pos="7920"/>
              </w:tabs>
              <w:spacing w:before="40" w:after="40" w:line="240" w:lineRule="auto"/>
              <w:ind w:left="337" w:hanging="180"/>
              <w:contextualSpacing w:val="0"/>
              <w:rPr>
                <w:rFonts w:ascii="Arial" w:hAnsi="Arial" w:cs="Arial"/>
                <w:b/>
                <w:bCs/>
                <w:lang w:val="es-ES"/>
              </w:rPr>
            </w:pPr>
            <w:r>
              <w:rPr>
                <w:rFonts w:ascii="Arial" w:hAnsi="Arial" w:cs="Arial"/>
                <w:b/>
                <w:bCs/>
                <w:lang w:val="es-ES"/>
              </w:rPr>
              <w:t>Mejorar la Gestión de la Deuda Pública y los Pasivos Contingentes</w:t>
            </w:r>
          </w:p>
        </w:tc>
      </w:tr>
      <w:tr>
        <w:trPr>
          <w:trHeight w:val="20"/>
        </w:trPr>
        <w:tc>
          <w:tcPr>
            <w:tcW w:w="2209" w:type="dxa"/>
          </w:tcPr>
          <w:p>
            <w:pPr>
              <w:pStyle w:val="FootnoteText"/>
              <w:spacing w:before="40" w:after="40"/>
              <w:rPr>
                <w:rFonts w:ascii="Arial" w:hAnsi="Arial" w:cs="Arial"/>
                <w:lang w:val="es-ES"/>
              </w:rPr>
            </w:pPr>
            <w:r>
              <w:rPr>
                <w:rFonts w:ascii="Arial" w:hAnsi="Arial" w:cs="Arial"/>
                <w:lang w:val="es-ES"/>
              </w:rPr>
              <w:t xml:space="preserve">Reducir la vulnerabilidad de las finanzas públicas. </w:t>
            </w:r>
          </w:p>
        </w:tc>
        <w:tc>
          <w:tcPr>
            <w:tcW w:w="3749" w:type="dxa"/>
          </w:tcPr>
          <w:p>
            <w:pPr>
              <w:pStyle w:val="FootnoteText"/>
              <w:numPr>
                <w:ilvl w:val="0"/>
                <w:numId w:val="33"/>
              </w:numPr>
              <w:spacing w:before="40" w:after="40"/>
              <w:ind w:left="340"/>
              <w:jc w:val="both"/>
              <w:rPr>
                <w:rFonts w:ascii="Arial" w:hAnsi="Arial" w:cs="Arial"/>
                <w:lang w:val="es-ES"/>
              </w:rPr>
            </w:pPr>
            <w:r>
              <w:rPr>
                <w:rFonts w:ascii="Arial" w:hAnsi="Arial" w:cs="Arial"/>
                <w:lang w:val="es-ES"/>
              </w:rPr>
              <w:t>Nueva Estrategia de Gestión de Deuda, orientada al aumento de la vida media, la reducción del costo y la minimización de la exposición al riesgo, en ejecución.</w:t>
            </w:r>
          </w:p>
        </w:tc>
        <w:tc>
          <w:tcPr>
            <w:tcW w:w="3813" w:type="dxa"/>
          </w:tcPr>
          <w:p>
            <w:pPr>
              <w:pStyle w:val="FootnoteText"/>
              <w:numPr>
                <w:ilvl w:val="1"/>
                <w:numId w:val="25"/>
              </w:numPr>
              <w:spacing w:before="40" w:after="40"/>
              <w:ind w:left="348" w:hanging="348"/>
              <w:jc w:val="both"/>
              <w:rPr>
                <w:rFonts w:ascii="Arial" w:hAnsi="Arial" w:cs="Arial"/>
                <w:lang w:val="es-ES"/>
              </w:rPr>
            </w:pPr>
            <w:r>
              <w:rPr>
                <w:rFonts w:ascii="Arial" w:hAnsi="Arial" w:cs="Arial"/>
                <w:lang w:val="es-ES"/>
              </w:rPr>
              <w:t>(i) Informe elaborado por la Dirección de Crédito Público y Tesoro Nacional del MHCP, enviado al Banco, explicando los logros y avances obtenidos en materia de gestión de deuda, a partir de la implementación de la Nueva Estrategia de Gestión de Deuda</w:t>
            </w:r>
            <w:r>
              <w:rPr>
                <w:rStyle w:val="FootnoteReference"/>
                <w:rFonts w:ascii="Arial" w:hAnsi="Arial" w:cs="Arial"/>
                <w:lang w:val="es-ES"/>
              </w:rPr>
              <w:footnoteReference w:id="4"/>
            </w:r>
            <w:r>
              <w:rPr>
                <w:rFonts w:ascii="Arial" w:hAnsi="Arial" w:cs="Arial"/>
                <w:lang w:val="es-ES"/>
              </w:rPr>
              <w:t>.</w:t>
            </w:r>
          </w:p>
        </w:tc>
        <w:tc>
          <w:tcPr>
            <w:tcW w:w="2459" w:type="dxa"/>
          </w:tcPr>
          <w:p>
            <w:pPr>
              <w:pStyle w:val="FootnoteText"/>
              <w:spacing w:before="40" w:after="40"/>
              <w:jc w:val="both"/>
              <w:rPr>
                <w:rFonts w:ascii="Arial" w:hAnsi="Arial" w:cs="Arial"/>
                <w:lang w:val="es-ES"/>
              </w:rPr>
            </w:pPr>
            <w:r>
              <w:rPr>
                <w:rFonts w:ascii="Arial" w:hAnsi="Arial" w:cs="Arial"/>
                <w:lang w:val="es-ES"/>
              </w:rPr>
              <w:t>MHCP</w:t>
            </w:r>
            <w:bookmarkStart w:id="10" w:name="_GoBack"/>
            <w:bookmarkEnd w:id="10"/>
          </w:p>
        </w:tc>
      </w:tr>
      <w:tr>
        <w:trPr>
          <w:trHeight w:val="20"/>
        </w:trPr>
        <w:tc>
          <w:tcPr>
            <w:tcW w:w="2209" w:type="dxa"/>
          </w:tcPr>
          <w:p>
            <w:pPr>
              <w:pStyle w:val="FootnoteText"/>
              <w:spacing w:before="40" w:after="40"/>
              <w:rPr>
                <w:rFonts w:ascii="Arial" w:hAnsi="Arial" w:cs="Arial"/>
                <w:lang w:val="es-ES"/>
              </w:rPr>
            </w:pPr>
          </w:p>
        </w:tc>
        <w:tc>
          <w:tcPr>
            <w:tcW w:w="3749" w:type="dxa"/>
          </w:tcPr>
          <w:p>
            <w:pPr>
              <w:pStyle w:val="FootnoteText"/>
              <w:numPr>
                <w:ilvl w:val="0"/>
                <w:numId w:val="33"/>
              </w:numPr>
              <w:spacing w:before="40" w:after="40"/>
              <w:ind w:left="340"/>
              <w:jc w:val="both"/>
              <w:rPr>
                <w:rFonts w:ascii="Arial" w:hAnsi="Arial" w:cs="Arial"/>
                <w:lang w:val="es-ES"/>
              </w:rPr>
            </w:pPr>
            <w:r>
              <w:rPr>
                <w:rFonts w:ascii="Arial" w:hAnsi="Arial" w:cs="Arial"/>
                <w:lang w:val="es-ES"/>
              </w:rPr>
              <w:t>Contratos de APP firmados posteriormente a la adopción del Contrato Marco cumplen con las medidas de mitigación de riesgo establecidas en el mismo.</w:t>
            </w:r>
          </w:p>
        </w:tc>
        <w:tc>
          <w:tcPr>
            <w:tcW w:w="3813" w:type="dxa"/>
          </w:tcPr>
          <w:p>
            <w:pPr>
              <w:pStyle w:val="FootnoteText"/>
              <w:numPr>
                <w:ilvl w:val="1"/>
                <w:numId w:val="25"/>
              </w:numPr>
              <w:spacing w:before="40" w:after="40"/>
              <w:ind w:left="348" w:hanging="348"/>
              <w:jc w:val="both"/>
              <w:rPr>
                <w:rFonts w:ascii="Arial" w:hAnsi="Arial" w:cs="Arial"/>
                <w:lang w:val="es-ES"/>
              </w:rPr>
            </w:pPr>
            <w:r>
              <w:rPr>
                <w:rFonts w:ascii="Arial" w:hAnsi="Arial" w:cs="Arial"/>
                <w:lang w:val="es-ES"/>
              </w:rPr>
              <w:t>(i) Contratos de APP firmados posteriormente a la adopción del contrato marco</w:t>
            </w:r>
            <w:r>
              <w:rPr>
                <w:rFonts w:ascii="Arial" w:hAnsi="Arial" w:cs="Arial"/>
                <w:vertAlign w:val="superscript"/>
              </w:rPr>
              <w:footnoteReference w:id="5"/>
            </w:r>
            <w:r>
              <w:rPr>
                <w:rFonts w:ascii="Arial" w:hAnsi="Arial" w:cs="Arial"/>
                <w:lang w:val="es-ES"/>
              </w:rPr>
              <w:t>.</w:t>
            </w:r>
          </w:p>
        </w:tc>
        <w:tc>
          <w:tcPr>
            <w:tcW w:w="2459" w:type="dxa"/>
          </w:tcPr>
          <w:p>
            <w:pPr>
              <w:pStyle w:val="FootnoteText"/>
              <w:spacing w:before="40" w:after="40"/>
              <w:jc w:val="both"/>
              <w:rPr>
                <w:rFonts w:ascii="Arial" w:hAnsi="Arial" w:cs="Arial"/>
                <w:lang w:val="es-ES"/>
              </w:rPr>
            </w:pPr>
            <w:r>
              <w:rPr>
                <w:rFonts w:ascii="Arial" w:hAnsi="Arial" w:cs="Arial"/>
                <w:lang w:val="es-ES"/>
              </w:rPr>
              <w:t>MHCP</w:t>
            </w:r>
          </w:p>
        </w:tc>
      </w:tr>
      <w:tr>
        <w:trPr>
          <w:trHeight w:val="20"/>
        </w:trPr>
        <w:tc>
          <w:tcPr>
            <w:tcW w:w="2209" w:type="dxa"/>
          </w:tcPr>
          <w:p>
            <w:pPr>
              <w:pStyle w:val="FootnoteText"/>
              <w:spacing w:before="40" w:after="40"/>
              <w:rPr>
                <w:rFonts w:ascii="Arial" w:hAnsi="Arial" w:cs="Arial"/>
                <w:lang w:val="es-ES"/>
              </w:rPr>
            </w:pPr>
          </w:p>
        </w:tc>
        <w:tc>
          <w:tcPr>
            <w:tcW w:w="3749" w:type="dxa"/>
          </w:tcPr>
          <w:p>
            <w:pPr>
              <w:pStyle w:val="FootnoteText"/>
              <w:numPr>
                <w:ilvl w:val="0"/>
                <w:numId w:val="33"/>
              </w:numPr>
              <w:spacing w:before="40" w:after="40"/>
              <w:ind w:left="340"/>
              <w:jc w:val="both"/>
              <w:rPr>
                <w:rFonts w:ascii="Arial" w:hAnsi="Arial" w:cs="Arial"/>
                <w:lang w:val="es-ES"/>
              </w:rPr>
            </w:pPr>
            <w:r>
              <w:rPr>
                <w:rFonts w:ascii="Arial" w:hAnsi="Arial" w:cs="Arial"/>
                <w:lang w:val="es-ES"/>
              </w:rPr>
              <w:t>Subdirección de APP para fortalecer el proceso de elaboración y aprobación de APP en pleno funcionamiento.</w:t>
            </w:r>
          </w:p>
        </w:tc>
        <w:tc>
          <w:tcPr>
            <w:tcW w:w="3813" w:type="dxa"/>
          </w:tcPr>
          <w:p>
            <w:pPr>
              <w:pStyle w:val="FootnoteText"/>
              <w:numPr>
                <w:ilvl w:val="1"/>
                <w:numId w:val="25"/>
              </w:numPr>
              <w:spacing w:before="40" w:after="40"/>
              <w:ind w:left="348" w:hanging="348"/>
              <w:jc w:val="both"/>
              <w:rPr>
                <w:rFonts w:ascii="Arial" w:hAnsi="Arial" w:cs="Arial"/>
                <w:lang w:val="es-ES"/>
              </w:rPr>
            </w:pPr>
            <w:r>
              <w:rPr>
                <w:rFonts w:ascii="Arial" w:hAnsi="Arial" w:cs="Arial"/>
                <w:lang w:val="es-ES"/>
              </w:rPr>
              <w:t xml:space="preserve">(i) Certificación de Recursos Humanos sobre la planta de personal y presupuesto asignado a la Subdirección de APP en la vigencia presupuestaria de 2017. </w:t>
            </w:r>
          </w:p>
        </w:tc>
        <w:tc>
          <w:tcPr>
            <w:tcW w:w="2459" w:type="dxa"/>
          </w:tcPr>
          <w:p>
            <w:pPr>
              <w:pStyle w:val="FootnoteText"/>
              <w:spacing w:before="40" w:after="40"/>
              <w:jc w:val="both"/>
              <w:rPr>
                <w:rFonts w:ascii="Arial" w:hAnsi="Arial" w:cs="Arial"/>
                <w:lang w:val="es-ES"/>
              </w:rPr>
            </w:pPr>
            <w:r>
              <w:rPr>
                <w:rFonts w:ascii="Arial" w:hAnsi="Arial" w:cs="Arial"/>
                <w:lang w:val="es-ES"/>
              </w:rPr>
              <w:t>MHCP</w:t>
            </w:r>
          </w:p>
        </w:tc>
      </w:tr>
      <w:tr>
        <w:trPr>
          <w:trHeight w:val="20"/>
        </w:trPr>
        <w:tc>
          <w:tcPr>
            <w:tcW w:w="2209" w:type="dxa"/>
          </w:tcPr>
          <w:p>
            <w:pPr>
              <w:pStyle w:val="FootnoteText"/>
              <w:spacing w:before="40" w:after="40"/>
              <w:rPr>
                <w:rFonts w:ascii="Arial" w:hAnsi="Arial" w:cs="Arial"/>
                <w:lang w:val="es-ES"/>
              </w:rPr>
            </w:pPr>
          </w:p>
        </w:tc>
        <w:tc>
          <w:tcPr>
            <w:tcW w:w="3749" w:type="dxa"/>
          </w:tcPr>
          <w:p>
            <w:pPr>
              <w:pStyle w:val="FootnoteText"/>
              <w:numPr>
                <w:ilvl w:val="0"/>
                <w:numId w:val="33"/>
              </w:numPr>
              <w:spacing w:before="40" w:after="40"/>
              <w:ind w:left="340"/>
              <w:jc w:val="both"/>
              <w:rPr>
                <w:rFonts w:ascii="Arial" w:hAnsi="Arial" w:cs="Arial"/>
                <w:lang w:val="es-ES"/>
              </w:rPr>
            </w:pPr>
            <w:r>
              <w:rPr>
                <w:rFonts w:ascii="Arial" w:hAnsi="Arial" w:cs="Arial"/>
                <w:lang w:val="es-ES"/>
              </w:rPr>
              <w:t>Estrategia de política de gestión financiera pública, que incluya identificación de riesgos, diseño de instrumentos financieros y aseguramiento de activos públicos, para mitigar los riesgos fiscales por desastres naturales implementada.</w:t>
            </w:r>
          </w:p>
        </w:tc>
        <w:tc>
          <w:tcPr>
            <w:tcW w:w="3813" w:type="dxa"/>
          </w:tcPr>
          <w:p>
            <w:pPr>
              <w:pStyle w:val="FootnoteText"/>
              <w:numPr>
                <w:ilvl w:val="1"/>
                <w:numId w:val="25"/>
              </w:numPr>
              <w:spacing w:before="40" w:after="40"/>
              <w:ind w:left="348" w:hanging="348"/>
              <w:jc w:val="both"/>
              <w:rPr>
                <w:rFonts w:ascii="Arial" w:hAnsi="Arial" w:cs="Arial"/>
                <w:lang w:val="es-ES"/>
              </w:rPr>
            </w:pPr>
            <w:r>
              <w:rPr>
                <w:rFonts w:ascii="Arial" w:hAnsi="Arial" w:cs="Arial"/>
                <w:lang w:val="es-ES"/>
              </w:rPr>
              <w:t>(i)  Informe elaborado por la Dirección de Crédito Público y Tesoro Nacional del MHCP, enviado al Banco, explicando los avances en la implementación de la estrategia de gestión financiera del gobierno nacional para la mitigación de riesgos fiscales por desastres naturales</w:t>
            </w:r>
            <w:r>
              <w:rPr>
                <w:rFonts w:ascii="Arial" w:hAnsi="Arial" w:cs="Arial"/>
                <w:lang w:val="es-ES"/>
              </w:rPr>
              <w:t>;</w:t>
            </w:r>
            <w:r>
              <w:rPr>
                <w:rFonts w:ascii="Arial" w:hAnsi="Arial" w:cs="Arial"/>
                <w:lang w:val="es-ES"/>
              </w:rPr>
              <w:t xml:space="preserve"> (ii) </w:t>
            </w:r>
            <w:hyperlink r:id="rId17">
              <w:r>
                <w:rPr>
                  <w:rStyle w:val="Hyperlink"/>
                  <w:rFonts w:ascii="Arial" w:hAnsi="Arial" w:cs="Arial"/>
                  <w:lang w:val="es-ES"/>
                </w:rPr>
                <w:t>Publicación sobre Instrumentos de Planificación para la Gestión de Desastres en la página web de la Unidad Nacional para la Gestión del Riesgo de Desastres</w:t>
              </w:r>
            </w:hyperlink>
            <w:r>
              <w:rPr>
                <w:rFonts w:ascii="Arial" w:hAnsi="Arial" w:cs="Arial"/>
                <w:lang w:val="es-ES"/>
              </w:rPr>
              <w:t xml:space="preserve"> (2016); (iii) </w:t>
            </w:r>
            <w:hyperlink r:id="rId18">
              <w:r>
                <w:rPr>
                  <w:rStyle w:val="Hyperlink"/>
                  <w:rFonts w:ascii="Arial" w:hAnsi="Arial" w:cs="Arial"/>
                  <w:lang w:val="es-ES"/>
                </w:rPr>
                <w:t xml:space="preserve">Guía para el aseguramiento de los bienes inmuebles </w:t>
              </w:r>
              <w:r>
                <w:rPr>
                  <w:rStyle w:val="Hyperlink"/>
                  <w:rFonts w:ascii="Arial" w:hAnsi="Arial" w:cs="Arial"/>
                  <w:lang w:val="es-CO"/>
                </w:rPr>
                <w:t>públicos</w:t>
              </w:r>
              <w:r>
                <w:rPr>
                  <w:rStyle w:val="Hyperlink"/>
                  <w:rFonts w:ascii="Arial" w:hAnsi="Arial" w:cs="Arial"/>
                  <w:lang w:val="es-ES"/>
                </w:rPr>
                <w:t xml:space="preserve"> ante la ocurrencia de desastres por fenómenos de la naturaleza</w:t>
              </w:r>
            </w:hyperlink>
            <w:r>
              <w:rPr>
                <w:rFonts w:ascii="Arial" w:hAnsi="Arial" w:cs="Arial"/>
                <w:lang w:val="es-ES"/>
              </w:rPr>
              <w:t xml:space="preserve"> publicada en la web (2016); (iv) </w:t>
            </w:r>
            <w:hyperlink r:id="rId19">
              <w:r>
                <w:rPr>
                  <w:rStyle w:val="Hyperlink"/>
                  <w:rFonts w:ascii="Arial" w:hAnsi="Arial" w:cs="Arial"/>
                  <w:lang w:val="es-ES"/>
                </w:rPr>
                <w:t>acuerdo marco de intermediario de seguros (octubre 2017)</w:t>
              </w:r>
            </w:hyperlink>
            <w:r>
              <w:rPr>
                <w:rFonts w:ascii="Arial" w:hAnsi="Arial" w:cs="Arial"/>
                <w:lang w:val="es-ES"/>
              </w:rPr>
              <w:t>.</w:t>
            </w:r>
          </w:p>
        </w:tc>
        <w:tc>
          <w:tcPr>
            <w:tcW w:w="2459" w:type="dxa"/>
          </w:tcPr>
          <w:p>
            <w:pPr>
              <w:pStyle w:val="FootnoteText"/>
              <w:spacing w:before="40" w:after="40"/>
              <w:jc w:val="both"/>
              <w:rPr>
                <w:rFonts w:ascii="Arial" w:hAnsi="Arial" w:cs="Arial"/>
                <w:lang w:val="es-ES"/>
              </w:rPr>
            </w:pPr>
            <w:r>
              <w:rPr>
                <w:rFonts w:ascii="Arial" w:hAnsi="Arial" w:cs="Arial"/>
                <w:lang w:val="es-ES"/>
              </w:rPr>
              <w:t>MHCP</w:t>
            </w:r>
          </w:p>
        </w:tc>
      </w:tr>
      <w:tr>
        <w:trPr>
          <w:trHeight w:val="20"/>
        </w:trPr>
        <w:tc>
          <w:tcPr>
            <w:tcW w:w="2209" w:type="dxa"/>
          </w:tcPr>
          <w:p>
            <w:pPr>
              <w:pStyle w:val="FootnoteText"/>
              <w:spacing w:before="40" w:after="40"/>
              <w:rPr>
                <w:rFonts w:ascii="Arial" w:hAnsi="Arial" w:cs="Arial"/>
                <w:lang w:val="es-ES"/>
              </w:rPr>
            </w:pPr>
          </w:p>
        </w:tc>
        <w:tc>
          <w:tcPr>
            <w:tcW w:w="3749" w:type="dxa"/>
          </w:tcPr>
          <w:p>
            <w:pPr>
              <w:pStyle w:val="ListParagraph"/>
              <w:numPr>
                <w:ilvl w:val="0"/>
                <w:numId w:val="7"/>
              </w:numPr>
              <w:spacing w:before="40" w:after="40" w:line="240" w:lineRule="auto"/>
              <w:contextualSpacing w:val="0"/>
              <w:jc w:val="both"/>
              <w:rPr>
                <w:rFonts w:ascii="Arial" w:eastAsia="Times New Roman" w:hAnsi="Arial" w:cs="Arial"/>
                <w:iCs/>
                <w:vanish/>
                <w:lang w:val="es-ES_tradnl"/>
              </w:rPr>
            </w:pPr>
          </w:p>
          <w:p>
            <w:pPr>
              <w:pStyle w:val="ListParagraph"/>
              <w:numPr>
                <w:ilvl w:val="0"/>
                <w:numId w:val="7"/>
              </w:numPr>
              <w:spacing w:before="40" w:after="40" w:line="240" w:lineRule="auto"/>
              <w:contextualSpacing w:val="0"/>
              <w:jc w:val="both"/>
              <w:rPr>
                <w:rFonts w:ascii="Arial" w:eastAsia="Times New Roman" w:hAnsi="Arial" w:cs="Arial"/>
                <w:iCs/>
                <w:vanish/>
                <w:lang w:val="es-ES_tradnl"/>
              </w:rPr>
            </w:pPr>
          </w:p>
          <w:p>
            <w:pPr>
              <w:pStyle w:val="ListParagraph"/>
              <w:numPr>
                <w:ilvl w:val="1"/>
                <w:numId w:val="7"/>
              </w:numPr>
              <w:spacing w:before="40" w:after="40" w:line="240" w:lineRule="auto"/>
              <w:contextualSpacing w:val="0"/>
              <w:jc w:val="both"/>
              <w:rPr>
                <w:rFonts w:ascii="Arial" w:eastAsia="Times New Roman" w:hAnsi="Arial" w:cs="Arial"/>
                <w:iCs/>
                <w:vanish/>
                <w:lang w:val="es-ES_tradnl"/>
              </w:rPr>
            </w:pPr>
          </w:p>
          <w:p>
            <w:pPr>
              <w:pStyle w:val="ListParagraph"/>
              <w:numPr>
                <w:ilvl w:val="1"/>
                <w:numId w:val="7"/>
              </w:numPr>
              <w:spacing w:before="40" w:after="40" w:line="240" w:lineRule="auto"/>
              <w:contextualSpacing w:val="0"/>
              <w:jc w:val="both"/>
              <w:rPr>
                <w:rFonts w:ascii="Arial" w:eastAsia="Times New Roman" w:hAnsi="Arial" w:cs="Arial"/>
                <w:iCs/>
                <w:vanish/>
                <w:lang w:val="es-ES_tradnl"/>
              </w:rPr>
            </w:pPr>
          </w:p>
          <w:p>
            <w:pPr>
              <w:pStyle w:val="ListParagraph"/>
              <w:numPr>
                <w:ilvl w:val="1"/>
                <w:numId w:val="7"/>
              </w:numPr>
              <w:spacing w:before="40" w:after="40" w:line="240" w:lineRule="auto"/>
              <w:contextualSpacing w:val="0"/>
              <w:jc w:val="both"/>
              <w:rPr>
                <w:rFonts w:ascii="Arial" w:eastAsia="Times New Roman" w:hAnsi="Arial" w:cs="Arial"/>
                <w:iCs/>
                <w:vanish/>
                <w:lang w:val="es-ES_tradnl"/>
              </w:rPr>
            </w:pPr>
          </w:p>
          <w:p>
            <w:pPr>
              <w:pStyle w:val="ListParagraph"/>
              <w:numPr>
                <w:ilvl w:val="1"/>
                <w:numId w:val="7"/>
              </w:numPr>
              <w:spacing w:before="40" w:after="40" w:line="240" w:lineRule="auto"/>
              <w:contextualSpacing w:val="0"/>
              <w:jc w:val="both"/>
              <w:rPr>
                <w:rFonts w:ascii="Arial" w:eastAsia="Times New Roman" w:hAnsi="Arial" w:cs="Arial"/>
                <w:iCs/>
                <w:vanish/>
                <w:lang w:val="es-ES_tradnl"/>
              </w:rPr>
            </w:pPr>
          </w:p>
          <w:p>
            <w:pPr>
              <w:pStyle w:val="FootnoteText"/>
              <w:numPr>
                <w:ilvl w:val="1"/>
                <w:numId w:val="7"/>
              </w:numPr>
              <w:spacing w:before="40" w:after="40"/>
              <w:jc w:val="both"/>
              <w:rPr>
                <w:rFonts w:ascii="Arial" w:hAnsi="Arial" w:cs="Arial"/>
                <w:lang w:val="es-ES"/>
              </w:rPr>
            </w:pPr>
            <w:r>
              <w:rPr>
                <w:rFonts w:ascii="Arial" w:hAnsi="Arial" w:cs="Arial"/>
                <w:lang w:val="es-ES"/>
              </w:rPr>
              <w:t>Política de fortalecimiento de la gestión de las empresas de propiedad estatal del orden nacional, que incluya una estrategia de gestión de activos y mecanismos de evaluación de desempeño de las empresas, aprobada e implementada.</w:t>
            </w:r>
          </w:p>
        </w:tc>
        <w:tc>
          <w:tcPr>
            <w:tcW w:w="3813" w:type="dxa"/>
          </w:tcPr>
          <w:p>
            <w:pPr>
              <w:pStyle w:val="FootnoteText"/>
              <w:numPr>
                <w:ilvl w:val="1"/>
                <w:numId w:val="25"/>
              </w:numPr>
              <w:spacing w:before="40" w:after="40"/>
              <w:ind w:left="348" w:hanging="348"/>
              <w:jc w:val="both"/>
              <w:rPr>
                <w:rFonts w:ascii="Arial" w:hAnsi="Arial" w:cs="Arial"/>
                <w:lang w:val="es-ES"/>
              </w:rPr>
            </w:pPr>
            <w:r>
              <w:rPr>
                <w:rFonts w:ascii="Arial" w:hAnsi="Arial" w:cs="Arial"/>
                <w:lang w:val="es-ES"/>
              </w:rPr>
              <w:t xml:space="preserve">(i) Decreto </w:t>
            </w:r>
            <w:r>
              <w:rPr>
                <w:rFonts w:ascii="Arial" w:hAnsi="Arial" w:cs="Arial"/>
                <w:lang w:val="es-ES"/>
              </w:rPr>
              <w:t>2384</w:t>
            </w:r>
            <w:r>
              <w:rPr>
                <w:rFonts w:ascii="Arial" w:hAnsi="Arial" w:cs="Arial"/>
                <w:lang w:val="es-ES"/>
              </w:rPr>
              <w:t xml:space="preserve"> del 11 de diciembre de 2015 de creación de la Dirección de Participaciones Estatales en el MHCP; (ii) CONPES </w:t>
            </w:r>
            <w:r>
              <w:rPr>
                <w:rFonts w:ascii="Arial" w:hAnsi="Arial" w:cs="Arial"/>
                <w:lang w:val="es-ES"/>
              </w:rPr>
              <w:t>3851</w:t>
            </w:r>
            <w:r>
              <w:rPr>
                <w:rFonts w:ascii="Arial" w:hAnsi="Arial" w:cs="Arial"/>
                <w:lang w:val="es-ES"/>
              </w:rPr>
              <w:t xml:space="preserve"> de 23 de noviembre de 2015 sobre Política General de Propiedad de Empresas Estatales del Orden Nacional; (iii) Decreto </w:t>
            </w:r>
            <w:r>
              <w:rPr>
                <w:rFonts w:ascii="Arial" w:hAnsi="Arial" w:cs="Arial"/>
                <w:lang w:val="es-ES"/>
              </w:rPr>
              <w:t>1778</w:t>
            </w:r>
            <w:r>
              <w:rPr>
                <w:rFonts w:ascii="Arial" w:hAnsi="Arial" w:cs="Arial"/>
                <w:lang w:val="es-ES"/>
              </w:rPr>
              <w:t xml:space="preserve"> de 10 de noviembre de 2016, para la movilización de activos, planes de enajenación onerosa y enajenación </w:t>
            </w:r>
            <w:r>
              <w:rPr>
                <w:rFonts w:ascii="Arial" w:hAnsi="Arial" w:cs="Arial"/>
                <w:lang w:val="es-ES"/>
              </w:rPr>
              <w:lastRenderedPageBreak/>
              <w:t xml:space="preserve">de participaciones minoritarias; y (iv) Decreto </w:t>
            </w:r>
            <w:r>
              <w:rPr>
                <w:rFonts w:ascii="Arial" w:hAnsi="Arial" w:cs="Arial"/>
                <w:lang w:val="es-ES"/>
              </w:rPr>
              <w:t>1411</w:t>
            </w:r>
            <w:r>
              <w:rPr>
                <w:rFonts w:ascii="Arial" w:hAnsi="Arial" w:cs="Arial"/>
                <w:lang w:val="es-ES"/>
              </w:rPr>
              <w:t xml:space="preserve"> del 25 de agosto de 2017 por el cual se crea la Comisión Intersectorial para el Aprovechamiento de Activos Públicos (CAAP).</w:t>
            </w:r>
          </w:p>
        </w:tc>
        <w:tc>
          <w:tcPr>
            <w:tcW w:w="2459" w:type="dxa"/>
          </w:tcPr>
          <w:p>
            <w:pPr>
              <w:pStyle w:val="FootnoteText"/>
              <w:spacing w:before="40" w:after="40"/>
              <w:jc w:val="both"/>
              <w:rPr>
                <w:rFonts w:ascii="Arial" w:hAnsi="Arial" w:cs="Arial"/>
                <w:lang w:val="es-ES"/>
              </w:rPr>
            </w:pPr>
            <w:r>
              <w:rPr>
                <w:rFonts w:ascii="Arial" w:hAnsi="Arial" w:cs="Arial"/>
                <w:lang w:val="es-ES"/>
              </w:rPr>
              <w:lastRenderedPageBreak/>
              <w:t>MHCP</w:t>
            </w:r>
          </w:p>
        </w:tc>
      </w:tr>
    </w:tbl>
    <w:p>
      <w:pPr>
        <w:tabs>
          <w:tab w:val="left" w:pos="2340"/>
          <w:tab w:val="left" w:pos="2880"/>
        </w:tabs>
        <w:spacing w:before="240" w:after="240"/>
        <w:rPr>
          <w:rFonts w:ascii="Arial" w:hAnsi="Arial" w:cs="Arial"/>
          <w:sz w:val="20"/>
          <w:lang w:val="es-ES"/>
        </w:rPr>
      </w:pPr>
    </w:p>
    <w:sectPr>
      <w:headerReference w:type="default" r:id="rId20"/>
      <w:footerReference w:type="even" r:id="rId21"/>
      <w:pgSz w:w="15840" w:h="12240" w:orient="landscape" w:code="1"/>
      <w:pgMar w:top="1440" w:right="1800" w:bottom="1440" w:left="1800"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
        <w:separator/>
      </w:r>
    </w:p>
  </w:endnote>
  <w:endnote w:type="continuationSeparator" w:id="0">
    <w:p>
      <w:r>
        <w:continuationSeparator/>
      </w:r>
    </w:p>
  </w:endnote>
  <w:endnote w:type="continuationNotice" w:id="1">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lack">
    <w:panose1 w:val="020B0A040201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Lucida Grande">
    <w:altName w:val="Segoe UI"/>
    <w:charset w:val="00"/>
    <w:family w:val="auto"/>
    <w:pitch w:val="variable"/>
    <w:sig w:usb0="00000000" w:usb1="5000A1FF" w:usb2="00000000" w:usb3="00000000" w:csb0="000001BF" w:csb1="00000000"/>
  </w:font>
  <w:font w:name="Gotham Book">
    <w:panose1 w:val="00000000000000000000"/>
    <w:charset w:val="00"/>
    <w:family w:val="modern"/>
    <w:notTrueType/>
    <w:pitch w:val="variable"/>
    <w:sig w:usb0="A10000FF" w:usb1="4000005B" w:usb2="00000000" w:usb3="00000000" w:csb0="0000009B"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11</w:t>
    </w:r>
    <w:r>
      <w:rPr>
        <w:rStyle w:val="PageNumber"/>
      </w:rPr>
      <w:fldChar w:fldCharType="end"/>
    </w:r>
  </w:p>
  <w:p>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
        <w:separator/>
      </w:r>
    </w:p>
  </w:footnote>
  <w:footnote w:type="continuationSeparator" w:id="0">
    <w:p>
      <w:r>
        <w:continuationSeparator/>
      </w:r>
    </w:p>
  </w:footnote>
  <w:footnote w:type="continuationNotice" w:id="1">
    <w:p/>
  </w:footnote>
  <w:footnote w:id="2">
    <w:p>
      <w:pPr>
        <w:pStyle w:val="FootnoteText"/>
        <w:tabs>
          <w:tab w:val="left" w:pos="360"/>
        </w:tabs>
        <w:ind w:left="360" w:hanging="360"/>
        <w:contextualSpacing/>
        <w:jc w:val="both"/>
        <w:rPr>
          <w:rFonts w:ascii="Arial" w:hAnsi="Arial" w:cs="Arial"/>
          <w:sz w:val="18"/>
          <w:szCs w:val="18"/>
          <w:lang w:val="es-ES"/>
        </w:rPr>
      </w:pPr>
      <w:r>
        <w:rPr>
          <w:rStyle w:val="FootnoteReference"/>
          <w:rFonts w:ascii="Arial" w:hAnsi="Arial" w:cs="Arial"/>
          <w:sz w:val="18"/>
          <w:szCs w:val="18"/>
        </w:rPr>
        <w:footnoteRef/>
      </w:r>
    </w:p>
    <w:p>
      <w:pPr>
        <w:pStyle w:val="FootnoteText"/>
        <w:tabs>
          <w:tab w:val="left" w:pos="360"/>
        </w:tabs>
        <w:ind w:left="360" w:hanging="360"/>
        <w:contextualSpacing/>
        <w:jc w:val="both"/>
        <w:rPr>
          <w:rFonts w:ascii="Arial" w:hAnsi="Arial" w:cs="Arial"/>
          <w:sz w:val="18"/>
          <w:szCs w:val="18"/>
          <w:lang w:val="es-ES"/>
        </w:rPr>
      </w:pPr>
      <w:r>
        <w:rPr>
          <w:rFonts w:ascii="Arial" w:hAnsi="Arial" w:cs="Arial"/>
          <w:sz w:val="18"/>
          <w:szCs w:val="18"/>
          <w:lang w:val="es-ES"/>
        </w:rPr>
        <w:t xml:space="preserve">     El Plan Piloto a 60 grandes contribuyentes se hizo con el modelo de factura electrónica anterior, previsto en el Decreto 2242 del 24 de noviembre de 2015.</w:t>
      </w:r>
    </w:p>
  </w:footnote>
  <w:footnote w:id="3">
    <w:p>
      <w:pPr>
        <w:pStyle w:val="FootnoteText"/>
        <w:tabs>
          <w:tab w:val="left" w:pos="360"/>
        </w:tabs>
        <w:ind w:left="360" w:hanging="360"/>
        <w:jc w:val="both"/>
        <w:rPr>
          <w:rFonts w:ascii="Arial" w:hAnsi="Arial" w:cs="Arial"/>
          <w:sz w:val="18"/>
          <w:szCs w:val="18"/>
          <w:lang w:val="es-ES"/>
        </w:rPr>
      </w:pPr>
      <w:r>
        <w:rPr>
          <w:rStyle w:val="FootnoteReference"/>
          <w:rFonts w:ascii="Arial" w:hAnsi="Arial" w:cs="Arial"/>
          <w:sz w:val="18"/>
          <w:szCs w:val="18"/>
        </w:rPr>
        <w:footnoteRef/>
      </w:r>
      <w:r>
        <w:rPr>
          <w:rFonts w:ascii="Arial" w:hAnsi="Arial" w:cs="Arial"/>
          <w:sz w:val="18"/>
          <w:szCs w:val="18"/>
          <w:lang w:val="es-ES"/>
        </w:rPr>
        <w:t xml:space="preserve"> </w:t>
      </w:r>
      <w:r>
        <w:rPr>
          <w:rFonts w:ascii="Arial" w:hAnsi="Arial" w:cs="Arial"/>
          <w:sz w:val="18"/>
          <w:lang w:val="es-ES_tradnl"/>
        </w:rPr>
        <w:tab/>
      </w:r>
      <w:r>
        <w:rPr>
          <w:rFonts w:ascii="Arial" w:hAnsi="Arial" w:cs="Arial"/>
          <w:sz w:val="18"/>
          <w:szCs w:val="18"/>
          <w:lang w:val="es-ES"/>
        </w:rPr>
        <w:t xml:space="preserve">Reducción en los tiempos de revisión y aprobación de los proyectos. </w:t>
      </w:r>
    </w:p>
  </w:footnote>
  <w:footnote w:id="4">
    <w:p>
      <w:pPr>
        <w:pStyle w:val="FootnoteText"/>
        <w:tabs>
          <w:tab w:val="left" w:pos="360"/>
        </w:tabs>
        <w:ind w:left="360" w:hanging="360"/>
        <w:contextualSpacing/>
        <w:jc w:val="both"/>
        <w:rPr>
          <w:rFonts w:ascii="Arial" w:hAnsi="Arial" w:cs="Arial"/>
          <w:sz w:val="18"/>
          <w:szCs w:val="18"/>
          <w:lang w:val="es-ES"/>
        </w:rPr>
      </w:pPr>
      <w:r>
        <w:rPr>
          <w:rStyle w:val="FootnoteReference"/>
          <w:rFonts w:ascii="Arial" w:hAnsi="Arial" w:cs="Arial"/>
          <w:sz w:val="18"/>
          <w:szCs w:val="18"/>
        </w:rPr>
        <w:footnoteRef/>
      </w:r>
      <w:r>
        <w:rPr>
          <w:rFonts w:ascii="Arial" w:hAnsi="Arial" w:cs="Arial"/>
          <w:sz w:val="18"/>
          <w:szCs w:val="18"/>
          <w:lang w:val="es-ES"/>
        </w:rPr>
        <w:t xml:space="preserve"> </w:t>
      </w:r>
      <w:r>
        <w:rPr>
          <w:rFonts w:ascii="Arial" w:hAnsi="Arial" w:cs="Arial"/>
          <w:sz w:val="18"/>
          <w:szCs w:val="18"/>
          <w:lang w:val="es-ES_tradnl"/>
        </w:rPr>
        <w:tab/>
      </w:r>
      <w:r>
        <w:rPr>
          <w:rFonts w:ascii="Arial" w:hAnsi="Arial" w:cs="Arial"/>
          <w:sz w:val="18"/>
          <w:szCs w:val="18"/>
          <w:lang w:val="es-ES"/>
        </w:rPr>
        <w:t>La Nueva Estrategia de Gestión de Deuda se ha estado aplicando en los instrumentos de la previsión fiscal del gobierno, en el marco fiscal de mediano plazo y en plan financiero del gobierno. Asimismo, fue un insumo importante para la Exposición de Motivos de la Ley 1771 de Endeudamiento de 2015 (ampliación de cupo de endeudamiento externo de la nación).</w:t>
      </w:r>
    </w:p>
  </w:footnote>
  <w:footnote w:id="5">
    <w:p>
      <w:pPr>
        <w:pStyle w:val="FootnoteText"/>
        <w:tabs>
          <w:tab w:val="left" w:pos="360"/>
        </w:tabs>
        <w:ind w:left="360" w:hanging="360"/>
        <w:contextualSpacing/>
        <w:jc w:val="both"/>
        <w:rPr>
          <w:rFonts w:ascii="Arial" w:hAnsi="Arial" w:cs="Arial"/>
          <w:sz w:val="18"/>
          <w:szCs w:val="18"/>
          <w:lang w:val="es-ES"/>
        </w:rPr>
      </w:pPr>
      <w:r>
        <w:rPr>
          <w:rStyle w:val="FootnoteReference"/>
          <w:rFonts w:ascii="Arial" w:hAnsi="Arial" w:cs="Arial"/>
          <w:sz w:val="18"/>
          <w:szCs w:val="18"/>
        </w:rPr>
        <w:footnoteRef/>
      </w:r>
      <w:r>
        <w:rPr>
          <w:rFonts w:ascii="Arial" w:hAnsi="Arial" w:cs="Arial"/>
          <w:sz w:val="18"/>
          <w:szCs w:val="18"/>
          <w:lang w:val="es-ES"/>
        </w:rPr>
        <w:t xml:space="preserve"> </w:t>
      </w:r>
      <w:r>
        <w:rPr>
          <w:rFonts w:ascii="Arial" w:hAnsi="Arial" w:cs="Arial"/>
          <w:sz w:val="18"/>
          <w:szCs w:val="18"/>
          <w:lang w:val="es-ES_tradnl"/>
        </w:rPr>
        <w:tab/>
      </w:r>
      <w:r>
        <w:rPr>
          <w:rFonts w:ascii="Arial" w:hAnsi="Arial" w:cs="Arial"/>
          <w:sz w:val="18"/>
          <w:szCs w:val="18"/>
          <w:lang w:val="es-ES"/>
        </w:rPr>
        <w:t>El Gobierno tiene una subcuenta con aportes realizados por las APPs en caso de contingencia.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pPr>
      <w:pStyle w:val="Header"/>
      <w:jc w:val="right"/>
      <w:rPr>
        <w:rFonts w:ascii="Arial" w:hAnsi="Arial" w:cs="Arial"/>
        <w:sz w:val="18"/>
        <w:szCs w:val="18"/>
        <w:lang w:val="pt-BR"/>
      </w:rPr>
    </w:pPr>
    <w:r>
      <w:rPr>
        <w:rFonts w:ascii="Arial" w:hAnsi="Arial" w:cs="Arial"/>
        <w:sz w:val="18"/>
        <w:szCs w:val="18"/>
        <w:lang w:val="pt-BR"/>
      </w:rPr>
      <w:t>CO-L1227</w:t>
    </w:r>
  </w:p>
  <w:p>
    <w:pPr>
      <w:pStyle w:val="Header"/>
      <w:jc w:val="right"/>
      <w:rPr>
        <w:rFonts w:ascii="Arial" w:hAnsi="Arial" w:cs="Arial"/>
        <w:sz w:val="18"/>
        <w:szCs w:val="18"/>
        <w:lang w:val="pt-BR"/>
      </w:rPr>
    </w:pPr>
    <w:r>
      <w:rPr>
        <w:rFonts w:ascii="Arial" w:hAnsi="Arial" w:cs="Arial"/>
        <w:sz w:val="18"/>
        <w:szCs w:val="18"/>
        <w:lang w:val="pt-BR"/>
      </w:rPr>
      <w:t xml:space="preserve">Página </w:t>
    </w:r>
    <w:r>
      <w:rPr>
        <w:rStyle w:val="PageNumber"/>
        <w:rFonts w:ascii="Arial" w:hAnsi="Arial" w:cs="Arial"/>
        <w:noProof/>
        <w:sz w:val="18"/>
        <w:szCs w:val="18"/>
        <w:lang w:val="pt-BR"/>
      </w:rPr>
      <w:fldChar w:fldCharType="begin"/>
    </w:r>
    <w:r>
      <w:rPr>
        <w:rStyle w:val="PageNumber"/>
        <w:rFonts w:ascii="Arial" w:hAnsi="Arial" w:cs="Arial"/>
        <w:noProof/>
        <w:sz w:val="18"/>
        <w:szCs w:val="18"/>
        <w:lang w:val="pt-BR"/>
      </w:rPr>
      <w:instrText xml:space="preserve"> PAGE </w:instrText>
    </w:r>
    <w:r>
      <w:rPr>
        <w:rStyle w:val="PageNumber"/>
        <w:rFonts w:ascii="Arial" w:hAnsi="Arial" w:cs="Arial"/>
        <w:noProof/>
        <w:sz w:val="18"/>
        <w:szCs w:val="18"/>
        <w:lang w:val="pt-BR"/>
      </w:rPr>
      <w:fldChar w:fldCharType="separate"/>
    </w:r>
    <w:r>
      <w:rPr>
        <w:rStyle w:val="PageNumber"/>
        <w:rFonts w:ascii="Arial" w:hAnsi="Arial" w:cs="Arial"/>
        <w:noProof/>
        <w:sz w:val="18"/>
        <w:szCs w:val="18"/>
        <w:lang w:val="pt-BR"/>
      </w:rPr>
      <w:t>5</w:t>
    </w:r>
    <w:r>
      <w:rPr>
        <w:rStyle w:val="PageNumber"/>
        <w:rFonts w:ascii="Arial" w:hAnsi="Arial" w:cs="Arial"/>
        <w:noProof/>
        <w:sz w:val="18"/>
        <w:szCs w:val="18"/>
        <w:lang w:val="pt-BR"/>
      </w:rPr>
      <w:fldChar w:fldCharType="end"/>
    </w:r>
    <w:r>
      <w:rPr>
        <w:rStyle w:val="PageNumber"/>
        <w:rFonts w:ascii="Arial" w:hAnsi="Arial" w:cs="Arial"/>
        <w:sz w:val="18"/>
        <w:szCs w:val="18"/>
        <w:lang w:val="pt-BR"/>
      </w:rPr>
      <w:t xml:space="preserve"> de </w:t>
    </w:r>
    <w:r>
      <w:rPr>
        <w:rStyle w:val="PageNumber"/>
        <w:rFonts w:ascii="Arial" w:hAnsi="Arial" w:cs="Arial"/>
        <w:noProof/>
        <w:sz w:val="18"/>
        <w:szCs w:val="18"/>
        <w:lang w:val="pt-BR"/>
      </w:rPr>
      <w:fldChar w:fldCharType="begin"/>
    </w:r>
    <w:r>
      <w:rPr>
        <w:rStyle w:val="PageNumber"/>
        <w:rFonts w:ascii="Arial" w:hAnsi="Arial" w:cs="Arial"/>
        <w:noProof/>
        <w:sz w:val="18"/>
        <w:szCs w:val="18"/>
        <w:lang w:val="pt-BR"/>
      </w:rPr>
      <w:instrText xml:space="preserve"> NUMPAGES </w:instrText>
    </w:r>
    <w:r>
      <w:rPr>
        <w:rStyle w:val="PageNumber"/>
        <w:rFonts w:ascii="Arial" w:hAnsi="Arial" w:cs="Arial"/>
        <w:noProof/>
        <w:sz w:val="18"/>
        <w:szCs w:val="18"/>
        <w:lang w:val="pt-BR"/>
      </w:rPr>
      <w:fldChar w:fldCharType="separate"/>
    </w:r>
    <w:r>
      <w:rPr>
        <w:rStyle w:val="PageNumber"/>
        <w:rFonts w:ascii="Arial" w:hAnsi="Arial" w:cs="Arial"/>
        <w:noProof/>
        <w:sz w:val="18"/>
        <w:szCs w:val="18"/>
        <w:lang w:val="pt-BR"/>
      </w:rPr>
      <w:t>5</w:t>
    </w:r>
    <w:r>
      <w:rPr>
        <w:rStyle w:val="PageNumber"/>
        <w:rFonts w:ascii="Arial" w:hAnsi="Arial" w:cs="Arial"/>
        <w:noProof/>
        <w:sz w:val="18"/>
        <w:szCs w:val="18"/>
        <w:lang w:val="pt-BR"/>
      </w:rPr>
      <w:fldChar w:fldCharType="end"/>
    </w:r>
  </w:p>
  <w:p>
    <w:pPr>
      <w:pStyle w:val="Header"/>
      <w:jc w:val="right"/>
      <w:rPr>
        <w:rFonts w:ascii="Arial" w:hAnsi="Arial" w:cs="Arial"/>
        <w:sz w:val="18"/>
        <w:szCs w:val="18"/>
        <w:lang w:val="pt-B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4959E9"/>
    <w:multiLevelType w:val="multilevel"/>
    <w:tmpl w:val="2C283EB6"/>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15:restartNumberingAfterBreak="0">
    <w:nsid w:val="028437DB"/>
    <w:multiLevelType w:val="hybridMultilevel"/>
    <w:tmpl w:val="C4B851DC"/>
    <w:lvl w:ilvl="0" w:tplc="4C48CCF6">
      <w:start w:val="1"/>
      <w:numFmt w:val="upperRoman"/>
      <w:lvlText w:val="%1."/>
      <w:lvlJc w:val="left"/>
      <w:pPr>
        <w:ind w:left="720" w:hanging="360"/>
      </w:pPr>
      <w:rPr>
        <w:rFonts w:hint="default"/>
      </w:rPr>
    </w:lvl>
    <w:lvl w:ilvl="1" w:tplc="D8EA325E">
      <w:start w:val="1"/>
      <w:numFmt w:val="decimal"/>
      <w:lvlText w:val="4.%2"/>
      <w:lvlJc w:val="left"/>
      <w:pPr>
        <w:ind w:left="1440" w:hanging="360"/>
      </w:pPr>
      <w:rPr>
        <w:rFonts w:hint="default"/>
        <w:sz w:val="20"/>
      </w:r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2" w15:restartNumberingAfterBreak="0">
    <w:nsid w:val="062D2EFF"/>
    <w:multiLevelType w:val="multilevel"/>
    <w:tmpl w:val="65C8233C"/>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15:restartNumberingAfterBreak="0">
    <w:nsid w:val="09D316FE"/>
    <w:multiLevelType w:val="hybridMultilevel"/>
    <w:tmpl w:val="19367E12"/>
    <w:lvl w:ilvl="0" w:tplc="EC06626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956D30"/>
    <w:multiLevelType w:val="multilevel"/>
    <w:tmpl w:val="1EF62FCE"/>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15:restartNumberingAfterBreak="0">
    <w:nsid w:val="0EA0429C"/>
    <w:multiLevelType w:val="multilevel"/>
    <w:tmpl w:val="4F3E6CE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F444C0A"/>
    <w:multiLevelType w:val="multilevel"/>
    <w:tmpl w:val="FA46D4DE"/>
    <w:lvl w:ilvl="0">
      <w:start w:val="3"/>
      <w:numFmt w:val="decimal"/>
      <w:lvlText w:val="%1"/>
      <w:lvlJc w:val="left"/>
      <w:pPr>
        <w:ind w:left="360" w:hanging="360"/>
      </w:pPr>
      <w:rPr>
        <w:rFonts w:hint="default"/>
      </w:rPr>
    </w:lvl>
    <w:lvl w:ilvl="1">
      <w:start w:val="1"/>
      <w:numFmt w:val="decimal"/>
      <w:lvlText w:val="%1.4"/>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15:restartNumberingAfterBreak="0">
    <w:nsid w:val="15254EA4"/>
    <w:multiLevelType w:val="hybridMultilevel"/>
    <w:tmpl w:val="ABE029DC"/>
    <w:lvl w:ilvl="0" w:tplc="3C88ADE0">
      <w:start w:val="1"/>
      <w:numFmt w:val="decimal"/>
      <w:lvlText w:val="4.%1"/>
      <w:lvlJc w:val="left"/>
      <w:pPr>
        <w:ind w:left="720" w:hanging="360"/>
      </w:pPr>
      <w:rPr>
        <w:rFonts w:hint="default"/>
        <w:sz w:val="20"/>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8" w15:restartNumberingAfterBreak="0">
    <w:nsid w:val="24D526E4"/>
    <w:multiLevelType w:val="hybridMultilevel"/>
    <w:tmpl w:val="A3428820"/>
    <w:lvl w:ilvl="0" w:tplc="43740AE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67177C6"/>
    <w:multiLevelType w:val="hybridMultilevel"/>
    <w:tmpl w:val="A89CE7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6D61FE8"/>
    <w:multiLevelType w:val="multilevel"/>
    <w:tmpl w:val="0ACEF8F0"/>
    <w:lvl w:ilvl="0">
      <w:start w:val="1"/>
      <w:numFmt w:val="upperRoman"/>
      <w:lvlText w:val="%1."/>
      <w:lvlJc w:val="right"/>
      <w:pPr>
        <w:ind w:left="1068" w:hanging="360"/>
      </w:pPr>
    </w:lvl>
    <w:lvl w:ilvl="1">
      <w:start w:val="1"/>
      <w:numFmt w:val="decimal"/>
      <w:isLgl/>
      <w:lvlText w:val="%1.%2"/>
      <w:lvlJc w:val="left"/>
      <w:pPr>
        <w:ind w:left="1353" w:hanging="645"/>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428" w:hanging="72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1788" w:hanging="1080"/>
      </w:pPr>
      <w:rPr>
        <w:rFonts w:hint="default"/>
      </w:rPr>
    </w:lvl>
    <w:lvl w:ilvl="6">
      <w:start w:val="1"/>
      <w:numFmt w:val="decimal"/>
      <w:isLgl/>
      <w:lvlText w:val="%1.%2.%3.%4.%5.%6.%7"/>
      <w:lvlJc w:val="left"/>
      <w:pPr>
        <w:ind w:left="2148" w:hanging="1440"/>
      </w:pPr>
      <w:rPr>
        <w:rFonts w:hint="default"/>
      </w:rPr>
    </w:lvl>
    <w:lvl w:ilvl="7">
      <w:start w:val="1"/>
      <w:numFmt w:val="decimal"/>
      <w:isLgl/>
      <w:lvlText w:val="%1.%2.%3.%4.%5.%6.%7.%8"/>
      <w:lvlJc w:val="left"/>
      <w:pPr>
        <w:ind w:left="2148" w:hanging="1440"/>
      </w:pPr>
      <w:rPr>
        <w:rFonts w:hint="default"/>
      </w:rPr>
    </w:lvl>
    <w:lvl w:ilvl="8">
      <w:start w:val="1"/>
      <w:numFmt w:val="decimal"/>
      <w:isLgl/>
      <w:lvlText w:val="%1.%2.%3.%4.%5.%6.%7.%8.%9"/>
      <w:lvlJc w:val="left"/>
      <w:pPr>
        <w:ind w:left="2508" w:hanging="1800"/>
      </w:pPr>
      <w:rPr>
        <w:rFonts w:hint="default"/>
      </w:rPr>
    </w:lvl>
  </w:abstractNum>
  <w:abstractNum w:abstractNumId="11" w15:restartNumberingAfterBreak="0">
    <w:nsid w:val="29183C03"/>
    <w:multiLevelType w:val="multilevel"/>
    <w:tmpl w:val="9AC4BE4A"/>
    <w:lvl w:ilvl="0">
      <w:start w:val="3"/>
      <w:numFmt w:val="decimal"/>
      <w:lvlText w:val="%1"/>
      <w:lvlJc w:val="left"/>
      <w:pPr>
        <w:ind w:left="360" w:hanging="360"/>
      </w:pPr>
      <w:rPr>
        <w:rFonts w:hint="default"/>
      </w:rPr>
    </w:lvl>
    <w:lvl w:ilvl="1">
      <w:start w:val="1"/>
      <w:numFmt w:val="decimal"/>
      <w:lvlText w:val="4.%2"/>
      <w:lvlJc w:val="left"/>
      <w:pPr>
        <w:ind w:left="360" w:hanging="360"/>
      </w:pPr>
      <w:rPr>
        <w:rFonts w:hint="default"/>
        <w:sz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2EC90107"/>
    <w:multiLevelType w:val="hybridMultilevel"/>
    <w:tmpl w:val="1D4AEAEE"/>
    <w:lvl w:ilvl="0" w:tplc="04090001">
      <w:start w:val="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50113B3"/>
    <w:multiLevelType w:val="multilevel"/>
    <w:tmpl w:val="52224B48"/>
    <w:lvl w:ilvl="0">
      <w:start w:val="3"/>
      <w:numFmt w:val="decimal"/>
      <w:lvlText w:val="%1"/>
      <w:lvlJc w:val="left"/>
      <w:pPr>
        <w:ind w:left="360" w:hanging="360"/>
      </w:pPr>
      <w:rPr>
        <w:rFonts w:hint="default"/>
      </w:rPr>
    </w:lvl>
    <w:lvl w:ilvl="1">
      <w:start w:val="4"/>
      <w:numFmt w:val="decimal"/>
      <w:lvlText w:val="%1.%2"/>
      <w:lvlJc w:val="left"/>
      <w:pPr>
        <w:ind w:left="781" w:hanging="360"/>
      </w:pPr>
      <w:rPr>
        <w:rFonts w:hint="default"/>
      </w:rPr>
    </w:lvl>
    <w:lvl w:ilvl="2">
      <w:start w:val="1"/>
      <w:numFmt w:val="decimal"/>
      <w:lvlText w:val="%1.%2.%3"/>
      <w:lvlJc w:val="left"/>
      <w:pPr>
        <w:ind w:left="1562" w:hanging="720"/>
      </w:pPr>
      <w:rPr>
        <w:rFonts w:hint="default"/>
      </w:rPr>
    </w:lvl>
    <w:lvl w:ilvl="3">
      <w:start w:val="1"/>
      <w:numFmt w:val="decimal"/>
      <w:lvlText w:val="%1.%2.%3.%4"/>
      <w:lvlJc w:val="left"/>
      <w:pPr>
        <w:ind w:left="1983" w:hanging="720"/>
      </w:pPr>
      <w:rPr>
        <w:rFonts w:hint="default"/>
      </w:rPr>
    </w:lvl>
    <w:lvl w:ilvl="4">
      <w:start w:val="1"/>
      <w:numFmt w:val="decimal"/>
      <w:lvlText w:val="%1.%2.%3.%4.%5"/>
      <w:lvlJc w:val="left"/>
      <w:pPr>
        <w:ind w:left="2764" w:hanging="1080"/>
      </w:pPr>
      <w:rPr>
        <w:rFonts w:hint="default"/>
      </w:rPr>
    </w:lvl>
    <w:lvl w:ilvl="5">
      <w:start w:val="1"/>
      <w:numFmt w:val="decimal"/>
      <w:lvlText w:val="%1.%2.%3.%4.%5.%6"/>
      <w:lvlJc w:val="left"/>
      <w:pPr>
        <w:ind w:left="3185" w:hanging="1080"/>
      </w:pPr>
      <w:rPr>
        <w:rFonts w:hint="default"/>
      </w:rPr>
    </w:lvl>
    <w:lvl w:ilvl="6">
      <w:start w:val="1"/>
      <w:numFmt w:val="decimal"/>
      <w:lvlText w:val="%1.%2.%3.%4.%5.%6.%7"/>
      <w:lvlJc w:val="left"/>
      <w:pPr>
        <w:ind w:left="3966" w:hanging="1440"/>
      </w:pPr>
      <w:rPr>
        <w:rFonts w:hint="default"/>
      </w:rPr>
    </w:lvl>
    <w:lvl w:ilvl="7">
      <w:start w:val="1"/>
      <w:numFmt w:val="decimal"/>
      <w:lvlText w:val="%1.%2.%3.%4.%5.%6.%7.%8"/>
      <w:lvlJc w:val="left"/>
      <w:pPr>
        <w:ind w:left="4387" w:hanging="1440"/>
      </w:pPr>
      <w:rPr>
        <w:rFonts w:hint="default"/>
      </w:rPr>
    </w:lvl>
    <w:lvl w:ilvl="8">
      <w:start w:val="1"/>
      <w:numFmt w:val="decimal"/>
      <w:lvlText w:val="%1.%2.%3.%4.%5.%6.%7.%8.%9"/>
      <w:lvlJc w:val="left"/>
      <w:pPr>
        <w:ind w:left="5168" w:hanging="1800"/>
      </w:pPr>
      <w:rPr>
        <w:rFonts w:hint="default"/>
      </w:rPr>
    </w:lvl>
  </w:abstractNum>
  <w:abstractNum w:abstractNumId="14" w15:restartNumberingAfterBreak="0">
    <w:nsid w:val="3ED4022B"/>
    <w:multiLevelType w:val="multilevel"/>
    <w:tmpl w:val="93B615CC"/>
    <w:lvl w:ilvl="0">
      <w:start w:val="1"/>
      <w:numFmt w:val="decimal"/>
      <w:lvlText w:val="%1"/>
      <w:lvlJc w:val="left"/>
      <w:pPr>
        <w:ind w:left="732" w:hanging="732"/>
      </w:pPr>
      <w:rPr>
        <w:rFonts w:hint="default"/>
      </w:rPr>
    </w:lvl>
    <w:lvl w:ilvl="1">
      <w:start w:val="1"/>
      <w:numFmt w:val="decimal"/>
      <w:lvlText w:val="%1.%2"/>
      <w:lvlJc w:val="left"/>
      <w:pPr>
        <w:ind w:left="714" w:hanging="732"/>
      </w:pPr>
      <w:rPr>
        <w:rFonts w:hint="default"/>
      </w:rPr>
    </w:lvl>
    <w:lvl w:ilvl="2">
      <w:start w:val="1"/>
      <w:numFmt w:val="decimal"/>
      <w:lvlText w:val="%1.%2.%3"/>
      <w:lvlJc w:val="left"/>
      <w:pPr>
        <w:ind w:left="696" w:hanging="732"/>
      </w:pPr>
      <w:rPr>
        <w:rFonts w:hint="default"/>
      </w:rPr>
    </w:lvl>
    <w:lvl w:ilvl="3">
      <w:start w:val="1"/>
      <w:numFmt w:val="decimal"/>
      <w:lvlText w:val="%1.%2.%3.%4"/>
      <w:lvlJc w:val="left"/>
      <w:pPr>
        <w:ind w:left="678" w:hanging="732"/>
      </w:pPr>
      <w:rPr>
        <w:rFonts w:hint="default"/>
      </w:rPr>
    </w:lvl>
    <w:lvl w:ilvl="4">
      <w:start w:val="1"/>
      <w:numFmt w:val="decimal"/>
      <w:lvlText w:val="%1.%2.%3.%4.%5"/>
      <w:lvlJc w:val="left"/>
      <w:pPr>
        <w:ind w:left="1008" w:hanging="1080"/>
      </w:pPr>
      <w:rPr>
        <w:rFonts w:hint="default"/>
      </w:rPr>
    </w:lvl>
    <w:lvl w:ilvl="5">
      <w:start w:val="1"/>
      <w:numFmt w:val="decimal"/>
      <w:lvlText w:val="%1.%2.%3.%4.%5.%6"/>
      <w:lvlJc w:val="left"/>
      <w:pPr>
        <w:ind w:left="990" w:hanging="1080"/>
      </w:pPr>
      <w:rPr>
        <w:rFonts w:hint="default"/>
      </w:rPr>
    </w:lvl>
    <w:lvl w:ilvl="6">
      <w:start w:val="1"/>
      <w:numFmt w:val="decimal"/>
      <w:lvlText w:val="%1.%2.%3.%4.%5.%6.%7"/>
      <w:lvlJc w:val="left"/>
      <w:pPr>
        <w:ind w:left="1332" w:hanging="1440"/>
      </w:pPr>
      <w:rPr>
        <w:rFonts w:hint="default"/>
      </w:rPr>
    </w:lvl>
    <w:lvl w:ilvl="7">
      <w:start w:val="1"/>
      <w:numFmt w:val="decimal"/>
      <w:lvlText w:val="%1.%2.%3.%4.%5.%6.%7.%8"/>
      <w:lvlJc w:val="left"/>
      <w:pPr>
        <w:ind w:left="1314" w:hanging="1440"/>
      </w:pPr>
      <w:rPr>
        <w:rFonts w:hint="default"/>
      </w:rPr>
    </w:lvl>
    <w:lvl w:ilvl="8">
      <w:start w:val="1"/>
      <w:numFmt w:val="decimal"/>
      <w:lvlText w:val="%1.%2.%3.%4.%5.%6.%7.%8.%9"/>
      <w:lvlJc w:val="left"/>
      <w:pPr>
        <w:ind w:left="1296" w:hanging="1440"/>
      </w:pPr>
      <w:rPr>
        <w:rFonts w:hint="default"/>
      </w:rPr>
    </w:lvl>
  </w:abstractNum>
  <w:abstractNum w:abstractNumId="15" w15:restartNumberingAfterBreak="0">
    <w:nsid w:val="3F8212C3"/>
    <w:multiLevelType w:val="hybridMultilevel"/>
    <w:tmpl w:val="A6687724"/>
    <w:lvl w:ilvl="0" w:tplc="FD124728">
      <w:start w:val="1"/>
      <w:numFmt w:val="decimal"/>
      <w:lvlText w:val="3.%1"/>
      <w:lvlJc w:val="left"/>
      <w:pPr>
        <w:ind w:left="702" w:hanging="360"/>
      </w:pPr>
      <w:rPr>
        <w:rFonts w:hint="default"/>
        <w:sz w:val="20"/>
      </w:rPr>
    </w:lvl>
    <w:lvl w:ilvl="1" w:tplc="040A0019" w:tentative="1">
      <w:start w:val="1"/>
      <w:numFmt w:val="lowerLetter"/>
      <w:lvlText w:val="%2."/>
      <w:lvlJc w:val="left"/>
      <w:pPr>
        <w:ind w:left="1422" w:hanging="360"/>
      </w:pPr>
    </w:lvl>
    <w:lvl w:ilvl="2" w:tplc="040A001B" w:tentative="1">
      <w:start w:val="1"/>
      <w:numFmt w:val="lowerRoman"/>
      <w:lvlText w:val="%3."/>
      <w:lvlJc w:val="right"/>
      <w:pPr>
        <w:ind w:left="2142" w:hanging="180"/>
      </w:pPr>
    </w:lvl>
    <w:lvl w:ilvl="3" w:tplc="040A000F" w:tentative="1">
      <w:start w:val="1"/>
      <w:numFmt w:val="decimal"/>
      <w:lvlText w:val="%4."/>
      <w:lvlJc w:val="left"/>
      <w:pPr>
        <w:ind w:left="2862" w:hanging="360"/>
      </w:pPr>
    </w:lvl>
    <w:lvl w:ilvl="4" w:tplc="040A0019" w:tentative="1">
      <w:start w:val="1"/>
      <w:numFmt w:val="lowerLetter"/>
      <w:lvlText w:val="%5."/>
      <w:lvlJc w:val="left"/>
      <w:pPr>
        <w:ind w:left="3582" w:hanging="360"/>
      </w:pPr>
    </w:lvl>
    <w:lvl w:ilvl="5" w:tplc="040A001B" w:tentative="1">
      <w:start w:val="1"/>
      <w:numFmt w:val="lowerRoman"/>
      <w:lvlText w:val="%6."/>
      <w:lvlJc w:val="right"/>
      <w:pPr>
        <w:ind w:left="4302" w:hanging="180"/>
      </w:pPr>
    </w:lvl>
    <w:lvl w:ilvl="6" w:tplc="040A000F" w:tentative="1">
      <w:start w:val="1"/>
      <w:numFmt w:val="decimal"/>
      <w:lvlText w:val="%7."/>
      <w:lvlJc w:val="left"/>
      <w:pPr>
        <w:ind w:left="5022" w:hanging="360"/>
      </w:pPr>
    </w:lvl>
    <w:lvl w:ilvl="7" w:tplc="040A0019" w:tentative="1">
      <w:start w:val="1"/>
      <w:numFmt w:val="lowerLetter"/>
      <w:lvlText w:val="%8."/>
      <w:lvlJc w:val="left"/>
      <w:pPr>
        <w:ind w:left="5742" w:hanging="360"/>
      </w:pPr>
    </w:lvl>
    <w:lvl w:ilvl="8" w:tplc="040A001B" w:tentative="1">
      <w:start w:val="1"/>
      <w:numFmt w:val="lowerRoman"/>
      <w:lvlText w:val="%9."/>
      <w:lvlJc w:val="right"/>
      <w:pPr>
        <w:ind w:left="6462" w:hanging="180"/>
      </w:pPr>
    </w:lvl>
  </w:abstractNum>
  <w:abstractNum w:abstractNumId="16" w15:restartNumberingAfterBreak="0">
    <w:nsid w:val="410A4C70"/>
    <w:multiLevelType w:val="multilevel"/>
    <w:tmpl w:val="75B2CE00"/>
    <w:lvl w:ilvl="0">
      <w:start w:val="1"/>
      <w:numFmt w:val="decimal"/>
      <w:lvlText w:val="%1"/>
      <w:lvlJc w:val="left"/>
      <w:pPr>
        <w:ind w:left="360" w:hanging="360"/>
      </w:pPr>
      <w:rPr>
        <w:rFonts w:hint="default"/>
      </w:rPr>
    </w:lvl>
    <w:lvl w:ilvl="1">
      <w:start w:val="1"/>
      <w:numFmt w:val="decimal"/>
      <w:lvlText w:val="2.%2"/>
      <w:lvlJc w:val="left"/>
      <w:pPr>
        <w:ind w:left="360" w:hanging="360"/>
      </w:pPr>
      <w:rPr>
        <w:rFonts w:hint="default"/>
        <w:sz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15:restartNumberingAfterBreak="0">
    <w:nsid w:val="45227C0B"/>
    <w:multiLevelType w:val="hybridMultilevel"/>
    <w:tmpl w:val="85AA3F4C"/>
    <w:lvl w:ilvl="0" w:tplc="9E60428C">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6F55CB4"/>
    <w:multiLevelType w:val="hybridMultilevel"/>
    <w:tmpl w:val="40DCCA78"/>
    <w:lvl w:ilvl="0" w:tplc="A83EFD4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9CE2804"/>
    <w:multiLevelType w:val="multilevel"/>
    <w:tmpl w:val="28FA60D0"/>
    <w:lvl w:ilvl="0">
      <w:start w:val="1"/>
      <w:numFmt w:val="decimal"/>
      <w:lvlText w:val="%1"/>
      <w:lvlJc w:val="left"/>
      <w:pPr>
        <w:ind w:left="360" w:hanging="360"/>
      </w:pPr>
      <w:rPr>
        <w:rFonts w:hint="default"/>
      </w:rPr>
    </w:lvl>
    <w:lvl w:ilvl="1">
      <w:start w:val="1"/>
      <w:numFmt w:val="decimal"/>
      <w:lvlText w:val="2.%2"/>
      <w:lvlJc w:val="left"/>
      <w:pPr>
        <w:ind w:left="360" w:hanging="360"/>
      </w:pPr>
      <w:rPr>
        <w:rFonts w:hint="default"/>
        <w:sz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4C4F324E"/>
    <w:multiLevelType w:val="hybridMultilevel"/>
    <w:tmpl w:val="33B059CA"/>
    <w:lvl w:ilvl="0" w:tplc="B28A0EE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F926818"/>
    <w:multiLevelType w:val="multilevel"/>
    <w:tmpl w:val="06626210"/>
    <w:lvl w:ilvl="0">
      <w:start w:val="2"/>
      <w:numFmt w:val="decimal"/>
      <w:lvlText w:val="%1"/>
      <w:lvlJc w:val="left"/>
      <w:pPr>
        <w:ind w:left="360" w:hanging="360"/>
      </w:pPr>
      <w:rPr>
        <w:rFonts w:hint="default"/>
      </w:rPr>
    </w:lvl>
    <w:lvl w:ilvl="1">
      <w:start w:val="1"/>
      <w:numFmt w:val="decimal"/>
      <w:lvlText w:val="3.%2"/>
      <w:lvlJc w:val="left"/>
      <w:pPr>
        <w:ind w:left="360" w:hanging="360"/>
      </w:pPr>
      <w:rPr>
        <w:rFonts w:hint="default"/>
        <w:sz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543D6D19"/>
    <w:multiLevelType w:val="hybridMultilevel"/>
    <w:tmpl w:val="30D4841E"/>
    <w:lvl w:ilvl="0" w:tplc="4DB8252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D097A72"/>
    <w:multiLevelType w:val="hybridMultilevel"/>
    <w:tmpl w:val="AFDC1BA4"/>
    <w:lvl w:ilvl="0" w:tplc="4ADEB41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EF53384"/>
    <w:multiLevelType w:val="hybridMultilevel"/>
    <w:tmpl w:val="9C7E3DB4"/>
    <w:lvl w:ilvl="0" w:tplc="84AC5F8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0C35262"/>
    <w:multiLevelType w:val="hybridMultilevel"/>
    <w:tmpl w:val="C9CE9A84"/>
    <w:lvl w:ilvl="0" w:tplc="FD124728">
      <w:start w:val="1"/>
      <w:numFmt w:val="decimal"/>
      <w:lvlText w:val="3.%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905294C"/>
    <w:multiLevelType w:val="hybridMultilevel"/>
    <w:tmpl w:val="E5E2A68C"/>
    <w:lvl w:ilvl="0" w:tplc="CEE6DEBE">
      <w:start w:val="1"/>
      <w:numFmt w:val="decimal"/>
      <w:lvlText w:val="2.%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B613F76"/>
    <w:multiLevelType w:val="hybridMultilevel"/>
    <w:tmpl w:val="092895F8"/>
    <w:lvl w:ilvl="0" w:tplc="94448ED6">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CFB37EF"/>
    <w:multiLevelType w:val="multilevel"/>
    <w:tmpl w:val="2612DF0C"/>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6F4B59ED"/>
    <w:multiLevelType w:val="hybridMultilevel"/>
    <w:tmpl w:val="541877CE"/>
    <w:lvl w:ilvl="0" w:tplc="4C48CCF6">
      <w:start w:val="1"/>
      <w:numFmt w:val="upperRoman"/>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30" w15:restartNumberingAfterBreak="0">
    <w:nsid w:val="758F4429"/>
    <w:multiLevelType w:val="multilevel"/>
    <w:tmpl w:val="500A1FF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1" w15:restartNumberingAfterBreak="0">
    <w:nsid w:val="77F368C5"/>
    <w:multiLevelType w:val="hybridMultilevel"/>
    <w:tmpl w:val="4EF8F9E6"/>
    <w:lvl w:ilvl="0" w:tplc="13E69CA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A6D6F7B"/>
    <w:multiLevelType w:val="hybridMultilevel"/>
    <w:tmpl w:val="E1FAE2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B5A76ED"/>
    <w:multiLevelType w:val="multilevel"/>
    <w:tmpl w:val="88A499F8"/>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6"/>
  </w:num>
  <w:num w:numId="2">
    <w:abstractNumId w:val="0"/>
  </w:num>
  <w:num w:numId="3">
    <w:abstractNumId w:val="16"/>
  </w:num>
  <w:num w:numId="4">
    <w:abstractNumId w:val="2"/>
  </w:num>
  <w:num w:numId="5">
    <w:abstractNumId w:val="13"/>
  </w:num>
  <w:num w:numId="6">
    <w:abstractNumId w:val="21"/>
  </w:num>
  <w:num w:numId="7">
    <w:abstractNumId w:val="30"/>
  </w:num>
  <w:num w:numId="8">
    <w:abstractNumId w:val="28"/>
  </w:num>
  <w:num w:numId="9">
    <w:abstractNumId w:val="32"/>
  </w:num>
  <w:num w:numId="10">
    <w:abstractNumId w:val="12"/>
  </w:num>
  <w:num w:numId="11">
    <w:abstractNumId w:val="9"/>
  </w:num>
  <w:num w:numId="12">
    <w:abstractNumId w:val="33"/>
  </w:num>
  <w:num w:numId="13">
    <w:abstractNumId w:val="4"/>
  </w:num>
  <w:num w:numId="14">
    <w:abstractNumId w:val="14"/>
  </w:num>
  <w:num w:numId="15">
    <w:abstractNumId w:val="31"/>
  </w:num>
  <w:num w:numId="16">
    <w:abstractNumId w:val="20"/>
  </w:num>
  <w:num w:numId="17">
    <w:abstractNumId w:val="3"/>
  </w:num>
  <w:num w:numId="18">
    <w:abstractNumId w:val="22"/>
  </w:num>
  <w:num w:numId="19">
    <w:abstractNumId w:val="23"/>
  </w:num>
  <w:num w:numId="20">
    <w:abstractNumId w:val="19"/>
  </w:num>
  <w:num w:numId="21">
    <w:abstractNumId w:val="25"/>
  </w:num>
  <w:num w:numId="22">
    <w:abstractNumId w:val="18"/>
  </w:num>
  <w:num w:numId="23">
    <w:abstractNumId w:val="26"/>
  </w:num>
  <w:num w:numId="24">
    <w:abstractNumId w:val="27"/>
  </w:num>
  <w:num w:numId="25">
    <w:abstractNumId w:val="11"/>
  </w:num>
  <w:num w:numId="26">
    <w:abstractNumId w:val="4"/>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4"/>
  </w:num>
  <w:num w:numId="28">
    <w:abstractNumId w:val="8"/>
  </w:num>
  <w:num w:numId="29">
    <w:abstractNumId w:val="29"/>
  </w:num>
  <w:num w:numId="30">
    <w:abstractNumId w:val="1"/>
  </w:num>
  <w:num w:numId="31">
    <w:abstractNumId w:val="17"/>
  </w:num>
  <w:num w:numId="32">
    <w:abstractNumId w:val="15"/>
  </w:num>
  <w:num w:numId="33">
    <w:abstractNumId w:val="7"/>
  </w:num>
  <w:num w:numId="34">
    <w:abstractNumId w:val="10"/>
  </w:num>
  <w:num w:numId="35">
    <w:abstractNumId w:val="5"/>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activeWritingStyle w:appName="MSWord" w:lang="es-ES_tradnl" w:vendorID="9" w:dllVersion="512" w:checkStyle="1"/>
  <w:activeWritingStyle w:appName="MSWord" w:lang="pt-BR" w:vendorID="1" w:dllVersion="513" w:checkStyle="1"/>
  <w:proofState w:spelling="clean" w:grammar="clean"/>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Pr>
      <w:sz w:val="24"/>
    </w:rPr>
  </w:style>
  <w:style w:type="paragraph" w:styleId="Heading1">
    <w:name w:val="heading 1"/>
    <w:basedOn w:val="Normal"/>
    <w:next w:val="Normal"/>
    <w:qFormat/>
    <w:pPr>
      <w:keepNext/>
      <w:outlineLvl w:val="0"/>
    </w:pPr>
    <w:rPr>
      <w:b/>
      <w:bCs/>
      <w:lang w:val="es-ES"/>
    </w:rPr>
  </w:style>
  <w:style w:type="paragraph" w:styleId="Heading2">
    <w:name w:val="heading 2"/>
    <w:basedOn w:val="Normal"/>
    <w:next w:val="Normal"/>
    <w:qFormat/>
    <w:pPr>
      <w:keepNext/>
      <w:outlineLvl w:val="1"/>
    </w:pPr>
    <w:rPr>
      <w:i/>
      <w:lang w:val="es-ES"/>
    </w:rPr>
  </w:style>
  <w:style w:type="paragraph" w:styleId="Heading3">
    <w:name w:val="heading 3"/>
    <w:basedOn w:val="Normal"/>
    <w:next w:val="Normal"/>
    <w:qFormat/>
    <w:pPr>
      <w:keepNext/>
      <w:jc w:val="right"/>
      <w:outlineLvl w:val="2"/>
    </w:pPr>
    <w:rPr>
      <w:b/>
      <w:lang w:val="es-ES"/>
    </w:rPr>
  </w:style>
  <w:style w:type="paragraph" w:styleId="Heading4">
    <w:name w:val="heading 4"/>
    <w:basedOn w:val="Normal"/>
    <w:next w:val="Normal"/>
    <w:qFormat/>
    <w:pPr>
      <w:keepNext/>
      <w:jc w:val="right"/>
      <w:outlineLvl w:val="3"/>
    </w:pPr>
    <w:rPr>
      <w:rFonts w:ascii="Arial Black" w:hAnsi="Arial Black"/>
      <w:b/>
      <w:bCs/>
      <w:sz w:val="20"/>
      <w:lang w:val="es-ES_tradnl"/>
    </w:rPr>
  </w:style>
  <w:style w:type="paragraph" w:styleId="Heading5">
    <w:name w:val="heading 5"/>
    <w:basedOn w:val="Normal"/>
    <w:next w:val="Normal"/>
    <w:qFormat/>
    <w:pPr>
      <w:keepNext/>
      <w:jc w:val="center"/>
      <w:outlineLvl w:val="4"/>
    </w:pPr>
    <w:rPr>
      <w:i/>
      <w:iCs/>
      <w:sz w:val="22"/>
      <w:lang w:val="es-ES"/>
    </w:rPr>
  </w:style>
  <w:style w:type="paragraph" w:styleId="Heading6">
    <w:name w:val="heading 6"/>
    <w:basedOn w:val="Normal"/>
    <w:next w:val="Normal"/>
    <w:qFormat/>
    <w:pPr>
      <w:keepNext/>
      <w:keepLines/>
      <w:outlineLvl w:val="5"/>
    </w:pPr>
    <w:rPr>
      <w:b/>
      <w:bCs/>
      <w:color w:val="000000"/>
      <w:sz w:val="20"/>
      <w:lang w:val="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semiHidden/>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Lucida Grande" w:hAnsi="Lucida Grande"/>
      <w:sz w:val="18"/>
      <w:szCs w:val="18"/>
    </w:rPr>
  </w:style>
  <w:style w:type="paragraph" w:styleId="FootnoteText">
    <w:name w:val="footnote text"/>
    <w:aliases w:val="fn,texto de nota al pie,Texto nota pie Car Car Car Car Car Car Car Car,Texto nota pie Car Car Car,Footnote Text Char Char Char Char Char Char,Texto nota pie Car Car Car Car Car,Texto nota pie Car1,Texto nota pie Car Car,F,f,ft,FOOTNOTES"/>
    <w:basedOn w:val="Normal"/>
    <w:link w:val="FootnoteTextChar"/>
    <w:qFormat/>
    <w:rPr>
      <w:sz w:val="20"/>
    </w:rPr>
  </w:style>
  <w:style w:type="character" w:styleId="FootnoteReference">
    <w:name w:val="footnote reference"/>
    <w:aliases w:val="referencia nota al pie,Fußnotenzeichen DISS,16 Point,Superscript 6 Point,ftref,FC,Style 24,titulo 2,pie pddes,Ref,de nota al pie,Ref. de nota al pie.,Ref. de nota al pie EDEP,Footnote Reference Number,Footnote Reference_LVL6,fr,SUPERS"/>
    <w:link w:val="Char2"/>
    <w:qFormat/>
    <w:rPr>
      <w:vertAlign w:val="superscript"/>
    </w:r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Emphasis">
    <w:name w:val="Emphasis"/>
    <w:qFormat/>
    <w:rPr>
      <w:i/>
      <w:iCs/>
    </w:rPr>
  </w:style>
  <w:style w:type="paragraph" w:styleId="BodyText">
    <w:name w:val="Body Text"/>
    <w:basedOn w:val="Normal"/>
    <w:rPr>
      <w:sz w:val="20"/>
      <w:lang w:val="es-ES_tradnl"/>
    </w:rPr>
  </w:style>
  <w:style w:type="paragraph" w:styleId="NormalWeb">
    <w:name w:val="Normal (Web)"/>
    <w:basedOn w:val="Normal"/>
    <w:uiPriority w:val="99"/>
    <w:pPr>
      <w:spacing w:before="100" w:beforeAutospacing="1" w:after="100" w:afterAutospacing="1"/>
    </w:pPr>
    <w:rPr>
      <w:color w:val="000000"/>
      <w:szCs w:val="24"/>
    </w:rPr>
  </w:style>
  <w:style w:type="paragraph" w:styleId="BodyText2">
    <w:name w:val="Body Text 2"/>
    <w:basedOn w:val="Normal"/>
    <w:rPr>
      <w:i/>
      <w:iCs/>
      <w:sz w:val="20"/>
      <w:lang w:val="es-ES_tradnl"/>
    </w:rPr>
  </w:style>
  <w:style w:type="paragraph" w:styleId="BodyText3">
    <w:name w:val="Body Text 3"/>
    <w:basedOn w:val="Normal"/>
    <w:pPr>
      <w:keepNext/>
      <w:keepLines/>
      <w:jc w:val="both"/>
    </w:pPr>
    <w:rPr>
      <w:sz w:val="20"/>
      <w:lang w:val="es-ES"/>
    </w:rPr>
  </w:style>
  <w:style w:type="character" w:customStyle="1" w:styleId="BodyTextChar">
    <w:name w:val="Body Text Char"/>
    <w:rPr>
      <w:sz w:val="28"/>
      <w:lang w:val="es-ES_tradnl" w:eastAsia="en-US" w:bidi="ar-SA"/>
    </w:rPr>
  </w:style>
  <w:style w:type="paragraph" w:styleId="BodyTextIndent">
    <w:name w:val="Body Text Indent"/>
    <w:basedOn w:val="Normal"/>
    <w:pPr>
      <w:ind w:left="360"/>
    </w:pPr>
    <w:rPr>
      <w:i/>
      <w:iCs/>
      <w:lang w:val="es-ES_tradnl"/>
    </w:rPr>
  </w:style>
  <w:style w:type="paragraph" w:customStyle="1" w:styleId="Textodeglobo1">
    <w:name w:val="Texto de globo1"/>
    <w:basedOn w:val="Normal"/>
    <w:semiHidden/>
    <w:rPr>
      <w:rFonts w:ascii="Tahoma" w:hAnsi="Tahoma" w:cs="Tahoma"/>
      <w:sz w:val="16"/>
      <w:szCs w:val="16"/>
    </w:rPr>
  </w:style>
  <w:style w:type="character" w:styleId="CommentReference">
    <w:name w:val="annotation reference"/>
    <w:uiPriority w:val="99"/>
    <w:rPr>
      <w:sz w:val="16"/>
      <w:szCs w:val="16"/>
    </w:rPr>
  </w:style>
  <w:style w:type="paragraph" w:styleId="CommentText">
    <w:name w:val="annotation text"/>
    <w:basedOn w:val="Normal"/>
    <w:link w:val="CommentTextChar"/>
    <w:uiPriority w:val="99"/>
    <w:rPr>
      <w:sz w:val="20"/>
    </w:rPr>
  </w:style>
  <w:style w:type="paragraph" w:customStyle="1" w:styleId="Asuntodelcomentario1">
    <w:name w:val="Asunto del comentario1"/>
    <w:basedOn w:val="CommentText"/>
    <w:next w:val="CommentText"/>
    <w:semiHidden/>
    <w:rPr>
      <w:b/>
      <w:bCs/>
    </w:rPr>
  </w:style>
  <w:style w:type="paragraph" w:styleId="Header">
    <w:name w:val="header"/>
    <w:basedOn w:val="Normal"/>
    <w:pPr>
      <w:tabs>
        <w:tab w:val="center" w:pos="4320"/>
        <w:tab w:val="right" w:pos="8640"/>
      </w:tabs>
    </w:pPr>
  </w:style>
  <w:style w:type="paragraph" w:styleId="Title">
    <w:name w:val="Title"/>
    <w:basedOn w:val="Normal"/>
    <w:qFormat/>
    <w:pPr>
      <w:jc w:val="center"/>
    </w:pPr>
    <w:rPr>
      <w:b/>
      <w:lang w:val="es-ES"/>
    </w:rPr>
  </w:style>
  <w:style w:type="paragraph" w:styleId="EndnoteText">
    <w:name w:val="endnote text"/>
    <w:basedOn w:val="Normal"/>
    <w:semiHidden/>
    <w:rPr>
      <w:sz w:val="20"/>
    </w:rPr>
  </w:style>
  <w:style w:type="character" w:styleId="EndnoteReference">
    <w:name w:val="endnote reference"/>
    <w:semiHidden/>
    <w:rPr>
      <w:vertAlign w:val="superscript"/>
    </w:r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Pr>
      <w:color w:val="0000FF"/>
      <w:u w:val="single"/>
    </w:rPr>
  </w:style>
  <w:style w:type="paragraph" w:styleId="CommentSubject">
    <w:name w:val="annotation subject"/>
    <w:basedOn w:val="CommentText"/>
    <w:next w:val="CommentText"/>
    <w:semiHidden/>
    <w:rPr>
      <w:b/>
      <w:bCs/>
    </w:rPr>
  </w:style>
  <w:style w:type="character" w:customStyle="1" w:styleId="apple-converted-space">
    <w:name w:val="apple-converted-space"/>
    <w:basedOn w:val="DefaultParagraphFont"/>
  </w:style>
  <w:style w:type="character" w:customStyle="1" w:styleId="CommentTextChar">
    <w:name w:val="Comment Text Char"/>
    <w:basedOn w:val="DefaultParagraphFont"/>
    <w:link w:val="CommentText"/>
    <w:uiPriority w:val="99"/>
  </w:style>
  <w:style w:type="character" w:customStyle="1" w:styleId="FootnoteTextChar">
    <w:name w:val="Footnote Text Char"/>
    <w:aliases w:val="fn Char,texto de nota al pie Char,Texto nota pie Car Car Car Car Car Car Car Car Char,Texto nota pie Car Car Car Char,Footnote Text Char Char Char Char Char Char Char,Texto nota pie Car Car Car Car Car Char,Texto nota pie Car1 Char"/>
    <w:basedOn w:val="DefaultParagraphFont"/>
    <w:link w:val="FootnoteText"/>
  </w:style>
  <w:style w:type="paragraph" w:customStyle="1" w:styleId="Char2">
    <w:name w:val="Char2"/>
    <w:basedOn w:val="Normal"/>
    <w:link w:val="FootnoteReference"/>
    <w:uiPriority w:val="99"/>
    <w:pPr>
      <w:spacing w:after="160" w:line="240" w:lineRule="exact"/>
    </w:pPr>
    <w:rPr>
      <w:sz w:val="20"/>
      <w:vertAlign w:val="superscript"/>
    </w:rPr>
  </w:style>
  <w:style w:type="paragraph" w:styleId="ListParagraph">
    <w:name w:val="List Paragraph"/>
    <w:basedOn w:val="Normal"/>
    <w:link w:val="ListParagraphChar"/>
    <w:uiPriority w:val="34"/>
    <w:qFormat/>
    <w:pPr>
      <w:spacing w:after="200" w:line="276" w:lineRule="auto"/>
      <w:ind w:left="720"/>
      <w:contextualSpacing/>
    </w:pPr>
    <w:rPr>
      <w:rFonts w:ascii="Gotham Book" w:eastAsiaTheme="minorHAnsi" w:hAnsi="Gotham Book"/>
      <w:sz w:val="20"/>
    </w:rPr>
  </w:style>
  <w:style w:type="character" w:customStyle="1" w:styleId="ListParagraphChar">
    <w:name w:val="List Paragraph Char"/>
    <w:link w:val="ListParagraph"/>
    <w:uiPriority w:val="34"/>
    <w:locked/>
    <w:rPr>
      <w:rFonts w:ascii="Gotham Book" w:eastAsiaTheme="minorHAnsi" w:hAnsi="Gotham Book"/>
    </w:rPr>
  </w:style>
  <w:style w:type="character" w:customStyle="1" w:styleId="UnresolvedMention1">
    <w:name w:val="Unresolved Mention1"/>
    <w:basedOn w:val="DefaultParagraphFont"/>
    <w:uiPriority w:val="99"/>
    <w:semiHidden/>
    <w:unhideWhenUsed/>
    <w:rPr>
      <w:color w:val="808080"/>
      <w:shd w:val="clear" w:color="auto" w:fill="E6E6E6"/>
    </w:rPr>
  </w:style>
  <w:style w:type="character" w:customStyle="1" w:styleId="UnresolvedMention2">
    <w:name w:val="Unresolved Mention2"/>
    <w:basedOn w:val="DefaultParagraphFont"/>
    <w:uiPriority w:val="99"/>
    <w:semiHidden/>
    <w:unhideWhenUsed/>
    <w:rPr>
      <w:color w:val="808080"/>
      <w:shd w:val="clear" w:color="auto" w:fill="E6E6E6"/>
    </w:rPr>
  </w:style>
  <w:style w:type="character" w:styleId="UnresolvedMention">
    <w:name w:val="Unresolved Mention"/>
    <w:basedOn w:val="DefaultParagraphFont"/>
    <w:uiPriority w:val="99"/>
    <w:semiHidden/>
    <w:unhideWhenUsed/>
    <w:rPr>
      <w:color w:val="808080"/>
      <w:shd w:val="clear" w:color="auto" w:fill="E6E6E6"/>
    </w:rPr>
  </w:style>
  <w:style w:type="character" w:styleId="FollowedHyperlink">
    <w:name w:val="FollowedHyperlink"/>
    <w:basedOn w:val="DefaultParagraphFont"/>
    <w:semiHidden/>
    <w:unhideWhenUsed/>
    <w:rPr>
      <w:color w:val="800080" w:themeColor="followedHyperlink"/>
      <w:u w:val="single"/>
    </w:rPr>
  </w:style>
  <w:style w:type="paragraph" w:styleId="Revision">
    <w:name w:val="Revision"/>
    <w:hidden/>
    <w:uiPriority w:val="99"/>
    <w:semiHidden/>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3733422">
      <w:bodyDiv w:val="1"/>
      <w:marLeft w:val="0"/>
      <w:marRight w:val="0"/>
      <w:marTop w:val="0"/>
      <w:marBottom w:val="0"/>
      <w:divBdr>
        <w:top w:val="none" w:sz="0" w:space="0" w:color="auto"/>
        <w:left w:val="none" w:sz="0" w:space="0" w:color="auto"/>
        <w:bottom w:val="none" w:sz="0" w:space="0" w:color="auto"/>
        <w:right w:val="none" w:sz="0" w:space="0" w:color="auto"/>
      </w:divBdr>
    </w:div>
    <w:div w:id="547298989">
      <w:bodyDiv w:val="1"/>
      <w:marLeft w:val="0"/>
      <w:marRight w:val="0"/>
      <w:marTop w:val="0"/>
      <w:marBottom w:val="0"/>
      <w:divBdr>
        <w:top w:val="none" w:sz="0" w:space="0" w:color="auto"/>
        <w:left w:val="none" w:sz="0" w:space="0" w:color="auto"/>
        <w:bottom w:val="none" w:sz="0" w:space="0" w:color="auto"/>
        <w:right w:val="none" w:sz="0" w:space="0" w:color="auto"/>
      </w:divBdr>
      <w:divsChild>
        <w:div w:id="852690632">
          <w:marLeft w:val="0"/>
          <w:marRight w:val="0"/>
          <w:marTop w:val="0"/>
          <w:marBottom w:val="0"/>
          <w:divBdr>
            <w:top w:val="none" w:sz="0" w:space="0" w:color="auto"/>
            <w:left w:val="none" w:sz="0" w:space="0" w:color="auto"/>
            <w:bottom w:val="none" w:sz="0" w:space="0" w:color="auto"/>
            <w:right w:val="none" w:sz="0" w:space="0" w:color="auto"/>
          </w:divBdr>
          <w:divsChild>
            <w:div w:id="1004473333">
              <w:marLeft w:val="0"/>
              <w:marRight w:val="0"/>
              <w:marTop w:val="0"/>
              <w:marBottom w:val="0"/>
              <w:divBdr>
                <w:top w:val="none" w:sz="0" w:space="0" w:color="auto"/>
                <w:left w:val="none" w:sz="0" w:space="0" w:color="auto"/>
                <w:bottom w:val="none" w:sz="0" w:space="0" w:color="auto"/>
                <w:right w:val="none" w:sz="0" w:space="0" w:color="auto"/>
              </w:divBdr>
              <w:divsChild>
                <w:div w:id="1039433702">
                  <w:marLeft w:val="0"/>
                  <w:marRight w:val="0"/>
                  <w:marTop w:val="0"/>
                  <w:marBottom w:val="0"/>
                  <w:divBdr>
                    <w:top w:val="none" w:sz="0" w:space="0" w:color="auto"/>
                    <w:left w:val="none" w:sz="0" w:space="0" w:color="auto"/>
                    <w:bottom w:val="none" w:sz="0" w:space="0" w:color="auto"/>
                    <w:right w:val="none" w:sz="0" w:space="0" w:color="auto"/>
                  </w:divBdr>
                  <w:divsChild>
                    <w:div w:id="228267154">
                      <w:marLeft w:val="0"/>
                      <w:marRight w:val="0"/>
                      <w:marTop w:val="0"/>
                      <w:marBottom w:val="0"/>
                      <w:divBdr>
                        <w:top w:val="none" w:sz="0" w:space="0" w:color="auto"/>
                        <w:left w:val="none" w:sz="0" w:space="0" w:color="auto"/>
                        <w:bottom w:val="none" w:sz="0" w:space="0" w:color="auto"/>
                        <w:right w:val="none" w:sz="0" w:space="0" w:color="auto"/>
                      </w:divBdr>
                      <w:divsChild>
                        <w:div w:id="663243918">
                          <w:marLeft w:val="0"/>
                          <w:marRight w:val="0"/>
                          <w:marTop w:val="0"/>
                          <w:marBottom w:val="0"/>
                          <w:divBdr>
                            <w:top w:val="none" w:sz="0" w:space="0" w:color="auto"/>
                            <w:left w:val="none" w:sz="0" w:space="0" w:color="auto"/>
                            <w:bottom w:val="none" w:sz="0" w:space="0" w:color="auto"/>
                            <w:right w:val="none" w:sz="0" w:space="0" w:color="auto"/>
                          </w:divBdr>
                          <w:divsChild>
                            <w:div w:id="195583063">
                              <w:marLeft w:val="0"/>
                              <w:marRight w:val="0"/>
                              <w:marTop w:val="0"/>
                              <w:marBottom w:val="0"/>
                              <w:divBdr>
                                <w:top w:val="none" w:sz="0" w:space="0" w:color="auto"/>
                                <w:left w:val="none" w:sz="0" w:space="0" w:color="auto"/>
                                <w:bottom w:val="none" w:sz="0" w:space="0" w:color="auto"/>
                                <w:right w:val="none" w:sz="0" w:space="0" w:color="auto"/>
                              </w:divBdr>
                              <w:divsChild>
                                <w:div w:id="344139769">
                                  <w:marLeft w:val="0"/>
                                  <w:marRight w:val="0"/>
                                  <w:marTop w:val="0"/>
                                  <w:marBottom w:val="0"/>
                                  <w:divBdr>
                                    <w:top w:val="none" w:sz="0" w:space="0" w:color="auto"/>
                                    <w:left w:val="none" w:sz="0" w:space="0" w:color="auto"/>
                                    <w:bottom w:val="none" w:sz="0" w:space="0" w:color="auto"/>
                                    <w:right w:val="none" w:sz="0" w:space="0" w:color="auto"/>
                                  </w:divBdr>
                                  <w:divsChild>
                                    <w:div w:id="1388839973">
                                      <w:marLeft w:val="0"/>
                                      <w:marRight w:val="0"/>
                                      <w:marTop w:val="0"/>
                                      <w:marBottom w:val="0"/>
                                      <w:divBdr>
                                        <w:top w:val="none" w:sz="0" w:space="0" w:color="auto"/>
                                        <w:left w:val="none" w:sz="0" w:space="0" w:color="auto"/>
                                        <w:bottom w:val="none" w:sz="0" w:space="0" w:color="auto"/>
                                        <w:right w:val="none" w:sz="0" w:space="0" w:color="auto"/>
                                      </w:divBdr>
                                      <w:divsChild>
                                        <w:div w:id="683941609">
                                          <w:marLeft w:val="0"/>
                                          <w:marRight w:val="0"/>
                                          <w:marTop w:val="0"/>
                                          <w:marBottom w:val="0"/>
                                          <w:divBdr>
                                            <w:top w:val="none" w:sz="0" w:space="0" w:color="auto"/>
                                            <w:left w:val="none" w:sz="0" w:space="0" w:color="auto"/>
                                            <w:bottom w:val="none" w:sz="0" w:space="0" w:color="auto"/>
                                            <w:right w:val="none" w:sz="0" w:space="0" w:color="auto"/>
                                          </w:divBdr>
                                          <w:divsChild>
                                            <w:div w:id="546111742">
                                              <w:marLeft w:val="0"/>
                                              <w:marRight w:val="0"/>
                                              <w:marTop w:val="0"/>
                                              <w:marBottom w:val="0"/>
                                              <w:divBdr>
                                                <w:top w:val="none" w:sz="0" w:space="0" w:color="auto"/>
                                                <w:left w:val="none" w:sz="0" w:space="0" w:color="auto"/>
                                                <w:bottom w:val="none" w:sz="0" w:space="0" w:color="auto"/>
                                                <w:right w:val="none" w:sz="0" w:space="0" w:color="auto"/>
                                              </w:divBdr>
                                              <w:divsChild>
                                                <w:div w:id="103351968">
                                                  <w:marLeft w:val="0"/>
                                                  <w:marRight w:val="0"/>
                                                  <w:marTop w:val="0"/>
                                                  <w:marBottom w:val="0"/>
                                                  <w:divBdr>
                                                    <w:top w:val="none" w:sz="0" w:space="0" w:color="auto"/>
                                                    <w:left w:val="none" w:sz="0" w:space="0" w:color="auto"/>
                                                    <w:bottom w:val="none" w:sz="0" w:space="0" w:color="auto"/>
                                                    <w:right w:val="none" w:sz="0" w:space="0" w:color="auto"/>
                                                  </w:divBdr>
                                                  <w:divsChild>
                                                    <w:div w:id="1194657773">
                                                      <w:marLeft w:val="0"/>
                                                      <w:marRight w:val="0"/>
                                                      <w:marTop w:val="0"/>
                                                      <w:marBottom w:val="0"/>
                                                      <w:divBdr>
                                                        <w:top w:val="none" w:sz="0" w:space="0" w:color="auto"/>
                                                        <w:left w:val="none" w:sz="0" w:space="0" w:color="auto"/>
                                                        <w:bottom w:val="none" w:sz="0" w:space="0" w:color="auto"/>
                                                        <w:right w:val="none" w:sz="0" w:space="0" w:color="auto"/>
                                                      </w:divBdr>
                                                      <w:divsChild>
                                                        <w:div w:id="781730175">
                                                          <w:marLeft w:val="0"/>
                                                          <w:marRight w:val="0"/>
                                                          <w:marTop w:val="0"/>
                                                          <w:marBottom w:val="0"/>
                                                          <w:divBdr>
                                                            <w:top w:val="none" w:sz="0" w:space="0" w:color="auto"/>
                                                            <w:left w:val="none" w:sz="0" w:space="0" w:color="auto"/>
                                                            <w:bottom w:val="none" w:sz="0" w:space="0" w:color="auto"/>
                                                            <w:right w:val="none" w:sz="0" w:space="0" w:color="auto"/>
                                                          </w:divBdr>
                                                          <w:divsChild>
                                                            <w:div w:id="1236742155">
                                                              <w:marLeft w:val="0"/>
                                                              <w:marRight w:val="0"/>
                                                              <w:marTop w:val="0"/>
                                                              <w:marBottom w:val="0"/>
                                                              <w:divBdr>
                                                                <w:top w:val="none" w:sz="0" w:space="0" w:color="auto"/>
                                                                <w:left w:val="none" w:sz="0" w:space="0" w:color="auto"/>
                                                                <w:bottom w:val="none" w:sz="0" w:space="0" w:color="auto"/>
                                                                <w:right w:val="none" w:sz="0" w:space="0" w:color="auto"/>
                                                              </w:divBdr>
                                                              <w:divsChild>
                                                                <w:div w:id="1098601590">
                                                                  <w:marLeft w:val="0"/>
                                                                  <w:marRight w:val="0"/>
                                                                  <w:marTop w:val="0"/>
                                                                  <w:marBottom w:val="0"/>
                                                                  <w:divBdr>
                                                                    <w:top w:val="none" w:sz="0" w:space="0" w:color="auto"/>
                                                                    <w:left w:val="none" w:sz="0" w:space="0" w:color="auto"/>
                                                                    <w:bottom w:val="none" w:sz="0" w:space="0" w:color="auto"/>
                                                                    <w:right w:val="none" w:sz="0" w:space="0" w:color="auto"/>
                                                                  </w:divBdr>
                                                                  <w:divsChild>
                                                                    <w:div w:id="1972591394">
                                                                      <w:marLeft w:val="0"/>
                                                                      <w:marRight w:val="0"/>
                                                                      <w:marTop w:val="0"/>
                                                                      <w:marBottom w:val="0"/>
                                                                      <w:divBdr>
                                                                        <w:top w:val="none" w:sz="0" w:space="0" w:color="auto"/>
                                                                        <w:left w:val="none" w:sz="0" w:space="0" w:color="auto"/>
                                                                        <w:bottom w:val="none" w:sz="0" w:space="0" w:color="auto"/>
                                                                        <w:right w:val="none" w:sz="0" w:space="0" w:color="auto"/>
                                                                      </w:divBdr>
                                                                      <w:divsChild>
                                                                        <w:div w:id="283778136">
                                                                          <w:marLeft w:val="0"/>
                                                                          <w:marRight w:val="0"/>
                                                                          <w:marTop w:val="0"/>
                                                                          <w:marBottom w:val="0"/>
                                                                          <w:divBdr>
                                                                            <w:top w:val="none" w:sz="0" w:space="0" w:color="auto"/>
                                                                            <w:left w:val="none" w:sz="0" w:space="0" w:color="auto"/>
                                                                            <w:bottom w:val="none" w:sz="0" w:space="0" w:color="auto"/>
                                                                            <w:right w:val="none" w:sz="0" w:space="0" w:color="auto"/>
                                                                          </w:divBdr>
                                                                          <w:divsChild>
                                                                            <w:div w:id="273951247">
                                                                              <w:marLeft w:val="0"/>
                                                                              <w:marRight w:val="0"/>
                                                                              <w:marTop w:val="0"/>
                                                                              <w:marBottom w:val="0"/>
                                                                              <w:divBdr>
                                                                                <w:top w:val="none" w:sz="0" w:space="0" w:color="auto"/>
                                                                                <w:left w:val="none" w:sz="0" w:space="0" w:color="auto"/>
                                                                                <w:bottom w:val="none" w:sz="0" w:space="0" w:color="auto"/>
                                                                                <w:right w:val="none" w:sz="0" w:space="0" w:color="auto"/>
                                                                              </w:divBdr>
                                                                              <w:divsChild>
                                                                                <w:div w:id="2080245344">
                                                                                  <w:marLeft w:val="0"/>
                                                                                  <w:marRight w:val="0"/>
                                                                                  <w:marTop w:val="0"/>
                                                                                  <w:marBottom w:val="120"/>
                                                                                  <w:divBdr>
                                                                                    <w:top w:val="none" w:sz="0" w:space="0" w:color="auto"/>
                                                                                    <w:left w:val="none" w:sz="0" w:space="0" w:color="auto"/>
                                                                                    <w:bottom w:val="none" w:sz="0" w:space="0" w:color="auto"/>
                                                                                    <w:right w:val="none" w:sz="0" w:space="0" w:color="auto"/>
                                                                                  </w:divBdr>
                                                                                  <w:divsChild>
                                                                                    <w:div w:id="1378623537">
                                                                                      <w:marLeft w:val="0"/>
                                                                                      <w:marRight w:val="0"/>
                                                                                      <w:marTop w:val="0"/>
                                                                                      <w:marBottom w:val="0"/>
                                                                                      <w:divBdr>
                                                                                        <w:top w:val="none" w:sz="0" w:space="0" w:color="auto"/>
                                                                                        <w:left w:val="none" w:sz="0" w:space="0" w:color="auto"/>
                                                                                        <w:bottom w:val="none" w:sz="0" w:space="0" w:color="auto"/>
                                                                                        <w:right w:val="none" w:sz="0" w:space="0" w:color="auto"/>
                                                                                      </w:divBdr>
                                                                                      <w:divsChild>
                                                                                        <w:div w:id="1491479283">
                                                                                          <w:marLeft w:val="0"/>
                                                                                          <w:marRight w:val="0"/>
                                                                                          <w:marTop w:val="0"/>
                                                                                          <w:marBottom w:val="0"/>
                                                                                          <w:divBdr>
                                                                                            <w:top w:val="none" w:sz="0" w:space="0" w:color="auto"/>
                                                                                            <w:left w:val="none" w:sz="0" w:space="0" w:color="auto"/>
                                                                                            <w:bottom w:val="none" w:sz="0" w:space="0" w:color="auto"/>
                                                                                            <w:right w:val="none" w:sz="0" w:space="0" w:color="auto"/>
                                                                                          </w:divBdr>
                                                                                        </w:div>
                                                                                        <w:div w:id="1024404753">
                                                                                          <w:marLeft w:val="0"/>
                                                                                          <w:marRight w:val="0"/>
                                                                                          <w:marTop w:val="0"/>
                                                                                          <w:marBottom w:val="0"/>
                                                                                          <w:divBdr>
                                                                                            <w:top w:val="none" w:sz="0" w:space="0" w:color="auto"/>
                                                                                            <w:left w:val="none" w:sz="0" w:space="0" w:color="auto"/>
                                                                                            <w:bottom w:val="none" w:sz="0" w:space="0" w:color="auto"/>
                                                                                            <w:right w:val="none" w:sz="0" w:space="0" w:color="auto"/>
                                                                                          </w:divBdr>
                                                                                        </w:div>
                                                                                        <w:div w:id="170728440">
                                                                                          <w:marLeft w:val="0"/>
                                                                                          <w:marRight w:val="0"/>
                                                                                          <w:marTop w:val="0"/>
                                                                                          <w:marBottom w:val="0"/>
                                                                                          <w:divBdr>
                                                                                            <w:top w:val="none" w:sz="0" w:space="0" w:color="auto"/>
                                                                                            <w:left w:val="none" w:sz="0" w:space="0" w:color="auto"/>
                                                                                            <w:bottom w:val="none" w:sz="0" w:space="0" w:color="auto"/>
                                                                                            <w:right w:val="none" w:sz="0" w:space="0" w:color="auto"/>
                                                                                          </w:divBdr>
                                                                                        </w:div>
                                                                                        <w:div w:id="120732441">
                                                                                          <w:marLeft w:val="0"/>
                                                                                          <w:marRight w:val="0"/>
                                                                                          <w:marTop w:val="0"/>
                                                                                          <w:marBottom w:val="0"/>
                                                                                          <w:divBdr>
                                                                                            <w:top w:val="none" w:sz="0" w:space="0" w:color="auto"/>
                                                                                            <w:left w:val="none" w:sz="0" w:space="0" w:color="auto"/>
                                                                                            <w:bottom w:val="none" w:sz="0" w:space="0" w:color="auto"/>
                                                                                            <w:right w:val="none" w:sz="0" w:space="0" w:color="auto"/>
                                                                                          </w:divBdr>
                                                                                        </w:div>
                                                                                        <w:div w:id="990672801">
                                                                                          <w:marLeft w:val="0"/>
                                                                                          <w:marRight w:val="0"/>
                                                                                          <w:marTop w:val="0"/>
                                                                                          <w:marBottom w:val="0"/>
                                                                                          <w:divBdr>
                                                                                            <w:top w:val="none" w:sz="0" w:space="0" w:color="auto"/>
                                                                                            <w:left w:val="none" w:sz="0" w:space="0" w:color="auto"/>
                                                                                            <w:bottom w:val="none" w:sz="0" w:space="0" w:color="auto"/>
                                                                                            <w:right w:val="none" w:sz="0" w:space="0" w:color="auto"/>
                                                                                          </w:divBdr>
                                                                                        </w:div>
                                                                                        <w:div w:id="2106074638">
                                                                                          <w:marLeft w:val="0"/>
                                                                                          <w:marRight w:val="0"/>
                                                                                          <w:marTop w:val="0"/>
                                                                                          <w:marBottom w:val="0"/>
                                                                                          <w:divBdr>
                                                                                            <w:top w:val="none" w:sz="0" w:space="0" w:color="auto"/>
                                                                                            <w:left w:val="none" w:sz="0" w:space="0" w:color="auto"/>
                                                                                            <w:bottom w:val="none" w:sz="0" w:space="0" w:color="auto"/>
                                                                                            <w:right w:val="none" w:sz="0" w:space="0" w:color="auto"/>
                                                                                          </w:divBdr>
                                                                                        </w:div>
                                                                                        <w:div w:id="67968577">
                                                                                          <w:marLeft w:val="0"/>
                                                                                          <w:marRight w:val="0"/>
                                                                                          <w:marTop w:val="0"/>
                                                                                          <w:marBottom w:val="0"/>
                                                                                          <w:divBdr>
                                                                                            <w:top w:val="none" w:sz="0" w:space="0" w:color="auto"/>
                                                                                            <w:left w:val="none" w:sz="0" w:space="0" w:color="auto"/>
                                                                                            <w:bottom w:val="none" w:sz="0" w:space="0" w:color="auto"/>
                                                                                            <w:right w:val="none" w:sz="0" w:space="0" w:color="auto"/>
                                                                                          </w:divBdr>
                                                                                        </w:div>
                                                                                        <w:div w:id="1111633048">
                                                                                          <w:marLeft w:val="0"/>
                                                                                          <w:marRight w:val="0"/>
                                                                                          <w:marTop w:val="0"/>
                                                                                          <w:marBottom w:val="0"/>
                                                                                          <w:divBdr>
                                                                                            <w:top w:val="none" w:sz="0" w:space="0" w:color="auto"/>
                                                                                            <w:left w:val="none" w:sz="0" w:space="0" w:color="auto"/>
                                                                                            <w:bottom w:val="none" w:sz="0" w:space="0" w:color="auto"/>
                                                                                            <w:right w:val="none" w:sz="0" w:space="0" w:color="auto"/>
                                                                                          </w:divBdr>
                                                                                        </w:div>
                                                                                        <w:div w:id="1341588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75089833">
      <w:bodyDiv w:val="1"/>
      <w:marLeft w:val="0"/>
      <w:marRight w:val="0"/>
      <w:marTop w:val="0"/>
      <w:marBottom w:val="0"/>
      <w:divBdr>
        <w:top w:val="none" w:sz="0" w:space="0" w:color="auto"/>
        <w:left w:val="none" w:sz="0" w:space="0" w:color="auto"/>
        <w:bottom w:val="none" w:sz="0" w:space="0" w:color="auto"/>
        <w:right w:val="none" w:sz="0" w:space="0" w:color="auto"/>
      </w:divBdr>
    </w:div>
    <w:div w:id="823816158">
      <w:bodyDiv w:val="1"/>
      <w:marLeft w:val="0"/>
      <w:marRight w:val="0"/>
      <w:marTop w:val="0"/>
      <w:marBottom w:val="0"/>
      <w:divBdr>
        <w:top w:val="none" w:sz="0" w:space="0" w:color="auto"/>
        <w:left w:val="none" w:sz="0" w:space="0" w:color="auto"/>
        <w:bottom w:val="none" w:sz="0" w:space="0" w:color="auto"/>
        <w:right w:val="none" w:sz="0" w:space="0" w:color="auto"/>
      </w:divBdr>
    </w:div>
    <w:div w:id="852451234">
      <w:bodyDiv w:val="1"/>
      <w:marLeft w:val="0"/>
      <w:marRight w:val="0"/>
      <w:marTop w:val="0"/>
      <w:marBottom w:val="0"/>
      <w:divBdr>
        <w:top w:val="none" w:sz="0" w:space="0" w:color="auto"/>
        <w:left w:val="none" w:sz="0" w:space="0" w:color="auto"/>
        <w:bottom w:val="none" w:sz="0" w:space="0" w:color="auto"/>
        <w:right w:val="none" w:sz="0" w:space="0" w:color="auto"/>
      </w:divBdr>
    </w:div>
    <w:div w:id="855730203">
      <w:bodyDiv w:val="1"/>
      <w:marLeft w:val="0"/>
      <w:marRight w:val="0"/>
      <w:marTop w:val="0"/>
      <w:marBottom w:val="0"/>
      <w:divBdr>
        <w:top w:val="none" w:sz="0" w:space="0" w:color="auto"/>
        <w:left w:val="none" w:sz="0" w:space="0" w:color="auto"/>
        <w:bottom w:val="none" w:sz="0" w:space="0" w:color="auto"/>
        <w:right w:val="none" w:sz="0" w:space="0" w:color="auto"/>
      </w:divBdr>
    </w:div>
    <w:div w:id="1420980548">
      <w:bodyDiv w:val="1"/>
      <w:marLeft w:val="0"/>
      <w:marRight w:val="0"/>
      <w:marTop w:val="0"/>
      <w:marBottom w:val="0"/>
      <w:divBdr>
        <w:top w:val="none" w:sz="0" w:space="0" w:color="auto"/>
        <w:left w:val="none" w:sz="0" w:space="0" w:color="auto"/>
        <w:bottom w:val="none" w:sz="0" w:space="0" w:color="auto"/>
        <w:right w:val="none" w:sz="0" w:space="0" w:color="auto"/>
      </w:divBdr>
    </w:div>
    <w:div w:id="1570070473">
      <w:bodyDiv w:val="1"/>
      <w:marLeft w:val="0"/>
      <w:marRight w:val="0"/>
      <w:marTop w:val="0"/>
      <w:marBottom w:val="0"/>
      <w:divBdr>
        <w:top w:val="none" w:sz="0" w:space="0" w:color="auto"/>
        <w:left w:val="none" w:sz="0" w:space="0" w:color="auto"/>
        <w:bottom w:val="none" w:sz="0" w:space="0" w:color="auto"/>
        <w:right w:val="none" w:sz="0" w:space="0" w:color="auto"/>
      </w:divBdr>
    </w:div>
    <w:div w:id="1849634543">
      <w:bodyDiv w:val="1"/>
      <w:marLeft w:val="0"/>
      <w:marRight w:val="0"/>
      <w:marTop w:val="0"/>
      <w:marBottom w:val="0"/>
      <w:divBdr>
        <w:top w:val="none" w:sz="0" w:space="0" w:color="auto"/>
        <w:left w:val="none" w:sz="0" w:space="0" w:color="auto"/>
        <w:bottom w:val="none" w:sz="0" w:space="0" w:color="auto"/>
        <w:right w:val="none" w:sz="0" w:space="0" w:color="auto"/>
      </w:divBdr>
    </w:div>
    <w:div w:id="19084928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amara.gov.co/catastro-multiproposito" TargetMode="External"/><Relationship Id="rId13" Type="http://schemas.openxmlformats.org/officeDocument/2006/relationships/hyperlink" Target="https://colaboracion.dnp.gov.co/CDT/Sinergia/Documentos/Informe%20Final%20Linea%20Base%20FONDOS%20SGR.pdf" TargetMode="External"/><Relationship Id="rId18" Type="http://schemas.openxmlformats.org/officeDocument/2006/relationships/hyperlink" Target="http://repositorio.gestiondelriesgo.gov.co/handle/20.500.11762/20604" TargetMode="External"/><Relationship Id="rId3" Type="http://schemas.openxmlformats.org/officeDocument/2006/relationships/settings" Target="settings.xml"/><Relationship Id="rId21" Type="http://schemas.openxmlformats.org/officeDocument/2006/relationships/footer" Target="footer1.xml"/><Relationship Id="rId7" Type="http://schemas.openxmlformats.org/officeDocument/2006/relationships/hyperlink" Target="http://www.oecd.org/tax/transparency/exchange-of-information-on-request/ratings/" TargetMode="External"/><Relationship Id="rId12" Type="http://schemas.openxmlformats.org/officeDocument/2006/relationships/hyperlink" Target="https://www.sgr.gov.co/LinkClick.aspx?fileticket=dwMEVzsn4_4%3d&amp;tabid=362" TargetMode="External"/><Relationship Id="rId17" Type="http://schemas.openxmlformats.org/officeDocument/2006/relationships/hyperlink" Target="http://repositorio.gestiondelriesgo.gov.co/bitstream/handle/20.500.11762/20713/Articulacion_instrumentos_planificacion.pdf?sequence=9&amp;isAllowed=y" TargetMode="External"/><Relationship Id="rId2" Type="http://schemas.openxmlformats.org/officeDocument/2006/relationships/styles" Target="styles.xml"/><Relationship Id="rId16" Type="http://schemas.openxmlformats.org/officeDocument/2006/relationships/hyperlink" Target="https://www.colombiacompra.gov.co/tienda-virtual-del-estado-colombiano/acuerdos-marco" TargetMode="External"/><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sgr.gov.co/LinkClick.aspx?fileticket=dwMEVzsn4_4%3d&amp;tabid=362" TargetMode="External"/><Relationship Id="rId5" Type="http://schemas.openxmlformats.org/officeDocument/2006/relationships/footnotes" Target="footnotes.xml"/><Relationship Id="rId15" Type="http://schemas.openxmlformats.org/officeDocument/2006/relationships/hyperlink" Target="https://www.colombiacompra.gov.co/sites/cce_public/files/cce_documentos/20180131_informe_de_gestion_2017v2.pdf" TargetMode="External"/><Relationship Id="rId23" Type="http://schemas.openxmlformats.org/officeDocument/2006/relationships/theme" Target="theme/theme1.xml"/><Relationship Id="rId10" Type="http://schemas.openxmlformats.org/officeDocument/2006/relationships/hyperlink" Target="https://www.sgr.gov.co/LinkClick.aspx?fileticket=JKqVoX7Ozzs%3d&amp;tabid=294" TargetMode="External"/><Relationship Id="rId19" Type="http://schemas.openxmlformats.org/officeDocument/2006/relationships/hyperlink" Target="https://www.colombiacompra.gov.co/tienda-virtual-del-estado-colombiano/seguros/intermediarios-de-seguros" TargetMode="External"/><Relationship Id="rId4" Type="http://schemas.openxmlformats.org/officeDocument/2006/relationships/webSettings" Target="webSettings.xml"/><Relationship Id="rId9" Type="http://schemas.openxmlformats.org/officeDocument/2006/relationships/hyperlink" Target="https://proyectostipo.dnp.gov.co/images/Metodologia-estandarizacion-documento-final.pdf" TargetMode="External"/><Relationship Id="rId14" Type="http://schemas.openxmlformats.org/officeDocument/2006/relationships/hyperlink" Target="https://colaboracion.dnp.gov.co/CDT/Sinergia/Documentos/129_InformeFinal.pdf"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7</Pages>
  <Words>1930</Words>
  <Characters>10618</Characters>
  <Application>Microsoft Office Word</Application>
  <DocSecurity>0</DocSecurity>
  <Lines>88</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12523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2018-05-21T14:29:00Z</dcterms:created>
  <dcterms:modified xsi:type="dcterms:W3CDTF">2018-06-05T19:32:00Z</dcterms:modified>
</cp:coreProperties>
</file>