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tabs>
          <w:tab w:val="left" w:pos="2340"/>
          <w:tab w:val="left" w:pos="2880"/>
        </w:tabs>
        <w:spacing w:after="240"/>
        <w:jc w:val="center"/>
        <w:rPr>
          <w:rFonts w:ascii="Arial" w:hAnsi="Arial" w:cs="Arial"/>
          <w:b/>
          <w:smallCaps/>
          <w:sz w:val="22"/>
          <w:lang w:val="es-ES"/>
        </w:rPr>
      </w:pPr>
      <w:r>
        <w:rPr>
          <w:rFonts w:ascii="Arial" w:hAnsi="Arial" w:cs="Arial"/>
          <w:b/>
          <w:smallCaps/>
          <w:sz w:val="22"/>
          <w:lang w:val="es-ES"/>
        </w:rPr>
        <w:t>Matriz de Políticas Comparativa</w:t>
      </w:r>
    </w:p>
    <w:p>
      <w:pPr>
        <w:tabs>
          <w:tab w:val="left" w:pos="2340"/>
          <w:tab w:val="left" w:pos="2880"/>
        </w:tabs>
        <w:spacing w:after="240"/>
        <w:jc w:val="center"/>
        <w:rPr>
          <w:rFonts w:ascii="Arial" w:hAnsi="Arial" w:cs="Arial"/>
          <w:b/>
          <w:smallCaps/>
          <w:sz w:val="22"/>
          <w:lang w:val="es-ES"/>
        </w:rPr>
      </w:pPr>
      <w:r>
        <w:rPr>
          <w:rFonts w:ascii="Arial" w:hAnsi="Arial" w:cs="Arial"/>
          <w:b/>
          <w:smallCaps/>
          <w:sz w:val="22"/>
          <w:lang w:val="es-ES"/>
        </w:rPr>
        <w:t>Cambios en las condiciones acordadas para la segunda operación frente a las condiciones acordadas en la Propuesta de Préstamo de la primera operación</w:t>
      </w:r>
    </w:p>
    <w:tbl>
      <w:tblPr>
        <w:tblStyle w:val="TableGrid"/>
        <w:tblpPr w:leftFromText="180" w:rightFromText="180" w:vertAnchor="text" w:tblpY="1"/>
        <w:tblOverlap w:val="never"/>
        <w:tblW w:w="0" w:type="auto"/>
        <w:tblLook w:val="04A0" w:firstRow="1" w:lastRow="0" w:firstColumn="1" w:lastColumn="0" w:noHBand="0" w:noVBand="1"/>
      </w:tblPr>
      <w:tblGrid>
        <w:gridCol w:w="2078"/>
        <w:gridCol w:w="3368"/>
        <w:gridCol w:w="3369"/>
        <w:gridCol w:w="3415"/>
      </w:tblGrid>
      <w:tr>
        <w:trPr>
          <w:trHeight w:val="20"/>
          <w:tblHeader/>
        </w:trPr>
        <w:tc>
          <w:tcPr>
            <w:tcW w:w="0" w:type="auto"/>
            <w:shd w:val="clear" w:color="auto" w:fill="D9D9D9" w:themeFill="background1" w:themeFillShade="D9"/>
            <w:vAlign w:val="center"/>
          </w:tcPr>
          <w:p>
            <w:pPr>
              <w:spacing w:before="40" w:after="40"/>
              <w:jc w:val="center"/>
              <w:rPr>
                <w:rFonts w:ascii="Arial" w:hAnsi="Arial" w:cs="Arial"/>
                <w:b/>
                <w:sz w:val="20"/>
                <w:lang w:val="es-ES_tradnl"/>
              </w:rPr>
            </w:pPr>
            <w:r>
              <w:rPr>
                <w:rFonts w:ascii="Arial" w:hAnsi="Arial" w:cs="Arial"/>
                <w:b/>
                <w:sz w:val="20"/>
                <w:lang w:val="es-ES_tradnl"/>
              </w:rPr>
              <w:t>Objetivo</w:t>
            </w:r>
          </w:p>
        </w:tc>
        <w:tc>
          <w:tcPr>
            <w:tcW w:w="3368" w:type="dxa"/>
            <w:shd w:val="clear" w:color="auto" w:fill="D9D9D9" w:themeFill="background1" w:themeFillShade="D9"/>
            <w:vAlign w:val="center"/>
          </w:tcPr>
          <w:p>
            <w:pPr>
              <w:spacing w:before="40" w:after="40"/>
              <w:jc w:val="center"/>
              <w:rPr>
                <w:rFonts w:ascii="Arial" w:hAnsi="Arial" w:cs="Arial"/>
                <w:b/>
                <w:sz w:val="20"/>
                <w:lang w:val="es-CO"/>
              </w:rPr>
            </w:pPr>
            <w:r>
              <w:rPr>
                <w:rFonts w:ascii="Arial" w:hAnsi="Arial" w:cs="Arial"/>
                <w:b/>
                <w:sz w:val="20"/>
                <w:lang w:val="es-ES_tradnl"/>
              </w:rPr>
              <w:t>Condiciones de política indicativas para la segunda operación, acordadas en la primera operación</w:t>
            </w:r>
          </w:p>
        </w:tc>
        <w:tc>
          <w:tcPr>
            <w:tcW w:w="3369" w:type="dxa"/>
            <w:shd w:val="clear" w:color="auto" w:fill="D9D9D9" w:themeFill="background1" w:themeFillShade="D9"/>
            <w:vAlign w:val="center"/>
          </w:tcPr>
          <w:p>
            <w:pPr>
              <w:spacing w:before="40" w:after="40"/>
              <w:jc w:val="center"/>
              <w:rPr>
                <w:rFonts w:ascii="Arial" w:hAnsi="Arial" w:cs="Arial"/>
                <w:b/>
                <w:sz w:val="20"/>
                <w:lang w:val="es-ES_tradnl"/>
              </w:rPr>
            </w:pPr>
            <w:r>
              <w:rPr>
                <w:rFonts w:ascii="Arial" w:hAnsi="Arial" w:cs="Arial"/>
                <w:b/>
                <w:sz w:val="20"/>
                <w:lang w:val="es-ES_tradnl"/>
              </w:rPr>
              <w:t>Condiciones de política de la segunda operación programática revisadas</w:t>
            </w:r>
          </w:p>
        </w:tc>
        <w:tc>
          <w:tcPr>
            <w:tcW w:w="3415" w:type="dxa"/>
            <w:shd w:val="clear" w:color="auto" w:fill="D9D9D9" w:themeFill="background1" w:themeFillShade="D9"/>
            <w:vAlign w:val="center"/>
          </w:tcPr>
          <w:p>
            <w:pPr>
              <w:spacing w:before="40" w:after="40"/>
              <w:jc w:val="center"/>
              <w:rPr>
                <w:rFonts w:ascii="Arial" w:hAnsi="Arial" w:cs="Arial"/>
                <w:b/>
                <w:sz w:val="20"/>
                <w:lang w:val="es-ES_tradnl"/>
              </w:rPr>
            </w:pPr>
            <w:r>
              <w:rPr>
                <w:rFonts w:ascii="Arial" w:hAnsi="Arial" w:cs="Arial"/>
                <w:b/>
                <w:sz w:val="20"/>
                <w:lang w:val="es-ES_tradnl"/>
              </w:rPr>
              <w:t>Explicaciones</w:t>
            </w:r>
          </w:p>
        </w:tc>
      </w:tr>
      <w:tr>
        <w:trPr>
          <w:trHeight w:val="20"/>
        </w:trPr>
        <w:tc>
          <w:tcPr>
            <w:tcW w:w="0" w:type="auto"/>
            <w:gridSpan w:val="4"/>
            <w:shd w:val="clear" w:color="auto" w:fill="D9D9D9" w:themeFill="background1" w:themeFillShade="D9"/>
          </w:tcPr>
          <w:p>
            <w:pPr>
              <w:pStyle w:val="ListParagraph"/>
              <w:numPr>
                <w:ilvl w:val="0"/>
                <w:numId w:val="21"/>
              </w:numPr>
              <w:tabs>
                <w:tab w:val="left" w:pos="2340"/>
                <w:tab w:val="left" w:pos="2880"/>
              </w:tabs>
              <w:spacing w:before="40" w:after="40" w:line="240" w:lineRule="auto"/>
              <w:contextualSpacing w:val="0"/>
              <w:rPr>
                <w:rFonts w:ascii="Arial" w:hAnsi="Arial" w:cs="Arial"/>
                <w:b/>
                <w:lang w:val="es-ES_tradnl"/>
              </w:rPr>
            </w:pPr>
            <w:r>
              <w:rPr>
                <w:rFonts w:ascii="Arial" w:hAnsi="Arial" w:cs="Arial"/>
                <w:b/>
                <w:lang w:val="es-ES_tradnl"/>
              </w:rPr>
              <w:t>Mantener la Estabilidad Macroeconómica</w:t>
            </w:r>
          </w:p>
        </w:tc>
      </w:tr>
      <w:tr>
        <w:trPr>
          <w:trHeight w:val="20"/>
        </w:trPr>
        <w:tc>
          <w:tcPr>
            <w:tcW w:w="0" w:type="auto"/>
          </w:tcPr>
          <w:p>
            <w:pPr>
              <w:spacing w:before="40" w:after="40"/>
              <w:rPr>
                <w:rFonts w:ascii="Arial" w:hAnsi="Arial" w:cs="Arial"/>
                <w:sz w:val="20"/>
                <w:lang w:val="es-ES_tradnl"/>
              </w:rPr>
            </w:pPr>
            <w:r>
              <w:rPr>
                <w:rFonts w:ascii="Arial" w:hAnsi="Arial" w:cs="Arial"/>
                <w:sz w:val="20"/>
                <w:lang w:val="es-ES_tradnl"/>
              </w:rPr>
              <w:t>Mantener un entorno macroeconómico apropiado y sostenible fiscalmente</w:t>
            </w:r>
          </w:p>
        </w:tc>
        <w:tc>
          <w:tcPr>
            <w:tcW w:w="3368" w:type="dxa"/>
          </w:tcPr>
          <w:p>
            <w:pPr>
              <w:pStyle w:val="FootnoteText"/>
              <w:numPr>
                <w:ilvl w:val="0"/>
                <w:numId w:val="17"/>
              </w:numPr>
              <w:spacing w:before="40" w:after="40"/>
              <w:ind w:left="313"/>
              <w:rPr>
                <w:rFonts w:ascii="Arial" w:hAnsi="Arial" w:cs="Arial"/>
                <w:lang w:val="es-ES_tradnl"/>
              </w:rPr>
            </w:pPr>
            <w:r>
              <w:rPr>
                <w:rFonts w:ascii="Arial" w:hAnsi="Arial" w:cs="Arial"/>
                <w:lang w:val="es-ES_tradnl"/>
              </w:rPr>
              <w:t>El marco de políticas macroeconómicas se mantiene congruente con los objetivos del programa y con los lineamientos establecidos en la carta de política.</w:t>
            </w:r>
          </w:p>
        </w:tc>
        <w:tc>
          <w:tcPr>
            <w:tcW w:w="3369" w:type="dxa"/>
          </w:tcPr>
          <w:p>
            <w:pPr>
              <w:pStyle w:val="FootnoteText"/>
              <w:numPr>
                <w:ilvl w:val="0"/>
                <w:numId w:val="26"/>
              </w:numPr>
              <w:spacing w:before="40" w:after="40"/>
              <w:ind w:left="372" w:hanging="390"/>
              <w:rPr>
                <w:rFonts w:ascii="Arial" w:hAnsi="Arial" w:cs="Arial"/>
                <w:lang w:val="es-ES_tradnl"/>
              </w:rPr>
            </w:pPr>
            <w:r>
              <w:rPr>
                <w:rFonts w:ascii="Arial" w:hAnsi="Arial" w:cs="Arial"/>
                <w:lang w:val="es-ES_tradnl"/>
              </w:rPr>
              <w:t>Mantener un entorno macroeconómico apropiado y sostenible fiscalmente.</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ajusta la redacción.</w:t>
            </w:r>
          </w:p>
        </w:tc>
      </w:tr>
      <w:tr>
        <w:trPr>
          <w:trHeight w:val="20"/>
        </w:trPr>
        <w:tc>
          <w:tcPr>
            <w:tcW w:w="0" w:type="auto"/>
            <w:gridSpan w:val="4"/>
            <w:shd w:val="clear" w:color="auto" w:fill="D9D9D9" w:themeFill="background1" w:themeFillShade="D9"/>
          </w:tcPr>
          <w:p>
            <w:pPr>
              <w:pStyle w:val="ListParagraph"/>
              <w:numPr>
                <w:ilvl w:val="0"/>
                <w:numId w:val="21"/>
              </w:numPr>
              <w:tabs>
                <w:tab w:val="left" w:pos="2340"/>
                <w:tab w:val="left" w:pos="2880"/>
              </w:tabs>
              <w:spacing w:before="40" w:after="40" w:line="240" w:lineRule="auto"/>
              <w:contextualSpacing w:val="0"/>
              <w:rPr>
                <w:rFonts w:ascii="Arial" w:hAnsi="Arial" w:cs="Arial"/>
                <w:b/>
                <w:lang w:val="es-ES_tradnl"/>
              </w:rPr>
            </w:pPr>
            <w:r>
              <w:rPr>
                <w:rFonts w:ascii="Arial" w:hAnsi="Arial" w:cs="Arial"/>
                <w:b/>
                <w:lang w:val="es-ES_tradnl"/>
              </w:rPr>
              <w:t>Fortalecer la Gestión y Recaudación de Ingresos Tributarios y Aduaneros</w:t>
            </w:r>
          </w:p>
        </w:tc>
      </w:tr>
      <w:tr>
        <w:trPr>
          <w:trHeight w:val="2240"/>
        </w:trPr>
        <w:tc>
          <w:tcPr>
            <w:tcW w:w="0" w:type="auto"/>
            <w:vMerge w:val="restart"/>
          </w:tcPr>
          <w:p>
            <w:pPr>
              <w:spacing w:before="40" w:after="40"/>
              <w:rPr>
                <w:rFonts w:ascii="Arial" w:hAnsi="Arial" w:cs="Arial"/>
                <w:bCs/>
                <w:sz w:val="20"/>
                <w:lang w:val="es-ES_tradnl"/>
              </w:rPr>
            </w:pPr>
            <w:r>
              <w:rPr>
                <w:rFonts w:ascii="Arial" w:hAnsi="Arial" w:cs="Arial"/>
                <w:bCs/>
                <w:sz w:val="20"/>
                <w:lang w:val="es-ES_tradnl"/>
              </w:rPr>
              <w:t>Aumentar la productividad de la base tributaria y mejorar la recaudación</w:t>
            </w:r>
          </w:p>
        </w:tc>
        <w:tc>
          <w:tcPr>
            <w:tcW w:w="3368" w:type="dxa"/>
          </w:tcPr>
          <w:p>
            <w:pPr>
              <w:pStyle w:val="FootnoteText"/>
              <w:spacing w:before="40" w:after="40"/>
              <w:ind w:left="-18"/>
              <w:rPr>
                <w:rFonts w:ascii="Arial" w:hAnsi="Arial" w:cs="Arial"/>
                <w:iCs/>
                <w:lang w:val="es-ES_tradnl"/>
              </w:rPr>
            </w:pPr>
          </w:p>
        </w:tc>
        <w:tc>
          <w:tcPr>
            <w:tcW w:w="3369" w:type="dxa"/>
          </w:tcPr>
          <w:p>
            <w:pPr>
              <w:pStyle w:val="FootnoteText"/>
              <w:numPr>
                <w:ilvl w:val="1"/>
                <w:numId w:val="27"/>
              </w:numPr>
              <w:spacing w:before="40" w:after="40"/>
              <w:rPr>
                <w:rFonts w:ascii="Arial" w:hAnsi="Arial" w:cs="Arial"/>
                <w:iCs/>
                <w:lang w:val="es-ES_tradnl"/>
              </w:rPr>
            </w:pPr>
            <w:r>
              <w:rPr>
                <w:rFonts w:ascii="Arial" w:hAnsi="Arial" w:cs="Arial"/>
                <w:iCs/>
                <w:lang w:val="es-ES_tradnl"/>
              </w:rPr>
              <w:t>Fortalecimiento de los ingresos tributarios del gobierno central, consistente con las metas de la Ley 1.473 de la Regla Fiscal en el corto y mediano plazo, mediante la reducción de exenciones, la creación de un monotributo para combatir la informalidad y la simplificación de los sistemas de declaración y pagos de impuestos.</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incluye como nueva acción de política la reforma tributaria de 2016 con el fin de incorporar medidas que apuntan a superar los problemas identificados en el sistema tributario. La acción contribuye al cumplimiento de las metas de la regla fiscal y a mejorar la recaudación.</w:t>
            </w:r>
          </w:p>
        </w:tc>
      </w:tr>
      <w:tr>
        <w:trPr>
          <w:trHeight w:val="1440"/>
        </w:trPr>
        <w:tc>
          <w:tcPr>
            <w:tcW w:w="0" w:type="auto"/>
            <w:vMerge/>
          </w:tcPr>
          <w:p>
            <w:pPr>
              <w:spacing w:before="40" w:after="40"/>
              <w:rPr>
                <w:rFonts w:ascii="Arial" w:hAnsi="Arial" w:cs="Arial"/>
                <w:bCs/>
                <w:sz w:val="20"/>
                <w:lang w:val="es-ES_tradnl"/>
              </w:rPr>
            </w:pPr>
          </w:p>
        </w:tc>
        <w:tc>
          <w:tcPr>
            <w:tcW w:w="3368" w:type="dxa"/>
          </w:tcPr>
          <w:p>
            <w:pPr>
              <w:pStyle w:val="FootnoteText"/>
              <w:numPr>
                <w:ilvl w:val="0"/>
                <w:numId w:val="22"/>
              </w:numPr>
              <w:spacing w:before="40" w:after="40"/>
              <w:ind w:left="312"/>
              <w:rPr>
                <w:rFonts w:ascii="Arial" w:hAnsi="Arial" w:cs="Arial"/>
                <w:lang w:val="es-ES_tradnl"/>
              </w:rPr>
            </w:pPr>
            <w:r>
              <w:rPr>
                <w:rFonts w:ascii="Arial" w:hAnsi="Arial" w:cs="Arial"/>
                <w:lang w:val="es-ES_tradnl"/>
              </w:rPr>
              <w:t>Dar cumplimiento a las normas de la Organización para la Cooperación y el Desarrollo Económico (OCDE), relativas a la Erosión de la Base Imponible y la Transferencia de Beneficios (BEPS).</w:t>
            </w:r>
          </w:p>
        </w:tc>
        <w:tc>
          <w:tcPr>
            <w:tcW w:w="3369" w:type="dxa"/>
          </w:tcPr>
          <w:p>
            <w:pPr>
              <w:pStyle w:val="FootnoteText"/>
              <w:numPr>
                <w:ilvl w:val="1"/>
                <w:numId w:val="27"/>
              </w:numPr>
              <w:spacing w:before="40" w:after="40"/>
              <w:rPr>
                <w:rFonts w:ascii="Arial" w:hAnsi="Arial" w:cs="Arial"/>
                <w:iCs/>
                <w:lang w:val="es-ES_tradnl"/>
              </w:rPr>
            </w:pPr>
            <w:r>
              <w:rPr>
                <w:rFonts w:ascii="Arial" w:hAnsi="Arial" w:cs="Arial"/>
                <w:iCs/>
                <w:lang w:val="es-ES_tradnl"/>
              </w:rPr>
              <w:t>Cumplimiento de las normas de la OCDE, relativas al proyecto BEPS, mediante el establecimiento de los requisitos y metodologías de reporte de información sobre precios de transferencia.</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La acción de política se mantiene y se ajusta la redacción para precisar las medidas con las cuales se da cumplimiento al proyecto.</w:t>
            </w:r>
          </w:p>
        </w:tc>
      </w:tr>
      <w:tr>
        <w:trPr>
          <w:trHeight w:val="576"/>
        </w:trPr>
        <w:tc>
          <w:tcPr>
            <w:tcW w:w="0" w:type="auto"/>
            <w:vMerge/>
          </w:tcPr>
          <w:p>
            <w:pPr>
              <w:spacing w:before="40" w:after="40"/>
              <w:rPr>
                <w:rFonts w:ascii="Arial" w:hAnsi="Arial" w:cs="Arial"/>
                <w:bCs/>
                <w:sz w:val="20"/>
                <w:lang w:val="es-ES_tradnl"/>
              </w:rPr>
            </w:pPr>
          </w:p>
        </w:tc>
        <w:tc>
          <w:tcPr>
            <w:tcW w:w="3368" w:type="dxa"/>
          </w:tcPr>
          <w:p>
            <w:pPr>
              <w:pStyle w:val="FootnoteText"/>
              <w:spacing w:before="40" w:after="40"/>
              <w:ind w:left="-18"/>
              <w:rPr>
                <w:rFonts w:ascii="Arial" w:hAnsi="Arial" w:cs="Arial"/>
                <w:lang w:val="es-ES_tradnl"/>
              </w:rPr>
            </w:pPr>
          </w:p>
        </w:tc>
        <w:tc>
          <w:tcPr>
            <w:tcW w:w="3369" w:type="dxa"/>
          </w:tcPr>
          <w:p>
            <w:pPr>
              <w:pStyle w:val="FootnoteText"/>
              <w:numPr>
                <w:ilvl w:val="1"/>
                <w:numId w:val="27"/>
              </w:numPr>
              <w:spacing w:before="40" w:after="40"/>
              <w:rPr>
                <w:rFonts w:ascii="Arial" w:hAnsi="Arial" w:cs="Arial"/>
                <w:iCs/>
                <w:lang w:val="es-ES_tradnl"/>
              </w:rPr>
            </w:pPr>
            <w:r>
              <w:rPr>
                <w:rFonts w:ascii="Arial" w:hAnsi="Arial" w:cs="Arial"/>
                <w:iCs/>
                <w:lang w:val="es-ES_tradnl"/>
              </w:rPr>
              <w:t xml:space="preserve">Fortalecimiento del recaudo tributario territorial mediante el </w:t>
            </w:r>
            <w:r>
              <w:rPr>
                <w:rFonts w:ascii="Arial" w:hAnsi="Arial" w:cs="Arial"/>
                <w:iCs/>
                <w:lang w:val="es-ES_tradnl"/>
              </w:rPr>
              <w:lastRenderedPageBreak/>
              <w:t>ajuste de tarifas, la actualización catastral y el fortalecimiento de mecanismos de fiscalización.</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lastRenderedPageBreak/>
              <w:t xml:space="preserve">Se agrega la acción 2.3 ya que es coherente con el objetivo de </w:t>
            </w:r>
            <w:r>
              <w:rPr>
                <w:rFonts w:ascii="Arial" w:hAnsi="Arial" w:cs="Arial"/>
                <w:iCs/>
                <w:lang w:val="es-ES_tradnl"/>
              </w:rPr>
              <w:lastRenderedPageBreak/>
              <w:t>aumentar la productividad de la base tributaria y mejorar la recaudación; también por ser competencia del gobierno nacional, aun cuando favorezcan el recaudo subnacional.</w:t>
            </w:r>
          </w:p>
        </w:tc>
      </w:tr>
      <w:tr>
        <w:trPr>
          <w:trHeight w:val="864"/>
        </w:trPr>
        <w:tc>
          <w:tcPr>
            <w:tcW w:w="0" w:type="auto"/>
            <w:vMerge/>
          </w:tcPr>
          <w:p>
            <w:pPr>
              <w:pStyle w:val="FootnoteText"/>
              <w:spacing w:before="40" w:after="40"/>
              <w:jc w:val="both"/>
              <w:rPr>
                <w:rFonts w:ascii="Arial" w:hAnsi="Arial" w:cs="Arial"/>
                <w:lang w:val="es-ES_tradnl"/>
              </w:rPr>
            </w:pPr>
          </w:p>
        </w:tc>
        <w:tc>
          <w:tcPr>
            <w:tcW w:w="3368" w:type="dxa"/>
          </w:tcPr>
          <w:p>
            <w:pPr>
              <w:pStyle w:val="FootnoteText"/>
              <w:numPr>
                <w:ilvl w:val="1"/>
                <w:numId w:val="29"/>
              </w:numPr>
              <w:spacing w:before="40" w:after="40"/>
              <w:rPr>
                <w:rFonts w:ascii="Arial" w:hAnsi="Arial" w:cs="Arial"/>
                <w:lang w:val="es-ES_tradnl"/>
              </w:rPr>
            </w:pPr>
            <w:r>
              <w:rPr>
                <w:rFonts w:ascii="Arial" w:hAnsi="Arial" w:cs="Arial"/>
                <w:lang w:val="es-ES_tradnl"/>
              </w:rPr>
              <w:t>Implementación del Plan Piloto para la masificación de la factura electrónica.</w:t>
            </w:r>
          </w:p>
        </w:tc>
        <w:tc>
          <w:tcPr>
            <w:tcW w:w="3369" w:type="dxa"/>
          </w:tcPr>
          <w:p>
            <w:pPr>
              <w:pStyle w:val="FootnoteText"/>
              <w:tabs>
                <w:tab w:val="left" w:pos="474"/>
              </w:tabs>
              <w:spacing w:before="40" w:after="40"/>
              <w:ind w:left="384" w:hanging="360"/>
              <w:rPr>
                <w:rFonts w:ascii="Arial" w:hAnsi="Arial" w:cs="Arial"/>
                <w:iCs/>
                <w:lang w:val="es-ES_tradnl"/>
              </w:rPr>
            </w:pPr>
            <w:r>
              <w:rPr>
                <w:rFonts w:ascii="Arial" w:hAnsi="Arial" w:cs="Arial"/>
                <w:iCs/>
                <w:lang w:val="es-ES_tradnl"/>
              </w:rPr>
              <w:t>2.4 Implementación del Plan Piloto para la masificación del uso de la factura electrónica.</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La acción de política se mantiene inalterada.</w:t>
            </w:r>
          </w:p>
        </w:tc>
      </w:tr>
      <w:tr>
        <w:trPr>
          <w:trHeight w:val="1440"/>
        </w:trPr>
        <w:tc>
          <w:tcPr>
            <w:tcW w:w="0" w:type="auto"/>
            <w:vMerge/>
          </w:tcPr>
          <w:p>
            <w:pPr>
              <w:pStyle w:val="FootnoteText"/>
              <w:spacing w:before="40" w:after="40"/>
              <w:jc w:val="both"/>
              <w:rPr>
                <w:rFonts w:ascii="Arial" w:hAnsi="Arial" w:cs="Arial"/>
                <w:lang w:val="es-ES_tradnl"/>
              </w:rPr>
            </w:pPr>
          </w:p>
        </w:tc>
        <w:tc>
          <w:tcPr>
            <w:tcW w:w="3368" w:type="dxa"/>
          </w:tcPr>
          <w:p>
            <w:pPr>
              <w:pStyle w:val="FootnoteText"/>
              <w:spacing w:before="40" w:after="40"/>
              <w:rPr>
                <w:rFonts w:ascii="Arial" w:hAnsi="Arial" w:cs="Arial"/>
                <w:lang w:val="es-ES_tradnl"/>
              </w:rPr>
            </w:pPr>
          </w:p>
        </w:tc>
        <w:tc>
          <w:tcPr>
            <w:tcW w:w="3369" w:type="dxa"/>
          </w:tcPr>
          <w:p>
            <w:pPr>
              <w:pStyle w:val="FootnoteText"/>
              <w:spacing w:before="40" w:after="40"/>
              <w:ind w:left="384" w:hanging="360"/>
              <w:rPr>
                <w:rFonts w:ascii="Arial" w:hAnsi="Arial" w:cs="Arial"/>
                <w:iCs/>
                <w:lang w:val="es-ES_tradnl"/>
              </w:rPr>
            </w:pPr>
            <w:r>
              <w:rPr>
                <w:rFonts w:ascii="Arial" w:hAnsi="Arial" w:cs="Arial"/>
                <w:iCs/>
                <w:lang w:val="es-ES_tradnl"/>
              </w:rPr>
              <w:t>2.5 Modificación del modelo de factura electrónica, pasando de un modelo asincrónico sin validación previa por parte de la DIAN, a uno basado en tiempo real con validación previa.</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incluye la medida 2.5 por ser fundamental para un control tributario más efectivo, que el modelo de factura electrónica sea de transmisión en tiempo real y tenga validación previa por parte de la DIAN.</w:t>
            </w:r>
          </w:p>
        </w:tc>
      </w:tr>
      <w:tr>
        <w:trPr>
          <w:trHeight w:val="20"/>
        </w:trPr>
        <w:tc>
          <w:tcPr>
            <w:tcW w:w="0" w:type="auto"/>
            <w:vMerge/>
          </w:tcPr>
          <w:p>
            <w:pPr>
              <w:spacing w:before="40" w:after="40"/>
              <w:rPr>
                <w:rFonts w:ascii="Arial" w:hAnsi="Arial" w:cs="Arial"/>
                <w:bCs/>
                <w:sz w:val="20"/>
                <w:lang w:val="es-ES_tradnl"/>
              </w:rPr>
            </w:pPr>
          </w:p>
        </w:tc>
        <w:tc>
          <w:tcPr>
            <w:tcW w:w="3368" w:type="dxa"/>
          </w:tcPr>
          <w:p>
            <w:pPr>
              <w:pStyle w:val="FootnoteText"/>
              <w:numPr>
                <w:ilvl w:val="1"/>
                <w:numId w:val="30"/>
              </w:numPr>
              <w:spacing w:before="40" w:after="40"/>
              <w:rPr>
                <w:rFonts w:ascii="Arial" w:hAnsi="Arial" w:cs="Arial"/>
                <w:lang w:val="es-ES_tradnl"/>
              </w:rPr>
            </w:pPr>
            <w:r>
              <w:rPr>
                <w:rFonts w:ascii="Arial" w:hAnsi="Arial" w:cs="Arial"/>
                <w:lang w:val="es-ES_tradnl"/>
              </w:rPr>
              <w:t>Aprobación de la nueva Regulación Aduanera y su implementación.</w:t>
            </w:r>
          </w:p>
        </w:tc>
        <w:tc>
          <w:tcPr>
            <w:tcW w:w="3369" w:type="dxa"/>
          </w:tcPr>
          <w:p>
            <w:pPr>
              <w:pStyle w:val="FootnoteText"/>
              <w:numPr>
                <w:ilvl w:val="1"/>
                <w:numId w:val="35"/>
              </w:numPr>
              <w:spacing w:before="40" w:after="40"/>
              <w:rPr>
                <w:rFonts w:ascii="Arial" w:hAnsi="Arial" w:cs="Arial"/>
                <w:iCs/>
                <w:lang w:val="es-ES_tradnl"/>
              </w:rPr>
            </w:pPr>
            <w:r>
              <w:rPr>
                <w:rFonts w:ascii="Arial" w:hAnsi="Arial" w:cs="Arial"/>
                <w:iCs/>
                <w:lang w:val="es-ES_tradnl"/>
              </w:rPr>
              <w:t>Regulación aduanera (Estatuto Aduanero), ajustada a las mejores prácticas y acuerdos internacionales, aprobada e implementada.</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ajusta la redacción para reflejar que la nueva regulación es consistente con las mejores prácticas y acuerdos internacionales.</w:t>
            </w:r>
          </w:p>
        </w:tc>
      </w:tr>
      <w:tr>
        <w:trPr>
          <w:trHeight w:val="20"/>
        </w:trPr>
        <w:tc>
          <w:tcPr>
            <w:tcW w:w="0" w:type="auto"/>
            <w:vMerge/>
          </w:tcPr>
          <w:p>
            <w:pPr>
              <w:spacing w:before="40" w:after="40"/>
              <w:rPr>
                <w:rFonts w:ascii="Arial" w:hAnsi="Arial" w:cs="Arial"/>
                <w:bCs/>
                <w:sz w:val="20"/>
                <w:lang w:val="es-ES_tradnl"/>
              </w:rPr>
            </w:pPr>
          </w:p>
        </w:tc>
        <w:tc>
          <w:tcPr>
            <w:tcW w:w="3368" w:type="dxa"/>
          </w:tcPr>
          <w:p>
            <w:pPr>
              <w:pStyle w:val="FootnoteText"/>
              <w:spacing w:before="40" w:after="40"/>
              <w:ind w:left="324" w:hanging="324"/>
              <w:rPr>
                <w:rFonts w:ascii="Arial" w:hAnsi="Arial" w:cs="Arial"/>
                <w:lang w:val="es-ES_tradnl"/>
              </w:rPr>
            </w:pPr>
            <w:r>
              <w:rPr>
                <w:rFonts w:ascii="Arial" w:hAnsi="Arial" w:cs="Arial"/>
                <w:lang w:val="es-ES_tradnl"/>
              </w:rPr>
              <w:t>2.4 Inicio de operaciones del sistema de control aduanero a plena capacidad.</w:t>
            </w:r>
          </w:p>
        </w:tc>
        <w:tc>
          <w:tcPr>
            <w:tcW w:w="3369" w:type="dxa"/>
          </w:tcPr>
          <w:p>
            <w:pPr>
              <w:pStyle w:val="FootnoteText"/>
              <w:numPr>
                <w:ilvl w:val="1"/>
                <w:numId w:val="35"/>
              </w:numPr>
              <w:spacing w:before="40" w:after="40"/>
              <w:rPr>
                <w:rFonts w:ascii="Arial" w:hAnsi="Arial" w:cs="Arial"/>
                <w:iCs/>
                <w:lang w:val="es-ES_tradnl"/>
              </w:rPr>
            </w:pPr>
            <w:r>
              <w:rPr>
                <w:rFonts w:ascii="Arial" w:hAnsi="Arial" w:cs="Arial"/>
                <w:iCs/>
                <w:lang w:val="es-ES_tradnl"/>
              </w:rPr>
              <w:t>Nuevo sistema de información para el fortalecimiento del control aduanero, implementado y operando a plena capacidad en el módulo de desaduanamiento.</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específica que la acción hace referencia al módulo de desaduanamiento.</w:t>
            </w:r>
          </w:p>
        </w:tc>
      </w:tr>
      <w:tr>
        <w:trPr>
          <w:trHeight w:val="20"/>
        </w:trPr>
        <w:tc>
          <w:tcPr>
            <w:tcW w:w="0" w:type="auto"/>
            <w:vMerge/>
          </w:tcPr>
          <w:p>
            <w:pPr>
              <w:spacing w:before="40" w:after="40"/>
              <w:rPr>
                <w:rFonts w:ascii="Arial" w:hAnsi="Arial" w:cs="Arial"/>
                <w:sz w:val="20"/>
                <w:lang w:val="es-ES_tradnl"/>
              </w:rPr>
            </w:pPr>
          </w:p>
        </w:tc>
        <w:tc>
          <w:tcPr>
            <w:tcW w:w="3368" w:type="dxa"/>
          </w:tcPr>
          <w:p>
            <w:pPr>
              <w:pStyle w:val="FootnoteText"/>
              <w:spacing w:before="40" w:after="40"/>
              <w:ind w:left="324" w:hanging="324"/>
              <w:rPr>
                <w:rFonts w:ascii="Arial" w:hAnsi="Arial" w:cs="Arial"/>
                <w:lang w:val="es-ES_tradnl"/>
              </w:rPr>
            </w:pPr>
            <w:r>
              <w:rPr>
                <w:rFonts w:ascii="Arial" w:hAnsi="Arial" w:cs="Arial"/>
                <w:lang w:val="es-ES_tradnl"/>
              </w:rPr>
              <w:t>2.5 Operación de la DIAN bajo nueva estructura organizacional.</w:t>
            </w:r>
          </w:p>
        </w:tc>
        <w:tc>
          <w:tcPr>
            <w:tcW w:w="3369" w:type="dxa"/>
          </w:tcPr>
          <w:p>
            <w:pPr>
              <w:pStyle w:val="FootnoteText"/>
              <w:numPr>
                <w:ilvl w:val="1"/>
                <w:numId w:val="35"/>
              </w:numPr>
              <w:spacing w:before="40" w:after="40"/>
              <w:rPr>
                <w:rFonts w:ascii="Arial" w:hAnsi="Arial" w:cs="Arial"/>
                <w:iCs/>
                <w:lang w:val="es-ES_tradnl"/>
              </w:rPr>
            </w:pPr>
            <w:r>
              <w:rPr>
                <w:rFonts w:ascii="Arial" w:hAnsi="Arial" w:cs="Arial"/>
                <w:iCs/>
                <w:lang w:val="es-ES_tradnl"/>
              </w:rPr>
              <w:t>Dirección de Fiscalización de la DIAN fortalecida mediante la contratación de funcionarios adicionales y la actualización del sistema de carrera de la entidad.</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 xml:space="preserve">Se revisa y ajusta la acción de política pues el Programa de Austeridad Inteligente, que impuso restricciones presupuestales, no permitió la operación de la nueva estructura de la DIAN. En su lugar, se extendió a la DIAN una excepción para contratar personal para la Dirección de Fiscalización y se actualizó el sistema de carrera </w:t>
            </w:r>
            <w:r>
              <w:rPr>
                <w:rFonts w:ascii="Arial" w:hAnsi="Arial" w:cs="Arial"/>
                <w:iCs/>
                <w:lang w:val="es-ES_tradnl"/>
              </w:rPr>
              <w:lastRenderedPageBreak/>
              <w:t>mediante artículos incluidos en la reforma tributaria de 2016.</w:t>
            </w:r>
          </w:p>
        </w:tc>
      </w:tr>
      <w:tr>
        <w:trPr>
          <w:trHeight w:val="20"/>
        </w:trPr>
        <w:tc>
          <w:tcPr>
            <w:tcW w:w="12230" w:type="dxa"/>
            <w:gridSpan w:val="4"/>
            <w:shd w:val="clear" w:color="auto" w:fill="D9D9D9" w:themeFill="background1" w:themeFillShade="D9"/>
          </w:tcPr>
          <w:p>
            <w:pPr>
              <w:pStyle w:val="ListParagraph"/>
              <w:numPr>
                <w:ilvl w:val="0"/>
                <w:numId w:val="21"/>
              </w:numPr>
              <w:tabs>
                <w:tab w:val="left" w:pos="2340"/>
                <w:tab w:val="left" w:pos="2880"/>
              </w:tabs>
              <w:spacing w:before="40" w:after="40"/>
              <w:rPr>
                <w:rFonts w:ascii="Arial" w:hAnsi="Arial" w:cs="Arial"/>
                <w:b/>
                <w:lang w:val="es-ES_tradnl"/>
              </w:rPr>
            </w:pPr>
            <w:r>
              <w:rPr>
                <w:rFonts w:ascii="Arial" w:hAnsi="Arial" w:cs="Arial"/>
                <w:b/>
                <w:lang w:val="es-ES_tradnl"/>
              </w:rPr>
              <w:lastRenderedPageBreak/>
              <w:t>Mejorar la Eficiencia del Gasto Público</w:t>
            </w:r>
          </w:p>
        </w:tc>
      </w:tr>
      <w:tr>
        <w:trPr>
          <w:trHeight w:val="20"/>
        </w:trPr>
        <w:tc>
          <w:tcPr>
            <w:tcW w:w="0" w:type="auto"/>
            <w:vMerge w:val="restart"/>
          </w:tcPr>
          <w:p>
            <w:pPr>
              <w:pStyle w:val="FootnoteText"/>
              <w:spacing w:before="40" w:after="40"/>
              <w:rPr>
                <w:rFonts w:ascii="Arial" w:hAnsi="Arial" w:cs="Arial"/>
                <w:lang w:val="es-ES_tradnl"/>
              </w:rPr>
            </w:pPr>
            <w:r>
              <w:rPr>
                <w:rFonts w:ascii="Arial" w:hAnsi="Arial" w:cs="Arial"/>
                <w:lang w:val="es-ES_tradnl"/>
              </w:rPr>
              <w:t>Fortalecer la calidad del gasto público</w:t>
            </w:r>
          </w:p>
        </w:tc>
        <w:tc>
          <w:tcPr>
            <w:tcW w:w="3368" w:type="dxa"/>
          </w:tcPr>
          <w:p>
            <w:pPr>
              <w:pStyle w:val="FootnoteText"/>
              <w:numPr>
                <w:ilvl w:val="0"/>
                <w:numId w:val="24"/>
              </w:numPr>
              <w:spacing w:before="40" w:after="40"/>
              <w:ind w:left="312"/>
              <w:rPr>
                <w:rFonts w:ascii="Arial" w:hAnsi="Arial" w:cs="Arial"/>
                <w:lang w:val="es-ES_tradnl"/>
              </w:rPr>
            </w:pPr>
            <w:r>
              <w:rPr>
                <w:rFonts w:ascii="Arial" w:hAnsi="Arial" w:cs="Arial"/>
                <w:lang w:val="es-ES_tradnl"/>
              </w:rPr>
              <w:t>Consolidación de la Coordinación y Operación del Sistema General de Regalías en una Dirección del DNP.</w:t>
            </w:r>
          </w:p>
        </w:tc>
        <w:tc>
          <w:tcPr>
            <w:tcW w:w="3369" w:type="dxa"/>
          </w:tcPr>
          <w:p>
            <w:pPr>
              <w:pStyle w:val="FootnoteText"/>
              <w:numPr>
                <w:ilvl w:val="1"/>
                <w:numId w:val="31"/>
              </w:numPr>
              <w:spacing w:before="40" w:after="40"/>
              <w:rPr>
                <w:rFonts w:ascii="Arial" w:hAnsi="Arial" w:cs="Arial"/>
                <w:lang w:val="es-ES_tradnl"/>
              </w:rPr>
            </w:pPr>
            <w:bookmarkStart w:id="0" w:name="_Hlk493792801"/>
            <w:r>
              <w:rPr>
                <w:rFonts w:ascii="Arial" w:hAnsi="Arial" w:cs="Arial"/>
                <w:lang w:val="es-ES_tradnl"/>
              </w:rPr>
              <w:t xml:space="preserve">Consolidación de la Coordinación y Operación del SGR mediante: </w:t>
            </w:r>
          </w:p>
          <w:p>
            <w:pPr>
              <w:pStyle w:val="FootnoteText"/>
              <w:numPr>
                <w:ilvl w:val="0"/>
                <w:numId w:val="14"/>
              </w:numPr>
              <w:spacing w:before="40" w:after="40"/>
              <w:ind w:left="706" w:hanging="346"/>
              <w:rPr>
                <w:rFonts w:ascii="Arial" w:hAnsi="Arial" w:cs="Arial"/>
                <w:lang w:val="es-ES_tradnl"/>
              </w:rPr>
            </w:pPr>
            <w:r>
              <w:rPr>
                <w:rFonts w:ascii="Arial" w:hAnsi="Arial" w:cs="Arial"/>
                <w:lang w:val="es-ES_tradnl"/>
              </w:rPr>
              <w:t xml:space="preserve">La creación de una Dirección del Sistema General de Regalías en el DNP; </w:t>
            </w:r>
          </w:p>
          <w:p>
            <w:pPr>
              <w:pStyle w:val="FootnoteText"/>
              <w:numPr>
                <w:ilvl w:val="0"/>
                <w:numId w:val="14"/>
              </w:numPr>
              <w:spacing w:before="40" w:after="40"/>
              <w:ind w:left="706" w:hanging="346"/>
              <w:rPr>
                <w:rFonts w:ascii="Arial" w:hAnsi="Arial" w:cs="Arial"/>
                <w:lang w:val="es-ES_tradnl"/>
              </w:rPr>
            </w:pPr>
            <w:r>
              <w:rPr>
                <w:rFonts w:ascii="Arial" w:hAnsi="Arial" w:cs="Arial"/>
                <w:lang w:val="es-ES_tradnl"/>
              </w:rPr>
              <w:t>La emisión de la normativa, desarrollo de herramientas y fortalecimiento del equipo técnico del DNP para la estructuración y gestión de proyectos de inversión financiados con recursos del SGR para las ET.</w:t>
            </w:r>
            <w:bookmarkEnd w:id="0"/>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amplía la redacción de la acción en la medida que, en adición a la creación de la Dirección en el DNP, se tomaron otras medidas para facilitar el rol de coordinación.</w:t>
            </w:r>
          </w:p>
        </w:tc>
      </w:tr>
      <w:tr>
        <w:trPr>
          <w:trHeight w:val="20"/>
        </w:trPr>
        <w:tc>
          <w:tcPr>
            <w:tcW w:w="0" w:type="auto"/>
            <w:vMerge/>
          </w:tcPr>
          <w:p>
            <w:pPr>
              <w:pStyle w:val="FootnoteText"/>
              <w:spacing w:before="40" w:after="40"/>
              <w:rPr>
                <w:rFonts w:ascii="Arial" w:hAnsi="Arial" w:cs="Arial"/>
                <w:lang w:val="es-ES_tradnl"/>
              </w:rPr>
            </w:pPr>
          </w:p>
        </w:tc>
        <w:tc>
          <w:tcPr>
            <w:tcW w:w="3368" w:type="dxa"/>
          </w:tcPr>
          <w:p>
            <w:pPr>
              <w:pStyle w:val="FootnoteText"/>
              <w:numPr>
                <w:ilvl w:val="0"/>
                <w:numId w:val="24"/>
              </w:numPr>
              <w:spacing w:before="40" w:after="40"/>
              <w:ind w:left="312"/>
              <w:rPr>
                <w:rFonts w:ascii="Arial" w:hAnsi="Arial" w:cs="Arial"/>
                <w:lang w:val="es-ES_tradnl"/>
              </w:rPr>
            </w:pPr>
            <w:r>
              <w:rPr>
                <w:rFonts w:ascii="Arial" w:hAnsi="Arial" w:cs="Arial"/>
                <w:lang w:val="es-ES_tradnl"/>
              </w:rPr>
              <w:t>Operación de la Red de Estructuradores para los proyectos de inversión financiados por el SGR.</w:t>
            </w:r>
          </w:p>
        </w:tc>
        <w:tc>
          <w:tcPr>
            <w:tcW w:w="3369" w:type="dxa"/>
          </w:tcPr>
          <w:p>
            <w:pPr>
              <w:pStyle w:val="FootnoteText"/>
              <w:numPr>
                <w:ilvl w:val="1"/>
                <w:numId w:val="31"/>
              </w:numPr>
              <w:spacing w:before="40" w:after="40"/>
              <w:rPr>
                <w:rFonts w:ascii="Arial" w:hAnsi="Arial" w:cs="Arial"/>
                <w:iCs/>
                <w:lang w:val="es-ES_tradnl"/>
              </w:rPr>
            </w:pPr>
            <w:bookmarkStart w:id="1" w:name="_Hlk493783602"/>
            <w:r>
              <w:rPr>
                <w:rFonts w:ascii="Arial" w:hAnsi="Arial" w:cs="Arial"/>
                <w:iCs/>
                <w:lang w:val="es-ES_tradnl"/>
              </w:rPr>
              <w:t xml:space="preserve">Operación de la Red de Estructuradores para los proyectos de inversión financiados por el SGR, mediante la conformación de un grupo de expertos </w:t>
            </w:r>
            <w:r>
              <w:rPr>
                <w:rFonts w:ascii="Arial" w:hAnsi="Arial" w:cs="Arial"/>
                <w:iCs/>
                <w:lang w:val="es-ES_tradnl"/>
              </w:rPr>
              <w:t xml:space="preserve">en la Dirección del SGR </w:t>
            </w:r>
            <w:r>
              <w:rPr>
                <w:rFonts w:ascii="Arial" w:hAnsi="Arial" w:cs="Arial"/>
                <w:iCs/>
                <w:lang w:val="es-ES_tradnl"/>
              </w:rPr>
              <w:t>en el DNP, encargados de apoyar a las ET en la estructuración y formulación de proyectos de inversión financiados con el SGR.</w:t>
            </w:r>
            <w:bookmarkEnd w:id="1"/>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amplía la redacción de la acción de política para aclarar que la operación de la red se da mediante un grupo de expertos que hace parte de la Dirección del SGR en el DNP.</w:t>
            </w:r>
          </w:p>
        </w:tc>
      </w:tr>
      <w:tr>
        <w:trPr>
          <w:trHeight w:val="576"/>
        </w:trPr>
        <w:tc>
          <w:tcPr>
            <w:tcW w:w="0" w:type="auto"/>
            <w:vMerge/>
          </w:tcPr>
          <w:p>
            <w:pPr>
              <w:pStyle w:val="FootnoteText"/>
              <w:spacing w:before="40" w:after="40"/>
              <w:rPr>
                <w:rFonts w:ascii="Arial" w:hAnsi="Arial" w:cs="Arial"/>
                <w:lang w:val="es-ES_tradnl"/>
              </w:rPr>
            </w:pPr>
          </w:p>
        </w:tc>
        <w:tc>
          <w:tcPr>
            <w:tcW w:w="3368" w:type="dxa"/>
          </w:tcPr>
          <w:p>
            <w:pPr>
              <w:pStyle w:val="FootnoteText"/>
              <w:numPr>
                <w:ilvl w:val="0"/>
                <w:numId w:val="24"/>
              </w:numPr>
              <w:spacing w:before="40" w:after="40"/>
              <w:ind w:left="312"/>
              <w:rPr>
                <w:rFonts w:ascii="Arial" w:hAnsi="Arial" w:cs="Arial"/>
                <w:lang w:val="es-ES_tradnl"/>
              </w:rPr>
            </w:pPr>
            <w:r>
              <w:rPr>
                <w:rFonts w:ascii="Arial" w:hAnsi="Arial" w:cs="Arial"/>
                <w:lang w:val="es-ES_tradnl"/>
              </w:rPr>
              <w:t>Operación de la Mesa Nacional para el Fortalecimiento Regional.</w:t>
            </w:r>
          </w:p>
        </w:tc>
        <w:tc>
          <w:tcPr>
            <w:tcW w:w="3369" w:type="dxa"/>
          </w:tcPr>
          <w:p>
            <w:pPr>
              <w:pStyle w:val="FootnoteText"/>
              <w:numPr>
                <w:ilvl w:val="1"/>
                <w:numId w:val="31"/>
              </w:numPr>
              <w:spacing w:before="40" w:after="40"/>
              <w:rPr>
                <w:rFonts w:ascii="Arial" w:hAnsi="Arial" w:cs="Arial"/>
                <w:lang w:val="es-ES_tradnl"/>
              </w:rPr>
            </w:pPr>
            <w:r>
              <w:rPr>
                <w:rFonts w:ascii="Arial" w:hAnsi="Arial" w:cs="Arial"/>
                <w:lang w:val="es-ES_tradnl"/>
              </w:rPr>
              <w:t xml:space="preserve">Fortalecimiento de la capacidad de las ET para </w:t>
            </w:r>
            <w:bookmarkStart w:id="2" w:name="_Hlk493793066"/>
            <w:r>
              <w:rPr>
                <w:rFonts w:ascii="Arial" w:hAnsi="Arial" w:cs="Arial"/>
                <w:lang w:val="es-ES_tradnl"/>
              </w:rPr>
              <w:t>diseñar y ejecutar proyectos de inversión en el ámbito regional</w:t>
            </w:r>
            <w:bookmarkStart w:id="3" w:name="_Hlk493855930"/>
            <w:bookmarkEnd w:id="2"/>
            <w:r>
              <w:rPr>
                <w:rFonts w:ascii="Arial" w:hAnsi="Arial" w:cs="Arial"/>
                <w:lang w:val="es-ES_tradnl"/>
              </w:rPr>
              <w:t xml:space="preserve"> mediante nuevos instrumentos de política para priorizar y articular esfuerzos y recursos.</w:t>
            </w:r>
            <w:bookmarkEnd w:id="3"/>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 xml:space="preserve">Se modifica la acción ya que la mesa no está funcionando y en su lugar se han tomado otras medidas para fortalecer las capacidades a nivel regional, como el programa de fortalecimiento de capacidades para las ET y la adopción de los Contratos Plan para la Paz, que </w:t>
            </w:r>
            <w:r>
              <w:rPr>
                <w:rFonts w:ascii="Arial" w:hAnsi="Arial" w:cs="Arial"/>
                <w:iCs/>
                <w:lang w:val="es-ES_tradnl"/>
              </w:rPr>
              <w:lastRenderedPageBreak/>
              <w:t>articulan recursos y esfuerzos a nivel regional.</w:t>
            </w:r>
          </w:p>
        </w:tc>
      </w:tr>
      <w:tr>
        <w:trPr>
          <w:trHeight w:val="467"/>
        </w:trPr>
        <w:tc>
          <w:tcPr>
            <w:tcW w:w="0" w:type="auto"/>
            <w:vMerge/>
          </w:tcPr>
          <w:p>
            <w:pPr>
              <w:pStyle w:val="FootnoteText"/>
              <w:spacing w:before="40" w:after="40"/>
              <w:rPr>
                <w:rFonts w:ascii="Arial" w:hAnsi="Arial" w:cs="Arial"/>
                <w:lang w:val="es-ES_tradnl"/>
              </w:rPr>
            </w:pPr>
          </w:p>
        </w:tc>
        <w:tc>
          <w:tcPr>
            <w:tcW w:w="3368" w:type="dxa"/>
          </w:tcPr>
          <w:p>
            <w:pPr>
              <w:pStyle w:val="FootnoteText"/>
              <w:spacing w:before="40" w:after="40"/>
              <w:rPr>
                <w:rFonts w:ascii="Arial" w:hAnsi="Arial" w:cs="Arial"/>
                <w:lang w:val="es-ES_tradnl"/>
              </w:rPr>
            </w:pPr>
          </w:p>
        </w:tc>
        <w:tc>
          <w:tcPr>
            <w:tcW w:w="3369" w:type="dxa"/>
          </w:tcPr>
          <w:p>
            <w:pPr>
              <w:pStyle w:val="FootnoteText"/>
              <w:numPr>
                <w:ilvl w:val="1"/>
                <w:numId w:val="31"/>
              </w:numPr>
              <w:spacing w:before="40" w:after="40"/>
              <w:rPr>
                <w:rFonts w:ascii="Arial" w:hAnsi="Arial" w:cs="Arial"/>
                <w:lang w:val="es-ES_tradnl"/>
              </w:rPr>
            </w:pPr>
            <w:r>
              <w:rPr>
                <w:rFonts w:ascii="Arial" w:hAnsi="Arial" w:cs="Arial"/>
                <w:lang w:val="es-ES_tradnl"/>
              </w:rPr>
              <w:t>Modificación del SGR, orientando recursos del Ahorro Pensional Territorial y del Fondo de Ciencia y Tecnología para proyectos de inversión en el marco del Acuerdo Final para la Terminación del Conflicto.</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incluye la acción 3.4 para incorporar los ajustes a la distribución de recursos acumulados y excedentes del SGR, con lo cual se busca dar un uso más eficiente a dichos recursos y orientarlos al cumplimiento de los acuerdos de paz.</w:t>
            </w:r>
          </w:p>
        </w:tc>
      </w:tr>
      <w:tr>
        <w:trPr>
          <w:trHeight w:val="864"/>
        </w:trPr>
        <w:tc>
          <w:tcPr>
            <w:tcW w:w="0" w:type="auto"/>
            <w:vMerge/>
          </w:tcPr>
          <w:p>
            <w:pPr>
              <w:pStyle w:val="FootnoteText"/>
              <w:spacing w:before="40" w:after="40"/>
              <w:rPr>
                <w:rFonts w:ascii="Arial" w:hAnsi="Arial" w:cs="Arial"/>
                <w:b/>
                <w:lang w:val="es-ES_tradnl"/>
              </w:rPr>
            </w:pPr>
          </w:p>
        </w:tc>
        <w:tc>
          <w:tcPr>
            <w:tcW w:w="3368" w:type="dxa"/>
          </w:tcPr>
          <w:p>
            <w:pPr>
              <w:pStyle w:val="FootnoteText"/>
              <w:numPr>
                <w:ilvl w:val="0"/>
                <w:numId w:val="24"/>
              </w:numPr>
              <w:spacing w:before="40" w:after="40"/>
              <w:ind w:left="312"/>
              <w:rPr>
                <w:rFonts w:ascii="Arial" w:hAnsi="Arial" w:cs="Arial"/>
                <w:lang w:val="es-ES_tradnl"/>
              </w:rPr>
            </w:pPr>
            <w:r>
              <w:rPr>
                <w:rFonts w:ascii="Arial" w:hAnsi="Arial" w:cs="Arial"/>
                <w:lang w:val="es-ES_tradnl"/>
              </w:rPr>
              <w:t>Resultados preliminares de impacto del SGR basados en la línea base.</w:t>
            </w:r>
          </w:p>
        </w:tc>
        <w:tc>
          <w:tcPr>
            <w:tcW w:w="3369" w:type="dxa"/>
          </w:tcPr>
          <w:p>
            <w:pPr>
              <w:pStyle w:val="FootnoteText"/>
              <w:spacing w:before="40" w:after="40"/>
              <w:ind w:left="312" w:hanging="312"/>
              <w:rPr>
                <w:rFonts w:ascii="Arial" w:hAnsi="Arial" w:cs="Arial"/>
                <w:lang w:val="es-ES_tradnl"/>
              </w:rPr>
            </w:pPr>
            <w:bookmarkStart w:id="4" w:name="_Hlk493785598"/>
            <w:bookmarkStart w:id="5" w:name="_Hlk493793099"/>
            <w:r>
              <w:rPr>
                <w:rFonts w:ascii="Arial" w:hAnsi="Arial" w:cs="Arial"/>
                <w:lang w:val="es-ES_tradnl"/>
              </w:rPr>
              <w:t xml:space="preserve">3.5 Levantamiento de la </w:t>
            </w:r>
            <w:bookmarkStart w:id="6" w:name="_Hlk493857193"/>
            <w:r>
              <w:rPr>
                <w:rFonts w:ascii="Arial" w:hAnsi="Arial" w:cs="Arial"/>
                <w:lang w:val="es-ES_tradnl"/>
              </w:rPr>
              <w:t>Línea Base para la evaluación de impacto del SGR en los FDR, FCR y FCTI.</w:t>
            </w:r>
            <w:bookmarkEnd w:id="4"/>
            <w:bookmarkEnd w:id="5"/>
            <w:bookmarkEnd w:id="6"/>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amplía la redacción para especificar los fondos para los cuales se levantó la línea base.</w:t>
            </w:r>
          </w:p>
        </w:tc>
      </w:tr>
      <w:tr>
        <w:trPr>
          <w:trHeight w:val="792"/>
        </w:trPr>
        <w:tc>
          <w:tcPr>
            <w:tcW w:w="0" w:type="auto"/>
            <w:vMerge/>
          </w:tcPr>
          <w:p>
            <w:pPr>
              <w:pStyle w:val="FootnoteText"/>
              <w:spacing w:before="40" w:after="40"/>
              <w:rPr>
                <w:rFonts w:ascii="Arial" w:hAnsi="Arial" w:cs="Arial"/>
                <w:b/>
                <w:lang w:val="es-ES_tradnl"/>
              </w:rPr>
            </w:pPr>
          </w:p>
        </w:tc>
        <w:tc>
          <w:tcPr>
            <w:tcW w:w="3368" w:type="dxa"/>
          </w:tcPr>
          <w:p>
            <w:pPr>
              <w:pStyle w:val="FootnoteText"/>
              <w:numPr>
                <w:ilvl w:val="0"/>
                <w:numId w:val="24"/>
              </w:numPr>
              <w:spacing w:before="40" w:after="40"/>
              <w:ind w:left="312"/>
              <w:rPr>
                <w:rFonts w:ascii="Arial" w:hAnsi="Arial" w:cs="Arial"/>
                <w:lang w:val="es-ES_tradnl"/>
              </w:rPr>
            </w:pPr>
            <w:bookmarkStart w:id="7" w:name="_Hlk493860636"/>
            <w:r>
              <w:rPr>
                <w:rFonts w:ascii="Arial" w:hAnsi="Arial" w:cs="Arial"/>
                <w:lang w:val="es-ES_tradnl"/>
              </w:rPr>
              <w:t>Incorporación de ajustes en base a los resultados de la Evaluación.</w:t>
            </w:r>
            <w:bookmarkEnd w:id="7"/>
          </w:p>
        </w:tc>
        <w:tc>
          <w:tcPr>
            <w:tcW w:w="3369" w:type="dxa"/>
          </w:tcPr>
          <w:p>
            <w:pPr>
              <w:pStyle w:val="FootnoteText"/>
              <w:numPr>
                <w:ilvl w:val="1"/>
                <w:numId w:val="32"/>
              </w:numPr>
              <w:spacing w:before="40" w:after="40"/>
              <w:rPr>
                <w:rFonts w:ascii="Arial" w:hAnsi="Arial" w:cs="Arial"/>
                <w:lang w:val="es-ES_tradnl"/>
              </w:rPr>
            </w:pPr>
            <w:bookmarkStart w:id="8" w:name="_Hlk493860647"/>
            <w:r>
              <w:rPr>
                <w:rFonts w:ascii="Arial" w:hAnsi="Arial" w:cs="Arial"/>
                <w:lang w:val="es-ES_tradnl"/>
              </w:rPr>
              <w:t>Modificación al SGR con base a los resultados de la evaluación institucional y de procesos del SGR</w:t>
            </w:r>
            <w:bookmarkEnd w:id="8"/>
            <w:r>
              <w:rPr>
                <w:rFonts w:ascii="Arial" w:hAnsi="Arial" w:cs="Arial"/>
                <w:lang w:val="es-ES_tradnl"/>
              </w:rPr>
              <w:t xml:space="preserve"> para incorporar un sistema de evaluación de proyectos por puntajes y redefinir plazos y responsabilidades en el ciclo del proyecto.</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ajusta la redacción para especificar que la medida de política responde a los resultados de la evaluación institucional y de procesos y para aclarar el alcance de los ajustes.</w:t>
            </w:r>
          </w:p>
        </w:tc>
      </w:tr>
      <w:tr>
        <w:trPr>
          <w:trHeight w:val="20"/>
        </w:trPr>
        <w:tc>
          <w:tcPr>
            <w:tcW w:w="0" w:type="auto"/>
            <w:vMerge/>
          </w:tcPr>
          <w:p>
            <w:pPr>
              <w:pStyle w:val="FootnoteText"/>
              <w:spacing w:before="40" w:after="40"/>
              <w:rPr>
                <w:rFonts w:ascii="Arial" w:hAnsi="Arial" w:cs="Arial"/>
                <w:b/>
                <w:lang w:val="es-ES_tradnl"/>
              </w:rPr>
            </w:pPr>
          </w:p>
        </w:tc>
        <w:tc>
          <w:tcPr>
            <w:tcW w:w="3368" w:type="dxa"/>
          </w:tcPr>
          <w:p>
            <w:pPr>
              <w:pStyle w:val="FootnoteText"/>
              <w:numPr>
                <w:ilvl w:val="0"/>
                <w:numId w:val="24"/>
              </w:numPr>
              <w:spacing w:before="40" w:after="40"/>
              <w:ind w:left="312"/>
              <w:rPr>
                <w:rFonts w:ascii="Arial" w:hAnsi="Arial" w:cs="Arial"/>
                <w:lang w:val="es-ES_tradnl"/>
              </w:rPr>
            </w:pPr>
            <w:r>
              <w:rPr>
                <w:rFonts w:ascii="Arial" w:hAnsi="Arial" w:cs="Arial"/>
                <w:lang w:val="es-ES_tradnl"/>
              </w:rPr>
              <w:t>Lanzamiento del SECOP 2 y firma de 5 nuevos acuerdos marco de precios. Vinculación de almacenes de grandes superficies a la Tienda Virtual del Estado (plataforma para los acuerdos marco).</w:t>
            </w:r>
          </w:p>
        </w:tc>
        <w:tc>
          <w:tcPr>
            <w:tcW w:w="3369" w:type="dxa"/>
          </w:tcPr>
          <w:p>
            <w:pPr>
              <w:pStyle w:val="FootnoteText"/>
              <w:numPr>
                <w:ilvl w:val="1"/>
                <w:numId w:val="32"/>
              </w:numPr>
              <w:spacing w:before="40" w:after="40"/>
              <w:rPr>
                <w:rFonts w:ascii="Arial" w:hAnsi="Arial" w:cs="Arial"/>
                <w:lang w:val="es-ES_tradnl"/>
              </w:rPr>
            </w:pPr>
            <w:bookmarkStart w:id="9" w:name="_Hlk493793149"/>
            <w:r>
              <w:rPr>
                <w:rFonts w:ascii="Arial" w:hAnsi="Arial" w:cs="Arial"/>
                <w:lang w:val="es-ES_tradnl"/>
              </w:rPr>
              <w:t>Lanzamiento del SECOP II y firma de cinco nuevos acuerdos marco de precios, vinculando almacenes de grandes superficies a la Tienda Virtual del Estado (plataforma para los acuerdos marco)</w:t>
            </w:r>
            <w:bookmarkEnd w:id="9"/>
            <w:r>
              <w:rPr>
                <w:rFonts w:ascii="Arial" w:hAnsi="Arial" w:cs="Arial"/>
                <w:lang w:val="es-ES_tradnl"/>
              </w:rPr>
              <w:t>.</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La acción de política se mantiene inalterada.</w:t>
            </w:r>
          </w:p>
        </w:tc>
      </w:tr>
      <w:tr>
        <w:trPr>
          <w:trHeight w:val="20"/>
        </w:trPr>
        <w:tc>
          <w:tcPr>
            <w:tcW w:w="12230" w:type="dxa"/>
            <w:gridSpan w:val="4"/>
            <w:shd w:val="clear" w:color="auto" w:fill="D9D9D9" w:themeFill="background1" w:themeFillShade="D9"/>
          </w:tcPr>
          <w:p>
            <w:pPr>
              <w:pStyle w:val="ListParagraph"/>
              <w:numPr>
                <w:ilvl w:val="0"/>
                <w:numId w:val="21"/>
              </w:numPr>
              <w:tabs>
                <w:tab w:val="left" w:pos="2340"/>
                <w:tab w:val="left" w:pos="2880"/>
              </w:tabs>
              <w:spacing w:before="40" w:after="40" w:line="240" w:lineRule="auto"/>
              <w:contextualSpacing w:val="0"/>
              <w:rPr>
                <w:rFonts w:ascii="Arial" w:hAnsi="Arial" w:cs="Arial"/>
                <w:b/>
                <w:lang w:val="es-ES_tradnl"/>
              </w:rPr>
            </w:pPr>
            <w:r>
              <w:rPr>
                <w:rFonts w:ascii="Arial" w:hAnsi="Arial" w:cs="Arial"/>
                <w:b/>
                <w:lang w:val="es-ES_tradnl"/>
              </w:rPr>
              <w:t>Mejorar la Gestión de la Deuda Pública y los Pasivos Contingentes</w:t>
            </w:r>
          </w:p>
        </w:tc>
      </w:tr>
      <w:tr>
        <w:trPr>
          <w:trHeight w:val="20"/>
        </w:trPr>
        <w:tc>
          <w:tcPr>
            <w:tcW w:w="0" w:type="auto"/>
            <w:vMerge w:val="restart"/>
          </w:tcPr>
          <w:p>
            <w:pPr>
              <w:pStyle w:val="FootnoteText"/>
              <w:spacing w:before="40" w:after="40"/>
              <w:rPr>
                <w:rFonts w:ascii="Arial" w:hAnsi="Arial" w:cs="Arial"/>
                <w:lang w:val="es-ES_tradnl"/>
              </w:rPr>
            </w:pPr>
            <w:r>
              <w:rPr>
                <w:rFonts w:ascii="Arial" w:hAnsi="Arial" w:cs="Arial"/>
                <w:lang w:val="es-ES_tradnl"/>
              </w:rPr>
              <w:t xml:space="preserve">Reducir la vulnerabilidad de las finanzas públicas </w:t>
            </w:r>
          </w:p>
        </w:tc>
        <w:tc>
          <w:tcPr>
            <w:tcW w:w="3368" w:type="dxa"/>
          </w:tcPr>
          <w:p>
            <w:pPr>
              <w:pStyle w:val="FootnoteText"/>
              <w:numPr>
                <w:ilvl w:val="1"/>
                <w:numId w:val="21"/>
              </w:numPr>
              <w:spacing w:before="40" w:after="40"/>
              <w:ind w:left="312"/>
              <w:rPr>
                <w:rFonts w:ascii="Arial" w:hAnsi="Arial" w:cs="Arial"/>
                <w:lang w:val="es-ES_tradnl"/>
              </w:rPr>
            </w:pPr>
            <w:r>
              <w:rPr>
                <w:rFonts w:ascii="Arial" w:hAnsi="Arial" w:cs="Arial"/>
                <w:iCs/>
                <w:lang w:val="es-ES_tradnl"/>
              </w:rPr>
              <w:t>Emisiones de la Deuda consistentes con la Nueva Estrategia de Deuda</w:t>
            </w:r>
            <w:r>
              <w:rPr>
                <w:rFonts w:ascii="Arial" w:hAnsi="Arial" w:cs="Arial"/>
                <w:lang w:val="es-ES_tradnl"/>
              </w:rPr>
              <w:t>.</w:t>
            </w:r>
          </w:p>
        </w:tc>
        <w:tc>
          <w:tcPr>
            <w:tcW w:w="3369" w:type="dxa"/>
          </w:tcPr>
          <w:p>
            <w:pPr>
              <w:pStyle w:val="FootnoteText"/>
              <w:numPr>
                <w:ilvl w:val="1"/>
                <w:numId w:val="33"/>
              </w:numPr>
              <w:spacing w:before="40" w:after="40"/>
              <w:rPr>
                <w:rFonts w:ascii="Arial" w:hAnsi="Arial" w:cs="Arial"/>
                <w:iCs/>
                <w:lang w:val="es-ES_tradnl"/>
              </w:rPr>
            </w:pPr>
            <w:r>
              <w:rPr>
                <w:rFonts w:ascii="Arial" w:hAnsi="Arial" w:cs="Arial"/>
                <w:iCs/>
                <w:lang w:val="es-ES_tradnl"/>
              </w:rPr>
              <w:t xml:space="preserve">Nueva Estrategia de Gestión de Deuda, orientada al aumento de la vida media, la reducción del costo y la minimización de exposición al </w:t>
            </w:r>
            <w:r>
              <w:rPr>
                <w:rFonts w:ascii="Arial" w:hAnsi="Arial" w:cs="Arial"/>
                <w:iCs/>
                <w:lang w:val="es-ES_tradnl"/>
              </w:rPr>
              <w:lastRenderedPageBreak/>
              <w:t>riesgo de la deuda, en ejecución.</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lastRenderedPageBreak/>
              <w:t>Se realiza un ajuste en la redacción y se aclara el alcance de la condición de política.</w:t>
            </w:r>
          </w:p>
        </w:tc>
      </w:tr>
      <w:tr>
        <w:trPr>
          <w:trHeight w:val="20"/>
        </w:trPr>
        <w:tc>
          <w:tcPr>
            <w:tcW w:w="0" w:type="auto"/>
            <w:vMerge/>
          </w:tcPr>
          <w:p>
            <w:pPr>
              <w:pStyle w:val="FootnoteText"/>
              <w:spacing w:before="40" w:after="40"/>
              <w:rPr>
                <w:rFonts w:ascii="Arial" w:hAnsi="Arial" w:cs="Arial"/>
                <w:lang w:val="es-ES_tradnl"/>
              </w:rPr>
            </w:pPr>
          </w:p>
        </w:tc>
        <w:tc>
          <w:tcPr>
            <w:tcW w:w="3368" w:type="dxa"/>
          </w:tcPr>
          <w:p>
            <w:pPr>
              <w:pStyle w:val="FootnoteText"/>
              <w:numPr>
                <w:ilvl w:val="1"/>
                <w:numId w:val="21"/>
              </w:numPr>
              <w:spacing w:before="40" w:after="40"/>
              <w:ind w:left="312"/>
              <w:rPr>
                <w:rFonts w:ascii="Arial" w:hAnsi="Arial" w:cs="Arial"/>
                <w:iCs/>
                <w:lang w:val="es-ES_tradnl"/>
              </w:rPr>
            </w:pPr>
            <w:r>
              <w:rPr>
                <w:rFonts w:ascii="Arial" w:hAnsi="Arial" w:cs="Arial"/>
                <w:iCs/>
                <w:lang w:val="es-ES_tradnl"/>
              </w:rPr>
              <w:t>Los contratos de APP firmados posteriormente a la adopción del Contrato Marco cumplen con las medidas establecidas.</w:t>
            </w:r>
          </w:p>
        </w:tc>
        <w:tc>
          <w:tcPr>
            <w:tcW w:w="3369" w:type="dxa"/>
          </w:tcPr>
          <w:p>
            <w:pPr>
              <w:pStyle w:val="FootnoteText"/>
              <w:numPr>
                <w:ilvl w:val="1"/>
                <w:numId w:val="33"/>
              </w:numPr>
              <w:spacing w:before="40" w:after="40"/>
              <w:rPr>
                <w:rFonts w:ascii="Arial" w:hAnsi="Arial" w:cs="Arial"/>
                <w:iCs/>
                <w:lang w:val="es-ES_tradnl"/>
              </w:rPr>
            </w:pPr>
            <w:r>
              <w:rPr>
                <w:rFonts w:ascii="Arial" w:hAnsi="Arial" w:cs="Arial"/>
                <w:iCs/>
                <w:lang w:val="es-ES_tradnl"/>
              </w:rPr>
              <w:t>Contratos de APP firmados posteriormente a la adopción del Contrato Marco cumplen con las medidas de mitigación de riesgo establecidas en el mismo.</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específica que las medidas establecidas en el contrato marco son de mitigación de riesgos.</w:t>
            </w:r>
          </w:p>
        </w:tc>
      </w:tr>
      <w:tr>
        <w:trPr>
          <w:trHeight w:val="20"/>
        </w:trPr>
        <w:tc>
          <w:tcPr>
            <w:tcW w:w="0" w:type="auto"/>
            <w:vMerge/>
          </w:tcPr>
          <w:p>
            <w:pPr>
              <w:pStyle w:val="FootnoteText"/>
              <w:spacing w:before="40" w:after="40"/>
              <w:rPr>
                <w:rFonts w:ascii="Arial" w:hAnsi="Arial" w:cs="Arial"/>
                <w:lang w:val="es-ES_tradnl"/>
              </w:rPr>
            </w:pPr>
          </w:p>
        </w:tc>
        <w:tc>
          <w:tcPr>
            <w:tcW w:w="3368" w:type="dxa"/>
          </w:tcPr>
          <w:p>
            <w:pPr>
              <w:pStyle w:val="FootnoteText"/>
              <w:numPr>
                <w:ilvl w:val="1"/>
                <w:numId w:val="21"/>
              </w:numPr>
              <w:spacing w:before="40" w:after="40"/>
              <w:ind w:left="312"/>
              <w:rPr>
                <w:rFonts w:ascii="Arial" w:hAnsi="Arial" w:cs="Arial"/>
                <w:iCs/>
                <w:lang w:val="es-ES_tradnl"/>
              </w:rPr>
            </w:pPr>
            <w:r>
              <w:rPr>
                <w:rFonts w:ascii="Arial" w:hAnsi="Arial" w:cs="Arial"/>
                <w:iCs/>
                <w:lang w:val="es-ES_tradnl"/>
              </w:rPr>
              <w:t>Creación de un comité interinstitucional para fortalecer el proceso de elaboración y aprobación de APP.</w:t>
            </w:r>
          </w:p>
        </w:tc>
        <w:tc>
          <w:tcPr>
            <w:tcW w:w="3369" w:type="dxa"/>
          </w:tcPr>
          <w:p>
            <w:pPr>
              <w:pStyle w:val="FootnoteText"/>
              <w:numPr>
                <w:ilvl w:val="1"/>
                <w:numId w:val="33"/>
              </w:numPr>
              <w:spacing w:before="40" w:after="40"/>
              <w:rPr>
                <w:rFonts w:ascii="Arial" w:hAnsi="Arial" w:cs="Arial"/>
                <w:lang w:val="es-ES_tradnl"/>
              </w:rPr>
            </w:pPr>
            <w:r>
              <w:rPr>
                <w:rFonts w:ascii="Arial" w:hAnsi="Arial" w:cs="Arial"/>
                <w:lang w:val="es-ES_tradnl"/>
              </w:rPr>
              <w:t>Subdirección de APP para fortalecer el proceso de elaboración y aprobación de APP en pleno funcionamiento.</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ajusta la medida para debido a que no se creó el comité y en su lugar se creó una subdirección de APP en el Ministerio de Hacienda para fortalecer el proceso de elaboración y aprobación de los contratos de APP.</w:t>
            </w:r>
          </w:p>
        </w:tc>
      </w:tr>
      <w:tr>
        <w:trPr>
          <w:trHeight w:val="20"/>
        </w:trPr>
        <w:tc>
          <w:tcPr>
            <w:tcW w:w="0" w:type="auto"/>
            <w:vMerge/>
          </w:tcPr>
          <w:p>
            <w:pPr>
              <w:pStyle w:val="FootnoteText"/>
              <w:spacing w:before="40" w:after="40"/>
              <w:rPr>
                <w:rFonts w:ascii="Arial" w:hAnsi="Arial" w:cs="Arial"/>
                <w:lang w:val="es-ES_tradnl"/>
              </w:rPr>
            </w:pPr>
          </w:p>
        </w:tc>
        <w:tc>
          <w:tcPr>
            <w:tcW w:w="3368" w:type="dxa"/>
          </w:tcPr>
          <w:p>
            <w:pPr>
              <w:pStyle w:val="FootnoteText"/>
              <w:numPr>
                <w:ilvl w:val="1"/>
                <w:numId w:val="21"/>
              </w:numPr>
              <w:spacing w:before="40" w:after="40"/>
              <w:ind w:left="312"/>
              <w:rPr>
                <w:rFonts w:ascii="Arial" w:hAnsi="Arial" w:cs="Arial"/>
                <w:iCs/>
                <w:lang w:val="es-ES_tradnl"/>
              </w:rPr>
            </w:pPr>
            <w:r>
              <w:rPr>
                <w:rFonts w:ascii="Arial" w:hAnsi="Arial" w:cs="Arial"/>
                <w:iCs/>
                <w:lang w:val="es-ES_tradnl"/>
              </w:rPr>
              <w:t>Implementación de la estrategia de política de gestión financiera pública para mitigar los riesgos fiscales por desastres naturales.</w:t>
            </w:r>
          </w:p>
        </w:tc>
        <w:tc>
          <w:tcPr>
            <w:tcW w:w="3369" w:type="dxa"/>
          </w:tcPr>
          <w:p>
            <w:pPr>
              <w:pStyle w:val="FootnoteText"/>
              <w:numPr>
                <w:ilvl w:val="1"/>
                <w:numId w:val="33"/>
              </w:numPr>
              <w:spacing w:before="40" w:after="40"/>
              <w:rPr>
                <w:rFonts w:ascii="Arial" w:hAnsi="Arial" w:cs="Arial"/>
                <w:lang w:val="es-ES_tradnl"/>
              </w:rPr>
            </w:pPr>
            <w:bookmarkStart w:id="10" w:name="_GoBack"/>
            <w:bookmarkEnd w:id="10"/>
            <w:r>
              <w:rPr>
                <w:rFonts w:ascii="Arial" w:hAnsi="Arial" w:cs="Arial"/>
                <w:lang w:val="es-ES_tradnl"/>
              </w:rPr>
              <w:t>Estrategia de política de gestión financiera pública, que incluya identificación de riesgos, diseño de instrumentos financieros y aseguramiento de activos públicos, para mitigar los riesgos fiscales por desastres naturales, implementada.</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realiza un ajuste en la redacción y se especifica el alcance de la estrategia, sin que ello altere la condición de política.</w:t>
            </w:r>
          </w:p>
        </w:tc>
      </w:tr>
      <w:tr>
        <w:trPr>
          <w:trHeight w:val="20"/>
        </w:trPr>
        <w:tc>
          <w:tcPr>
            <w:tcW w:w="0" w:type="auto"/>
            <w:vMerge/>
          </w:tcPr>
          <w:p>
            <w:pPr>
              <w:pStyle w:val="FootnoteText"/>
              <w:spacing w:before="40" w:after="40"/>
              <w:rPr>
                <w:rFonts w:ascii="Arial" w:hAnsi="Arial" w:cs="Arial"/>
                <w:lang w:val="es-ES_tradnl"/>
              </w:rPr>
            </w:pPr>
          </w:p>
        </w:tc>
        <w:tc>
          <w:tcPr>
            <w:tcW w:w="3368" w:type="dxa"/>
          </w:tcPr>
          <w:p>
            <w:pPr>
              <w:pStyle w:val="FootnoteText"/>
              <w:spacing w:before="40" w:after="40"/>
              <w:rPr>
                <w:rFonts w:ascii="Arial" w:hAnsi="Arial" w:cs="Arial"/>
                <w:lang w:val="es-ES_tradnl"/>
              </w:rPr>
            </w:pPr>
          </w:p>
        </w:tc>
        <w:tc>
          <w:tcPr>
            <w:tcW w:w="3369" w:type="dxa"/>
          </w:tcPr>
          <w:p>
            <w:pPr>
              <w:pStyle w:val="FootnoteText"/>
              <w:numPr>
                <w:ilvl w:val="1"/>
                <w:numId w:val="33"/>
              </w:numPr>
              <w:spacing w:before="40" w:after="40"/>
              <w:rPr>
                <w:rFonts w:ascii="Arial" w:hAnsi="Arial" w:cs="Arial"/>
                <w:iCs/>
                <w:lang w:val="es-ES_tradnl"/>
              </w:rPr>
            </w:pPr>
            <w:r>
              <w:rPr>
                <w:rFonts w:ascii="Arial" w:hAnsi="Arial" w:cs="Arial"/>
                <w:iCs/>
                <w:lang w:val="es-ES_tradnl"/>
              </w:rPr>
              <w:t>Política de fortalecimiento de la gestión de las empresas de propiedad estatal del orden nacional, que incluya una estrategia de gestión de activos y mecanismos de evaluación del desempeño de las empresas, aprobada e implementada.</w:t>
            </w:r>
          </w:p>
        </w:tc>
        <w:tc>
          <w:tcPr>
            <w:tcW w:w="3415" w:type="dxa"/>
          </w:tcPr>
          <w:p>
            <w:pPr>
              <w:pStyle w:val="FootnoteText"/>
              <w:spacing w:before="40" w:after="40"/>
              <w:ind w:left="-18"/>
              <w:rPr>
                <w:rFonts w:ascii="Arial" w:hAnsi="Arial" w:cs="Arial"/>
                <w:iCs/>
                <w:lang w:val="es-ES_tradnl"/>
              </w:rPr>
            </w:pPr>
            <w:r>
              <w:rPr>
                <w:rFonts w:ascii="Arial" w:hAnsi="Arial" w:cs="Arial"/>
                <w:iCs/>
                <w:lang w:val="es-ES_tradnl"/>
              </w:rPr>
              <w:t>Se incorpora esta nueva acción de política por estar alineada con el objetivo de reducir la vulnerabilidad ante riesgos por la gestión en empresas públicas. Las medidas son coherentes con el proceso de ingreso de Colombia a la OCDE.</w:t>
            </w:r>
          </w:p>
        </w:tc>
      </w:tr>
    </w:tbl>
    <w:p>
      <w:pPr>
        <w:pStyle w:val="Footer"/>
        <w:tabs>
          <w:tab w:val="clear" w:pos="4320"/>
          <w:tab w:val="clear" w:pos="8640"/>
        </w:tabs>
        <w:spacing w:beforeLines="40" w:before="96" w:afterLines="40" w:after="96"/>
        <w:rPr>
          <w:rFonts w:ascii="Arial" w:hAnsi="Arial" w:cs="Arial"/>
          <w:sz w:val="20"/>
          <w:lang w:val="es-ES"/>
        </w:rPr>
      </w:pPr>
      <w:r>
        <w:rPr>
          <w:rFonts w:ascii="Arial" w:hAnsi="Arial" w:cs="Arial"/>
          <w:sz w:val="20"/>
          <w:lang w:val="es-ES"/>
        </w:rPr>
        <w:br w:type="textWrapping" w:clear="all"/>
      </w:r>
    </w:p>
    <w:sectPr>
      <w:headerReference w:type="default" r:id="rId8"/>
      <w:footerReference w:type="even" r:id="rId9"/>
      <w:pgSz w:w="15840" w:h="12240" w:orient="landscape" w:code="1"/>
      <w:pgMar w:top="1440" w:right="1800" w:bottom="1440" w:left="18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 w:type="continuationNotice"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Grande">
    <w:altName w:val="Segoe UI"/>
    <w:charset w:val="00"/>
    <w:family w:val="auto"/>
    <w:pitch w:val="variable"/>
    <w:sig w:usb0="00000000" w:usb1="5000A1FF" w:usb2="00000000" w:usb3="00000000" w:csb0="000001BF" w:csb1="00000000"/>
  </w:font>
  <w:font w:name="Gotham Book">
    <w:panose1 w:val="00000000000000000000"/>
    <w:charset w:val="00"/>
    <w:family w:val="modern"/>
    <w:notTrueType/>
    <w:pitch w:val="variable"/>
    <w:sig w:usb0="A10000FF" w:usb1="4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w:t>
    </w:r>
    <w:r>
      <w:rPr>
        <w:rStyle w:val="PageNumber"/>
      </w:rPr>
      <w:fldChar w:fldCharType="end"/>
    </w:r>
  </w:p>
  <w:p>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type="continuationNotice" w:id="1">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right"/>
      <w:rPr>
        <w:rFonts w:ascii="Arial" w:hAnsi="Arial" w:cs="Arial"/>
        <w:bCs/>
        <w:sz w:val="18"/>
        <w:szCs w:val="18"/>
        <w:lang w:val="pt-BR"/>
      </w:rPr>
    </w:pPr>
    <w:r>
      <w:rPr>
        <w:rFonts w:ascii="Arial" w:hAnsi="Arial" w:cs="Arial"/>
        <w:bCs/>
        <w:sz w:val="18"/>
        <w:szCs w:val="18"/>
        <w:lang w:val="pt-BR"/>
      </w:rPr>
      <w:t>CO-L1227</w:t>
    </w:r>
  </w:p>
  <w:p>
    <w:pPr>
      <w:pStyle w:val="Header"/>
      <w:jc w:val="right"/>
      <w:rPr>
        <w:rFonts w:ascii="Arial" w:hAnsi="Arial" w:cs="Arial"/>
        <w:sz w:val="18"/>
        <w:szCs w:val="18"/>
        <w:lang w:val="pt-BR"/>
      </w:rPr>
    </w:pPr>
    <w:r>
      <w:rPr>
        <w:rFonts w:ascii="Arial" w:hAnsi="Arial" w:cs="Arial"/>
        <w:sz w:val="18"/>
        <w:szCs w:val="18"/>
        <w:lang w:val="pt-BR"/>
      </w:rPr>
      <w:t xml:space="preserve">Página </w:t>
    </w:r>
    <w:r>
      <w:rPr>
        <w:rStyle w:val="PageNumber"/>
        <w:rFonts w:ascii="Arial" w:hAnsi="Arial" w:cs="Arial"/>
        <w:sz w:val="18"/>
        <w:szCs w:val="18"/>
      </w:rPr>
      <w:fldChar w:fldCharType="begin"/>
    </w:r>
    <w:r>
      <w:rPr>
        <w:rStyle w:val="PageNumber"/>
        <w:rFonts w:ascii="Arial" w:hAnsi="Arial" w:cs="Arial"/>
        <w:sz w:val="18"/>
        <w:szCs w:val="18"/>
        <w:lang w:val="pt-BR"/>
      </w:rPr>
      <w:instrText xml:space="preserve"> PAGE </w:instrText>
    </w:r>
    <w:r>
      <w:rPr>
        <w:rStyle w:val="PageNumber"/>
        <w:rFonts w:ascii="Arial" w:hAnsi="Arial" w:cs="Arial"/>
        <w:sz w:val="18"/>
        <w:szCs w:val="18"/>
      </w:rPr>
      <w:fldChar w:fldCharType="separate"/>
    </w:r>
    <w:r>
      <w:rPr>
        <w:rStyle w:val="PageNumber"/>
        <w:rFonts w:ascii="Arial" w:hAnsi="Arial" w:cs="Arial"/>
        <w:noProof/>
        <w:sz w:val="18"/>
        <w:szCs w:val="18"/>
        <w:lang w:val="pt-BR"/>
      </w:rPr>
      <w:t>7</w:t>
    </w:r>
    <w:r>
      <w:rPr>
        <w:rStyle w:val="PageNumber"/>
        <w:rFonts w:ascii="Arial" w:hAnsi="Arial" w:cs="Arial"/>
        <w:sz w:val="18"/>
        <w:szCs w:val="18"/>
      </w:rPr>
      <w:fldChar w:fldCharType="end"/>
    </w:r>
    <w:r>
      <w:rPr>
        <w:rStyle w:val="PageNumber"/>
        <w:rFonts w:ascii="Arial" w:hAnsi="Arial" w:cs="Arial"/>
        <w:sz w:val="18"/>
        <w:szCs w:val="18"/>
        <w:lang w:val="pt-BR"/>
      </w:rPr>
      <w:t xml:space="preserve"> de </w:t>
    </w:r>
    <w:r>
      <w:rPr>
        <w:rStyle w:val="PageNumber"/>
        <w:rFonts w:ascii="Arial" w:hAnsi="Arial" w:cs="Arial"/>
        <w:sz w:val="18"/>
        <w:szCs w:val="18"/>
      </w:rPr>
      <w:fldChar w:fldCharType="begin"/>
    </w:r>
    <w:r>
      <w:rPr>
        <w:rStyle w:val="PageNumber"/>
        <w:rFonts w:ascii="Arial" w:hAnsi="Arial" w:cs="Arial"/>
        <w:sz w:val="18"/>
        <w:szCs w:val="18"/>
        <w:lang w:val="pt-BR"/>
      </w:rPr>
      <w:instrText xml:space="preserve"> NUMPAGES </w:instrText>
    </w:r>
    <w:r>
      <w:rPr>
        <w:rStyle w:val="PageNumber"/>
        <w:rFonts w:ascii="Arial" w:hAnsi="Arial" w:cs="Arial"/>
        <w:sz w:val="18"/>
        <w:szCs w:val="18"/>
      </w:rPr>
      <w:fldChar w:fldCharType="separate"/>
    </w:r>
    <w:r>
      <w:rPr>
        <w:rStyle w:val="PageNumber"/>
        <w:rFonts w:ascii="Arial" w:hAnsi="Arial" w:cs="Arial"/>
        <w:noProof/>
        <w:sz w:val="18"/>
        <w:szCs w:val="18"/>
        <w:lang w:val="pt-BR"/>
      </w:rPr>
      <w:t>7</w:t>
    </w:r>
    <w:r>
      <w:rPr>
        <w:rStyle w:val="PageNumber"/>
        <w:rFonts w:ascii="Arial" w:hAnsi="Arial" w:cs="Arial"/>
        <w:sz w:val="18"/>
        <w:szCs w:val="18"/>
      </w:rPr>
      <w:fldChar w:fldCharType="end"/>
    </w:r>
  </w:p>
  <w:p>
    <w:pPr>
      <w:pStyle w:val="Header"/>
      <w:jc w:val="right"/>
      <w:rPr>
        <w:sz w:val="18"/>
        <w:szCs w:val="18"/>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59E9"/>
    <w:multiLevelType w:val="multilevel"/>
    <w:tmpl w:val="2C283EB6"/>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28437DB"/>
    <w:multiLevelType w:val="hybridMultilevel"/>
    <w:tmpl w:val="C4B851DC"/>
    <w:lvl w:ilvl="0" w:tplc="4C48CCF6">
      <w:start w:val="1"/>
      <w:numFmt w:val="upperRoman"/>
      <w:lvlText w:val="%1."/>
      <w:lvlJc w:val="left"/>
      <w:pPr>
        <w:ind w:left="720" w:hanging="360"/>
      </w:pPr>
      <w:rPr>
        <w:rFonts w:hint="default"/>
      </w:rPr>
    </w:lvl>
    <w:lvl w:ilvl="1" w:tplc="D8EA325E">
      <w:start w:val="1"/>
      <w:numFmt w:val="decimal"/>
      <w:lvlText w:val="4.%2"/>
      <w:lvlJc w:val="left"/>
      <w:pPr>
        <w:ind w:left="1440" w:hanging="360"/>
      </w:pPr>
      <w:rPr>
        <w:rFonts w:hint="default"/>
        <w:sz w:val="20"/>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62D2EFF"/>
    <w:multiLevelType w:val="multilevel"/>
    <w:tmpl w:val="65C8233C"/>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84741C0"/>
    <w:multiLevelType w:val="multilevel"/>
    <w:tmpl w:val="D51AFE3C"/>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68332E"/>
    <w:multiLevelType w:val="multilevel"/>
    <w:tmpl w:val="0534F40C"/>
    <w:lvl w:ilvl="0">
      <w:start w:val="1"/>
      <w:numFmt w:val="decimal"/>
      <w:lvlText w:val="2.%1"/>
      <w:lvlJc w:val="right"/>
      <w:pPr>
        <w:ind w:left="360" w:hanging="360"/>
      </w:pPr>
      <w:rPr>
        <w:rFonts w:hint="default"/>
        <w:sz w:val="18"/>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C956D30"/>
    <w:multiLevelType w:val="multilevel"/>
    <w:tmpl w:val="1EF62FC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F444C0A"/>
    <w:multiLevelType w:val="multilevel"/>
    <w:tmpl w:val="FA46D4DE"/>
    <w:lvl w:ilvl="0">
      <w:start w:val="3"/>
      <w:numFmt w:val="decimal"/>
      <w:lvlText w:val="%1"/>
      <w:lvlJc w:val="left"/>
      <w:pPr>
        <w:ind w:left="360" w:hanging="360"/>
      </w:pPr>
      <w:rPr>
        <w:rFonts w:hint="default"/>
      </w:rPr>
    </w:lvl>
    <w:lvl w:ilvl="1">
      <w:start w:val="1"/>
      <w:numFmt w:val="decimal"/>
      <w:lvlText w:val="%1.4"/>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1977EC0"/>
    <w:multiLevelType w:val="hybridMultilevel"/>
    <w:tmpl w:val="F20C7528"/>
    <w:lvl w:ilvl="0" w:tplc="8C62318A">
      <w:start w:val="1"/>
      <w:numFmt w:val="upperRoman"/>
      <w:lvlText w:val="%1."/>
      <w:lvlJc w:val="left"/>
      <w:pPr>
        <w:ind w:left="698" w:hanging="720"/>
      </w:pPr>
      <w:rPr>
        <w:rFonts w:hint="default"/>
      </w:rPr>
    </w:lvl>
    <w:lvl w:ilvl="1" w:tplc="040A0019" w:tentative="1">
      <w:start w:val="1"/>
      <w:numFmt w:val="lowerLetter"/>
      <w:lvlText w:val="%2."/>
      <w:lvlJc w:val="left"/>
      <w:pPr>
        <w:ind w:left="1058" w:hanging="360"/>
      </w:pPr>
    </w:lvl>
    <w:lvl w:ilvl="2" w:tplc="040A001B" w:tentative="1">
      <w:start w:val="1"/>
      <w:numFmt w:val="lowerRoman"/>
      <w:lvlText w:val="%3."/>
      <w:lvlJc w:val="right"/>
      <w:pPr>
        <w:ind w:left="1778" w:hanging="180"/>
      </w:pPr>
    </w:lvl>
    <w:lvl w:ilvl="3" w:tplc="040A000F" w:tentative="1">
      <w:start w:val="1"/>
      <w:numFmt w:val="decimal"/>
      <w:lvlText w:val="%4."/>
      <w:lvlJc w:val="left"/>
      <w:pPr>
        <w:ind w:left="2498" w:hanging="360"/>
      </w:pPr>
    </w:lvl>
    <w:lvl w:ilvl="4" w:tplc="040A0019" w:tentative="1">
      <w:start w:val="1"/>
      <w:numFmt w:val="lowerLetter"/>
      <w:lvlText w:val="%5."/>
      <w:lvlJc w:val="left"/>
      <w:pPr>
        <w:ind w:left="3218" w:hanging="360"/>
      </w:pPr>
    </w:lvl>
    <w:lvl w:ilvl="5" w:tplc="040A001B" w:tentative="1">
      <w:start w:val="1"/>
      <w:numFmt w:val="lowerRoman"/>
      <w:lvlText w:val="%6."/>
      <w:lvlJc w:val="right"/>
      <w:pPr>
        <w:ind w:left="3938" w:hanging="180"/>
      </w:pPr>
    </w:lvl>
    <w:lvl w:ilvl="6" w:tplc="040A000F" w:tentative="1">
      <w:start w:val="1"/>
      <w:numFmt w:val="decimal"/>
      <w:lvlText w:val="%7."/>
      <w:lvlJc w:val="left"/>
      <w:pPr>
        <w:ind w:left="4658" w:hanging="360"/>
      </w:pPr>
    </w:lvl>
    <w:lvl w:ilvl="7" w:tplc="040A0019" w:tentative="1">
      <w:start w:val="1"/>
      <w:numFmt w:val="lowerLetter"/>
      <w:lvlText w:val="%8."/>
      <w:lvlJc w:val="left"/>
      <w:pPr>
        <w:ind w:left="5378" w:hanging="360"/>
      </w:pPr>
    </w:lvl>
    <w:lvl w:ilvl="8" w:tplc="040A001B" w:tentative="1">
      <w:start w:val="1"/>
      <w:numFmt w:val="lowerRoman"/>
      <w:lvlText w:val="%9."/>
      <w:lvlJc w:val="right"/>
      <w:pPr>
        <w:ind w:left="6098" w:hanging="180"/>
      </w:pPr>
    </w:lvl>
  </w:abstractNum>
  <w:abstractNum w:abstractNumId="8" w15:restartNumberingAfterBreak="0">
    <w:nsid w:val="17CE6F4E"/>
    <w:multiLevelType w:val="multilevel"/>
    <w:tmpl w:val="F162F5EE"/>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DAD1D2A"/>
    <w:multiLevelType w:val="hybridMultilevel"/>
    <w:tmpl w:val="872872EC"/>
    <w:lvl w:ilvl="0" w:tplc="8184174E">
      <w:start w:val="1"/>
      <w:numFmt w:val="decimal"/>
      <w:lvlText w:val="1.%1"/>
      <w:lvlJc w:val="left"/>
      <w:pPr>
        <w:ind w:left="720" w:hanging="360"/>
      </w:pPr>
      <w:rPr>
        <w:rFonts w:hint="default"/>
        <w:sz w:val="20"/>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67177C6"/>
    <w:multiLevelType w:val="hybridMultilevel"/>
    <w:tmpl w:val="A89CE7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DFA1CC3"/>
    <w:multiLevelType w:val="multilevel"/>
    <w:tmpl w:val="1B60A7A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C90107"/>
    <w:multiLevelType w:val="hybridMultilevel"/>
    <w:tmpl w:val="1D4AEAEE"/>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327D68"/>
    <w:multiLevelType w:val="hybridMultilevel"/>
    <w:tmpl w:val="FEEA1554"/>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4584A73"/>
    <w:multiLevelType w:val="hybridMultilevel"/>
    <w:tmpl w:val="AF9A34D0"/>
    <w:lvl w:ilvl="0" w:tplc="01CEA7B8">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5" w15:restartNumberingAfterBreak="0">
    <w:nsid w:val="350113B3"/>
    <w:multiLevelType w:val="multilevel"/>
    <w:tmpl w:val="52224B48"/>
    <w:lvl w:ilvl="0">
      <w:start w:val="3"/>
      <w:numFmt w:val="decimal"/>
      <w:lvlText w:val="%1"/>
      <w:lvlJc w:val="left"/>
      <w:pPr>
        <w:ind w:left="360" w:hanging="360"/>
      </w:pPr>
      <w:rPr>
        <w:rFonts w:hint="default"/>
      </w:rPr>
    </w:lvl>
    <w:lvl w:ilvl="1">
      <w:start w:val="4"/>
      <w:numFmt w:val="decimal"/>
      <w:lvlText w:val="%1.%2"/>
      <w:lvlJc w:val="left"/>
      <w:pPr>
        <w:ind w:left="781" w:hanging="360"/>
      </w:pPr>
      <w:rPr>
        <w:rFonts w:hint="default"/>
      </w:rPr>
    </w:lvl>
    <w:lvl w:ilvl="2">
      <w:start w:val="1"/>
      <w:numFmt w:val="decimal"/>
      <w:lvlText w:val="%1.%2.%3"/>
      <w:lvlJc w:val="left"/>
      <w:pPr>
        <w:ind w:left="1562" w:hanging="720"/>
      </w:pPr>
      <w:rPr>
        <w:rFonts w:hint="default"/>
      </w:rPr>
    </w:lvl>
    <w:lvl w:ilvl="3">
      <w:start w:val="1"/>
      <w:numFmt w:val="decimal"/>
      <w:lvlText w:val="%1.%2.%3.%4"/>
      <w:lvlJc w:val="left"/>
      <w:pPr>
        <w:ind w:left="1983" w:hanging="720"/>
      </w:pPr>
      <w:rPr>
        <w:rFonts w:hint="default"/>
      </w:rPr>
    </w:lvl>
    <w:lvl w:ilvl="4">
      <w:start w:val="1"/>
      <w:numFmt w:val="decimal"/>
      <w:lvlText w:val="%1.%2.%3.%4.%5"/>
      <w:lvlJc w:val="left"/>
      <w:pPr>
        <w:ind w:left="2764" w:hanging="1080"/>
      </w:pPr>
      <w:rPr>
        <w:rFonts w:hint="default"/>
      </w:rPr>
    </w:lvl>
    <w:lvl w:ilvl="5">
      <w:start w:val="1"/>
      <w:numFmt w:val="decimal"/>
      <w:lvlText w:val="%1.%2.%3.%4.%5.%6"/>
      <w:lvlJc w:val="left"/>
      <w:pPr>
        <w:ind w:left="3185" w:hanging="1080"/>
      </w:pPr>
      <w:rPr>
        <w:rFonts w:hint="default"/>
      </w:rPr>
    </w:lvl>
    <w:lvl w:ilvl="6">
      <w:start w:val="1"/>
      <w:numFmt w:val="decimal"/>
      <w:lvlText w:val="%1.%2.%3.%4.%5.%6.%7"/>
      <w:lvlJc w:val="left"/>
      <w:pPr>
        <w:ind w:left="3966" w:hanging="1440"/>
      </w:pPr>
      <w:rPr>
        <w:rFonts w:hint="default"/>
      </w:rPr>
    </w:lvl>
    <w:lvl w:ilvl="7">
      <w:start w:val="1"/>
      <w:numFmt w:val="decimal"/>
      <w:lvlText w:val="%1.%2.%3.%4.%5.%6.%7.%8"/>
      <w:lvlJc w:val="left"/>
      <w:pPr>
        <w:ind w:left="4387" w:hanging="1440"/>
      </w:pPr>
      <w:rPr>
        <w:rFonts w:hint="default"/>
      </w:rPr>
    </w:lvl>
    <w:lvl w:ilvl="8">
      <w:start w:val="1"/>
      <w:numFmt w:val="decimal"/>
      <w:lvlText w:val="%1.%2.%3.%4.%5.%6.%7.%8.%9"/>
      <w:lvlJc w:val="left"/>
      <w:pPr>
        <w:ind w:left="5168" w:hanging="1800"/>
      </w:pPr>
      <w:rPr>
        <w:rFonts w:hint="default"/>
      </w:rPr>
    </w:lvl>
  </w:abstractNum>
  <w:abstractNum w:abstractNumId="16" w15:restartNumberingAfterBreak="0">
    <w:nsid w:val="3F3B763A"/>
    <w:multiLevelType w:val="hybridMultilevel"/>
    <w:tmpl w:val="010EBC82"/>
    <w:lvl w:ilvl="0" w:tplc="8184174E">
      <w:start w:val="1"/>
      <w:numFmt w:val="decimal"/>
      <w:lvlText w:val="1.%1"/>
      <w:lvlJc w:val="left"/>
      <w:pPr>
        <w:ind w:left="720" w:hanging="360"/>
      </w:pPr>
      <w:rPr>
        <w:rFonts w:hint="default"/>
        <w:sz w:val="20"/>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3F8212C3"/>
    <w:multiLevelType w:val="hybridMultilevel"/>
    <w:tmpl w:val="A6687724"/>
    <w:lvl w:ilvl="0" w:tplc="FD124728">
      <w:start w:val="1"/>
      <w:numFmt w:val="decimal"/>
      <w:lvlText w:val="3.%1"/>
      <w:lvlJc w:val="left"/>
      <w:pPr>
        <w:ind w:left="702" w:hanging="360"/>
      </w:pPr>
      <w:rPr>
        <w:rFonts w:hint="default"/>
        <w:sz w:val="20"/>
      </w:rPr>
    </w:lvl>
    <w:lvl w:ilvl="1" w:tplc="040A0019" w:tentative="1">
      <w:start w:val="1"/>
      <w:numFmt w:val="lowerLetter"/>
      <w:lvlText w:val="%2."/>
      <w:lvlJc w:val="left"/>
      <w:pPr>
        <w:ind w:left="1422" w:hanging="360"/>
      </w:pPr>
    </w:lvl>
    <w:lvl w:ilvl="2" w:tplc="040A001B" w:tentative="1">
      <w:start w:val="1"/>
      <w:numFmt w:val="lowerRoman"/>
      <w:lvlText w:val="%3."/>
      <w:lvlJc w:val="right"/>
      <w:pPr>
        <w:ind w:left="2142" w:hanging="180"/>
      </w:pPr>
    </w:lvl>
    <w:lvl w:ilvl="3" w:tplc="040A000F" w:tentative="1">
      <w:start w:val="1"/>
      <w:numFmt w:val="decimal"/>
      <w:lvlText w:val="%4."/>
      <w:lvlJc w:val="left"/>
      <w:pPr>
        <w:ind w:left="2862" w:hanging="360"/>
      </w:pPr>
    </w:lvl>
    <w:lvl w:ilvl="4" w:tplc="040A0019" w:tentative="1">
      <w:start w:val="1"/>
      <w:numFmt w:val="lowerLetter"/>
      <w:lvlText w:val="%5."/>
      <w:lvlJc w:val="left"/>
      <w:pPr>
        <w:ind w:left="3582" w:hanging="360"/>
      </w:pPr>
    </w:lvl>
    <w:lvl w:ilvl="5" w:tplc="040A001B" w:tentative="1">
      <w:start w:val="1"/>
      <w:numFmt w:val="lowerRoman"/>
      <w:lvlText w:val="%6."/>
      <w:lvlJc w:val="right"/>
      <w:pPr>
        <w:ind w:left="4302" w:hanging="180"/>
      </w:pPr>
    </w:lvl>
    <w:lvl w:ilvl="6" w:tplc="040A000F" w:tentative="1">
      <w:start w:val="1"/>
      <w:numFmt w:val="decimal"/>
      <w:lvlText w:val="%7."/>
      <w:lvlJc w:val="left"/>
      <w:pPr>
        <w:ind w:left="5022" w:hanging="360"/>
      </w:pPr>
    </w:lvl>
    <w:lvl w:ilvl="7" w:tplc="040A0019" w:tentative="1">
      <w:start w:val="1"/>
      <w:numFmt w:val="lowerLetter"/>
      <w:lvlText w:val="%8."/>
      <w:lvlJc w:val="left"/>
      <w:pPr>
        <w:ind w:left="5742" w:hanging="360"/>
      </w:pPr>
    </w:lvl>
    <w:lvl w:ilvl="8" w:tplc="040A001B" w:tentative="1">
      <w:start w:val="1"/>
      <w:numFmt w:val="lowerRoman"/>
      <w:lvlText w:val="%9."/>
      <w:lvlJc w:val="right"/>
      <w:pPr>
        <w:ind w:left="6462" w:hanging="180"/>
      </w:pPr>
    </w:lvl>
  </w:abstractNum>
  <w:abstractNum w:abstractNumId="18" w15:restartNumberingAfterBreak="0">
    <w:nsid w:val="410A4C70"/>
    <w:multiLevelType w:val="multilevel"/>
    <w:tmpl w:val="38A6975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5227C0B"/>
    <w:multiLevelType w:val="hybridMultilevel"/>
    <w:tmpl w:val="85AA3F4C"/>
    <w:lvl w:ilvl="0" w:tplc="9E6042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B250C1B"/>
    <w:multiLevelType w:val="hybridMultilevel"/>
    <w:tmpl w:val="1D7090A6"/>
    <w:lvl w:ilvl="0" w:tplc="2DB6F958">
      <w:start w:val="1"/>
      <w:numFmt w:val="decimal"/>
      <w:lvlText w:val="3.%1"/>
      <w:lvlJc w:val="right"/>
      <w:pPr>
        <w:ind w:left="720" w:hanging="360"/>
      </w:pPr>
      <w:rPr>
        <w:rFonts w:hint="default"/>
        <w:sz w:val="18"/>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4F6F09F5"/>
    <w:multiLevelType w:val="multilevel"/>
    <w:tmpl w:val="55284A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F926818"/>
    <w:multiLevelType w:val="multilevel"/>
    <w:tmpl w:val="761EE20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3094A9B"/>
    <w:multiLevelType w:val="multilevel"/>
    <w:tmpl w:val="F162F5E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57A6EFE"/>
    <w:multiLevelType w:val="hybridMultilevel"/>
    <w:tmpl w:val="010EBC82"/>
    <w:lvl w:ilvl="0" w:tplc="8184174E">
      <w:start w:val="1"/>
      <w:numFmt w:val="decimal"/>
      <w:lvlText w:val="1.%1"/>
      <w:lvlJc w:val="left"/>
      <w:pPr>
        <w:ind w:left="720" w:hanging="360"/>
      </w:pPr>
      <w:rPr>
        <w:rFonts w:hint="default"/>
        <w:sz w:val="20"/>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5" w15:restartNumberingAfterBreak="0">
    <w:nsid w:val="5EFE01DB"/>
    <w:multiLevelType w:val="hybridMultilevel"/>
    <w:tmpl w:val="010EBC82"/>
    <w:lvl w:ilvl="0" w:tplc="8184174E">
      <w:start w:val="1"/>
      <w:numFmt w:val="decimal"/>
      <w:lvlText w:val="1.%1"/>
      <w:lvlJc w:val="left"/>
      <w:pPr>
        <w:ind w:left="720" w:hanging="360"/>
      </w:pPr>
      <w:rPr>
        <w:rFonts w:hint="default"/>
        <w:sz w:val="20"/>
      </w:rPr>
    </w:lvl>
    <w:lvl w:ilvl="1" w:tplc="040A0019">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6" w15:restartNumberingAfterBreak="0">
    <w:nsid w:val="6CFB37EF"/>
    <w:multiLevelType w:val="multilevel"/>
    <w:tmpl w:val="2612DF0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DA81213"/>
    <w:multiLevelType w:val="hybridMultilevel"/>
    <w:tmpl w:val="14D4784E"/>
    <w:lvl w:ilvl="0" w:tplc="C2003128">
      <w:start w:val="1"/>
      <w:numFmt w:val="decimal"/>
      <w:lvlText w:val="2.%1"/>
      <w:lvlJc w:val="left"/>
      <w:pPr>
        <w:ind w:left="720" w:hanging="360"/>
      </w:pPr>
      <w:rPr>
        <w:rFonts w:hint="default"/>
        <w:sz w:val="20"/>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8" w15:restartNumberingAfterBreak="0">
    <w:nsid w:val="6DAF17E1"/>
    <w:multiLevelType w:val="multilevel"/>
    <w:tmpl w:val="F162F5E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58F4429"/>
    <w:multiLevelType w:val="multilevel"/>
    <w:tmpl w:val="500A1FF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75A62EC3"/>
    <w:multiLevelType w:val="multilevel"/>
    <w:tmpl w:val="E59C31A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5E24FF"/>
    <w:multiLevelType w:val="multilevel"/>
    <w:tmpl w:val="E52EC38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99471BF"/>
    <w:multiLevelType w:val="multilevel"/>
    <w:tmpl w:val="F162F5E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A6D6F7B"/>
    <w:multiLevelType w:val="hybridMultilevel"/>
    <w:tmpl w:val="E1FAE2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5A76ED"/>
    <w:multiLevelType w:val="multilevel"/>
    <w:tmpl w:val="88A499F8"/>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0"/>
  </w:num>
  <w:num w:numId="3">
    <w:abstractNumId w:val="18"/>
  </w:num>
  <w:num w:numId="4">
    <w:abstractNumId w:val="2"/>
  </w:num>
  <w:num w:numId="5">
    <w:abstractNumId w:val="15"/>
  </w:num>
  <w:num w:numId="6">
    <w:abstractNumId w:val="22"/>
  </w:num>
  <w:num w:numId="7">
    <w:abstractNumId w:val="29"/>
  </w:num>
  <w:num w:numId="8">
    <w:abstractNumId w:val="26"/>
  </w:num>
  <w:num w:numId="9">
    <w:abstractNumId w:val="33"/>
  </w:num>
  <w:num w:numId="10">
    <w:abstractNumId w:val="12"/>
  </w:num>
  <w:num w:numId="11">
    <w:abstractNumId w:val="10"/>
  </w:num>
  <w:num w:numId="12">
    <w:abstractNumId w:val="34"/>
  </w:num>
  <w:num w:numId="13">
    <w:abstractNumId w:val="5"/>
  </w:num>
  <w:num w:numId="14">
    <w:abstractNumId w:val="19"/>
  </w:num>
  <w:num w:numId="15">
    <w:abstractNumId w:val="14"/>
  </w:num>
  <w:num w:numId="16">
    <w:abstractNumId w:val="7"/>
  </w:num>
  <w:num w:numId="17">
    <w:abstractNumId w:val="24"/>
  </w:num>
  <w:num w:numId="18">
    <w:abstractNumId w:val="21"/>
  </w:num>
  <w:num w:numId="19">
    <w:abstractNumId w:val="9"/>
  </w:num>
  <w:num w:numId="20">
    <w:abstractNumId w:val="16"/>
  </w:num>
  <w:num w:numId="21">
    <w:abstractNumId w:val="1"/>
  </w:num>
  <w:num w:numId="22">
    <w:abstractNumId w:val="27"/>
  </w:num>
  <w:num w:numId="23">
    <w:abstractNumId w:val="4"/>
  </w:num>
  <w:num w:numId="24">
    <w:abstractNumId w:val="17"/>
  </w:num>
  <w:num w:numId="25">
    <w:abstractNumId w:val="20"/>
  </w:num>
  <w:num w:numId="26">
    <w:abstractNumId w:val="25"/>
  </w:num>
  <w:num w:numId="27">
    <w:abstractNumId w:val="31"/>
  </w:num>
  <w:num w:numId="28">
    <w:abstractNumId w:val="13"/>
  </w:num>
  <w:num w:numId="29">
    <w:abstractNumId w:val="11"/>
  </w:num>
  <w:num w:numId="30">
    <w:abstractNumId w:val="8"/>
  </w:num>
  <w:num w:numId="31">
    <w:abstractNumId w:val="28"/>
  </w:num>
  <w:num w:numId="32">
    <w:abstractNumId w:val="23"/>
  </w:num>
  <w:num w:numId="33">
    <w:abstractNumId w:val="32"/>
  </w:num>
  <w:num w:numId="34">
    <w:abstractNumId w:val="3"/>
  </w:num>
  <w:num w:numId="35">
    <w:abstractNumId w:val="3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ctiveWritingStyle w:appName="MSWord" w:lang="es-ES_tradnl" w:vendorID="9" w:dllVersion="512" w:checkStyle="1"/>
  <w:activeWritingStyle w:appName="MSWord" w:lang="pt-BR" w:vendorID="1" w:dllVersion="513" w:checkStyle="1"/>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outlineLvl w:val="0"/>
    </w:pPr>
    <w:rPr>
      <w:b/>
      <w:bCs/>
      <w:lang w:val="es-ES"/>
    </w:rPr>
  </w:style>
  <w:style w:type="paragraph" w:styleId="Heading2">
    <w:name w:val="heading 2"/>
    <w:basedOn w:val="Normal"/>
    <w:next w:val="Normal"/>
    <w:qFormat/>
    <w:pPr>
      <w:keepNext/>
      <w:outlineLvl w:val="1"/>
    </w:pPr>
    <w:rPr>
      <w:i/>
      <w:lang w:val="es-ES"/>
    </w:rPr>
  </w:style>
  <w:style w:type="paragraph" w:styleId="Heading3">
    <w:name w:val="heading 3"/>
    <w:basedOn w:val="Normal"/>
    <w:next w:val="Normal"/>
    <w:qFormat/>
    <w:pPr>
      <w:keepNext/>
      <w:jc w:val="right"/>
      <w:outlineLvl w:val="2"/>
    </w:pPr>
    <w:rPr>
      <w:b/>
      <w:lang w:val="es-ES"/>
    </w:rPr>
  </w:style>
  <w:style w:type="paragraph" w:styleId="Heading4">
    <w:name w:val="heading 4"/>
    <w:basedOn w:val="Normal"/>
    <w:next w:val="Normal"/>
    <w:qFormat/>
    <w:pPr>
      <w:keepNext/>
      <w:jc w:val="right"/>
      <w:outlineLvl w:val="3"/>
    </w:pPr>
    <w:rPr>
      <w:rFonts w:ascii="Arial Black" w:hAnsi="Arial Black"/>
      <w:b/>
      <w:bCs/>
      <w:sz w:val="20"/>
      <w:lang w:val="es-ES_tradnl"/>
    </w:rPr>
  </w:style>
  <w:style w:type="paragraph" w:styleId="Heading5">
    <w:name w:val="heading 5"/>
    <w:basedOn w:val="Normal"/>
    <w:next w:val="Normal"/>
    <w:qFormat/>
    <w:pPr>
      <w:keepNext/>
      <w:jc w:val="center"/>
      <w:outlineLvl w:val="4"/>
    </w:pPr>
    <w:rPr>
      <w:i/>
      <w:iCs/>
      <w:sz w:val="22"/>
      <w:lang w:val="es-ES"/>
    </w:rPr>
  </w:style>
  <w:style w:type="paragraph" w:styleId="Heading6">
    <w:name w:val="heading 6"/>
    <w:basedOn w:val="Normal"/>
    <w:next w:val="Normal"/>
    <w:qFormat/>
    <w:pPr>
      <w:keepNext/>
      <w:keepLines/>
      <w:outlineLvl w:val="5"/>
    </w:pPr>
    <w:rPr>
      <w:b/>
      <w:bCs/>
      <w:color w:val="000000"/>
      <w:sz w:val="20"/>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Lucida Grande" w:hAnsi="Lucida Grande"/>
      <w:sz w:val="18"/>
      <w:szCs w:val="18"/>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NOTES"/>
    <w:basedOn w:val="Normal"/>
    <w:link w:val="FootnoteTextChar"/>
    <w:qFormat/>
    <w:rPr>
      <w:sz w:val="20"/>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
    <w:link w:val="Char2"/>
    <w:qFormat/>
    <w:rPr>
      <w:vertAlign w:val="superscript"/>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Emphasis">
    <w:name w:val="Emphasis"/>
    <w:qFormat/>
    <w:rPr>
      <w:i/>
      <w:iCs/>
    </w:rPr>
  </w:style>
  <w:style w:type="paragraph" w:styleId="BodyText">
    <w:name w:val="Body Text"/>
    <w:basedOn w:val="Normal"/>
    <w:rPr>
      <w:sz w:val="20"/>
      <w:lang w:val="es-ES_tradnl"/>
    </w:rPr>
  </w:style>
  <w:style w:type="paragraph" w:styleId="NormalWeb">
    <w:name w:val="Normal (Web)"/>
    <w:basedOn w:val="Normal"/>
    <w:uiPriority w:val="99"/>
    <w:pPr>
      <w:spacing w:before="100" w:beforeAutospacing="1" w:after="100" w:afterAutospacing="1"/>
    </w:pPr>
    <w:rPr>
      <w:color w:val="000000"/>
      <w:szCs w:val="24"/>
    </w:rPr>
  </w:style>
  <w:style w:type="paragraph" w:styleId="BodyText2">
    <w:name w:val="Body Text 2"/>
    <w:basedOn w:val="Normal"/>
    <w:rPr>
      <w:i/>
      <w:iCs/>
      <w:sz w:val="20"/>
      <w:lang w:val="es-ES_tradnl"/>
    </w:rPr>
  </w:style>
  <w:style w:type="paragraph" w:styleId="BodyText3">
    <w:name w:val="Body Text 3"/>
    <w:basedOn w:val="Normal"/>
    <w:pPr>
      <w:keepNext/>
      <w:keepLines/>
      <w:jc w:val="both"/>
    </w:pPr>
    <w:rPr>
      <w:sz w:val="20"/>
      <w:lang w:val="es-ES"/>
    </w:rPr>
  </w:style>
  <w:style w:type="character" w:customStyle="1" w:styleId="BodyTextChar">
    <w:name w:val="Body Text Char"/>
    <w:rPr>
      <w:sz w:val="28"/>
      <w:lang w:val="es-ES_tradnl" w:eastAsia="en-US" w:bidi="ar-SA"/>
    </w:rPr>
  </w:style>
  <w:style w:type="paragraph" w:styleId="BodyTextIndent">
    <w:name w:val="Body Text Indent"/>
    <w:basedOn w:val="Normal"/>
    <w:pPr>
      <w:ind w:left="360"/>
    </w:pPr>
    <w:rPr>
      <w:i/>
      <w:iCs/>
      <w:lang w:val="es-ES_tradnl"/>
    </w:rPr>
  </w:style>
  <w:style w:type="paragraph" w:customStyle="1" w:styleId="Textodeglobo1">
    <w:name w:val="Texto de globo1"/>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rPr>
  </w:style>
  <w:style w:type="paragraph" w:customStyle="1" w:styleId="Asuntodelcomentario1">
    <w:name w:val="Asunto del comentario1"/>
    <w:basedOn w:val="CommentText"/>
    <w:next w:val="CommentText"/>
    <w:semiHidden/>
    <w:rPr>
      <w:b/>
      <w:bCs/>
    </w:rPr>
  </w:style>
  <w:style w:type="paragraph" w:styleId="Header">
    <w:name w:val="header"/>
    <w:basedOn w:val="Normal"/>
    <w:pPr>
      <w:tabs>
        <w:tab w:val="center" w:pos="4320"/>
        <w:tab w:val="right" w:pos="8640"/>
      </w:tabs>
    </w:pPr>
  </w:style>
  <w:style w:type="paragraph" w:styleId="Title">
    <w:name w:val="Title"/>
    <w:basedOn w:val="Normal"/>
    <w:qFormat/>
    <w:pPr>
      <w:jc w:val="center"/>
    </w:pPr>
    <w:rPr>
      <w:b/>
      <w:lang w:val="es-ES"/>
    </w:rPr>
  </w:style>
  <w:style w:type="paragraph" w:styleId="EndnoteText">
    <w:name w:val="endnote text"/>
    <w:basedOn w:val="Normal"/>
    <w:semiHidden/>
    <w:rPr>
      <w:sz w:val="20"/>
    </w:rPr>
  </w:style>
  <w:style w:type="character" w:styleId="EndnoteReference">
    <w:name w:val="endnote reference"/>
    <w:semiHidden/>
    <w:rPr>
      <w:vertAlign w:val="superscript"/>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Pr>
      <w:color w:val="0000FF"/>
      <w:u w:val="single"/>
    </w:rPr>
  </w:style>
  <w:style w:type="paragraph" w:styleId="CommentSubject">
    <w:name w:val="annotation subject"/>
    <w:basedOn w:val="CommentText"/>
    <w:next w:val="CommentText"/>
    <w:semiHidden/>
    <w:rPr>
      <w:b/>
      <w:bCs/>
    </w:rPr>
  </w:style>
  <w:style w:type="character" w:customStyle="1" w:styleId="apple-converted-space">
    <w:name w:val="apple-converted-space"/>
    <w:basedOn w:val="DefaultParagraphFont"/>
  </w:style>
  <w:style w:type="character" w:customStyle="1" w:styleId="CommentTextChar">
    <w:name w:val="Comment Text Char"/>
    <w:basedOn w:val="DefaultParagraphFont"/>
    <w:link w:val="CommentText"/>
    <w:uiPriority w:val="99"/>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style>
  <w:style w:type="paragraph" w:customStyle="1" w:styleId="Char2">
    <w:name w:val="Char2"/>
    <w:basedOn w:val="Normal"/>
    <w:link w:val="FootnoteReference"/>
    <w:uiPriority w:val="99"/>
    <w:pPr>
      <w:spacing w:after="160" w:line="240" w:lineRule="exact"/>
    </w:pPr>
    <w:rPr>
      <w:sz w:val="20"/>
      <w:vertAlign w:val="superscript"/>
    </w:rPr>
  </w:style>
  <w:style w:type="paragraph" w:styleId="ListParagraph">
    <w:name w:val="List Paragraph"/>
    <w:basedOn w:val="Normal"/>
    <w:link w:val="ListParagraphChar"/>
    <w:uiPriority w:val="34"/>
    <w:qFormat/>
    <w:pPr>
      <w:spacing w:after="200" w:line="276" w:lineRule="auto"/>
      <w:ind w:left="720"/>
      <w:contextualSpacing/>
    </w:pPr>
    <w:rPr>
      <w:rFonts w:ascii="Gotham Book" w:eastAsiaTheme="minorHAnsi" w:hAnsi="Gotham Book"/>
      <w:sz w:val="20"/>
    </w:rPr>
  </w:style>
  <w:style w:type="character" w:customStyle="1" w:styleId="ListParagraphChar">
    <w:name w:val="List Paragraph Char"/>
    <w:link w:val="ListParagraph"/>
    <w:uiPriority w:val="34"/>
    <w:locked/>
    <w:rPr>
      <w:rFonts w:ascii="Gotham Book" w:eastAsiaTheme="minorHAnsi" w:hAnsi="Gotham Book"/>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customStyle="1" w:styleId="UnresolvedMention2">
    <w:name w:val="Unresolved Mention2"/>
    <w:basedOn w:val="DefaultParagraphFont"/>
    <w:uiPriority w:val="99"/>
    <w:semiHidden/>
    <w:unhideWhenUsed/>
    <w:rPr>
      <w:color w:val="808080"/>
      <w:shd w:val="clear" w:color="auto" w:fill="E6E6E6"/>
    </w:rPr>
  </w:style>
  <w:style w:type="character" w:customStyle="1" w:styleId="UnresolvedMention3">
    <w:name w:val="Unresolved Mention3"/>
    <w:basedOn w:val="DefaultParagraphFont"/>
    <w:uiPriority w:val="99"/>
    <w:semiHidden/>
    <w:unhideWhenUsed/>
    <w:rPr>
      <w:color w:val="808080"/>
      <w:shd w:val="clear" w:color="auto" w:fill="E6E6E6"/>
    </w:rPr>
  </w:style>
  <w:style w:type="character" w:styleId="FollowedHyperlink">
    <w:name w:val="FollowedHyperlink"/>
    <w:basedOn w:val="DefaultParagraphFont"/>
    <w:semiHidden/>
    <w:unhideWhenUsed/>
    <w:rPr>
      <w:color w:val="800080" w:themeColor="followedHyperlink"/>
      <w:u w:val="single"/>
    </w:rPr>
  </w:style>
  <w:style w:type="character" w:styleId="UnresolvedMention">
    <w:name w:val="Unresolved Mention"/>
    <w:basedOn w:val="DefaultParagraphFont"/>
    <w:uiPriority w:val="99"/>
    <w:semiHidden/>
    <w:unhideWhenUsed/>
    <w:rPr>
      <w:color w:val="808080"/>
      <w:shd w:val="clear" w:color="auto" w:fill="E6E6E6"/>
    </w:rPr>
  </w:style>
  <w:style w:type="paragraph" w:styleId="Revision">
    <w:name w:val="Revision"/>
    <w:hidden/>
    <w:uiPriority w:val="99"/>
    <w:semiHidden/>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3733422">
      <w:bodyDiv w:val="1"/>
      <w:marLeft w:val="0"/>
      <w:marRight w:val="0"/>
      <w:marTop w:val="0"/>
      <w:marBottom w:val="0"/>
      <w:divBdr>
        <w:top w:val="none" w:sz="0" w:space="0" w:color="auto"/>
        <w:left w:val="none" w:sz="0" w:space="0" w:color="auto"/>
        <w:bottom w:val="none" w:sz="0" w:space="0" w:color="auto"/>
        <w:right w:val="none" w:sz="0" w:space="0" w:color="auto"/>
      </w:divBdr>
    </w:div>
    <w:div w:id="547298989">
      <w:bodyDiv w:val="1"/>
      <w:marLeft w:val="0"/>
      <w:marRight w:val="0"/>
      <w:marTop w:val="0"/>
      <w:marBottom w:val="0"/>
      <w:divBdr>
        <w:top w:val="none" w:sz="0" w:space="0" w:color="auto"/>
        <w:left w:val="none" w:sz="0" w:space="0" w:color="auto"/>
        <w:bottom w:val="none" w:sz="0" w:space="0" w:color="auto"/>
        <w:right w:val="none" w:sz="0" w:space="0" w:color="auto"/>
      </w:divBdr>
      <w:divsChild>
        <w:div w:id="852690632">
          <w:marLeft w:val="0"/>
          <w:marRight w:val="0"/>
          <w:marTop w:val="0"/>
          <w:marBottom w:val="0"/>
          <w:divBdr>
            <w:top w:val="none" w:sz="0" w:space="0" w:color="auto"/>
            <w:left w:val="none" w:sz="0" w:space="0" w:color="auto"/>
            <w:bottom w:val="none" w:sz="0" w:space="0" w:color="auto"/>
            <w:right w:val="none" w:sz="0" w:space="0" w:color="auto"/>
          </w:divBdr>
          <w:divsChild>
            <w:div w:id="1004473333">
              <w:marLeft w:val="0"/>
              <w:marRight w:val="0"/>
              <w:marTop w:val="0"/>
              <w:marBottom w:val="0"/>
              <w:divBdr>
                <w:top w:val="none" w:sz="0" w:space="0" w:color="auto"/>
                <w:left w:val="none" w:sz="0" w:space="0" w:color="auto"/>
                <w:bottom w:val="none" w:sz="0" w:space="0" w:color="auto"/>
                <w:right w:val="none" w:sz="0" w:space="0" w:color="auto"/>
              </w:divBdr>
              <w:divsChild>
                <w:div w:id="1039433702">
                  <w:marLeft w:val="0"/>
                  <w:marRight w:val="0"/>
                  <w:marTop w:val="0"/>
                  <w:marBottom w:val="0"/>
                  <w:divBdr>
                    <w:top w:val="none" w:sz="0" w:space="0" w:color="auto"/>
                    <w:left w:val="none" w:sz="0" w:space="0" w:color="auto"/>
                    <w:bottom w:val="none" w:sz="0" w:space="0" w:color="auto"/>
                    <w:right w:val="none" w:sz="0" w:space="0" w:color="auto"/>
                  </w:divBdr>
                  <w:divsChild>
                    <w:div w:id="228267154">
                      <w:marLeft w:val="0"/>
                      <w:marRight w:val="0"/>
                      <w:marTop w:val="0"/>
                      <w:marBottom w:val="0"/>
                      <w:divBdr>
                        <w:top w:val="none" w:sz="0" w:space="0" w:color="auto"/>
                        <w:left w:val="none" w:sz="0" w:space="0" w:color="auto"/>
                        <w:bottom w:val="none" w:sz="0" w:space="0" w:color="auto"/>
                        <w:right w:val="none" w:sz="0" w:space="0" w:color="auto"/>
                      </w:divBdr>
                      <w:divsChild>
                        <w:div w:id="663243918">
                          <w:marLeft w:val="0"/>
                          <w:marRight w:val="0"/>
                          <w:marTop w:val="0"/>
                          <w:marBottom w:val="0"/>
                          <w:divBdr>
                            <w:top w:val="none" w:sz="0" w:space="0" w:color="auto"/>
                            <w:left w:val="none" w:sz="0" w:space="0" w:color="auto"/>
                            <w:bottom w:val="none" w:sz="0" w:space="0" w:color="auto"/>
                            <w:right w:val="none" w:sz="0" w:space="0" w:color="auto"/>
                          </w:divBdr>
                          <w:divsChild>
                            <w:div w:id="195583063">
                              <w:marLeft w:val="0"/>
                              <w:marRight w:val="0"/>
                              <w:marTop w:val="0"/>
                              <w:marBottom w:val="0"/>
                              <w:divBdr>
                                <w:top w:val="none" w:sz="0" w:space="0" w:color="auto"/>
                                <w:left w:val="none" w:sz="0" w:space="0" w:color="auto"/>
                                <w:bottom w:val="none" w:sz="0" w:space="0" w:color="auto"/>
                                <w:right w:val="none" w:sz="0" w:space="0" w:color="auto"/>
                              </w:divBdr>
                              <w:divsChild>
                                <w:div w:id="344139769">
                                  <w:marLeft w:val="0"/>
                                  <w:marRight w:val="0"/>
                                  <w:marTop w:val="0"/>
                                  <w:marBottom w:val="0"/>
                                  <w:divBdr>
                                    <w:top w:val="none" w:sz="0" w:space="0" w:color="auto"/>
                                    <w:left w:val="none" w:sz="0" w:space="0" w:color="auto"/>
                                    <w:bottom w:val="none" w:sz="0" w:space="0" w:color="auto"/>
                                    <w:right w:val="none" w:sz="0" w:space="0" w:color="auto"/>
                                  </w:divBdr>
                                  <w:divsChild>
                                    <w:div w:id="1388839973">
                                      <w:marLeft w:val="0"/>
                                      <w:marRight w:val="0"/>
                                      <w:marTop w:val="0"/>
                                      <w:marBottom w:val="0"/>
                                      <w:divBdr>
                                        <w:top w:val="none" w:sz="0" w:space="0" w:color="auto"/>
                                        <w:left w:val="none" w:sz="0" w:space="0" w:color="auto"/>
                                        <w:bottom w:val="none" w:sz="0" w:space="0" w:color="auto"/>
                                        <w:right w:val="none" w:sz="0" w:space="0" w:color="auto"/>
                                      </w:divBdr>
                                      <w:divsChild>
                                        <w:div w:id="683941609">
                                          <w:marLeft w:val="0"/>
                                          <w:marRight w:val="0"/>
                                          <w:marTop w:val="0"/>
                                          <w:marBottom w:val="0"/>
                                          <w:divBdr>
                                            <w:top w:val="none" w:sz="0" w:space="0" w:color="auto"/>
                                            <w:left w:val="none" w:sz="0" w:space="0" w:color="auto"/>
                                            <w:bottom w:val="none" w:sz="0" w:space="0" w:color="auto"/>
                                            <w:right w:val="none" w:sz="0" w:space="0" w:color="auto"/>
                                          </w:divBdr>
                                          <w:divsChild>
                                            <w:div w:id="546111742">
                                              <w:marLeft w:val="0"/>
                                              <w:marRight w:val="0"/>
                                              <w:marTop w:val="0"/>
                                              <w:marBottom w:val="0"/>
                                              <w:divBdr>
                                                <w:top w:val="none" w:sz="0" w:space="0" w:color="auto"/>
                                                <w:left w:val="none" w:sz="0" w:space="0" w:color="auto"/>
                                                <w:bottom w:val="none" w:sz="0" w:space="0" w:color="auto"/>
                                                <w:right w:val="none" w:sz="0" w:space="0" w:color="auto"/>
                                              </w:divBdr>
                                              <w:divsChild>
                                                <w:div w:id="103351968">
                                                  <w:marLeft w:val="0"/>
                                                  <w:marRight w:val="0"/>
                                                  <w:marTop w:val="0"/>
                                                  <w:marBottom w:val="0"/>
                                                  <w:divBdr>
                                                    <w:top w:val="none" w:sz="0" w:space="0" w:color="auto"/>
                                                    <w:left w:val="none" w:sz="0" w:space="0" w:color="auto"/>
                                                    <w:bottom w:val="none" w:sz="0" w:space="0" w:color="auto"/>
                                                    <w:right w:val="none" w:sz="0" w:space="0" w:color="auto"/>
                                                  </w:divBdr>
                                                  <w:divsChild>
                                                    <w:div w:id="1194657773">
                                                      <w:marLeft w:val="0"/>
                                                      <w:marRight w:val="0"/>
                                                      <w:marTop w:val="0"/>
                                                      <w:marBottom w:val="0"/>
                                                      <w:divBdr>
                                                        <w:top w:val="none" w:sz="0" w:space="0" w:color="auto"/>
                                                        <w:left w:val="none" w:sz="0" w:space="0" w:color="auto"/>
                                                        <w:bottom w:val="none" w:sz="0" w:space="0" w:color="auto"/>
                                                        <w:right w:val="none" w:sz="0" w:space="0" w:color="auto"/>
                                                      </w:divBdr>
                                                      <w:divsChild>
                                                        <w:div w:id="781730175">
                                                          <w:marLeft w:val="0"/>
                                                          <w:marRight w:val="0"/>
                                                          <w:marTop w:val="0"/>
                                                          <w:marBottom w:val="0"/>
                                                          <w:divBdr>
                                                            <w:top w:val="none" w:sz="0" w:space="0" w:color="auto"/>
                                                            <w:left w:val="none" w:sz="0" w:space="0" w:color="auto"/>
                                                            <w:bottom w:val="none" w:sz="0" w:space="0" w:color="auto"/>
                                                            <w:right w:val="none" w:sz="0" w:space="0" w:color="auto"/>
                                                          </w:divBdr>
                                                          <w:divsChild>
                                                            <w:div w:id="1236742155">
                                                              <w:marLeft w:val="0"/>
                                                              <w:marRight w:val="0"/>
                                                              <w:marTop w:val="0"/>
                                                              <w:marBottom w:val="0"/>
                                                              <w:divBdr>
                                                                <w:top w:val="none" w:sz="0" w:space="0" w:color="auto"/>
                                                                <w:left w:val="none" w:sz="0" w:space="0" w:color="auto"/>
                                                                <w:bottom w:val="none" w:sz="0" w:space="0" w:color="auto"/>
                                                                <w:right w:val="none" w:sz="0" w:space="0" w:color="auto"/>
                                                              </w:divBdr>
                                                              <w:divsChild>
                                                                <w:div w:id="1098601590">
                                                                  <w:marLeft w:val="0"/>
                                                                  <w:marRight w:val="0"/>
                                                                  <w:marTop w:val="0"/>
                                                                  <w:marBottom w:val="0"/>
                                                                  <w:divBdr>
                                                                    <w:top w:val="none" w:sz="0" w:space="0" w:color="auto"/>
                                                                    <w:left w:val="none" w:sz="0" w:space="0" w:color="auto"/>
                                                                    <w:bottom w:val="none" w:sz="0" w:space="0" w:color="auto"/>
                                                                    <w:right w:val="none" w:sz="0" w:space="0" w:color="auto"/>
                                                                  </w:divBdr>
                                                                  <w:divsChild>
                                                                    <w:div w:id="1972591394">
                                                                      <w:marLeft w:val="0"/>
                                                                      <w:marRight w:val="0"/>
                                                                      <w:marTop w:val="0"/>
                                                                      <w:marBottom w:val="0"/>
                                                                      <w:divBdr>
                                                                        <w:top w:val="none" w:sz="0" w:space="0" w:color="auto"/>
                                                                        <w:left w:val="none" w:sz="0" w:space="0" w:color="auto"/>
                                                                        <w:bottom w:val="none" w:sz="0" w:space="0" w:color="auto"/>
                                                                        <w:right w:val="none" w:sz="0" w:space="0" w:color="auto"/>
                                                                      </w:divBdr>
                                                                      <w:divsChild>
                                                                        <w:div w:id="283778136">
                                                                          <w:marLeft w:val="0"/>
                                                                          <w:marRight w:val="0"/>
                                                                          <w:marTop w:val="0"/>
                                                                          <w:marBottom w:val="0"/>
                                                                          <w:divBdr>
                                                                            <w:top w:val="none" w:sz="0" w:space="0" w:color="auto"/>
                                                                            <w:left w:val="none" w:sz="0" w:space="0" w:color="auto"/>
                                                                            <w:bottom w:val="none" w:sz="0" w:space="0" w:color="auto"/>
                                                                            <w:right w:val="none" w:sz="0" w:space="0" w:color="auto"/>
                                                                          </w:divBdr>
                                                                          <w:divsChild>
                                                                            <w:div w:id="273951247">
                                                                              <w:marLeft w:val="0"/>
                                                                              <w:marRight w:val="0"/>
                                                                              <w:marTop w:val="0"/>
                                                                              <w:marBottom w:val="0"/>
                                                                              <w:divBdr>
                                                                                <w:top w:val="none" w:sz="0" w:space="0" w:color="auto"/>
                                                                                <w:left w:val="none" w:sz="0" w:space="0" w:color="auto"/>
                                                                                <w:bottom w:val="none" w:sz="0" w:space="0" w:color="auto"/>
                                                                                <w:right w:val="none" w:sz="0" w:space="0" w:color="auto"/>
                                                                              </w:divBdr>
                                                                              <w:divsChild>
                                                                                <w:div w:id="2080245344">
                                                                                  <w:marLeft w:val="0"/>
                                                                                  <w:marRight w:val="0"/>
                                                                                  <w:marTop w:val="0"/>
                                                                                  <w:marBottom w:val="120"/>
                                                                                  <w:divBdr>
                                                                                    <w:top w:val="none" w:sz="0" w:space="0" w:color="auto"/>
                                                                                    <w:left w:val="none" w:sz="0" w:space="0" w:color="auto"/>
                                                                                    <w:bottom w:val="none" w:sz="0" w:space="0" w:color="auto"/>
                                                                                    <w:right w:val="none" w:sz="0" w:space="0" w:color="auto"/>
                                                                                  </w:divBdr>
                                                                                  <w:divsChild>
                                                                                    <w:div w:id="1378623537">
                                                                                      <w:marLeft w:val="0"/>
                                                                                      <w:marRight w:val="0"/>
                                                                                      <w:marTop w:val="0"/>
                                                                                      <w:marBottom w:val="0"/>
                                                                                      <w:divBdr>
                                                                                        <w:top w:val="none" w:sz="0" w:space="0" w:color="auto"/>
                                                                                        <w:left w:val="none" w:sz="0" w:space="0" w:color="auto"/>
                                                                                        <w:bottom w:val="none" w:sz="0" w:space="0" w:color="auto"/>
                                                                                        <w:right w:val="none" w:sz="0" w:space="0" w:color="auto"/>
                                                                                      </w:divBdr>
                                                                                      <w:divsChild>
                                                                                        <w:div w:id="1491479283">
                                                                                          <w:marLeft w:val="0"/>
                                                                                          <w:marRight w:val="0"/>
                                                                                          <w:marTop w:val="0"/>
                                                                                          <w:marBottom w:val="0"/>
                                                                                          <w:divBdr>
                                                                                            <w:top w:val="none" w:sz="0" w:space="0" w:color="auto"/>
                                                                                            <w:left w:val="none" w:sz="0" w:space="0" w:color="auto"/>
                                                                                            <w:bottom w:val="none" w:sz="0" w:space="0" w:color="auto"/>
                                                                                            <w:right w:val="none" w:sz="0" w:space="0" w:color="auto"/>
                                                                                          </w:divBdr>
                                                                                        </w:div>
                                                                                        <w:div w:id="1024404753">
                                                                                          <w:marLeft w:val="0"/>
                                                                                          <w:marRight w:val="0"/>
                                                                                          <w:marTop w:val="0"/>
                                                                                          <w:marBottom w:val="0"/>
                                                                                          <w:divBdr>
                                                                                            <w:top w:val="none" w:sz="0" w:space="0" w:color="auto"/>
                                                                                            <w:left w:val="none" w:sz="0" w:space="0" w:color="auto"/>
                                                                                            <w:bottom w:val="none" w:sz="0" w:space="0" w:color="auto"/>
                                                                                            <w:right w:val="none" w:sz="0" w:space="0" w:color="auto"/>
                                                                                          </w:divBdr>
                                                                                        </w:div>
                                                                                        <w:div w:id="170728440">
                                                                                          <w:marLeft w:val="0"/>
                                                                                          <w:marRight w:val="0"/>
                                                                                          <w:marTop w:val="0"/>
                                                                                          <w:marBottom w:val="0"/>
                                                                                          <w:divBdr>
                                                                                            <w:top w:val="none" w:sz="0" w:space="0" w:color="auto"/>
                                                                                            <w:left w:val="none" w:sz="0" w:space="0" w:color="auto"/>
                                                                                            <w:bottom w:val="none" w:sz="0" w:space="0" w:color="auto"/>
                                                                                            <w:right w:val="none" w:sz="0" w:space="0" w:color="auto"/>
                                                                                          </w:divBdr>
                                                                                        </w:div>
                                                                                        <w:div w:id="120732441">
                                                                                          <w:marLeft w:val="0"/>
                                                                                          <w:marRight w:val="0"/>
                                                                                          <w:marTop w:val="0"/>
                                                                                          <w:marBottom w:val="0"/>
                                                                                          <w:divBdr>
                                                                                            <w:top w:val="none" w:sz="0" w:space="0" w:color="auto"/>
                                                                                            <w:left w:val="none" w:sz="0" w:space="0" w:color="auto"/>
                                                                                            <w:bottom w:val="none" w:sz="0" w:space="0" w:color="auto"/>
                                                                                            <w:right w:val="none" w:sz="0" w:space="0" w:color="auto"/>
                                                                                          </w:divBdr>
                                                                                        </w:div>
                                                                                        <w:div w:id="990672801">
                                                                                          <w:marLeft w:val="0"/>
                                                                                          <w:marRight w:val="0"/>
                                                                                          <w:marTop w:val="0"/>
                                                                                          <w:marBottom w:val="0"/>
                                                                                          <w:divBdr>
                                                                                            <w:top w:val="none" w:sz="0" w:space="0" w:color="auto"/>
                                                                                            <w:left w:val="none" w:sz="0" w:space="0" w:color="auto"/>
                                                                                            <w:bottom w:val="none" w:sz="0" w:space="0" w:color="auto"/>
                                                                                            <w:right w:val="none" w:sz="0" w:space="0" w:color="auto"/>
                                                                                          </w:divBdr>
                                                                                        </w:div>
                                                                                        <w:div w:id="2106074638">
                                                                                          <w:marLeft w:val="0"/>
                                                                                          <w:marRight w:val="0"/>
                                                                                          <w:marTop w:val="0"/>
                                                                                          <w:marBottom w:val="0"/>
                                                                                          <w:divBdr>
                                                                                            <w:top w:val="none" w:sz="0" w:space="0" w:color="auto"/>
                                                                                            <w:left w:val="none" w:sz="0" w:space="0" w:color="auto"/>
                                                                                            <w:bottom w:val="none" w:sz="0" w:space="0" w:color="auto"/>
                                                                                            <w:right w:val="none" w:sz="0" w:space="0" w:color="auto"/>
                                                                                          </w:divBdr>
                                                                                        </w:div>
                                                                                        <w:div w:id="67968577">
                                                                                          <w:marLeft w:val="0"/>
                                                                                          <w:marRight w:val="0"/>
                                                                                          <w:marTop w:val="0"/>
                                                                                          <w:marBottom w:val="0"/>
                                                                                          <w:divBdr>
                                                                                            <w:top w:val="none" w:sz="0" w:space="0" w:color="auto"/>
                                                                                            <w:left w:val="none" w:sz="0" w:space="0" w:color="auto"/>
                                                                                            <w:bottom w:val="none" w:sz="0" w:space="0" w:color="auto"/>
                                                                                            <w:right w:val="none" w:sz="0" w:space="0" w:color="auto"/>
                                                                                          </w:divBdr>
                                                                                        </w:div>
                                                                                        <w:div w:id="1111633048">
                                                                                          <w:marLeft w:val="0"/>
                                                                                          <w:marRight w:val="0"/>
                                                                                          <w:marTop w:val="0"/>
                                                                                          <w:marBottom w:val="0"/>
                                                                                          <w:divBdr>
                                                                                            <w:top w:val="none" w:sz="0" w:space="0" w:color="auto"/>
                                                                                            <w:left w:val="none" w:sz="0" w:space="0" w:color="auto"/>
                                                                                            <w:bottom w:val="none" w:sz="0" w:space="0" w:color="auto"/>
                                                                                            <w:right w:val="none" w:sz="0" w:space="0" w:color="auto"/>
                                                                                          </w:divBdr>
                                                                                        </w:div>
                                                                                        <w:div w:id="134158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5089833">
      <w:bodyDiv w:val="1"/>
      <w:marLeft w:val="0"/>
      <w:marRight w:val="0"/>
      <w:marTop w:val="0"/>
      <w:marBottom w:val="0"/>
      <w:divBdr>
        <w:top w:val="none" w:sz="0" w:space="0" w:color="auto"/>
        <w:left w:val="none" w:sz="0" w:space="0" w:color="auto"/>
        <w:bottom w:val="none" w:sz="0" w:space="0" w:color="auto"/>
        <w:right w:val="none" w:sz="0" w:space="0" w:color="auto"/>
      </w:divBdr>
    </w:div>
    <w:div w:id="823816158">
      <w:bodyDiv w:val="1"/>
      <w:marLeft w:val="0"/>
      <w:marRight w:val="0"/>
      <w:marTop w:val="0"/>
      <w:marBottom w:val="0"/>
      <w:divBdr>
        <w:top w:val="none" w:sz="0" w:space="0" w:color="auto"/>
        <w:left w:val="none" w:sz="0" w:space="0" w:color="auto"/>
        <w:bottom w:val="none" w:sz="0" w:space="0" w:color="auto"/>
        <w:right w:val="none" w:sz="0" w:space="0" w:color="auto"/>
      </w:divBdr>
    </w:div>
    <w:div w:id="190849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4B05D-F4A4-4755-8554-5013EDC27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1522</Words>
  <Characters>8374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9877</CharactersWithSpaces>
  <SharedDoc>false</SharedDoc>
  <HLinks>
    <vt:vector size="18" baseType="variant">
      <vt:variant>
        <vt:i4>2162746</vt:i4>
      </vt:variant>
      <vt:variant>
        <vt:i4>6</vt:i4>
      </vt:variant>
      <vt:variant>
        <vt:i4>0</vt:i4>
      </vt:variant>
      <vt:variant>
        <vt:i4>5</vt:i4>
      </vt:variant>
      <vt:variant>
        <vt:lpwstr>http://www.chip.gov.co/</vt:lpwstr>
      </vt:variant>
      <vt:variant>
        <vt:lpwstr/>
      </vt:variant>
      <vt:variant>
        <vt:i4>2162746</vt:i4>
      </vt:variant>
      <vt:variant>
        <vt:i4>3</vt:i4>
      </vt:variant>
      <vt:variant>
        <vt:i4>0</vt:i4>
      </vt:variant>
      <vt:variant>
        <vt:i4>5</vt:i4>
      </vt:variant>
      <vt:variant>
        <vt:lpwstr>http://www.chip.gov.co/</vt:lpwstr>
      </vt:variant>
      <vt:variant>
        <vt:lpwstr/>
      </vt:variant>
      <vt:variant>
        <vt:i4>2162746</vt:i4>
      </vt:variant>
      <vt:variant>
        <vt:i4>0</vt:i4>
      </vt:variant>
      <vt:variant>
        <vt:i4>0</vt:i4>
      </vt:variant>
      <vt:variant>
        <vt:i4>5</vt:i4>
      </vt:variant>
      <vt:variant>
        <vt:lpwstr>http://www.chip.gov.co/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2018-05-29T20:04:00Z</dcterms:created>
  <dcterms:modified xsi:type="dcterms:W3CDTF">2018-06-05T19:37:00Z</dcterms:modified>
</cp:coreProperties>
</file>