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autoSpaceDE w:val="0"/>
        <w:autoSpaceDN w:val="0"/>
        <w:adjustRightInd w:val="0"/>
        <w:spacing w:after="120" w:line="240" w:lineRule="auto"/>
        <w:jc w:val="center"/>
        <w:rPr>
          <w:rFonts w:ascii="Arial" w:hAnsi="Arial" w:cs="Arial"/>
          <w:b/>
          <w:bCs/>
          <w:smallCaps/>
          <w:szCs w:val="20"/>
          <w:lang w:val="es-CO"/>
        </w:rPr>
      </w:pPr>
      <w:r>
        <w:rPr>
          <w:rFonts w:ascii="Arial" w:hAnsi="Arial" w:cs="Arial"/>
          <w:b/>
          <w:bCs/>
          <w:smallCaps/>
          <w:szCs w:val="20"/>
          <w:lang w:val="es-CO"/>
        </w:rPr>
        <w:t>Matriz de Resultados</w:t>
      </w:r>
    </w:p>
    <w:tbl>
      <w:tblPr>
        <w:tblStyle w:val="TableGrid"/>
        <w:tblW w:w="5000" w:type="pct"/>
        <w:tblLook w:val="04A0" w:firstRow="1" w:lastRow="0" w:firstColumn="1" w:lastColumn="0" w:noHBand="0" w:noVBand="1"/>
      </w:tblPr>
      <w:tblGrid>
        <w:gridCol w:w="2639"/>
        <w:gridCol w:w="10311"/>
      </w:tblGrid>
      <w:tr>
        <w:trPr>
          <w:trHeight w:val="576"/>
        </w:trPr>
        <w:tc>
          <w:tcPr>
            <w:tcW w:w="1019" w:type="pct"/>
          </w:tcPr>
          <w:p>
            <w:pPr>
              <w:pStyle w:val="Paragraph"/>
              <w:numPr>
                <w:ilvl w:val="0"/>
                <w:numId w:val="0"/>
              </w:numPr>
              <w:spacing w:before="40" w:after="40"/>
              <w:jc w:val="left"/>
              <w:rPr>
                <w:rFonts w:ascii="Arial" w:hAnsi="Arial" w:cs="Arial"/>
                <w:b/>
                <w:sz w:val="20"/>
                <w:lang w:val="es-CO"/>
              </w:rPr>
            </w:pPr>
            <w:r>
              <w:rPr>
                <w:rFonts w:ascii="Arial" w:hAnsi="Arial" w:cs="Arial"/>
                <w:b/>
                <w:sz w:val="20"/>
                <w:lang w:val="es-CO"/>
              </w:rPr>
              <w:t>Objetivo del Proyecto:</w:t>
            </w:r>
          </w:p>
        </w:tc>
        <w:tc>
          <w:tcPr>
            <w:tcW w:w="3981" w:type="pct"/>
          </w:tcPr>
          <w:p>
            <w:pPr>
              <w:pStyle w:val="Paragraph"/>
              <w:numPr>
                <w:ilvl w:val="0"/>
                <w:numId w:val="0"/>
              </w:numPr>
              <w:spacing w:before="40" w:after="40"/>
              <w:rPr>
                <w:rFonts w:ascii="Arial" w:hAnsi="Arial" w:cs="Arial"/>
                <w:sz w:val="20"/>
                <w:lang w:val="es-CO"/>
              </w:rPr>
            </w:pPr>
            <w:r>
              <w:rPr>
                <w:rFonts w:ascii="Arial" w:hAnsi="Arial" w:cs="Arial"/>
                <w:sz w:val="20"/>
                <w:lang w:val="es-CO"/>
              </w:rPr>
              <w:t xml:space="preserve">El objetivo general del programa es contribuir a la estabilidad fiscal de Colombia mediante el aumento de la recaudación tributaria, </w:t>
            </w:r>
            <w:r>
              <w:rPr>
                <w:rFonts w:ascii="Arial" w:hAnsi="Arial" w:cs="Arial"/>
                <w:sz w:val="20"/>
              </w:rPr>
              <w:t xml:space="preserve">el </w:t>
            </w:r>
            <w:r>
              <w:rPr>
                <w:rFonts w:ascii="Arial" w:hAnsi="Arial" w:cs="Arial"/>
                <w:sz w:val="20"/>
                <w:lang w:val="es-ES_tradnl"/>
              </w:rPr>
              <w:t>uso más eficiente del gasto público, y la mejora en la gestión de la deuda y los pasivos públicos, incluyendo los contingentes.</w:t>
            </w:r>
          </w:p>
        </w:tc>
      </w:tr>
    </w:tbl>
    <w:p>
      <w:pPr>
        <w:autoSpaceDE w:val="0"/>
        <w:autoSpaceDN w:val="0"/>
        <w:adjustRightInd w:val="0"/>
        <w:spacing w:before="240" w:after="40" w:line="240" w:lineRule="auto"/>
        <w:jc w:val="center"/>
        <w:rPr>
          <w:rFonts w:ascii="Arial" w:hAnsi="Arial" w:cs="Arial"/>
          <w:b/>
          <w:smallCaps/>
          <w:szCs w:val="20"/>
          <w:lang w:val="es-CO"/>
        </w:rPr>
      </w:pPr>
      <w:r>
        <w:rPr>
          <w:rFonts w:ascii="Arial" w:hAnsi="Arial" w:cs="Arial"/>
          <w:b/>
          <w:smallCaps/>
          <w:szCs w:val="20"/>
          <w:lang w:val="es-CO"/>
        </w:rPr>
        <w:t>Impacto Esperado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5"/>
        <w:gridCol w:w="993"/>
        <w:gridCol w:w="831"/>
        <w:gridCol w:w="834"/>
        <w:gridCol w:w="831"/>
        <w:gridCol w:w="834"/>
        <w:gridCol w:w="831"/>
        <w:gridCol w:w="834"/>
        <w:gridCol w:w="831"/>
        <w:gridCol w:w="834"/>
        <w:gridCol w:w="1168"/>
        <w:gridCol w:w="2064"/>
      </w:tblGrid>
      <w:tr>
        <w:trPr>
          <w:trHeight w:val="20"/>
        </w:trPr>
        <w:tc>
          <w:tcPr>
            <w:tcW w:w="797" w:type="pct"/>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Indicadores</w:t>
            </w:r>
          </w:p>
        </w:tc>
        <w:tc>
          <w:tcPr>
            <w:tcW w:w="383" w:type="pct"/>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Unidad de Medida</w:t>
            </w:r>
          </w:p>
        </w:tc>
        <w:tc>
          <w:tcPr>
            <w:tcW w:w="64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Línea de Base, Primera Operación</w:t>
            </w:r>
          </w:p>
        </w:tc>
        <w:tc>
          <w:tcPr>
            <w:tcW w:w="64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Metas de la Primera Operación</w:t>
            </w:r>
          </w:p>
        </w:tc>
        <w:tc>
          <w:tcPr>
            <w:tcW w:w="64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Resultado Primera Operación / Línea de Base Segunda Operación</w:t>
            </w:r>
          </w:p>
        </w:tc>
        <w:tc>
          <w:tcPr>
            <w:tcW w:w="64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Meta de la Segunda Operación</w:t>
            </w:r>
          </w:p>
        </w:tc>
        <w:tc>
          <w:tcPr>
            <w:tcW w:w="451" w:type="pct"/>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Fuente / Medio de Verificación</w:t>
            </w:r>
          </w:p>
        </w:tc>
        <w:tc>
          <w:tcPr>
            <w:tcW w:w="797" w:type="pct"/>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Comentarios</w:t>
            </w:r>
          </w:p>
        </w:tc>
      </w:tr>
      <w:tr>
        <w:trPr>
          <w:trHeight w:val="20"/>
        </w:trPr>
        <w:tc>
          <w:tcPr>
            <w:tcW w:w="797" w:type="pct"/>
            <w:vMerge/>
            <w:tcBorders>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p>
        </w:tc>
        <w:tc>
          <w:tcPr>
            <w:tcW w:w="383" w:type="pct"/>
            <w:vMerge/>
            <w:tcBorders>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p>
        </w:tc>
        <w:tc>
          <w:tcPr>
            <w:tcW w:w="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Valor</w:t>
            </w:r>
          </w:p>
        </w:tc>
        <w:tc>
          <w:tcPr>
            <w:tcW w:w="3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Año</w:t>
            </w:r>
          </w:p>
        </w:tc>
        <w:tc>
          <w:tcPr>
            <w:tcW w:w="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Valor</w:t>
            </w:r>
          </w:p>
        </w:tc>
        <w:tc>
          <w:tcPr>
            <w:tcW w:w="3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Año</w:t>
            </w:r>
          </w:p>
        </w:tc>
        <w:tc>
          <w:tcPr>
            <w:tcW w:w="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Valor</w:t>
            </w:r>
          </w:p>
        </w:tc>
        <w:tc>
          <w:tcPr>
            <w:tcW w:w="3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Año</w:t>
            </w:r>
          </w:p>
        </w:tc>
        <w:tc>
          <w:tcPr>
            <w:tcW w:w="32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Valor</w:t>
            </w:r>
          </w:p>
        </w:tc>
        <w:tc>
          <w:tcPr>
            <w:tcW w:w="32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r>
              <w:rPr>
                <w:rFonts w:ascii="Arial" w:hAnsi="Arial" w:cs="Arial"/>
                <w:b/>
                <w:sz w:val="20"/>
                <w:szCs w:val="20"/>
                <w:lang w:val="es-CO" w:eastAsia="zh-CN"/>
              </w:rPr>
              <w:t>Año</w:t>
            </w:r>
          </w:p>
        </w:tc>
        <w:tc>
          <w:tcPr>
            <w:tcW w:w="451" w:type="pct"/>
            <w:vMerge/>
            <w:tcBorders>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p>
        </w:tc>
        <w:tc>
          <w:tcPr>
            <w:tcW w:w="797" w:type="pct"/>
            <w:vMerge/>
            <w:tcBorders>
              <w:left w:val="single" w:sz="4" w:space="0" w:color="auto"/>
              <w:bottom w:val="single" w:sz="4" w:space="0" w:color="auto"/>
              <w:right w:val="single" w:sz="4" w:space="0" w:color="auto"/>
            </w:tcBorders>
            <w:shd w:val="clear" w:color="auto" w:fill="D9D9D9" w:themeFill="background1" w:themeFillShade="D9"/>
            <w:vAlign w:val="center"/>
          </w:tcPr>
          <w:p>
            <w:pPr>
              <w:spacing w:after="0" w:line="240" w:lineRule="auto"/>
              <w:ind w:left="-120" w:right="-100"/>
              <w:jc w:val="center"/>
              <w:rPr>
                <w:rFonts w:ascii="Arial" w:hAnsi="Arial" w:cs="Arial"/>
                <w:b/>
                <w:sz w:val="20"/>
                <w:szCs w:val="20"/>
                <w:lang w:val="es-CO" w:eastAsia="zh-CN"/>
              </w:rPr>
            </w:pPr>
          </w:p>
        </w:tc>
      </w:tr>
      <w:tr>
        <w:trPr>
          <w:trHeight w:val="288"/>
        </w:trPr>
        <w:tc>
          <w:tcPr>
            <w:tcW w:w="5000" w:type="pct"/>
            <w:gridSpan w:val="12"/>
            <w:tcBorders>
              <w:top w:val="single" w:sz="4" w:space="0" w:color="auto"/>
              <w:left w:val="single" w:sz="4" w:space="0" w:color="auto"/>
              <w:bottom w:val="single" w:sz="4" w:space="0" w:color="auto"/>
              <w:right w:val="single" w:sz="4" w:space="0" w:color="auto"/>
            </w:tcBorders>
            <w:shd w:val="clear" w:color="auto" w:fill="FFFFFF" w:themeFill="background1"/>
            <w:vAlign w:val="center"/>
          </w:tcPr>
          <w:p>
            <w:pPr>
              <w:spacing w:after="0" w:line="240" w:lineRule="auto"/>
              <w:rPr>
                <w:rFonts w:ascii="Arial" w:hAnsi="Arial" w:cs="Arial"/>
                <w:b/>
                <w:sz w:val="20"/>
                <w:szCs w:val="20"/>
                <w:lang w:val="es-CO" w:eastAsia="zh-CN"/>
              </w:rPr>
            </w:pPr>
            <w:r>
              <w:rPr>
                <w:rFonts w:ascii="Arial" w:hAnsi="Arial" w:cs="Arial"/>
                <w:b/>
                <w:caps/>
                <w:sz w:val="20"/>
                <w:szCs w:val="20"/>
                <w:u w:val="single"/>
                <w:lang w:val="es-CO" w:eastAsia="zh-CN"/>
              </w:rPr>
              <w:t>Impacto ESPERADO</w:t>
            </w:r>
            <w:r>
              <w:rPr>
                <w:rFonts w:ascii="Arial" w:hAnsi="Arial" w:cs="Arial"/>
                <w:b/>
                <w:caps/>
                <w:sz w:val="20"/>
                <w:szCs w:val="20"/>
                <w:lang w:val="es-CO" w:eastAsia="zh-CN"/>
              </w:rPr>
              <w:t>:</w:t>
            </w:r>
            <w:r>
              <w:rPr>
                <w:rFonts w:ascii="Arial" w:hAnsi="Arial" w:cs="Arial"/>
                <w:caps/>
                <w:sz w:val="20"/>
                <w:szCs w:val="20"/>
                <w:lang w:val="es-CO" w:eastAsia="zh-CN"/>
              </w:rPr>
              <w:t xml:space="preserve"> </w:t>
            </w:r>
            <w:r>
              <w:rPr>
                <w:rFonts w:ascii="Arial" w:hAnsi="Arial" w:cs="Arial"/>
                <w:b/>
                <w:sz w:val="20"/>
                <w:szCs w:val="20"/>
                <w:lang w:val="es-CO" w:eastAsia="zh-CN"/>
              </w:rPr>
              <w:t>Marco macroeconómico estable y resultado fiscal sostenible</w:t>
            </w:r>
          </w:p>
        </w:tc>
      </w:tr>
      <w:tr>
        <w:trPr>
          <w:trHeight w:val="20"/>
        </w:trPr>
        <w:tc>
          <w:tcPr>
            <w:tcW w:w="797" w:type="pct"/>
            <w:tcBorders>
              <w:top w:val="single" w:sz="4" w:space="0" w:color="auto"/>
              <w:left w:val="single" w:sz="4" w:space="0" w:color="auto"/>
              <w:bottom w:val="single" w:sz="4" w:space="0" w:color="auto"/>
              <w:right w:val="single" w:sz="4" w:space="0" w:color="auto"/>
            </w:tcBorders>
            <w:vAlign w:val="center"/>
            <w:hideMark/>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Resultado Fiscal del Gobierno Nacional Central (GNC)</w:t>
            </w:r>
          </w:p>
        </w:tc>
        <w:tc>
          <w:tcPr>
            <w:tcW w:w="383"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 del PIB</w:t>
            </w:r>
          </w:p>
        </w:tc>
        <w:tc>
          <w:tcPr>
            <w:tcW w:w="321"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-2,4</w:t>
            </w:r>
          </w:p>
        </w:tc>
        <w:tc>
          <w:tcPr>
            <w:tcW w:w="322"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2013</w:t>
            </w:r>
          </w:p>
        </w:tc>
        <w:tc>
          <w:tcPr>
            <w:tcW w:w="321"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-2,1</w:t>
            </w:r>
          </w:p>
        </w:tc>
        <w:tc>
          <w:tcPr>
            <w:tcW w:w="322"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2016</w:t>
            </w:r>
          </w:p>
        </w:tc>
        <w:tc>
          <w:tcPr>
            <w:tcW w:w="321"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-4,0</w:t>
            </w:r>
          </w:p>
        </w:tc>
        <w:tc>
          <w:tcPr>
            <w:tcW w:w="322"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2016</w:t>
            </w:r>
          </w:p>
        </w:tc>
        <w:tc>
          <w:tcPr>
            <w:tcW w:w="321"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-2,4</w:t>
            </w:r>
          </w:p>
        </w:tc>
        <w:tc>
          <w:tcPr>
            <w:tcW w:w="322"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2019</w:t>
            </w:r>
          </w:p>
        </w:tc>
        <w:tc>
          <w:tcPr>
            <w:tcW w:w="451" w:type="pct"/>
            <w:tcBorders>
              <w:top w:val="single" w:sz="4" w:space="0" w:color="auto"/>
              <w:left w:val="single" w:sz="4" w:space="0" w:color="auto"/>
              <w:bottom w:val="single" w:sz="4" w:space="0" w:color="auto"/>
              <w:right w:val="single" w:sz="4" w:space="0" w:color="auto"/>
            </w:tcBorders>
            <w:vAlign w:val="center"/>
          </w:tcPr>
          <w:p>
            <w:pPr>
              <w:spacing w:after="0" w:line="240" w:lineRule="auto"/>
              <w:ind w:left="-120" w:right="-110"/>
              <w:jc w:val="center"/>
              <w:rPr>
                <w:rFonts w:ascii="Arial" w:hAnsi="Arial" w:cs="Arial"/>
                <w:sz w:val="20"/>
                <w:szCs w:val="20"/>
                <w:lang w:val="es-CO" w:eastAsia="zh-CN"/>
              </w:rPr>
            </w:pPr>
            <w:r>
              <w:rPr>
                <w:rFonts w:ascii="Arial" w:hAnsi="Arial" w:cs="Arial"/>
                <w:color w:val="000000"/>
                <w:sz w:val="20"/>
                <w:szCs w:val="20"/>
                <w:lang w:val="es-CO"/>
              </w:rPr>
              <w:t>Ministerio de Hacienda (MH)</w:t>
            </w:r>
          </w:p>
        </w:tc>
        <w:tc>
          <w:tcPr>
            <w:tcW w:w="797" w:type="pct"/>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color w:val="E36C0A" w:themeColor="accent6" w:themeShade="BF"/>
                <w:sz w:val="20"/>
                <w:szCs w:val="20"/>
                <w:lang w:val="es-CO" w:eastAsia="zh-CN"/>
              </w:rPr>
            </w:pPr>
          </w:p>
        </w:tc>
      </w:tr>
      <w:tr>
        <w:trPr>
          <w:trHeight w:val="20"/>
        </w:trPr>
        <w:tc>
          <w:tcPr>
            <w:tcW w:w="797" w:type="pct"/>
            <w:tcBorders>
              <w:top w:val="single" w:sz="4" w:space="0" w:color="auto"/>
              <w:left w:val="single" w:sz="4" w:space="0" w:color="auto"/>
              <w:bottom w:val="single" w:sz="4" w:space="0" w:color="auto"/>
              <w:right w:val="single" w:sz="4" w:space="0" w:color="auto"/>
            </w:tcBorders>
            <w:vAlign w:val="center"/>
            <w:hideMark/>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Deuda Pública Neta del GNC</w:t>
            </w:r>
          </w:p>
        </w:tc>
        <w:tc>
          <w:tcPr>
            <w:tcW w:w="383"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 del PIB</w:t>
            </w:r>
          </w:p>
        </w:tc>
        <w:tc>
          <w:tcPr>
            <w:tcW w:w="321" w:type="pct"/>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32,5</w:t>
            </w:r>
          </w:p>
        </w:tc>
        <w:tc>
          <w:tcPr>
            <w:tcW w:w="322"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2013</w:t>
            </w:r>
          </w:p>
        </w:tc>
        <w:tc>
          <w:tcPr>
            <w:tcW w:w="321"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32,2</w:t>
            </w:r>
          </w:p>
        </w:tc>
        <w:tc>
          <w:tcPr>
            <w:tcW w:w="322"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2016</w:t>
            </w:r>
          </w:p>
        </w:tc>
        <w:tc>
          <w:tcPr>
            <w:tcW w:w="321"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42,5</w:t>
            </w:r>
          </w:p>
        </w:tc>
        <w:tc>
          <w:tcPr>
            <w:tcW w:w="322"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2016</w:t>
            </w:r>
          </w:p>
        </w:tc>
        <w:tc>
          <w:tcPr>
            <w:tcW w:w="321"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42,2</w:t>
            </w:r>
          </w:p>
        </w:tc>
        <w:tc>
          <w:tcPr>
            <w:tcW w:w="322"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2019</w:t>
            </w:r>
          </w:p>
        </w:tc>
        <w:tc>
          <w:tcPr>
            <w:tcW w:w="451" w:type="pct"/>
            <w:tcBorders>
              <w:top w:val="single" w:sz="4" w:space="0" w:color="auto"/>
              <w:left w:val="single" w:sz="4" w:space="0" w:color="auto"/>
              <w:bottom w:val="single" w:sz="4" w:space="0" w:color="auto"/>
              <w:right w:val="single" w:sz="4" w:space="0" w:color="auto"/>
            </w:tcBorders>
            <w:vAlign w:val="center"/>
          </w:tcPr>
          <w:p>
            <w:pPr>
              <w:spacing w:after="0" w:line="240" w:lineRule="auto"/>
              <w:jc w:val="center"/>
              <w:rPr>
                <w:rFonts w:ascii="Arial" w:hAnsi="Arial" w:cs="Arial"/>
                <w:sz w:val="20"/>
                <w:szCs w:val="20"/>
                <w:lang w:val="es-CO" w:eastAsia="zh-CN"/>
              </w:rPr>
            </w:pPr>
            <w:r>
              <w:rPr>
                <w:rFonts w:ascii="Arial" w:hAnsi="Arial" w:cs="Arial"/>
                <w:color w:val="000000"/>
                <w:sz w:val="20"/>
                <w:szCs w:val="20"/>
                <w:lang w:val="es-CO"/>
              </w:rPr>
              <w:t>MH</w:t>
            </w:r>
          </w:p>
        </w:tc>
        <w:tc>
          <w:tcPr>
            <w:tcW w:w="797" w:type="pct"/>
            <w:tcBorders>
              <w:top w:val="single" w:sz="4" w:space="0" w:color="auto"/>
              <w:left w:val="single" w:sz="4" w:space="0" w:color="auto"/>
              <w:bottom w:val="single" w:sz="4" w:space="0" w:color="auto"/>
              <w:right w:val="single" w:sz="4" w:space="0" w:color="auto"/>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 xml:space="preserve">Deuda neta de activos financieros, </w:t>
            </w:r>
            <w:r>
              <w:rPr>
                <w:rFonts w:ascii="Arial" w:hAnsi="Arial" w:cs="Arial"/>
                <w:sz w:val="20"/>
                <w:szCs w:val="20"/>
                <w:lang w:val="es-CO" w:eastAsia="zh-CN"/>
              </w:rPr>
              <w:t>incluyendo CUN y</w:t>
            </w:r>
            <w:r>
              <w:rPr>
                <w:rFonts w:ascii="Arial" w:hAnsi="Arial" w:cs="Arial"/>
                <w:sz w:val="20"/>
                <w:szCs w:val="20"/>
                <w:lang w:val="es-CO" w:eastAsia="zh-CN"/>
              </w:rPr>
              <w:t xml:space="preserve"> </w:t>
            </w:r>
            <w:r>
              <w:rPr>
                <w:rFonts w:ascii="Arial" w:hAnsi="Arial" w:cs="Arial"/>
                <w:sz w:val="20"/>
                <w:szCs w:val="20"/>
                <w:lang w:val="es-CO" w:eastAsia="zh-CN"/>
              </w:rPr>
              <w:t>excluyendo otras</w:t>
            </w:r>
            <w:r>
              <w:rPr>
                <w:rFonts w:ascii="Arial" w:hAnsi="Arial" w:cs="Arial"/>
                <w:sz w:val="20"/>
                <w:szCs w:val="20"/>
                <w:lang w:val="es-CO" w:eastAsia="zh-CN"/>
              </w:rPr>
              <w:t xml:space="preserve"> </w:t>
            </w:r>
            <w:bookmarkStart w:id="0" w:name="_GoBack"/>
            <w:bookmarkEnd w:id="0"/>
            <w:r>
              <w:rPr>
                <w:rFonts w:ascii="Arial" w:hAnsi="Arial" w:cs="Arial"/>
                <w:sz w:val="20"/>
                <w:szCs w:val="20"/>
                <w:lang w:val="es-CO" w:eastAsia="zh-CN"/>
              </w:rPr>
              <w:t>por pagar.</w:t>
            </w:r>
          </w:p>
        </w:tc>
      </w:tr>
    </w:tbl>
    <w:p>
      <w:pPr>
        <w:autoSpaceDE w:val="0"/>
        <w:autoSpaceDN w:val="0"/>
        <w:adjustRightInd w:val="0"/>
        <w:spacing w:before="240" w:after="40" w:line="240" w:lineRule="auto"/>
        <w:jc w:val="center"/>
        <w:rPr>
          <w:rFonts w:ascii="Arial" w:hAnsi="Arial" w:cs="Arial"/>
          <w:b/>
          <w:smallCaps/>
          <w:color w:val="000000"/>
          <w:szCs w:val="20"/>
          <w:lang w:val="es-CO"/>
        </w:rPr>
      </w:pPr>
      <w:r>
        <w:rPr>
          <w:rFonts w:ascii="Arial" w:hAnsi="Arial" w:cs="Arial"/>
          <w:b/>
          <w:smallCaps/>
          <w:color w:val="000000"/>
          <w:szCs w:val="20"/>
          <w:lang w:val="es-CO"/>
        </w:rPr>
        <w:t>Resultados Esperados</w:t>
      </w:r>
    </w:p>
    <w:tbl>
      <w:tblPr>
        <w:tblStyle w:val="TableGrid"/>
        <w:tblW w:w="0" w:type="auto"/>
        <w:tblLook w:val="04A0" w:firstRow="1" w:lastRow="0" w:firstColumn="1" w:lastColumn="0" w:noHBand="0" w:noVBand="1"/>
      </w:tblPr>
      <w:tblGrid>
        <w:gridCol w:w="1988"/>
        <w:gridCol w:w="1033"/>
        <w:gridCol w:w="786"/>
        <w:gridCol w:w="790"/>
        <w:gridCol w:w="787"/>
        <w:gridCol w:w="794"/>
        <w:gridCol w:w="910"/>
        <w:gridCol w:w="880"/>
        <w:gridCol w:w="773"/>
        <w:gridCol w:w="746"/>
        <w:gridCol w:w="1290"/>
        <w:gridCol w:w="2173"/>
      </w:tblGrid>
      <w:tr>
        <w:trPr>
          <w:trHeight w:val="20"/>
          <w:tblHeader/>
        </w:trPr>
        <w:tc>
          <w:tcPr>
            <w:tcW w:w="1991" w:type="dxa"/>
            <w:vMerge w:val="restart"/>
            <w:shd w:val="clear" w:color="auto" w:fill="D9D9D9" w:themeFill="background1" w:themeFillShade="D9"/>
            <w:vAlign w:val="center"/>
          </w:tcPr>
          <w:p>
            <w:pPr>
              <w:spacing w:after="0" w:line="240" w:lineRule="auto"/>
              <w:ind w:left="-108" w:right="-132"/>
              <w:jc w:val="center"/>
              <w:rPr>
                <w:rFonts w:ascii="Arial" w:hAnsi="Arial" w:cs="Arial"/>
                <w:b/>
                <w:sz w:val="20"/>
                <w:szCs w:val="20"/>
                <w:lang w:val="es-CO" w:eastAsia="zh-CN"/>
              </w:rPr>
            </w:pPr>
            <w:r>
              <w:rPr>
                <w:rFonts w:ascii="Arial" w:hAnsi="Arial" w:cs="Arial"/>
                <w:b/>
                <w:sz w:val="20"/>
                <w:szCs w:val="20"/>
                <w:lang w:val="es-CO" w:eastAsia="zh-CN"/>
              </w:rPr>
              <w:t>Indicadores</w:t>
            </w:r>
          </w:p>
        </w:tc>
        <w:tc>
          <w:tcPr>
            <w:tcW w:w="1034" w:type="dxa"/>
            <w:vMerge w:val="restart"/>
            <w:shd w:val="clear" w:color="auto" w:fill="D9D9D9" w:themeFill="background1" w:themeFillShade="D9"/>
            <w:vAlign w:val="center"/>
          </w:tcPr>
          <w:p>
            <w:pPr>
              <w:spacing w:after="0" w:line="240" w:lineRule="auto"/>
              <w:ind w:left="-108" w:right="-132"/>
              <w:jc w:val="center"/>
              <w:rPr>
                <w:rFonts w:ascii="Arial" w:hAnsi="Arial" w:cs="Arial"/>
                <w:b/>
                <w:sz w:val="20"/>
                <w:szCs w:val="20"/>
                <w:lang w:val="es-CO" w:eastAsia="zh-CN"/>
              </w:rPr>
            </w:pPr>
            <w:r>
              <w:rPr>
                <w:rFonts w:ascii="Arial" w:hAnsi="Arial" w:cs="Arial"/>
                <w:b/>
                <w:sz w:val="20"/>
                <w:szCs w:val="20"/>
                <w:lang w:val="es-CO" w:eastAsia="zh-CN"/>
              </w:rPr>
              <w:t>Unidad de Medida</w:t>
            </w:r>
          </w:p>
        </w:tc>
        <w:tc>
          <w:tcPr>
            <w:tcW w:w="1581" w:type="dxa"/>
            <w:gridSpan w:val="2"/>
            <w:shd w:val="clear" w:color="auto" w:fill="D9D9D9" w:themeFill="background1" w:themeFillShade="D9"/>
            <w:vAlign w:val="center"/>
          </w:tcPr>
          <w:p>
            <w:pPr>
              <w:spacing w:after="0" w:line="240" w:lineRule="auto"/>
              <w:ind w:left="-108" w:right="-132"/>
              <w:jc w:val="center"/>
              <w:rPr>
                <w:rFonts w:ascii="Arial" w:hAnsi="Arial" w:cs="Arial"/>
                <w:b/>
                <w:sz w:val="20"/>
                <w:szCs w:val="20"/>
                <w:lang w:val="es-CO" w:eastAsia="zh-CN"/>
              </w:rPr>
            </w:pPr>
            <w:r>
              <w:rPr>
                <w:rFonts w:ascii="Arial" w:hAnsi="Arial" w:cs="Arial"/>
                <w:b/>
                <w:sz w:val="20"/>
                <w:szCs w:val="20"/>
                <w:lang w:val="es-CO" w:eastAsia="zh-CN"/>
              </w:rPr>
              <w:t>Línea de Base Primera Operación</w:t>
            </w:r>
          </w:p>
        </w:tc>
        <w:tc>
          <w:tcPr>
            <w:tcW w:w="1585" w:type="dxa"/>
            <w:gridSpan w:val="2"/>
            <w:shd w:val="clear" w:color="auto" w:fill="D9D9D9" w:themeFill="background1" w:themeFillShade="D9"/>
            <w:vAlign w:val="center"/>
          </w:tcPr>
          <w:p>
            <w:pPr>
              <w:spacing w:after="0" w:line="240" w:lineRule="auto"/>
              <w:ind w:left="-108" w:right="-132"/>
              <w:jc w:val="center"/>
              <w:rPr>
                <w:rFonts w:ascii="Arial" w:hAnsi="Arial" w:cs="Arial"/>
                <w:b/>
                <w:sz w:val="20"/>
                <w:szCs w:val="20"/>
                <w:lang w:val="es-CO" w:eastAsia="zh-CN"/>
              </w:rPr>
            </w:pPr>
            <w:r>
              <w:rPr>
                <w:rFonts w:ascii="Arial" w:hAnsi="Arial" w:cs="Arial"/>
                <w:b/>
                <w:sz w:val="20"/>
                <w:szCs w:val="20"/>
                <w:lang w:val="es-CO" w:eastAsia="zh-CN"/>
              </w:rPr>
              <w:t>Metas de la Primera Operación</w:t>
            </w:r>
          </w:p>
        </w:tc>
        <w:tc>
          <w:tcPr>
            <w:tcW w:w="1796" w:type="dxa"/>
            <w:gridSpan w:val="2"/>
            <w:shd w:val="clear" w:color="auto" w:fill="D9D9D9" w:themeFill="background1" w:themeFillShade="D9"/>
            <w:vAlign w:val="center"/>
          </w:tcPr>
          <w:p>
            <w:pPr>
              <w:spacing w:after="0" w:line="240" w:lineRule="auto"/>
              <w:ind w:left="-108" w:right="-132"/>
              <w:jc w:val="center"/>
              <w:rPr>
                <w:rFonts w:ascii="Arial" w:hAnsi="Arial" w:cs="Arial"/>
                <w:b/>
                <w:sz w:val="20"/>
                <w:szCs w:val="20"/>
                <w:lang w:val="es-CO" w:eastAsia="zh-CN"/>
              </w:rPr>
            </w:pPr>
            <w:r>
              <w:rPr>
                <w:rFonts w:ascii="Arial" w:hAnsi="Arial" w:cs="Arial"/>
                <w:b/>
                <w:sz w:val="20"/>
                <w:szCs w:val="20"/>
                <w:lang w:val="es-CO" w:eastAsia="zh-CN"/>
              </w:rPr>
              <w:t>Resultado Primera Operación / Línea de Base Segunda Operación</w:t>
            </w:r>
          </w:p>
        </w:tc>
        <w:tc>
          <w:tcPr>
            <w:tcW w:w="1491" w:type="dxa"/>
            <w:gridSpan w:val="2"/>
            <w:shd w:val="clear" w:color="auto" w:fill="D9D9D9" w:themeFill="background1" w:themeFillShade="D9"/>
            <w:vAlign w:val="center"/>
          </w:tcPr>
          <w:p>
            <w:pPr>
              <w:autoSpaceDE w:val="0"/>
              <w:autoSpaceDN w:val="0"/>
              <w:adjustRightInd w:val="0"/>
              <w:spacing w:after="0" w:line="240" w:lineRule="auto"/>
              <w:ind w:left="-60" w:right="-50"/>
              <w:jc w:val="center"/>
              <w:rPr>
                <w:rFonts w:ascii="Arial" w:hAnsi="Arial" w:cs="Arial"/>
                <w:b/>
                <w:smallCaps/>
                <w:color w:val="000000"/>
                <w:sz w:val="20"/>
                <w:szCs w:val="20"/>
                <w:lang w:val="es-CO"/>
              </w:rPr>
            </w:pPr>
            <w:r>
              <w:rPr>
                <w:rFonts w:ascii="Arial" w:hAnsi="Arial" w:cs="Arial"/>
                <w:b/>
                <w:sz w:val="20"/>
                <w:szCs w:val="20"/>
                <w:lang w:val="es-CO" w:eastAsia="zh-CN"/>
              </w:rPr>
              <w:t>Meta de la Segunda Operación</w:t>
            </w:r>
          </w:p>
        </w:tc>
        <w:tc>
          <w:tcPr>
            <w:tcW w:w="1290" w:type="dxa"/>
            <w:vMerge w:val="restart"/>
            <w:shd w:val="clear" w:color="auto" w:fill="D9D9D9" w:themeFill="background1" w:themeFillShade="D9"/>
            <w:vAlign w:val="center"/>
          </w:tcPr>
          <w:p>
            <w:pPr>
              <w:autoSpaceDE w:val="0"/>
              <w:autoSpaceDN w:val="0"/>
              <w:adjustRightInd w:val="0"/>
              <w:spacing w:after="0" w:line="240" w:lineRule="auto"/>
              <w:ind w:left="-60" w:right="-50"/>
              <w:jc w:val="center"/>
              <w:rPr>
                <w:rFonts w:ascii="Arial" w:hAnsi="Arial" w:cs="Arial"/>
                <w:b/>
                <w:smallCaps/>
                <w:color w:val="000000"/>
                <w:sz w:val="20"/>
                <w:szCs w:val="20"/>
                <w:lang w:val="es-CO"/>
              </w:rPr>
            </w:pPr>
            <w:r>
              <w:rPr>
                <w:rFonts w:ascii="Arial" w:hAnsi="Arial" w:cs="Arial"/>
                <w:b/>
                <w:sz w:val="20"/>
                <w:szCs w:val="20"/>
                <w:lang w:val="es-CO" w:eastAsia="zh-CN"/>
              </w:rPr>
              <w:t>Fuente / Medio de Verificación</w:t>
            </w:r>
          </w:p>
        </w:tc>
        <w:tc>
          <w:tcPr>
            <w:tcW w:w="2182" w:type="dxa"/>
            <w:vMerge w:val="restart"/>
            <w:shd w:val="clear" w:color="auto" w:fill="D9D9D9" w:themeFill="background1" w:themeFillShade="D9"/>
            <w:vAlign w:val="center"/>
          </w:tcPr>
          <w:p>
            <w:pPr>
              <w:spacing w:after="0" w:line="240" w:lineRule="auto"/>
              <w:ind w:left="-108" w:right="-132"/>
              <w:jc w:val="center"/>
              <w:rPr>
                <w:rFonts w:ascii="Arial" w:hAnsi="Arial" w:cs="Arial"/>
                <w:b/>
                <w:sz w:val="20"/>
                <w:szCs w:val="20"/>
                <w:lang w:val="es-CO" w:eastAsia="zh-CN"/>
              </w:rPr>
            </w:pPr>
            <w:r>
              <w:rPr>
                <w:rFonts w:ascii="Arial" w:hAnsi="Arial" w:cs="Arial"/>
                <w:b/>
                <w:sz w:val="20"/>
                <w:szCs w:val="20"/>
                <w:lang w:val="es-CO" w:eastAsia="zh-CN"/>
              </w:rPr>
              <w:t>Comentarios</w:t>
            </w:r>
          </w:p>
        </w:tc>
      </w:tr>
      <w:tr>
        <w:trPr>
          <w:trHeight w:val="20"/>
        </w:trPr>
        <w:tc>
          <w:tcPr>
            <w:tcW w:w="1991" w:type="dxa"/>
            <w:vMerge/>
          </w:tcPr>
          <w:p>
            <w:pPr>
              <w:autoSpaceDE w:val="0"/>
              <w:autoSpaceDN w:val="0"/>
              <w:adjustRightInd w:val="0"/>
              <w:spacing w:after="0" w:line="240" w:lineRule="auto"/>
              <w:jc w:val="center"/>
              <w:rPr>
                <w:rFonts w:ascii="Arial" w:hAnsi="Arial" w:cs="Arial"/>
                <w:b/>
                <w:smallCaps/>
                <w:color w:val="000000"/>
                <w:sz w:val="20"/>
                <w:szCs w:val="20"/>
                <w:lang w:val="es-CO"/>
              </w:rPr>
            </w:pPr>
          </w:p>
        </w:tc>
        <w:tc>
          <w:tcPr>
            <w:tcW w:w="1034" w:type="dxa"/>
            <w:vMerge/>
          </w:tcPr>
          <w:p>
            <w:pPr>
              <w:autoSpaceDE w:val="0"/>
              <w:autoSpaceDN w:val="0"/>
              <w:adjustRightInd w:val="0"/>
              <w:spacing w:after="0" w:line="240" w:lineRule="auto"/>
              <w:jc w:val="center"/>
              <w:rPr>
                <w:rFonts w:ascii="Arial" w:hAnsi="Arial" w:cs="Arial"/>
                <w:b/>
                <w:smallCaps/>
                <w:color w:val="000000"/>
                <w:sz w:val="20"/>
                <w:szCs w:val="20"/>
                <w:lang w:val="es-CO"/>
              </w:rPr>
            </w:pPr>
          </w:p>
        </w:tc>
        <w:tc>
          <w:tcPr>
            <w:tcW w:w="789" w:type="dxa"/>
            <w:shd w:val="clear" w:color="auto" w:fill="D9D9D9" w:themeFill="background1" w:themeFillShade="D9"/>
            <w:vAlign w:val="center"/>
          </w:tcPr>
          <w:p>
            <w:pPr>
              <w:spacing w:after="0" w:line="240" w:lineRule="auto"/>
              <w:ind w:left="-150" w:right="-110"/>
              <w:jc w:val="center"/>
              <w:rPr>
                <w:rFonts w:ascii="Arial" w:hAnsi="Arial" w:cs="Arial"/>
                <w:b/>
                <w:sz w:val="20"/>
                <w:szCs w:val="20"/>
                <w:lang w:val="es-CO" w:eastAsia="zh-CN"/>
              </w:rPr>
            </w:pPr>
            <w:r>
              <w:rPr>
                <w:rFonts w:ascii="Arial" w:hAnsi="Arial" w:cs="Arial"/>
                <w:b/>
                <w:sz w:val="20"/>
                <w:szCs w:val="20"/>
                <w:lang w:val="es-CO" w:eastAsia="zh-CN"/>
              </w:rPr>
              <w:t>Valor</w:t>
            </w:r>
          </w:p>
        </w:tc>
        <w:tc>
          <w:tcPr>
            <w:tcW w:w="792" w:type="dxa"/>
            <w:shd w:val="clear" w:color="auto" w:fill="D9D9D9" w:themeFill="background1" w:themeFillShade="D9"/>
            <w:vAlign w:val="center"/>
          </w:tcPr>
          <w:p>
            <w:pPr>
              <w:spacing w:after="0" w:line="240" w:lineRule="auto"/>
              <w:ind w:left="-150" w:right="-110"/>
              <w:jc w:val="center"/>
              <w:rPr>
                <w:rFonts w:ascii="Arial" w:hAnsi="Arial" w:cs="Arial"/>
                <w:b/>
                <w:sz w:val="20"/>
                <w:szCs w:val="20"/>
                <w:lang w:val="es-CO" w:eastAsia="zh-CN"/>
              </w:rPr>
            </w:pPr>
            <w:r>
              <w:rPr>
                <w:rFonts w:ascii="Arial" w:hAnsi="Arial" w:cs="Arial"/>
                <w:b/>
                <w:sz w:val="20"/>
                <w:szCs w:val="20"/>
                <w:lang w:val="es-CO" w:eastAsia="zh-CN"/>
              </w:rPr>
              <w:t>Año</w:t>
            </w:r>
          </w:p>
        </w:tc>
        <w:tc>
          <w:tcPr>
            <w:tcW w:w="790" w:type="dxa"/>
            <w:shd w:val="clear" w:color="auto" w:fill="D9D9D9" w:themeFill="background1" w:themeFillShade="D9"/>
            <w:vAlign w:val="center"/>
          </w:tcPr>
          <w:p>
            <w:pPr>
              <w:spacing w:after="0" w:line="240" w:lineRule="auto"/>
              <w:ind w:left="-150" w:right="-110"/>
              <w:jc w:val="center"/>
              <w:rPr>
                <w:rFonts w:ascii="Arial" w:hAnsi="Arial" w:cs="Arial"/>
                <w:b/>
                <w:sz w:val="20"/>
                <w:szCs w:val="20"/>
                <w:lang w:val="es-CO" w:eastAsia="zh-CN"/>
              </w:rPr>
            </w:pPr>
            <w:r>
              <w:rPr>
                <w:rFonts w:ascii="Arial" w:hAnsi="Arial" w:cs="Arial"/>
                <w:b/>
                <w:sz w:val="20"/>
                <w:szCs w:val="20"/>
                <w:lang w:val="es-CO" w:eastAsia="zh-CN"/>
              </w:rPr>
              <w:t>Valor</w:t>
            </w:r>
          </w:p>
        </w:tc>
        <w:tc>
          <w:tcPr>
            <w:tcW w:w="795" w:type="dxa"/>
            <w:shd w:val="clear" w:color="auto" w:fill="D9D9D9" w:themeFill="background1" w:themeFillShade="D9"/>
            <w:vAlign w:val="center"/>
          </w:tcPr>
          <w:p>
            <w:pPr>
              <w:spacing w:after="0" w:line="240" w:lineRule="auto"/>
              <w:ind w:left="-150" w:right="-110"/>
              <w:jc w:val="center"/>
              <w:rPr>
                <w:rFonts w:ascii="Arial" w:hAnsi="Arial" w:cs="Arial"/>
                <w:b/>
                <w:sz w:val="20"/>
                <w:szCs w:val="20"/>
                <w:lang w:val="es-CO" w:eastAsia="zh-CN"/>
              </w:rPr>
            </w:pPr>
            <w:r>
              <w:rPr>
                <w:rFonts w:ascii="Arial" w:hAnsi="Arial" w:cs="Arial"/>
                <w:b/>
                <w:sz w:val="20"/>
                <w:szCs w:val="20"/>
                <w:lang w:val="es-CO" w:eastAsia="zh-CN"/>
              </w:rPr>
              <w:t>Año</w:t>
            </w:r>
          </w:p>
        </w:tc>
        <w:tc>
          <w:tcPr>
            <w:tcW w:w="914" w:type="dxa"/>
            <w:shd w:val="clear" w:color="auto" w:fill="D9D9D9" w:themeFill="background1" w:themeFillShade="D9"/>
            <w:vAlign w:val="center"/>
          </w:tcPr>
          <w:p>
            <w:pPr>
              <w:spacing w:after="0" w:line="240" w:lineRule="auto"/>
              <w:ind w:left="-150" w:right="-110"/>
              <w:jc w:val="center"/>
              <w:rPr>
                <w:rFonts w:ascii="Arial" w:hAnsi="Arial" w:cs="Arial"/>
                <w:b/>
                <w:sz w:val="20"/>
                <w:szCs w:val="20"/>
                <w:lang w:val="es-CO" w:eastAsia="zh-CN"/>
              </w:rPr>
            </w:pPr>
            <w:r>
              <w:rPr>
                <w:rFonts w:ascii="Arial" w:hAnsi="Arial" w:cs="Arial"/>
                <w:b/>
                <w:sz w:val="20"/>
                <w:szCs w:val="20"/>
                <w:lang w:val="es-CO" w:eastAsia="zh-CN"/>
              </w:rPr>
              <w:t>Valor</w:t>
            </w:r>
          </w:p>
        </w:tc>
        <w:tc>
          <w:tcPr>
            <w:tcW w:w="882" w:type="dxa"/>
            <w:shd w:val="clear" w:color="auto" w:fill="D9D9D9" w:themeFill="background1" w:themeFillShade="D9"/>
            <w:vAlign w:val="center"/>
          </w:tcPr>
          <w:p>
            <w:pPr>
              <w:spacing w:after="0" w:line="240" w:lineRule="auto"/>
              <w:ind w:left="-150" w:right="-110"/>
              <w:jc w:val="center"/>
              <w:rPr>
                <w:rFonts w:ascii="Arial" w:hAnsi="Arial" w:cs="Arial"/>
                <w:b/>
                <w:sz w:val="20"/>
                <w:szCs w:val="20"/>
                <w:lang w:val="es-CO" w:eastAsia="zh-CN"/>
              </w:rPr>
            </w:pPr>
            <w:r>
              <w:rPr>
                <w:rFonts w:ascii="Arial" w:hAnsi="Arial" w:cs="Arial"/>
                <w:b/>
                <w:sz w:val="20"/>
                <w:szCs w:val="20"/>
                <w:lang w:val="es-CO" w:eastAsia="zh-CN"/>
              </w:rPr>
              <w:t>Año</w:t>
            </w:r>
          </w:p>
        </w:tc>
        <w:tc>
          <w:tcPr>
            <w:tcW w:w="745" w:type="dxa"/>
            <w:shd w:val="clear" w:color="auto" w:fill="D9D9D9" w:themeFill="background1" w:themeFillShade="D9"/>
            <w:vAlign w:val="center"/>
          </w:tcPr>
          <w:p>
            <w:pPr>
              <w:spacing w:after="0" w:line="240" w:lineRule="auto"/>
              <w:ind w:left="-150" w:right="-110"/>
              <w:jc w:val="center"/>
              <w:rPr>
                <w:rFonts w:ascii="Arial" w:hAnsi="Arial" w:cs="Arial"/>
                <w:b/>
                <w:sz w:val="20"/>
                <w:szCs w:val="20"/>
                <w:lang w:val="es-CO" w:eastAsia="zh-CN"/>
              </w:rPr>
            </w:pPr>
            <w:r>
              <w:rPr>
                <w:rFonts w:ascii="Arial" w:hAnsi="Arial" w:cs="Arial"/>
                <w:b/>
                <w:sz w:val="20"/>
                <w:szCs w:val="20"/>
                <w:lang w:val="es-CO" w:eastAsia="zh-CN"/>
              </w:rPr>
              <w:t>Valor</w:t>
            </w:r>
          </w:p>
        </w:tc>
        <w:tc>
          <w:tcPr>
            <w:tcW w:w="746" w:type="dxa"/>
            <w:shd w:val="clear" w:color="auto" w:fill="D9D9D9" w:themeFill="background1" w:themeFillShade="D9"/>
            <w:vAlign w:val="center"/>
          </w:tcPr>
          <w:p>
            <w:pPr>
              <w:spacing w:after="0" w:line="240" w:lineRule="auto"/>
              <w:ind w:left="-150" w:right="-110"/>
              <w:jc w:val="center"/>
              <w:rPr>
                <w:rFonts w:ascii="Arial" w:hAnsi="Arial" w:cs="Arial"/>
                <w:b/>
                <w:sz w:val="20"/>
                <w:szCs w:val="20"/>
                <w:lang w:val="es-CO" w:eastAsia="zh-CN"/>
              </w:rPr>
            </w:pPr>
            <w:r>
              <w:rPr>
                <w:rFonts w:ascii="Arial" w:hAnsi="Arial" w:cs="Arial"/>
                <w:b/>
                <w:sz w:val="20"/>
                <w:szCs w:val="20"/>
                <w:lang w:val="es-CO" w:eastAsia="zh-CN"/>
              </w:rPr>
              <w:t>Año</w:t>
            </w:r>
          </w:p>
        </w:tc>
        <w:tc>
          <w:tcPr>
            <w:tcW w:w="1290" w:type="dxa"/>
            <w:vMerge/>
          </w:tcPr>
          <w:p>
            <w:pPr>
              <w:autoSpaceDE w:val="0"/>
              <w:autoSpaceDN w:val="0"/>
              <w:adjustRightInd w:val="0"/>
              <w:spacing w:after="0" w:line="240" w:lineRule="auto"/>
              <w:jc w:val="center"/>
              <w:rPr>
                <w:rFonts w:ascii="Arial" w:hAnsi="Arial" w:cs="Arial"/>
                <w:b/>
                <w:smallCaps/>
                <w:color w:val="000000"/>
                <w:sz w:val="20"/>
                <w:szCs w:val="20"/>
                <w:lang w:val="es-CO"/>
              </w:rPr>
            </w:pPr>
          </w:p>
        </w:tc>
        <w:tc>
          <w:tcPr>
            <w:tcW w:w="2182" w:type="dxa"/>
            <w:vMerge/>
          </w:tcPr>
          <w:p>
            <w:pPr>
              <w:autoSpaceDE w:val="0"/>
              <w:autoSpaceDN w:val="0"/>
              <w:adjustRightInd w:val="0"/>
              <w:spacing w:after="0" w:line="240" w:lineRule="auto"/>
              <w:jc w:val="center"/>
              <w:rPr>
                <w:rFonts w:ascii="Arial" w:hAnsi="Arial" w:cs="Arial"/>
                <w:b/>
                <w:smallCaps/>
                <w:color w:val="000000"/>
                <w:sz w:val="20"/>
                <w:szCs w:val="20"/>
                <w:lang w:val="es-CO"/>
              </w:rPr>
            </w:pPr>
          </w:p>
        </w:tc>
      </w:tr>
      <w:tr>
        <w:trPr>
          <w:trHeight w:val="288"/>
        </w:trPr>
        <w:tc>
          <w:tcPr>
            <w:tcW w:w="12950" w:type="dxa"/>
            <w:gridSpan w:val="12"/>
            <w:vAlign w:val="center"/>
          </w:tcPr>
          <w:p>
            <w:pPr>
              <w:autoSpaceDE w:val="0"/>
              <w:autoSpaceDN w:val="0"/>
              <w:adjustRightInd w:val="0"/>
              <w:spacing w:after="0" w:line="240" w:lineRule="auto"/>
              <w:rPr>
                <w:rFonts w:ascii="Arial" w:hAnsi="Arial" w:cs="Arial"/>
                <w:b/>
                <w:smallCaps/>
                <w:color w:val="000000"/>
                <w:sz w:val="20"/>
                <w:szCs w:val="20"/>
                <w:lang w:val="es-CO"/>
              </w:rPr>
            </w:pPr>
            <w:r>
              <w:rPr>
                <w:rFonts w:ascii="Arial" w:hAnsi="Arial" w:cs="Arial"/>
                <w:b/>
                <w:caps/>
                <w:sz w:val="20"/>
                <w:szCs w:val="20"/>
                <w:u w:val="single"/>
                <w:lang w:val="es-CO" w:eastAsia="zh-CN"/>
              </w:rPr>
              <w:t>resultado #1</w:t>
            </w:r>
            <w:r>
              <w:rPr>
                <w:rFonts w:ascii="Arial" w:hAnsi="Arial" w:cs="Arial"/>
                <w:b/>
                <w:caps/>
                <w:sz w:val="20"/>
                <w:szCs w:val="20"/>
                <w:lang w:val="es-CO" w:eastAsia="zh-CN"/>
              </w:rPr>
              <w:t>:</w:t>
            </w:r>
            <w:r>
              <w:rPr>
                <w:rFonts w:ascii="Arial" w:hAnsi="Arial" w:cs="Arial"/>
                <w:b/>
                <w:sz w:val="20"/>
                <w:szCs w:val="20"/>
                <w:lang w:val="es-CO" w:eastAsia="zh-CN"/>
              </w:rPr>
              <w:t xml:space="preserve"> Mejoras en la recaudación de impuestos, así como de su eficiencia</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El valor del recaudo tributario total</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 del PIB</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14,8</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2013</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15,4</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14,7</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14,1</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Sinergia</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Recaudo bruto de los impuestos administrados por la DIAN dividido en el PIB calculado por el DANE. Para la proyección se tomaron los supuestos del MHCP con corte a diciembre 2017.</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Valor recaudado por la Gestión Efectiva por fiscalización</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 del PIB</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0,6</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2013</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0,7</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0,6</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1,0</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Sinergia</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Denominado “Recaudo por Gestión DIAN” en Sinergia. Comprende el recaudo por recuperación de cartera y el efecto recaudatorio de la gestión efectiva de fiscalización.</w:t>
            </w:r>
          </w:p>
        </w:tc>
      </w:tr>
      <w:tr>
        <w:trPr>
          <w:trHeight w:val="288"/>
        </w:trPr>
        <w:tc>
          <w:tcPr>
            <w:tcW w:w="12950" w:type="dxa"/>
            <w:gridSpan w:val="12"/>
            <w:vAlign w:val="center"/>
          </w:tcPr>
          <w:p>
            <w:pPr>
              <w:autoSpaceDE w:val="0"/>
              <w:autoSpaceDN w:val="0"/>
              <w:adjustRightInd w:val="0"/>
              <w:spacing w:after="0" w:line="240" w:lineRule="auto"/>
              <w:rPr>
                <w:rFonts w:ascii="Arial" w:hAnsi="Arial" w:cs="Arial"/>
                <w:b/>
                <w:smallCaps/>
                <w:color w:val="000000"/>
                <w:sz w:val="20"/>
                <w:szCs w:val="20"/>
                <w:lang w:val="es-CO"/>
              </w:rPr>
            </w:pPr>
            <w:r>
              <w:rPr>
                <w:rFonts w:ascii="Arial" w:hAnsi="Arial" w:cs="Arial"/>
                <w:b/>
                <w:smallCaps/>
                <w:color w:val="000000"/>
                <w:sz w:val="20"/>
                <w:szCs w:val="20"/>
                <w:u w:val="single"/>
                <w:lang w:val="es-CO"/>
              </w:rPr>
              <w:t>RESULTADO #2</w:t>
            </w:r>
            <w:r>
              <w:rPr>
                <w:rFonts w:ascii="Arial" w:hAnsi="Arial" w:cs="Arial"/>
                <w:b/>
                <w:smallCaps/>
                <w:color w:val="000000"/>
                <w:sz w:val="20"/>
                <w:szCs w:val="20"/>
                <w:lang w:val="es-CO"/>
              </w:rPr>
              <w:t xml:space="preserve">: </w:t>
            </w:r>
            <w:r>
              <w:rPr>
                <w:rFonts w:ascii="Arial" w:hAnsi="Arial" w:cs="Arial"/>
                <w:b/>
                <w:color w:val="000000"/>
                <w:sz w:val="20"/>
                <w:szCs w:val="20"/>
                <w:lang w:val="es-CO"/>
              </w:rPr>
              <w:t>Ganancias en eficiencia por mejoras en el sistema aduanero</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Tiempo de desaduanamiento en importaciones</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Horas</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23</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2013</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10</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21</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Sinergia</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Medido desde la fecha y hora de presentación y aceptación de la declaración de importación, hasta la fecha y hora de levante de la mercancía. Se calculan tiempos promedio que utilizan los Usuarios Aduaneros y la DIAN, ponderando por la cantidad de declaraciones en cada uno de los tres grupos de declaraciones.</w:t>
            </w:r>
          </w:p>
        </w:tc>
      </w:tr>
      <w:tr>
        <w:trPr>
          <w:trHeight w:val="288"/>
        </w:trPr>
        <w:tc>
          <w:tcPr>
            <w:tcW w:w="12950" w:type="dxa"/>
            <w:gridSpan w:val="12"/>
            <w:vAlign w:val="center"/>
          </w:tcPr>
          <w:p>
            <w:pPr>
              <w:autoSpaceDE w:val="0"/>
              <w:autoSpaceDN w:val="0"/>
              <w:adjustRightInd w:val="0"/>
              <w:spacing w:after="0" w:line="240" w:lineRule="auto"/>
              <w:rPr>
                <w:rFonts w:ascii="Arial" w:hAnsi="Arial" w:cs="Arial"/>
                <w:b/>
                <w:smallCaps/>
                <w:color w:val="000000"/>
                <w:sz w:val="20"/>
                <w:szCs w:val="20"/>
                <w:lang w:val="es-CO"/>
              </w:rPr>
            </w:pPr>
            <w:r>
              <w:rPr>
                <w:rFonts w:ascii="Arial" w:hAnsi="Arial" w:cs="Arial"/>
                <w:b/>
                <w:smallCaps/>
                <w:color w:val="000000"/>
                <w:sz w:val="20"/>
                <w:szCs w:val="20"/>
                <w:u w:val="single"/>
                <w:lang w:val="es-CO"/>
              </w:rPr>
              <w:t>RESULTADO #3</w:t>
            </w:r>
            <w:r>
              <w:rPr>
                <w:rFonts w:ascii="Arial" w:hAnsi="Arial" w:cs="Arial"/>
                <w:b/>
                <w:smallCaps/>
                <w:color w:val="000000"/>
                <w:sz w:val="20"/>
                <w:szCs w:val="20"/>
                <w:lang w:val="es-CO"/>
              </w:rPr>
              <w:t xml:space="preserve">: </w:t>
            </w:r>
            <w:r>
              <w:rPr>
                <w:rFonts w:ascii="Arial" w:hAnsi="Arial" w:cs="Arial"/>
                <w:b/>
                <w:color w:val="000000"/>
                <w:sz w:val="20"/>
                <w:szCs w:val="20"/>
                <w:lang w:val="es-CO"/>
              </w:rPr>
              <w:t>Mejora en la calidad de los proyectos de inversión presentados por las ET financiados por el</w:t>
            </w:r>
            <w:r>
              <w:rPr>
                <w:rFonts w:ascii="Arial" w:hAnsi="Arial" w:cs="Arial"/>
                <w:b/>
                <w:smallCaps/>
                <w:color w:val="000000"/>
                <w:sz w:val="20"/>
                <w:szCs w:val="20"/>
                <w:lang w:val="es-CO"/>
              </w:rPr>
              <w:t xml:space="preserve"> SGR</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Monto aprobado en proyectos de inversión financiados con SGR / Presupuesto disponible del SGR</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76</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2012</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90</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2015-2016</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74</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2015-2016</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78</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2019-2020</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DNP</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Desde 2013, el presupuesto del SGR es bianual. El monto aprobado indica el costo de los proyectos aprobados.</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 xml:space="preserve">Proyectos de inversión del SGR en ejecución / Total proyectos aprobados por </w:t>
            </w:r>
            <w:proofErr w:type="spellStart"/>
            <w:r>
              <w:rPr>
                <w:rFonts w:ascii="Arial" w:hAnsi="Arial" w:cs="Arial"/>
                <w:sz w:val="20"/>
                <w:szCs w:val="20"/>
                <w:lang w:eastAsia="zh-CN"/>
              </w:rPr>
              <w:t>OCADs</w:t>
            </w:r>
            <w:proofErr w:type="spellEnd"/>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54</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2014</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65</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86</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r>
              <w:rPr>
                <w:rFonts w:ascii="Arial" w:hAnsi="Arial" w:cs="Arial"/>
                <w:sz w:val="20"/>
                <w:szCs w:val="20"/>
                <w:lang w:val="es-CO" w:eastAsia="zh-CN"/>
              </w:rPr>
              <w:t>2016</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89</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DNP</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Los OCAD son los organismos encargados de evaluar y aprobar los proyectos de inversión presentados por las ET.</w:t>
            </w:r>
          </w:p>
        </w:tc>
      </w:tr>
      <w:tr>
        <w:trPr>
          <w:trHeight w:val="288"/>
        </w:trPr>
        <w:tc>
          <w:tcPr>
            <w:tcW w:w="12950" w:type="dxa"/>
            <w:gridSpan w:val="12"/>
            <w:vAlign w:val="center"/>
          </w:tcPr>
          <w:p>
            <w:pPr>
              <w:autoSpaceDE w:val="0"/>
              <w:autoSpaceDN w:val="0"/>
              <w:adjustRightInd w:val="0"/>
              <w:spacing w:after="0" w:line="240" w:lineRule="auto"/>
              <w:rPr>
                <w:rFonts w:ascii="Arial" w:hAnsi="Arial" w:cs="Arial"/>
                <w:b/>
                <w:smallCaps/>
                <w:color w:val="000000"/>
                <w:sz w:val="20"/>
                <w:szCs w:val="20"/>
                <w:lang w:val="es-CO"/>
              </w:rPr>
            </w:pPr>
            <w:r>
              <w:rPr>
                <w:rFonts w:ascii="Arial" w:hAnsi="Arial" w:cs="Arial"/>
                <w:b/>
                <w:caps/>
                <w:sz w:val="20"/>
                <w:szCs w:val="20"/>
                <w:u w:val="single"/>
                <w:lang w:val="es-CO" w:eastAsia="zh-CN"/>
              </w:rPr>
              <w:t>resultado #4</w:t>
            </w:r>
            <w:r>
              <w:rPr>
                <w:rFonts w:ascii="Arial" w:hAnsi="Arial" w:cs="Arial"/>
                <w:b/>
                <w:caps/>
                <w:sz w:val="20"/>
                <w:szCs w:val="20"/>
                <w:lang w:val="es-CO" w:eastAsia="zh-CN"/>
              </w:rPr>
              <w:t xml:space="preserve">: </w:t>
            </w:r>
            <w:r>
              <w:rPr>
                <w:rFonts w:ascii="Arial" w:hAnsi="Arial" w:cs="Arial"/>
                <w:b/>
                <w:sz w:val="20"/>
                <w:szCs w:val="20"/>
                <w:lang w:val="es-CO" w:eastAsia="zh-CN"/>
              </w:rPr>
              <w:t>Ahorros por mejoras en eficiencia en las compras públicas</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Diferencia entre el precio máximo definido en los acuerdos marco y el precio efectivamente pagado en las compras públicas en la tienda virtual de CCE</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5,93</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2017</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6,</w:t>
            </w:r>
            <w:r>
              <w:rPr>
                <w:rFonts w:ascii="Arial" w:hAnsi="Arial" w:cs="Arial"/>
                <w:sz w:val="20"/>
                <w:szCs w:val="20"/>
                <w:lang w:val="es-CO" w:eastAsia="zh-CN"/>
              </w:rPr>
              <w:t>5,23</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ANCP-CCE</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Diferencia porcentual promedio anual, ponderada por el valor de las compras públicas anuales en pesos colombianos corrientes.</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Valor de las compras públicas realizadas a través del SECOP II</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 del PIB</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0,5</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2017</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0,7</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ANCP-CCE</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trHeight w:val="288"/>
        </w:trPr>
        <w:tc>
          <w:tcPr>
            <w:tcW w:w="12950" w:type="dxa"/>
            <w:gridSpan w:val="12"/>
            <w:vAlign w:val="center"/>
          </w:tcPr>
          <w:p>
            <w:pPr>
              <w:autoSpaceDE w:val="0"/>
              <w:autoSpaceDN w:val="0"/>
              <w:adjustRightInd w:val="0"/>
              <w:spacing w:after="0" w:line="240" w:lineRule="auto"/>
              <w:rPr>
                <w:rFonts w:ascii="Arial" w:hAnsi="Arial" w:cs="Arial"/>
                <w:b/>
                <w:smallCaps/>
                <w:color w:val="000000"/>
                <w:sz w:val="20"/>
                <w:szCs w:val="20"/>
                <w:lang w:val="es-CO"/>
              </w:rPr>
            </w:pPr>
            <w:r>
              <w:rPr>
                <w:rFonts w:ascii="Arial" w:hAnsi="Arial" w:cs="Arial"/>
                <w:b/>
                <w:caps/>
                <w:sz w:val="20"/>
                <w:szCs w:val="20"/>
                <w:u w:val="single"/>
                <w:lang w:val="es-CO" w:eastAsia="zh-CN"/>
              </w:rPr>
              <w:t>resultado #5</w:t>
            </w:r>
            <w:r>
              <w:rPr>
                <w:rFonts w:ascii="Arial" w:hAnsi="Arial" w:cs="Arial"/>
                <w:b/>
                <w:caps/>
                <w:sz w:val="20"/>
                <w:szCs w:val="20"/>
                <w:lang w:val="es-CO" w:eastAsia="zh-CN"/>
              </w:rPr>
              <w:t xml:space="preserve">: </w:t>
            </w:r>
            <w:r>
              <w:rPr>
                <w:rFonts w:ascii="Arial" w:hAnsi="Arial" w:cs="Arial"/>
                <w:b/>
                <w:sz w:val="20"/>
                <w:szCs w:val="20"/>
                <w:lang w:val="es-CO" w:eastAsia="zh-CN"/>
              </w:rPr>
              <w:t>Mejora del perfil de la deuda pública</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Vida media de la Deuda Interna</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Años</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5,1</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2012</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7</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6,2</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6,4</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MH</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Estrategia de Gestión de deuda.</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Vida media de la Deuda Externa</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Años</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10,8</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2012</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12</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11,9</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11,1</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MH</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Estrategia de Gestión de deuda.</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Composición de la Deuda Pública en Moneda Extranjera</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 del total</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28</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2012</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25</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33,9</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32</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MH</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Estrategia de Gestión de deuda.</w:t>
            </w:r>
          </w:p>
        </w:tc>
      </w:tr>
      <w:tr>
        <w:trPr>
          <w:trHeight w:val="288"/>
        </w:trPr>
        <w:tc>
          <w:tcPr>
            <w:tcW w:w="12950" w:type="dxa"/>
            <w:gridSpan w:val="12"/>
            <w:vAlign w:val="center"/>
          </w:tcPr>
          <w:p>
            <w:pPr>
              <w:autoSpaceDE w:val="0"/>
              <w:autoSpaceDN w:val="0"/>
              <w:adjustRightInd w:val="0"/>
              <w:spacing w:after="0" w:line="240" w:lineRule="auto"/>
              <w:rPr>
                <w:rFonts w:ascii="Arial" w:hAnsi="Arial" w:cs="Arial"/>
                <w:b/>
                <w:smallCaps/>
                <w:color w:val="000000"/>
                <w:sz w:val="20"/>
                <w:szCs w:val="20"/>
                <w:lang w:val="es-CO"/>
              </w:rPr>
            </w:pPr>
            <w:r>
              <w:rPr>
                <w:rFonts w:ascii="Arial" w:hAnsi="Arial" w:cs="Arial"/>
                <w:b/>
                <w:caps/>
                <w:sz w:val="20"/>
                <w:szCs w:val="20"/>
                <w:u w:val="single"/>
                <w:lang w:val="es-CO" w:eastAsia="zh-CN"/>
              </w:rPr>
              <w:t>resultado #6</w:t>
            </w:r>
            <w:r>
              <w:rPr>
                <w:rFonts w:ascii="Arial" w:hAnsi="Arial" w:cs="Arial"/>
                <w:b/>
                <w:caps/>
                <w:sz w:val="20"/>
                <w:szCs w:val="20"/>
                <w:lang w:val="es-CO" w:eastAsia="zh-CN"/>
              </w:rPr>
              <w:t xml:space="preserve">: </w:t>
            </w:r>
            <w:r>
              <w:rPr>
                <w:rFonts w:ascii="Arial" w:hAnsi="Arial" w:cs="Arial"/>
                <w:b/>
                <w:sz w:val="20"/>
                <w:szCs w:val="20"/>
                <w:lang w:val="es-CO" w:eastAsia="zh-CN"/>
              </w:rPr>
              <w:t>Mejora en la gestión de empresas estatales del orden nacional</w:t>
            </w:r>
          </w:p>
        </w:tc>
      </w:tr>
      <w:tr>
        <w:trPr>
          <w:trHeight w:val="20"/>
        </w:trPr>
        <w:tc>
          <w:tcPr>
            <w:tcW w:w="1991"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color w:val="000000"/>
                <w:sz w:val="18"/>
                <w:szCs w:val="18"/>
              </w:rPr>
              <w:t xml:space="preserve"> </w:t>
            </w:r>
            <w:r>
              <w:rPr>
                <w:rFonts w:ascii="Arial" w:hAnsi="Arial" w:cs="Arial"/>
                <w:color w:val="000000"/>
                <w:sz w:val="20"/>
                <w:szCs w:val="18"/>
              </w:rPr>
              <w:t>Empresas con participación estatal con patrimonios valorados y generadores de valor identificados</w:t>
            </w:r>
          </w:p>
        </w:tc>
        <w:tc>
          <w:tcPr>
            <w:tcW w:w="103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 xml:space="preserve">Número </w:t>
            </w:r>
          </w:p>
        </w:tc>
        <w:tc>
          <w:tcPr>
            <w:tcW w:w="789"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9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79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w:t>
            </w:r>
          </w:p>
        </w:tc>
        <w:tc>
          <w:tcPr>
            <w:tcW w:w="91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36,</w:t>
            </w:r>
            <w:r>
              <w:rPr>
                <w:rFonts w:ascii="Arial" w:hAnsi="Arial" w:cs="Arial"/>
                <w:sz w:val="20"/>
                <w:szCs w:val="20"/>
                <w:lang w:val="es-CO" w:eastAsia="zh-CN"/>
              </w:rPr>
              <w:t>0</w:t>
            </w:r>
          </w:p>
        </w:tc>
        <w:tc>
          <w:tcPr>
            <w:tcW w:w="8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745"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30</w:t>
            </w:r>
          </w:p>
        </w:tc>
        <w:tc>
          <w:tcPr>
            <w:tcW w:w="746"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2019</w:t>
            </w:r>
          </w:p>
        </w:tc>
        <w:tc>
          <w:tcPr>
            <w:tcW w:w="129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MH</w:t>
            </w:r>
          </w:p>
        </w:tc>
        <w:tc>
          <w:tcPr>
            <w:tcW w:w="2182"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r>
              <w:rPr>
                <w:rFonts w:ascii="Arial" w:hAnsi="Arial" w:cs="Arial"/>
                <w:sz w:val="20"/>
                <w:szCs w:val="20"/>
                <w:lang w:val="es-CO" w:eastAsia="zh-CN"/>
              </w:rPr>
              <w:t>Corresponde a un ejercicio de valoración siguiendo una metodología de identificación de palancas de valor para determinar oportunidades de mejora de rentabilidad y eficiencia.</w:t>
            </w:r>
          </w:p>
        </w:tc>
      </w:tr>
    </w:tbl>
    <w:p>
      <w:pPr>
        <w:autoSpaceDE w:val="0"/>
        <w:autoSpaceDN w:val="0"/>
        <w:adjustRightInd w:val="0"/>
        <w:spacing w:after="0" w:line="240" w:lineRule="auto"/>
        <w:jc w:val="center"/>
        <w:rPr>
          <w:rFonts w:ascii="Arial" w:hAnsi="Arial" w:cs="Arial"/>
          <w:b/>
          <w:smallCaps/>
          <w:color w:val="000000"/>
          <w:sz w:val="20"/>
          <w:szCs w:val="20"/>
          <w:lang w:val="es-CO"/>
        </w:rPr>
      </w:pPr>
    </w:p>
    <w:p>
      <w:pPr>
        <w:spacing w:after="0" w:line="240" w:lineRule="auto"/>
        <w:rPr>
          <w:rFonts w:ascii="Arial" w:hAnsi="Arial" w:cs="Arial"/>
          <w:b/>
          <w:smallCaps/>
          <w:color w:val="000000"/>
          <w:sz w:val="20"/>
          <w:szCs w:val="20"/>
          <w:lang w:val="es-CO"/>
        </w:rPr>
      </w:pPr>
    </w:p>
    <w:p>
      <w:pPr>
        <w:autoSpaceDE w:val="0"/>
        <w:autoSpaceDN w:val="0"/>
        <w:adjustRightInd w:val="0"/>
        <w:spacing w:after="120" w:line="240" w:lineRule="auto"/>
        <w:jc w:val="center"/>
        <w:rPr>
          <w:rFonts w:ascii="Arial" w:hAnsi="Arial" w:cs="Arial"/>
          <w:b/>
          <w:smallCaps/>
          <w:color w:val="000000"/>
          <w:sz w:val="20"/>
          <w:szCs w:val="20"/>
          <w:lang w:val="es-CO"/>
        </w:rPr>
      </w:pPr>
    </w:p>
    <w:p>
      <w:pPr>
        <w:autoSpaceDE w:val="0"/>
        <w:autoSpaceDN w:val="0"/>
        <w:adjustRightInd w:val="0"/>
        <w:spacing w:after="120" w:line="240" w:lineRule="auto"/>
        <w:jc w:val="center"/>
        <w:rPr>
          <w:rFonts w:ascii="Arial" w:hAnsi="Arial" w:cs="Arial"/>
          <w:szCs w:val="20"/>
          <w:lang w:val="es-CO"/>
        </w:rPr>
      </w:pPr>
      <w:r>
        <w:rPr>
          <w:rFonts w:ascii="Arial" w:hAnsi="Arial" w:cs="Arial"/>
          <w:b/>
          <w:smallCaps/>
          <w:color w:val="000000"/>
          <w:szCs w:val="20"/>
          <w:lang w:val="es-CO"/>
        </w:rPr>
        <w:t>Productos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8"/>
        <w:gridCol w:w="1317"/>
        <w:gridCol w:w="1100"/>
        <w:gridCol w:w="1570"/>
        <w:gridCol w:w="900"/>
        <w:gridCol w:w="1724"/>
        <w:gridCol w:w="1511"/>
      </w:tblGrid>
      <w:tr>
        <w:trPr>
          <w:cantSplit/>
          <w:trHeight w:val="20"/>
          <w:tblHeader/>
        </w:trPr>
        <w:tc>
          <w:tcPr>
            <w:tcW w:w="482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pPr>
              <w:spacing w:after="0" w:line="240" w:lineRule="auto"/>
              <w:jc w:val="center"/>
              <w:rPr>
                <w:rFonts w:ascii="Arial" w:hAnsi="Arial" w:cs="Arial"/>
                <w:b/>
                <w:sz w:val="20"/>
                <w:szCs w:val="20"/>
                <w:lang w:val="es-ES_tradnl" w:eastAsia="zh-CN"/>
              </w:rPr>
            </w:pPr>
            <w:r>
              <w:rPr>
                <w:rFonts w:ascii="Arial" w:hAnsi="Arial" w:cs="Arial"/>
                <w:b/>
                <w:sz w:val="20"/>
                <w:szCs w:val="20"/>
                <w:lang w:val="es-ES_tradnl" w:eastAsia="zh-CN"/>
              </w:rPr>
              <w:t>Productos</w:t>
            </w:r>
          </w:p>
        </w:tc>
        <w:tc>
          <w:tcPr>
            <w:tcW w:w="131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pPr>
              <w:spacing w:after="0" w:line="240" w:lineRule="auto"/>
              <w:jc w:val="center"/>
              <w:rPr>
                <w:rFonts w:ascii="Arial" w:hAnsi="Arial" w:cs="Arial"/>
                <w:b/>
                <w:sz w:val="20"/>
                <w:szCs w:val="20"/>
                <w:lang w:val="es-ES_tradnl" w:eastAsia="zh-CN"/>
              </w:rPr>
            </w:pPr>
            <w:r>
              <w:rPr>
                <w:rFonts w:ascii="Arial" w:hAnsi="Arial" w:cs="Arial"/>
                <w:b/>
                <w:sz w:val="20"/>
                <w:szCs w:val="20"/>
                <w:lang w:val="es-ES_tradnl" w:eastAsia="zh-CN"/>
              </w:rPr>
              <w:t>Unidad de Medida</w:t>
            </w:r>
          </w:p>
        </w:tc>
        <w:tc>
          <w:tcPr>
            <w:tcW w:w="11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pPr>
              <w:spacing w:after="0" w:line="240" w:lineRule="auto"/>
              <w:jc w:val="center"/>
              <w:rPr>
                <w:rFonts w:ascii="Arial" w:hAnsi="Arial" w:cs="Arial"/>
                <w:b/>
                <w:sz w:val="20"/>
                <w:szCs w:val="20"/>
                <w:lang w:val="es-ES_tradnl" w:eastAsia="zh-CN"/>
              </w:rPr>
            </w:pPr>
            <w:r>
              <w:rPr>
                <w:rFonts w:ascii="Arial" w:hAnsi="Arial" w:cs="Arial"/>
                <w:b/>
                <w:sz w:val="20"/>
                <w:szCs w:val="20"/>
                <w:lang w:val="es-ES_tradnl" w:eastAsia="zh-CN"/>
              </w:rPr>
              <w:t>Línea de Base</w:t>
            </w:r>
          </w:p>
        </w:tc>
        <w:tc>
          <w:tcPr>
            <w:tcW w:w="1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pPr>
              <w:spacing w:after="0" w:line="240" w:lineRule="auto"/>
              <w:jc w:val="center"/>
              <w:rPr>
                <w:rFonts w:ascii="Arial" w:hAnsi="Arial" w:cs="Arial"/>
                <w:b/>
                <w:sz w:val="20"/>
                <w:szCs w:val="20"/>
                <w:lang w:val="es-ES_tradnl" w:eastAsia="zh-CN"/>
              </w:rPr>
            </w:pPr>
            <w:r>
              <w:rPr>
                <w:rFonts w:ascii="Arial" w:hAnsi="Arial" w:cs="Arial"/>
                <w:b/>
                <w:sz w:val="20"/>
                <w:szCs w:val="20"/>
                <w:lang w:val="es-ES_tradnl" w:eastAsia="zh-CN"/>
              </w:rPr>
              <w:t>Año</w:t>
            </w:r>
          </w:p>
          <w:p>
            <w:pPr>
              <w:spacing w:after="0" w:line="240" w:lineRule="auto"/>
              <w:jc w:val="center"/>
              <w:rPr>
                <w:rFonts w:ascii="Arial" w:hAnsi="Arial" w:cs="Arial"/>
                <w:b/>
                <w:sz w:val="20"/>
                <w:szCs w:val="20"/>
                <w:lang w:val="es-ES_tradnl" w:eastAsia="zh-CN"/>
              </w:rPr>
            </w:pPr>
            <w:r>
              <w:rPr>
                <w:rFonts w:ascii="Arial" w:hAnsi="Arial" w:cs="Arial"/>
                <w:b/>
                <w:sz w:val="20"/>
                <w:szCs w:val="20"/>
                <w:lang w:val="es-ES_tradnl" w:eastAsia="zh-CN"/>
              </w:rPr>
              <w:t>Línea de Base</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pPr>
              <w:spacing w:after="0" w:line="240" w:lineRule="auto"/>
              <w:jc w:val="center"/>
              <w:rPr>
                <w:rFonts w:ascii="Arial" w:hAnsi="Arial" w:cs="Arial"/>
                <w:b/>
                <w:sz w:val="20"/>
                <w:szCs w:val="20"/>
                <w:lang w:val="es-ES_tradnl" w:eastAsia="zh-CN"/>
              </w:rPr>
            </w:pPr>
            <w:r>
              <w:rPr>
                <w:rFonts w:ascii="Arial" w:hAnsi="Arial" w:cs="Arial"/>
                <w:b/>
                <w:sz w:val="20"/>
                <w:szCs w:val="20"/>
                <w:lang w:val="es-ES_tradnl" w:eastAsia="zh-CN"/>
              </w:rPr>
              <w:t>Meta Final</w:t>
            </w:r>
          </w:p>
        </w:tc>
        <w:tc>
          <w:tcPr>
            <w:tcW w:w="172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pPr>
              <w:spacing w:after="0" w:line="240" w:lineRule="auto"/>
              <w:jc w:val="center"/>
              <w:rPr>
                <w:rFonts w:ascii="Arial" w:hAnsi="Arial" w:cs="Arial"/>
                <w:b/>
                <w:sz w:val="20"/>
                <w:szCs w:val="20"/>
                <w:lang w:val="es-ES_tradnl" w:eastAsia="zh-CN"/>
              </w:rPr>
            </w:pPr>
            <w:r>
              <w:rPr>
                <w:rFonts w:ascii="Arial" w:hAnsi="Arial" w:cs="Arial"/>
                <w:b/>
                <w:sz w:val="20"/>
                <w:szCs w:val="20"/>
                <w:lang w:val="es-ES_tradnl" w:eastAsia="zh-CN"/>
              </w:rPr>
              <w:t>Medios de Verificación</w:t>
            </w:r>
          </w:p>
        </w:tc>
        <w:tc>
          <w:tcPr>
            <w:tcW w:w="151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pPr>
              <w:spacing w:after="0" w:line="240" w:lineRule="auto"/>
              <w:jc w:val="center"/>
              <w:rPr>
                <w:rFonts w:ascii="Arial" w:hAnsi="Arial" w:cs="Arial"/>
                <w:b/>
                <w:sz w:val="20"/>
                <w:szCs w:val="20"/>
                <w:lang w:val="es-ES_tradnl" w:eastAsia="zh-CN"/>
              </w:rPr>
            </w:pPr>
            <w:r>
              <w:rPr>
                <w:rFonts w:ascii="Arial" w:hAnsi="Arial" w:cs="Arial"/>
                <w:b/>
                <w:sz w:val="20"/>
                <w:szCs w:val="20"/>
                <w:lang w:val="es-ES_tradnl" w:eastAsia="zh-CN"/>
              </w:rPr>
              <w:t>Comentarios</w:t>
            </w:r>
          </w:p>
        </w:tc>
      </w:tr>
      <w:tr>
        <w:trPr>
          <w:cantSplit/>
          <w:trHeight w:val="432"/>
        </w:trPr>
        <w:tc>
          <w:tcPr>
            <w:tcW w:w="0" w:type="auto"/>
            <w:gridSpan w:val="7"/>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pPr>
              <w:spacing w:after="0" w:line="240" w:lineRule="auto"/>
              <w:rPr>
                <w:rFonts w:ascii="Arial" w:hAnsi="Arial" w:cs="Arial"/>
                <w:b/>
                <w:sz w:val="20"/>
                <w:szCs w:val="20"/>
                <w:lang w:val="es-CO" w:eastAsia="zh-CN"/>
              </w:rPr>
            </w:pPr>
            <w:r>
              <w:rPr>
                <w:rFonts w:ascii="Arial" w:hAnsi="Arial" w:cs="Arial"/>
                <w:b/>
                <w:sz w:val="20"/>
                <w:szCs w:val="20"/>
                <w:u w:val="single"/>
                <w:lang w:val="es-CO" w:eastAsia="zh-CN"/>
              </w:rPr>
              <w:t>Componente II</w:t>
            </w:r>
            <w:r>
              <w:rPr>
                <w:rFonts w:ascii="Arial" w:hAnsi="Arial" w:cs="Arial"/>
                <w:b/>
                <w:sz w:val="20"/>
                <w:szCs w:val="20"/>
                <w:lang w:val="es-CO" w:eastAsia="zh-CN"/>
              </w:rPr>
              <w:t>: Fortalecer la gestión y recaudación de ingresos tributarios y aduaneros</w:t>
            </w: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iCs/>
                <w:sz w:val="20"/>
                <w:szCs w:val="20"/>
                <w:lang w:val="es-ES"/>
              </w:rPr>
              <w:t>Ley de reforma tributaria estructural aprobada</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Ley</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val="es-ES" w:eastAsia="zh-CN"/>
              </w:rPr>
            </w:pPr>
            <w:r>
              <w:rPr>
                <w:rFonts w:ascii="Arial" w:hAnsi="Arial" w:cs="Arial"/>
                <w:sz w:val="20"/>
                <w:szCs w:val="20"/>
                <w:lang w:val="es-ES" w:eastAsia="zh-CN"/>
              </w:rPr>
              <w:t xml:space="preserve">Decretos reglamentarios de la reforma tributaria, sobre </w:t>
            </w:r>
            <w:r>
              <w:rPr>
                <w:rFonts w:ascii="Arial" w:hAnsi="Arial" w:cs="Arial"/>
                <w:sz w:val="20"/>
                <w:szCs w:val="20"/>
                <w:lang w:eastAsia="zh-CN"/>
              </w:rPr>
              <w:t>aspectos del régimen de precios de transferencia y de los informes para transmisión de información emitidos</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ES" w:eastAsia="zh-CN"/>
              </w:rPr>
            </w:pPr>
            <w:r>
              <w:rPr>
                <w:rFonts w:ascii="Arial" w:hAnsi="Arial" w:cs="Arial"/>
                <w:sz w:val="20"/>
                <w:szCs w:val="20"/>
                <w:lang w:val="es-ES" w:eastAsia="zh-CN"/>
              </w:rPr>
              <w:t>Decretos</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3</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lastRenderedPageBreak/>
              <w:t>Publicación de la OCDE sobre el cumplimiento de los estándares en materia de manejo confidencial de la información para efectos de intercambio de información</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Publicación web</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Ley de licores aprobada</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Ley</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CONPES de Política de Catastro Multipropósito aprobado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Documento CONPES</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Decreto reglamentario del impuesto al cigarrillo y el tabaco emitido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Decretos</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Informe del Plan Piloto para la masificación del uso de la factura electrónica presentado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Informe</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Decreto de regulación aduanera (Estatuto Aduanero) emitido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Decreto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Resoluciones reglamentarias del Estatuto Aduanero emitidas</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Resolución</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4</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Informe sobre la implementación y operación del módulo de desaduanamiento del sistema de gestión de riesgo aduanero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Informe</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val="es-ES" w:eastAsia="zh-CN"/>
              </w:rPr>
            </w:pPr>
            <w:r>
              <w:rPr>
                <w:rFonts w:ascii="Arial" w:hAnsi="Arial" w:cs="Arial"/>
                <w:sz w:val="20"/>
                <w:szCs w:val="20"/>
                <w:lang w:val="es-ES" w:eastAsia="zh-CN"/>
              </w:rPr>
              <w:t>Decreto autorizando la contratación de auditores fiscales emitido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Decreto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rPr>
                <w:rFonts w:ascii="Arial" w:hAnsi="Arial" w:cs="Arial"/>
                <w:sz w:val="20"/>
                <w:szCs w:val="20"/>
                <w:lang w:val="es-CO" w:eastAsia="zh-CN"/>
              </w:rPr>
            </w:pPr>
          </w:p>
        </w:tc>
      </w:tr>
      <w:tr>
        <w:trPr>
          <w:cantSplit/>
          <w:trHeight w:val="432"/>
        </w:trPr>
        <w:tc>
          <w:tcPr>
            <w:tcW w:w="0" w:type="auto"/>
            <w:gridSpan w:val="7"/>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pPr>
              <w:spacing w:after="0" w:line="240" w:lineRule="auto"/>
              <w:rPr>
                <w:rFonts w:ascii="Arial" w:hAnsi="Arial" w:cs="Arial"/>
                <w:sz w:val="20"/>
                <w:szCs w:val="20"/>
                <w:highlight w:val="yellow"/>
                <w:lang w:val="es-CO" w:eastAsia="zh-CN"/>
              </w:rPr>
            </w:pPr>
            <w:r>
              <w:rPr>
                <w:rFonts w:ascii="Arial" w:hAnsi="Arial" w:cs="Arial"/>
                <w:b/>
                <w:sz w:val="20"/>
                <w:szCs w:val="20"/>
                <w:u w:val="single"/>
                <w:lang w:val="es-CO" w:eastAsia="zh-CN"/>
              </w:rPr>
              <w:t>Componente III</w:t>
            </w:r>
            <w:r>
              <w:rPr>
                <w:rFonts w:ascii="Arial" w:hAnsi="Arial" w:cs="Arial"/>
                <w:b/>
                <w:sz w:val="20"/>
                <w:szCs w:val="20"/>
                <w:lang w:val="es-CO" w:eastAsia="zh-CN"/>
              </w:rPr>
              <w:t>: Mejora la eficiencia del gasto público</w:t>
            </w: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val="es-ES" w:eastAsia="zh-CN"/>
              </w:rPr>
            </w:pPr>
            <w:r>
              <w:rPr>
                <w:rFonts w:ascii="Arial" w:hAnsi="Arial" w:cs="Arial"/>
                <w:sz w:val="20"/>
                <w:szCs w:val="20"/>
                <w:lang w:val="es-ES" w:eastAsia="zh-CN"/>
              </w:rPr>
              <w:t>Decreto para la creación de la Dirección del Sistema General de Regalías en el DNP emitido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Decreto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val="es-ES" w:eastAsia="zh-CN"/>
              </w:rPr>
            </w:pPr>
            <w:r>
              <w:rPr>
                <w:rFonts w:ascii="Arial" w:hAnsi="Arial" w:cs="Arial"/>
                <w:sz w:val="20"/>
                <w:szCs w:val="20"/>
                <w:lang w:val="es-ES" w:eastAsia="zh-CN"/>
              </w:rPr>
              <w:t>CONPES de Estandarización de proyectos aprobado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Documento CONPES</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iCs/>
                <w:sz w:val="20"/>
                <w:szCs w:val="20"/>
                <w:lang w:eastAsia="zh-CN"/>
              </w:rPr>
            </w:pPr>
            <w:r>
              <w:rPr>
                <w:rFonts w:ascii="Arial" w:hAnsi="Arial" w:cs="Arial"/>
                <w:iCs/>
                <w:sz w:val="20"/>
                <w:szCs w:val="20"/>
                <w:lang w:eastAsia="zh-CN"/>
              </w:rPr>
              <w:lastRenderedPageBreak/>
              <w:t xml:space="preserve">Documento Marco del programa de Fortalecimiento de Capacidades de Estructuración de Proyectos a los entes territoriales, </w:t>
            </w:r>
            <w:r>
              <w:rPr>
                <w:rFonts w:ascii="Arial" w:hAnsi="Arial" w:cs="Arial"/>
                <w:iCs/>
                <w:sz w:val="20"/>
                <w:szCs w:val="20"/>
                <w:lang w:val="es-ES" w:eastAsia="zh-CN"/>
              </w:rPr>
              <w:t xml:space="preserve">Metodología del DNP de estandarización de proyectos de inversión y Guía de operación de la </w:t>
            </w:r>
            <w:r>
              <w:rPr>
                <w:rFonts w:ascii="Arial" w:hAnsi="Arial" w:cs="Arial"/>
                <w:sz w:val="20"/>
                <w:szCs w:val="20"/>
                <w:lang w:val="es-ES" w:eastAsia="zh-CN"/>
              </w:rPr>
              <w:t xml:space="preserve">Red de Estructuradores SGR, </w:t>
            </w:r>
            <w:r>
              <w:rPr>
                <w:rFonts w:ascii="Arial" w:hAnsi="Arial" w:cs="Arial"/>
                <w:iCs/>
                <w:sz w:val="20"/>
                <w:szCs w:val="20"/>
                <w:lang w:val="es-ES" w:eastAsia="zh-CN"/>
              </w:rPr>
              <w:t>publicados</w:t>
            </w:r>
            <w:r>
              <w:rPr>
                <w:rFonts w:ascii="Arial" w:hAnsi="Arial" w:cs="Arial"/>
                <w:iCs/>
                <w:sz w:val="20"/>
                <w:szCs w:val="20"/>
                <w:lang w:val="es-ES"/>
              </w:rPr>
              <w:t xml:space="preserve"> </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Documento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2014</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3</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iCs/>
                <w:sz w:val="20"/>
                <w:szCs w:val="20"/>
                <w:lang w:eastAsia="zh-CN"/>
              </w:rPr>
            </w:pPr>
            <w:r>
              <w:rPr>
                <w:rFonts w:ascii="Arial" w:hAnsi="Arial" w:cs="Arial"/>
                <w:iCs/>
                <w:sz w:val="20"/>
                <w:szCs w:val="20"/>
                <w:lang w:eastAsia="zh-CN"/>
              </w:rPr>
              <w:t>Documento CONPES de Contratos Plan para la Paz y el Posconflicto en Bolívar y Sucre aprobado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Documento CONPES</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iCs/>
                <w:sz w:val="20"/>
                <w:szCs w:val="20"/>
                <w:lang w:eastAsia="zh-CN"/>
              </w:rPr>
            </w:pPr>
            <w:r>
              <w:rPr>
                <w:rFonts w:ascii="Arial" w:hAnsi="Arial" w:cs="Arial"/>
                <w:iCs/>
                <w:sz w:val="20"/>
                <w:szCs w:val="20"/>
                <w:lang w:eastAsia="zh-CN"/>
              </w:rPr>
              <w:t>Acto Legislativo para modificar el SRG aprobado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Acto Legislativo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iCs/>
                <w:sz w:val="20"/>
                <w:szCs w:val="20"/>
                <w:lang w:eastAsia="zh-CN"/>
              </w:rPr>
            </w:pPr>
            <w:r>
              <w:rPr>
                <w:rFonts w:ascii="Arial" w:hAnsi="Arial" w:cs="Arial"/>
                <w:iCs/>
                <w:sz w:val="20"/>
                <w:szCs w:val="20"/>
                <w:lang w:eastAsia="zh-CN"/>
              </w:rPr>
              <w:t>Decretos reglamentarios del Acto Legislativo que modifica el SGR emitidos</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Decreto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iCs/>
                <w:sz w:val="20"/>
                <w:szCs w:val="20"/>
                <w:lang w:val="es-ES" w:eastAsia="zh-CN"/>
              </w:rPr>
            </w:pPr>
            <w:r>
              <w:rPr>
                <w:rFonts w:ascii="Arial" w:hAnsi="Arial" w:cs="Arial"/>
                <w:iCs/>
                <w:sz w:val="20"/>
                <w:szCs w:val="20"/>
                <w:lang w:val="es-ES" w:eastAsia="zh-CN"/>
              </w:rPr>
              <w:t>Informes de las Líneas base para la evaluación de impacto del SGR en los Fondos de Desarrollo Regional (FDR), Compensación Regional (CR) y de Ciencia y Tecnología (CTI), publicados</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Informe</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iCs/>
                <w:sz w:val="20"/>
                <w:szCs w:val="20"/>
                <w:lang w:val="es-ES" w:eastAsia="zh-CN"/>
              </w:rPr>
            </w:pPr>
            <w:r>
              <w:rPr>
                <w:rFonts w:ascii="Arial" w:hAnsi="Arial" w:cs="Arial"/>
                <w:iCs/>
                <w:sz w:val="20"/>
                <w:szCs w:val="20"/>
                <w:lang w:val="es-ES" w:eastAsia="zh-CN"/>
              </w:rPr>
              <w:t>Acuerdo de la Comisión Rectora de Regalías para la inclusión del Sistema de Evaluación por Puntajes (SEP) en el SGR aprobado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Acuerdo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2014</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iCs/>
                <w:sz w:val="20"/>
                <w:szCs w:val="20"/>
                <w:lang w:val="es-ES" w:eastAsia="zh-CN"/>
              </w:rPr>
            </w:pPr>
            <w:r>
              <w:rPr>
                <w:rFonts w:ascii="Arial" w:hAnsi="Arial" w:cs="Arial"/>
                <w:iCs/>
                <w:sz w:val="20"/>
                <w:szCs w:val="20"/>
                <w:lang w:val="es-ES" w:eastAsia="zh-CN"/>
              </w:rPr>
              <w:t>Decreto que modifica aspectos del ciclo de proyectos de inversión del SGR emitido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Decreto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FootnoteText"/>
              <w:jc w:val="both"/>
              <w:rPr>
                <w:rFonts w:ascii="Arial" w:eastAsia="Calibri" w:hAnsi="Arial" w:cs="Arial"/>
                <w:iCs/>
                <w:lang w:eastAsia="zh-CN"/>
              </w:rPr>
            </w:pPr>
            <w:r>
              <w:rPr>
                <w:rFonts w:ascii="Arial" w:eastAsia="Calibri" w:hAnsi="Arial" w:cs="Arial"/>
                <w:iCs/>
                <w:lang w:eastAsia="zh-CN"/>
              </w:rPr>
              <w:t>Reporte de los procesos de contratación de Colombia Compra Eficiente a través del SECOP II publicado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Reporte</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FootnoteText"/>
              <w:jc w:val="both"/>
              <w:rPr>
                <w:rFonts w:ascii="Arial" w:eastAsia="Calibri" w:hAnsi="Arial" w:cs="Arial"/>
                <w:iCs/>
                <w:lang w:eastAsia="zh-CN"/>
              </w:rPr>
            </w:pPr>
            <w:r>
              <w:rPr>
                <w:rFonts w:ascii="Arial" w:eastAsia="Calibri" w:hAnsi="Arial" w:cs="Arial"/>
                <w:iCs/>
                <w:lang w:eastAsia="zh-CN"/>
              </w:rPr>
              <w:t>Nuevos acuerdos marco de precios aprobados</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ES" w:eastAsia="zh-CN"/>
              </w:rPr>
            </w:pPr>
            <w:r>
              <w:rPr>
                <w:rFonts w:ascii="Arial" w:hAnsi="Arial" w:cs="Arial"/>
                <w:sz w:val="20"/>
                <w:szCs w:val="20"/>
                <w:lang w:val="es-ES" w:eastAsia="zh-CN"/>
              </w:rPr>
              <w:t>Acuerdo marco de precios</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5</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p>
            <w:pPr>
              <w:spacing w:after="0" w:line="240" w:lineRule="auto"/>
              <w:jc w:val="center"/>
              <w:rPr>
                <w:rFonts w:ascii="Arial" w:hAnsi="Arial" w:cs="Arial"/>
                <w:sz w:val="20"/>
                <w:szCs w:val="20"/>
                <w:lang w:val="es-CO" w:eastAsia="zh-CN"/>
              </w:rPr>
            </w:pP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432"/>
        </w:trPr>
        <w:tc>
          <w:tcPr>
            <w:tcW w:w="0" w:type="auto"/>
            <w:gridSpan w:val="7"/>
            <w:tcBorders>
              <w:top w:val="single" w:sz="4" w:space="0" w:color="000000"/>
              <w:left w:val="single" w:sz="4" w:space="0" w:color="000000"/>
              <w:bottom w:val="single" w:sz="4" w:space="0" w:color="000000"/>
              <w:right w:val="single" w:sz="4" w:space="0" w:color="000000"/>
            </w:tcBorders>
            <w:shd w:val="clear" w:color="auto" w:fill="C2D69B" w:themeFill="accent3" w:themeFillTint="99"/>
            <w:vAlign w:val="center"/>
          </w:tcPr>
          <w:p>
            <w:pPr>
              <w:spacing w:after="0" w:line="240" w:lineRule="auto"/>
              <w:rPr>
                <w:rFonts w:ascii="Arial" w:hAnsi="Arial" w:cs="Arial"/>
                <w:sz w:val="20"/>
                <w:szCs w:val="20"/>
                <w:lang w:val="es-CO" w:eastAsia="zh-CN"/>
              </w:rPr>
            </w:pPr>
            <w:r>
              <w:rPr>
                <w:rFonts w:ascii="Arial" w:hAnsi="Arial" w:cs="Arial"/>
                <w:b/>
                <w:sz w:val="20"/>
                <w:szCs w:val="20"/>
                <w:u w:val="single"/>
                <w:lang w:val="es-CO" w:eastAsia="zh-CN"/>
              </w:rPr>
              <w:t>Componente IV</w:t>
            </w:r>
            <w:r>
              <w:rPr>
                <w:rFonts w:ascii="Arial" w:hAnsi="Arial" w:cs="Arial"/>
                <w:b/>
                <w:sz w:val="20"/>
                <w:szCs w:val="20"/>
                <w:lang w:val="es-CO" w:eastAsia="zh-CN"/>
              </w:rPr>
              <w:t>: Mejora en la gestión de deuda pública, incluidos los pasivos contingentes</w:t>
            </w: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Informe sobre los avances a partir de la implementación de la Nueva Estrategia de Gestión de Deuda entregado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Informe</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2017</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Contratos de APP firmados posteriormente a la adopción del Contrato Marco cumpliendo con las medidas de mitigación de riesgo establecidas</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Contratos APP</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7</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lastRenderedPageBreak/>
              <w:t>Certificación sobre la planta de personal y presupuesto asignado para el funcionamiento de la Subdirección de Asociaciones Público-Privadas del MH</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Certificación</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2017</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Informe sobre los avances derivados de la implementación de la Estrategia de política de gestión financiera pública para mitigar los riesgos fiscales por desastres naturales entregado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Informe</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2017</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Publicaciones web sobre los instrumentos de planificación para la Gestión de Desastres y Guía para el aseguramiento de los bienes inmuebles públicos ante la ocurrencia de desastres naturales</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Publicación web</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2015</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Acuerdo marco de intermediarios de seguros publicado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Acuerdo marco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2016</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 xml:space="preserve">Decretos para la creación de la Dirección de Participaciones Estatales, para </w:t>
            </w:r>
            <w:r>
              <w:rPr>
                <w:rFonts w:ascii="Arial" w:hAnsi="Arial" w:cs="Arial"/>
                <w:iCs/>
                <w:sz w:val="20"/>
                <w:szCs w:val="20"/>
                <w:lang w:val="es-ES_tradnl" w:eastAsia="zh-CN"/>
              </w:rPr>
              <w:t xml:space="preserve">la movilización de activos, planes de enajenación onerosa y enajenación de participaciones minoritarias, y </w:t>
            </w:r>
            <w:r>
              <w:rPr>
                <w:rFonts w:ascii="Arial" w:hAnsi="Arial" w:cs="Arial"/>
                <w:sz w:val="20"/>
                <w:szCs w:val="20"/>
                <w:lang w:eastAsia="zh-CN"/>
              </w:rPr>
              <w:t>para la creación de la Comisión Intersectorial para el Aprovechamiento de Activos Públicos, emitidos</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Decreto</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2014</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3</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r>
        <w:trPr>
          <w:cantSplit/>
          <w:trHeight w:val="20"/>
        </w:trPr>
        <w:tc>
          <w:tcPr>
            <w:tcW w:w="4828" w:type="dxa"/>
            <w:tcBorders>
              <w:top w:val="single" w:sz="4" w:space="0" w:color="000000"/>
              <w:left w:val="single" w:sz="4" w:space="0" w:color="000000"/>
              <w:bottom w:val="single" w:sz="4" w:space="0" w:color="000000"/>
              <w:right w:val="single" w:sz="4" w:space="0" w:color="000000"/>
            </w:tcBorders>
            <w:vAlign w:val="center"/>
          </w:tcPr>
          <w:p>
            <w:pPr>
              <w:pStyle w:val="ListParagraph"/>
              <w:spacing w:after="0" w:line="240" w:lineRule="auto"/>
              <w:ind w:left="0"/>
              <w:rPr>
                <w:rFonts w:ascii="Arial" w:hAnsi="Arial" w:cs="Arial"/>
                <w:sz w:val="20"/>
                <w:szCs w:val="20"/>
                <w:lang w:eastAsia="zh-CN"/>
              </w:rPr>
            </w:pPr>
            <w:r>
              <w:rPr>
                <w:rFonts w:ascii="Arial" w:hAnsi="Arial" w:cs="Arial"/>
                <w:sz w:val="20"/>
                <w:szCs w:val="20"/>
                <w:lang w:eastAsia="zh-CN"/>
              </w:rPr>
              <w:t>Documento CONPES de la Política de Propiedad de Empresas Estatales del Orden Nacional aprobado</w:t>
            </w:r>
          </w:p>
        </w:tc>
        <w:tc>
          <w:tcPr>
            <w:tcW w:w="1317"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Documento CONPES</w:t>
            </w:r>
          </w:p>
        </w:tc>
        <w:tc>
          <w:tcPr>
            <w:tcW w:w="11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0</w:t>
            </w:r>
          </w:p>
        </w:tc>
        <w:tc>
          <w:tcPr>
            <w:tcW w:w="157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2014</w:t>
            </w:r>
          </w:p>
        </w:tc>
        <w:tc>
          <w:tcPr>
            <w:tcW w:w="900"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1</w:t>
            </w:r>
          </w:p>
        </w:tc>
        <w:tc>
          <w:tcPr>
            <w:tcW w:w="1724"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r>
              <w:rPr>
                <w:rFonts w:ascii="Arial" w:hAnsi="Arial" w:cs="Arial"/>
                <w:sz w:val="20"/>
                <w:szCs w:val="20"/>
                <w:lang w:val="es-CO" w:eastAsia="zh-CN"/>
              </w:rPr>
              <w:t>Ver Matriz de Medios de Verificación</w:t>
            </w:r>
          </w:p>
        </w:tc>
        <w:tc>
          <w:tcPr>
            <w:tcW w:w="1511" w:type="dxa"/>
            <w:tcBorders>
              <w:top w:val="single" w:sz="4" w:space="0" w:color="000000"/>
              <w:left w:val="single" w:sz="4" w:space="0" w:color="000000"/>
              <w:bottom w:val="single" w:sz="4" w:space="0" w:color="000000"/>
              <w:right w:val="single" w:sz="4" w:space="0" w:color="000000"/>
            </w:tcBorders>
            <w:vAlign w:val="center"/>
          </w:tcPr>
          <w:p>
            <w:pPr>
              <w:spacing w:after="0" w:line="240" w:lineRule="auto"/>
              <w:jc w:val="center"/>
              <w:rPr>
                <w:rFonts w:ascii="Arial" w:hAnsi="Arial" w:cs="Arial"/>
                <w:sz w:val="20"/>
                <w:szCs w:val="20"/>
                <w:lang w:val="es-CO" w:eastAsia="zh-CN"/>
              </w:rPr>
            </w:pPr>
          </w:p>
        </w:tc>
      </w:tr>
    </w:tbl>
    <w:p>
      <w:pPr>
        <w:rPr>
          <w:rFonts w:ascii="Arial" w:hAnsi="Arial" w:cs="Arial"/>
          <w:sz w:val="20"/>
          <w:szCs w:val="20"/>
          <w:lang w:val="es-CO"/>
        </w:rPr>
      </w:pPr>
    </w:p>
    <w:sectPr>
      <w:headerReference w:type="even" r:id="rId7"/>
      <w:headerReference w:type="default" r:id="rId8"/>
      <w:footnotePr>
        <w:numRestart w:val="eachSect"/>
      </w:footnotePr>
      <w:type w:val="continuous"/>
      <w:pgSz w:w="15840" w:h="12240" w:orient="landscape"/>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 w:type="continuationNotice" w:id="1">
    <w:p>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type="continuationNotice" w:id="1">
    <w:p>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rPr>
        <w:rFonts w:ascii="Arial" w:hAnsi="Arial" w:cs="Arial"/>
        <w:sz w:val="18"/>
        <w:szCs w:val="20"/>
        <w:lang w:val="pt-BR"/>
      </w:rPr>
    </w:pPr>
    <w:r>
      <w:rPr>
        <w:rFonts w:ascii="Arial" w:hAnsi="Arial" w:cs="Arial"/>
        <w:sz w:val="18"/>
        <w:szCs w:val="20"/>
        <w:lang w:val="pt-BR"/>
      </w:rPr>
      <w:t>Anexo II – CO-L1227</w:t>
    </w:r>
  </w:p>
  <w:p>
    <w:pPr>
      <w:pStyle w:val="Header"/>
      <w:spacing w:after="120"/>
      <w:rPr>
        <w:rFonts w:ascii="Arial" w:hAnsi="Arial" w:cs="Arial"/>
        <w:sz w:val="18"/>
        <w:lang w:val="pt-BR"/>
      </w:rPr>
    </w:pPr>
    <w:r>
      <w:rPr>
        <w:rFonts w:ascii="Arial" w:hAnsi="Arial" w:cs="Arial"/>
        <w:sz w:val="18"/>
        <w:szCs w:val="20"/>
        <w:lang w:val="pt-BR"/>
      </w:rPr>
      <w:t xml:space="preserve">Página </w:t>
    </w:r>
    <w:r>
      <w:rPr>
        <w:rFonts w:ascii="Arial" w:hAnsi="Arial" w:cs="Arial"/>
        <w:sz w:val="18"/>
        <w:szCs w:val="20"/>
      </w:rPr>
      <w:fldChar w:fldCharType="begin"/>
    </w:r>
    <w:r>
      <w:rPr>
        <w:rFonts w:ascii="Arial" w:hAnsi="Arial" w:cs="Arial"/>
        <w:sz w:val="18"/>
        <w:szCs w:val="20"/>
        <w:lang w:val="pt-BR"/>
      </w:rPr>
      <w:instrText xml:space="preserve"> PAGE </w:instrText>
    </w:r>
    <w:r>
      <w:rPr>
        <w:rFonts w:ascii="Arial" w:hAnsi="Arial" w:cs="Arial"/>
        <w:sz w:val="18"/>
        <w:szCs w:val="20"/>
      </w:rPr>
      <w:fldChar w:fldCharType="separate"/>
    </w:r>
    <w:r>
      <w:rPr>
        <w:rFonts w:ascii="Arial" w:hAnsi="Arial" w:cs="Arial"/>
        <w:noProof/>
        <w:sz w:val="18"/>
        <w:szCs w:val="20"/>
        <w:lang w:val="pt-BR"/>
      </w:rPr>
      <w:t>4</w:t>
    </w:r>
    <w:r>
      <w:rPr>
        <w:rFonts w:ascii="Arial" w:hAnsi="Arial" w:cs="Arial"/>
        <w:sz w:val="18"/>
        <w:szCs w:val="20"/>
      </w:rPr>
      <w:fldChar w:fldCharType="end"/>
    </w:r>
    <w:r>
      <w:rPr>
        <w:rFonts w:ascii="Arial" w:hAnsi="Arial" w:cs="Arial"/>
        <w:sz w:val="18"/>
        <w:szCs w:val="20"/>
        <w:lang w:val="pt-BR"/>
      </w:rPr>
      <w:t xml:space="preserve"> de 6</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right"/>
      <w:rPr>
        <w:rFonts w:ascii="Arial" w:hAnsi="Arial" w:cs="Arial"/>
        <w:sz w:val="18"/>
        <w:szCs w:val="20"/>
        <w:lang w:val="es-CO"/>
      </w:rPr>
    </w:pPr>
    <w:r>
      <w:rPr>
        <w:rFonts w:ascii="Arial" w:hAnsi="Arial" w:cs="Arial"/>
        <w:sz w:val="18"/>
        <w:szCs w:val="20"/>
        <w:lang w:val="es-CO"/>
      </w:rPr>
      <w:t>CO-L1227</w:t>
    </w:r>
  </w:p>
  <w:p>
    <w:pPr>
      <w:pStyle w:val="Header"/>
      <w:spacing w:after="120"/>
      <w:jc w:val="right"/>
      <w:rPr>
        <w:rFonts w:ascii="Arial" w:hAnsi="Arial" w:cs="Arial"/>
        <w:sz w:val="18"/>
        <w:lang w:val="es-CO"/>
      </w:rPr>
    </w:pPr>
    <w:r>
      <w:rPr>
        <w:rFonts w:ascii="Arial" w:hAnsi="Arial" w:cs="Arial"/>
        <w:sz w:val="18"/>
        <w:szCs w:val="20"/>
        <w:lang w:val="es-CO"/>
      </w:rPr>
      <w:t xml:space="preserve">Página </w:t>
    </w:r>
    <w:r>
      <w:rPr>
        <w:rFonts w:ascii="Arial" w:hAnsi="Arial" w:cs="Arial"/>
        <w:sz w:val="18"/>
        <w:szCs w:val="20"/>
        <w:lang w:val="es-CO"/>
      </w:rPr>
      <w:fldChar w:fldCharType="begin"/>
    </w:r>
    <w:r>
      <w:rPr>
        <w:rFonts w:ascii="Arial" w:hAnsi="Arial" w:cs="Arial"/>
        <w:sz w:val="18"/>
        <w:szCs w:val="20"/>
        <w:lang w:val="es-CO"/>
      </w:rPr>
      <w:instrText xml:space="preserve"> PAGE </w:instrText>
    </w:r>
    <w:r>
      <w:rPr>
        <w:rFonts w:ascii="Arial" w:hAnsi="Arial" w:cs="Arial"/>
        <w:sz w:val="18"/>
        <w:szCs w:val="20"/>
        <w:lang w:val="es-CO"/>
      </w:rPr>
      <w:fldChar w:fldCharType="separate"/>
    </w:r>
    <w:r>
      <w:rPr>
        <w:rFonts w:ascii="Arial" w:hAnsi="Arial" w:cs="Arial"/>
        <w:noProof/>
        <w:sz w:val="18"/>
        <w:szCs w:val="20"/>
        <w:lang w:val="es-CO"/>
      </w:rPr>
      <w:t>5</w:t>
    </w:r>
    <w:r>
      <w:rPr>
        <w:rFonts w:ascii="Arial" w:hAnsi="Arial" w:cs="Arial"/>
        <w:sz w:val="18"/>
        <w:szCs w:val="20"/>
        <w:lang w:val="es-CO"/>
      </w:rPr>
      <w:fldChar w:fldCharType="end"/>
    </w:r>
    <w:r>
      <w:rPr>
        <w:rFonts w:ascii="Arial" w:hAnsi="Arial" w:cs="Arial"/>
        <w:sz w:val="18"/>
        <w:szCs w:val="20"/>
        <w:lang w:val="es-CO"/>
      </w:rPr>
      <w:t xml:space="preserve"> de 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2C3391"/>
    <w:multiLevelType w:val="hybridMultilevel"/>
    <w:tmpl w:val="D9449F7C"/>
    <w:lvl w:ilvl="0" w:tplc="E516FBD8">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 w15:restartNumberingAfterBreak="0">
    <w:nsid w:val="101827BD"/>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B8275D3"/>
    <w:multiLevelType w:val="hybridMultilevel"/>
    <w:tmpl w:val="5F22217A"/>
    <w:lvl w:ilvl="0" w:tplc="0409000F">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D65AEA"/>
    <w:multiLevelType w:val="hybridMultilevel"/>
    <w:tmpl w:val="2ED62A6A"/>
    <w:lvl w:ilvl="0" w:tplc="C21883B8">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5" w15:restartNumberingAfterBreak="0">
    <w:nsid w:val="234832F7"/>
    <w:multiLevelType w:val="hybridMultilevel"/>
    <w:tmpl w:val="DE001ED0"/>
    <w:lvl w:ilvl="0" w:tplc="8DD2164C">
      <w:start w:val="1"/>
      <w:numFmt w:val="decimal"/>
      <w:lvlText w:val="4.%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6" w15:restartNumberingAfterBreak="0">
    <w:nsid w:val="2F4769D2"/>
    <w:multiLevelType w:val="hybridMultilevel"/>
    <w:tmpl w:val="F716D126"/>
    <w:lvl w:ilvl="0" w:tplc="14820AB0">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7" w15:restartNumberingAfterBreak="0">
    <w:nsid w:val="30BE168C"/>
    <w:multiLevelType w:val="hybridMultilevel"/>
    <w:tmpl w:val="64C8B162"/>
    <w:lvl w:ilvl="0" w:tplc="F87EACA2">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3E550F"/>
    <w:multiLevelType w:val="hybridMultilevel"/>
    <w:tmpl w:val="CFE40A5E"/>
    <w:lvl w:ilvl="0" w:tplc="DB723606">
      <w:start w:val="2"/>
      <w:numFmt w:val="bullet"/>
      <w:lvlText w:val=""/>
      <w:lvlJc w:val="left"/>
      <w:pPr>
        <w:ind w:left="585" w:hanging="360"/>
      </w:pPr>
      <w:rPr>
        <w:rFonts w:ascii="Symbol" w:eastAsia="Calibri" w:hAnsi="Symbol" w:cs="Times New Roman" w:hint="default"/>
      </w:rPr>
    </w:lvl>
    <w:lvl w:ilvl="1" w:tplc="04090003" w:tentative="1">
      <w:start w:val="1"/>
      <w:numFmt w:val="bullet"/>
      <w:lvlText w:val="o"/>
      <w:lvlJc w:val="left"/>
      <w:pPr>
        <w:ind w:left="1305" w:hanging="360"/>
      </w:pPr>
      <w:rPr>
        <w:rFonts w:ascii="Courier New" w:hAnsi="Courier New" w:cs="Courier New" w:hint="default"/>
      </w:rPr>
    </w:lvl>
    <w:lvl w:ilvl="2" w:tplc="04090005" w:tentative="1">
      <w:start w:val="1"/>
      <w:numFmt w:val="bullet"/>
      <w:lvlText w:val=""/>
      <w:lvlJc w:val="left"/>
      <w:pPr>
        <w:ind w:left="2025" w:hanging="360"/>
      </w:pPr>
      <w:rPr>
        <w:rFonts w:ascii="Wingdings" w:hAnsi="Wingdings" w:hint="default"/>
      </w:rPr>
    </w:lvl>
    <w:lvl w:ilvl="3" w:tplc="04090001" w:tentative="1">
      <w:start w:val="1"/>
      <w:numFmt w:val="bullet"/>
      <w:lvlText w:val=""/>
      <w:lvlJc w:val="left"/>
      <w:pPr>
        <w:ind w:left="2745" w:hanging="360"/>
      </w:pPr>
      <w:rPr>
        <w:rFonts w:ascii="Symbol" w:hAnsi="Symbol" w:hint="default"/>
      </w:rPr>
    </w:lvl>
    <w:lvl w:ilvl="4" w:tplc="04090003" w:tentative="1">
      <w:start w:val="1"/>
      <w:numFmt w:val="bullet"/>
      <w:lvlText w:val="o"/>
      <w:lvlJc w:val="left"/>
      <w:pPr>
        <w:ind w:left="3465" w:hanging="360"/>
      </w:pPr>
      <w:rPr>
        <w:rFonts w:ascii="Courier New" w:hAnsi="Courier New" w:cs="Courier New" w:hint="default"/>
      </w:rPr>
    </w:lvl>
    <w:lvl w:ilvl="5" w:tplc="04090005" w:tentative="1">
      <w:start w:val="1"/>
      <w:numFmt w:val="bullet"/>
      <w:lvlText w:val=""/>
      <w:lvlJc w:val="left"/>
      <w:pPr>
        <w:ind w:left="4185" w:hanging="360"/>
      </w:pPr>
      <w:rPr>
        <w:rFonts w:ascii="Wingdings" w:hAnsi="Wingdings" w:hint="default"/>
      </w:rPr>
    </w:lvl>
    <w:lvl w:ilvl="6" w:tplc="04090001" w:tentative="1">
      <w:start w:val="1"/>
      <w:numFmt w:val="bullet"/>
      <w:lvlText w:val=""/>
      <w:lvlJc w:val="left"/>
      <w:pPr>
        <w:ind w:left="4905" w:hanging="360"/>
      </w:pPr>
      <w:rPr>
        <w:rFonts w:ascii="Symbol" w:hAnsi="Symbol" w:hint="default"/>
      </w:rPr>
    </w:lvl>
    <w:lvl w:ilvl="7" w:tplc="04090003" w:tentative="1">
      <w:start w:val="1"/>
      <w:numFmt w:val="bullet"/>
      <w:lvlText w:val="o"/>
      <w:lvlJc w:val="left"/>
      <w:pPr>
        <w:ind w:left="5625" w:hanging="360"/>
      </w:pPr>
      <w:rPr>
        <w:rFonts w:ascii="Courier New" w:hAnsi="Courier New" w:cs="Courier New" w:hint="default"/>
      </w:rPr>
    </w:lvl>
    <w:lvl w:ilvl="8" w:tplc="04090005" w:tentative="1">
      <w:start w:val="1"/>
      <w:numFmt w:val="bullet"/>
      <w:lvlText w:val=""/>
      <w:lvlJc w:val="left"/>
      <w:pPr>
        <w:ind w:left="6345" w:hanging="360"/>
      </w:pPr>
      <w:rPr>
        <w:rFonts w:ascii="Wingdings" w:hAnsi="Wingdings" w:hint="default"/>
      </w:rPr>
    </w:lvl>
  </w:abstractNum>
  <w:abstractNum w:abstractNumId="9" w15:restartNumberingAfterBreak="0">
    <w:nsid w:val="4F926818"/>
    <w:multiLevelType w:val="multilevel"/>
    <w:tmpl w:val="761EE2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40F0548"/>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5530A9C"/>
    <w:multiLevelType w:val="multilevel"/>
    <w:tmpl w:val="7A4C2E3A"/>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2"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3" w15:restartNumberingAfterBreak="0">
    <w:nsid w:val="6C0E1AE9"/>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D4E65DE"/>
    <w:multiLevelType w:val="hybridMultilevel"/>
    <w:tmpl w:val="62943F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8"/>
  </w:num>
  <w:num w:numId="2">
    <w:abstractNumId w:val="3"/>
  </w:num>
  <w:num w:numId="3">
    <w:abstractNumId w:val="7"/>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
  </w:num>
  <w:num w:numId="12">
    <w:abstractNumId w:val="1"/>
  </w:num>
  <w:num w:numId="13">
    <w:abstractNumId w:val="13"/>
  </w:num>
  <w:num w:numId="14">
    <w:abstractNumId w:val="10"/>
  </w:num>
  <w:num w:numId="15">
    <w:abstractNumId w:val="12"/>
    <w:lvlOverride w:ilvl="0">
      <w:startOverride w:val="1"/>
    </w:lvlOverride>
    <w:lvlOverride w:ilvl="1"/>
    <w:lvlOverride w:ilvl="2"/>
    <w:lvlOverride w:ilvl="3"/>
    <w:lvlOverride w:ilvl="4"/>
    <w:lvlOverride w:ilvl="5"/>
    <w:lvlOverride w:ilvl="6"/>
    <w:lvlOverride w:ilvl="7"/>
    <w:lvlOverride w:ilvl="8"/>
  </w:num>
  <w:num w:numId="16">
    <w:abstractNumId w:val="11"/>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link w:val="Header"/>
    <w:uiPriority w:val="99"/>
    <w:rPr>
      <w:sz w:val="22"/>
      <w:szCs w:val="22"/>
    </w:rPr>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link w:val="Footer"/>
    <w:uiPriority w:val="99"/>
    <w:rPr>
      <w:sz w:val="22"/>
      <w:szCs w:val="22"/>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pPr>
      <w:spacing w:after="0" w:line="240" w:lineRule="auto"/>
    </w:pPr>
    <w:rPr>
      <w:rFonts w:ascii="Times New Roman" w:eastAsia="Times New Roman" w:hAnsi="Times New Roman"/>
      <w:sz w:val="20"/>
      <w:szCs w:val="20"/>
      <w:lang w:val="es-E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link w:val="FootnoteText"/>
    <w:rPr>
      <w:rFonts w:ascii="Times New Roman" w:eastAsia="Times New Roman" w:hAnsi="Times New Roman"/>
      <w:lang w:val="es-ES"/>
    </w:rPr>
  </w:style>
  <w:style w:type="paragraph" w:customStyle="1" w:styleId="Default">
    <w:name w:val="Default"/>
    <w:pPr>
      <w:autoSpaceDE w:val="0"/>
      <w:autoSpaceDN w:val="0"/>
      <w:adjustRightInd w:val="0"/>
    </w:pPr>
    <w:rPr>
      <w:rFonts w:ascii="Times New Roman" w:hAnsi="Times New Roman"/>
      <w:color w:val="000000"/>
      <w:sz w:val="24"/>
      <w:szCs w:val="24"/>
      <w:lang w:eastAsia="en-US"/>
    </w:rPr>
  </w:style>
  <w:style w:type="paragraph" w:customStyle="1" w:styleId="TableText">
    <w:name w:val="Table Text"/>
    <w:basedOn w:val="Normal"/>
    <w:pPr>
      <w:spacing w:after="0" w:line="280" w:lineRule="atLeast"/>
      <w:jc w:val="both"/>
    </w:pPr>
    <w:rPr>
      <w:rFonts w:ascii="Arial" w:eastAsia="Times New Roman" w:hAnsi="Arial"/>
      <w:sz w:val="16"/>
      <w:szCs w:val="20"/>
      <w:lang w:val="en-GB" w:eastAsia="fr-FR"/>
    </w:rPr>
  </w:style>
  <w:style w:type="paragraph" w:styleId="ListParagraph">
    <w:name w:val="List Paragraph"/>
    <w:basedOn w:val="Normal"/>
    <w:link w:val="ListParagraphChar"/>
    <w:uiPriority w:val="34"/>
    <w:qFormat/>
    <w:pPr>
      <w:ind w:left="720"/>
      <w:contextualSpacing/>
    </w:pPr>
    <w:rPr>
      <w:lang w:val="es-CO"/>
    </w:rPr>
  </w:style>
  <w:style w:type="character" w:customStyle="1" w:styleId="ListParagraphChar">
    <w:name w:val="List Paragraph Char"/>
    <w:link w:val="ListParagraph"/>
    <w:uiPriority w:val="34"/>
    <w:locked/>
    <w:rPr>
      <w:sz w:val="22"/>
      <w:szCs w:val="22"/>
      <w:lang w:val="es-CO"/>
    </w:rPr>
  </w:style>
  <w:style w:type="character" w:styleId="FootnoteReference">
    <w:name w:val="footnote reference"/>
    <w:uiPriority w:val="99"/>
    <w:unhideWhenUsed/>
    <w:rPr>
      <w:vertAlign w:val="superscript"/>
    </w:rPr>
  </w:style>
  <w:style w:type="paragraph" w:customStyle="1" w:styleId="Chapter">
    <w:name w:val="Chapter"/>
    <w:basedOn w:val="Normal"/>
    <w:next w:val="Normal"/>
    <w:pPr>
      <w:keepNext/>
      <w:numPr>
        <w:numId w:val="16"/>
      </w:numPr>
      <w:tabs>
        <w:tab w:val="left" w:pos="1440"/>
      </w:tabs>
      <w:spacing w:before="240" w:after="240" w:line="240" w:lineRule="auto"/>
      <w:jc w:val="center"/>
    </w:pPr>
    <w:rPr>
      <w:rFonts w:ascii="Times New Roman" w:eastAsia="Times New Roman" w:hAnsi="Times New Roman"/>
      <w:b/>
      <w:smallCaps/>
      <w:sz w:val="24"/>
      <w:szCs w:val="20"/>
      <w:lang w:val="es-ES"/>
    </w:rPr>
  </w:style>
  <w:style w:type="paragraph" w:customStyle="1" w:styleId="Paragraph">
    <w:name w:val="Paragraph"/>
    <w:aliases w:val="paragraph,p,PARAGRAPH,PG,pa,at"/>
    <w:basedOn w:val="BodyTextIndent"/>
    <w:link w:val="ParagraphChar"/>
    <w:qFormat/>
    <w:pPr>
      <w:numPr>
        <w:ilvl w:val="1"/>
        <w:numId w:val="16"/>
      </w:numPr>
      <w:spacing w:before="120" w:line="240" w:lineRule="auto"/>
      <w:jc w:val="both"/>
      <w:outlineLvl w:val="1"/>
    </w:pPr>
    <w:rPr>
      <w:rFonts w:ascii="Times New Roman" w:eastAsia="Times New Roman" w:hAnsi="Times New Roman"/>
      <w:sz w:val="24"/>
      <w:szCs w:val="20"/>
      <w:lang w:val="es-ES"/>
    </w:rPr>
  </w:style>
  <w:style w:type="paragraph" w:customStyle="1" w:styleId="subpar">
    <w:name w:val="subpar"/>
    <w:basedOn w:val="BodyTextIndent3"/>
    <w:pPr>
      <w:numPr>
        <w:ilvl w:val="2"/>
        <w:numId w:val="16"/>
      </w:numPr>
      <w:tabs>
        <w:tab w:val="clear" w:pos="2304"/>
        <w:tab w:val="num" w:pos="360"/>
        <w:tab w:val="num" w:pos="1152"/>
      </w:tabs>
      <w:spacing w:before="120" w:line="240" w:lineRule="auto"/>
      <w:ind w:left="1152" w:hanging="720"/>
      <w:jc w:val="both"/>
      <w:outlineLvl w:val="2"/>
    </w:pPr>
    <w:rPr>
      <w:rFonts w:ascii="Times New Roman" w:eastAsia="Times New Roman" w:hAnsi="Times New Roman"/>
      <w:sz w:val="24"/>
      <w:szCs w:val="20"/>
      <w:lang w:val="es-ES_tradnl"/>
    </w:rPr>
  </w:style>
  <w:style w:type="paragraph" w:customStyle="1" w:styleId="SubSubPar">
    <w:name w:val="SubSubPar"/>
    <w:basedOn w:val="subpar"/>
    <w:pPr>
      <w:numPr>
        <w:ilvl w:val="3"/>
      </w:numPr>
      <w:tabs>
        <w:tab w:val="clear" w:pos="2736"/>
        <w:tab w:val="left" w:pos="0"/>
        <w:tab w:val="num" w:pos="360"/>
        <w:tab w:val="num" w:pos="1152"/>
        <w:tab w:val="num" w:pos="1296"/>
      </w:tabs>
      <w:ind w:left="1296" w:hanging="720"/>
    </w:pPr>
  </w:style>
  <w:style w:type="character" w:customStyle="1" w:styleId="ParagraphChar">
    <w:name w:val="Paragraph Char"/>
    <w:link w:val="Paragraph"/>
    <w:rPr>
      <w:rFonts w:ascii="Times New Roman" w:eastAsia="Times New Roman" w:hAnsi="Times New Roman"/>
      <w:sz w:val="24"/>
      <w:lang w:val="es-ES" w:eastAsia="en-US"/>
    </w:rPr>
  </w:style>
  <w:style w:type="character" w:customStyle="1" w:styleId="hps">
    <w:name w:val="hps"/>
    <w:basedOn w:val="DefaultParagraphFont"/>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rPr>
      <w:sz w:val="22"/>
      <w:szCs w:val="22"/>
      <w:lang w:eastAsia="en-US"/>
    </w:rPr>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lang w:eastAsia="en-US"/>
    </w:rPr>
  </w:style>
  <w:style w:type="character" w:styleId="Hyperlink">
    <w:name w:val="Hyperlink"/>
    <w:basedOn w:val="DefaultParagraphFont"/>
    <w:uiPriority w:val="99"/>
    <w:unhideWhenUsed/>
    <w:rPr>
      <w:color w:val="0000FF" w:themeColor="hyperlink"/>
      <w:u w:val="single"/>
    </w:rPr>
  </w:style>
  <w:style w:type="character" w:styleId="FollowedHyperlink">
    <w:name w:val="FollowedHyperlink"/>
    <w:basedOn w:val="DefaultParagraphFont"/>
    <w:uiPriority w:val="99"/>
    <w:semiHidden/>
    <w:unhideWhenUsed/>
    <w:rPr>
      <w:color w:val="800080" w:themeColor="followedHyperlink"/>
      <w:u w:val="single"/>
    </w:rPr>
  </w:style>
  <w:style w:type="character" w:styleId="UnresolvedMention">
    <w:name w:val="Unresolved Mention"/>
    <w:basedOn w:val="DefaultParagraphFont"/>
    <w:uiPriority w:val="99"/>
    <w:semiHidden/>
    <w:unhideWhenUsed/>
    <w:rPr>
      <w:color w:val="808080"/>
      <w:shd w:val="clear" w:color="auto" w:fill="E6E6E6"/>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lang w:eastAsia="en-US"/>
    </w:rPr>
  </w:style>
  <w:style w:type="paragraph" w:styleId="Revision">
    <w:name w:val="Revision"/>
    <w:hidden/>
    <w:uiPriority w:val="99"/>
    <w:semiHidden/>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251844">
      <w:bodyDiv w:val="1"/>
      <w:marLeft w:val="0"/>
      <w:marRight w:val="0"/>
      <w:marTop w:val="0"/>
      <w:marBottom w:val="0"/>
      <w:divBdr>
        <w:top w:val="none" w:sz="0" w:space="0" w:color="auto"/>
        <w:left w:val="none" w:sz="0" w:space="0" w:color="auto"/>
        <w:bottom w:val="none" w:sz="0" w:space="0" w:color="auto"/>
        <w:right w:val="none" w:sz="0" w:space="0" w:color="auto"/>
      </w:divBdr>
    </w:div>
    <w:div w:id="412095340">
      <w:bodyDiv w:val="1"/>
      <w:marLeft w:val="0"/>
      <w:marRight w:val="0"/>
      <w:marTop w:val="0"/>
      <w:marBottom w:val="0"/>
      <w:divBdr>
        <w:top w:val="none" w:sz="0" w:space="0" w:color="auto"/>
        <w:left w:val="none" w:sz="0" w:space="0" w:color="auto"/>
        <w:bottom w:val="none" w:sz="0" w:space="0" w:color="auto"/>
        <w:right w:val="none" w:sz="0" w:space="0" w:color="auto"/>
      </w:divBdr>
    </w:div>
    <w:div w:id="1076325429">
      <w:bodyDiv w:val="1"/>
      <w:marLeft w:val="0"/>
      <w:marRight w:val="0"/>
      <w:marTop w:val="0"/>
      <w:marBottom w:val="0"/>
      <w:divBdr>
        <w:top w:val="none" w:sz="0" w:space="0" w:color="auto"/>
        <w:left w:val="none" w:sz="0" w:space="0" w:color="auto"/>
        <w:bottom w:val="none" w:sz="0" w:space="0" w:color="auto"/>
        <w:right w:val="none" w:sz="0" w:space="0" w:color="auto"/>
      </w:divBdr>
    </w:div>
    <w:div w:id="1218973612">
      <w:bodyDiv w:val="1"/>
      <w:marLeft w:val="0"/>
      <w:marRight w:val="0"/>
      <w:marTop w:val="0"/>
      <w:marBottom w:val="0"/>
      <w:divBdr>
        <w:top w:val="none" w:sz="0" w:space="0" w:color="auto"/>
        <w:left w:val="none" w:sz="0" w:space="0" w:color="auto"/>
        <w:bottom w:val="none" w:sz="0" w:space="0" w:color="auto"/>
        <w:right w:val="none" w:sz="0" w:space="0" w:color="auto"/>
      </w:divBdr>
      <w:divsChild>
        <w:div w:id="143864032">
          <w:marLeft w:val="0"/>
          <w:marRight w:val="0"/>
          <w:marTop w:val="0"/>
          <w:marBottom w:val="0"/>
          <w:divBdr>
            <w:top w:val="none" w:sz="0" w:space="0" w:color="auto"/>
            <w:left w:val="none" w:sz="0" w:space="0" w:color="auto"/>
            <w:bottom w:val="none" w:sz="0" w:space="0" w:color="auto"/>
            <w:right w:val="none" w:sz="0" w:space="0" w:color="auto"/>
          </w:divBdr>
        </w:div>
        <w:div w:id="186213688">
          <w:marLeft w:val="0"/>
          <w:marRight w:val="0"/>
          <w:marTop w:val="0"/>
          <w:marBottom w:val="0"/>
          <w:divBdr>
            <w:top w:val="none" w:sz="0" w:space="0" w:color="auto"/>
            <w:left w:val="none" w:sz="0" w:space="0" w:color="auto"/>
            <w:bottom w:val="none" w:sz="0" w:space="0" w:color="auto"/>
            <w:right w:val="none" w:sz="0" w:space="0" w:color="auto"/>
          </w:divBdr>
        </w:div>
        <w:div w:id="324288202">
          <w:marLeft w:val="0"/>
          <w:marRight w:val="0"/>
          <w:marTop w:val="0"/>
          <w:marBottom w:val="0"/>
          <w:divBdr>
            <w:top w:val="none" w:sz="0" w:space="0" w:color="auto"/>
            <w:left w:val="none" w:sz="0" w:space="0" w:color="auto"/>
            <w:bottom w:val="none" w:sz="0" w:space="0" w:color="auto"/>
            <w:right w:val="none" w:sz="0" w:space="0" w:color="auto"/>
          </w:divBdr>
        </w:div>
        <w:div w:id="527107444">
          <w:marLeft w:val="0"/>
          <w:marRight w:val="0"/>
          <w:marTop w:val="0"/>
          <w:marBottom w:val="0"/>
          <w:divBdr>
            <w:top w:val="none" w:sz="0" w:space="0" w:color="auto"/>
            <w:left w:val="none" w:sz="0" w:space="0" w:color="auto"/>
            <w:bottom w:val="none" w:sz="0" w:space="0" w:color="auto"/>
            <w:right w:val="none" w:sz="0" w:space="0" w:color="auto"/>
          </w:divBdr>
        </w:div>
        <w:div w:id="595602768">
          <w:marLeft w:val="0"/>
          <w:marRight w:val="0"/>
          <w:marTop w:val="0"/>
          <w:marBottom w:val="0"/>
          <w:divBdr>
            <w:top w:val="none" w:sz="0" w:space="0" w:color="auto"/>
            <w:left w:val="none" w:sz="0" w:space="0" w:color="auto"/>
            <w:bottom w:val="none" w:sz="0" w:space="0" w:color="auto"/>
            <w:right w:val="none" w:sz="0" w:space="0" w:color="auto"/>
          </w:divBdr>
        </w:div>
        <w:div w:id="677586550">
          <w:marLeft w:val="0"/>
          <w:marRight w:val="0"/>
          <w:marTop w:val="0"/>
          <w:marBottom w:val="0"/>
          <w:divBdr>
            <w:top w:val="none" w:sz="0" w:space="0" w:color="auto"/>
            <w:left w:val="none" w:sz="0" w:space="0" w:color="auto"/>
            <w:bottom w:val="none" w:sz="0" w:space="0" w:color="auto"/>
            <w:right w:val="none" w:sz="0" w:space="0" w:color="auto"/>
          </w:divBdr>
        </w:div>
        <w:div w:id="805396634">
          <w:marLeft w:val="0"/>
          <w:marRight w:val="0"/>
          <w:marTop w:val="0"/>
          <w:marBottom w:val="0"/>
          <w:divBdr>
            <w:top w:val="none" w:sz="0" w:space="0" w:color="auto"/>
            <w:left w:val="none" w:sz="0" w:space="0" w:color="auto"/>
            <w:bottom w:val="none" w:sz="0" w:space="0" w:color="auto"/>
            <w:right w:val="none" w:sz="0" w:space="0" w:color="auto"/>
          </w:divBdr>
        </w:div>
        <w:div w:id="825509132">
          <w:marLeft w:val="0"/>
          <w:marRight w:val="0"/>
          <w:marTop w:val="0"/>
          <w:marBottom w:val="0"/>
          <w:divBdr>
            <w:top w:val="none" w:sz="0" w:space="0" w:color="auto"/>
            <w:left w:val="none" w:sz="0" w:space="0" w:color="auto"/>
            <w:bottom w:val="none" w:sz="0" w:space="0" w:color="auto"/>
            <w:right w:val="none" w:sz="0" w:space="0" w:color="auto"/>
          </w:divBdr>
        </w:div>
        <w:div w:id="1118840140">
          <w:marLeft w:val="0"/>
          <w:marRight w:val="0"/>
          <w:marTop w:val="0"/>
          <w:marBottom w:val="0"/>
          <w:divBdr>
            <w:top w:val="none" w:sz="0" w:space="0" w:color="auto"/>
            <w:left w:val="none" w:sz="0" w:space="0" w:color="auto"/>
            <w:bottom w:val="none" w:sz="0" w:space="0" w:color="auto"/>
            <w:right w:val="none" w:sz="0" w:space="0" w:color="auto"/>
          </w:divBdr>
        </w:div>
        <w:div w:id="1120805804">
          <w:marLeft w:val="0"/>
          <w:marRight w:val="0"/>
          <w:marTop w:val="0"/>
          <w:marBottom w:val="0"/>
          <w:divBdr>
            <w:top w:val="none" w:sz="0" w:space="0" w:color="auto"/>
            <w:left w:val="none" w:sz="0" w:space="0" w:color="auto"/>
            <w:bottom w:val="none" w:sz="0" w:space="0" w:color="auto"/>
            <w:right w:val="none" w:sz="0" w:space="0" w:color="auto"/>
          </w:divBdr>
        </w:div>
        <w:div w:id="1217425217">
          <w:marLeft w:val="0"/>
          <w:marRight w:val="0"/>
          <w:marTop w:val="0"/>
          <w:marBottom w:val="0"/>
          <w:divBdr>
            <w:top w:val="none" w:sz="0" w:space="0" w:color="auto"/>
            <w:left w:val="none" w:sz="0" w:space="0" w:color="auto"/>
            <w:bottom w:val="none" w:sz="0" w:space="0" w:color="auto"/>
            <w:right w:val="none" w:sz="0" w:space="0" w:color="auto"/>
          </w:divBdr>
        </w:div>
        <w:div w:id="1328290159">
          <w:marLeft w:val="0"/>
          <w:marRight w:val="0"/>
          <w:marTop w:val="0"/>
          <w:marBottom w:val="0"/>
          <w:divBdr>
            <w:top w:val="none" w:sz="0" w:space="0" w:color="auto"/>
            <w:left w:val="none" w:sz="0" w:space="0" w:color="auto"/>
            <w:bottom w:val="none" w:sz="0" w:space="0" w:color="auto"/>
            <w:right w:val="none" w:sz="0" w:space="0" w:color="auto"/>
          </w:divBdr>
        </w:div>
        <w:div w:id="1409578241">
          <w:marLeft w:val="0"/>
          <w:marRight w:val="0"/>
          <w:marTop w:val="0"/>
          <w:marBottom w:val="0"/>
          <w:divBdr>
            <w:top w:val="none" w:sz="0" w:space="0" w:color="auto"/>
            <w:left w:val="none" w:sz="0" w:space="0" w:color="auto"/>
            <w:bottom w:val="none" w:sz="0" w:space="0" w:color="auto"/>
            <w:right w:val="none" w:sz="0" w:space="0" w:color="auto"/>
          </w:divBdr>
        </w:div>
        <w:div w:id="1489903006">
          <w:marLeft w:val="0"/>
          <w:marRight w:val="0"/>
          <w:marTop w:val="0"/>
          <w:marBottom w:val="0"/>
          <w:divBdr>
            <w:top w:val="none" w:sz="0" w:space="0" w:color="auto"/>
            <w:left w:val="none" w:sz="0" w:space="0" w:color="auto"/>
            <w:bottom w:val="none" w:sz="0" w:space="0" w:color="auto"/>
            <w:right w:val="none" w:sz="0" w:space="0" w:color="auto"/>
          </w:divBdr>
        </w:div>
        <w:div w:id="1870364494">
          <w:marLeft w:val="0"/>
          <w:marRight w:val="0"/>
          <w:marTop w:val="0"/>
          <w:marBottom w:val="0"/>
          <w:divBdr>
            <w:top w:val="none" w:sz="0" w:space="0" w:color="auto"/>
            <w:left w:val="none" w:sz="0" w:space="0" w:color="auto"/>
            <w:bottom w:val="none" w:sz="0" w:space="0" w:color="auto"/>
            <w:right w:val="none" w:sz="0" w:space="0" w:color="auto"/>
          </w:divBdr>
        </w:div>
        <w:div w:id="1881286050">
          <w:marLeft w:val="0"/>
          <w:marRight w:val="0"/>
          <w:marTop w:val="0"/>
          <w:marBottom w:val="0"/>
          <w:divBdr>
            <w:top w:val="none" w:sz="0" w:space="0" w:color="auto"/>
            <w:left w:val="none" w:sz="0" w:space="0" w:color="auto"/>
            <w:bottom w:val="none" w:sz="0" w:space="0" w:color="auto"/>
            <w:right w:val="none" w:sz="0" w:space="0" w:color="auto"/>
          </w:divBdr>
        </w:div>
        <w:div w:id="1938096750">
          <w:marLeft w:val="0"/>
          <w:marRight w:val="0"/>
          <w:marTop w:val="0"/>
          <w:marBottom w:val="0"/>
          <w:divBdr>
            <w:top w:val="none" w:sz="0" w:space="0" w:color="auto"/>
            <w:left w:val="none" w:sz="0" w:space="0" w:color="auto"/>
            <w:bottom w:val="none" w:sz="0" w:space="0" w:color="auto"/>
            <w:right w:val="none" w:sz="0" w:space="0" w:color="auto"/>
          </w:divBdr>
        </w:div>
      </w:divsChild>
    </w:div>
    <w:div w:id="1373463455">
      <w:bodyDiv w:val="1"/>
      <w:marLeft w:val="0"/>
      <w:marRight w:val="0"/>
      <w:marTop w:val="0"/>
      <w:marBottom w:val="0"/>
      <w:divBdr>
        <w:top w:val="none" w:sz="0" w:space="0" w:color="auto"/>
        <w:left w:val="none" w:sz="0" w:space="0" w:color="auto"/>
        <w:bottom w:val="none" w:sz="0" w:space="0" w:color="auto"/>
        <w:right w:val="none" w:sz="0" w:space="0" w:color="auto"/>
      </w:divBdr>
    </w:div>
    <w:div w:id="1646663047">
      <w:bodyDiv w:val="1"/>
      <w:marLeft w:val="0"/>
      <w:marRight w:val="0"/>
      <w:marTop w:val="0"/>
      <w:marBottom w:val="0"/>
      <w:divBdr>
        <w:top w:val="none" w:sz="0" w:space="0" w:color="auto"/>
        <w:left w:val="none" w:sz="0" w:space="0" w:color="auto"/>
        <w:bottom w:val="none" w:sz="0" w:space="0" w:color="auto"/>
        <w:right w:val="none" w:sz="0" w:space="0" w:color="auto"/>
      </w:divBdr>
    </w:div>
    <w:div w:id="197101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1485</Words>
  <Characters>8170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2018-05-21T14:30:00Z</dcterms:created>
  <dcterms:modified xsi:type="dcterms:W3CDTF">2018-06-05T19:29:00Z</dcterms:modified>
</cp:coreProperties>
</file>