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tabs>
          <w:tab w:val="left" w:pos="3240"/>
        </w:tabs>
        <w:spacing w:after="240"/>
        <w:jc w:val="center"/>
        <w:rPr>
          <w:rFonts w:ascii="Arial Bold" w:hAnsi="Arial Bold" w:cs="Arial"/>
          <w:b/>
          <w:smallCaps/>
          <w:sz w:val="24"/>
          <w:lang w:val="es-ES_tradnl"/>
        </w:rPr>
      </w:pPr>
      <w:r>
        <w:rPr>
          <w:rFonts w:ascii="Arial Bold" w:hAnsi="Arial Bold" w:cs="Arial"/>
          <w:b/>
          <w:smallCaps/>
          <w:sz w:val="24"/>
          <w:lang w:val="es-ES_tradnl"/>
        </w:rPr>
        <w:t>Cuadro Resumen de</w:t>
      </w:r>
      <w:bookmarkStart w:id="0" w:name="_GoBack"/>
      <w:bookmarkEnd w:id="0"/>
      <w:r>
        <w:rPr>
          <w:rFonts w:ascii="Arial Bold" w:hAnsi="Arial Bold" w:cs="Arial"/>
          <w:b/>
          <w:smallCaps/>
          <w:sz w:val="24"/>
          <w:lang w:val="es-ES_tradnl"/>
        </w:rPr>
        <w:t xml:space="preserve"> Operaciones Recientes en Materia Fiscal en Colombia</w:t>
      </w:r>
    </w:p>
    <w:tbl>
      <w:tblPr>
        <w:tblStyle w:val="TableGrid"/>
        <w:tblW w:w="0" w:type="auto"/>
        <w:tblLook w:val="04A0" w:firstRow="1" w:lastRow="0" w:firstColumn="1" w:lastColumn="0" w:noHBand="0" w:noVBand="1"/>
      </w:tblPr>
      <w:tblGrid>
        <w:gridCol w:w="2015"/>
        <w:gridCol w:w="3008"/>
        <w:gridCol w:w="2774"/>
        <w:gridCol w:w="2998"/>
        <w:gridCol w:w="1435"/>
      </w:tblGrid>
      <w:tr>
        <w:trPr>
          <w:trHeight w:val="432"/>
          <w:tblHeader/>
        </w:trPr>
        <w:tc>
          <w:tcPr>
            <w:tcW w:w="0" w:type="auto"/>
            <w:shd w:val="clear" w:color="auto" w:fill="D9D9D9" w:themeFill="background1" w:themeFillShade="D9"/>
            <w:vAlign w:val="center"/>
          </w:tcPr>
          <w:p>
            <w:pPr>
              <w:ind w:left="-108" w:right="-102"/>
              <w:jc w:val="center"/>
              <w:rPr>
                <w:rFonts w:ascii="Arial" w:eastAsia="Times New Roman" w:hAnsi="Arial" w:cs="Arial"/>
                <w:b/>
                <w:bCs/>
                <w:color w:val="000000"/>
                <w:sz w:val="20"/>
                <w:szCs w:val="20"/>
                <w:lang w:val="es-ES"/>
              </w:rPr>
            </w:pPr>
            <w:r>
              <w:rPr>
                <w:rFonts w:ascii="Arial" w:eastAsia="Times New Roman" w:hAnsi="Arial" w:cs="Arial"/>
                <w:b/>
                <w:bCs/>
                <w:color w:val="000000"/>
                <w:sz w:val="20"/>
                <w:szCs w:val="20"/>
                <w:lang w:val="es-ES"/>
              </w:rPr>
              <w:t>Nombre, fecha de aprobación y estatus</w:t>
            </w:r>
          </w:p>
        </w:tc>
        <w:tc>
          <w:tcPr>
            <w:tcW w:w="0" w:type="auto"/>
            <w:shd w:val="clear" w:color="auto" w:fill="D9D9D9" w:themeFill="background1" w:themeFillShade="D9"/>
            <w:vAlign w:val="center"/>
          </w:tcPr>
          <w:p>
            <w:pPr>
              <w:ind w:left="-108" w:right="-30"/>
              <w:jc w:val="center"/>
              <w:rPr>
                <w:rFonts w:ascii="Arial" w:eastAsia="Times New Roman" w:hAnsi="Arial" w:cs="Arial"/>
                <w:b/>
                <w:bCs/>
                <w:color w:val="000000"/>
                <w:sz w:val="20"/>
                <w:szCs w:val="20"/>
                <w:lang w:val="es-ES"/>
              </w:rPr>
            </w:pPr>
            <w:r>
              <w:rPr>
                <w:rFonts w:ascii="Arial" w:eastAsia="Times New Roman" w:hAnsi="Arial" w:cs="Arial"/>
                <w:b/>
                <w:bCs/>
                <w:color w:val="000000"/>
                <w:sz w:val="20"/>
                <w:szCs w:val="20"/>
                <w:lang w:val="es-ES"/>
              </w:rPr>
              <w:t>Objetivo General</w:t>
            </w:r>
          </w:p>
        </w:tc>
        <w:tc>
          <w:tcPr>
            <w:tcW w:w="0" w:type="auto"/>
            <w:shd w:val="clear" w:color="auto" w:fill="D9D9D9" w:themeFill="background1" w:themeFillShade="D9"/>
            <w:vAlign w:val="center"/>
          </w:tcPr>
          <w:p>
            <w:pPr>
              <w:jc w:val="center"/>
              <w:rPr>
                <w:rFonts w:ascii="Arial" w:eastAsia="Times New Roman" w:hAnsi="Arial" w:cs="Arial"/>
                <w:b/>
                <w:bCs/>
                <w:color w:val="000000"/>
                <w:sz w:val="20"/>
                <w:szCs w:val="20"/>
                <w:lang w:val="es-ES"/>
              </w:rPr>
            </w:pPr>
            <w:r>
              <w:rPr>
                <w:rFonts w:ascii="Arial" w:eastAsia="Times New Roman" w:hAnsi="Arial" w:cs="Arial"/>
                <w:b/>
                <w:bCs/>
                <w:color w:val="000000"/>
                <w:sz w:val="20"/>
                <w:szCs w:val="20"/>
                <w:lang w:val="es-ES"/>
              </w:rPr>
              <w:t>Componentes</w:t>
            </w:r>
          </w:p>
        </w:tc>
        <w:tc>
          <w:tcPr>
            <w:tcW w:w="2998" w:type="dxa"/>
            <w:shd w:val="clear" w:color="auto" w:fill="D9D9D9" w:themeFill="background1" w:themeFillShade="D9"/>
            <w:vAlign w:val="center"/>
          </w:tcPr>
          <w:p>
            <w:pPr>
              <w:ind w:left="-108" w:right="-102"/>
              <w:jc w:val="center"/>
              <w:rPr>
                <w:rFonts w:ascii="Arial" w:eastAsia="Times New Roman" w:hAnsi="Arial" w:cs="Arial"/>
                <w:b/>
                <w:bCs/>
                <w:color w:val="000000"/>
                <w:sz w:val="20"/>
                <w:szCs w:val="20"/>
                <w:lang w:val="es-ES"/>
              </w:rPr>
            </w:pPr>
            <w:r>
              <w:rPr>
                <w:rFonts w:ascii="Arial" w:eastAsia="Times New Roman" w:hAnsi="Arial" w:cs="Arial"/>
                <w:b/>
                <w:bCs/>
                <w:color w:val="000000"/>
                <w:sz w:val="20"/>
                <w:szCs w:val="20"/>
                <w:lang w:val="es-ES"/>
              </w:rPr>
              <w:t>Acciones Específicas</w:t>
            </w:r>
          </w:p>
        </w:tc>
        <w:tc>
          <w:tcPr>
            <w:tcW w:w="1435" w:type="dxa"/>
            <w:shd w:val="clear" w:color="auto" w:fill="D9D9D9" w:themeFill="background1" w:themeFillShade="D9"/>
            <w:vAlign w:val="center"/>
          </w:tcPr>
          <w:p>
            <w:pPr>
              <w:ind w:left="-108" w:right="-102"/>
              <w:jc w:val="center"/>
              <w:rPr>
                <w:rFonts w:ascii="Arial" w:eastAsia="Times New Roman" w:hAnsi="Arial" w:cs="Arial"/>
                <w:b/>
                <w:bCs/>
                <w:color w:val="000000"/>
                <w:sz w:val="20"/>
                <w:szCs w:val="20"/>
                <w:lang w:val="es-ES"/>
              </w:rPr>
            </w:pPr>
            <w:r>
              <w:rPr>
                <w:rFonts w:ascii="Arial" w:eastAsia="Times New Roman" w:hAnsi="Arial" w:cs="Arial"/>
                <w:b/>
                <w:bCs/>
                <w:color w:val="000000"/>
                <w:sz w:val="20"/>
                <w:szCs w:val="20"/>
                <w:lang w:val="es-ES"/>
              </w:rPr>
              <w:t>Monto (millones US$)</w:t>
            </w:r>
          </w:p>
        </w:tc>
      </w:tr>
      <w:tr>
        <w:tc>
          <w:tcPr>
            <w:tcW w:w="0" w:type="auto"/>
          </w:tcPr>
          <w:p>
            <w:pPr>
              <w:ind w:right="-102"/>
              <w:rPr>
                <w:rFonts w:ascii="Arial" w:eastAsia="Times New Roman" w:hAnsi="Arial" w:cs="Arial"/>
                <w:color w:val="000000"/>
                <w:sz w:val="20"/>
                <w:szCs w:val="20"/>
                <w:lang w:val="es-ES"/>
              </w:rPr>
            </w:pPr>
            <w:r>
              <w:rPr>
                <w:rFonts w:ascii="Arial" w:eastAsia="Times New Roman" w:hAnsi="Arial" w:cs="Arial"/>
                <w:color w:val="000000"/>
                <w:sz w:val="20"/>
                <w:szCs w:val="20"/>
                <w:lang w:val="es-ES"/>
              </w:rPr>
              <w:t>Programa de Consolidación de la Responsabilidad Fiscal Territorial I (2341/OC-CO)</w:t>
            </w:r>
          </w:p>
          <w:p>
            <w:pPr>
              <w:ind w:right="-102"/>
              <w:rPr>
                <w:rFonts w:ascii="Arial" w:eastAsia="Times New Roman" w:hAnsi="Arial" w:cs="Arial"/>
                <w:color w:val="000000"/>
                <w:sz w:val="20"/>
                <w:szCs w:val="20"/>
                <w:lang w:val="es-ES"/>
              </w:rPr>
            </w:pPr>
          </w:p>
          <w:p>
            <w:pPr>
              <w:ind w:right="-102"/>
              <w:rPr>
                <w:rFonts w:ascii="Arial" w:eastAsia="Times New Roman" w:hAnsi="Arial" w:cs="Arial"/>
                <w:color w:val="000000"/>
                <w:sz w:val="20"/>
                <w:szCs w:val="20"/>
                <w:lang w:val="es-ES"/>
              </w:rPr>
            </w:pPr>
            <w:r>
              <w:rPr>
                <w:rFonts w:ascii="Arial" w:eastAsia="Times New Roman" w:hAnsi="Arial" w:cs="Arial"/>
                <w:color w:val="000000"/>
                <w:sz w:val="20"/>
                <w:szCs w:val="20"/>
                <w:lang w:val="es-ES"/>
              </w:rPr>
              <w:t>Aprobada en junio de 2010 (cerrada)</w:t>
            </w:r>
          </w:p>
        </w:tc>
        <w:tc>
          <w:tcPr>
            <w:tcW w:w="0" w:type="auto"/>
          </w:tcPr>
          <w:p>
            <w:pPr>
              <w:ind w:right="-30"/>
              <w:rPr>
                <w:rFonts w:ascii="Arial" w:eastAsia="Times New Roman" w:hAnsi="Arial" w:cs="Arial"/>
                <w:color w:val="000000"/>
                <w:sz w:val="20"/>
                <w:szCs w:val="20"/>
                <w:lang w:val="es-ES"/>
              </w:rPr>
            </w:pPr>
            <w:r>
              <w:rPr>
                <w:rFonts w:ascii="Arial" w:eastAsia="Times New Roman" w:hAnsi="Arial" w:cs="Arial"/>
                <w:color w:val="000000"/>
                <w:sz w:val="20"/>
                <w:szCs w:val="20"/>
                <w:lang w:val="es-ES"/>
              </w:rPr>
              <w:t>Contribuir a la estabilidad fiscal de Colombia mediante un monitoreo, seguimiento y control más efectivo de las finanzas de las Entidades Territoriales y sus Entidades Descentralizadas, con el fin de lograr una mayor efectividad del gasto, una mejora de la calidad y oportunidad de la información fiscal territorial y un aumento de los ingresos tributarios territoriales.</w:t>
            </w:r>
          </w:p>
        </w:tc>
        <w:tc>
          <w:tcPr>
            <w:tcW w:w="0" w:type="auto"/>
          </w:tcPr>
          <w:p>
            <w:pPr>
              <w:rPr>
                <w:rFonts w:ascii="Arial" w:eastAsia="Times New Roman" w:hAnsi="Arial" w:cs="Arial"/>
                <w:color w:val="000000"/>
                <w:sz w:val="20"/>
                <w:szCs w:val="20"/>
                <w:lang w:val="es-ES"/>
              </w:rPr>
            </w:pPr>
            <w:r>
              <w:rPr>
                <w:rFonts w:ascii="Arial" w:eastAsia="Times New Roman" w:hAnsi="Arial" w:cs="Arial"/>
                <w:color w:val="000000"/>
                <w:sz w:val="20"/>
                <w:szCs w:val="20"/>
                <w:lang w:val="es-ES"/>
              </w:rPr>
              <w:t>(i) Monitoreo, seguimiento y control de las Entidades Territoriales y las Entidades Descentralizadas Subnacionales; (ii) Consolidación y armonización del sistema de información fiscal territorial; (iii) Fortalecimiento de la recaudación propia de las ET.</w:t>
            </w:r>
          </w:p>
        </w:tc>
        <w:tc>
          <w:tcPr>
            <w:tcW w:w="2998" w:type="dxa"/>
          </w:tcPr>
          <w:p>
            <w:pPr>
              <w:ind w:right="-102"/>
              <w:rPr>
                <w:rFonts w:ascii="Arial" w:eastAsia="Times New Roman" w:hAnsi="Arial" w:cs="Arial"/>
                <w:color w:val="000000"/>
                <w:sz w:val="20"/>
                <w:szCs w:val="20"/>
                <w:lang w:val="es-ES"/>
              </w:rPr>
            </w:pPr>
            <w:r>
              <w:rPr>
                <w:rFonts w:ascii="Arial" w:eastAsia="Times New Roman" w:hAnsi="Arial" w:cs="Arial"/>
                <w:color w:val="000000"/>
                <w:sz w:val="20"/>
                <w:szCs w:val="20"/>
                <w:lang w:val="es-ES"/>
              </w:rPr>
              <w:t> </w:t>
            </w:r>
          </w:p>
        </w:tc>
        <w:tc>
          <w:tcPr>
            <w:tcW w:w="1435" w:type="dxa"/>
            <w:vAlign w:val="center"/>
          </w:tcPr>
          <w:p>
            <w:pPr>
              <w:ind w:right="-102"/>
              <w:jc w:val="center"/>
              <w:rPr>
                <w:rFonts w:ascii="Arial" w:eastAsia="Times New Roman" w:hAnsi="Arial" w:cs="Arial"/>
                <w:color w:val="000000"/>
                <w:sz w:val="20"/>
                <w:szCs w:val="20"/>
                <w:lang w:val="es-ES"/>
              </w:rPr>
            </w:pPr>
            <w:r>
              <w:rPr>
                <w:rFonts w:ascii="Arial" w:eastAsia="Times New Roman" w:hAnsi="Arial" w:cs="Arial"/>
                <w:color w:val="000000"/>
                <w:sz w:val="20"/>
                <w:szCs w:val="20"/>
                <w:lang w:val="es-ES"/>
              </w:rPr>
              <w:t>200</w:t>
            </w:r>
          </w:p>
          <w:p>
            <w:pPr>
              <w:ind w:right="-102"/>
              <w:jc w:val="center"/>
              <w:rPr>
                <w:rFonts w:ascii="Arial" w:eastAsia="Times New Roman" w:hAnsi="Arial" w:cs="Arial"/>
                <w:color w:val="000000"/>
                <w:sz w:val="20"/>
                <w:szCs w:val="20"/>
                <w:lang w:val="es-ES"/>
              </w:rPr>
            </w:pPr>
            <w:r>
              <w:rPr>
                <w:rFonts w:ascii="Arial" w:eastAsia="Times New Roman" w:hAnsi="Arial" w:cs="Arial"/>
                <w:color w:val="000000"/>
                <w:sz w:val="20"/>
                <w:szCs w:val="20"/>
                <w:lang w:val="es-ES"/>
              </w:rPr>
              <w:t>(PBP)</w:t>
            </w:r>
          </w:p>
        </w:tc>
      </w:tr>
      <w:tr>
        <w:tc>
          <w:tcPr>
            <w:tcW w:w="0" w:type="auto"/>
          </w:tcPr>
          <w:p>
            <w:pPr>
              <w:ind w:right="-102"/>
              <w:rPr>
                <w:rFonts w:ascii="Arial" w:eastAsia="Times New Roman" w:hAnsi="Arial" w:cs="Arial"/>
                <w:color w:val="000000"/>
                <w:sz w:val="20"/>
                <w:szCs w:val="20"/>
                <w:lang w:val="es-ES"/>
              </w:rPr>
            </w:pPr>
            <w:r>
              <w:rPr>
                <w:rFonts w:ascii="Arial" w:eastAsia="Times New Roman" w:hAnsi="Arial" w:cs="Arial"/>
                <w:color w:val="000000"/>
                <w:sz w:val="20"/>
                <w:szCs w:val="20"/>
                <w:lang w:val="es-ES"/>
              </w:rPr>
              <w:t>Programa de Consolidación de la Responsabilidad Fiscal Territorial II (2744/OC-CO)</w:t>
            </w:r>
          </w:p>
          <w:p>
            <w:pPr>
              <w:ind w:right="-102"/>
              <w:rPr>
                <w:rFonts w:ascii="Arial" w:eastAsia="Times New Roman" w:hAnsi="Arial" w:cs="Arial"/>
                <w:color w:val="000000"/>
                <w:sz w:val="20"/>
                <w:szCs w:val="20"/>
                <w:lang w:val="es-ES"/>
              </w:rPr>
            </w:pPr>
          </w:p>
          <w:p>
            <w:pPr>
              <w:ind w:right="-102"/>
              <w:rPr>
                <w:rFonts w:ascii="Arial" w:eastAsia="Times New Roman" w:hAnsi="Arial" w:cs="Arial"/>
                <w:color w:val="000000"/>
                <w:sz w:val="20"/>
                <w:szCs w:val="20"/>
                <w:lang w:val="es-ES"/>
              </w:rPr>
            </w:pPr>
            <w:r>
              <w:rPr>
                <w:rFonts w:ascii="Arial" w:eastAsia="Times New Roman" w:hAnsi="Arial" w:cs="Arial"/>
                <w:color w:val="000000"/>
                <w:sz w:val="20"/>
                <w:szCs w:val="20"/>
                <w:lang w:val="es-ES"/>
              </w:rPr>
              <w:t>Aprobada en junio de 2012 (cerrada)</w:t>
            </w:r>
          </w:p>
        </w:tc>
        <w:tc>
          <w:tcPr>
            <w:tcW w:w="0" w:type="auto"/>
          </w:tcPr>
          <w:p>
            <w:pPr>
              <w:ind w:right="-30"/>
              <w:rPr>
                <w:rFonts w:ascii="Arial" w:eastAsia="Times New Roman" w:hAnsi="Arial" w:cs="Arial"/>
                <w:color w:val="000000"/>
                <w:sz w:val="20"/>
                <w:szCs w:val="20"/>
                <w:lang w:val="es-ES"/>
              </w:rPr>
            </w:pPr>
            <w:r>
              <w:rPr>
                <w:rFonts w:ascii="Arial" w:eastAsia="Times New Roman" w:hAnsi="Arial" w:cs="Arial"/>
                <w:color w:val="000000"/>
                <w:sz w:val="20"/>
                <w:szCs w:val="20"/>
                <w:lang w:val="es-ES"/>
              </w:rPr>
              <w:t>Contribuir a la estabilidad fiscal de Colombia mediante la consolidación de la responsabilidad fiscal territorial, la cual se logrará a través de un mejor uso de los recursos transferidos a los territorios, una mejora de la calidad y oportunidad de la información fiscal territorial y un aumento de los ingresos tributarios territoriales.</w:t>
            </w:r>
          </w:p>
        </w:tc>
        <w:tc>
          <w:tcPr>
            <w:tcW w:w="0" w:type="auto"/>
          </w:tcPr>
          <w:p>
            <w:pPr>
              <w:rPr>
                <w:rFonts w:ascii="Arial" w:eastAsia="Times New Roman" w:hAnsi="Arial" w:cs="Arial"/>
                <w:color w:val="000000"/>
                <w:sz w:val="20"/>
                <w:szCs w:val="20"/>
                <w:lang w:val="es-ES"/>
              </w:rPr>
            </w:pPr>
            <w:r>
              <w:rPr>
                <w:rFonts w:ascii="Arial" w:eastAsia="Times New Roman" w:hAnsi="Arial" w:cs="Arial"/>
                <w:color w:val="000000"/>
                <w:sz w:val="20"/>
                <w:szCs w:val="20"/>
                <w:lang w:val="es-ES"/>
              </w:rPr>
              <w:t>(i) Monitoreo, seguimiento y control de las Entidades Territoriales (ET) y las Entidades de Descentralización Subnacionales (EDS); (ii) Consolidación y armonización del sistema de información fiscal territorial; (iii) Fortalecimiento de la recaudación propia de las ET.</w:t>
            </w:r>
          </w:p>
        </w:tc>
        <w:tc>
          <w:tcPr>
            <w:tcW w:w="2998" w:type="dxa"/>
          </w:tcPr>
          <w:p>
            <w:pPr>
              <w:ind w:right="-102"/>
              <w:rPr>
                <w:rFonts w:ascii="Arial" w:eastAsia="Times New Roman" w:hAnsi="Arial" w:cs="Arial"/>
                <w:color w:val="000000"/>
                <w:sz w:val="20"/>
                <w:szCs w:val="20"/>
                <w:lang w:val="es-ES"/>
              </w:rPr>
            </w:pPr>
            <w:r>
              <w:rPr>
                <w:rFonts w:ascii="Arial" w:eastAsia="Times New Roman" w:hAnsi="Arial" w:cs="Arial"/>
                <w:color w:val="000000"/>
                <w:sz w:val="20"/>
                <w:szCs w:val="20"/>
                <w:lang w:val="es-ES"/>
              </w:rPr>
              <w:t> </w:t>
            </w:r>
          </w:p>
        </w:tc>
        <w:tc>
          <w:tcPr>
            <w:tcW w:w="1435" w:type="dxa"/>
            <w:vAlign w:val="center"/>
          </w:tcPr>
          <w:p>
            <w:pPr>
              <w:ind w:right="-102"/>
              <w:jc w:val="center"/>
              <w:rPr>
                <w:rFonts w:ascii="Arial" w:eastAsia="Times New Roman" w:hAnsi="Arial" w:cs="Arial"/>
                <w:color w:val="000000"/>
                <w:sz w:val="20"/>
                <w:szCs w:val="20"/>
                <w:lang w:val="es-ES"/>
              </w:rPr>
            </w:pPr>
            <w:r>
              <w:rPr>
                <w:rFonts w:ascii="Arial" w:eastAsia="Times New Roman" w:hAnsi="Arial" w:cs="Arial"/>
                <w:color w:val="000000"/>
                <w:sz w:val="20"/>
                <w:szCs w:val="20"/>
                <w:lang w:val="es-ES"/>
              </w:rPr>
              <w:t>100</w:t>
            </w:r>
          </w:p>
          <w:p>
            <w:pPr>
              <w:ind w:right="-102"/>
              <w:jc w:val="center"/>
              <w:rPr>
                <w:rFonts w:ascii="Arial" w:eastAsia="Times New Roman" w:hAnsi="Arial" w:cs="Arial"/>
                <w:color w:val="000000"/>
                <w:sz w:val="20"/>
                <w:szCs w:val="20"/>
                <w:lang w:val="es-ES"/>
              </w:rPr>
            </w:pPr>
            <w:r>
              <w:rPr>
                <w:rFonts w:ascii="Arial" w:eastAsia="Times New Roman" w:hAnsi="Arial" w:cs="Arial"/>
                <w:color w:val="000000"/>
                <w:sz w:val="20"/>
                <w:szCs w:val="20"/>
                <w:lang w:val="es-ES"/>
              </w:rPr>
              <w:t>(PBP)</w:t>
            </w:r>
          </w:p>
        </w:tc>
      </w:tr>
      <w:tr>
        <w:tc>
          <w:tcPr>
            <w:tcW w:w="0" w:type="auto"/>
          </w:tcPr>
          <w:p>
            <w:pPr>
              <w:ind w:right="-102"/>
              <w:rPr>
                <w:rFonts w:ascii="Arial" w:eastAsia="Times New Roman" w:hAnsi="Arial" w:cs="Arial"/>
                <w:color w:val="000000"/>
                <w:sz w:val="20"/>
                <w:szCs w:val="20"/>
                <w:lang w:val="es-ES"/>
              </w:rPr>
            </w:pPr>
            <w:r>
              <w:rPr>
                <w:rFonts w:ascii="Arial" w:eastAsia="Times New Roman" w:hAnsi="Arial" w:cs="Arial"/>
                <w:color w:val="000000"/>
                <w:sz w:val="20"/>
                <w:szCs w:val="20"/>
                <w:lang w:val="es-ES"/>
              </w:rPr>
              <w:t>Programa de Gestión Riesgo de Desastres y Adaptación al Cambio Climático (2616/OC-CO)</w:t>
            </w:r>
          </w:p>
          <w:p>
            <w:pPr>
              <w:ind w:right="-102"/>
              <w:rPr>
                <w:rFonts w:ascii="Arial" w:eastAsia="Times New Roman" w:hAnsi="Arial" w:cs="Arial"/>
                <w:color w:val="000000"/>
                <w:sz w:val="20"/>
                <w:szCs w:val="20"/>
                <w:lang w:val="es-ES"/>
              </w:rPr>
            </w:pPr>
          </w:p>
          <w:p>
            <w:pPr>
              <w:ind w:right="-102"/>
              <w:rPr>
                <w:rFonts w:ascii="Arial" w:eastAsia="Times New Roman" w:hAnsi="Arial" w:cs="Arial"/>
                <w:color w:val="000000"/>
                <w:sz w:val="20"/>
                <w:szCs w:val="20"/>
                <w:lang w:val="es-ES"/>
              </w:rPr>
            </w:pPr>
            <w:r>
              <w:rPr>
                <w:rFonts w:ascii="Arial" w:eastAsia="Times New Roman" w:hAnsi="Arial" w:cs="Arial"/>
                <w:color w:val="000000"/>
                <w:sz w:val="20"/>
                <w:szCs w:val="20"/>
                <w:lang w:val="es-ES"/>
              </w:rPr>
              <w:t>Aprobada en noviembre de 2011 (cerrada)</w:t>
            </w:r>
          </w:p>
        </w:tc>
        <w:tc>
          <w:tcPr>
            <w:tcW w:w="0" w:type="auto"/>
          </w:tcPr>
          <w:p>
            <w:pPr>
              <w:ind w:right="-30"/>
              <w:rPr>
                <w:rFonts w:ascii="Arial" w:eastAsia="Times New Roman" w:hAnsi="Arial" w:cs="Arial"/>
                <w:color w:val="000000"/>
                <w:sz w:val="20"/>
                <w:szCs w:val="20"/>
                <w:lang w:val="es-ES"/>
              </w:rPr>
            </w:pPr>
            <w:r>
              <w:rPr>
                <w:rFonts w:ascii="Arial" w:eastAsia="Times New Roman" w:hAnsi="Arial" w:cs="Arial"/>
                <w:color w:val="000000"/>
                <w:sz w:val="20"/>
                <w:szCs w:val="20"/>
                <w:lang w:val="es-ES"/>
              </w:rPr>
              <w:t xml:space="preserve">Contribuir al fortalecimiento y modernización del marco normativo, institucional y de política pública para la Gestión del Riesgo de Desastres y la Adaptación al Cambio Climático, en línea con los objetivos y metas del Plan Nacional de Desarrollo. </w:t>
            </w:r>
          </w:p>
        </w:tc>
        <w:tc>
          <w:tcPr>
            <w:tcW w:w="0" w:type="auto"/>
          </w:tcPr>
          <w:p>
            <w:pPr>
              <w:rPr>
                <w:rFonts w:ascii="Arial" w:eastAsia="Times New Roman" w:hAnsi="Arial" w:cs="Arial"/>
                <w:color w:val="000000"/>
                <w:sz w:val="20"/>
                <w:szCs w:val="20"/>
                <w:lang w:val="es-ES"/>
              </w:rPr>
            </w:pPr>
            <w:r>
              <w:rPr>
                <w:rFonts w:ascii="Arial" w:eastAsia="Times New Roman" w:hAnsi="Arial" w:cs="Arial"/>
                <w:color w:val="000000"/>
                <w:sz w:val="20"/>
                <w:szCs w:val="20"/>
                <w:lang w:val="es-ES"/>
              </w:rPr>
              <w:t>(i) Gobernabilidad y desarrollo del marco rector; (ii) Desarrollo de instrumentos y de capacidades de gestión sectorial y territorial.</w:t>
            </w:r>
          </w:p>
        </w:tc>
        <w:tc>
          <w:tcPr>
            <w:tcW w:w="2998" w:type="dxa"/>
          </w:tcPr>
          <w:p>
            <w:pPr>
              <w:ind w:right="-102"/>
              <w:rPr>
                <w:rFonts w:ascii="Arial" w:eastAsia="Times New Roman" w:hAnsi="Arial" w:cs="Arial"/>
                <w:color w:val="000000"/>
                <w:sz w:val="20"/>
                <w:szCs w:val="20"/>
                <w:lang w:val="es-ES"/>
              </w:rPr>
            </w:pPr>
            <w:r>
              <w:rPr>
                <w:rFonts w:ascii="Arial" w:eastAsia="Times New Roman" w:hAnsi="Arial" w:cs="Arial"/>
                <w:color w:val="000000"/>
                <w:sz w:val="20"/>
                <w:szCs w:val="20"/>
                <w:lang w:val="es-ES"/>
              </w:rPr>
              <w:t xml:space="preserve">(i) Incorporación de la gestión del riesgo de desastres y adaptación al cambio climático en el “Plan Nacional de Desarrollo 2010-2014”; (ii) Creación del Fondo Adaptación, DNP, </w:t>
            </w:r>
          </w:p>
          <w:p>
            <w:pPr>
              <w:ind w:right="-102"/>
              <w:rPr>
                <w:rFonts w:ascii="Arial" w:eastAsia="Times New Roman" w:hAnsi="Arial" w:cs="Arial"/>
                <w:color w:val="000000"/>
                <w:sz w:val="20"/>
                <w:szCs w:val="20"/>
                <w:lang w:val="es-ES"/>
              </w:rPr>
            </w:pPr>
            <w:r>
              <w:rPr>
                <w:rFonts w:ascii="Arial" w:eastAsia="Times New Roman" w:hAnsi="Arial" w:cs="Arial"/>
                <w:color w:val="000000"/>
                <w:sz w:val="20"/>
                <w:szCs w:val="20"/>
                <w:lang w:val="es-ES"/>
              </w:rPr>
              <w:t xml:space="preserve">mecanismo institucional para la identificación, priorización e implementación de proyectos de </w:t>
            </w:r>
            <w:r>
              <w:rPr>
                <w:rFonts w:ascii="Arial" w:eastAsia="Times New Roman" w:hAnsi="Arial" w:cs="Arial"/>
                <w:color w:val="000000"/>
                <w:sz w:val="20"/>
                <w:szCs w:val="20"/>
                <w:lang w:val="es-ES"/>
              </w:rPr>
              <w:lastRenderedPageBreak/>
              <w:t>recuperación, construcción y reconstrucción, que reduzcan el riesgo de desastres en el país.</w:t>
            </w:r>
          </w:p>
        </w:tc>
        <w:tc>
          <w:tcPr>
            <w:tcW w:w="1435" w:type="dxa"/>
            <w:vAlign w:val="center"/>
          </w:tcPr>
          <w:p>
            <w:pPr>
              <w:ind w:right="-102"/>
              <w:jc w:val="center"/>
              <w:rPr>
                <w:rFonts w:ascii="Arial" w:eastAsia="Times New Roman" w:hAnsi="Arial" w:cs="Arial"/>
                <w:color w:val="000000"/>
                <w:sz w:val="20"/>
                <w:szCs w:val="20"/>
                <w:lang w:val="es-ES"/>
              </w:rPr>
            </w:pPr>
            <w:r>
              <w:rPr>
                <w:rFonts w:ascii="Arial" w:eastAsia="Times New Roman" w:hAnsi="Arial" w:cs="Arial"/>
                <w:color w:val="000000"/>
                <w:sz w:val="20"/>
                <w:szCs w:val="20"/>
                <w:lang w:val="es-ES"/>
              </w:rPr>
              <w:lastRenderedPageBreak/>
              <w:t>120</w:t>
            </w:r>
          </w:p>
          <w:p>
            <w:pPr>
              <w:ind w:right="-102"/>
              <w:jc w:val="center"/>
              <w:rPr>
                <w:rFonts w:ascii="Arial" w:eastAsia="Times New Roman" w:hAnsi="Arial" w:cs="Arial"/>
                <w:color w:val="000000"/>
                <w:sz w:val="20"/>
                <w:szCs w:val="20"/>
                <w:lang w:val="es-ES"/>
              </w:rPr>
            </w:pPr>
            <w:r>
              <w:rPr>
                <w:rFonts w:ascii="Arial" w:eastAsia="Times New Roman" w:hAnsi="Arial" w:cs="Arial"/>
                <w:color w:val="000000"/>
                <w:sz w:val="20"/>
                <w:szCs w:val="20"/>
                <w:lang w:val="es-ES"/>
              </w:rPr>
              <w:t>(PBL)</w:t>
            </w:r>
          </w:p>
        </w:tc>
      </w:tr>
      <w:tr>
        <w:tc>
          <w:tcPr>
            <w:tcW w:w="0" w:type="auto"/>
          </w:tcPr>
          <w:p>
            <w:pPr>
              <w:ind w:right="-102"/>
              <w:rPr>
                <w:rFonts w:ascii="Arial" w:eastAsia="Times New Roman" w:hAnsi="Arial" w:cs="Arial"/>
                <w:color w:val="000000"/>
                <w:sz w:val="20"/>
                <w:szCs w:val="20"/>
                <w:lang w:val="es-ES"/>
              </w:rPr>
            </w:pPr>
            <w:r>
              <w:rPr>
                <w:rFonts w:ascii="Arial" w:eastAsia="Times New Roman" w:hAnsi="Arial" w:cs="Arial"/>
                <w:color w:val="000000"/>
                <w:sz w:val="20"/>
                <w:szCs w:val="20"/>
                <w:lang w:val="es-ES"/>
              </w:rPr>
              <w:t>Programa de Fortalecimiento de la Defensa Jurídica del Estado (2755/OC-CO)</w:t>
            </w:r>
          </w:p>
          <w:p>
            <w:pPr>
              <w:ind w:right="-102"/>
              <w:rPr>
                <w:rFonts w:ascii="Arial" w:eastAsia="Times New Roman" w:hAnsi="Arial" w:cs="Arial"/>
                <w:color w:val="000000"/>
                <w:sz w:val="20"/>
                <w:szCs w:val="20"/>
                <w:lang w:val="es-ES"/>
              </w:rPr>
            </w:pPr>
          </w:p>
          <w:p>
            <w:pPr>
              <w:ind w:right="-102"/>
              <w:rPr>
                <w:rFonts w:ascii="Arial" w:eastAsia="Times New Roman" w:hAnsi="Arial" w:cs="Arial"/>
                <w:color w:val="000000"/>
                <w:sz w:val="20"/>
                <w:szCs w:val="20"/>
                <w:lang w:val="es-ES"/>
              </w:rPr>
            </w:pPr>
            <w:r>
              <w:rPr>
                <w:rFonts w:ascii="Arial" w:eastAsia="Times New Roman" w:hAnsi="Arial" w:cs="Arial"/>
                <w:color w:val="000000"/>
                <w:sz w:val="20"/>
                <w:szCs w:val="20"/>
                <w:lang w:val="es-ES"/>
              </w:rPr>
              <w:t>Aprobada en julio de 2012 (activa)</w:t>
            </w:r>
          </w:p>
        </w:tc>
        <w:tc>
          <w:tcPr>
            <w:tcW w:w="0" w:type="auto"/>
          </w:tcPr>
          <w:p>
            <w:pPr>
              <w:ind w:right="-30"/>
              <w:rPr>
                <w:rFonts w:ascii="Arial" w:eastAsia="Times New Roman" w:hAnsi="Arial" w:cs="Arial"/>
                <w:color w:val="000000"/>
                <w:sz w:val="20"/>
                <w:szCs w:val="20"/>
                <w:lang w:val="es-ES"/>
              </w:rPr>
            </w:pPr>
            <w:r>
              <w:rPr>
                <w:rFonts w:ascii="Arial" w:eastAsia="Times New Roman" w:hAnsi="Arial" w:cs="Arial"/>
                <w:color w:val="000000"/>
                <w:sz w:val="20"/>
                <w:szCs w:val="20"/>
                <w:lang w:val="es-ES"/>
              </w:rPr>
              <w:t>Mejorar la efectividad de la gestión de la defensa jurídica del Estado para disminuir los pagos por fallos desfavorables.</w:t>
            </w:r>
          </w:p>
        </w:tc>
        <w:tc>
          <w:tcPr>
            <w:tcW w:w="0" w:type="auto"/>
          </w:tcPr>
          <w:p>
            <w:pPr>
              <w:rPr>
                <w:rFonts w:ascii="Arial" w:eastAsia="Times New Roman" w:hAnsi="Arial" w:cs="Arial"/>
                <w:color w:val="000000"/>
                <w:sz w:val="20"/>
                <w:szCs w:val="20"/>
                <w:lang w:val="es-ES"/>
              </w:rPr>
            </w:pPr>
            <w:r>
              <w:rPr>
                <w:rFonts w:ascii="Arial" w:eastAsia="Times New Roman" w:hAnsi="Arial" w:cs="Arial"/>
                <w:color w:val="000000"/>
                <w:sz w:val="20"/>
                <w:szCs w:val="20"/>
                <w:lang w:val="es-ES"/>
              </w:rPr>
              <w:t>(i) Apoyo a la instalación de la nueva Agencia Nacional de Defensa Jurídica del Estado; (ii) Mejora de la gestión del ciclo de defensa jurídica; (iii) Fortalecimiento de la gestión de la información estratégica y del conocimiento.</w:t>
            </w:r>
          </w:p>
        </w:tc>
        <w:tc>
          <w:tcPr>
            <w:tcW w:w="2998" w:type="dxa"/>
          </w:tcPr>
          <w:p>
            <w:pPr>
              <w:ind w:right="-102"/>
              <w:rPr>
                <w:rFonts w:ascii="Arial" w:eastAsia="Times New Roman" w:hAnsi="Arial" w:cs="Arial"/>
                <w:color w:val="000000"/>
                <w:sz w:val="20"/>
                <w:szCs w:val="20"/>
                <w:lang w:val="es-ES"/>
              </w:rPr>
            </w:pPr>
            <w:r>
              <w:rPr>
                <w:rFonts w:ascii="Arial" w:eastAsia="Times New Roman" w:hAnsi="Arial" w:cs="Arial"/>
                <w:color w:val="000000"/>
                <w:sz w:val="20"/>
                <w:szCs w:val="20"/>
                <w:lang w:val="es-ES"/>
              </w:rPr>
              <w:t>(i) Implementación de un modelo institucional, y de procesos de trabajo, para reducir el nivel de fragmentación de la defensa jurídica; (ii) implementación de una metodología de evaluación y capacitación en el ciclo de defensa; y (iii) implementación de una metodología para el control y monitoreo de la actividad que realizan los operadores jurídicos.</w:t>
            </w:r>
          </w:p>
        </w:tc>
        <w:tc>
          <w:tcPr>
            <w:tcW w:w="1435" w:type="dxa"/>
            <w:vAlign w:val="center"/>
          </w:tcPr>
          <w:p>
            <w:pPr>
              <w:ind w:right="-102"/>
              <w:jc w:val="center"/>
              <w:rPr>
                <w:rFonts w:ascii="Arial" w:eastAsia="Times New Roman" w:hAnsi="Arial" w:cs="Arial"/>
                <w:color w:val="000000"/>
                <w:sz w:val="20"/>
                <w:szCs w:val="20"/>
                <w:lang w:val="es-ES"/>
              </w:rPr>
            </w:pPr>
            <w:r>
              <w:rPr>
                <w:rFonts w:ascii="Arial" w:eastAsia="Times New Roman" w:hAnsi="Arial" w:cs="Arial"/>
                <w:color w:val="000000"/>
                <w:sz w:val="20"/>
                <w:szCs w:val="20"/>
                <w:lang w:val="es-ES"/>
              </w:rPr>
              <w:t>10</w:t>
            </w:r>
          </w:p>
          <w:p>
            <w:pPr>
              <w:ind w:right="-102"/>
              <w:jc w:val="center"/>
              <w:rPr>
                <w:rFonts w:ascii="Arial" w:eastAsia="Times New Roman" w:hAnsi="Arial" w:cs="Arial"/>
                <w:color w:val="000000"/>
                <w:sz w:val="20"/>
                <w:szCs w:val="20"/>
                <w:lang w:val="es-ES"/>
              </w:rPr>
            </w:pPr>
            <w:r>
              <w:rPr>
                <w:rFonts w:ascii="Arial" w:eastAsia="Times New Roman" w:hAnsi="Arial" w:cs="Arial"/>
                <w:color w:val="000000"/>
                <w:sz w:val="20"/>
                <w:szCs w:val="20"/>
                <w:lang w:val="es-ES"/>
              </w:rPr>
              <w:t>(Inversión)</w:t>
            </w:r>
          </w:p>
        </w:tc>
      </w:tr>
      <w:tr>
        <w:tc>
          <w:tcPr>
            <w:tcW w:w="0" w:type="auto"/>
          </w:tcPr>
          <w:p>
            <w:pPr>
              <w:ind w:right="-102"/>
              <w:rPr>
                <w:rFonts w:ascii="Arial" w:eastAsia="Times New Roman" w:hAnsi="Arial" w:cs="Arial"/>
                <w:color w:val="000000"/>
                <w:sz w:val="20"/>
                <w:szCs w:val="20"/>
                <w:lang w:val="es-ES"/>
              </w:rPr>
            </w:pPr>
            <w:r>
              <w:rPr>
                <w:rFonts w:ascii="Arial" w:eastAsia="Times New Roman" w:hAnsi="Arial" w:cs="Arial"/>
                <w:color w:val="000000"/>
                <w:sz w:val="20"/>
                <w:szCs w:val="20"/>
                <w:lang w:val="es-ES"/>
              </w:rPr>
              <w:t>Programa para el Fortalecimiento del Sistema de Inversión Pública (2977/OC-CO)</w:t>
            </w:r>
          </w:p>
          <w:p>
            <w:pPr>
              <w:ind w:right="-102"/>
              <w:rPr>
                <w:rFonts w:ascii="Arial" w:eastAsia="Times New Roman" w:hAnsi="Arial" w:cs="Arial"/>
                <w:color w:val="000000"/>
                <w:sz w:val="20"/>
                <w:szCs w:val="20"/>
                <w:lang w:val="es-ES"/>
              </w:rPr>
            </w:pPr>
          </w:p>
          <w:p>
            <w:pPr>
              <w:ind w:right="-102"/>
              <w:rPr>
                <w:rFonts w:ascii="Arial" w:eastAsia="Times New Roman" w:hAnsi="Arial" w:cs="Arial"/>
                <w:color w:val="000000"/>
                <w:sz w:val="20"/>
                <w:szCs w:val="20"/>
                <w:lang w:val="es-ES"/>
              </w:rPr>
            </w:pPr>
            <w:r>
              <w:rPr>
                <w:rFonts w:ascii="Arial" w:eastAsia="Times New Roman" w:hAnsi="Arial" w:cs="Arial"/>
                <w:color w:val="000000"/>
                <w:sz w:val="20"/>
                <w:szCs w:val="20"/>
                <w:lang w:val="es-ES"/>
              </w:rPr>
              <w:t>Aprobada en septiembre de 2013 (activa)</w:t>
            </w:r>
          </w:p>
        </w:tc>
        <w:tc>
          <w:tcPr>
            <w:tcW w:w="0" w:type="auto"/>
          </w:tcPr>
          <w:p>
            <w:pPr>
              <w:ind w:right="-30"/>
              <w:rPr>
                <w:rFonts w:ascii="Arial" w:eastAsia="Times New Roman" w:hAnsi="Arial" w:cs="Arial"/>
                <w:color w:val="000000"/>
                <w:sz w:val="20"/>
                <w:szCs w:val="20"/>
                <w:lang w:val="es-ES"/>
              </w:rPr>
            </w:pPr>
            <w:r>
              <w:rPr>
                <w:rFonts w:ascii="Arial" w:eastAsia="Times New Roman" w:hAnsi="Arial" w:cs="Arial"/>
                <w:color w:val="000000"/>
                <w:sz w:val="20"/>
                <w:szCs w:val="20"/>
                <w:lang w:val="es-ES"/>
              </w:rPr>
              <w:t xml:space="preserve">Mejorar la eficiencia y transparencia en el uso de los recursos de la inversión pública a través del fortalecimiento del sistema de monitoreo y seguimiento de la inversión pública según las competencias legales que le corresponden al DNP. </w:t>
            </w:r>
          </w:p>
        </w:tc>
        <w:tc>
          <w:tcPr>
            <w:tcW w:w="0" w:type="auto"/>
          </w:tcPr>
          <w:p>
            <w:pPr>
              <w:rPr>
                <w:rFonts w:ascii="Arial" w:eastAsia="Times New Roman" w:hAnsi="Arial" w:cs="Arial"/>
                <w:color w:val="000000"/>
                <w:sz w:val="20"/>
                <w:szCs w:val="20"/>
                <w:lang w:val="es-ES"/>
              </w:rPr>
            </w:pPr>
            <w:r>
              <w:rPr>
                <w:rFonts w:ascii="Arial" w:eastAsia="Times New Roman" w:hAnsi="Arial" w:cs="Arial"/>
                <w:color w:val="000000"/>
                <w:sz w:val="20"/>
                <w:szCs w:val="20"/>
                <w:lang w:val="es-ES"/>
              </w:rPr>
              <w:t>(i) Diseño de una Plataforma Tecnológica Integrada (PTI) de Inversión Pública; y (ii) implementación de la Plataforma Tecnológica Integrada de Inversión Pública.</w:t>
            </w:r>
          </w:p>
        </w:tc>
        <w:tc>
          <w:tcPr>
            <w:tcW w:w="2998" w:type="dxa"/>
          </w:tcPr>
          <w:p>
            <w:pPr>
              <w:ind w:right="-102"/>
              <w:rPr>
                <w:rFonts w:ascii="Arial" w:eastAsia="Times New Roman" w:hAnsi="Arial" w:cs="Arial"/>
                <w:color w:val="000000"/>
                <w:sz w:val="20"/>
                <w:szCs w:val="20"/>
                <w:lang w:val="es-ES"/>
              </w:rPr>
            </w:pPr>
            <w:r>
              <w:rPr>
                <w:rFonts w:ascii="Arial" w:eastAsia="Times New Roman" w:hAnsi="Arial" w:cs="Arial"/>
                <w:color w:val="000000"/>
                <w:sz w:val="20"/>
                <w:szCs w:val="20"/>
                <w:lang w:val="es-ES"/>
              </w:rPr>
              <w:t>(i) Diseño de una PTI de Información para las inversiones financiadas por el Presupuesto General de la Nación, SGP y SGR; (</w:t>
            </w:r>
            <w:proofErr w:type="spellStart"/>
            <w:r>
              <w:rPr>
                <w:rFonts w:ascii="Arial" w:eastAsia="Times New Roman" w:hAnsi="Arial" w:cs="Arial"/>
                <w:color w:val="000000"/>
                <w:sz w:val="20"/>
                <w:szCs w:val="20"/>
                <w:lang w:val="es-ES"/>
              </w:rPr>
              <w:t>ii.a</w:t>
            </w:r>
            <w:proofErr w:type="spellEnd"/>
            <w:r>
              <w:rPr>
                <w:rFonts w:ascii="Arial" w:eastAsia="Times New Roman" w:hAnsi="Arial" w:cs="Arial"/>
                <w:color w:val="000000"/>
                <w:sz w:val="20"/>
                <w:szCs w:val="20"/>
                <w:lang w:val="es-ES"/>
              </w:rPr>
              <w:t>) Implementación del módulo tecnológico del SGR en el PTI; (</w:t>
            </w:r>
            <w:proofErr w:type="spellStart"/>
            <w:r>
              <w:rPr>
                <w:rFonts w:ascii="Arial" w:eastAsia="Times New Roman" w:hAnsi="Arial" w:cs="Arial"/>
                <w:color w:val="000000"/>
                <w:sz w:val="20"/>
                <w:szCs w:val="20"/>
                <w:lang w:val="es-ES"/>
              </w:rPr>
              <w:t>ii.b</w:t>
            </w:r>
            <w:proofErr w:type="spellEnd"/>
            <w:r>
              <w:rPr>
                <w:rFonts w:ascii="Arial" w:eastAsia="Times New Roman" w:hAnsi="Arial" w:cs="Arial"/>
                <w:color w:val="000000"/>
                <w:sz w:val="20"/>
                <w:szCs w:val="20"/>
                <w:lang w:val="es-ES"/>
              </w:rPr>
              <w:t xml:space="preserve">) implementación del módulo de visualización y </w:t>
            </w:r>
            <w:proofErr w:type="spellStart"/>
            <w:r>
              <w:rPr>
                <w:rFonts w:ascii="Arial" w:eastAsia="Times New Roman" w:hAnsi="Arial" w:cs="Arial"/>
                <w:color w:val="000000"/>
                <w:sz w:val="20"/>
                <w:szCs w:val="20"/>
                <w:lang w:val="es-ES"/>
              </w:rPr>
              <w:t>georeferenciación</w:t>
            </w:r>
            <w:proofErr w:type="spellEnd"/>
            <w:r>
              <w:rPr>
                <w:rFonts w:ascii="Arial" w:eastAsia="Times New Roman" w:hAnsi="Arial" w:cs="Arial"/>
                <w:color w:val="000000"/>
                <w:sz w:val="20"/>
                <w:szCs w:val="20"/>
                <w:lang w:val="es-ES"/>
              </w:rPr>
              <w:t xml:space="preserve"> de recursos y proyectos de inversión pública.</w:t>
            </w:r>
          </w:p>
        </w:tc>
        <w:tc>
          <w:tcPr>
            <w:tcW w:w="1435" w:type="dxa"/>
            <w:vAlign w:val="center"/>
          </w:tcPr>
          <w:p>
            <w:pPr>
              <w:ind w:right="-102"/>
              <w:jc w:val="center"/>
              <w:rPr>
                <w:rFonts w:ascii="Arial" w:eastAsia="Times New Roman" w:hAnsi="Arial" w:cs="Arial"/>
                <w:color w:val="000000"/>
                <w:sz w:val="20"/>
                <w:szCs w:val="20"/>
                <w:lang w:val="es-ES"/>
              </w:rPr>
            </w:pPr>
            <w:r>
              <w:rPr>
                <w:rFonts w:ascii="Arial" w:eastAsia="Times New Roman" w:hAnsi="Arial" w:cs="Arial"/>
                <w:color w:val="000000"/>
                <w:sz w:val="20"/>
                <w:szCs w:val="20"/>
                <w:lang w:val="es-ES"/>
              </w:rPr>
              <w:t>33</w:t>
            </w:r>
          </w:p>
          <w:p>
            <w:pPr>
              <w:ind w:right="-102"/>
              <w:jc w:val="center"/>
              <w:rPr>
                <w:rFonts w:ascii="Arial" w:eastAsia="Times New Roman" w:hAnsi="Arial" w:cs="Arial"/>
                <w:color w:val="000000"/>
                <w:sz w:val="20"/>
                <w:szCs w:val="20"/>
                <w:lang w:val="es-ES"/>
              </w:rPr>
            </w:pPr>
            <w:r>
              <w:rPr>
                <w:rFonts w:ascii="Arial" w:eastAsia="Times New Roman" w:hAnsi="Arial" w:cs="Arial"/>
                <w:color w:val="000000"/>
                <w:sz w:val="20"/>
                <w:szCs w:val="20"/>
                <w:lang w:val="es-ES"/>
              </w:rPr>
              <w:t>(Inversión)</w:t>
            </w:r>
          </w:p>
        </w:tc>
      </w:tr>
      <w:tr>
        <w:tc>
          <w:tcPr>
            <w:tcW w:w="0" w:type="auto"/>
          </w:tcPr>
          <w:p>
            <w:pPr>
              <w:ind w:right="-102"/>
              <w:rPr>
                <w:rFonts w:ascii="Arial" w:eastAsia="Times New Roman" w:hAnsi="Arial" w:cs="Arial"/>
                <w:color w:val="000000"/>
                <w:sz w:val="20"/>
                <w:szCs w:val="20"/>
                <w:lang w:val="es-ES"/>
              </w:rPr>
            </w:pPr>
            <w:r>
              <w:rPr>
                <w:rFonts w:ascii="Arial" w:eastAsia="Times New Roman" w:hAnsi="Arial" w:cs="Arial"/>
                <w:color w:val="000000"/>
                <w:sz w:val="20"/>
                <w:szCs w:val="20"/>
                <w:lang w:val="es-ES"/>
              </w:rPr>
              <w:t>Programa de Eficiencia al Servicio del Ciudadano (3154/OC-CO)</w:t>
            </w:r>
          </w:p>
          <w:p>
            <w:pPr>
              <w:ind w:right="-102"/>
              <w:rPr>
                <w:rFonts w:ascii="Arial" w:eastAsia="Times New Roman" w:hAnsi="Arial" w:cs="Arial"/>
                <w:color w:val="000000"/>
                <w:sz w:val="20"/>
                <w:szCs w:val="20"/>
                <w:lang w:val="es-ES"/>
              </w:rPr>
            </w:pPr>
          </w:p>
          <w:p>
            <w:pPr>
              <w:ind w:right="-102"/>
              <w:rPr>
                <w:rFonts w:ascii="Arial" w:eastAsia="Times New Roman" w:hAnsi="Arial" w:cs="Arial"/>
                <w:color w:val="000000"/>
                <w:sz w:val="20"/>
                <w:szCs w:val="20"/>
                <w:lang w:val="es-ES"/>
              </w:rPr>
            </w:pPr>
            <w:r>
              <w:rPr>
                <w:rFonts w:ascii="Arial" w:eastAsia="Times New Roman" w:hAnsi="Arial" w:cs="Arial"/>
                <w:color w:val="000000"/>
                <w:sz w:val="20"/>
                <w:szCs w:val="20"/>
                <w:lang w:val="es-ES"/>
              </w:rPr>
              <w:t>Aprobada en marzo de 2014 (activa)</w:t>
            </w:r>
          </w:p>
        </w:tc>
        <w:tc>
          <w:tcPr>
            <w:tcW w:w="0" w:type="auto"/>
          </w:tcPr>
          <w:p>
            <w:pPr>
              <w:ind w:right="-30"/>
              <w:rPr>
                <w:rFonts w:ascii="Arial" w:eastAsia="Times New Roman" w:hAnsi="Arial" w:cs="Arial"/>
                <w:color w:val="000000"/>
                <w:sz w:val="20"/>
                <w:szCs w:val="20"/>
                <w:lang w:val="es-ES"/>
              </w:rPr>
            </w:pPr>
            <w:r>
              <w:rPr>
                <w:rFonts w:ascii="Arial" w:eastAsia="Times New Roman" w:hAnsi="Arial" w:cs="Arial"/>
                <w:color w:val="000000"/>
                <w:sz w:val="20"/>
                <w:szCs w:val="20"/>
                <w:lang w:val="es-ES"/>
              </w:rPr>
              <w:t>Mejorar la calidad en la gestión y prestación de servicios públicos.</w:t>
            </w:r>
          </w:p>
        </w:tc>
        <w:tc>
          <w:tcPr>
            <w:tcW w:w="0" w:type="auto"/>
          </w:tcPr>
          <w:p>
            <w:pPr>
              <w:rPr>
                <w:rFonts w:ascii="Arial" w:eastAsia="Times New Roman" w:hAnsi="Arial" w:cs="Arial"/>
                <w:color w:val="000000"/>
                <w:sz w:val="20"/>
                <w:szCs w:val="20"/>
                <w:lang w:val="es-ES"/>
              </w:rPr>
            </w:pPr>
            <w:r>
              <w:rPr>
                <w:rFonts w:ascii="Arial" w:eastAsia="Times New Roman" w:hAnsi="Arial" w:cs="Arial"/>
                <w:color w:val="000000"/>
                <w:sz w:val="20"/>
                <w:szCs w:val="20"/>
                <w:lang w:val="es-ES"/>
              </w:rPr>
              <w:t xml:space="preserve">(i) Desarrollo de Centros Integrados de Servicios y Mejoramiento de los Mecanismos de Comunicación de la Alta Administración Pública con el Ciudadano; (ii) Mejoramiento de la Gestión Interna y Simplificación de Trámites; (iii) Fortalecimiento del Sistema </w:t>
            </w:r>
            <w:r>
              <w:rPr>
                <w:rFonts w:ascii="Arial" w:eastAsia="Times New Roman" w:hAnsi="Arial" w:cs="Arial"/>
                <w:color w:val="000000"/>
                <w:sz w:val="20"/>
                <w:szCs w:val="20"/>
                <w:lang w:val="es-ES"/>
              </w:rPr>
              <w:lastRenderedPageBreak/>
              <w:t>de Compras y Contratación Pública.</w:t>
            </w:r>
          </w:p>
        </w:tc>
        <w:tc>
          <w:tcPr>
            <w:tcW w:w="2998" w:type="dxa"/>
          </w:tcPr>
          <w:p>
            <w:pPr>
              <w:ind w:right="-102"/>
              <w:rPr>
                <w:rFonts w:ascii="Arial" w:eastAsia="Times New Roman" w:hAnsi="Arial" w:cs="Arial"/>
                <w:color w:val="000000"/>
                <w:sz w:val="20"/>
                <w:szCs w:val="20"/>
                <w:lang w:val="es-ES"/>
              </w:rPr>
            </w:pPr>
            <w:r>
              <w:rPr>
                <w:rFonts w:ascii="Arial" w:eastAsia="Times New Roman" w:hAnsi="Arial" w:cs="Arial"/>
                <w:color w:val="000000"/>
                <w:sz w:val="20"/>
                <w:szCs w:val="20"/>
                <w:lang w:val="es-ES"/>
              </w:rPr>
              <w:lastRenderedPageBreak/>
              <w:t xml:space="preserve">(i) Mejora en la oportunidad y acceso a los servicios públicos en centros de atención presencial; (ii) la racionalización de procesos transversales, simplificación de trámites relacionados con la prestación de servicios y capacitación a los servidores públicos en competencias de servicio al ciudadano; y (iii) puesta en marcha de nuevos servicios de </w:t>
            </w:r>
            <w:r>
              <w:rPr>
                <w:rFonts w:ascii="Arial" w:eastAsia="Times New Roman" w:hAnsi="Arial" w:cs="Arial"/>
                <w:color w:val="000000"/>
                <w:sz w:val="20"/>
                <w:szCs w:val="20"/>
                <w:lang w:val="es-ES"/>
              </w:rPr>
              <w:lastRenderedPageBreak/>
              <w:t>negociación electrónica para las compras públicas y la elaboración de estudios de mercado de bienes y servicios, que respalden la preparación de acuerdos marco.</w:t>
            </w:r>
          </w:p>
        </w:tc>
        <w:tc>
          <w:tcPr>
            <w:tcW w:w="1435" w:type="dxa"/>
            <w:vAlign w:val="center"/>
          </w:tcPr>
          <w:p>
            <w:pPr>
              <w:ind w:right="-102"/>
              <w:jc w:val="center"/>
              <w:rPr>
                <w:rFonts w:ascii="Arial" w:eastAsia="Times New Roman" w:hAnsi="Arial" w:cs="Arial"/>
                <w:color w:val="000000"/>
                <w:sz w:val="20"/>
                <w:szCs w:val="20"/>
                <w:lang w:val="es-ES"/>
              </w:rPr>
            </w:pPr>
            <w:r>
              <w:rPr>
                <w:rFonts w:ascii="Arial" w:eastAsia="Times New Roman" w:hAnsi="Arial" w:cs="Arial"/>
                <w:color w:val="000000"/>
                <w:sz w:val="20"/>
                <w:szCs w:val="20"/>
                <w:lang w:val="es-ES"/>
              </w:rPr>
              <w:lastRenderedPageBreak/>
              <w:t>20</w:t>
            </w:r>
          </w:p>
          <w:p>
            <w:pPr>
              <w:ind w:right="-102"/>
              <w:jc w:val="center"/>
              <w:rPr>
                <w:rFonts w:ascii="Arial" w:eastAsia="Times New Roman" w:hAnsi="Arial" w:cs="Arial"/>
                <w:color w:val="000000"/>
                <w:sz w:val="20"/>
                <w:szCs w:val="20"/>
                <w:lang w:val="es-ES"/>
              </w:rPr>
            </w:pPr>
            <w:r>
              <w:rPr>
                <w:rFonts w:ascii="Arial" w:eastAsia="Times New Roman" w:hAnsi="Arial" w:cs="Arial"/>
                <w:color w:val="000000"/>
                <w:sz w:val="20"/>
                <w:szCs w:val="20"/>
                <w:lang w:val="es-ES"/>
              </w:rPr>
              <w:t>(Inversión)</w:t>
            </w:r>
          </w:p>
        </w:tc>
      </w:tr>
      <w:tr>
        <w:tc>
          <w:tcPr>
            <w:tcW w:w="0" w:type="auto"/>
          </w:tcPr>
          <w:p>
            <w:pPr>
              <w:ind w:right="-102"/>
              <w:rPr>
                <w:rFonts w:ascii="Arial" w:eastAsia="Times New Roman" w:hAnsi="Arial" w:cs="Arial"/>
                <w:color w:val="000000"/>
                <w:sz w:val="20"/>
                <w:szCs w:val="20"/>
                <w:lang w:val="es-ES"/>
              </w:rPr>
            </w:pPr>
            <w:r>
              <w:rPr>
                <w:rFonts w:ascii="Arial" w:eastAsia="Times New Roman" w:hAnsi="Arial" w:cs="Arial"/>
                <w:color w:val="000000"/>
                <w:sz w:val="20"/>
                <w:szCs w:val="20"/>
                <w:lang w:val="es-ES"/>
              </w:rPr>
              <w:t>Programa de Apoyo a Participación Público-Privada en Infraestructura (3090/OC-CO)</w:t>
            </w:r>
          </w:p>
          <w:p>
            <w:pPr>
              <w:ind w:right="-102"/>
              <w:rPr>
                <w:rFonts w:ascii="Arial" w:eastAsia="Times New Roman" w:hAnsi="Arial" w:cs="Arial"/>
                <w:color w:val="000000"/>
                <w:sz w:val="20"/>
                <w:szCs w:val="20"/>
                <w:lang w:val="es-ES"/>
              </w:rPr>
            </w:pPr>
          </w:p>
          <w:p>
            <w:pPr>
              <w:ind w:right="-102"/>
              <w:rPr>
                <w:rFonts w:ascii="Arial" w:eastAsia="Times New Roman" w:hAnsi="Arial" w:cs="Arial"/>
                <w:color w:val="000000"/>
                <w:sz w:val="20"/>
                <w:szCs w:val="20"/>
                <w:lang w:val="es-ES"/>
              </w:rPr>
            </w:pPr>
            <w:r>
              <w:rPr>
                <w:rFonts w:ascii="Arial" w:eastAsia="Times New Roman" w:hAnsi="Arial" w:cs="Arial"/>
                <w:color w:val="000000"/>
                <w:sz w:val="20"/>
                <w:szCs w:val="20"/>
                <w:lang w:val="es-ES"/>
              </w:rPr>
              <w:t>Aprobado en noviembre de 2013 (activa)</w:t>
            </w:r>
          </w:p>
        </w:tc>
        <w:tc>
          <w:tcPr>
            <w:tcW w:w="0" w:type="auto"/>
          </w:tcPr>
          <w:p>
            <w:pPr>
              <w:ind w:right="-30"/>
              <w:rPr>
                <w:rFonts w:ascii="Arial" w:eastAsia="Times New Roman" w:hAnsi="Arial" w:cs="Arial"/>
                <w:color w:val="000000"/>
                <w:sz w:val="20"/>
                <w:szCs w:val="20"/>
                <w:lang w:val="es-ES"/>
              </w:rPr>
            </w:pPr>
            <w:r>
              <w:rPr>
                <w:rFonts w:ascii="Arial" w:eastAsia="Times New Roman" w:hAnsi="Arial" w:cs="Arial"/>
                <w:color w:val="000000"/>
                <w:sz w:val="20"/>
                <w:szCs w:val="20"/>
                <w:lang w:val="es-ES"/>
              </w:rPr>
              <w:t>Fortalecer los mecanismos técnicos y regulatorios que promuevan la vinculación del sector privado en la financiación, provisión, operación y mantenimiento de la infraestructura y servicios asociados en diferentes sectores económicos y sociales.</w:t>
            </w:r>
          </w:p>
        </w:tc>
        <w:tc>
          <w:tcPr>
            <w:tcW w:w="0" w:type="auto"/>
          </w:tcPr>
          <w:p>
            <w:pPr>
              <w:rPr>
                <w:rFonts w:ascii="Arial" w:eastAsia="Times New Roman" w:hAnsi="Arial" w:cs="Arial"/>
                <w:color w:val="000000"/>
                <w:sz w:val="20"/>
                <w:szCs w:val="20"/>
                <w:lang w:val="es-ES"/>
              </w:rPr>
            </w:pPr>
            <w:r>
              <w:rPr>
                <w:rFonts w:ascii="Arial" w:eastAsia="Times New Roman" w:hAnsi="Arial" w:cs="Arial"/>
                <w:color w:val="000000"/>
                <w:sz w:val="20"/>
                <w:szCs w:val="20"/>
                <w:lang w:val="es-ES"/>
              </w:rPr>
              <w:t>(i) Fomento a la participación privada; ii) Fortalecimiento de capacidad del DNP</w:t>
            </w:r>
          </w:p>
        </w:tc>
        <w:tc>
          <w:tcPr>
            <w:tcW w:w="2998" w:type="dxa"/>
          </w:tcPr>
          <w:p>
            <w:pPr>
              <w:ind w:right="-102"/>
              <w:rPr>
                <w:rFonts w:ascii="Arial" w:eastAsia="Times New Roman" w:hAnsi="Arial" w:cs="Arial"/>
                <w:color w:val="000000"/>
                <w:sz w:val="20"/>
                <w:szCs w:val="20"/>
                <w:lang w:val="es-ES"/>
              </w:rPr>
            </w:pPr>
            <w:r>
              <w:rPr>
                <w:rFonts w:ascii="Arial" w:eastAsia="Times New Roman" w:hAnsi="Arial" w:cs="Arial"/>
                <w:color w:val="000000"/>
                <w:sz w:val="20"/>
                <w:szCs w:val="20"/>
                <w:lang w:val="es-ES"/>
              </w:rPr>
              <w:t>(i) Impulsar mecanismos y proyectos de vinculación del sector privado en infraestructura productiva y social, mediante estudios de formulación de políticas y marcos institucionales, normativos o regulatorios, y de identificación, diagnóstico, conceptualización, pre inversión, estructuración y/o implementación de proyectos; (ii) fortalecer la capacidad técnica y regulatoria de los sectores y de las entidades a cargo del desarrollo de infraestructura nacional como sub nacional, para conceptualizar, preparar, evaluar e implementar iniciativas y proyectos de APP.</w:t>
            </w:r>
          </w:p>
        </w:tc>
        <w:tc>
          <w:tcPr>
            <w:tcW w:w="1435" w:type="dxa"/>
            <w:vAlign w:val="center"/>
          </w:tcPr>
          <w:p>
            <w:pPr>
              <w:ind w:right="-102"/>
              <w:jc w:val="center"/>
              <w:rPr>
                <w:rFonts w:ascii="Arial" w:eastAsia="Times New Roman" w:hAnsi="Arial" w:cs="Arial"/>
                <w:color w:val="000000"/>
                <w:sz w:val="20"/>
                <w:szCs w:val="20"/>
                <w:lang w:val="es-ES"/>
              </w:rPr>
            </w:pPr>
            <w:r>
              <w:rPr>
                <w:rFonts w:ascii="Arial" w:eastAsia="Times New Roman" w:hAnsi="Arial" w:cs="Arial"/>
                <w:color w:val="000000"/>
                <w:sz w:val="20"/>
                <w:szCs w:val="20"/>
                <w:lang w:val="es-ES"/>
              </w:rPr>
              <w:t>25</w:t>
            </w:r>
          </w:p>
          <w:p>
            <w:pPr>
              <w:ind w:right="-102"/>
              <w:jc w:val="center"/>
              <w:rPr>
                <w:rFonts w:ascii="Arial" w:eastAsia="Times New Roman" w:hAnsi="Arial" w:cs="Arial"/>
                <w:color w:val="000000"/>
                <w:sz w:val="20"/>
                <w:szCs w:val="20"/>
                <w:lang w:val="es-ES"/>
              </w:rPr>
            </w:pPr>
            <w:r>
              <w:rPr>
                <w:rFonts w:ascii="Arial" w:eastAsia="Times New Roman" w:hAnsi="Arial" w:cs="Arial"/>
                <w:color w:val="000000"/>
                <w:sz w:val="20"/>
                <w:szCs w:val="20"/>
                <w:lang w:val="es-ES"/>
              </w:rPr>
              <w:t>(Inversión)</w:t>
            </w:r>
          </w:p>
        </w:tc>
      </w:tr>
      <w:tr>
        <w:tc>
          <w:tcPr>
            <w:tcW w:w="0" w:type="auto"/>
          </w:tcPr>
          <w:p>
            <w:pPr>
              <w:ind w:right="-102"/>
              <w:rPr>
                <w:rFonts w:ascii="Arial" w:eastAsia="Times New Roman" w:hAnsi="Arial" w:cs="Arial"/>
                <w:color w:val="000000"/>
                <w:sz w:val="20"/>
                <w:szCs w:val="20"/>
                <w:lang w:val="es-ES"/>
              </w:rPr>
            </w:pPr>
            <w:r>
              <w:rPr>
                <w:rFonts w:ascii="Arial" w:eastAsia="Times New Roman" w:hAnsi="Arial" w:cs="Arial"/>
                <w:color w:val="000000"/>
                <w:sz w:val="20"/>
                <w:szCs w:val="20"/>
                <w:lang w:val="es-ES"/>
              </w:rPr>
              <w:t>Programa de Impulso y Masificación de la Factura Electrónica en Colombia (3155/OC-CO)</w:t>
            </w:r>
          </w:p>
          <w:p>
            <w:pPr>
              <w:ind w:right="-102"/>
              <w:rPr>
                <w:rFonts w:ascii="Arial" w:eastAsia="Times New Roman" w:hAnsi="Arial" w:cs="Arial"/>
                <w:color w:val="000000"/>
                <w:sz w:val="20"/>
                <w:szCs w:val="20"/>
                <w:lang w:val="es-ES"/>
              </w:rPr>
            </w:pPr>
          </w:p>
          <w:p>
            <w:pPr>
              <w:ind w:right="-102"/>
              <w:rPr>
                <w:rFonts w:ascii="Arial" w:eastAsia="Times New Roman" w:hAnsi="Arial" w:cs="Arial"/>
                <w:color w:val="000000"/>
                <w:sz w:val="20"/>
                <w:szCs w:val="20"/>
                <w:lang w:val="es-ES"/>
              </w:rPr>
            </w:pPr>
            <w:r>
              <w:rPr>
                <w:rFonts w:ascii="Arial" w:eastAsia="Times New Roman" w:hAnsi="Arial" w:cs="Arial"/>
                <w:color w:val="000000"/>
                <w:sz w:val="20"/>
                <w:szCs w:val="20"/>
                <w:lang w:val="es-ES"/>
              </w:rPr>
              <w:t>Aprobada en marzo de 2014 (activa)</w:t>
            </w:r>
          </w:p>
        </w:tc>
        <w:tc>
          <w:tcPr>
            <w:tcW w:w="0" w:type="auto"/>
          </w:tcPr>
          <w:p>
            <w:pPr>
              <w:ind w:right="-30"/>
              <w:rPr>
                <w:rFonts w:ascii="Arial" w:eastAsia="Times New Roman" w:hAnsi="Arial" w:cs="Arial"/>
                <w:color w:val="000000"/>
                <w:sz w:val="20"/>
                <w:szCs w:val="20"/>
                <w:lang w:val="es-ES"/>
              </w:rPr>
            </w:pPr>
            <w:r>
              <w:rPr>
                <w:rFonts w:ascii="Arial" w:eastAsia="Times New Roman" w:hAnsi="Arial" w:cs="Arial"/>
                <w:color w:val="000000"/>
                <w:sz w:val="20"/>
                <w:szCs w:val="20"/>
                <w:lang w:val="es-ES"/>
              </w:rPr>
              <w:t>Contribuir al fortalecimiento de las capacidades de la administración tributaria y aduanera de Colombia, así como a la inserción del país en la economía internacional, a través del impulso y la masificación del sistema de facturación electrónica.</w:t>
            </w:r>
          </w:p>
        </w:tc>
        <w:tc>
          <w:tcPr>
            <w:tcW w:w="0" w:type="auto"/>
          </w:tcPr>
          <w:p>
            <w:pPr>
              <w:rPr>
                <w:rFonts w:ascii="Arial" w:eastAsia="Times New Roman" w:hAnsi="Arial" w:cs="Arial"/>
                <w:color w:val="000000"/>
                <w:sz w:val="20"/>
                <w:szCs w:val="20"/>
                <w:lang w:val="es-ES"/>
              </w:rPr>
            </w:pPr>
            <w:r>
              <w:rPr>
                <w:rFonts w:ascii="Arial" w:eastAsia="Times New Roman" w:hAnsi="Arial" w:cs="Arial"/>
                <w:color w:val="000000"/>
                <w:sz w:val="20"/>
                <w:szCs w:val="20"/>
                <w:lang w:val="es-ES"/>
              </w:rPr>
              <w:t>(i) Diseño e implementación de una plataforma tecnológica de facturación electrónica; (ii) Masificación, diseminación y gestión del cambio</w:t>
            </w:r>
          </w:p>
        </w:tc>
        <w:tc>
          <w:tcPr>
            <w:tcW w:w="2998" w:type="dxa"/>
          </w:tcPr>
          <w:p>
            <w:pPr>
              <w:ind w:right="-102"/>
              <w:rPr>
                <w:rFonts w:ascii="Arial" w:eastAsia="Times New Roman" w:hAnsi="Arial" w:cs="Arial"/>
                <w:color w:val="000000"/>
                <w:sz w:val="20"/>
                <w:szCs w:val="20"/>
                <w:lang w:val="es-ES"/>
              </w:rPr>
            </w:pPr>
            <w:r>
              <w:rPr>
                <w:rFonts w:ascii="Arial" w:eastAsia="Times New Roman" w:hAnsi="Arial" w:cs="Arial"/>
                <w:color w:val="000000"/>
                <w:sz w:val="20"/>
                <w:szCs w:val="20"/>
                <w:lang w:val="es-ES"/>
              </w:rPr>
              <w:t xml:space="preserve">(i) Diseño de softwares para fortalecer la capacidad de la DIAN para llevar a cabo sus labores de fiscalización y de manejo del riesgo de evasión, elusión y contrabando, y mejorar la eficiencia, transparencia y control en las operaciones tributarias y aduaneras; y (ii) Adecuación a la normativa relacionada con la factura electrónicas, así como la </w:t>
            </w:r>
            <w:r>
              <w:rPr>
                <w:rFonts w:ascii="Arial" w:eastAsia="Times New Roman" w:hAnsi="Arial" w:cs="Arial"/>
                <w:color w:val="000000"/>
                <w:sz w:val="20"/>
                <w:szCs w:val="20"/>
                <w:lang w:val="es-ES"/>
              </w:rPr>
              <w:lastRenderedPageBreak/>
              <w:t>preparación, diseño e implementación de una estrategia de masificación de la factura electrónica, incluyendo una estrategia de gestión del cambio.</w:t>
            </w:r>
          </w:p>
        </w:tc>
        <w:tc>
          <w:tcPr>
            <w:tcW w:w="1435" w:type="dxa"/>
            <w:vAlign w:val="center"/>
          </w:tcPr>
          <w:p>
            <w:pPr>
              <w:ind w:right="-102"/>
              <w:jc w:val="center"/>
              <w:rPr>
                <w:rFonts w:ascii="Arial" w:eastAsia="Times New Roman" w:hAnsi="Arial" w:cs="Arial"/>
                <w:color w:val="000000"/>
                <w:sz w:val="20"/>
                <w:szCs w:val="20"/>
                <w:lang w:val="es-ES"/>
              </w:rPr>
            </w:pPr>
            <w:r>
              <w:rPr>
                <w:rFonts w:ascii="Arial" w:eastAsia="Times New Roman" w:hAnsi="Arial" w:cs="Arial"/>
                <w:color w:val="000000"/>
                <w:sz w:val="20"/>
                <w:szCs w:val="20"/>
                <w:lang w:val="es-ES"/>
              </w:rPr>
              <w:lastRenderedPageBreak/>
              <w:t>12</w:t>
            </w:r>
          </w:p>
          <w:p>
            <w:pPr>
              <w:ind w:right="-102"/>
              <w:jc w:val="center"/>
              <w:rPr>
                <w:rFonts w:ascii="Arial" w:eastAsia="Times New Roman" w:hAnsi="Arial" w:cs="Arial"/>
                <w:color w:val="000000"/>
                <w:sz w:val="20"/>
                <w:szCs w:val="20"/>
                <w:lang w:val="es-ES"/>
              </w:rPr>
            </w:pPr>
            <w:r>
              <w:rPr>
                <w:rFonts w:ascii="Arial" w:eastAsia="Times New Roman" w:hAnsi="Arial" w:cs="Arial"/>
                <w:color w:val="000000"/>
                <w:sz w:val="20"/>
                <w:szCs w:val="20"/>
                <w:lang w:val="es-ES"/>
              </w:rPr>
              <w:t>(Inversión)</w:t>
            </w:r>
          </w:p>
        </w:tc>
      </w:tr>
      <w:tr>
        <w:tc>
          <w:tcPr>
            <w:tcW w:w="0" w:type="auto"/>
          </w:tcPr>
          <w:p>
            <w:pPr>
              <w:ind w:right="-102"/>
              <w:rPr>
                <w:rFonts w:ascii="Arial" w:hAnsi="Arial" w:cs="Arial"/>
                <w:sz w:val="20"/>
                <w:szCs w:val="20"/>
                <w:lang w:val="es-ES_tradnl"/>
              </w:rPr>
            </w:pPr>
            <w:r>
              <w:rPr>
                <w:rFonts w:ascii="Arial" w:hAnsi="Arial" w:cs="Arial"/>
                <w:sz w:val="20"/>
                <w:szCs w:val="20"/>
                <w:lang w:val="es-CO"/>
              </w:rPr>
              <w:t>Fortalecimiento Fiscal y del Gasto en Inversión Pública en las Entidades Territoriales (</w:t>
            </w:r>
            <w:r>
              <w:rPr>
                <w:rFonts w:ascii="Arial" w:hAnsi="Arial" w:cs="Arial"/>
                <w:sz w:val="20"/>
                <w:szCs w:val="20"/>
                <w:lang w:val="es-ES_tradnl"/>
              </w:rPr>
              <w:t xml:space="preserve">CCLIP </w:t>
            </w:r>
            <w:r>
              <w:rPr>
                <w:rFonts w:ascii="Arial" w:hAnsi="Arial" w:cs="Arial"/>
                <w:sz w:val="20"/>
                <w:szCs w:val="20"/>
                <w:lang w:val="es-ES_tradnl"/>
              </w:rPr>
              <w:noBreakHyphen/>
              <w:t xml:space="preserve"> CO-X1018)</w:t>
            </w:r>
          </w:p>
          <w:p>
            <w:pPr>
              <w:ind w:right="-102"/>
              <w:rPr>
                <w:rFonts w:ascii="Arial" w:eastAsia="Times New Roman" w:hAnsi="Arial" w:cs="Arial"/>
                <w:color w:val="000000"/>
                <w:sz w:val="20"/>
                <w:szCs w:val="20"/>
                <w:lang w:val="es-ES"/>
              </w:rPr>
            </w:pPr>
          </w:p>
          <w:p>
            <w:pPr>
              <w:ind w:right="-102"/>
              <w:rPr>
                <w:rFonts w:ascii="Arial" w:eastAsia="Times New Roman" w:hAnsi="Arial" w:cs="Arial"/>
                <w:color w:val="000000"/>
                <w:sz w:val="20"/>
                <w:szCs w:val="20"/>
                <w:lang w:val="es-ES"/>
              </w:rPr>
            </w:pPr>
            <w:r>
              <w:rPr>
                <w:rFonts w:ascii="Arial" w:eastAsia="Times New Roman" w:hAnsi="Arial" w:cs="Arial"/>
                <w:color w:val="000000"/>
                <w:sz w:val="20"/>
                <w:szCs w:val="20"/>
                <w:lang w:val="es-ES"/>
              </w:rPr>
              <w:t>Aprobada en noviembre de 2013 (activa)</w:t>
            </w:r>
          </w:p>
        </w:tc>
        <w:tc>
          <w:tcPr>
            <w:tcW w:w="0" w:type="auto"/>
          </w:tcPr>
          <w:p>
            <w:pPr>
              <w:ind w:right="-30"/>
              <w:rPr>
                <w:rFonts w:ascii="Arial" w:eastAsia="Times New Roman" w:hAnsi="Arial" w:cs="Arial"/>
                <w:color w:val="000000"/>
                <w:sz w:val="20"/>
                <w:szCs w:val="20"/>
                <w:lang w:val="es-CO"/>
              </w:rPr>
            </w:pPr>
            <w:r>
              <w:rPr>
                <w:rFonts w:ascii="Arial" w:eastAsia="Times New Roman" w:hAnsi="Arial" w:cs="Arial"/>
                <w:color w:val="000000"/>
                <w:sz w:val="20"/>
                <w:szCs w:val="20"/>
                <w:lang w:val="es-CO"/>
              </w:rPr>
              <w:t>Contribuir a la mejora de la gestión fiscal y la inversión pública en las Entidades Territoriales (ET). En el marco de la línea de crédito condicional se adelantan tres operaciones en nueve ciudades. Uno de los objetivos específicos es el de mejorar el desempeño fiscal en términos de ingreso y de eficiencia del gasto público.</w:t>
            </w:r>
          </w:p>
        </w:tc>
        <w:tc>
          <w:tcPr>
            <w:tcW w:w="0" w:type="auto"/>
          </w:tcPr>
          <w:p>
            <w:pPr>
              <w:rPr>
                <w:rFonts w:ascii="Arial" w:eastAsia="Times New Roman" w:hAnsi="Arial" w:cs="Arial"/>
                <w:color w:val="000000"/>
                <w:sz w:val="20"/>
                <w:szCs w:val="20"/>
                <w:lang w:val="es-ES"/>
              </w:rPr>
            </w:pPr>
            <w:r>
              <w:rPr>
                <w:rFonts w:ascii="Arial" w:eastAsia="Times New Roman" w:hAnsi="Arial" w:cs="Arial"/>
                <w:color w:val="000000"/>
                <w:sz w:val="20"/>
                <w:szCs w:val="20"/>
                <w:lang w:val="es-CO"/>
              </w:rPr>
              <w:t xml:space="preserve">En el componente de mejora de la gestión fiscal se incluyen acciones tendientes a mejorar las capacidades de recaudación y gestión del gasto. </w:t>
            </w:r>
          </w:p>
        </w:tc>
        <w:tc>
          <w:tcPr>
            <w:tcW w:w="2998" w:type="dxa"/>
          </w:tcPr>
          <w:p>
            <w:pPr>
              <w:ind w:right="-102"/>
              <w:rPr>
                <w:rFonts w:ascii="Arial" w:eastAsia="Times New Roman" w:hAnsi="Arial" w:cs="Arial"/>
                <w:color w:val="000000"/>
                <w:sz w:val="20"/>
                <w:szCs w:val="20"/>
                <w:lang w:val="es-ES"/>
              </w:rPr>
            </w:pPr>
            <w:r>
              <w:rPr>
                <w:rFonts w:ascii="Arial" w:eastAsia="Times New Roman" w:hAnsi="Arial" w:cs="Arial"/>
                <w:color w:val="000000"/>
                <w:sz w:val="20"/>
                <w:szCs w:val="20"/>
                <w:lang w:val="es-CO"/>
              </w:rPr>
              <w:t>(i) actualización de catastros y bases tributarias; (ii) desarrollo de sistemas de administración tributaria, gestión financiera y de seguimiento y monitoreo de avance de la ejecución de proyectos; (iii) realización de estudios que permitan la revisión de la política tributaria mediante el análisis de las bases, alícuotas, y gastos tributarios de los impuestos municipales; (iv) apoyo a la planificación y presupuesto mediante marcos macro fiscales de largo plazo; y (v) capacitación a funcionarios público</w:t>
            </w:r>
          </w:p>
        </w:tc>
        <w:tc>
          <w:tcPr>
            <w:tcW w:w="1435" w:type="dxa"/>
            <w:vAlign w:val="center"/>
          </w:tcPr>
          <w:p>
            <w:pPr>
              <w:ind w:right="-102"/>
              <w:jc w:val="center"/>
              <w:rPr>
                <w:rFonts w:ascii="Arial" w:eastAsia="Times New Roman" w:hAnsi="Arial" w:cs="Arial"/>
                <w:color w:val="000000"/>
                <w:sz w:val="20"/>
                <w:szCs w:val="20"/>
                <w:lang w:val="es-ES"/>
              </w:rPr>
            </w:pPr>
            <w:r>
              <w:rPr>
                <w:rFonts w:ascii="Arial" w:eastAsia="Times New Roman" w:hAnsi="Arial" w:cs="Arial"/>
                <w:color w:val="000000"/>
                <w:sz w:val="20"/>
                <w:szCs w:val="20"/>
                <w:lang w:val="es-ES"/>
              </w:rPr>
              <w:t xml:space="preserve">43,5 </w:t>
            </w:r>
          </w:p>
          <w:p>
            <w:pPr>
              <w:ind w:right="-102"/>
              <w:jc w:val="center"/>
              <w:rPr>
                <w:rFonts w:ascii="Arial" w:eastAsia="Times New Roman" w:hAnsi="Arial" w:cs="Arial"/>
                <w:color w:val="000000"/>
                <w:sz w:val="20"/>
                <w:szCs w:val="20"/>
                <w:lang w:val="es-ES"/>
              </w:rPr>
            </w:pPr>
            <w:r>
              <w:rPr>
                <w:rFonts w:ascii="Arial" w:eastAsia="Times New Roman" w:hAnsi="Arial" w:cs="Arial"/>
                <w:color w:val="000000"/>
                <w:sz w:val="20"/>
                <w:szCs w:val="20"/>
                <w:lang w:val="es-ES"/>
              </w:rPr>
              <w:t>(Para el componente fiscal)</w:t>
            </w:r>
          </w:p>
        </w:tc>
      </w:tr>
    </w:tbl>
    <w:p>
      <w:pPr>
        <w:spacing w:after="0"/>
        <w:jc w:val="center"/>
        <w:rPr>
          <w:rFonts w:ascii="Arial Bold" w:hAnsi="Arial Bold" w:cs="Arial"/>
          <w:b/>
          <w:smallCaps/>
          <w:sz w:val="24"/>
          <w:lang w:val="es-ES_tradnl"/>
        </w:rPr>
      </w:pPr>
    </w:p>
    <w:p>
      <w:pPr>
        <w:spacing w:after="0" w:line="240" w:lineRule="auto"/>
        <w:rPr>
          <w:rFonts w:ascii="Arial" w:hAnsi="Arial" w:cs="Arial"/>
          <w:b/>
          <w:lang w:val="es-ES"/>
        </w:rPr>
      </w:pPr>
      <w:r>
        <w:rPr>
          <w:rFonts w:ascii="Arial" w:hAnsi="Arial" w:cs="Arial"/>
          <w:b/>
          <w:lang w:val="es-ES"/>
        </w:rPr>
        <w:t>Lecciones aprendidas:</w:t>
      </w:r>
    </w:p>
    <w:p>
      <w:pPr>
        <w:spacing w:after="0" w:line="240" w:lineRule="auto"/>
        <w:jc w:val="both"/>
        <w:rPr>
          <w:rFonts w:ascii="Arial" w:hAnsi="Arial" w:cs="Arial"/>
          <w:lang w:val="es-ES"/>
        </w:rPr>
      </w:pPr>
    </w:p>
    <w:p>
      <w:pPr>
        <w:spacing w:after="0" w:line="240" w:lineRule="auto"/>
        <w:jc w:val="both"/>
        <w:rPr>
          <w:rFonts w:ascii="Arial" w:hAnsi="Arial" w:cs="Arial"/>
          <w:lang w:val="es-ES"/>
        </w:rPr>
      </w:pPr>
      <w:r>
        <w:rPr>
          <w:rFonts w:ascii="Arial" w:hAnsi="Arial" w:cs="Arial"/>
          <w:lang w:val="es-ES"/>
        </w:rPr>
        <w:t xml:space="preserve">Del conjunto de operaciones preparadas y/o ejecutadas en los últimos años en Colombia se desprende la importancia de la complementariedad y sinergia entre los distintos instrumentos de préstamo, donde la mezcla de préstamos de inversión, préstamos de políticas y cooperaciones técnicas en apoyo al diálogo con el país ayudan a construir y fortalecer la modernización institucional. Por ejemplo, operaciones de inversión que apoyan el uso de APP en la construcción de la infraestructura del país son complementadas por acciones de política para mitigar los riesgos fiscales que podrían generar. Similarmente, el Programa para el Fortalecimiento del Sistema de Inversión Pública financia una Plataforma Integrada para la Gestión de Regalías en Colombia, lo que complementa las acciones políticas para mejorar la asignación del uso de recursos del Sistema General de Regalías. </w:t>
      </w:r>
    </w:p>
    <w:sectPr>
      <w:headerReference w:type="default" r:id="rId6"/>
      <w:pgSz w:w="15840" w:h="12240" w:orient="landscape"/>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Header"/>
      <w:jc w:val="right"/>
      <w:rPr>
        <w:rFonts w:ascii="Arial" w:hAnsi="Arial" w:cs="Arial"/>
        <w:sz w:val="18"/>
        <w:szCs w:val="20"/>
        <w:lang w:val="es-CO"/>
      </w:rPr>
    </w:pPr>
    <w:r>
      <w:rPr>
        <w:rFonts w:ascii="Arial" w:hAnsi="Arial" w:cs="Arial"/>
        <w:sz w:val="18"/>
        <w:szCs w:val="20"/>
        <w:lang w:val="es-CO"/>
      </w:rPr>
      <w:t>CO-L1227</w:t>
    </w:r>
  </w:p>
  <w:p>
    <w:pPr>
      <w:pStyle w:val="Header"/>
      <w:spacing w:after="120"/>
      <w:jc w:val="right"/>
      <w:rPr>
        <w:rFonts w:ascii="Arial" w:hAnsi="Arial" w:cs="Arial"/>
        <w:sz w:val="18"/>
        <w:lang w:val="es-CO"/>
      </w:rPr>
    </w:pPr>
    <w:r>
      <w:rPr>
        <w:rFonts w:ascii="Arial" w:hAnsi="Arial" w:cs="Arial"/>
        <w:sz w:val="18"/>
        <w:szCs w:val="20"/>
        <w:lang w:val="es-CO"/>
      </w:rPr>
      <w:t xml:space="preserve">Página </w:t>
    </w:r>
    <w:r>
      <w:rPr>
        <w:rFonts w:ascii="Arial" w:hAnsi="Arial" w:cs="Arial"/>
        <w:sz w:val="18"/>
        <w:szCs w:val="20"/>
        <w:lang w:val="es-CO"/>
      </w:rPr>
      <w:fldChar w:fldCharType="begin"/>
    </w:r>
    <w:r>
      <w:rPr>
        <w:rFonts w:ascii="Arial" w:hAnsi="Arial" w:cs="Arial"/>
        <w:sz w:val="18"/>
        <w:szCs w:val="20"/>
        <w:lang w:val="es-CO"/>
      </w:rPr>
      <w:instrText xml:space="preserve"> PAGE </w:instrText>
    </w:r>
    <w:r>
      <w:rPr>
        <w:rFonts w:ascii="Arial" w:hAnsi="Arial" w:cs="Arial"/>
        <w:sz w:val="18"/>
        <w:szCs w:val="20"/>
        <w:lang w:val="es-CO"/>
      </w:rPr>
      <w:fldChar w:fldCharType="separate"/>
    </w:r>
    <w:r>
      <w:rPr>
        <w:rFonts w:ascii="Arial" w:hAnsi="Arial" w:cs="Arial"/>
        <w:sz w:val="18"/>
        <w:szCs w:val="20"/>
        <w:lang w:val="es-CO"/>
      </w:rPr>
      <w:t>1</w:t>
    </w:r>
    <w:r>
      <w:rPr>
        <w:rFonts w:ascii="Arial" w:hAnsi="Arial" w:cs="Arial"/>
        <w:sz w:val="18"/>
        <w:szCs w:val="20"/>
        <w:lang w:val="es-CO"/>
      </w:rPr>
      <w:fldChar w:fldCharType="end"/>
    </w:r>
    <w:r>
      <w:rPr>
        <w:rFonts w:ascii="Arial" w:hAnsi="Arial" w:cs="Arial"/>
        <w:sz w:val="18"/>
        <w:szCs w:val="20"/>
        <w:lang w:val="es-CO"/>
      </w:rPr>
      <w:t xml:space="preserve"> de 4</w:t>
    </w:r>
  </w:p>
  <w:p>
    <w:pPr>
      <w:pStyle w:val="Header"/>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939192">
      <w:bodyDiv w:val="1"/>
      <w:marLeft w:val="0"/>
      <w:marRight w:val="0"/>
      <w:marTop w:val="0"/>
      <w:marBottom w:val="0"/>
      <w:divBdr>
        <w:top w:val="none" w:sz="0" w:space="0" w:color="auto"/>
        <w:left w:val="none" w:sz="0" w:space="0" w:color="auto"/>
        <w:bottom w:val="none" w:sz="0" w:space="0" w:color="auto"/>
        <w:right w:val="none" w:sz="0" w:space="0" w:color="auto"/>
      </w:divBdr>
    </w:div>
    <w:div w:id="1053575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1436</Words>
  <Characters>7900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2018-03-22T16:42:00Z</dcterms:created>
  <dcterms:modified xsi:type="dcterms:W3CDTF">2018-04-11T19:20:00Z</dcterms:modified>
</cp:coreProperties>
</file>