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spacing w:after="120"/>
        <w:jc w:val="center"/>
        <w:rPr>
          <w:rFonts w:ascii="Arial Bold" w:hAnsi="Arial Bold" w:cs="Arial" w:hint="eastAsia"/>
          <w:b/>
          <w:smallCaps/>
          <w:sz w:val="26"/>
        </w:rPr>
      </w:pPr>
      <w:bookmarkStart w:id="0" w:name="_Hlk508803690"/>
      <w:r>
        <w:rPr>
          <w:rFonts w:ascii="Arial Bold" w:hAnsi="Arial Bold" w:cs="Arial"/>
          <w:b/>
          <w:smallCaps/>
          <w:sz w:val="26"/>
        </w:rPr>
        <w:t>Cuadro Resumen de Préstamos en Apoyo a Reformas de Políticas en Materia de Consolidación Fiscal en la Región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5"/>
        <w:gridCol w:w="4500"/>
        <w:gridCol w:w="4590"/>
        <w:gridCol w:w="1795"/>
      </w:tblGrid>
      <w:tr>
        <w:trPr>
          <w:trHeight w:val="432"/>
          <w:tblHeader/>
        </w:trPr>
        <w:tc>
          <w:tcPr>
            <w:tcW w:w="1345" w:type="dxa"/>
            <w:shd w:val="clear" w:color="auto" w:fill="D9D9D9" w:themeFill="background1" w:themeFillShade="D9"/>
            <w:vAlign w:val="center"/>
          </w:tcPr>
          <w:p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Proyecto</w:t>
            </w:r>
          </w:p>
        </w:tc>
        <w:tc>
          <w:tcPr>
            <w:tcW w:w="4500" w:type="dxa"/>
            <w:shd w:val="clear" w:color="auto" w:fill="D9D9D9" w:themeFill="background1" w:themeFillShade="D9"/>
            <w:vAlign w:val="center"/>
          </w:tcPr>
          <w:p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Objetivo</w:t>
            </w:r>
          </w:p>
        </w:tc>
        <w:tc>
          <w:tcPr>
            <w:tcW w:w="4590" w:type="dxa"/>
            <w:shd w:val="clear" w:color="auto" w:fill="D9D9D9" w:themeFill="background1" w:themeFillShade="D9"/>
            <w:vAlign w:val="center"/>
          </w:tcPr>
          <w:p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Componentes / actividades</w:t>
            </w:r>
          </w:p>
        </w:tc>
        <w:tc>
          <w:tcPr>
            <w:tcW w:w="1795" w:type="dxa"/>
            <w:shd w:val="clear" w:color="auto" w:fill="D9D9D9" w:themeFill="background1" w:themeFillShade="D9"/>
            <w:vAlign w:val="center"/>
          </w:tcPr>
          <w:p>
            <w:pPr>
              <w:spacing w:before="40" w:after="40"/>
              <w:ind w:left="-18" w:right="-10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Año/tipo/valor</w:t>
            </w:r>
          </w:p>
        </w:tc>
      </w:tr>
      <w:tr>
        <w:tc>
          <w:tcPr>
            <w:tcW w:w="1345" w:type="dxa"/>
          </w:tcPr>
          <w:p>
            <w:pPr>
              <w:spacing w:before="40" w:after="40"/>
              <w:ind w:right="-10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BR-L1201</w:t>
            </w:r>
          </w:p>
        </w:tc>
        <w:tc>
          <w:tcPr>
            <w:tcW w:w="4500" w:type="dxa"/>
          </w:tcPr>
          <w:p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consolidación y la sostenibilidad fiscal a través de medidas de política que apoyan el fortalecimiento de la gestión fiscal, la mejora de la calidad del gasto y el fortalecimiento de la gestión de inversiones</w:t>
            </w:r>
          </w:p>
        </w:tc>
        <w:tc>
          <w:tcPr>
            <w:tcW w:w="4590" w:type="dxa"/>
          </w:tcPr>
          <w:p>
            <w:pPr>
              <w:pStyle w:val="ListParagraph"/>
              <w:numPr>
                <w:ilvl w:val="0"/>
                <w:numId w:val="1"/>
              </w:numPr>
              <w:spacing w:before="40" w:after="4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Iniciativas de políticas para aumentar la recaudación de impuestos, mejorar la gestión de la deuda pública y mejorar los mecanismos de inversión financiera.</w:t>
            </w:r>
          </w:p>
          <w:p>
            <w:pPr>
              <w:pStyle w:val="ListParagraph"/>
              <w:numPr>
                <w:ilvl w:val="0"/>
                <w:numId w:val="1"/>
              </w:numPr>
              <w:spacing w:before="40" w:after="4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Mejorar la gestión del gasto público, el aumento de la transparencia y el enfoque en los resultados.</w:t>
            </w:r>
          </w:p>
        </w:tc>
        <w:tc>
          <w:tcPr>
            <w:tcW w:w="1795" w:type="dxa"/>
          </w:tcPr>
          <w:p>
            <w:pPr>
              <w:spacing w:before="40" w:after="40"/>
              <w:ind w:left="-18" w:righ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2008</w:t>
            </w:r>
          </w:p>
          <w:p>
            <w:pPr>
              <w:spacing w:before="40" w:after="40"/>
              <w:ind w:left="-18" w:righ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PBL de 2 tramos</w:t>
            </w:r>
          </w:p>
          <w:p>
            <w:pPr>
              <w:spacing w:before="40" w:after="40"/>
              <w:ind w:left="-18" w:righ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US$409 millones</w:t>
            </w:r>
          </w:p>
        </w:tc>
      </w:tr>
      <w:tr>
        <w:tc>
          <w:tcPr>
            <w:tcW w:w="1345" w:type="dxa"/>
          </w:tcPr>
          <w:p>
            <w:pPr>
              <w:spacing w:before="40" w:after="40"/>
              <w:ind w:right="-10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BR-L1337</w:t>
            </w:r>
          </w:p>
        </w:tc>
        <w:tc>
          <w:tcPr>
            <w:tcW w:w="4500" w:type="dxa"/>
          </w:tcPr>
          <w:p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Fortalecer la sostenibilidad fiscal e incrementar las inversiones mediante: (i) incremento de la recaudación de impuestos; (ii) fortalecimiento de la administración financiera y el control de los gastos públicos; y (iii) mejoras en la gestión de los programas y proyectos de inversión</w:t>
            </w:r>
          </w:p>
        </w:tc>
        <w:tc>
          <w:tcPr>
            <w:tcW w:w="4590" w:type="dxa"/>
          </w:tcPr>
          <w:p>
            <w:pPr>
              <w:pStyle w:val="ListParagraph"/>
              <w:numPr>
                <w:ilvl w:val="0"/>
                <w:numId w:val="2"/>
              </w:numPr>
              <w:spacing w:before="40" w:after="4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Gestión de los ingresos públicos, con el establecimiento de un nuevo marco regulatorio para incentivar el cumplimiento voluntario de las obligaciones fiscales, mediante la modernización </w:t>
            </w:r>
            <w:bookmarkStart w:id="1" w:name="_GoBack"/>
            <w:bookmarkEnd w:id="1"/>
            <w:r>
              <w:rPr>
                <w:rFonts w:ascii="Arial" w:hAnsi="Arial" w:cs="Arial"/>
                <w:sz w:val="20"/>
                <w:szCs w:val="20"/>
              </w:rPr>
              <w:t>de la administración tributaria;</w:t>
            </w:r>
          </w:p>
          <w:p>
            <w:pPr>
              <w:pStyle w:val="ListParagraph"/>
              <w:numPr>
                <w:ilvl w:val="0"/>
                <w:numId w:val="2"/>
              </w:numPr>
              <w:spacing w:before="40" w:after="4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Gestión financiera y control de los </w:t>
            </w:r>
            <w:r>
              <w:rPr>
                <w:rFonts w:ascii="Arial" w:hAnsi="Arial" w:cs="Arial"/>
                <w:sz w:val="20"/>
                <w:szCs w:val="20"/>
              </w:rPr>
              <w:t>gastos públicos, apoyando el cumplimiento de políticas de optimización del gasto público, creación de los Núcleos de Gestión de Costos en el Estado; reglamentación de la planificación anual de las compras y contrataciones; implementación del sistema de registro de precios, como un proceso licitatorio de las contrataciones de servicios en las siguientes áreas: Vigilancia, Seguridad Patrimonial, Conservación y Limpieza, Copa y Cocina.</w:t>
            </w:r>
          </w:p>
        </w:tc>
        <w:tc>
          <w:tcPr>
            <w:tcW w:w="1795" w:type="dxa"/>
          </w:tcPr>
          <w:p>
            <w:pPr>
              <w:spacing w:before="40" w:after="40"/>
              <w:ind w:left="-18" w:righ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2012</w:t>
            </w:r>
          </w:p>
          <w:p>
            <w:pPr>
              <w:spacing w:before="40" w:after="40"/>
              <w:ind w:left="-18" w:righ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PBL de 2 tramos</w:t>
            </w:r>
          </w:p>
          <w:p>
            <w:pPr>
              <w:spacing w:before="40" w:after="40"/>
              <w:ind w:left="-18" w:righ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US$600 millones</w:t>
            </w:r>
          </w:p>
        </w:tc>
      </w:tr>
      <w:tr>
        <w:tc>
          <w:tcPr>
            <w:tcW w:w="1345" w:type="dxa"/>
          </w:tcPr>
          <w:p>
            <w:pPr>
              <w:spacing w:before="40" w:after="40"/>
              <w:ind w:right="-10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CO-L1072 y CO-L1117</w:t>
            </w:r>
          </w:p>
        </w:tc>
        <w:tc>
          <w:tcPr>
            <w:tcW w:w="4500" w:type="dxa"/>
          </w:tcPr>
          <w:p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s-ES_tradnl" w:eastAsia="en-US"/>
              </w:rPr>
              <w:t>Consolidar la responsabilidad fiscal territorial, mediante el mejor uso de los recursos transferidos a los territorios, mejorar la calidad y oportunidad de la información fiscal territorial y aumentar los ingresos tributarios territoriales</w:t>
            </w:r>
          </w:p>
        </w:tc>
        <w:tc>
          <w:tcPr>
            <w:tcW w:w="4590" w:type="dxa"/>
          </w:tcPr>
          <w:p>
            <w:pPr>
              <w:pStyle w:val="ListParagraph"/>
              <w:numPr>
                <w:ilvl w:val="0"/>
                <w:numId w:val="3"/>
              </w:numPr>
              <w:spacing w:before="40" w:after="4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Mejorar el sistema de monitoreo, seguimiento y control de las finanzas de las ET y sus EDS, en aras de mejorar el uso de sus recursos;</w:t>
            </w:r>
          </w:p>
          <w:p>
            <w:pPr>
              <w:pStyle w:val="ListParagraph"/>
              <w:numPr>
                <w:ilvl w:val="0"/>
                <w:numId w:val="3"/>
              </w:numPr>
              <w:spacing w:before="40" w:after="4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Mejorar la calidad y oportunidad de la información fiscal territorial, incluyendo </w:t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saldos de deuda y los resultados fiscales territoriales a nivel de balance fiscal;</w:t>
            </w:r>
          </w:p>
          <w:p>
            <w:pPr>
              <w:pStyle w:val="ListParagraph"/>
              <w:numPr>
                <w:ilvl w:val="0"/>
                <w:numId w:val="3"/>
              </w:numPr>
              <w:spacing w:before="40" w:after="40"/>
              <w:contextualSpacing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lastRenderedPageBreak/>
              <w:t>Mejorar la gestión tributaria territorial y aumentar la recaudación de las ET.</w:t>
            </w:r>
          </w:p>
        </w:tc>
        <w:tc>
          <w:tcPr>
            <w:tcW w:w="1795" w:type="dxa"/>
          </w:tcPr>
          <w:p>
            <w:pPr>
              <w:spacing w:before="40" w:after="40"/>
              <w:ind w:left="-18" w:righ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2010 y 2012</w:t>
            </w:r>
          </w:p>
          <w:p>
            <w:pPr>
              <w:spacing w:before="40" w:after="40"/>
              <w:ind w:left="-18" w:righ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 PBP</w:t>
            </w:r>
          </w:p>
          <w:p>
            <w:pPr>
              <w:spacing w:before="40" w:after="40"/>
              <w:ind w:left="-18" w:righ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US$200 millones y</w:t>
            </w:r>
          </w:p>
          <w:p>
            <w:pPr>
              <w:spacing w:before="40" w:after="40"/>
              <w:ind w:left="-18" w:righ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US$100 millones</w:t>
            </w:r>
          </w:p>
        </w:tc>
      </w:tr>
      <w:tr>
        <w:tc>
          <w:tcPr>
            <w:tcW w:w="1345" w:type="dxa"/>
          </w:tcPr>
          <w:p>
            <w:pPr>
              <w:spacing w:before="40" w:after="40"/>
              <w:ind w:right="-10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ME-L1144 y ME-L1189</w:t>
            </w:r>
          </w:p>
        </w:tc>
        <w:tc>
          <w:tcPr>
            <w:tcW w:w="4500" w:type="dxa"/>
          </w:tcPr>
          <w:p>
            <w:pPr>
              <w:spacing w:before="40" w:after="40"/>
              <w:jc w:val="both"/>
              <w:rPr>
                <w:rFonts w:ascii="Arial" w:eastAsia="Times New Roman" w:hAnsi="Arial" w:cs="Arial"/>
                <w:sz w:val="20"/>
                <w:szCs w:val="20"/>
                <w:lang w:val="es-ES_tradnl" w:eastAsia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Fortalecer las finanzas públicas mediante el aumento de los ingresos tributarios y el control del gasto público mediante: (i) la mejora del diseño y de la administración de la política de ingresos sobre hidrocarburos; (ii) el incremento en el intercambio de información financiera con otros países con fines tributarios; y (iii) el aumento de la eficiencia del gasto público y el control de su crecimiento</w:t>
            </w:r>
          </w:p>
        </w:tc>
        <w:tc>
          <w:tcPr>
            <w:tcW w:w="4590" w:type="dxa"/>
          </w:tcPr>
          <w:p>
            <w:pPr>
              <w:pStyle w:val="ListParagraph"/>
              <w:numPr>
                <w:ilvl w:val="0"/>
                <w:numId w:val="4"/>
              </w:numPr>
              <w:spacing w:before="40" w:after="4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>Reforma tributaria para mejorar la recaudación, equidad, progresividad y simplicidad del sistema tributario</w:t>
            </w:r>
          </w:p>
          <w:p>
            <w:pPr>
              <w:pStyle w:val="ListParagraph"/>
              <w:numPr>
                <w:ilvl w:val="0"/>
                <w:numId w:val="4"/>
              </w:numPr>
              <w:spacing w:before="40" w:after="4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>Mejora en la administración tributaria y aduanera, aumentando controles contra la evasión mediante modernos instrumentos de facturación y control de operaciones, y facilitar el cumplimiento voluntario.</w:t>
            </w:r>
          </w:p>
          <w:p>
            <w:pPr>
              <w:pStyle w:val="ListParagraph"/>
              <w:numPr>
                <w:ilvl w:val="0"/>
                <w:numId w:val="4"/>
              </w:numPr>
              <w:spacing w:before="40" w:after="40"/>
              <w:contextualSpacing w:val="0"/>
              <w:jc w:val="both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>Control del gasto público y mejora del control presupuestario del gobierno federal</w:t>
            </w:r>
          </w:p>
        </w:tc>
        <w:tc>
          <w:tcPr>
            <w:tcW w:w="1795" w:type="dxa"/>
          </w:tcPr>
          <w:p>
            <w:pPr>
              <w:spacing w:before="40" w:after="40"/>
              <w:ind w:left="-18" w:righ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 y 2016</w:t>
            </w:r>
          </w:p>
          <w:p>
            <w:pPr>
              <w:spacing w:before="40" w:after="40"/>
              <w:ind w:left="-18" w:righ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 PBP</w:t>
            </w:r>
          </w:p>
          <w:p>
            <w:pPr>
              <w:spacing w:before="40" w:after="40"/>
              <w:ind w:left="-18" w:right="-1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US$800 millones y US$600 millones</w:t>
            </w:r>
          </w:p>
        </w:tc>
      </w:tr>
      <w:bookmarkEnd w:id="0"/>
    </w:tbl>
    <w:p>
      <w:pPr>
        <w:rPr>
          <w:rFonts w:ascii="Arial" w:hAnsi="Arial" w:cs="Arial"/>
          <w:lang w:val="es-CO"/>
        </w:rPr>
      </w:pPr>
    </w:p>
    <w:sectPr>
      <w:headerReference w:type="default" r:id="rId7"/>
      <w:pgSz w:w="15840" w:h="12240" w:orient="landscape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Header"/>
      <w:jc w:val="right"/>
      <w:rPr>
        <w:rFonts w:ascii="Arial" w:hAnsi="Arial" w:cs="Arial"/>
        <w:bCs/>
        <w:sz w:val="18"/>
        <w:szCs w:val="18"/>
        <w:lang w:val="pt-BR"/>
      </w:rPr>
    </w:pPr>
    <w:r>
      <w:rPr>
        <w:rFonts w:ascii="Arial" w:hAnsi="Arial" w:cs="Arial"/>
        <w:bCs/>
        <w:sz w:val="18"/>
        <w:szCs w:val="18"/>
        <w:lang w:val="pt-BR"/>
      </w:rPr>
      <w:t>CO-L1227</w:t>
    </w:r>
  </w:p>
  <w:p>
    <w:pPr>
      <w:pStyle w:val="Header"/>
      <w:jc w:val="right"/>
      <w:rPr>
        <w:rFonts w:ascii="Arial" w:hAnsi="Arial" w:cs="Arial"/>
        <w:sz w:val="18"/>
        <w:szCs w:val="18"/>
        <w:lang w:val="pt-BR"/>
      </w:rPr>
    </w:pPr>
    <w:r>
      <w:rPr>
        <w:rFonts w:ascii="Arial" w:hAnsi="Arial" w:cs="Arial"/>
        <w:sz w:val="18"/>
        <w:szCs w:val="18"/>
        <w:lang w:val="pt-BR"/>
      </w:rPr>
      <w:t xml:space="preserve">Página </w:t>
    </w:r>
    <w:r>
      <w:rPr>
        <w:rStyle w:val="PageNumber"/>
        <w:rFonts w:ascii="Arial" w:hAnsi="Arial" w:cs="Arial"/>
        <w:sz w:val="18"/>
        <w:szCs w:val="18"/>
      </w:rPr>
      <w:fldChar w:fldCharType="begin"/>
    </w:r>
    <w:r>
      <w:rPr>
        <w:rStyle w:val="PageNumber"/>
        <w:rFonts w:ascii="Arial" w:hAnsi="Arial" w:cs="Arial"/>
        <w:sz w:val="18"/>
        <w:szCs w:val="18"/>
        <w:lang w:val="pt-BR"/>
      </w:rPr>
      <w:instrText xml:space="preserve"> PAGE </w:instrText>
    </w:r>
    <w:r>
      <w:rPr>
        <w:rStyle w:val="PageNumber"/>
        <w:rFonts w:ascii="Arial" w:hAnsi="Arial" w:cs="Arial"/>
        <w:sz w:val="18"/>
        <w:szCs w:val="18"/>
      </w:rPr>
      <w:fldChar w:fldCharType="separate"/>
    </w:r>
    <w:r>
      <w:rPr>
        <w:rStyle w:val="PageNumber"/>
        <w:rFonts w:ascii="Arial" w:hAnsi="Arial" w:cs="Arial"/>
        <w:sz w:val="18"/>
        <w:szCs w:val="18"/>
      </w:rPr>
      <w:t>1</w:t>
    </w:r>
    <w:r>
      <w:rPr>
        <w:rStyle w:val="PageNumber"/>
        <w:rFonts w:ascii="Arial" w:hAnsi="Arial" w:cs="Arial"/>
        <w:sz w:val="18"/>
        <w:szCs w:val="18"/>
      </w:rPr>
      <w:fldChar w:fldCharType="end"/>
    </w:r>
    <w:r>
      <w:rPr>
        <w:rStyle w:val="PageNumber"/>
        <w:rFonts w:ascii="Arial" w:hAnsi="Arial" w:cs="Arial"/>
        <w:sz w:val="18"/>
        <w:szCs w:val="18"/>
        <w:lang w:val="pt-BR"/>
      </w:rPr>
      <w:t xml:space="preserve"> de </w:t>
    </w:r>
    <w:r>
      <w:rPr>
        <w:rStyle w:val="PageNumber"/>
        <w:rFonts w:ascii="Arial" w:hAnsi="Arial" w:cs="Arial"/>
        <w:sz w:val="18"/>
        <w:szCs w:val="18"/>
      </w:rPr>
      <w:fldChar w:fldCharType="begin"/>
    </w:r>
    <w:r>
      <w:rPr>
        <w:rStyle w:val="PageNumber"/>
        <w:rFonts w:ascii="Arial" w:hAnsi="Arial" w:cs="Arial"/>
        <w:sz w:val="18"/>
        <w:szCs w:val="18"/>
        <w:lang w:val="pt-BR"/>
      </w:rPr>
      <w:instrText xml:space="preserve"> NUMPAGES </w:instrText>
    </w:r>
    <w:r>
      <w:rPr>
        <w:rStyle w:val="PageNumber"/>
        <w:rFonts w:ascii="Arial" w:hAnsi="Arial" w:cs="Arial"/>
        <w:sz w:val="18"/>
        <w:szCs w:val="18"/>
      </w:rPr>
      <w:fldChar w:fldCharType="separate"/>
    </w:r>
    <w:r>
      <w:rPr>
        <w:rStyle w:val="PageNumber"/>
        <w:rFonts w:ascii="Arial" w:hAnsi="Arial" w:cs="Arial"/>
        <w:sz w:val="18"/>
        <w:szCs w:val="18"/>
      </w:rPr>
      <w:t>5</w:t>
    </w:r>
    <w:r>
      <w:rPr>
        <w:rStyle w:val="PageNumber"/>
        <w:rFonts w:ascii="Arial" w:hAnsi="Arial" w:cs="Arial"/>
        <w:sz w:val="18"/>
        <w:szCs w:val="18"/>
      </w:rPr>
      <w:fldChar w:fldCharType="end"/>
    </w:r>
  </w:p>
  <w:p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FD7649"/>
    <w:multiLevelType w:val="hybridMultilevel"/>
    <w:tmpl w:val="1C8ECCCC"/>
    <w:lvl w:ilvl="0" w:tplc="5516BF32">
      <w:start w:val="1"/>
      <w:numFmt w:val="decimal"/>
      <w:lvlText w:val="%1)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A530770"/>
    <w:multiLevelType w:val="hybridMultilevel"/>
    <w:tmpl w:val="135E51B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B31B36"/>
    <w:multiLevelType w:val="hybridMultilevel"/>
    <w:tmpl w:val="135E51B2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F2051D1"/>
    <w:multiLevelType w:val="hybridMultilevel"/>
    <w:tmpl w:val="5AC2548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  <w:lang w:val="es-ES"/>
    </w:rPr>
  </w:style>
  <w:style w:type="paragraph" w:styleId="Header">
    <w:name w:val="header"/>
    <w:basedOn w:val="Normal"/>
    <w:link w:val="HeaderChar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lang w:val="es-E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lang w:val="es-ES"/>
    </w:rPr>
  </w:style>
  <w:style w:type="character" w:styleId="PageNumber">
    <w:name w:val="page numbe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16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3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50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8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05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372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0758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282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6182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68698">
                                      <w:marLeft w:val="6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778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6767545">
                                              <w:marLeft w:val="0"/>
                                              <w:marRight w:val="0"/>
                                              <w:marTop w:val="0"/>
                                              <w:marBottom w:val="12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984654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0720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504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2018-03-13T19:56:00Z</dcterms:created>
  <dcterms:modified xsi:type="dcterms:W3CDTF">2018-04-12T18:34:00Z</dcterms:modified>
</cp:coreProperties>
</file>