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7B5" w:rsidRPr="00440BD8" w:rsidRDefault="005A2439" w:rsidP="008B651D">
      <w:pPr>
        <w:spacing w:before="240" w:after="240"/>
        <w:ind w:left="360"/>
        <w:jc w:val="center"/>
        <w:rPr>
          <w:rFonts w:ascii="Times New Roman" w:hAnsi="Times New Roman"/>
          <w:b/>
          <w:noProof w:val="0"/>
          <w:sz w:val="40"/>
          <w:szCs w:val="40"/>
          <w:lang w:val="pt-BR"/>
        </w:rPr>
      </w:pPr>
      <w:r w:rsidRPr="00440BD8">
        <w:rPr>
          <w:rFonts w:ascii="Times New Roman" w:hAnsi="Times New Roman"/>
          <w:b/>
          <w:noProof w:val="0"/>
          <w:sz w:val="28"/>
          <w:szCs w:val="28"/>
          <w:lang w:val="pt-BR"/>
        </w:rPr>
        <w:t>Nota Técnica</w:t>
      </w:r>
    </w:p>
    <w:p w:rsidR="005A2439" w:rsidRPr="00440BD8" w:rsidRDefault="007F17B5" w:rsidP="008B651D">
      <w:pPr>
        <w:spacing w:before="240" w:after="240"/>
        <w:ind w:left="142"/>
        <w:jc w:val="center"/>
        <w:rPr>
          <w:rFonts w:ascii="Times New Roman" w:hAnsi="Times New Roman"/>
          <w:b/>
          <w:noProof w:val="0"/>
          <w:sz w:val="32"/>
          <w:szCs w:val="32"/>
          <w:lang w:val="pt-BR"/>
        </w:rPr>
      </w:pPr>
      <w:r w:rsidRPr="00440BD8">
        <w:rPr>
          <w:rFonts w:ascii="Times New Roman" w:hAnsi="Times New Roman"/>
          <w:b/>
          <w:noProof w:val="0"/>
          <w:sz w:val="32"/>
          <w:szCs w:val="32"/>
          <w:lang w:val="pt-BR"/>
        </w:rPr>
        <w:t>Padronização do processo de fiscalização e constituição do crédito tributário no âmbito estadual</w:t>
      </w:r>
    </w:p>
    <w:p w:rsidR="003C0AD2" w:rsidRPr="00440BD8" w:rsidRDefault="003C0AD2" w:rsidP="00670008">
      <w:pPr>
        <w:tabs>
          <w:tab w:val="left" w:pos="1440"/>
          <w:tab w:val="left" w:pos="3060"/>
        </w:tabs>
        <w:jc w:val="both"/>
        <w:rPr>
          <w:rFonts w:ascii="Times New Roman" w:hAnsi="Times New Roman"/>
          <w:b/>
          <w:smallCaps/>
          <w:color w:val="000000" w:themeColor="text1"/>
          <w:sz w:val="28"/>
          <w:szCs w:val="28"/>
          <w:lang w:val="pt-BR"/>
        </w:rPr>
      </w:pPr>
    </w:p>
    <w:p w:rsidR="00131629" w:rsidRPr="00440BD8" w:rsidRDefault="007F17B5" w:rsidP="008B651D">
      <w:pPr>
        <w:pStyle w:val="Ttulo"/>
        <w:tabs>
          <w:tab w:val="clear" w:pos="1440"/>
          <w:tab w:val="clear" w:pos="3060"/>
        </w:tabs>
        <w:outlineLvl w:val="9"/>
        <w:rPr>
          <w:b/>
          <w:smallCaps/>
          <w:lang w:val="pt-BR"/>
        </w:rPr>
      </w:pPr>
      <w:r w:rsidRPr="00440BD8">
        <w:rPr>
          <w:b/>
          <w:smallCaps/>
          <w:lang w:val="pt-BR"/>
        </w:rPr>
        <w:t xml:space="preserve">Programa de </w:t>
      </w:r>
      <w:r w:rsidR="00B75EE5" w:rsidRPr="00440BD8">
        <w:rPr>
          <w:b/>
          <w:smallCaps/>
          <w:lang w:val="pt-BR"/>
        </w:rPr>
        <w:t>Consolidação do Equilíbrio Fiscal</w:t>
      </w:r>
      <w:r w:rsidR="00B75EE5" w:rsidRPr="00440BD8">
        <w:rPr>
          <w:rStyle w:val="apple-converted-space"/>
          <w:color w:val="444444"/>
          <w:sz w:val="15"/>
          <w:szCs w:val="15"/>
          <w:shd w:val="clear" w:color="auto" w:fill="FFFFFF"/>
        </w:rPr>
        <w:t xml:space="preserve"> - </w:t>
      </w:r>
      <w:r w:rsidR="00E85FFF" w:rsidRPr="00440BD8">
        <w:rPr>
          <w:b/>
          <w:smallCaps/>
          <w:lang w:val="pt-BR"/>
        </w:rPr>
        <w:t>PROCONFI</w:t>
      </w:r>
      <w:r w:rsidR="00187CAD" w:rsidRPr="00440BD8">
        <w:rPr>
          <w:b/>
          <w:smallCaps/>
          <w:lang w:val="pt-BR"/>
        </w:rPr>
        <w:t>S</w:t>
      </w:r>
    </w:p>
    <w:p w:rsidR="005A2439" w:rsidRPr="00440BD8" w:rsidRDefault="005A2439" w:rsidP="008B651D">
      <w:pPr>
        <w:tabs>
          <w:tab w:val="left" w:pos="1440"/>
          <w:tab w:val="left" w:pos="3060"/>
        </w:tabs>
        <w:jc w:val="center"/>
        <w:rPr>
          <w:rFonts w:ascii="Times New Roman" w:eastAsia="Times New Roman" w:hAnsi="Times New Roman"/>
          <w:b/>
          <w:smallCaps/>
          <w:noProof w:val="0"/>
          <w:sz w:val="24"/>
          <w:szCs w:val="24"/>
          <w:lang w:val="pt-BR"/>
        </w:rPr>
      </w:pPr>
      <w:r w:rsidRPr="00440BD8">
        <w:rPr>
          <w:rFonts w:ascii="Times New Roman" w:eastAsia="Times New Roman" w:hAnsi="Times New Roman"/>
          <w:b/>
          <w:smallCaps/>
          <w:noProof w:val="0"/>
          <w:sz w:val="24"/>
          <w:szCs w:val="24"/>
          <w:lang w:val="pt-BR"/>
        </w:rPr>
        <w:t>(</w:t>
      </w:r>
      <w:r w:rsidR="00567A79" w:rsidRPr="00440BD8">
        <w:rPr>
          <w:rFonts w:ascii="Times New Roman" w:eastAsia="Times New Roman" w:hAnsi="Times New Roman"/>
          <w:b/>
          <w:smallCaps/>
          <w:noProof w:val="0"/>
          <w:sz w:val="24"/>
          <w:szCs w:val="24"/>
          <w:lang w:val="pt-BR"/>
        </w:rPr>
        <w:t>BR-L</w:t>
      </w:r>
      <w:r w:rsidR="00EB7857" w:rsidRPr="00440BD8">
        <w:rPr>
          <w:rFonts w:ascii="Times New Roman" w:eastAsia="Times New Roman" w:hAnsi="Times New Roman"/>
          <w:b/>
          <w:smallCaps/>
          <w:noProof w:val="0"/>
          <w:sz w:val="24"/>
          <w:szCs w:val="24"/>
          <w:lang w:val="pt-BR"/>
        </w:rPr>
        <w:t>-1374</w:t>
      </w:r>
      <w:r w:rsidRPr="00440BD8">
        <w:rPr>
          <w:rFonts w:ascii="Times New Roman" w:eastAsia="Times New Roman" w:hAnsi="Times New Roman"/>
          <w:b/>
          <w:smallCaps/>
          <w:noProof w:val="0"/>
          <w:sz w:val="24"/>
          <w:szCs w:val="24"/>
          <w:lang w:val="pt-BR"/>
        </w:rPr>
        <w:t>)</w:t>
      </w:r>
    </w:p>
    <w:p w:rsidR="005A2439" w:rsidRPr="00440BD8" w:rsidRDefault="005A2439" w:rsidP="00670008">
      <w:pPr>
        <w:spacing w:before="240" w:after="240"/>
        <w:ind w:left="360"/>
        <w:jc w:val="both"/>
        <w:rPr>
          <w:rFonts w:ascii="Times New Roman" w:hAnsi="Times New Roman"/>
          <w:b/>
          <w:noProof w:val="0"/>
          <w:sz w:val="24"/>
          <w:szCs w:val="24"/>
          <w:lang w:val="pt-BR"/>
        </w:rPr>
      </w:pPr>
    </w:p>
    <w:p w:rsidR="005A2439" w:rsidRPr="00440BD8" w:rsidRDefault="005A2439" w:rsidP="00670008">
      <w:pPr>
        <w:spacing w:before="240" w:after="0" w:line="240" w:lineRule="auto"/>
        <w:ind w:left="360"/>
        <w:jc w:val="both"/>
        <w:rPr>
          <w:rFonts w:ascii="Times New Roman" w:hAnsi="Times New Roman"/>
          <w:b/>
          <w:noProof w:val="0"/>
          <w:sz w:val="24"/>
          <w:szCs w:val="24"/>
          <w:lang w:val="pt-BR"/>
        </w:rPr>
      </w:pPr>
    </w:p>
    <w:p w:rsidR="00C2717F" w:rsidRPr="00440BD8" w:rsidRDefault="00C2717F" w:rsidP="00670008">
      <w:pPr>
        <w:pStyle w:val="Recuodecorpodetexto2"/>
        <w:jc w:val="both"/>
      </w:pPr>
      <w:r w:rsidRPr="00440BD8">
        <w:t>Cinco Produtos Interligados</w:t>
      </w:r>
      <w:r w:rsidR="00DF6071" w:rsidRPr="00440BD8">
        <w:t xml:space="preserve">: Diretoria de Análise e Monitoramento das Informações </w:t>
      </w:r>
      <w:proofErr w:type="gramStart"/>
      <w:r w:rsidR="00DF6071" w:rsidRPr="00440BD8">
        <w:t>Fiscais instalada</w:t>
      </w:r>
      <w:proofErr w:type="gramEnd"/>
      <w:r w:rsidR="00DF6071" w:rsidRPr="00440BD8">
        <w:t xml:space="preserve">; notificação prévia do contribuinte para sanar as possíveis irregularidades implantada; procedimentos para execução da ação fiscal sistematizados; Processo Administrativo Fiscal (PAF) com sistematização da </w:t>
      </w:r>
      <w:r w:rsidR="00B75EE5" w:rsidRPr="00440BD8">
        <w:t xml:space="preserve">sua </w:t>
      </w:r>
      <w:r w:rsidR="00DF6071" w:rsidRPr="00440BD8">
        <w:t>distribuição por natureza e julgador implantada; modelo de gestão para resultados com acordo de metas de arrecadação tributária e sistemática de acompanh</w:t>
      </w:r>
      <w:r w:rsidR="00430D4A">
        <w:t>amento de resultados por setor/</w:t>
      </w:r>
      <w:r w:rsidR="00DF6071" w:rsidRPr="00440BD8">
        <w:t>atividade econômica implantados.</w:t>
      </w:r>
    </w:p>
    <w:p w:rsidR="005A2439" w:rsidRPr="00440BD8" w:rsidRDefault="005A2439" w:rsidP="00670008">
      <w:pPr>
        <w:spacing w:before="240" w:after="240"/>
        <w:ind w:left="360"/>
        <w:jc w:val="both"/>
        <w:rPr>
          <w:rFonts w:ascii="Times New Roman" w:hAnsi="Times New Roman"/>
          <w:b/>
          <w:noProof w:val="0"/>
          <w:color w:val="000000"/>
          <w:sz w:val="24"/>
          <w:szCs w:val="24"/>
          <w:lang w:val="pt-BR"/>
        </w:rPr>
      </w:pPr>
    </w:p>
    <w:p w:rsidR="00D1045D" w:rsidRPr="00440BD8" w:rsidRDefault="00567A79" w:rsidP="00670008">
      <w:pPr>
        <w:spacing w:before="240" w:after="240"/>
        <w:ind w:left="360"/>
        <w:jc w:val="both"/>
        <w:rPr>
          <w:rFonts w:ascii="Times New Roman" w:hAnsi="Times New Roman"/>
          <w:b/>
          <w:noProof w:val="0"/>
          <w:color w:val="000000"/>
          <w:sz w:val="24"/>
          <w:szCs w:val="24"/>
          <w:lang w:val="pt-BR"/>
        </w:rPr>
      </w:pPr>
      <w:r w:rsidRPr="00440BD8">
        <w:rPr>
          <w:rFonts w:ascii="Times New Roman" w:hAnsi="Times New Roman"/>
          <w:b/>
          <w:noProof w:val="0"/>
          <w:color w:val="000000"/>
          <w:sz w:val="24"/>
          <w:szCs w:val="24"/>
          <w:lang w:val="pt-BR"/>
        </w:rPr>
        <w:t>A presente nota técnica foi preparada por:</w:t>
      </w:r>
      <w:r w:rsidR="00F05D26" w:rsidRPr="00440BD8">
        <w:rPr>
          <w:rFonts w:ascii="Times New Roman" w:hAnsi="Times New Roman"/>
          <w:b/>
          <w:noProof w:val="0"/>
          <w:color w:val="000000"/>
          <w:sz w:val="24"/>
          <w:szCs w:val="24"/>
          <w:lang w:val="pt-BR"/>
        </w:rPr>
        <w:t xml:space="preserve"> </w:t>
      </w:r>
    </w:p>
    <w:p w:rsidR="005A2439" w:rsidRPr="00440BD8" w:rsidRDefault="00187CAD" w:rsidP="00670008">
      <w:pPr>
        <w:spacing w:before="240" w:after="240"/>
        <w:ind w:left="360"/>
        <w:jc w:val="both"/>
        <w:rPr>
          <w:rFonts w:ascii="Times New Roman" w:hAnsi="Times New Roman"/>
          <w:noProof w:val="0"/>
          <w:color w:val="000000"/>
          <w:sz w:val="24"/>
          <w:szCs w:val="24"/>
          <w:lang w:val="pt-BR"/>
        </w:rPr>
      </w:pPr>
      <w:r w:rsidRPr="00440BD8">
        <w:rPr>
          <w:rFonts w:ascii="Times New Roman" w:hAnsi="Times New Roman"/>
          <w:noProof w:val="0"/>
          <w:color w:val="000000"/>
          <w:sz w:val="24"/>
          <w:szCs w:val="24"/>
          <w:lang w:val="pt-BR"/>
        </w:rPr>
        <w:t>Lenira Omena Gama – Diretora de Análise e Monitoramento das Informações Fiscais (DAMIF)</w:t>
      </w:r>
      <w:r w:rsidR="005A2439" w:rsidRPr="00440BD8">
        <w:rPr>
          <w:rFonts w:ascii="Times New Roman" w:hAnsi="Times New Roman"/>
          <w:color w:val="000000"/>
          <w:sz w:val="24"/>
          <w:szCs w:val="24"/>
          <w:lang w:val="pt-BR"/>
        </w:rPr>
        <w:t xml:space="preserve"> </w:t>
      </w:r>
    </w:p>
    <w:p w:rsidR="00D1045D" w:rsidRPr="00440BD8" w:rsidRDefault="00567A79" w:rsidP="00670008">
      <w:pPr>
        <w:spacing w:before="240" w:after="240"/>
        <w:ind w:left="360"/>
        <w:jc w:val="both"/>
        <w:rPr>
          <w:rFonts w:ascii="Times New Roman" w:hAnsi="Times New Roman"/>
          <w:b/>
          <w:noProof w:val="0"/>
          <w:color w:val="000000"/>
          <w:sz w:val="24"/>
          <w:szCs w:val="24"/>
          <w:lang w:val="pt-BR"/>
        </w:rPr>
      </w:pPr>
      <w:r w:rsidRPr="00440BD8">
        <w:rPr>
          <w:rFonts w:ascii="Times New Roman" w:hAnsi="Times New Roman"/>
          <w:b/>
          <w:noProof w:val="0"/>
          <w:color w:val="000000"/>
          <w:sz w:val="24"/>
          <w:szCs w:val="24"/>
          <w:lang w:val="pt-BR"/>
        </w:rPr>
        <w:t>Informação para contato</w:t>
      </w:r>
      <w:r w:rsidR="005A2439" w:rsidRPr="00440BD8">
        <w:rPr>
          <w:rFonts w:ascii="Times New Roman" w:hAnsi="Times New Roman"/>
          <w:b/>
          <w:noProof w:val="0"/>
          <w:color w:val="000000"/>
          <w:sz w:val="24"/>
          <w:szCs w:val="24"/>
          <w:lang w:val="pt-BR"/>
        </w:rPr>
        <w:t>:</w:t>
      </w:r>
    </w:p>
    <w:p w:rsidR="005A2439" w:rsidRPr="00440BD8" w:rsidRDefault="00E57FB6" w:rsidP="00670008">
      <w:pPr>
        <w:spacing w:before="240" w:after="240"/>
        <w:ind w:left="360"/>
        <w:jc w:val="both"/>
        <w:rPr>
          <w:rFonts w:ascii="Times New Roman" w:hAnsi="Times New Roman"/>
          <w:noProof w:val="0"/>
          <w:color w:val="000000" w:themeColor="text1"/>
          <w:sz w:val="24"/>
          <w:szCs w:val="24"/>
          <w:lang w:val="pt-BR"/>
        </w:rPr>
      </w:pPr>
      <w:hyperlink r:id="rId8" w:history="1">
        <w:r w:rsidR="00187CAD" w:rsidRPr="00440BD8">
          <w:rPr>
            <w:rStyle w:val="Hyperlink"/>
            <w:rFonts w:ascii="Times New Roman" w:hAnsi="Times New Roman"/>
            <w:b/>
            <w:noProof w:val="0"/>
            <w:sz w:val="24"/>
            <w:szCs w:val="24"/>
            <w:lang w:val="pt-BR"/>
          </w:rPr>
          <w:t>leniraogama@sefaz.al.gov.br</w:t>
        </w:r>
      </w:hyperlink>
      <w:r w:rsidR="009B2D8A" w:rsidRPr="00440BD8">
        <w:rPr>
          <w:rFonts w:ascii="Times New Roman" w:hAnsi="Times New Roman"/>
          <w:b/>
          <w:noProof w:val="0"/>
          <w:color w:val="000000"/>
          <w:sz w:val="24"/>
          <w:szCs w:val="24"/>
          <w:lang w:val="pt-BR"/>
        </w:rPr>
        <w:t xml:space="preserve"> – (82)</w:t>
      </w:r>
      <w:r w:rsidR="00D1045D" w:rsidRPr="00440BD8">
        <w:rPr>
          <w:rFonts w:ascii="Times New Roman" w:hAnsi="Times New Roman"/>
          <w:b/>
          <w:noProof w:val="0"/>
          <w:color w:val="000000"/>
          <w:sz w:val="24"/>
          <w:szCs w:val="24"/>
          <w:lang w:val="pt-BR"/>
        </w:rPr>
        <w:t xml:space="preserve"> </w:t>
      </w:r>
      <w:r w:rsidR="00905AB5" w:rsidRPr="00440BD8">
        <w:rPr>
          <w:rFonts w:ascii="Times New Roman" w:hAnsi="Times New Roman"/>
          <w:b/>
          <w:noProof w:val="0"/>
          <w:color w:val="000000"/>
          <w:sz w:val="24"/>
          <w:szCs w:val="24"/>
          <w:lang w:val="pt-BR"/>
        </w:rPr>
        <w:t>3315 6265</w:t>
      </w:r>
      <w:r w:rsidR="009B2D8A" w:rsidRPr="00440BD8">
        <w:rPr>
          <w:rFonts w:ascii="Times New Roman" w:hAnsi="Times New Roman"/>
          <w:b/>
          <w:noProof w:val="0"/>
          <w:color w:val="000000"/>
          <w:sz w:val="24"/>
          <w:szCs w:val="24"/>
          <w:lang w:val="pt-BR"/>
        </w:rPr>
        <w:t xml:space="preserve"> / (82)</w:t>
      </w:r>
      <w:r w:rsidR="00D1045D" w:rsidRPr="00440BD8">
        <w:rPr>
          <w:rFonts w:ascii="Times New Roman" w:hAnsi="Times New Roman"/>
          <w:b/>
          <w:noProof w:val="0"/>
          <w:color w:val="000000"/>
          <w:sz w:val="24"/>
          <w:szCs w:val="24"/>
          <w:lang w:val="pt-BR"/>
        </w:rPr>
        <w:t xml:space="preserve"> </w:t>
      </w:r>
      <w:r w:rsidR="009B2D8A" w:rsidRPr="00440BD8">
        <w:rPr>
          <w:rFonts w:ascii="Times New Roman" w:hAnsi="Times New Roman"/>
          <w:b/>
          <w:noProof w:val="0"/>
          <w:color w:val="000000"/>
          <w:sz w:val="24"/>
          <w:szCs w:val="24"/>
          <w:lang w:val="pt-BR"/>
        </w:rPr>
        <w:t>8833 9272</w:t>
      </w:r>
    </w:p>
    <w:p w:rsidR="00F05D26" w:rsidRPr="00440BD8" w:rsidRDefault="00F05D26" w:rsidP="00670008">
      <w:pPr>
        <w:spacing w:after="0" w:line="240" w:lineRule="auto"/>
        <w:jc w:val="both"/>
        <w:rPr>
          <w:rFonts w:ascii="Times New Roman" w:hAnsi="Times New Roman"/>
          <w:b/>
          <w:noProof w:val="0"/>
          <w:color w:val="000000" w:themeColor="text1"/>
          <w:sz w:val="24"/>
          <w:szCs w:val="24"/>
          <w:lang w:val="pt-BR"/>
        </w:rPr>
      </w:pPr>
      <w:r w:rsidRPr="00440BD8">
        <w:rPr>
          <w:rFonts w:ascii="Times New Roman" w:hAnsi="Times New Roman"/>
          <w:b/>
          <w:noProof w:val="0"/>
          <w:color w:val="000000" w:themeColor="text1"/>
          <w:sz w:val="24"/>
          <w:szCs w:val="24"/>
          <w:lang w:val="pt-BR"/>
        </w:rPr>
        <w:br w:type="page"/>
      </w:r>
    </w:p>
    <w:p w:rsidR="00F05D26" w:rsidRPr="00440BD8" w:rsidRDefault="00567A79" w:rsidP="00670008">
      <w:pPr>
        <w:pStyle w:val="PargrafodaLista"/>
        <w:numPr>
          <w:ilvl w:val="1"/>
          <w:numId w:val="19"/>
        </w:numPr>
        <w:spacing w:before="120" w:after="120"/>
        <w:ind w:left="720" w:hanging="720"/>
        <w:jc w:val="both"/>
        <w:rPr>
          <w:rFonts w:ascii="Times New Roman" w:hAnsi="Times New Roman"/>
          <w:noProof w:val="0"/>
          <w:color w:val="000000"/>
          <w:sz w:val="24"/>
          <w:szCs w:val="24"/>
          <w:lang w:val="pt-BR"/>
        </w:rPr>
      </w:pPr>
      <w:r w:rsidRPr="00440BD8">
        <w:rPr>
          <w:rFonts w:ascii="Times New Roman" w:hAnsi="Times New Roman"/>
          <w:b/>
          <w:noProof w:val="0"/>
          <w:color w:val="000000"/>
          <w:sz w:val="24"/>
          <w:szCs w:val="24"/>
          <w:lang w:val="pt-BR"/>
        </w:rPr>
        <w:lastRenderedPageBreak/>
        <w:t>INTRODUÇÃO</w:t>
      </w:r>
    </w:p>
    <w:p w:rsidR="0082268B" w:rsidRPr="00440BD8" w:rsidRDefault="0082268B" w:rsidP="00670008">
      <w:pPr>
        <w:pStyle w:val="Corpodetexto2"/>
        <w:spacing w:before="120" w:after="120"/>
      </w:pPr>
      <w:r w:rsidRPr="00440BD8">
        <w:t>A partir d</w:t>
      </w:r>
      <w:r w:rsidR="00FF3E74" w:rsidRPr="00440BD8">
        <w:t xml:space="preserve">o cenário de </w:t>
      </w:r>
      <w:r w:rsidR="00E14999">
        <w:t>insuficiência</w:t>
      </w:r>
      <w:r w:rsidR="00FF3E74" w:rsidRPr="00440BD8">
        <w:t xml:space="preserve"> da arrecadação de ICMS</w:t>
      </w:r>
      <w:r w:rsidR="00E14999">
        <w:t xml:space="preserve"> para suprir as despesas do Estado</w:t>
      </w:r>
      <w:r w:rsidRPr="00440BD8">
        <w:t xml:space="preserve">, cinco </w:t>
      </w:r>
      <w:r w:rsidR="00EB6382" w:rsidRPr="00440BD8">
        <w:t>produtos/</w:t>
      </w:r>
      <w:r w:rsidR="00FF3E74" w:rsidRPr="00440BD8">
        <w:t>soluções são proposto</w:t>
      </w:r>
      <w:r w:rsidRPr="00440BD8">
        <w:t xml:space="preserve">s com o objetivo de </w:t>
      </w:r>
      <w:r w:rsidR="00EB6382" w:rsidRPr="00440BD8">
        <w:t>bloquear</w:t>
      </w:r>
      <w:r w:rsidR="00FF3E74" w:rsidRPr="00440BD8">
        <w:t xml:space="preserve"> as causas que contribuem para essa situação n</w:t>
      </w:r>
      <w:r w:rsidRPr="00440BD8">
        <w:t>a receita estadual.</w:t>
      </w:r>
    </w:p>
    <w:p w:rsidR="00DA770C" w:rsidRDefault="00735BFE" w:rsidP="00670008">
      <w:pPr>
        <w:pStyle w:val="Corpodetexto2"/>
      </w:pPr>
      <w:r w:rsidRPr="00440BD8">
        <w:t>P</w:t>
      </w:r>
      <w:r w:rsidR="00DA770C" w:rsidRPr="00440BD8">
        <w:t>ropõe-se a implantação de um</w:t>
      </w:r>
      <w:r w:rsidR="00FF3E74" w:rsidRPr="00440BD8">
        <w:t xml:space="preserve"> </w:t>
      </w:r>
      <w:r w:rsidR="00153702" w:rsidRPr="00440BD8">
        <w:t>padrão</w:t>
      </w:r>
      <w:r w:rsidR="00DA770C" w:rsidRPr="00440BD8">
        <w:t xml:space="preserve"> de </w:t>
      </w:r>
      <w:r w:rsidR="00153702" w:rsidRPr="00440BD8">
        <w:t>gestão</w:t>
      </w:r>
      <w:r w:rsidR="00DA770C" w:rsidRPr="00440BD8">
        <w:t xml:space="preserve"> com acordo de metas de arrecadação tributária e sistemática de acompanhamento de resultados por setor/ atividade econôm</w:t>
      </w:r>
      <w:r w:rsidR="00CB70C1" w:rsidRPr="00440BD8">
        <w:t>ica e</w:t>
      </w:r>
      <w:r w:rsidRPr="00440BD8">
        <w:t xml:space="preserve"> </w:t>
      </w:r>
      <w:r w:rsidR="00DA770C" w:rsidRPr="00440BD8">
        <w:t xml:space="preserve">a </w:t>
      </w:r>
      <w:r w:rsidR="00153702" w:rsidRPr="00440BD8">
        <w:t>concepção</w:t>
      </w:r>
      <w:r w:rsidR="00187CAD" w:rsidRPr="00440BD8">
        <w:t xml:space="preserve"> </w:t>
      </w:r>
      <w:r w:rsidR="00B75EE5" w:rsidRPr="00440BD8">
        <w:t>da Diretoria de</w:t>
      </w:r>
      <w:r w:rsidR="00187CAD" w:rsidRPr="00440BD8">
        <w:t xml:space="preserve"> Análise e Monitoramento das Informações Fiscais </w:t>
      </w:r>
      <w:r w:rsidR="00820B03" w:rsidRPr="00440BD8">
        <w:t>com o principal objetivo de padronizar a definição das oportunidades para aumento de arrecadação</w:t>
      </w:r>
      <w:r w:rsidR="00B75EE5" w:rsidRPr="00440BD8">
        <w:t xml:space="preserve"> por meio de</w:t>
      </w:r>
      <w:r w:rsidR="00820B03" w:rsidRPr="00440BD8">
        <w:t xml:space="preserve"> análises do comportamento dos contrib</w:t>
      </w:r>
      <w:r w:rsidR="0082268B" w:rsidRPr="00440BD8">
        <w:t>uintes</w:t>
      </w:r>
      <w:r w:rsidR="00820B03" w:rsidRPr="00440BD8">
        <w:t>.</w:t>
      </w:r>
      <w:r w:rsidR="00CB70C1" w:rsidRPr="00440BD8">
        <w:t xml:space="preserve"> Do mesmo modo</w:t>
      </w:r>
      <w:r w:rsidR="00DA770C" w:rsidRPr="00440BD8">
        <w:t>, além dos ganhos gerados por essa</w:t>
      </w:r>
      <w:r w:rsidR="00820B03" w:rsidRPr="00440BD8">
        <w:t xml:space="preserve"> padronização</w:t>
      </w:r>
      <w:r w:rsidR="00EB6382" w:rsidRPr="00440BD8">
        <w:t>, existe</w:t>
      </w:r>
      <w:r w:rsidR="00DA770C" w:rsidRPr="00440BD8">
        <w:t xml:space="preserve"> ainda o impacto positivo oriundo</w:t>
      </w:r>
      <w:r w:rsidR="00820B03" w:rsidRPr="00440BD8">
        <w:t xml:space="preserve"> da</w:t>
      </w:r>
      <w:r w:rsidR="00DA770C" w:rsidRPr="00440BD8">
        <w:t xml:space="preserve"> notificação prévia do contribuinte para sanar as possíveis irregularidades identificadas, bem como, a definição dos procediment</w:t>
      </w:r>
      <w:r w:rsidR="00CB70C1" w:rsidRPr="00440BD8">
        <w:t>os para execução da ação fiscal</w:t>
      </w:r>
      <w:r w:rsidR="00DA770C" w:rsidRPr="00440BD8">
        <w:t xml:space="preserve"> e a celeridade no julgamento dos processos provenientes da aplicação da sistemática definida</w:t>
      </w:r>
      <w:r w:rsidRPr="00440BD8">
        <w:t>.</w:t>
      </w:r>
      <w:r w:rsidR="00EB6382" w:rsidRPr="00440BD8">
        <w:t xml:space="preserve"> </w:t>
      </w:r>
    </w:p>
    <w:p w:rsidR="00800598" w:rsidRPr="00595707" w:rsidRDefault="00800598" w:rsidP="00800598">
      <w:pPr>
        <w:pStyle w:val="SemEspaamento"/>
        <w:rPr>
          <w:lang w:val="pt-BR"/>
        </w:rPr>
      </w:pPr>
    </w:p>
    <w:p w:rsidR="00F05D26" w:rsidRPr="00440BD8" w:rsidRDefault="007E4049" w:rsidP="00670008">
      <w:pPr>
        <w:pStyle w:val="PargrafodaLista"/>
        <w:numPr>
          <w:ilvl w:val="1"/>
          <w:numId w:val="19"/>
        </w:numPr>
        <w:spacing w:before="120" w:after="120"/>
        <w:ind w:left="720" w:hanging="720"/>
        <w:jc w:val="both"/>
        <w:rPr>
          <w:rFonts w:ascii="Times New Roman" w:hAnsi="Times New Roman"/>
          <w:b/>
          <w:noProof w:val="0"/>
          <w:color w:val="000000"/>
          <w:sz w:val="24"/>
          <w:szCs w:val="24"/>
          <w:lang w:val="pt-BR"/>
        </w:rPr>
      </w:pPr>
      <w:r w:rsidRPr="00440BD8">
        <w:rPr>
          <w:rFonts w:ascii="Times New Roman" w:hAnsi="Times New Roman"/>
          <w:b/>
          <w:noProof w:val="0"/>
          <w:color w:val="000000"/>
          <w:sz w:val="24"/>
          <w:szCs w:val="24"/>
          <w:lang w:val="pt-BR"/>
        </w:rPr>
        <w:t>SITUAÇÃO ATUAL</w:t>
      </w:r>
    </w:p>
    <w:p w:rsidR="00F31804" w:rsidRPr="00440BD8" w:rsidRDefault="008373B2" w:rsidP="00670008">
      <w:pPr>
        <w:pStyle w:val="Paragraph"/>
        <w:numPr>
          <w:ilvl w:val="0"/>
          <w:numId w:val="0"/>
        </w:numPr>
        <w:spacing w:before="0" w:after="0"/>
        <w:rPr>
          <w:rFonts w:eastAsia="Calibri"/>
          <w:color w:val="000000" w:themeColor="text1"/>
          <w:sz w:val="22"/>
          <w:szCs w:val="22"/>
          <w:lang w:val="pt-BR" w:eastAsia="en-US"/>
        </w:rPr>
      </w:pPr>
      <w:r w:rsidRPr="00440BD8">
        <w:rPr>
          <w:rFonts w:eastAsia="Calibri"/>
          <w:color w:val="000000" w:themeColor="text1"/>
          <w:sz w:val="22"/>
          <w:szCs w:val="22"/>
          <w:lang w:val="pt-BR" w:eastAsia="en-US"/>
        </w:rPr>
        <w:t>Observa-se na Secretaria d</w:t>
      </w:r>
      <w:r w:rsidR="009B2D8A" w:rsidRPr="00440BD8">
        <w:rPr>
          <w:rFonts w:eastAsia="Calibri"/>
          <w:color w:val="000000" w:themeColor="text1"/>
          <w:sz w:val="22"/>
          <w:szCs w:val="22"/>
          <w:lang w:val="pt-BR" w:eastAsia="en-US"/>
        </w:rPr>
        <w:t>e Estado da</w:t>
      </w:r>
      <w:r w:rsidRPr="00440BD8">
        <w:rPr>
          <w:rFonts w:eastAsia="Calibri"/>
          <w:color w:val="000000" w:themeColor="text1"/>
          <w:sz w:val="22"/>
          <w:szCs w:val="22"/>
          <w:lang w:val="pt-BR" w:eastAsia="en-US"/>
        </w:rPr>
        <w:t xml:space="preserve"> Fazenda de Alagoas um desalinhamento de</w:t>
      </w:r>
      <w:r w:rsidR="002A3191" w:rsidRPr="00440BD8">
        <w:rPr>
          <w:rFonts w:eastAsia="Calibri"/>
          <w:color w:val="000000" w:themeColor="text1"/>
          <w:sz w:val="22"/>
          <w:szCs w:val="22"/>
          <w:lang w:val="pt-BR" w:eastAsia="en-US"/>
        </w:rPr>
        <w:t xml:space="preserve"> i</w:t>
      </w:r>
      <w:r w:rsidR="00D1045D" w:rsidRPr="00440BD8">
        <w:rPr>
          <w:rFonts w:eastAsia="Calibri"/>
          <w:color w:val="000000" w:themeColor="text1"/>
          <w:sz w:val="22"/>
          <w:szCs w:val="22"/>
          <w:lang w:val="pt-BR" w:eastAsia="en-US"/>
        </w:rPr>
        <w:t>nici</w:t>
      </w:r>
      <w:r w:rsidR="002A3191" w:rsidRPr="00440BD8">
        <w:rPr>
          <w:rFonts w:eastAsia="Calibri"/>
          <w:color w:val="000000" w:themeColor="text1"/>
          <w:sz w:val="22"/>
          <w:szCs w:val="22"/>
          <w:lang w:val="pt-BR" w:eastAsia="en-US"/>
        </w:rPr>
        <w:t xml:space="preserve">ativas para o incremento da arrecadação, </w:t>
      </w:r>
      <w:r w:rsidR="0048340B" w:rsidRPr="00440BD8">
        <w:rPr>
          <w:rFonts w:eastAsia="Calibri"/>
          <w:color w:val="000000" w:themeColor="text1"/>
          <w:sz w:val="22"/>
          <w:szCs w:val="22"/>
          <w:lang w:val="pt-BR" w:eastAsia="en-US"/>
        </w:rPr>
        <w:t>principalmente pel</w:t>
      </w:r>
      <w:r w:rsidR="000006A5" w:rsidRPr="00440BD8">
        <w:rPr>
          <w:rFonts w:eastAsia="Calibri"/>
          <w:color w:val="000000" w:themeColor="text1"/>
          <w:sz w:val="22"/>
          <w:szCs w:val="22"/>
          <w:lang w:val="pt-BR" w:eastAsia="en-US"/>
        </w:rPr>
        <w:t>a falta de padronização na atividade de identificação das oportunidades de arrecadação oriundas dos desvios de comportamento dos contribuintes, que são apresentadas considerando diversas premissas e análises distintas, em função d</w:t>
      </w:r>
      <w:r w:rsidR="00F31804" w:rsidRPr="00440BD8">
        <w:rPr>
          <w:rFonts w:eastAsia="Calibri"/>
          <w:color w:val="000000" w:themeColor="text1"/>
          <w:sz w:val="22"/>
          <w:szCs w:val="22"/>
          <w:lang w:val="pt-BR" w:eastAsia="en-US"/>
        </w:rPr>
        <w:t>a sobreposição da at</w:t>
      </w:r>
      <w:r w:rsidR="00CC3345" w:rsidRPr="00440BD8">
        <w:rPr>
          <w:rFonts w:eastAsia="Calibri"/>
          <w:color w:val="000000" w:themeColor="text1"/>
          <w:sz w:val="22"/>
          <w:szCs w:val="22"/>
          <w:lang w:val="pt-BR" w:eastAsia="en-US"/>
        </w:rPr>
        <w:t xml:space="preserve">ividade de </w:t>
      </w:r>
      <w:r w:rsidR="00CC3345" w:rsidRPr="00430D4A">
        <w:rPr>
          <w:rFonts w:eastAsia="Calibri"/>
          <w:color w:val="000000" w:themeColor="text1"/>
          <w:sz w:val="22"/>
          <w:szCs w:val="22"/>
          <w:lang w:val="pt-BR" w:eastAsia="en-US"/>
        </w:rPr>
        <w:t>monitoramento entre</w:t>
      </w:r>
      <w:r w:rsidR="000006A5" w:rsidRPr="00430D4A">
        <w:rPr>
          <w:rFonts w:eastAsia="Calibri"/>
          <w:color w:val="000000" w:themeColor="text1"/>
          <w:sz w:val="22"/>
          <w:szCs w:val="22"/>
          <w:lang w:val="pt-BR" w:eastAsia="en-US"/>
        </w:rPr>
        <w:t xml:space="preserve"> v</w:t>
      </w:r>
      <w:r w:rsidR="0048340B" w:rsidRPr="00430D4A">
        <w:rPr>
          <w:rFonts w:eastAsia="Calibri"/>
          <w:color w:val="000000" w:themeColor="text1"/>
          <w:sz w:val="22"/>
          <w:szCs w:val="22"/>
          <w:lang w:val="pt-BR" w:eastAsia="en-US"/>
        </w:rPr>
        <w:t>árias u</w:t>
      </w:r>
      <w:r w:rsidR="006F2B38" w:rsidRPr="00430D4A">
        <w:rPr>
          <w:rFonts w:eastAsia="Calibri"/>
          <w:color w:val="000000" w:themeColor="text1"/>
          <w:sz w:val="22"/>
          <w:szCs w:val="22"/>
          <w:lang w:val="pt-BR" w:eastAsia="en-US"/>
        </w:rPr>
        <w:t>nidades da Secretaria, evidenciando um frágil planejamento da ação</w:t>
      </w:r>
      <w:r w:rsidR="009B2D8A" w:rsidRPr="00430D4A">
        <w:rPr>
          <w:rFonts w:eastAsia="Calibri"/>
          <w:color w:val="000000" w:themeColor="text1"/>
          <w:sz w:val="22"/>
          <w:szCs w:val="22"/>
          <w:lang w:val="pt-BR" w:eastAsia="en-US"/>
        </w:rPr>
        <w:t xml:space="preserve"> e procedimentos fiscais</w:t>
      </w:r>
      <w:r w:rsidR="00430D4A" w:rsidRPr="00430D4A">
        <w:rPr>
          <w:rFonts w:eastAsia="Calibri"/>
          <w:color w:val="000000" w:themeColor="text1"/>
          <w:sz w:val="22"/>
          <w:szCs w:val="22"/>
          <w:lang w:val="pt-BR" w:eastAsia="en-US"/>
        </w:rPr>
        <w:t xml:space="preserve"> e,</w:t>
      </w:r>
      <w:r w:rsidR="009B2D8A" w:rsidRPr="00430D4A">
        <w:rPr>
          <w:rFonts w:eastAsia="Calibri"/>
          <w:color w:val="000000" w:themeColor="text1"/>
          <w:sz w:val="22"/>
          <w:szCs w:val="22"/>
          <w:lang w:val="pt-BR" w:eastAsia="en-US"/>
        </w:rPr>
        <w:t xml:space="preserve"> </w:t>
      </w:r>
      <w:r w:rsidR="006F2B38" w:rsidRPr="00430D4A">
        <w:rPr>
          <w:rFonts w:eastAsia="Calibri"/>
          <w:color w:val="000000" w:themeColor="text1"/>
          <w:sz w:val="22"/>
          <w:szCs w:val="22"/>
          <w:lang w:val="pt-BR" w:eastAsia="en-US"/>
        </w:rPr>
        <w:t>consequente</w:t>
      </w:r>
      <w:r w:rsidR="00430D4A" w:rsidRPr="00430D4A">
        <w:rPr>
          <w:rFonts w:eastAsia="Calibri"/>
          <w:color w:val="000000" w:themeColor="text1"/>
          <w:sz w:val="22"/>
          <w:szCs w:val="22"/>
          <w:lang w:val="pt-BR" w:eastAsia="en-US"/>
        </w:rPr>
        <w:t>mente</w:t>
      </w:r>
      <w:r w:rsidR="00430D4A">
        <w:rPr>
          <w:rFonts w:eastAsia="Calibri"/>
          <w:color w:val="000000" w:themeColor="text1"/>
          <w:sz w:val="22"/>
          <w:szCs w:val="22"/>
          <w:lang w:val="pt-BR" w:eastAsia="en-US"/>
        </w:rPr>
        <w:t>, a</w:t>
      </w:r>
      <w:r w:rsidR="006F2B38" w:rsidRPr="00440BD8">
        <w:rPr>
          <w:rFonts w:eastAsia="Calibri"/>
          <w:color w:val="000000" w:themeColor="text1"/>
          <w:sz w:val="22"/>
          <w:szCs w:val="22"/>
          <w:lang w:val="pt-BR" w:eastAsia="en-US"/>
        </w:rPr>
        <w:t xml:space="preserve"> distribuiç</w:t>
      </w:r>
      <w:r w:rsidR="009B2D8A" w:rsidRPr="00440BD8">
        <w:rPr>
          <w:rFonts w:eastAsia="Calibri"/>
          <w:color w:val="000000" w:themeColor="text1"/>
          <w:sz w:val="22"/>
          <w:szCs w:val="22"/>
          <w:lang w:val="pt-BR" w:eastAsia="en-US"/>
        </w:rPr>
        <w:t>ão de ordens de serviço que repercutem</w:t>
      </w:r>
      <w:r w:rsidR="006F2B38" w:rsidRPr="00440BD8">
        <w:rPr>
          <w:rFonts w:eastAsia="Calibri"/>
          <w:color w:val="000000" w:themeColor="text1"/>
          <w:sz w:val="22"/>
          <w:szCs w:val="22"/>
          <w:lang w:val="pt-BR" w:eastAsia="en-US"/>
        </w:rPr>
        <w:t xml:space="preserve"> em autos de infração lavrados com fatos geradores inconsist</w:t>
      </w:r>
      <w:r w:rsidR="005D41A0" w:rsidRPr="00440BD8">
        <w:rPr>
          <w:rFonts w:eastAsia="Calibri"/>
          <w:color w:val="000000" w:themeColor="text1"/>
          <w:sz w:val="22"/>
          <w:szCs w:val="22"/>
          <w:lang w:val="pt-BR" w:eastAsia="en-US"/>
        </w:rPr>
        <w:t>entes, evidências imprecisas,</w:t>
      </w:r>
      <w:r w:rsidR="006F2B38" w:rsidRPr="00440BD8">
        <w:rPr>
          <w:rFonts w:eastAsia="Calibri"/>
          <w:color w:val="000000" w:themeColor="text1"/>
          <w:sz w:val="22"/>
          <w:szCs w:val="22"/>
          <w:lang w:val="pt-BR" w:eastAsia="en-US"/>
        </w:rPr>
        <w:t xml:space="preserve"> aplicação incorreta da nor</w:t>
      </w:r>
      <w:r w:rsidR="005D41A0" w:rsidRPr="00440BD8">
        <w:rPr>
          <w:rFonts w:eastAsia="Calibri"/>
          <w:color w:val="000000" w:themeColor="text1"/>
          <w:sz w:val="22"/>
          <w:szCs w:val="22"/>
          <w:lang w:val="pt-BR" w:eastAsia="en-US"/>
        </w:rPr>
        <w:t xml:space="preserve">ma pertinente à infração fiscal e constituição de autos de infração heterogêneos demandando tratamento específico </w:t>
      </w:r>
      <w:r w:rsidR="009B2D8A" w:rsidRPr="00440BD8">
        <w:rPr>
          <w:rFonts w:eastAsia="Calibri"/>
          <w:color w:val="000000" w:themeColor="text1"/>
          <w:sz w:val="22"/>
          <w:szCs w:val="22"/>
          <w:lang w:val="pt-BR" w:eastAsia="en-US"/>
        </w:rPr>
        <w:t xml:space="preserve">distinto </w:t>
      </w:r>
      <w:r w:rsidR="005D41A0" w:rsidRPr="00440BD8">
        <w:rPr>
          <w:rFonts w:eastAsia="Calibri"/>
          <w:color w:val="000000" w:themeColor="text1"/>
          <w:sz w:val="22"/>
          <w:szCs w:val="22"/>
          <w:lang w:val="pt-BR" w:eastAsia="en-US"/>
        </w:rPr>
        <w:t>no julgamento.</w:t>
      </w:r>
      <w:r w:rsidR="006F2B38" w:rsidRPr="00440BD8">
        <w:rPr>
          <w:rFonts w:eastAsia="Calibri"/>
          <w:color w:val="000000" w:themeColor="text1"/>
          <w:sz w:val="22"/>
          <w:szCs w:val="22"/>
          <w:lang w:val="pt-BR" w:eastAsia="en-US"/>
        </w:rPr>
        <w:t xml:space="preserve"> </w:t>
      </w:r>
    </w:p>
    <w:p w:rsidR="004253FC" w:rsidRPr="00440BD8" w:rsidRDefault="004253FC" w:rsidP="00670008">
      <w:pPr>
        <w:pStyle w:val="Paragraph"/>
        <w:numPr>
          <w:ilvl w:val="0"/>
          <w:numId w:val="0"/>
        </w:numPr>
        <w:spacing w:before="0" w:after="0"/>
        <w:rPr>
          <w:rFonts w:eastAsia="Calibri"/>
          <w:color w:val="FF0000"/>
          <w:sz w:val="22"/>
          <w:szCs w:val="22"/>
          <w:lang w:val="pt-BR" w:eastAsia="en-US"/>
        </w:rPr>
      </w:pPr>
    </w:p>
    <w:p w:rsidR="004253FC" w:rsidRPr="00440BD8" w:rsidRDefault="004253FC" w:rsidP="00670008">
      <w:pPr>
        <w:pStyle w:val="Paragraph"/>
        <w:numPr>
          <w:ilvl w:val="0"/>
          <w:numId w:val="0"/>
        </w:numPr>
        <w:spacing w:before="0" w:after="0"/>
        <w:rPr>
          <w:rFonts w:eastAsia="Calibri"/>
          <w:sz w:val="22"/>
          <w:szCs w:val="22"/>
          <w:lang w:val="pt-BR" w:eastAsia="en-US"/>
        </w:rPr>
      </w:pPr>
      <w:r w:rsidRPr="00440BD8">
        <w:rPr>
          <w:rFonts w:eastAsia="Calibri"/>
          <w:sz w:val="22"/>
          <w:szCs w:val="22"/>
          <w:lang w:val="pt-BR" w:eastAsia="en-US"/>
        </w:rPr>
        <w:t>A partir de diversas fontes de pesquisa de indícios,</w:t>
      </w:r>
      <w:r w:rsidR="007B5D08" w:rsidRPr="00440BD8">
        <w:rPr>
          <w:rFonts w:eastAsia="Calibri"/>
          <w:sz w:val="22"/>
          <w:szCs w:val="22"/>
          <w:lang w:val="pt-BR" w:eastAsia="en-US"/>
        </w:rPr>
        <w:t xml:space="preserve"> </w:t>
      </w:r>
      <w:r w:rsidRPr="00440BD8">
        <w:rPr>
          <w:rFonts w:eastAsia="Calibri"/>
          <w:sz w:val="22"/>
          <w:szCs w:val="22"/>
          <w:lang w:val="pt-BR" w:eastAsia="en-US"/>
        </w:rPr>
        <w:t xml:space="preserve">oriundas da </w:t>
      </w:r>
      <w:r w:rsidR="0070146C" w:rsidRPr="00440BD8">
        <w:rPr>
          <w:rFonts w:eastAsia="Calibri"/>
          <w:sz w:val="22"/>
          <w:szCs w:val="22"/>
          <w:lang w:val="pt-BR" w:eastAsia="en-US"/>
        </w:rPr>
        <w:t>Diretoria de Articulação Regional (</w:t>
      </w:r>
      <w:r w:rsidRPr="00440BD8">
        <w:rPr>
          <w:rFonts w:eastAsia="Calibri"/>
          <w:sz w:val="22"/>
          <w:szCs w:val="22"/>
          <w:lang w:val="pt-BR" w:eastAsia="en-US"/>
        </w:rPr>
        <w:t>DIRAR</w:t>
      </w:r>
      <w:r w:rsidR="0070146C" w:rsidRPr="00440BD8">
        <w:rPr>
          <w:rFonts w:eastAsia="Calibri"/>
          <w:sz w:val="22"/>
          <w:szCs w:val="22"/>
          <w:lang w:val="pt-BR" w:eastAsia="en-US"/>
        </w:rPr>
        <w:t>)</w:t>
      </w:r>
      <w:r w:rsidRPr="00440BD8">
        <w:rPr>
          <w:rFonts w:eastAsia="Calibri"/>
          <w:sz w:val="22"/>
          <w:szCs w:val="22"/>
          <w:lang w:val="pt-BR" w:eastAsia="en-US"/>
        </w:rPr>
        <w:t xml:space="preserve"> – equipe de monitores, da </w:t>
      </w:r>
      <w:r w:rsidR="0070146C" w:rsidRPr="00440BD8">
        <w:rPr>
          <w:rFonts w:eastAsia="Calibri"/>
          <w:sz w:val="22"/>
          <w:szCs w:val="22"/>
          <w:lang w:val="pt-BR" w:eastAsia="en-US"/>
        </w:rPr>
        <w:t>Diretoria de Planejamento da Ação Fiscal (</w:t>
      </w:r>
      <w:r w:rsidRPr="00440BD8">
        <w:rPr>
          <w:rFonts w:eastAsia="Calibri"/>
          <w:sz w:val="22"/>
          <w:szCs w:val="22"/>
          <w:lang w:val="pt-BR" w:eastAsia="en-US"/>
        </w:rPr>
        <w:t>DIPLAF</w:t>
      </w:r>
      <w:r w:rsidR="0070146C" w:rsidRPr="00440BD8">
        <w:rPr>
          <w:rFonts w:eastAsia="Calibri"/>
          <w:sz w:val="22"/>
          <w:szCs w:val="22"/>
          <w:lang w:val="pt-BR" w:eastAsia="en-US"/>
        </w:rPr>
        <w:t>)</w:t>
      </w:r>
      <w:r w:rsidRPr="00440BD8">
        <w:rPr>
          <w:rFonts w:eastAsia="Calibri"/>
          <w:sz w:val="22"/>
          <w:szCs w:val="22"/>
          <w:lang w:val="pt-BR" w:eastAsia="en-US"/>
        </w:rPr>
        <w:t xml:space="preserve"> – fiscais integrantes do setor e da</w:t>
      </w:r>
      <w:r w:rsidR="0070146C" w:rsidRPr="00440BD8">
        <w:rPr>
          <w:rFonts w:eastAsia="Calibri"/>
          <w:sz w:val="22"/>
          <w:szCs w:val="22"/>
          <w:lang w:val="pt-BR" w:eastAsia="en-US"/>
        </w:rPr>
        <w:t xml:space="preserve"> Diretoria de Fiscalização</w:t>
      </w:r>
      <w:r w:rsidRPr="00440BD8">
        <w:rPr>
          <w:rFonts w:eastAsia="Calibri"/>
          <w:sz w:val="22"/>
          <w:szCs w:val="22"/>
          <w:lang w:val="pt-BR" w:eastAsia="en-US"/>
        </w:rPr>
        <w:t xml:space="preserve"> </w:t>
      </w:r>
      <w:r w:rsidR="0070146C" w:rsidRPr="00440BD8">
        <w:rPr>
          <w:rFonts w:eastAsia="Calibri"/>
          <w:sz w:val="22"/>
          <w:szCs w:val="22"/>
          <w:lang w:val="pt-BR" w:eastAsia="en-US"/>
        </w:rPr>
        <w:t>(</w:t>
      </w:r>
      <w:r w:rsidRPr="00440BD8">
        <w:rPr>
          <w:rFonts w:eastAsia="Calibri"/>
          <w:sz w:val="22"/>
          <w:szCs w:val="22"/>
          <w:lang w:val="pt-BR" w:eastAsia="en-US"/>
        </w:rPr>
        <w:t>DIFIS</w:t>
      </w:r>
      <w:r w:rsidR="0070146C" w:rsidRPr="00440BD8">
        <w:rPr>
          <w:rFonts w:eastAsia="Calibri"/>
          <w:sz w:val="22"/>
          <w:szCs w:val="22"/>
          <w:lang w:val="pt-BR" w:eastAsia="en-US"/>
        </w:rPr>
        <w:t>)</w:t>
      </w:r>
      <w:r w:rsidRPr="00440BD8">
        <w:rPr>
          <w:rFonts w:eastAsia="Calibri"/>
          <w:sz w:val="22"/>
          <w:szCs w:val="22"/>
          <w:lang w:val="pt-BR" w:eastAsia="en-US"/>
        </w:rPr>
        <w:t xml:space="preserve"> – grupo de assessores, </w:t>
      </w:r>
      <w:r w:rsidR="007B5D08" w:rsidRPr="00440BD8">
        <w:rPr>
          <w:rFonts w:eastAsia="Calibri"/>
          <w:sz w:val="22"/>
          <w:szCs w:val="22"/>
          <w:lang w:val="pt-BR" w:eastAsia="en-US"/>
        </w:rPr>
        <w:t xml:space="preserve">sendo consultados sistemas específicos por cada diretoria, </w:t>
      </w:r>
      <w:r w:rsidRPr="00440BD8">
        <w:rPr>
          <w:rFonts w:eastAsia="Calibri"/>
          <w:sz w:val="22"/>
          <w:szCs w:val="22"/>
          <w:lang w:val="pt-BR" w:eastAsia="en-US"/>
        </w:rPr>
        <w:t xml:space="preserve">empresas são </w:t>
      </w:r>
      <w:r w:rsidR="004E4FCB" w:rsidRPr="00440BD8">
        <w:rPr>
          <w:rFonts w:eastAsia="Calibri"/>
          <w:sz w:val="22"/>
          <w:szCs w:val="22"/>
          <w:lang w:val="pt-BR" w:eastAsia="en-US"/>
        </w:rPr>
        <w:t>escolhidas</w:t>
      </w:r>
      <w:r w:rsidR="007B5D08" w:rsidRPr="00440BD8">
        <w:rPr>
          <w:rFonts w:eastAsia="Calibri"/>
          <w:sz w:val="22"/>
          <w:szCs w:val="22"/>
          <w:lang w:val="pt-BR" w:eastAsia="en-US"/>
        </w:rPr>
        <w:t xml:space="preserve"> para a fiscal</w:t>
      </w:r>
      <w:r w:rsidR="0070146C" w:rsidRPr="00440BD8">
        <w:rPr>
          <w:rFonts w:eastAsia="Calibri"/>
          <w:sz w:val="22"/>
          <w:szCs w:val="22"/>
          <w:lang w:val="pt-BR" w:eastAsia="en-US"/>
        </w:rPr>
        <w:t xml:space="preserve">ização sem </w:t>
      </w:r>
      <w:r w:rsidR="00430D4A">
        <w:rPr>
          <w:rFonts w:eastAsia="Calibri"/>
          <w:sz w:val="22"/>
          <w:szCs w:val="22"/>
          <w:lang w:val="pt-BR" w:eastAsia="en-US"/>
        </w:rPr>
        <w:t xml:space="preserve">critérios </w:t>
      </w:r>
      <w:r w:rsidR="00430D4A" w:rsidRPr="00430D4A">
        <w:rPr>
          <w:rFonts w:eastAsia="Calibri"/>
          <w:sz w:val="22"/>
          <w:szCs w:val="22"/>
          <w:lang w:val="pt-BR" w:eastAsia="en-US"/>
        </w:rPr>
        <w:t>padro</w:t>
      </w:r>
      <w:r w:rsidR="00430D4A">
        <w:rPr>
          <w:rFonts w:eastAsia="Calibri"/>
          <w:sz w:val="22"/>
          <w:szCs w:val="22"/>
          <w:lang w:val="pt-BR" w:eastAsia="en-US"/>
        </w:rPr>
        <w:t>nizados</w:t>
      </w:r>
      <w:r w:rsidR="007B5D08" w:rsidRPr="00440BD8">
        <w:rPr>
          <w:rFonts w:eastAsia="Calibri"/>
          <w:sz w:val="22"/>
          <w:szCs w:val="22"/>
          <w:lang w:val="pt-BR" w:eastAsia="en-US"/>
        </w:rPr>
        <w:t xml:space="preserve"> definido</w:t>
      </w:r>
      <w:r w:rsidR="00430D4A">
        <w:rPr>
          <w:rFonts w:eastAsia="Calibri"/>
          <w:sz w:val="22"/>
          <w:szCs w:val="22"/>
          <w:lang w:val="pt-BR" w:eastAsia="en-US"/>
        </w:rPr>
        <w:t>s</w:t>
      </w:r>
      <w:r w:rsidR="007B5D08" w:rsidRPr="00440BD8">
        <w:rPr>
          <w:rFonts w:eastAsia="Calibri"/>
          <w:sz w:val="22"/>
          <w:szCs w:val="22"/>
          <w:lang w:val="pt-BR" w:eastAsia="en-US"/>
        </w:rPr>
        <w:t xml:space="preserve"> entre as diretorias envolvidas</w:t>
      </w:r>
      <w:r w:rsidR="004E4FCB" w:rsidRPr="00440BD8">
        <w:rPr>
          <w:rFonts w:eastAsia="Calibri"/>
          <w:sz w:val="22"/>
          <w:szCs w:val="22"/>
          <w:lang w:val="pt-BR" w:eastAsia="en-US"/>
        </w:rPr>
        <w:t xml:space="preserve"> nessa seleção</w:t>
      </w:r>
      <w:r w:rsidR="007B5D08" w:rsidRPr="00440BD8">
        <w:rPr>
          <w:rFonts w:eastAsia="Calibri"/>
          <w:sz w:val="22"/>
          <w:szCs w:val="22"/>
          <w:lang w:val="pt-BR" w:eastAsia="en-US"/>
        </w:rPr>
        <w:t xml:space="preserve">. A DIPLAF desenvolve o planejamento </w:t>
      </w:r>
      <w:r w:rsidR="002934AA" w:rsidRPr="00440BD8">
        <w:rPr>
          <w:rFonts w:eastAsia="Calibri"/>
          <w:sz w:val="22"/>
          <w:szCs w:val="22"/>
          <w:lang w:val="pt-BR" w:eastAsia="en-US"/>
        </w:rPr>
        <w:t xml:space="preserve">apenas </w:t>
      </w:r>
      <w:r w:rsidR="007B5D08" w:rsidRPr="00440BD8">
        <w:rPr>
          <w:rFonts w:eastAsia="Calibri"/>
          <w:sz w:val="22"/>
          <w:szCs w:val="22"/>
          <w:lang w:val="pt-BR" w:eastAsia="en-US"/>
        </w:rPr>
        <w:t xml:space="preserve">das ações por ela indicadas </w:t>
      </w:r>
      <w:r w:rsidR="00675A54" w:rsidRPr="00440BD8">
        <w:rPr>
          <w:rFonts w:eastAsia="Calibri"/>
          <w:sz w:val="22"/>
          <w:szCs w:val="22"/>
          <w:lang w:val="pt-BR" w:eastAsia="en-US"/>
        </w:rPr>
        <w:t xml:space="preserve">e aquelas sugeridas </w:t>
      </w:r>
      <w:r w:rsidR="004E4FCB" w:rsidRPr="00440BD8">
        <w:rPr>
          <w:rFonts w:eastAsia="Calibri"/>
          <w:sz w:val="22"/>
          <w:szCs w:val="22"/>
          <w:lang w:val="pt-BR" w:eastAsia="en-US"/>
        </w:rPr>
        <w:t>pela equipe de monitores</w:t>
      </w:r>
      <w:r w:rsidR="00675A54" w:rsidRPr="00440BD8">
        <w:rPr>
          <w:rFonts w:eastAsia="Calibri"/>
          <w:sz w:val="22"/>
          <w:szCs w:val="22"/>
          <w:lang w:val="pt-BR" w:eastAsia="en-US"/>
        </w:rPr>
        <w:t xml:space="preserve"> </w:t>
      </w:r>
      <w:r w:rsidR="007B5D08" w:rsidRPr="00440BD8">
        <w:rPr>
          <w:rFonts w:eastAsia="Calibri"/>
          <w:sz w:val="22"/>
          <w:szCs w:val="22"/>
          <w:lang w:val="pt-BR" w:eastAsia="en-US"/>
        </w:rPr>
        <w:t>e remete-as p</w:t>
      </w:r>
      <w:r w:rsidR="008265A4" w:rsidRPr="00440BD8">
        <w:rPr>
          <w:rFonts w:eastAsia="Calibri"/>
          <w:sz w:val="22"/>
          <w:szCs w:val="22"/>
          <w:lang w:val="pt-BR" w:eastAsia="en-US"/>
        </w:rPr>
        <w:t>ara serem executadas pela DIFIS, porém</w:t>
      </w:r>
      <w:r w:rsidR="0070146C" w:rsidRPr="00440BD8">
        <w:rPr>
          <w:rFonts w:eastAsia="Calibri"/>
          <w:sz w:val="22"/>
          <w:szCs w:val="22"/>
          <w:lang w:val="pt-BR" w:eastAsia="en-US"/>
        </w:rPr>
        <w:t>,</w:t>
      </w:r>
      <w:r w:rsidR="008265A4" w:rsidRPr="00440BD8">
        <w:rPr>
          <w:rFonts w:eastAsia="Calibri"/>
          <w:sz w:val="22"/>
          <w:szCs w:val="22"/>
          <w:lang w:val="pt-BR" w:eastAsia="en-US"/>
        </w:rPr>
        <w:t xml:space="preserve"> sem a expectativa de recuperação da arrecadação</w:t>
      </w:r>
      <w:r w:rsidR="00B75EE5" w:rsidRPr="00440BD8">
        <w:rPr>
          <w:rFonts w:eastAsia="Calibri"/>
          <w:sz w:val="22"/>
          <w:szCs w:val="22"/>
          <w:lang w:val="pt-BR" w:eastAsia="en-US"/>
        </w:rPr>
        <w:t xml:space="preserve"> mensurada</w:t>
      </w:r>
      <w:r w:rsidR="008265A4" w:rsidRPr="00440BD8">
        <w:rPr>
          <w:rFonts w:eastAsia="Calibri"/>
          <w:sz w:val="22"/>
          <w:szCs w:val="22"/>
          <w:lang w:val="pt-BR" w:eastAsia="en-US"/>
        </w:rPr>
        <w:t>.</w:t>
      </w:r>
      <w:r w:rsidR="00B75EE5" w:rsidRPr="00440BD8">
        <w:rPr>
          <w:rFonts w:eastAsia="Calibri"/>
          <w:sz w:val="22"/>
          <w:szCs w:val="22"/>
          <w:lang w:val="pt-BR" w:eastAsia="en-US"/>
        </w:rPr>
        <w:t xml:space="preserve"> </w:t>
      </w:r>
      <w:r w:rsidR="0070146C" w:rsidRPr="00440BD8">
        <w:rPr>
          <w:rFonts w:eastAsia="Calibri"/>
          <w:sz w:val="22"/>
          <w:szCs w:val="22"/>
          <w:lang w:val="pt-BR" w:eastAsia="en-US"/>
        </w:rPr>
        <w:t>Contudo, existem</w:t>
      </w:r>
      <w:r w:rsidR="004E4FCB" w:rsidRPr="00440BD8">
        <w:rPr>
          <w:rFonts w:eastAsia="Calibri"/>
          <w:sz w:val="22"/>
          <w:szCs w:val="22"/>
          <w:lang w:val="pt-BR" w:eastAsia="en-US"/>
        </w:rPr>
        <w:t xml:space="preserve"> o</w:t>
      </w:r>
      <w:r w:rsidR="0070146C" w:rsidRPr="00440BD8">
        <w:rPr>
          <w:rFonts w:eastAsia="Calibri"/>
          <w:sz w:val="22"/>
          <w:szCs w:val="22"/>
          <w:lang w:val="pt-BR" w:eastAsia="en-US"/>
        </w:rPr>
        <w:t>utras ações</w:t>
      </w:r>
      <w:r w:rsidR="00B75EE5" w:rsidRPr="00440BD8">
        <w:rPr>
          <w:rFonts w:eastAsia="Calibri"/>
          <w:sz w:val="22"/>
          <w:szCs w:val="22"/>
          <w:lang w:val="pt-BR" w:eastAsia="en-US"/>
        </w:rPr>
        <w:t xml:space="preserve"> </w:t>
      </w:r>
      <w:r w:rsidR="004E4FCB" w:rsidRPr="00440BD8">
        <w:rPr>
          <w:rFonts w:eastAsia="Calibri"/>
          <w:sz w:val="22"/>
          <w:szCs w:val="22"/>
          <w:lang w:val="pt-BR" w:eastAsia="en-US"/>
        </w:rPr>
        <w:t>definidas e operacionalizadas pela p</w:t>
      </w:r>
      <w:r w:rsidR="0070146C" w:rsidRPr="00440BD8">
        <w:rPr>
          <w:rFonts w:eastAsia="Calibri"/>
          <w:sz w:val="22"/>
          <w:szCs w:val="22"/>
          <w:lang w:val="pt-BR" w:eastAsia="en-US"/>
        </w:rPr>
        <w:t>rópria área de execução (DIFIS), dificultando o controle e a</w:t>
      </w:r>
      <w:r w:rsidR="002D60A5" w:rsidRPr="00440BD8">
        <w:rPr>
          <w:rFonts w:eastAsia="Calibri"/>
          <w:sz w:val="22"/>
          <w:szCs w:val="22"/>
          <w:lang w:val="pt-BR" w:eastAsia="en-US"/>
        </w:rPr>
        <w:t xml:space="preserve"> </w:t>
      </w:r>
      <w:r w:rsidR="0070146C" w:rsidRPr="00440BD8">
        <w:rPr>
          <w:rFonts w:eastAsia="Calibri"/>
          <w:sz w:val="22"/>
          <w:szCs w:val="22"/>
          <w:lang w:val="pt-BR" w:eastAsia="en-US"/>
        </w:rPr>
        <w:t xml:space="preserve">previsibilidade </w:t>
      </w:r>
      <w:r w:rsidR="002D60A5" w:rsidRPr="00440BD8">
        <w:rPr>
          <w:rFonts w:eastAsia="Calibri"/>
          <w:sz w:val="22"/>
          <w:szCs w:val="22"/>
          <w:lang w:val="pt-BR" w:eastAsia="en-US"/>
        </w:rPr>
        <w:t>do ICMS a recuperar.</w:t>
      </w:r>
    </w:p>
    <w:p w:rsidR="00A018BB" w:rsidRPr="00440BD8" w:rsidRDefault="00A018BB" w:rsidP="00670008">
      <w:pPr>
        <w:pStyle w:val="Paragraph"/>
        <w:numPr>
          <w:ilvl w:val="0"/>
          <w:numId w:val="0"/>
        </w:numPr>
        <w:spacing w:before="0" w:after="0"/>
        <w:rPr>
          <w:rFonts w:eastAsia="Calibri"/>
          <w:color w:val="FF0000"/>
          <w:sz w:val="22"/>
          <w:szCs w:val="22"/>
          <w:lang w:val="pt-BR" w:eastAsia="en-US"/>
        </w:rPr>
      </w:pPr>
    </w:p>
    <w:p w:rsidR="00D1045D" w:rsidRPr="00440BD8" w:rsidRDefault="007B5D08" w:rsidP="00670008">
      <w:pPr>
        <w:pStyle w:val="Paragraph"/>
        <w:numPr>
          <w:ilvl w:val="0"/>
          <w:numId w:val="0"/>
        </w:numPr>
        <w:spacing w:before="0" w:after="0"/>
        <w:rPr>
          <w:rFonts w:eastAsia="Calibri"/>
          <w:sz w:val="22"/>
          <w:szCs w:val="22"/>
          <w:lang w:val="pt-BR" w:eastAsia="en-US"/>
        </w:rPr>
      </w:pPr>
      <w:r w:rsidRPr="00440BD8">
        <w:rPr>
          <w:rFonts w:eastAsia="Calibri"/>
          <w:sz w:val="22"/>
          <w:szCs w:val="22"/>
          <w:lang w:val="pt-BR" w:eastAsia="en-US"/>
        </w:rPr>
        <w:t>Toda a</w:t>
      </w:r>
      <w:r w:rsidR="00D1045D" w:rsidRPr="00440BD8">
        <w:rPr>
          <w:rFonts w:eastAsia="Calibri"/>
          <w:sz w:val="22"/>
          <w:szCs w:val="22"/>
          <w:lang w:val="pt-BR" w:eastAsia="en-US"/>
        </w:rPr>
        <w:t xml:space="preserve"> fiscalização</w:t>
      </w:r>
      <w:r w:rsidR="002934AA" w:rsidRPr="00440BD8">
        <w:rPr>
          <w:rFonts w:eastAsia="Calibri"/>
          <w:sz w:val="22"/>
          <w:szCs w:val="22"/>
          <w:lang w:val="pt-BR" w:eastAsia="en-US"/>
        </w:rPr>
        <w:t xml:space="preserve"> (auditoria)</w:t>
      </w:r>
      <w:r w:rsidR="00D1045D" w:rsidRPr="00440BD8">
        <w:rPr>
          <w:rFonts w:eastAsia="Calibri"/>
          <w:sz w:val="22"/>
          <w:szCs w:val="22"/>
          <w:lang w:val="pt-BR" w:eastAsia="en-US"/>
        </w:rPr>
        <w:t xml:space="preserve"> de estabelecimentos é realizada por fiscais – FTE IV, lotados na </w:t>
      </w:r>
      <w:r w:rsidR="00162683" w:rsidRPr="00440BD8">
        <w:rPr>
          <w:rFonts w:eastAsia="Calibri"/>
          <w:sz w:val="22"/>
          <w:szCs w:val="22"/>
          <w:lang w:val="pt-BR" w:eastAsia="en-US"/>
        </w:rPr>
        <w:t>Diretoria de Fiscalização (</w:t>
      </w:r>
      <w:r w:rsidR="00D1045D" w:rsidRPr="00440BD8">
        <w:rPr>
          <w:rFonts w:eastAsia="Calibri"/>
          <w:sz w:val="22"/>
          <w:szCs w:val="22"/>
          <w:lang w:val="pt-BR" w:eastAsia="en-US"/>
        </w:rPr>
        <w:t>DIFIS</w:t>
      </w:r>
      <w:r w:rsidR="00162683" w:rsidRPr="00440BD8">
        <w:rPr>
          <w:rFonts w:eastAsia="Calibri"/>
          <w:sz w:val="22"/>
          <w:szCs w:val="22"/>
          <w:lang w:val="pt-BR" w:eastAsia="en-US"/>
        </w:rPr>
        <w:t>)</w:t>
      </w:r>
      <w:r w:rsidRPr="00440BD8">
        <w:rPr>
          <w:rFonts w:eastAsia="Calibri"/>
          <w:sz w:val="22"/>
          <w:szCs w:val="22"/>
          <w:lang w:val="pt-BR" w:eastAsia="en-US"/>
        </w:rPr>
        <w:t xml:space="preserve">, a qual </w:t>
      </w:r>
      <w:r w:rsidR="004253FC" w:rsidRPr="00440BD8">
        <w:rPr>
          <w:rFonts w:eastAsia="Calibri"/>
          <w:sz w:val="22"/>
          <w:szCs w:val="22"/>
          <w:lang w:val="pt-BR" w:eastAsia="en-US"/>
        </w:rPr>
        <w:t>é precedida</w:t>
      </w:r>
      <w:r w:rsidR="00D1045D" w:rsidRPr="00440BD8">
        <w:rPr>
          <w:rFonts w:eastAsia="Calibri"/>
          <w:sz w:val="22"/>
          <w:szCs w:val="22"/>
          <w:lang w:val="pt-BR" w:eastAsia="en-US"/>
        </w:rPr>
        <w:t xml:space="preserve"> </w:t>
      </w:r>
      <w:r w:rsidR="004253FC" w:rsidRPr="00440BD8">
        <w:rPr>
          <w:rFonts w:eastAsia="Calibri"/>
          <w:sz w:val="22"/>
          <w:szCs w:val="22"/>
          <w:lang w:val="pt-BR" w:eastAsia="en-US"/>
        </w:rPr>
        <w:t xml:space="preserve">por </w:t>
      </w:r>
      <w:r w:rsidR="00D1045D" w:rsidRPr="00440BD8">
        <w:rPr>
          <w:rFonts w:eastAsia="Calibri"/>
          <w:sz w:val="22"/>
          <w:szCs w:val="22"/>
          <w:lang w:val="pt-BR" w:eastAsia="en-US"/>
        </w:rPr>
        <w:t>uma ordem de serviço</w:t>
      </w:r>
      <w:r w:rsidR="00282575" w:rsidRPr="00440BD8">
        <w:rPr>
          <w:rFonts w:eastAsia="Calibri"/>
          <w:sz w:val="22"/>
          <w:szCs w:val="22"/>
          <w:lang w:val="pt-BR" w:eastAsia="en-US"/>
        </w:rPr>
        <w:t xml:space="preserve"> que </w:t>
      </w:r>
      <w:r w:rsidR="002D60A5" w:rsidRPr="00440BD8">
        <w:rPr>
          <w:rFonts w:eastAsia="Calibri"/>
          <w:sz w:val="22"/>
          <w:szCs w:val="22"/>
          <w:lang w:val="pt-BR" w:eastAsia="en-US"/>
        </w:rPr>
        <w:t>compreende</w:t>
      </w:r>
      <w:r w:rsidR="00282575" w:rsidRPr="00440BD8">
        <w:rPr>
          <w:rFonts w:eastAsia="Calibri"/>
          <w:sz w:val="22"/>
          <w:szCs w:val="22"/>
          <w:lang w:val="pt-BR" w:eastAsia="en-US"/>
        </w:rPr>
        <w:t xml:space="preserve"> uma auditoria </w:t>
      </w:r>
      <w:r w:rsidR="002934AA" w:rsidRPr="00440BD8">
        <w:rPr>
          <w:rFonts w:eastAsia="Calibri"/>
          <w:sz w:val="22"/>
          <w:szCs w:val="22"/>
          <w:lang w:val="pt-BR" w:eastAsia="en-US"/>
        </w:rPr>
        <w:t>nos documentos fiscais do contribuinte, em busca da identificação de diferentes fatos geradores de ICMS</w:t>
      </w:r>
      <w:r w:rsidR="00675A54" w:rsidRPr="00440BD8">
        <w:rPr>
          <w:rFonts w:eastAsia="Calibri"/>
          <w:sz w:val="22"/>
          <w:szCs w:val="22"/>
          <w:lang w:val="pt-BR" w:eastAsia="en-US"/>
        </w:rPr>
        <w:t xml:space="preserve">, em todos os exercícios não fiscalizados dentro do período de </w:t>
      </w:r>
      <w:proofErr w:type="gramStart"/>
      <w:r w:rsidR="00675A54" w:rsidRPr="00440BD8">
        <w:rPr>
          <w:rFonts w:eastAsia="Calibri"/>
          <w:sz w:val="22"/>
          <w:szCs w:val="22"/>
          <w:lang w:val="pt-BR" w:eastAsia="en-US"/>
        </w:rPr>
        <w:t>5</w:t>
      </w:r>
      <w:proofErr w:type="gramEnd"/>
      <w:r w:rsidR="00675A54" w:rsidRPr="00440BD8">
        <w:rPr>
          <w:rFonts w:eastAsia="Calibri"/>
          <w:sz w:val="22"/>
          <w:szCs w:val="22"/>
          <w:lang w:val="pt-BR" w:eastAsia="en-US"/>
        </w:rPr>
        <w:t xml:space="preserve"> (cinco) anos, e ao final dos trabalhos fica registrado como “fiscalizados” esses exercícios no termo </w:t>
      </w:r>
      <w:r w:rsidR="002D60A5" w:rsidRPr="00440BD8">
        <w:rPr>
          <w:rFonts w:eastAsia="Calibri"/>
          <w:sz w:val="22"/>
          <w:szCs w:val="22"/>
          <w:lang w:val="pt-BR" w:eastAsia="en-US"/>
        </w:rPr>
        <w:t>de encerramento da fiscalização</w:t>
      </w:r>
      <w:r w:rsidR="008265A4" w:rsidRPr="00440BD8">
        <w:rPr>
          <w:rFonts w:eastAsia="Calibri"/>
          <w:sz w:val="22"/>
          <w:szCs w:val="22"/>
          <w:lang w:val="pt-BR" w:eastAsia="en-US"/>
        </w:rPr>
        <w:t xml:space="preserve">. </w:t>
      </w:r>
      <w:r w:rsidR="00D1045D" w:rsidRPr="00440BD8">
        <w:rPr>
          <w:rFonts w:eastAsia="Calibri"/>
          <w:sz w:val="22"/>
          <w:szCs w:val="22"/>
          <w:lang w:val="pt-BR" w:eastAsia="en-US"/>
        </w:rPr>
        <w:t xml:space="preserve">Diversos contribuintes são auditados por distintos fatos geradores de ICMS, sendo lavrados Autos de Infração com </w:t>
      </w:r>
      <w:r w:rsidR="002D60A5" w:rsidRPr="00440BD8">
        <w:rPr>
          <w:rFonts w:eastAsia="Calibri"/>
          <w:sz w:val="22"/>
          <w:szCs w:val="22"/>
          <w:lang w:val="pt-BR" w:eastAsia="en-US"/>
        </w:rPr>
        <w:t>provas distintas para a constituição do Processo Administrativo Fiscal (PAF)</w:t>
      </w:r>
      <w:r w:rsidR="004253FC" w:rsidRPr="00440BD8">
        <w:rPr>
          <w:rFonts w:eastAsia="Calibri"/>
          <w:sz w:val="22"/>
          <w:szCs w:val="22"/>
          <w:lang w:val="pt-BR" w:eastAsia="en-US"/>
        </w:rPr>
        <w:t>, mesmo na situação de</w:t>
      </w:r>
      <w:r w:rsidR="004E4FCB" w:rsidRPr="00440BD8">
        <w:rPr>
          <w:rFonts w:eastAsia="Calibri"/>
          <w:sz w:val="22"/>
          <w:szCs w:val="22"/>
          <w:lang w:val="pt-BR" w:eastAsia="en-US"/>
        </w:rPr>
        <w:t xml:space="preserve"> ocorrência de</w:t>
      </w:r>
      <w:r w:rsidR="002D60A5" w:rsidRPr="00440BD8">
        <w:rPr>
          <w:rFonts w:eastAsia="Calibri"/>
          <w:sz w:val="22"/>
          <w:szCs w:val="22"/>
          <w:lang w:val="pt-BR" w:eastAsia="en-US"/>
        </w:rPr>
        <w:t xml:space="preserve"> fatos semelhantes. </w:t>
      </w:r>
      <w:r w:rsidR="00430D4A">
        <w:rPr>
          <w:rFonts w:eastAsia="Calibri"/>
          <w:sz w:val="22"/>
          <w:szCs w:val="22"/>
          <w:lang w:val="pt-BR" w:eastAsia="en-US"/>
        </w:rPr>
        <w:t>Diante disso</w:t>
      </w:r>
      <w:r w:rsidR="00D1045D" w:rsidRPr="00440BD8">
        <w:rPr>
          <w:rFonts w:eastAsia="Calibri"/>
          <w:sz w:val="22"/>
          <w:szCs w:val="22"/>
          <w:lang w:val="pt-BR" w:eastAsia="en-US"/>
        </w:rPr>
        <w:t xml:space="preserve">, </w:t>
      </w:r>
      <w:r w:rsidR="002D60A5" w:rsidRPr="00440BD8">
        <w:rPr>
          <w:rFonts w:eastAsia="Calibri"/>
          <w:sz w:val="22"/>
          <w:szCs w:val="22"/>
          <w:lang w:val="pt-BR" w:eastAsia="en-US"/>
        </w:rPr>
        <w:t xml:space="preserve">o prazo para </w:t>
      </w:r>
      <w:r w:rsidR="00D1045D" w:rsidRPr="00440BD8">
        <w:rPr>
          <w:rFonts w:eastAsia="Calibri"/>
          <w:sz w:val="22"/>
          <w:szCs w:val="22"/>
          <w:lang w:val="pt-BR" w:eastAsia="en-US"/>
        </w:rPr>
        <w:t>o jul</w:t>
      </w:r>
      <w:r w:rsidR="002934AA" w:rsidRPr="00440BD8">
        <w:rPr>
          <w:rFonts w:eastAsia="Calibri"/>
          <w:sz w:val="22"/>
          <w:szCs w:val="22"/>
          <w:lang w:val="pt-BR" w:eastAsia="en-US"/>
        </w:rPr>
        <w:t>gamento de 1º instância fica</w:t>
      </w:r>
      <w:r w:rsidR="00D1045D" w:rsidRPr="00440BD8">
        <w:rPr>
          <w:rFonts w:eastAsia="Calibri"/>
          <w:sz w:val="22"/>
          <w:szCs w:val="22"/>
          <w:lang w:val="pt-BR" w:eastAsia="en-US"/>
        </w:rPr>
        <w:t xml:space="preserve"> </w:t>
      </w:r>
      <w:r w:rsidR="002D60A5" w:rsidRPr="00440BD8">
        <w:rPr>
          <w:rFonts w:eastAsia="Calibri"/>
          <w:sz w:val="22"/>
          <w:szCs w:val="22"/>
          <w:lang w:val="pt-BR" w:eastAsia="en-US"/>
        </w:rPr>
        <w:t>comprometido</w:t>
      </w:r>
      <w:r w:rsidR="00D1045D" w:rsidRPr="00440BD8">
        <w:rPr>
          <w:rFonts w:eastAsia="Calibri"/>
          <w:sz w:val="22"/>
          <w:szCs w:val="22"/>
          <w:lang w:val="pt-BR" w:eastAsia="en-US"/>
        </w:rPr>
        <w:t xml:space="preserve"> pela </w:t>
      </w:r>
      <w:r w:rsidR="00162683" w:rsidRPr="00440BD8">
        <w:rPr>
          <w:rFonts w:eastAsia="Calibri"/>
          <w:sz w:val="22"/>
          <w:szCs w:val="22"/>
          <w:lang w:val="pt-BR" w:eastAsia="en-US"/>
        </w:rPr>
        <w:t xml:space="preserve">diversificação dos </w:t>
      </w:r>
      <w:r w:rsidR="00675A54" w:rsidRPr="00440BD8">
        <w:rPr>
          <w:rFonts w:eastAsia="Calibri"/>
          <w:sz w:val="22"/>
          <w:szCs w:val="22"/>
          <w:lang w:val="pt-BR" w:eastAsia="en-US"/>
        </w:rPr>
        <w:t xml:space="preserve">assuntos dos </w:t>
      </w:r>
      <w:r w:rsidR="008265A4" w:rsidRPr="00440BD8">
        <w:rPr>
          <w:rFonts w:eastAsia="Calibri"/>
          <w:sz w:val="22"/>
          <w:szCs w:val="22"/>
          <w:lang w:val="pt-BR" w:eastAsia="en-US"/>
        </w:rPr>
        <w:t xml:space="preserve">processos e pela sua distribuição </w:t>
      </w:r>
      <w:r w:rsidR="003D2105" w:rsidRPr="00440BD8">
        <w:rPr>
          <w:rFonts w:eastAsia="Calibri"/>
          <w:sz w:val="22"/>
          <w:szCs w:val="22"/>
          <w:lang w:val="pt-BR" w:eastAsia="en-US"/>
        </w:rPr>
        <w:t>feita de maneira não ordenada por julgador.</w:t>
      </w:r>
    </w:p>
    <w:p w:rsidR="003D2105" w:rsidRPr="00440BD8" w:rsidRDefault="003D2105" w:rsidP="00670008">
      <w:pPr>
        <w:pStyle w:val="Paragraph"/>
        <w:numPr>
          <w:ilvl w:val="0"/>
          <w:numId w:val="0"/>
        </w:numPr>
        <w:spacing w:before="0" w:after="0"/>
        <w:rPr>
          <w:rFonts w:eastAsia="Calibri"/>
          <w:color w:val="FF0000"/>
          <w:sz w:val="22"/>
          <w:szCs w:val="22"/>
          <w:lang w:val="pt-BR" w:eastAsia="en-US"/>
        </w:rPr>
      </w:pPr>
    </w:p>
    <w:p w:rsidR="003D2105" w:rsidRPr="00595707" w:rsidRDefault="00800598" w:rsidP="00670008">
      <w:pPr>
        <w:pStyle w:val="Paragraph"/>
        <w:numPr>
          <w:ilvl w:val="0"/>
          <w:numId w:val="0"/>
        </w:numPr>
        <w:spacing w:before="0" w:after="0"/>
        <w:rPr>
          <w:rFonts w:eastAsia="Calibri"/>
          <w:sz w:val="22"/>
          <w:szCs w:val="22"/>
          <w:lang w:val="pt-BR" w:eastAsia="en-US"/>
        </w:rPr>
      </w:pPr>
      <w:r w:rsidRPr="00595707">
        <w:rPr>
          <w:rFonts w:eastAsia="Calibri"/>
          <w:sz w:val="22"/>
          <w:szCs w:val="22"/>
          <w:lang w:val="pt-BR" w:eastAsia="en-US"/>
        </w:rPr>
        <w:t>Diante de todo o</w:t>
      </w:r>
      <w:r w:rsidR="002D60A5" w:rsidRPr="00595707">
        <w:rPr>
          <w:rFonts w:eastAsia="Calibri"/>
          <w:sz w:val="22"/>
          <w:szCs w:val="22"/>
          <w:lang w:val="pt-BR" w:eastAsia="en-US"/>
        </w:rPr>
        <w:t xml:space="preserve"> expo</w:t>
      </w:r>
      <w:r w:rsidR="00E662DC" w:rsidRPr="00595707">
        <w:rPr>
          <w:rFonts w:eastAsia="Calibri"/>
          <w:sz w:val="22"/>
          <w:szCs w:val="22"/>
          <w:lang w:val="pt-BR" w:eastAsia="en-US"/>
        </w:rPr>
        <w:t xml:space="preserve">sto, </w:t>
      </w:r>
      <w:r w:rsidRPr="00595707">
        <w:rPr>
          <w:rFonts w:eastAsia="Calibri"/>
          <w:sz w:val="22"/>
          <w:szCs w:val="22"/>
          <w:lang w:val="pt-BR" w:eastAsia="en-US"/>
        </w:rPr>
        <w:t>observa-se uma aparente necessidade</w:t>
      </w:r>
      <w:r w:rsidR="00E662DC" w:rsidRPr="00595707">
        <w:rPr>
          <w:rFonts w:eastAsia="Calibri"/>
          <w:sz w:val="22"/>
          <w:szCs w:val="22"/>
          <w:lang w:val="pt-BR" w:eastAsia="en-US"/>
        </w:rPr>
        <w:t xml:space="preserve"> de harmonização dos</w:t>
      </w:r>
      <w:r w:rsidR="002D60A5" w:rsidRPr="00595707">
        <w:rPr>
          <w:rFonts w:eastAsia="Calibri"/>
          <w:sz w:val="22"/>
          <w:szCs w:val="22"/>
          <w:lang w:val="pt-BR" w:eastAsia="en-US"/>
        </w:rPr>
        <w:t xml:space="preserve"> esforços </w:t>
      </w:r>
      <w:r w:rsidR="005E610F" w:rsidRPr="00595707">
        <w:rPr>
          <w:rFonts w:eastAsia="Calibri"/>
          <w:sz w:val="22"/>
          <w:szCs w:val="22"/>
          <w:lang w:val="pt-BR" w:eastAsia="en-US"/>
        </w:rPr>
        <w:t>a serem convergido</w:t>
      </w:r>
      <w:r w:rsidR="00430D4A" w:rsidRPr="00595707">
        <w:rPr>
          <w:rFonts w:eastAsia="Calibri"/>
          <w:sz w:val="22"/>
          <w:szCs w:val="22"/>
          <w:lang w:val="pt-BR" w:eastAsia="en-US"/>
        </w:rPr>
        <w:t>s</w:t>
      </w:r>
      <w:r w:rsidR="005E610F" w:rsidRPr="00595707">
        <w:rPr>
          <w:rFonts w:eastAsia="Calibri"/>
          <w:sz w:val="22"/>
          <w:szCs w:val="22"/>
          <w:lang w:val="pt-BR" w:eastAsia="en-US"/>
        </w:rPr>
        <w:t xml:space="preserve"> para</w:t>
      </w:r>
      <w:r w:rsidR="00440BD8" w:rsidRPr="00595707">
        <w:rPr>
          <w:rFonts w:eastAsia="Calibri"/>
          <w:sz w:val="22"/>
          <w:szCs w:val="22"/>
          <w:lang w:val="pt-BR" w:eastAsia="en-US"/>
        </w:rPr>
        <w:t xml:space="preserve"> eficiência da </w:t>
      </w:r>
      <w:r w:rsidR="00E662DC" w:rsidRPr="00595707">
        <w:rPr>
          <w:rFonts w:eastAsia="Calibri"/>
          <w:sz w:val="22"/>
          <w:szCs w:val="22"/>
          <w:lang w:val="pt-BR" w:eastAsia="en-US"/>
        </w:rPr>
        <w:t>ação fiscal e</w:t>
      </w:r>
      <w:r w:rsidRPr="00595707">
        <w:rPr>
          <w:rFonts w:eastAsia="Calibri"/>
          <w:sz w:val="22"/>
          <w:szCs w:val="22"/>
          <w:lang w:val="pt-BR" w:eastAsia="en-US"/>
        </w:rPr>
        <w:t>,</w:t>
      </w:r>
      <w:r w:rsidR="00E662DC" w:rsidRPr="00595707">
        <w:rPr>
          <w:rFonts w:eastAsia="Calibri"/>
          <w:sz w:val="22"/>
          <w:szCs w:val="22"/>
          <w:lang w:val="pt-BR" w:eastAsia="en-US"/>
        </w:rPr>
        <w:t xml:space="preserve"> </w:t>
      </w:r>
      <w:r w:rsidR="000C5898" w:rsidRPr="00595707">
        <w:rPr>
          <w:rFonts w:eastAsia="Calibri"/>
          <w:sz w:val="22"/>
          <w:szCs w:val="22"/>
          <w:lang w:val="pt-BR" w:eastAsia="en-US"/>
        </w:rPr>
        <w:t xml:space="preserve">como efeito, </w:t>
      </w:r>
      <w:r w:rsidRPr="00595707">
        <w:rPr>
          <w:rFonts w:eastAsia="Calibri"/>
          <w:sz w:val="22"/>
          <w:szCs w:val="22"/>
          <w:lang w:val="pt-BR" w:eastAsia="en-US"/>
        </w:rPr>
        <w:t>para o alcance das metas de arrecadação,</w:t>
      </w:r>
      <w:r w:rsidR="00440BD8" w:rsidRPr="00595707">
        <w:rPr>
          <w:rFonts w:eastAsia="Calibri"/>
          <w:sz w:val="22"/>
          <w:szCs w:val="22"/>
          <w:lang w:val="pt-BR" w:eastAsia="en-US"/>
        </w:rPr>
        <w:t xml:space="preserve"> </w:t>
      </w:r>
      <w:r w:rsidRPr="00595707">
        <w:rPr>
          <w:rFonts w:eastAsia="Calibri"/>
          <w:sz w:val="22"/>
          <w:szCs w:val="22"/>
          <w:lang w:val="pt-BR" w:eastAsia="en-US"/>
        </w:rPr>
        <w:t xml:space="preserve">atualmente, </w:t>
      </w:r>
      <w:r w:rsidR="003D2105" w:rsidRPr="00595707">
        <w:rPr>
          <w:rFonts w:eastAsia="Calibri"/>
          <w:sz w:val="22"/>
          <w:szCs w:val="22"/>
          <w:lang w:val="pt-BR" w:eastAsia="en-US"/>
        </w:rPr>
        <w:t>definidas</w:t>
      </w:r>
      <w:r w:rsidRPr="00595707">
        <w:rPr>
          <w:rFonts w:eastAsia="Calibri"/>
          <w:sz w:val="22"/>
          <w:szCs w:val="22"/>
          <w:lang w:val="pt-BR" w:eastAsia="en-US"/>
        </w:rPr>
        <w:t xml:space="preserve"> sem o</w:t>
      </w:r>
      <w:r w:rsidR="003D2105" w:rsidRPr="00595707">
        <w:rPr>
          <w:rFonts w:eastAsia="Calibri"/>
          <w:sz w:val="22"/>
          <w:szCs w:val="22"/>
          <w:lang w:val="pt-BR" w:eastAsia="en-US"/>
        </w:rPr>
        <w:t xml:space="preserve"> </w:t>
      </w:r>
      <w:r w:rsidR="000C5898" w:rsidRPr="00595707">
        <w:rPr>
          <w:rFonts w:eastAsia="Calibri"/>
          <w:sz w:val="22"/>
          <w:szCs w:val="22"/>
          <w:lang w:val="pt-BR" w:eastAsia="en-US"/>
        </w:rPr>
        <w:t xml:space="preserve">estudo do potencial tributário </w:t>
      </w:r>
      <w:r w:rsidRPr="00595707">
        <w:rPr>
          <w:rFonts w:eastAsia="Calibri"/>
          <w:sz w:val="22"/>
          <w:szCs w:val="22"/>
          <w:lang w:val="pt-BR" w:eastAsia="en-US"/>
        </w:rPr>
        <w:t xml:space="preserve">dos contribuintes em situações </w:t>
      </w:r>
      <w:r w:rsidR="000C5898" w:rsidRPr="00595707">
        <w:rPr>
          <w:rFonts w:eastAsia="Calibri"/>
          <w:sz w:val="22"/>
          <w:szCs w:val="22"/>
          <w:lang w:val="pt-BR" w:eastAsia="en-US"/>
        </w:rPr>
        <w:t>semelhantes</w:t>
      </w:r>
      <w:r w:rsidRPr="00595707">
        <w:rPr>
          <w:rFonts w:eastAsia="Calibri"/>
          <w:sz w:val="22"/>
          <w:szCs w:val="22"/>
          <w:lang w:val="pt-BR" w:eastAsia="en-US"/>
        </w:rPr>
        <w:t>.</w:t>
      </w:r>
    </w:p>
    <w:p w:rsidR="000C5898" w:rsidRPr="00440BD8" w:rsidRDefault="000C5898" w:rsidP="00670008">
      <w:pPr>
        <w:pStyle w:val="Paragraph"/>
        <w:numPr>
          <w:ilvl w:val="0"/>
          <w:numId w:val="0"/>
        </w:numPr>
        <w:spacing w:before="0" w:after="0"/>
        <w:rPr>
          <w:rFonts w:eastAsia="Calibri"/>
          <w:color w:val="FF0000"/>
          <w:sz w:val="22"/>
          <w:szCs w:val="22"/>
          <w:lang w:val="pt-BR" w:eastAsia="en-US"/>
        </w:rPr>
      </w:pPr>
    </w:p>
    <w:p w:rsidR="00F05D26" w:rsidRPr="00440BD8" w:rsidRDefault="00F05D26" w:rsidP="00670008">
      <w:pPr>
        <w:pStyle w:val="PargrafodaLista"/>
        <w:numPr>
          <w:ilvl w:val="1"/>
          <w:numId w:val="19"/>
        </w:numPr>
        <w:spacing w:before="120" w:after="120"/>
        <w:ind w:left="720" w:hanging="720"/>
        <w:jc w:val="both"/>
        <w:rPr>
          <w:rFonts w:ascii="Times New Roman" w:hAnsi="Times New Roman"/>
          <w:b/>
          <w:noProof w:val="0"/>
          <w:color w:val="000000"/>
          <w:sz w:val="24"/>
          <w:szCs w:val="24"/>
          <w:lang w:val="pt-BR"/>
        </w:rPr>
      </w:pPr>
      <w:r w:rsidRPr="00440BD8">
        <w:rPr>
          <w:rFonts w:ascii="Times New Roman" w:hAnsi="Times New Roman"/>
          <w:b/>
          <w:noProof w:val="0"/>
          <w:color w:val="000000"/>
          <w:sz w:val="24"/>
          <w:szCs w:val="24"/>
          <w:lang w:val="pt-BR"/>
        </w:rPr>
        <w:t>DESCRIÇÃO DO PROBLEMA</w:t>
      </w:r>
      <w:r w:rsidR="002D60A5" w:rsidRPr="00440BD8">
        <w:rPr>
          <w:rFonts w:ascii="Times New Roman" w:hAnsi="Times New Roman"/>
          <w:b/>
          <w:noProof w:val="0"/>
          <w:color w:val="000000"/>
          <w:sz w:val="24"/>
          <w:szCs w:val="24"/>
          <w:lang w:val="pt-BR"/>
        </w:rPr>
        <w:t xml:space="preserve"> </w:t>
      </w:r>
    </w:p>
    <w:p w:rsidR="00D01588" w:rsidRPr="00440BD8" w:rsidRDefault="003A67C9" w:rsidP="00670008">
      <w:pPr>
        <w:spacing w:before="120" w:after="120"/>
        <w:jc w:val="both"/>
        <w:rPr>
          <w:rFonts w:ascii="Times New Roman" w:hAnsi="Times New Roman"/>
          <w:noProof w:val="0"/>
          <w:color w:val="000000" w:themeColor="text1"/>
          <w:lang w:val="pt-BR"/>
        </w:rPr>
      </w:pPr>
      <w:r w:rsidRPr="00440BD8">
        <w:rPr>
          <w:rFonts w:ascii="Times New Roman" w:hAnsi="Times New Roman"/>
          <w:noProof w:val="0"/>
          <w:color w:val="000000" w:themeColor="text1"/>
          <w:lang w:val="pt-BR"/>
        </w:rPr>
        <w:t>O principal problema do Estado de Alagoas no que refere às receitas tributárias dar-se-á pela “</w:t>
      </w:r>
      <w:r w:rsidR="008758DE" w:rsidRPr="00440BD8">
        <w:rPr>
          <w:rFonts w:ascii="Times New Roman" w:hAnsi="Times New Roman"/>
          <w:i/>
          <w:noProof w:val="0"/>
          <w:color w:val="000000" w:themeColor="text1"/>
          <w:lang w:val="pt-BR"/>
        </w:rPr>
        <w:t>Insuficiência na arrecadaç</w:t>
      </w:r>
      <w:r w:rsidR="009B2D8A" w:rsidRPr="00440BD8">
        <w:rPr>
          <w:rFonts w:ascii="Times New Roman" w:hAnsi="Times New Roman"/>
          <w:i/>
          <w:noProof w:val="0"/>
          <w:color w:val="000000" w:themeColor="text1"/>
          <w:lang w:val="pt-BR"/>
        </w:rPr>
        <w:t>ão do ICMS</w:t>
      </w:r>
      <w:r w:rsidR="003D2105" w:rsidRPr="00440BD8">
        <w:rPr>
          <w:rFonts w:ascii="Times New Roman" w:hAnsi="Times New Roman"/>
          <w:noProof w:val="0"/>
          <w:color w:val="000000" w:themeColor="text1"/>
          <w:lang w:val="pt-BR"/>
        </w:rPr>
        <w:t>”. A seguir, é apresentada</w:t>
      </w:r>
      <w:r w:rsidR="00D01588" w:rsidRPr="00440BD8">
        <w:rPr>
          <w:rFonts w:ascii="Times New Roman" w:hAnsi="Times New Roman"/>
          <w:noProof w:val="0"/>
          <w:color w:val="000000" w:themeColor="text1"/>
          <w:lang w:val="pt-BR"/>
        </w:rPr>
        <w:t xml:space="preserve"> a estratificação </w:t>
      </w:r>
      <w:r w:rsidRPr="00440BD8">
        <w:rPr>
          <w:rFonts w:ascii="Times New Roman" w:hAnsi="Times New Roman"/>
          <w:noProof w:val="0"/>
          <w:color w:val="000000" w:themeColor="text1"/>
          <w:lang w:val="pt-BR"/>
        </w:rPr>
        <w:t>desse</w:t>
      </w:r>
      <w:r w:rsidR="00D01588" w:rsidRPr="00440BD8">
        <w:rPr>
          <w:rFonts w:ascii="Times New Roman" w:hAnsi="Times New Roman"/>
          <w:noProof w:val="0"/>
          <w:color w:val="000000" w:themeColor="text1"/>
          <w:lang w:val="pt-BR"/>
        </w:rPr>
        <w:t xml:space="preserve"> problema, bem como suas causas:</w:t>
      </w:r>
      <w:r w:rsidRPr="00440BD8">
        <w:rPr>
          <w:rFonts w:ascii="Times New Roman" w:hAnsi="Times New Roman"/>
          <w:noProof w:val="0"/>
          <w:color w:val="000000" w:themeColor="text1"/>
          <w:lang w:val="pt-BR"/>
        </w:rPr>
        <w:t xml:space="preserve"> </w:t>
      </w:r>
    </w:p>
    <w:p w:rsidR="003A67C9" w:rsidRPr="00564A63" w:rsidRDefault="003A67C9" w:rsidP="00670008">
      <w:pPr>
        <w:pStyle w:val="PargrafodaLista"/>
        <w:numPr>
          <w:ilvl w:val="0"/>
          <w:numId w:val="21"/>
        </w:numPr>
        <w:spacing w:before="120" w:after="120"/>
        <w:jc w:val="both"/>
        <w:rPr>
          <w:rFonts w:ascii="Times New Roman" w:hAnsi="Times New Roman"/>
          <w:noProof w:val="0"/>
          <w:lang w:val="pt-BR"/>
        </w:rPr>
      </w:pPr>
      <w:r w:rsidRPr="00564A63">
        <w:rPr>
          <w:rFonts w:ascii="Times New Roman" w:hAnsi="Times New Roman"/>
          <w:noProof w:val="0"/>
          <w:lang w:val="pt-BR"/>
        </w:rPr>
        <w:lastRenderedPageBreak/>
        <w:t>Insuficiência de resultados positivos das ações fiscais executadas</w:t>
      </w:r>
      <w:r w:rsidR="00D01588" w:rsidRPr="00564A63">
        <w:rPr>
          <w:rFonts w:ascii="Times New Roman" w:hAnsi="Times New Roman"/>
          <w:noProof w:val="0"/>
          <w:lang w:val="pt-BR"/>
        </w:rPr>
        <w:t>, ocasionada</w:t>
      </w:r>
      <w:r w:rsidRPr="00564A63">
        <w:rPr>
          <w:rFonts w:ascii="Times New Roman" w:hAnsi="Times New Roman"/>
          <w:noProof w:val="0"/>
          <w:lang w:val="pt-BR"/>
        </w:rPr>
        <w:t xml:space="preserve"> pela sobreposição da atividade de monitoramento entre as Diretorias envolvidas no processo (DIRAR, DIPLAF e DIFIS) e pela falta de padronização na definição das oportunidades para aumento da arrecadação.</w:t>
      </w:r>
      <w:r w:rsidR="00FF7429" w:rsidRPr="00564A63">
        <w:rPr>
          <w:rFonts w:ascii="Times New Roman" w:hAnsi="Times New Roman"/>
          <w:noProof w:val="0"/>
          <w:lang w:val="pt-BR"/>
        </w:rPr>
        <w:t xml:space="preserve"> </w:t>
      </w:r>
      <w:r w:rsidR="002852F1" w:rsidRPr="00564A63">
        <w:rPr>
          <w:rFonts w:ascii="Times New Roman" w:hAnsi="Times New Roman"/>
          <w:noProof w:val="0"/>
          <w:lang w:val="pt-BR"/>
        </w:rPr>
        <w:t>O</w:t>
      </w:r>
      <w:r w:rsidR="00FF7429" w:rsidRPr="00564A63">
        <w:rPr>
          <w:rFonts w:ascii="Times New Roman" w:hAnsi="Times New Roman"/>
          <w:noProof w:val="0"/>
          <w:lang w:val="pt-BR"/>
        </w:rPr>
        <w:t xml:space="preserve"> índice de retorno da Ação Fiscal (quantidade de Ações com Resultado Positivo / quantidade de Ações Executadas) </w:t>
      </w:r>
      <w:r w:rsidR="002852F1" w:rsidRPr="00564A63">
        <w:rPr>
          <w:rFonts w:ascii="Times New Roman" w:hAnsi="Times New Roman"/>
          <w:noProof w:val="0"/>
          <w:lang w:val="pt-BR"/>
        </w:rPr>
        <w:t>no exercício de 201</w:t>
      </w:r>
      <w:r w:rsidR="00564A63" w:rsidRPr="00564A63">
        <w:rPr>
          <w:rFonts w:ascii="Times New Roman" w:hAnsi="Times New Roman"/>
          <w:noProof w:val="0"/>
          <w:lang w:val="pt-BR"/>
        </w:rPr>
        <w:t>2</w:t>
      </w:r>
      <w:r w:rsidR="002852F1" w:rsidRPr="00564A63">
        <w:rPr>
          <w:rFonts w:ascii="Times New Roman" w:hAnsi="Times New Roman"/>
          <w:noProof w:val="0"/>
          <w:lang w:val="pt-BR"/>
        </w:rPr>
        <w:t xml:space="preserve"> foi de</w:t>
      </w:r>
      <w:r w:rsidR="00FF7429" w:rsidRPr="00564A63">
        <w:rPr>
          <w:rFonts w:ascii="Times New Roman" w:hAnsi="Times New Roman"/>
          <w:noProof w:val="0"/>
          <w:lang w:val="pt-BR"/>
        </w:rPr>
        <w:t xml:space="preserve"> </w:t>
      </w:r>
      <w:r w:rsidR="00564A63" w:rsidRPr="00564A63">
        <w:rPr>
          <w:rFonts w:ascii="Times New Roman" w:hAnsi="Times New Roman"/>
          <w:noProof w:val="0"/>
          <w:lang w:val="pt-BR"/>
        </w:rPr>
        <w:t>23,20</w:t>
      </w:r>
      <w:r w:rsidR="00DB04BE" w:rsidRPr="00564A63">
        <w:rPr>
          <w:rFonts w:ascii="Times New Roman" w:hAnsi="Times New Roman"/>
          <w:noProof w:val="0"/>
          <w:lang w:val="pt-BR"/>
        </w:rPr>
        <w:t>%</w:t>
      </w:r>
      <w:r w:rsidR="00FF7429" w:rsidRPr="00564A63">
        <w:rPr>
          <w:rFonts w:ascii="Times New Roman" w:hAnsi="Times New Roman"/>
          <w:noProof w:val="0"/>
          <w:lang w:val="pt-BR"/>
        </w:rPr>
        <w:t>.</w:t>
      </w:r>
    </w:p>
    <w:tbl>
      <w:tblPr>
        <w:tblW w:w="0" w:type="auto"/>
        <w:tblInd w:w="2547" w:type="dxa"/>
        <w:tblCellMar>
          <w:left w:w="70" w:type="dxa"/>
          <w:right w:w="70" w:type="dxa"/>
        </w:tblCellMar>
        <w:tblLook w:val="04A0"/>
      </w:tblPr>
      <w:tblGrid>
        <w:gridCol w:w="753"/>
        <w:gridCol w:w="1563"/>
        <w:gridCol w:w="1327"/>
        <w:gridCol w:w="634"/>
        <w:gridCol w:w="634"/>
        <w:gridCol w:w="992"/>
      </w:tblGrid>
      <w:tr w:rsidR="00564A63" w:rsidRPr="00564A63" w:rsidTr="00564A63">
        <w:trPr>
          <w:trHeight w:val="255"/>
        </w:trPr>
        <w:tc>
          <w:tcPr>
            <w:tcW w:w="0" w:type="auto"/>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64A63" w:rsidRPr="00564A63" w:rsidRDefault="00002A3D" w:rsidP="00564A63">
            <w:pPr>
              <w:spacing w:after="0" w:line="240" w:lineRule="auto"/>
              <w:rPr>
                <w:rFonts w:ascii="Times New Roman" w:eastAsia="Times New Roman" w:hAnsi="Times New Roman"/>
                <w:sz w:val="16"/>
                <w:szCs w:val="16"/>
                <w:lang w:eastAsia="pt-BR"/>
              </w:rPr>
            </w:pPr>
            <w:r>
              <w:rPr>
                <w:rFonts w:ascii="Times New Roman" w:eastAsia="Times New Roman" w:hAnsi="Times New Roman"/>
                <w:sz w:val="16"/>
                <w:szCs w:val="16"/>
                <w:lang w:eastAsia="pt-BR"/>
              </w:rPr>
              <w:t xml:space="preserve">Exercício </w:t>
            </w:r>
          </w:p>
        </w:tc>
        <w:tc>
          <w:tcPr>
            <w:tcW w:w="0" w:type="auto"/>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OS Distribuída (Qtde)</w:t>
            </w:r>
          </w:p>
        </w:tc>
        <w:tc>
          <w:tcPr>
            <w:tcW w:w="0" w:type="auto"/>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OS com AI (Qtde)</w:t>
            </w:r>
          </w:p>
        </w:tc>
        <w:tc>
          <w:tcPr>
            <w:tcW w:w="0" w:type="auto"/>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w:t>
            </w:r>
          </w:p>
        </w:tc>
        <w:tc>
          <w:tcPr>
            <w:tcW w:w="0" w:type="auto"/>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Média</w:t>
            </w: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 xml:space="preserve">Benchmark </w:t>
            </w:r>
          </w:p>
        </w:tc>
      </w:tr>
      <w:tr w:rsidR="00564A63" w:rsidRPr="00564A63" w:rsidTr="00564A63">
        <w:trPr>
          <w:trHeight w:val="25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2005</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514</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128</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24,90%</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29,13%</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56,90%</w:t>
            </w:r>
          </w:p>
        </w:tc>
      </w:tr>
      <w:tr w:rsidR="00564A63" w:rsidRPr="00564A63" w:rsidTr="00564A63">
        <w:trPr>
          <w:trHeight w:val="25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2006</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417</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140</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33,60%</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29,13%</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56,90%</w:t>
            </w:r>
          </w:p>
        </w:tc>
      </w:tr>
      <w:tr w:rsidR="00564A63" w:rsidRPr="00564A63" w:rsidTr="00564A63">
        <w:trPr>
          <w:trHeight w:val="25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2007</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451</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175</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38,80%</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29,13%</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56,90%</w:t>
            </w:r>
          </w:p>
        </w:tc>
      </w:tr>
      <w:tr w:rsidR="00564A63" w:rsidRPr="00564A63" w:rsidTr="00564A63">
        <w:trPr>
          <w:trHeight w:val="25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2008</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1.276</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281</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22,00%</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29,13%</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56,90%</w:t>
            </w:r>
          </w:p>
        </w:tc>
      </w:tr>
      <w:tr w:rsidR="00564A63" w:rsidRPr="00564A63" w:rsidTr="00564A63">
        <w:trPr>
          <w:trHeight w:val="25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2009</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1.872</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460</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24,60%</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29,13%</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56,90%</w:t>
            </w:r>
          </w:p>
        </w:tc>
      </w:tr>
      <w:tr w:rsidR="00564A63" w:rsidRPr="00564A63" w:rsidTr="00564A63">
        <w:trPr>
          <w:trHeight w:val="25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2010</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1.239</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112</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9,00%</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29,13%</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56,90%</w:t>
            </w:r>
          </w:p>
        </w:tc>
      </w:tr>
      <w:tr w:rsidR="00564A63" w:rsidRPr="00564A63" w:rsidTr="00564A63">
        <w:trPr>
          <w:trHeight w:val="25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2011</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1.486</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846</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56,90%</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29,13%</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56,90%</w:t>
            </w:r>
          </w:p>
        </w:tc>
      </w:tr>
      <w:tr w:rsidR="00564A63" w:rsidRPr="00564A63" w:rsidTr="00564A63">
        <w:trPr>
          <w:trHeight w:val="255"/>
        </w:trPr>
        <w:tc>
          <w:tcPr>
            <w:tcW w:w="0" w:type="auto"/>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2012</w:t>
            </w:r>
          </w:p>
        </w:tc>
        <w:tc>
          <w:tcPr>
            <w:tcW w:w="0" w:type="auto"/>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3</w:t>
            </w:r>
            <w:r>
              <w:rPr>
                <w:rFonts w:ascii="Times New Roman" w:eastAsia="Times New Roman" w:hAnsi="Times New Roman"/>
                <w:sz w:val="16"/>
                <w:szCs w:val="16"/>
                <w:lang w:eastAsia="pt-BR"/>
              </w:rPr>
              <w:t>.</w:t>
            </w:r>
            <w:r w:rsidRPr="00564A63">
              <w:rPr>
                <w:rFonts w:ascii="Times New Roman" w:eastAsia="Times New Roman" w:hAnsi="Times New Roman"/>
                <w:sz w:val="16"/>
                <w:szCs w:val="16"/>
                <w:lang w:eastAsia="pt-BR"/>
              </w:rPr>
              <w:t>147</w:t>
            </w:r>
          </w:p>
        </w:tc>
        <w:tc>
          <w:tcPr>
            <w:tcW w:w="0" w:type="auto"/>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730</w:t>
            </w:r>
          </w:p>
        </w:tc>
        <w:tc>
          <w:tcPr>
            <w:tcW w:w="0" w:type="auto"/>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23,20%</w:t>
            </w:r>
          </w:p>
        </w:tc>
        <w:tc>
          <w:tcPr>
            <w:tcW w:w="0" w:type="auto"/>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29,13%</w:t>
            </w: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564A63" w:rsidRPr="00564A63" w:rsidRDefault="00564A63" w:rsidP="00564A63">
            <w:pPr>
              <w:spacing w:after="0" w:line="240" w:lineRule="auto"/>
              <w:rPr>
                <w:rFonts w:ascii="Times New Roman" w:eastAsia="Times New Roman" w:hAnsi="Times New Roman"/>
                <w:sz w:val="16"/>
                <w:szCs w:val="16"/>
                <w:lang w:eastAsia="pt-BR"/>
              </w:rPr>
            </w:pPr>
            <w:r w:rsidRPr="00564A63">
              <w:rPr>
                <w:rFonts w:ascii="Times New Roman" w:eastAsia="Times New Roman" w:hAnsi="Times New Roman"/>
                <w:sz w:val="16"/>
                <w:szCs w:val="16"/>
                <w:lang w:eastAsia="pt-BR"/>
              </w:rPr>
              <w:t>56,90%</w:t>
            </w:r>
          </w:p>
        </w:tc>
      </w:tr>
    </w:tbl>
    <w:p w:rsidR="00BC1045" w:rsidRPr="00440BD8" w:rsidRDefault="00BC1045" w:rsidP="00670008">
      <w:pPr>
        <w:spacing w:after="0" w:line="240" w:lineRule="auto"/>
        <w:ind w:left="2160" w:firstLine="720"/>
        <w:jc w:val="both"/>
        <w:rPr>
          <w:rFonts w:ascii="Times New Roman" w:eastAsia="Times New Roman" w:hAnsi="Times New Roman"/>
          <w:color w:val="000000"/>
          <w:sz w:val="15"/>
          <w:szCs w:val="15"/>
          <w:lang w:eastAsia="pt-BR"/>
        </w:rPr>
      </w:pPr>
      <w:r w:rsidRPr="00440BD8">
        <w:rPr>
          <w:rFonts w:ascii="Times New Roman" w:eastAsia="Times New Roman" w:hAnsi="Times New Roman"/>
          <w:color w:val="000000"/>
          <w:sz w:val="15"/>
          <w:szCs w:val="15"/>
          <w:lang w:eastAsia="pt-BR"/>
        </w:rPr>
        <w:t xml:space="preserve">Fonte: Sistema de OS </w:t>
      </w:r>
      <w:r w:rsidR="00564A63">
        <w:rPr>
          <w:rFonts w:ascii="Times New Roman" w:eastAsia="Times New Roman" w:hAnsi="Times New Roman"/>
          <w:color w:val="000000"/>
          <w:sz w:val="15"/>
          <w:szCs w:val="15"/>
          <w:lang w:eastAsia="pt-BR"/>
        </w:rPr>
        <w:t>–</w:t>
      </w:r>
      <w:r w:rsidRPr="00440BD8">
        <w:rPr>
          <w:rFonts w:ascii="Times New Roman" w:eastAsia="Times New Roman" w:hAnsi="Times New Roman"/>
          <w:color w:val="000000"/>
          <w:sz w:val="15"/>
          <w:szCs w:val="15"/>
          <w:lang w:eastAsia="pt-BR"/>
        </w:rPr>
        <w:t xml:space="preserve"> DIFIS</w:t>
      </w:r>
      <w:r w:rsidR="00564A63">
        <w:rPr>
          <w:rFonts w:ascii="Times New Roman" w:eastAsia="Times New Roman" w:hAnsi="Times New Roman"/>
          <w:color w:val="000000"/>
          <w:sz w:val="15"/>
          <w:szCs w:val="15"/>
          <w:lang w:eastAsia="pt-BR"/>
        </w:rPr>
        <w:t xml:space="preserve"> (Planilha:Dados_Sistema_Fiscaliza e Consolidada)</w:t>
      </w:r>
    </w:p>
    <w:p w:rsidR="00FF7429" w:rsidRPr="00002A3D" w:rsidRDefault="00FF7429" w:rsidP="00670008">
      <w:pPr>
        <w:pStyle w:val="PargrafodaLista"/>
        <w:numPr>
          <w:ilvl w:val="0"/>
          <w:numId w:val="21"/>
        </w:numPr>
        <w:spacing w:before="120" w:after="120"/>
        <w:jc w:val="both"/>
        <w:rPr>
          <w:rFonts w:ascii="Times New Roman" w:hAnsi="Times New Roman"/>
          <w:noProof w:val="0"/>
          <w:lang w:val="pt-BR"/>
        </w:rPr>
      </w:pPr>
      <w:r w:rsidRPr="00002A3D">
        <w:rPr>
          <w:rFonts w:ascii="Times New Roman" w:hAnsi="Times New Roman"/>
          <w:noProof w:val="0"/>
          <w:lang w:val="pt-BR"/>
        </w:rPr>
        <w:t xml:space="preserve">Baixa abrangência na fiscalização de estabelecimentos em consequência </w:t>
      </w:r>
      <w:r w:rsidR="002852F1" w:rsidRPr="00002A3D">
        <w:rPr>
          <w:rFonts w:ascii="Times New Roman" w:hAnsi="Times New Roman"/>
          <w:noProof w:val="0"/>
          <w:lang w:val="pt-BR"/>
        </w:rPr>
        <w:t>da falta de padronização dos papéis de trabalho, da falta de controle na execução das ordens de serviços e da distribuição de ordens de serviços sem o levantamento de indícios fiscais. Em 201</w:t>
      </w:r>
      <w:r w:rsidR="00564A63" w:rsidRPr="00002A3D">
        <w:rPr>
          <w:rFonts w:ascii="Times New Roman" w:hAnsi="Times New Roman"/>
          <w:noProof w:val="0"/>
          <w:lang w:val="pt-BR"/>
        </w:rPr>
        <w:t>2</w:t>
      </w:r>
      <w:r w:rsidR="002852F1" w:rsidRPr="00002A3D">
        <w:rPr>
          <w:rFonts w:ascii="Times New Roman" w:hAnsi="Times New Roman"/>
          <w:noProof w:val="0"/>
          <w:lang w:val="pt-BR"/>
        </w:rPr>
        <w:t>, apenas 4</w:t>
      </w:r>
      <w:r w:rsidR="00002A3D" w:rsidRPr="00002A3D">
        <w:rPr>
          <w:rFonts w:ascii="Times New Roman" w:hAnsi="Times New Roman"/>
          <w:noProof w:val="0"/>
          <w:lang w:val="pt-BR"/>
        </w:rPr>
        <w:t>,44</w:t>
      </w:r>
      <w:r w:rsidR="002852F1" w:rsidRPr="00002A3D">
        <w:rPr>
          <w:rFonts w:ascii="Times New Roman" w:hAnsi="Times New Roman"/>
          <w:noProof w:val="0"/>
          <w:lang w:val="pt-BR"/>
        </w:rPr>
        <w:t>% dos contribuintes ativos foram fiscalizados</w:t>
      </w:r>
      <w:r w:rsidR="00D01588" w:rsidRPr="00002A3D">
        <w:rPr>
          <w:rFonts w:ascii="Times New Roman" w:hAnsi="Times New Roman"/>
          <w:noProof w:val="0"/>
          <w:lang w:val="pt-BR"/>
        </w:rPr>
        <w:t xml:space="preserve">. Os </w:t>
      </w:r>
      <w:r w:rsidR="002852F1" w:rsidRPr="00002A3D">
        <w:rPr>
          <w:rFonts w:ascii="Times New Roman" w:hAnsi="Times New Roman"/>
          <w:noProof w:val="0"/>
          <w:lang w:val="pt-BR"/>
        </w:rPr>
        <w:t xml:space="preserve">critérios </w:t>
      </w:r>
      <w:r w:rsidR="00D01588" w:rsidRPr="00002A3D">
        <w:rPr>
          <w:rFonts w:ascii="Times New Roman" w:hAnsi="Times New Roman"/>
          <w:noProof w:val="0"/>
          <w:lang w:val="pt-BR"/>
        </w:rPr>
        <w:t xml:space="preserve">de priorização não são </w:t>
      </w:r>
      <w:r w:rsidR="002852F1" w:rsidRPr="00002A3D">
        <w:rPr>
          <w:rFonts w:ascii="Times New Roman" w:hAnsi="Times New Roman"/>
          <w:noProof w:val="0"/>
          <w:lang w:val="pt-BR"/>
        </w:rPr>
        <w:t>claro</w:t>
      </w:r>
      <w:r w:rsidR="00D01588" w:rsidRPr="00002A3D">
        <w:rPr>
          <w:rFonts w:ascii="Times New Roman" w:hAnsi="Times New Roman"/>
          <w:noProof w:val="0"/>
          <w:lang w:val="pt-BR"/>
        </w:rPr>
        <w:t>s e bem definidos</w:t>
      </w:r>
      <w:r w:rsidR="002852F1" w:rsidRPr="00002A3D">
        <w:rPr>
          <w:rFonts w:ascii="Times New Roman" w:hAnsi="Times New Roman"/>
          <w:noProof w:val="0"/>
          <w:lang w:val="pt-BR"/>
        </w:rPr>
        <w:t>.</w:t>
      </w:r>
      <w:r w:rsidR="00201CE9" w:rsidRPr="00002A3D">
        <w:rPr>
          <w:rFonts w:ascii="Times New Roman" w:hAnsi="Times New Roman"/>
          <w:noProof w:val="0"/>
          <w:lang w:val="pt-BR"/>
        </w:rPr>
        <w:t xml:space="preserve"> </w:t>
      </w:r>
    </w:p>
    <w:tbl>
      <w:tblPr>
        <w:tblW w:w="5638" w:type="dxa"/>
        <w:tblInd w:w="2654" w:type="dxa"/>
        <w:tblCellMar>
          <w:left w:w="70" w:type="dxa"/>
          <w:right w:w="70" w:type="dxa"/>
        </w:tblCellMar>
        <w:tblLook w:val="04A0"/>
      </w:tblPr>
      <w:tblGrid>
        <w:gridCol w:w="1280"/>
        <w:gridCol w:w="1135"/>
        <w:gridCol w:w="1522"/>
        <w:gridCol w:w="1701"/>
      </w:tblGrid>
      <w:tr w:rsidR="00564A63" w:rsidRPr="00564A63" w:rsidTr="00002A3D">
        <w:trPr>
          <w:trHeight w:val="357"/>
        </w:trPr>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color w:val="000000"/>
                <w:sz w:val="16"/>
                <w:szCs w:val="16"/>
                <w:lang w:eastAsia="pt-BR"/>
              </w:rPr>
            </w:pPr>
            <w:r w:rsidRPr="00564A63">
              <w:rPr>
                <w:rFonts w:ascii="Times New Roman" w:eastAsia="Times New Roman" w:hAnsi="Times New Roman"/>
                <w:color w:val="000000"/>
                <w:sz w:val="16"/>
                <w:szCs w:val="16"/>
                <w:lang w:eastAsia="pt-BR"/>
              </w:rPr>
              <w:t>Exercício</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color w:val="000000"/>
                <w:sz w:val="16"/>
                <w:szCs w:val="16"/>
                <w:lang w:eastAsia="pt-BR"/>
              </w:rPr>
            </w:pPr>
            <w:r w:rsidRPr="00564A63">
              <w:rPr>
                <w:rFonts w:ascii="Times New Roman" w:eastAsia="Times New Roman" w:hAnsi="Times New Roman"/>
                <w:color w:val="000000"/>
                <w:sz w:val="16"/>
                <w:szCs w:val="16"/>
                <w:lang w:eastAsia="pt-BR"/>
              </w:rPr>
              <w:t>Contribuintes Ativos</w:t>
            </w:r>
          </w:p>
        </w:tc>
        <w:tc>
          <w:tcPr>
            <w:tcW w:w="1522" w:type="dxa"/>
            <w:tcBorders>
              <w:top w:val="single" w:sz="4" w:space="0" w:color="auto"/>
              <w:left w:val="nil"/>
              <w:bottom w:val="single" w:sz="4" w:space="0" w:color="auto"/>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color w:val="000000"/>
                <w:sz w:val="16"/>
                <w:szCs w:val="16"/>
                <w:lang w:eastAsia="pt-BR"/>
              </w:rPr>
            </w:pPr>
            <w:r w:rsidRPr="00564A63">
              <w:rPr>
                <w:rFonts w:ascii="Times New Roman" w:eastAsia="Times New Roman" w:hAnsi="Times New Roman"/>
                <w:color w:val="000000"/>
                <w:sz w:val="16"/>
                <w:szCs w:val="16"/>
                <w:lang w:eastAsia="pt-BR"/>
              </w:rPr>
              <w:t>Contribuintes Fiscalizados</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color w:val="000000"/>
                <w:sz w:val="16"/>
                <w:szCs w:val="16"/>
                <w:lang w:eastAsia="pt-BR"/>
              </w:rPr>
            </w:pPr>
            <w:r w:rsidRPr="00564A63">
              <w:rPr>
                <w:rFonts w:ascii="Times New Roman" w:eastAsia="Times New Roman" w:hAnsi="Times New Roman"/>
                <w:color w:val="000000"/>
                <w:sz w:val="16"/>
                <w:szCs w:val="16"/>
                <w:lang w:eastAsia="pt-BR"/>
              </w:rPr>
              <w:t>% Contrib. Fiscalizados / Contrib Ativos</w:t>
            </w:r>
          </w:p>
        </w:tc>
      </w:tr>
      <w:tr w:rsidR="00564A63" w:rsidRPr="00564A63" w:rsidTr="00002A3D">
        <w:trPr>
          <w:trHeight w:val="357"/>
        </w:trPr>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color w:val="000000"/>
                <w:sz w:val="16"/>
                <w:szCs w:val="16"/>
                <w:lang w:eastAsia="pt-BR"/>
              </w:rPr>
            </w:pPr>
            <w:r w:rsidRPr="00564A63">
              <w:rPr>
                <w:rFonts w:ascii="Times New Roman" w:eastAsia="Times New Roman" w:hAnsi="Times New Roman"/>
                <w:color w:val="000000"/>
                <w:sz w:val="16"/>
                <w:szCs w:val="16"/>
                <w:lang w:eastAsia="pt-BR"/>
              </w:rPr>
              <w:t>2011</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color w:val="000000"/>
                <w:sz w:val="16"/>
                <w:szCs w:val="16"/>
                <w:lang w:eastAsia="pt-BR"/>
              </w:rPr>
            </w:pPr>
            <w:r w:rsidRPr="00564A63">
              <w:rPr>
                <w:rFonts w:ascii="Times New Roman" w:eastAsia="Times New Roman" w:hAnsi="Times New Roman"/>
                <w:color w:val="000000"/>
                <w:sz w:val="16"/>
                <w:szCs w:val="16"/>
                <w:lang w:eastAsia="pt-BR"/>
              </w:rPr>
              <w:t>57979</w:t>
            </w:r>
          </w:p>
        </w:tc>
        <w:tc>
          <w:tcPr>
            <w:tcW w:w="1522" w:type="dxa"/>
            <w:tcBorders>
              <w:top w:val="single" w:sz="4" w:space="0" w:color="auto"/>
              <w:left w:val="nil"/>
              <w:bottom w:val="single" w:sz="4" w:space="0" w:color="auto"/>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color w:val="000000"/>
                <w:sz w:val="16"/>
                <w:szCs w:val="16"/>
                <w:lang w:eastAsia="pt-BR"/>
              </w:rPr>
            </w:pPr>
            <w:r w:rsidRPr="00564A63">
              <w:rPr>
                <w:rFonts w:ascii="Times New Roman" w:eastAsia="Times New Roman" w:hAnsi="Times New Roman"/>
                <w:color w:val="000000"/>
                <w:sz w:val="16"/>
                <w:szCs w:val="16"/>
                <w:lang w:eastAsia="pt-BR"/>
              </w:rPr>
              <w:t>1486</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color w:val="000000"/>
                <w:sz w:val="16"/>
                <w:szCs w:val="16"/>
                <w:lang w:eastAsia="pt-BR"/>
              </w:rPr>
            </w:pPr>
            <w:r w:rsidRPr="00564A63">
              <w:rPr>
                <w:rFonts w:ascii="Times New Roman" w:eastAsia="Times New Roman" w:hAnsi="Times New Roman"/>
                <w:color w:val="000000"/>
                <w:sz w:val="16"/>
                <w:szCs w:val="16"/>
                <w:lang w:eastAsia="pt-BR"/>
              </w:rPr>
              <w:t>2,56%</w:t>
            </w:r>
          </w:p>
        </w:tc>
      </w:tr>
      <w:tr w:rsidR="00564A63" w:rsidRPr="00564A63" w:rsidTr="00002A3D">
        <w:trPr>
          <w:trHeight w:val="357"/>
        </w:trPr>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color w:val="000000"/>
                <w:sz w:val="16"/>
                <w:szCs w:val="16"/>
                <w:lang w:eastAsia="pt-BR"/>
              </w:rPr>
            </w:pPr>
            <w:r w:rsidRPr="00564A63">
              <w:rPr>
                <w:rFonts w:ascii="Times New Roman" w:eastAsia="Times New Roman" w:hAnsi="Times New Roman"/>
                <w:color w:val="000000"/>
                <w:sz w:val="16"/>
                <w:szCs w:val="16"/>
                <w:lang w:eastAsia="pt-BR"/>
              </w:rPr>
              <w:t>2012</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color w:val="000000"/>
                <w:sz w:val="16"/>
                <w:szCs w:val="16"/>
                <w:lang w:eastAsia="pt-BR"/>
              </w:rPr>
            </w:pPr>
            <w:r w:rsidRPr="00564A63">
              <w:rPr>
                <w:rFonts w:ascii="Times New Roman" w:eastAsia="Times New Roman" w:hAnsi="Times New Roman"/>
                <w:color w:val="000000"/>
                <w:sz w:val="16"/>
                <w:szCs w:val="16"/>
                <w:lang w:eastAsia="pt-BR"/>
              </w:rPr>
              <w:t>70815</w:t>
            </w:r>
          </w:p>
        </w:tc>
        <w:tc>
          <w:tcPr>
            <w:tcW w:w="1522" w:type="dxa"/>
            <w:tcBorders>
              <w:top w:val="single" w:sz="4" w:space="0" w:color="auto"/>
              <w:left w:val="nil"/>
              <w:bottom w:val="single" w:sz="4" w:space="0" w:color="auto"/>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color w:val="000000"/>
                <w:sz w:val="16"/>
                <w:szCs w:val="16"/>
                <w:lang w:eastAsia="pt-BR"/>
              </w:rPr>
            </w:pPr>
            <w:r w:rsidRPr="00564A63">
              <w:rPr>
                <w:rFonts w:ascii="Times New Roman" w:eastAsia="Times New Roman" w:hAnsi="Times New Roman"/>
                <w:color w:val="000000"/>
                <w:sz w:val="16"/>
                <w:szCs w:val="16"/>
                <w:lang w:eastAsia="pt-BR"/>
              </w:rPr>
              <w:t>3147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64A63" w:rsidRPr="00564A63" w:rsidRDefault="00564A63" w:rsidP="00564A63">
            <w:pPr>
              <w:spacing w:after="0" w:line="240" w:lineRule="auto"/>
              <w:jc w:val="center"/>
              <w:rPr>
                <w:rFonts w:ascii="Times New Roman" w:eastAsia="Times New Roman" w:hAnsi="Times New Roman"/>
                <w:color w:val="000000"/>
                <w:sz w:val="16"/>
                <w:szCs w:val="16"/>
                <w:lang w:eastAsia="pt-BR"/>
              </w:rPr>
            </w:pPr>
            <w:r w:rsidRPr="00564A63">
              <w:rPr>
                <w:rFonts w:ascii="Times New Roman" w:eastAsia="Times New Roman" w:hAnsi="Times New Roman"/>
                <w:color w:val="000000"/>
                <w:sz w:val="16"/>
                <w:szCs w:val="16"/>
                <w:lang w:eastAsia="pt-BR"/>
              </w:rPr>
              <w:t>4,44%</w:t>
            </w:r>
          </w:p>
        </w:tc>
      </w:tr>
    </w:tbl>
    <w:p w:rsidR="00BC1045" w:rsidRPr="00440BD8" w:rsidRDefault="00BC1045" w:rsidP="00670008">
      <w:pPr>
        <w:spacing w:after="0" w:line="240" w:lineRule="auto"/>
        <w:ind w:left="2160" w:firstLine="720"/>
        <w:jc w:val="both"/>
        <w:rPr>
          <w:rFonts w:ascii="Times New Roman" w:eastAsia="Times New Roman" w:hAnsi="Times New Roman"/>
          <w:color w:val="000000"/>
          <w:sz w:val="15"/>
          <w:szCs w:val="15"/>
          <w:lang w:eastAsia="pt-BR"/>
        </w:rPr>
      </w:pPr>
      <w:r w:rsidRPr="00440BD8">
        <w:rPr>
          <w:rFonts w:ascii="Times New Roman" w:eastAsia="Times New Roman" w:hAnsi="Times New Roman"/>
          <w:color w:val="000000"/>
          <w:sz w:val="15"/>
          <w:szCs w:val="15"/>
          <w:lang w:eastAsia="pt-BR"/>
        </w:rPr>
        <w:t xml:space="preserve">Fonte: Sistema de OS </w:t>
      </w:r>
      <w:r w:rsidR="00002A3D">
        <w:rPr>
          <w:rFonts w:ascii="Times New Roman" w:eastAsia="Times New Roman" w:hAnsi="Times New Roman"/>
          <w:color w:val="000000"/>
          <w:sz w:val="15"/>
          <w:szCs w:val="15"/>
          <w:lang w:eastAsia="pt-BR"/>
        </w:rPr>
        <w:t>–</w:t>
      </w:r>
      <w:r w:rsidRPr="00440BD8">
        <w:rPr>
          <w:rFonts w:ascii="Times New Roman" w:eastAsia="Times New Roman" w:hAnsi="Times New Roman"/>
          <w:color w:val="000000"/>
          <w:sz w:val="15"/>
          <w:szCs w:val="15"/>
          <w:lang w:eastAsia="pt-BR"/>
        </w:rPr>
        <w:t xml:space="preserve"> DIFIS</w:t>
      </w:r>
      <w:r w:rsidR="00002A3D">
        <w:rPr>
          <w:rFonts w:ascii="Times New Roman" w:eastAsia="Times New Roman" w:hAnsi="Times New Roman"/>
          <w:color w:val="000000"/>
          <w:sz w:val="15"/>
          <w:szCs w:val="15"/>
          <w:lang w:eastAsia="pt-BR"/>
        </w:rPr>
        <w:t xml:space="preserve"> e </w:t>
      </w:r>
      <w:r w:rsidR="00002A3D" w:rsidRPr="00002A3D">
        <w:rPr>
          <w:rFonts w:ascii="Times New Roman" w:eastAsia="Times New Roman" w:hAnsi="Times New Roman"/>
          <w:color w:val="000000"/>
          <w:sz w:val="15"/>
          <w:szCs w:val="15"/>
          <w:lang w:eastAsia="pt-BR"/>
        </w:rPr>
        <w:t>ADMDEC001.DEC_HISTORICO_CONTRIBUINTE</w:t>
      </w:r>
    </w:p>
    <w:p w:rsidR="002852F1" w:rsidRPr="00800598" w:rsidRDefault="002852F1" w:rsidP="00670008">
      <w:pPr>
        <w:pStyle w:val="PargrafodaLista"/>
        <w:numPr>
          <w:ilvl w:val="0"/>
          <w:numId w:val="21"/>
        </w:numPr>
        <w:spacing w:before="120" w:after="120"/>
        <w:jc w:val="both"/>
        <w:rPr>
          <w:rFonts w:ascii="Times New Roman" w:hAnsi="Times New Roman"/>
          <w:noProof w:val="0"/>
          <w:color w:val="000000" w:themeColor="text1"/>
          <w:lang w:val="pt-BR"/>
        </w:rPr>
      </w:pPr>
      <w:r w:rsidRPr="00800598">
        <w:rPr>
          <w:rFonts w:ascii="Times New Roman" w:hAnsi="Times New Roman"/>
          <w:noProof w:val="0"/>
          <w:color w:val="000000" w:themeColor="text1"/>
          <w:lang w:val="pt-BR"/>
        </w:rPr>
        <w:t>Desalinhamento nas iniciativas para o alcance das metas de arrecadação causado, principalmente, pelo planejamento da ação fiscal não suportado por informações tratadas em monitoramento contínuo, pela falta de uma sistemática estruturada para definição das metas de arrecadação e pela inexistência de análise específica do cenário econômico e fiscal por setor de atividade.</w:t>
      </w:r>
      <w:r w:rsidR="001D485C">
        <w:rPr>
          <w:rFonts w:ascii="Times New Roman" w:hAnsi="Times New Roman"/>
          <w:noProof w:val="0"/>
          <w:color w:val="000000" w:themeColor="text1"/>
          <w:lang w:val="pt-BR"/>
        </w:rPr>
        <w:t xml:space="preserve"> No último exercício, 2012</w:t>
      </w:r>
      <w:r w:rsidR="00073823" w:rsidRPr="00800598">
        <w:rPr>
          <w:rFonts w:ascii="Times New Roman" w:hAnsi="Times New Roman"/>
          <w:noProof w:val="0"/>
          <w:color w:val="000000" w:themeColor="text1"/>
          <w:lang w:val="pt-BR"/>
        </w:rPr>
        <w:t xml:space="preserve">, </w:t>
      </w:r>
      <w:r w:rsidR="00905AB5" w:rsidRPr="00800598">
        <w:rPr>
          <w:rFonts w:ascii="Times New Roman" w:hAnsi="Times New Roman"/>
          <w:noProof w:val="0"/>
          <w:color w:val="000000" w:themeColor="text1"/>
          <w:lang w:val="pt-BR"/>
        </w:rPr>
        <w:t xml:space="preserve">o percentual </w:t>
      </w:r>
      <w:r w:rsidR="00073823" w:rsidRPr="00800598">
        <w:rPr>
          <w:rFonts w:ascii="Times New Roman" w:hAnsi="Times New Roman"/>
          <w:noProof w:val="0"/>
          <w:color w:val="000000" w:themeColor="text1"/>
          <w:lang w:val="pt-BR"/>
        </w:rPr>
        <w:t>de segmentos com m</w:t>
      </w:r>
      <w:r w:rsidR="00230B82">
        <w:rPr>
          <w:rFonts w:ascii="Times New Roman" w:hAnsi="Times New Roman"/>
          <w:noProof w:val="0"/>
          <w:color w:val="000000" w:themeColor="text1"/>
          <w:lang w:val="pt-BR"/>
        </w:rPr>
        <w:t>etas alcançadas foi de apenas 41,6</w:t>
      </w:r>
      <w:r w:rsidR="00073823" w:rsidRPr="00800598">
        <w:rPr>
          <w:rFonts w:ascii="Times New Roman" w:hAnsi="Times New Roman"/>
          <w:noProof w:val="0"/>
          <w:color w:val="000000" w:themeColor="text1"/>
          <w:lang w:val="pt-BR"/>
        </w:rPr>
        <w:t>% (quantidade de segmentos com metas alcançadas / quantidade total de segmentos com metas</w:t>
      </w:r>
      <w:r w:rsidR="00147C4A" w:rsidRPr="00800598">
        <w:rPr>
          <w:rFonts w:ascii="Times New Roman" w:hAnsi="Times New Roman"/>
          <w:noProof w:val="0"/>
          <w:color w:val="000000" w:themeColor="text1"/>
          <w:lang w:val="pt-BR"/>
        </w:rPr>
        <w:t>).</w:t>
      </w:r>
    </w:p>
    <w:tbl>
      <w:tblPr>
        <w:tblW w:w="4850" w:type="dxa"/>
        <w:tblInd w:w="2617" w:type="dxa"/>
        <w:tblCellMar>
          <w:left w:w="70" w:type="dxa"/>
          <w:right w:w="70" w:type="dxa"/>
        </w:tblCellMar>
        <w:tblLook w:val="04A0"/>
      </w:tblPr>
      <w:tblGrid>
        <w:gridCol w:w="6050"/>
      </w:tblGrid>
      <w:tr w:rsidR="00147C4A" w:rsidRPr="00440BD8" w:rsidTr="00230B82">
        <w:trPr>
          <w:trHeight w:val="300"/>
        </w:trPr>
        <w:tc>
          <w:tcPr>
            <w:tcW w:w="4850" w:type="dxa"/>
            <w:tcBorders>
              <w:top w:val="nil"/>
              <w:left w:val="nil"/>
              <w:bottom w:val="nil"/>
              <w:right w:val="nil"/>
            </w:tcBorders>
            <w:shd w:val="clear" w:color="auto" w:fill="auto"/>
            <w:noWrap/>
            <w:vAlign w:val="center"/>
            <w:hideMark/>
          </w:tcPr>
          <w:p w:rsidR="00147C4A" w:rsidRPr="00440BD8" w:rsidRDefault="00147C4A" w:rsidP="00670008">
            <w:pPr>
              <w:spacing w:after="0" w:line="240" w:lineRule="auto"/>
              <w:rPr>
                <w:rFonts w:ascii="Times New Roman" w:eastAsia="Times New Roman" w:hAnsi="Times New Roman"/>
                <w:b/>
                <w:bCs/>
                <w:sz w:val="18"/>
                <w:szCs w:val="18"/>
                <w:lang w:eastAsia="pt-BR"/>
              </w:rPr>
            </w:pPr>
            <w:r w:rsidRPr="00440BD8">
              <w:rPr>
                <w:rFonts w:ascii="Times New Roman" w:eastAsia="Times New Roman" w:hAnsi="Times New Roman"/>
                <w:b/>
                <w:bCs/>
                <w:sz w:val="18"/>
                <w:szCs w:val="18"/>
                <w:lang w:eastAsia="pt-BR"/>
              </w:rPr>
              <w:t>Desvio da meta e</w:t>
            </w:r>
            <w:r w:rsidR="001D485C">
              <w:rPr>
                <w:rFonts w:ascii="Times New Roman" w:eastAsia="Times New Roman" w:hAnsi="Times New Roman"/>
                <w:b/>
                <w:bCs/>
                <w:sz w:val="18"/>
                <w:szCs w:val="18"/>
                <w:lang w:eastAsia="pt-BR"/>
              </w:rPr>
              <w:t>stabelecida para o ICMS, em 2012</w:t>
            </w:r>
          </w:p>
        </w:tc>
      </w:tr>
      <w:tr w:rsidR="00230B82" w:rsidRPr="00440BD8" w:rsidTr="00002A3D">
        <w:trPr>
          <w:trHeight w:val="3893"/>
        </w:trPr>
        <w:tc>
          <w:tcPr>
            <w:tcW w:w="4850" w:type="dxa"/>
            <w:tcBorders>
              <w:top w:val="nil"/>
              <w:left w:val="nil"/>
              <w:bottom w:val="nil"/>
              <w:right w:val="nil"/>
            </w:tcBorders>
            <w:shd w:val="clear" w:color="auto" w:fill="auto"/>
            <w:noWrap/>
            <w:vAlign w:val="center"/>
            <w:hideMark/>
          </w:tcPr>
          <w:tbl>
            <w:tblPr>
              <w:tblW w:w="5900" w:type="dxa"/>
              <w:tblCellMar>
                <w:left w:w="70" w:type="dxa"/>
                <w:right w:w="70" w:type="dxa"/>
              </w:tblCellMar>
              <w:tblLook w:val="04A0"/>
            </w:tblPr>
            <w:tblGrid>
              <w:gridCol w:w="2860"/>
              <w:gridCol w:w="3040"/>
            </w:tblGrid>
            <w:tr w:rsidR="00230B82" w:rsidRPr="00230B82" w:rsidTr="00230B82">
              <w:trPr>
                <w:trHeight w:val="300"/>
              </w:trPr>
              <w:tc>
                <w:tcPr>
                  <w:tcW w:w="2860" w:type="dxa"/>
                  <w:tcBorders>
                    <w:top w:val="single" w:sz="4" w:space="0" w:color="auto"/>
                    <w:left w:val="single" w:sz="4" w:space="0" w:color="auto"/>
                    <w:bottom w:val="single" w:sz="4" w:space="0" w:color="auto"/>
                    <w:right w:val="single" w:sz="4" w:space="0" w:color="auto"/>
                  </w:tcBorders>
                  <w:shd w:val="clear" w:color="000000" w:fill="376091"/>
                  <w:vAlign w:val="bottom"/>
                  <w:hideMark/>
                </w:tcPr>
                <w:p w:rsidR="00230B82" w:rsidRPr="00230B82" w:rsidRDefault="00230B82" w:rsidP="00230B82">
                  <w:pPr>
                    <w:spacing w:after="0" w:line="240" w:lineRule="auto"/>
                    <w:jc w:val="center"/>
                    <w:rPr>
                      <w:rFonts w:eastAsia="Times New Roman"/>
                      <w:b/>
                      <w:bCs/>
                      <w:noProof w:val="0"/>
                      <w:color w:val="FFFFFF"/>
                      <w:lang w:val="pt-BR" w:eastAsia="pt-BR"/>
                    </w:rPr>
                  </w:pPr>
                  <w:r w:rsidRPr="00230B82">
                    <w:rPr>
                      <w:rFonts w:eastAsia="Times New Roman"/>
                      <w:b/>
                      <w:bCs/>
                      <w:noProof w:val="0"/>
                      <w:color w:val="FFFFFF"/>
                      <w:lang w:val="pt-BR" w:eastAsia="pt-BR"/>
                    </w:rPr>
                    <w:t>Segmento</w:t>
                  </w:r>
                  <w:r w:rsidR="00E3421D">
                    <w:rPr>
                      <w:rFonts w:eastAsia="Times New Roman"/>
                      <w:b/>
                      <w:bCs/>
                      <w:noProof w:val="0"/>
                      <w:color w:val="FFFFFF"/>
                      <w:lang w:val="pt-BR" w:eastAsia="pt-BR"/>
                    </w:rPr>
                    <w:t>s</w:t>
                  </w:r>
                  <w:r w:rsidRPr="00230B82">
                    <w:rPr>
                      <w:rFonts w:eastAsia="Times New Roman"/>
                      <w:b/>
                      <w:bCs/>
                      <w:noProof w:val="0"/>
                      <w:color w:val="FFFFFF"/>
                      <w:lang w:val="pt-BR" w:eastAsia="pt-BR"/>
                    </w:rPr>
                    <w:t xml:space="preserve"> - 2012</w:t>
                  </w:r>
                </w:p>
              </w:tc>
              <w:tc>
                <w:tcPr>
                  <w:tcW w:w="3040" w:type="dxa"/>
                  <w:tcBorders>
                    <w:top w:val="single" w:sz="4" w:space="0" w:color="auto"/>
                    <w:left w:val="nil"/>
                    <w:bottom w:val="single" w:sz="4" w:space="0" w:color="auto"/>
                    <w:right w:val="single" w:sz="4" w:space="0" w:color="auto"/>
                  </w:tcBorders>
                  <w:shd w:val="clear" w:color="000000" w:fill="376091"/>
                  <w:vAlign w:val="bottom"/>
                  <w:hideMark/>
                </w:tcPr>
                <w:p w:rsidR="00230B82" w:rsidRPr="00230B82" w:rsidRDefault="00230B82" w:rsidP="00230B82">
                  <w:pPr>
                    <w:spacing w:after="0" w:line="240" w:lineRule="auto"/>
                    <w:jc w:val="center"/>
                    <w:rPr>
                      <w:rFonts w:eastAsia="Times New Roman"/>
                      <w:b/>
                      <w:bCs/>
                      <w:noProof w:val="0"/>
                      <w:color w:val="FFFFFF"/>
                      <w:lang w:val="pt-BR" w:eastAsia="pt-BR"/>
                    </w:rPr>
                  </w:pPr>
                  <w:r w:rsidRPr="00230B82">
                    <w:rPr>
                      <w:rFonts w:eastAsia="Times New Roman"/>
                      <w:b/>
                      <w:bCs/>
                      <w:noProof w:val="0"/>
                      <w:color w:val="FFFFFF"/>
                      <w:lang w:val="pt-BR" w:eastAsia="pt-BR"/>
                    </w:rPr>
                    <w:t>% de desvio da meta</w:t>
                  </w:r>
                </w:p>
              </w:tc>
            </w:tr>
            <w:tr w:rsidR="00230B82" w:rsidRPr="00230B82" w:rsidTr="00230B82">
              <w:trPr>
                <w:trHeight w:val="255"/>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230B82" w:rsidRPr="00230B82" w:rsidRDefault="00230B82" w:rsidP="00230B82">
                  <w:pPr>
                    <w:spacing w:after="0" w:line="240" w:lineRule="auto"/>
                    <w:jc w:val="center"/>
                    <w:rPr>
                      <w:rFonts w:eastAsia="Times New Roman"/>
                      <w:noProof w:val="0"/>
                      <w:sz w:val="18"/>
                      <w:szCs w:val="18"/>
                      <w:lang w:val="pt-BR" w:eastAsia="pt-BR"/>
                    </w:rPr>
                  </w:pPr>
                  <w:r w:rsidRPr="00230B82">
                    <w:rPr>
                      <w:rFonts w:eastAsia="Times New Roman"/>
                      <w:noProof w:val="0"/>
                      <w:sz w:val="18"/>
                      <w:szCs w:val="18"/>
                      <w:lang w:val="pt-BR" w:eastAsia="pt-BR"/>
                    </w:rPr>
                    <w:t>ALIMENTAÇÃO</w:t>
                  </w:r>
                </w:p>
              </w:tc>
              <w:tc>
                <w:tcPr>
                  <w:tcW w:w="3040" w:type="dxa"/>
                  <w:tcBorders>
                    <w:top w:val="nil"/>
                    <w:left w:val="nil"/>
                    <w:bottom w:val="single" w:sz="4" w:space="0" w:color="auto"/>
                    <w:right w:val="single" w:sz="4" w:space="0" w:color="auto"/>
                  </w:tcBorders>
                  <w:shd w:val="clear" w:color="auto" w:fill="auto"/>
                  <w:noWrap/>
                  <w:vAlign w:val="bottom"/>
                  <w:hideMark/>
                </w:tcPr>
                <w:p w:rsidR="00230B82" w:rsidRPr="00230B82" w:rsidRDefault="00230B82" w:rsidP="00230B82">
                  <w:pPr>
                    <w:spacing w:after="0" w:line="240" w:lineRule="auto"/>
                    <w:jc w:val="right"/>
                    <w:rPr>
                      <w:rFonts w:eastAsia="Times New Roman"/>
                      <w:noProof w:val="0"/>
                      <w:color w:val="000000"/>
                      <w:sz w:val="18"/>
                      <w:szCs w:val="18"/>
                      <w:lang w:val="pt-BR" w:eastAsia="pt-BR"/>
                    </w:rPr>
                  </w:pPr>
                  <w:r w:rsidRPr="00230B82">
                    <w:rPr>
                      <w:rFonts w:eastAsia="Times New Roman"/>
                      <w:noProof w:val="0"/>
                      <w:color w:val="000000"/>
                      <w:sz w:val="18"/>
                      <w:szCs w:val="18"/>
                      <w:lang w:val="pt-BR" w:eastAsia="pt-BR"/>
                    </w:rPr>
                    <w:t>5,53%</w:t>
                  </w:r>
                </w:p>
              </w:tc>
            </w:tr>
            <w:tr w:rsidR="00230B82" w:rsidRPr="00230B82" w:rsidTr="00230B82">
              <w:trPr>
                <w:trHeight w:val="255"/>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230B82" w:rsidRPr="00230B82" w:rsidRDefault="00230B82" w:rsidP="00230B82">
                  <w:pPr>
                    <w:spacing w:after="0" w:line="240" w:lineRule="auto"/>
                    <w:jc w:val="center"/>
                    <w:rPr>
                      <w:rFonts w:eastAsia="Times New Roman"/>
                      <w:noProof w:val="0"/>
                      <w:sz w:val="18"/>
                      <w:szCs w:val="18"/>
                      <w:lang w:val="pt-BR" w:eastAsia="pt-BR"/>
                    </w:rPr>
                  </w:pPr>
                  <w:r w:rsidRPr="00230B82">
                    <w:rPr>
                      <w:rFonts w:eastAsia="Times New Roman"/>
                      <w:noProof w:val="0"/>
                      <w:sz w:val="18"/>
                      <w:szCs w:val="18"/>
                      <w:lang w:val="pt-BR" w:eastAsia="pt-BR"/>
                    </w:rPr>
                    <w:t>AUTOMOTIVOS</w:t>
                  </w:r>
                </w:p>
              </w:tc>
              <w:tc>
                <w:tcPr>
                  <w:tcW w:w="3040" w:type="dxa"/>
                  <w:tcBorders>
                    <w:top w:val="nil"/>
                    <w:left w:val="nil"/>
                    <w:bottom w:val="single" w:sz="4" w:space="0" w:color="auto"/>
                    <w:right w:val="single" w:sz="4" w:space="0" w:color="auto"/>
                  </w:tcBorders>
                  <w:shd w:val="clear" w:color="auto" w:fill="auto"/>
                  <w:noWrap/>
                  <w:vAlign w:val="bottom"/>
                  <w:hideMark/>
                </w:tcPr>
                <w:p w:rsidR="00230B82" w:rsidRPr="00230B82" w:rsidRDefault="00230B82" w:rsidP="00230B82">
                  <w:pPr>
                    <w:spacing w:after="0" w:line="240" w:lineRule="auto"/>
                    <w:jc w:val="right"/>
                    <w:rPr>
                      <w:rFonts w:eastAsia="Times New Roman"/>
                      <w:noProof w:val="0"/>
                      <w:color w:val="FF0000"/>
                      <w:sz w:val="18"/>
                      <w:szCs w:val="18"/>
                      <w:lang w:val="pt-BR" w:eastAsia="pt-BR"/>
                    </w:rPr>
                  </w:pPr>
                  <w:r w:rsidRPr="00230B82">
                    <w:rPr>
                      <w:rFonts w:eastAsia="Times New Roman"/>
                      <w:noProof w:val="0"/>
                      <w:color w:val="FF0000"/>
                      <w:sz w:val="18"/>
                      <w:szCs w:val="18"/>
                      <w:lang w:val="pt-BR" w:eastAsia="pt-BR"/>
                    </w:rPr>
                    <w:t>-7,89%</w:t>
                  </w:r>
                </w:p>
              </w:tc>
            </w:tr>
            <w:tr w:rsidR="00230B82" w:rsidRPr="00230B82" w:rsidTr="00230B82">
              <w:trPr>
                <w:trHeight w:val="255"/>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230B82" w:rsidRPr="00230B82" w:rsidRDefault="00230B82" w:rsidP="00230B82">
                  <w:pPr>
                    <w:spacing w:after="0" w:line="240" w:lineRule="auto"/>
                    <w:jc w:val="center"/>
                    <w:rPr>
                      <w:rFonts w:eastAsia="Times New Roman"/>
                      <w:noProof w:val="0"/>
                      <w:sz w:val="18"/>
                      <w:szCs w:val="18"/>
                      <w:lang w:val="pt-BR" w:eastAsia="pt-BR"/>
                    </w:rPr>
                  </w:pPr>
                  <w:r w:rsidRPr="00230B82">
                    <w:rPr>
                      <w:rFonts w:eastAsia="Times New Roman"/>
                      <w:noProof w:val="0"/>
                      <w:sz w:val="18"/>
                      <w:szCs w:val="18"/>
                      <w:lang w:val="pt-BR" w:eastAsia="pt-BR"/>
                    </w:rPr>
                    <w:t>BEBIDAS/FUMO</w:t>
                  </w:r>
                </w:p>
              </w:tc>
              <w:tc>
                <w:tcPr>
                  <w:tcW w:w="3040" w:type="dxa"/>
                  <w:tcBorders>
                    <w:top w:val="nil"/>
                    <w:left w:val="nil"/>
                    <w:bottom w:val="single" w:sz="4" w:space="0" w:color="auto"/>
                    <w:right w:val="single" w:sz="4" w:space="0" w:color="auto"/>
                  </w:tcBorders>
                  <w:shd w:val="clear" w:color="auto" w:fill="auto"/>
                  <w:noWrap/>
                  <w:vAlign w:val="bottom"/>
                  <w:hideMark/>
                </w:tcPr>
                <w:p w:rsidR="00230B82" w:rsidRPr="00230B82" w:rsidRDefault="00230B82" w:rsidP="00230B82">
                  <w:pPr>
                    <w:spacing w:after="0" w:line="240" w:lineRule="auto"/>
                    <w:jc w:val="right"/>
                    <w:rPr>
                      <w:rFonts w:eastAsia="Times New Roman"/>
                      <w:noProof w:val="0"/>
                      <w:color w:val="FF0000"/>
                      <w:sz w:val="18"/>
                      <w:szCs w:val="18"/>
                      <w:lang w:val="pt-BR" w:eastAsia="pt-BR"/>
                    </w:rPr>
                  </w:pPr>
                  <w:r w:rsidRPr="00230B82">
                    <w:rPr>
                      <w:rFonts w:eastAsia="Times New Roman"/>
                      <w:noProof w:val="0"/>
                      <w:color w:val="FF0000"/>
                      <w:sz w:val="18"/>
                      <w:szCs w:val="18"/>
                      <w:lang w:val="pt-BR" w:eastAsia="pt-BR"/>
                    </w:rPr>
                    <w:t>-7,04%</w:t>
                  </w:r>
                </w:p>
              </w:tc>
            </w:tr>
            <w:tr w:rsidR="00230B82" w:rsidRPr="00230B82" w:rsidTr="00230B82">
              <w:trPr>
                <w:trHeight w:val="255"/>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230B82" w:rsidRPr="00230B82" w:rsidRDefault="00230B82" w:rsidP="00230B82">
                  <w:pPr>
                    <w:spacing w:after="0" w:line="240" w:lineRule="auto"/>
                    <w:jc w:val="center"/>
                    <w:rPr>
                      <w:rFonts w:eastAsia="Times New Roman"/>
                      <w:noProof w:val="0"/>
                      <w:sz w:val="18"/>
                      <w:szCs w:val="18"/>
                      <w:lang w:val="pt-BR" w:eastAsia="pt-BR"/>
                    </w:rPr>
                  </w:pPr>
                  <w:r w:rsidRPr="00230B82">
                    <w:rPr>
                      <w:rFonts w:eastAsia="Times New Roman"/>
                      <w:noProof w:val="0"/>
                      <w:sz w:val="18"/>
                      <w:szCs w:val="18"/>
                      <w:lang w:val="pt-BR" w:eastAsia="pt-BR"/>
                    </w:rPr>
                    <w:t>COMBUSTÍVEL</w:t>
                  </w:r>
                </w:p>
              </w:tc>
              <w:tc>
                <w:tcPr>
                  <w:tcW w:w="3040" w:type="dxa"/>
                  <w:tcBorders>
                    <w:top w:val="nil"/>
                    <w:left w:val="nil"/>
                    <w:bottom w:val="single" w:sz="4" w:space="0" w:color="auto"/>
                    <w:right w:val="single" w:sz="4" w:space="0" w:color="auto"/>
                  </w:tcBorders>
                  <w:shd w:val="clear" w:color="auto" w:fill="auto"/>
                  <w:noWrap/>
                  <w:vAlign w:val="bottom"/>
                  <w:hideMark/>
                </w:tcPr>
                <w:p w:rsidR="00230B82" w:rsidRPr="00230B82" w:rsidRDefault="00230B82" w:rsidP="00230B82">
                  <w:pPr>
                    <w:spacing w:after="0" w:line="240" w:lineRule="auto"/>
                    <w:jc w:val="right"/>
                    <w:rPr>
                      <w:rFonts w:eastAsia="Times New Roman"/>
                      <w:noProof w:val="0"/>
                      <w:color w:val="FF0000"/>
                      <w:sz w:val="18"/>
                      <w:szCs w:val="18"/>
                      <w:lang w:val="pt-BR" w:eastAsia="pt-BR"/>
                    </w:rPr>
                  </w:pPr>
                  <w:r w:rsidRPr="00230B82">
                    <w:rPr>
                      <w:rFonts w:eastAsia="Times New Roman"/>
                      <w:noProof w:val="0"/>
                      <w:color w:val="FF0000"/>
                      <w:sz w:val="18"/>
                      <w:szCs w:val="18"/>
                      <w:lang w:val="pt-BR" w:eastAsia="pt-BR"/>
                    </w:rPr>
                    <w:t>-8,52%</w:t>
                  </w:r>
                </w:p>
              </w:tc>
            </w:tr>
            <w:tr w:rsidR="00230B82" w:rsidRPr="00230B82" w:rsidTr="00230B82">
              <w:trPr>
                <w:trHeight w:val="255"/>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230B82" w:rsidRPr="00230B82" w:rsidRDefault="00230B82" w:rsidP="00230B82">
                  <w:pPr>
                    <w:spacing w:after="0" w:line="240" w:lineRule="auto"/>
                    <w:jc w:val="center"/>
                    <w:rPr>
                      <w:rFonts w:eastAsia="Times New Roman"/>
                      <w:noProof w:val="0"/>
                      <w:sz w:val="18"/>
                      <w:szCs w:val="18"/>
                      <w:lang w:val="pt-BR" w:eastAsia="pt-BR"/>
                    </w:rPr>
                  </w:pPr>
                  <w:r w:rsidRPr="00230B82">
                    <w:rPr>
                      <w:rFonts w:eastAsia="Times New Roman"/>
                      <w:noProof w:val="0"/>
                      <w:sz w:val="18"/>
                      <w:szCs w:val="18"/>
                      <w:lang w:val="pt-BR" w:eastAsia="pt-BR"/>
                    </w:rPr>
                    <w:t>COMUNICAÇÃO</w:t>
                  </w:r>
                </w:p>
              </w:tc>
              <w:tc>
                <w:tcPr>
                  <w:tcW w:w="3040" w:type="dxa"/>
                  <w:tcBorders>
                    <w:top w:val="nil"/>
                    <w:left w:val="nil"/>
                    <w:bottom w:val="single" w:sz="4" w:space="0" w:color="auto"/>
                    <w:right w:val="single" w:sz="4" w:space="0" w:color="auto"/>
                  </w:tcBorders>
                  <w:shd w:val="clear" w:color="auto" w:fill="auto"/>
                  <w:noWrap/>
                  <w:vAlign w:val="bottom"/>
                  <w:hideMark/>
                </w:tcPr>
                <w:p w:rsidR="00230B82" w:rsidRPr="00230B82" w:rsidRDefault="00230B82" w:rsidP="00230B82">
                  <w:pPr>
                    <w:spacing w:after="0" w:line="240" w:lineRule="auto"/>
                    <w:jc w:val="right"/>
                    <w:rPr>
                      <w:rFonts w:eastAsia="Times New Roman"/>
                      <w:noProof w:val="0"/>
                      <w:color w:val="FF0000"/>
                      <w:sz w:val="18"/>
                      <w:szCs w:val="18"/>
                      <w:lang w:val="pt-BR" w:eastAsia="pt-BR"/>
                    </w:rPr>
                  </w:pPr>
                  <w:r w:rsidRPr="00230B82">
                    <w:rPr>
                      <w:rFonts w:eastAsia="Times New Roman"/>
                      <w:noProof w:val="0"/>
                      <w:color w:val="FF0000"/>
                      <w:sz w:val="18"/>
                      <w:szCs w:val="18"/>
                      <w:lang w:val="pt-BR" w:eastAsia="pt-BR"/>
                    </w:rPr>
                    <w:t>-8,46%</w:t>
                  </w:r>
                </w:p>
              </w:tc>
            </w:tr>
            <w:tr w:rsidR="00230B82" w:rsidRPr="00230B82" w:rsidTr="00230B82">
              <w:trPr>
                <w:trHeight w:val="255"/>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230B82" w:rsidRPr="00230B82" w:rsidRDefault="00230B82" w:rsidP="00230B82">
                  <w:pPr>
                    <w:spacing w:after="0" w:line="240" w:lineRule="auto"/>
                    <w:jc w:val="center"/>
                    <w:rPr>
                      <w:rFonts w:eastAsia="Times New Roman"/>
                      <w:noProof w:val="0"/>
                      <w:sz w:val="18"/>
                      <w:szCs w:val="18"/>
                      <w:lang w:val="pt-BR" w:eastAsia="pt-BR"/>
                    </w:rPr>
                  </w:pPr>
                  <w:r w:rsidRPr="00230B82">
                    <w:rPr>
                      <w:rFonts w:eastAsia="Times New Roman"/>
                      <w:noProof w:val="0"/>
                      <w:sz w:val="18"/>
                      <w:szCs w:val="18"/>
                      <w:lang w:val="pt-BR" w:eastAsia="pt-BR"/>
                    </w:rPr>
                    <w:t>CONSTRUÇÃO CIVIL</w:t>
                  </w:r>
                </w:p>
              </w:tc>
              <w:tc>
                <w:tcPr>
                  <w:tcW w:w="3040" w:type="dxa"/>
                  <w:tcBorders>
                    <w:top w:val="nil"/>
                    <w:left w:val="nil"/>
                    <w:bottom w:val="single" w:sz="4" w:space="0" w:color="auto"/>
                    <w:right w:val="single" w:sz="4" w:space="0" w:color="auto"/>
                  </w:tcBorders>
                  <w:shd w:val="clear" w:color="auto" w:fill="auto"/>
                  <w:noWrap/>
                  <w:vAlign w:val="bottom"/>
                  <w:hideMark/>
                </w:tcPr>
                <w:p w:rsidR="00230B82" w:rsidRPr="00230B82" w:rsidRDefault="00230B82" w:rsidP="00230B82">
                  <w:pPr>
                    <w:spacing w:after="0" w:line="240" w:lineRule="auto"/>
                    <w:jc w:val="right"/>
                    <w:rPr>
                      <w:rFonts w:eastAsia="Times New Roman"/>
                      <w:noProof w:val="0"/>
                      <w:color w:val="000000"/>
                      <w:sz w:val="18"/>
                      <w:szCs w:val="18"/>
                      <w:lang w:val="pt-BR" w:eastAsia="pt-BR"/>
                    </w:rPr>
                  </w:pPr>
                  <w:r w:rsidRPr="00230B82">
                    <w:rPr>
                      <w:rFonts w:eastAsia="Times New Roman"/>
                      <w:noProof w:val="0"/>
                      <w:color w:val="000000"/>
                      <w:sz w:val="18"/>
                      <w:szCs w:val="18"/>
                      <w:lang w:val="pt-BR" w:eastAsia="pt-BR"/>
                    </w:rPr>
                    <w:t>1,16%</w:t>
                  </w:r>
                </w:p>
              </w:tc>
            </w:tr>
            <w:tr w:rsidR="00230B82" w:rsidRPr="00230B82" w:rsidTr="00230B82">
              <w:trPr>
                <w:trHeight w:val="255"/>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230B82" w:rsidRPr="00230B82" w:rsidRDefault="00230B82" w:rsidP="00230B82">
                  <w:pPr>
                    <w:spacing w:after="0" w:line="240" w:lineRule="auto"/>
                    <w:jc w:val="center"/>
                    <w:rPr>
                      <w:rFonts w:eastAsia="Times New Roman"/>
                      <w:noProof w:val="0"/>
                      <w:sz w:val="18"/>
                      <w:szCs w:val="18"/>
                      <w:lang w:val="pt-BR" w:eastAsia="pt-BR"/>
                    </w:rPr>
                  </w:pPr>
                  <w:r w:rsidRPr="00230B82">
                    <w:rPr>
                      <w:rFonts w:eastAsia="Times New Roman"/>
                      <w:noProof w:val="0"/>
                      <w:sz w:val="18"/>
                      <w:szCs w:val="18"/>
                      <w:lang w:val="pt-BR" w:eastAsia="pt-BR"/>
                    </w:rPr>
                    <w:t>DEPARTAMENTOS/TÊXTIL</w:t>
                  </w:r>
                </w:p>
              </w:tc>
              <w:tc>
                <w:tcPr>
                  <w:tcW w:w="3040" w:type="dxa"/>
                  <w:tcBorders>
                    <w:top w:val="nil"/>
                    <w:left w:val="nil"/>
                    <w:bottom w:val="single" w:sz="4" w:space="0" w:color="auto"/>
                    <w:right w:val="single" w:sz="4" w:space="0" w:color="auto"/>
                  </w:tcBorders>
                  <w:shd w:val="clear" w:color="auto" w:fill="auto"/>
                  <w:noWrap/>
                  <w:vAlign w:val="bottom"/>
                  <w:hideMark/>
                </w:tcPr>
                <w:p w:rsidR="00230B82" w:rsidRPr="00230B82" w:rsidRDefault="00230B82" w:rsidP="00230B82">
                  <w:pPr>
                    <w:spacing w:after="0" w:line="240" w:lineRule="auto"/>
                    <w:jc w:val="right"/>
                    <w:rPr>
                      <w:rFonts w:eastAsia="Times New Roman"/>
                      <w:noProof w:val="0"/>
                      <w:color w:val="000000"/>
                      <w:sz w:val="18"/>
                      <w:szCs w:val="18"/>
                      <w:lang w:val="pt-BR" w:eastAsia="pt-BR"/>
                    </w:rPr>
                  </w:pPr>
                  <w:r w:rsidRPr="00230B82">
                    <w:rPr>
                      <w:rFonts w:eastAsia="Times New Roman"/>
                      <w:noProof w:val="0"/>
                      <w:color w:val="000000"/>
                      <w:sz w:val="18"/>
                      <w:szCs w:val="18"/>
                      <w:lang w:val="pt-BR" w:eastAsia="pt-BR"/>
                    </w:rPr>
                    <w:t>3,49%</w:t>
                  </w:r>
                </w:p>
              </w:tc>
            </w:tr>
            <w:tr w:rsidR="00230B82" w:rsidRPr="00230B82" w:rsidTr="00230B82">
              <w:trPr>
                <w:trHeight w:val="255"/>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230B82" w:rsidRPr="00230B82" w:rsidRDefault="00230B82" w:rsidP="00230B82">
                  <w:pPr>
                    <w:spacing w:after="0" w:line="240" w:lineRule="auto"/>
                    <w:jc w:val="center"/>
                    <w:rPr>
                      <w:rFonts w:eastAsia="Times New Roman"/>
                      <w:noProof w:val="0"/>
                      <w:sz w:val="18"/>
                      <w:szCs w:val="18"/>
                      <w:lang w:val="pt-BR" w:eastAsia="pt-BR"/>
                    </w:rPr>
                  </w:pPr>
                  <w:r w:rsidRPr="00230B82">
                    <w:rPr>
                      <w:rFonts w:eastAsia="Times New Roman"/>
                      <w:noProof w:val="0"/>
                      <w:sz w:val="18"/>
                      <w:szCs w:val="18"/>
                      <w:lang w:val="pt-BR" w:eastAsia="pt-BR"/>
                    </w:rPr>
                    <w:t>ENERGIA ELÉTRICA</w:t>
                  </w:r>
                </w:p>
              </w:tc>
              <w:tc>
                <w:tcPr>
                  <w:tcW w:w="3040" w:type="dxa"/>
                  <w:tcBorders>
                    <w:top w:val="nil"/>
                    <w:left w:val="nil"/>
                    <w:bottom w:val="single" w:sz="4" w:space="0" w:color="auto"/>
                    <w:right w:val="single" w:sz="4" w:space="0" w:color="auto"/>
                  </w:tcBorders>
                  <w:shd w:val="clear" w:color="auto" w:fill="auto"/>
                  <w:noWrap/>
                  <w:vAlign w:val="bottom"/>
                  <w:hideMark/>
                </w:tcPr>
                <w:p w:rsidR="00230B82" w:rsidRPr="00230B82" w:rsidRDefault="00230B82" w:rsidP="00230B82">
                  <w:pPr>
                    <w:spacing w:after="0" w:line="240" w:lineRule="auto"/>
                    <w:jc w:val="right"/>
                    <w:rPr>
                      <w:rFonts w:eastAsia="Times New Roman"/>
                      <w:noProof w:val="0"/>
                      <w:color w:val="000000"/>
                      <w:sz w:val="18"/>
                      <w:szCs w:val="18"/>
                      <w:lang w:val="pt-BR" w:eastAsia="pt-BR"/>
                    </w:rPr>
                  </w:pPr>
                  <w:r w:rsidRPr="00230B82">
                    <w:rPr>
                      <w:rFonts w:eastAsia="Times New Roman"/>
                      <w:noProof w:val="0"/>
                      <w:color w:val="000000"/>
                      <w:sz w:val="18"/>
                      <w:szCs w:val="18"/>
                      <w:lang w:val="pt-BR" w:eastAsia="pt-BR"/>
                    </w:rPr>
                    <w:t>3,06%</w:t>
                  </w:r>
                </w:p>
              </w:tc>
            </w:tr>
            <w:tr w:rsidR="00230B82" w:rsidRPr="00230B82" w:rsidTr="00230B82">
              <w:trPr>
                <w:trHeight w:val="255"/>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230B82" w:rsidRPr="00230B82" w:rsidRDefault="00230B82" w:rsidP="00230B82">
                  <w:pPr>
                    <w:spacing w:after="0" w:line="240" w:lineRule="auto"/>
                    <w:jc w:val="center"/>
                    <w:rPr>
                      <w:rFonts w:eastAsia="Times New Roman"/>
                      <w:noProof w:val="0"/>
                      <w:sz w:val="18"/>
                      <w:szCs w:val="18"/>
                      <w:lang w:val="pt-BR" w:eastAsia="pt-BR"/>
                    </w:rPr>
                  </w:pPr>
                  <w:r w:rsidRPr="00230B82">
                    <w:rPr>
                      <w:rFonts w:eastAsia="Times New Roman"/>
                      <w:noProof w:val="0"/>
                      <w:sz w:val="18"/>
                      <w:szCs w:val="18"/>
                      <w:lang w:val="pt-BR" w:eastAsia="pt-BR"/>
                    </w:rPr>
                    <w:t>MINERAL</w:t>
                  </w:r>
                </w:p>
              </w:tc>
              <w:tc>
                <w:tcPr>
                  <w:tcW w:w="3040" w:type="dxa"/>
                  <w:tcBorders>
                    <w:top w:val="nil"/>
                    <w:left w:val="nil"/>
                    <w:bottom w:val="single" w:sz="4" w:space="0" w:color="auto"/>
                    <w:right w:val="single" w:sz="4" w:space="0" w:color="auto"/>
                  </w:tcBorders>
                  <w:shd w:val="clear" w:color="auto" w:fill="auto"/>
                  <w:noWrap/>
                  <w:vAlign w:val="bottom"/>
                  <w:hideMark/>
                </w:tcPr>
                <w:p w:rsidR="00230B82" w:rsidRPr="00230B82" w:rsidRDefault="00230B82" w:rsidP="00230B82">
                  <w:pPr>
                    <w:spacing w:after="0" w:line="240" w:lineRule="auto"/>
                    <w:jc w:val="right"/>
                    <w:rPr>
                      <w:rFonts w:eastAsia="Times New Roman"/>
                      <w:noProof w:val="0"/>
                      <w:color w:val="FF0000"/>
                      <w:sz w:val="18"/>
                      <w:szCs w:val="18"/>
                      <w:lang w:val="pt-BR" w:eastAsia="pt-BR"/>
                    </w:rPr>
                  </w:pPr>
                  <w:r w:rsidRPr="00230B82">
                    <w:rPr>
                      <w:rFonts w:eastAsia="Times New Roman"/>
                      <w:noProof w:val="0"/>
                      <w:color w:val="FF0000"/>
                      <w:sz w:val="18"/>
                      <w:szCs w:val="18"/>
                      <w:lang w:val="pt-BR" w:eastAsia="pt-BR"/>
                    </w:rPr>
                    <w:t>-39,89%</w:t>
                  </w:r>
                </w:p>
              </w:tc>
            </w:tr>
            <w:tr w:rsidR="00230B82" w:rsidRPr="00230B82" w:rsidTr="00230B82">
              <w:trPr>
                <w:trHeight w:val="255"/>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230B82" w:rsidRPr="00230B82" w:rsidRDefault="00230B82" w:rsidP="00230B82">
                  <w:pPr>
                    <w:spacing w:after="0" w:line="240" w:lineRule="auto"/>
                    <w:jc w:val="center"/>
                    <w:rPr>
                      <w:rFonts w:eastAsia="Times New Roman"/>
                      <w:noProof w:val="0"/>
                      <w:sz w:val="18"/>
                      <w:szCs w:val="18"/>
                      <w:lang w:val="pt-BR" w:eastAsia="pt-BR"/>
                    </w:rPr>
                  </w:pPr>
                  <w:r w:rsidRPr="00230B82">
                    <w:rPr>
                      <w:rFonts w:eastAsia="Times New Roman"/>
                      <w:noProof w:val="0"/>
                      <w:sz w:val="18"/>
                      <w:szCs w:val="18"/>
                      <w:lang w:val="pt-BR" w:eastAsia="pt-BR"/>
                    </w:rPr>
                    <w:t>OUTROS</w:t>
                  </w:r>
                </w:p>
              </w:tc>
              <w:tc>
                <w:tcPr>
                  <w:tcW w:w="3040" w:type="dxa"/>
                  <w:tcBorders>
                    <w:top w:val="nil"/>
                    <w:left w:val="nil"/>
                    <w:bottom w:val="single" w:sz="4" w:space="0" w:color="auto"/>
                    <w:right w:val="single" w:sz="4" w:space="0" w:color="auto"/>
                  </w:tcBorders>
                  <w:shd w:val="clear" w:color="auto" w:fill="auto"/>
                  <w:noWrap/>
                  <w:vAlign w:val="bottom"/>
                  <w:hideMark/>
                </w:tcPr>
                <w:p w:rsidR="00230B82" w:rsidRPr="00230B82" w:rsidRDefault="00230B82" w:rsidP="00230B82">
                  <w:pPr>
                    <w:spacing w:after="0" w:line="240" w:lineRule="auto"/>
                    <w:jc w:val="right"/>
                    <w:rPr>
                      <w:rFonts w:eastAsia="Times New Roman"/>
                      <w:noProof w:val="0"/>
                      <w:color w:val="000000"/>
                      <w:sz w:val="18"/>
                      <w:szCs w:val="18"/>
                      <w:lang w:val="pt-BR" w:eastAsia="pt-BR"/>
                    </w:rPr>
                  </w:pPr>
                  <w:r w:rsidRPr="00230B82">
                    <w:rPr>
                      <w:rFonts w:eastAsia="Times New Roman"/>
                      <w:noProof w:val="0"/>
                      <w:color w:val="000000"/>
                      <w:sz w:val="18"/>
                      <w:szCs w:val="18"/>
                      <w:lang w:val="pt-BR" w:eastAsia="pt-BR"/>
                    </w:rPr>
                    <w:t>2,49%</w:t>
                  </w:r>
                </w:p>
              </w:tc>
            </w:tr>
            <w:tr w:rsidR="00230B82" w:rsidRPr="00230B82" w:rsidTr="00230B82">
              <w:trPr>
                <w:trHeight w:val="255"/>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230B82" w:rsidRPr="00230B82" w:rsidRDefault="00230B82" w:rsidP="00230B82">
                  <w:pPr>
                    <w:spacing w:after="0" w:line="240" w:lineRule="auto"/>
                    <w:jc w:val="center"/>
                    <w:rPr>
                      <w:rFonts w:eastAsia="Times New Roman"/>
                      <w:noProof w:val="0"/>
                      <w:sz w:val="18"/>
                      <w:szCs w:val="18"/>
                      <w:lang w:val="pt-BR" w:eastAsia="pt-BR"/>
                    </w:rPr>
                  </w:pPr>
                  <w:r w:rsidRPr="00230B82">
                    <w:rPr>
                      <w:rFonts w:eastAsia="Times New Roman"/>
                      <w:noProof w:val="0"/>
                      <w:sz w:val="18"/>
                      <w:szCs w:val="18"/>
                      <w:lang w:val="pt-BR" w:eastAsia="pt-BR"/>
                    </w:rPr>
                    <w:t>QUÍMICOS</w:t>
                  </w:r>
                </w:p>
              </w:tc>
              <w:tc>
                <w:tcPr>
                  <w:tcW w:w="3040" w:type="dxa"/>
                  <w:tcBorders>
                    <w:top w:val="nil"/>
                    <w:left w:val="nil"/>
                    <w:bottom w:val="single" w:sz="4" w:space="0" w:color="auto"/>
                    <w:right w:val="single" w:sz="4" w:space="0" w:color="auto"/>
                  </w:tcBorders>
                  <w:shd w:val="clear" w:color="auto" w:fill="auto"/>
                  <w:noWrap/>
                  <w:vAlign w:val="bottom"/>
                  <w:hideMark/>
                </w:tcPr>
                <w:p w:rsidR="00230B82" w:rsidRPr="00230B82" w:rsidRDefault="00230B82" w:rsidP="00230B82">
                  <w:pPr>
                    <w:spacing w:after="0" w:line="240" w:lineRule="auto"/>
                    <w:jc w:val="right"/>
                    <w:rPr>
                      <w:rFonts w:eastAsia="Times New Roman"/>
                      <w:noProof w:val="0"/>
                      <w:color w:val="FF0000"/>
                      <w:sz w:val="18"/>
                      <w:szCs w:val="18"/>
                      <w:lang w:val="pt-BR" w:eastAsia="pt-BR"/>
                    </w:rPr>
                  </w:pPr>
                  <w:r w:rsidRPr="00230B82">
                    <w:rPr>
                      <w:rFonts w:eastAsia="Times New Roman"/>
                      <w:noProof w:val="0"/>
                      <w:color w:val="FF0000"/>
                      <w:sz w:val="18"/>
                      <w:szCs w:val="18"/>
                      <w:lang w:val="pt-BR" w:eastAsia="pt-BR"/>
                    </w:rPr>
                    <w:t>-0,66%</w:t>
                  </w:r>
                </w:p>
              </w:tc>
            </w:tr>
            <w:tr w:rsidR="00230B82" w:rsidRPr="00230B82" w:rsidTr="00230B82">
              <w:trPr>
                <w:trHeight w:val="255"/>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230B82" w:rsidRPr="00230B82" w:rsidRDefault="00230B82" w:rsidP="00230B82">
                  <w:pPr>
                    <w:spacing w:after="0" w:line="240" w:lineRule="auto"/>
                    <w:jc w:val="center"/>
                    <w:rPr>
                      <w:rFonts w:eastAsia="Times New Roman"/>
                      <w:noProof w:val="0"/>
                      <w:sz w:val="18"/>
                      <w:szCs w:val="18"/>
                      <w:lang w:val="pt-BR" w:eastAsia="pt-BR"/>
                    </w:rPr>
                  </w:pPr>
                  <w:r w:rsidRPr="00230B82">
                    <w:rPr>
                      <w:rFonts w:eastAsia="Times New Roman"/>
                      <w:noProof w:val="0"/>
                      <w:sz w:val="18"/>
                      <w:szCs w:val="18"/>
                      <w:lang w:val="pt-BR" w:eastAsia="pt-BR"/>
                    </w:rPr>
                    <w:t>SUCROALCOOLEIRO</w:t>
                  </w:r>
                </w:p>
              </w:tc>
              <w:tc>
                <w:tcPr>
                  <w:tcW w:w="3040" w:type="dxa"/>
                  <w:tcBorders>
                    <w:top w:val="nil"/>
                    <w:left w:val="nil"/>
                    <w:bottom w:val="single" w:sz="4" w:space="0" w:color="auto"/>
                    <w:right w:val="single" w:sz="4" w:space="0" w:color="auto"/>
                  </w:tcBorders>
                  <w:shd w:val="clear" w:color="auto" w:fill="auto"/>
                  <w:noWrap/>
                  <w:vAlign w:val="bottom"/>
                  <w:hideMark/>
                </w:tcPr>
                <w:p w:rsidR="00230B82" w:rsidRPr="00230B82" w:rsidRDefault="00230B82" w:rsidP="00230B82">
                  <w:pPr>
                    <w:spacing w:after="0" w:line="240" w:lineRule="auto"/>
                    <w:jc w:val="right"/>
                    <w:rPr>
                      <w:rFonts w:eastAsia="Times New Roman"/>
                      <w:noProof w:val="0"/>
                      <w:color w:val="FF0000"/>
                      <w:sz w:val="18"/>
                      <w:szCs w:val="18"/>
                      <w:lang w:val="pt-BR" w:eastAsia="pt-BR"/>
                    </w:rPr>
                  </w:pPr>
                  <w:r w:rsidRPr="00230B82">
                    <w:rPr>
                      <w:rFonts w:eastAsia="Times New Roman"/>
                      <w:noProof w:val="0"/>
                      <w:color w:val="FF0000"/>
                      <w:sz w:val="18"/>
                      <w:szCs w:val="18"/>
                      <w:lang w:val="pt-BR" w:eastAsia="pt-BR"/>
                    </w:rPr>
                    <w:t>-24,94%</w:t>
                  </w:r>
                </w:p>
              </w:tc>
            </w:tr>
          </w:tbl>
          <w:p w:rsidR="00230B82" w:rsidRPr="00440BD8" w:rsidRDefault="00230B82" w:rsidP="00670008">
            <w:pPr>
              <w:spacing w:after="0" w:line="240" w:lineRule="auto"/>
              <w:rPr>
                <w:rFonts w:ascii="Times New Roman" w:eastAsia="Times New Roman" w:hAnsi="Times New Roman"/>
                <w:b/>
                <w:bCs/>
                <w:sz w:val="18"/>
                <w:szCs w:val="18"/>
                <w:lang w:eastAsia="pt-BR"/>
              </w:rPr>
            </w:pPr>
          </w:p>
        </w:tc>
      </w:tr>
    </w:tbl>
    <w:p w:rsidR="00147C4A" w:rsidRPr="00440BD8" w:rsidRDefault="00147C4A" w:rsidP="00670008">
      <w:pPr>
        <w:spacing w:after="0" w:line="240" w:lineRule="auto"/>
        <w:ind w:left="2160" w:firstLine="720"/>
        <w:jc w:val="both"/>
        <w:rPr>
          <w:rFonts w:ascii="Times New Roman" w:eastAsia="Times New Roman" w:hAnsi="Times New Roman"/>
          <w:color w:val="000000"/>
          <w:sz w:val="15"/>
          <w:szCs w:val="15"/>
          <w:lang w:eastAsia="pt-BR"/>
        </w:rPr>
      </w:pPr>
      <w:r w:rsidRPr="00440BD8">
        <w:rPr>
          <w:rFonts w:ascii="Times New Roman" w:eastAsia="Times New Roman" w:hAnsi="Times New Roman"/>
          <w:color w:val="000000"/>
          <w:sz w:val="15"/>
          <w:szCs w:val="15"/>
          <w:lang w:eastAsia="pt-BR"/>
        </w:rPr>
        <w:t>Fonte: Menu Gestão - Corporativo</w:t>
      </w:r>
    </w:p>
    <w:p w:rsidR="00995E4B" w:rsidRPr="008079F1" w:rsidRDefault="007C288C" w:rsidP="00670008">
      <w:pPr>
        <w:pStyle w:val="Paragraph"/>
        <w:numPr>
          <w:ilvl w:val="0"/>
          <w:numId w:val="21"/>
        </w:numPr>
        <w:spacing w:line="276" w:lineRule="auto"/>
        <w:ind w:left="714" w:hanging="357"/>
        <w:rPr>
          <w:b/>
          <w:sz w:val="22"/>
          <w:szCs w:val="22"/>
          <w:lang w:val="pt-BR"/>
        </w:rPr>
      </w:pPr>
      <w:r w:rsidRPr="008079F1">
        <w:rPr>
          <w:sz w:val="22"/>
          <w:szCs w:val="22"/>
          <w:lang w:val="pt-BR" w:eastAsia="en-US"/>
        </w:rPr>
        <w:t>Elevado</w:t>
      </w:r>
      <w:r w:rsidR="00995E4B" w:rsidRPr="008079F1">
        <w:rPr>
          <w:sz w:val="22"/>
          <w:szCs w:val="22"/>
          <w:lang w:val="pt-BR" w:eastAsia="en-US"/>
        </w:rPr>
        <w:t xml:space="preserve"> índice de a</w:t>
      </w:r>
      <w:r w:rsidRPr="008079F1">
        <w:rPr>
          <w:sz w:val="22"/>
          <w:szCs w:val="22"/>
          <w:lang w:val="pt-BR" w:eastAsia="en-US"/>
        </w:rPr>
        <w:t xml:space="preserve">utos de </w:t>
      </w:r>
      <w:r w:rsidR="00995E4B" w:rsidRPr="008079F1">
        <w:rPr>
          <w:sz w:val="22"/>
          <w:szCs w:val="22"/>
          <w:lang w:val="pt-BR" w:eastAsia="en-US"/>
        </w:rPr>
        <w:t>i</w:t>
      </w:r>
      <w:r w:rsidRPr="008079F1">
        <w:rPr>
          <w:sz w:val="22"/>
          <w:szCs w:val="22"/>
          <w:lang w:val="pt-BR" w:eastAsia="en-US"/>
        </w:rPr>
        <w:t>nfração julgados nulo</w:t>
      </w:r>
      <w:r w:rsidR="00995E4B" w:rsidRPr="008079F1">
        <w:rPr>
          <w:sz w:val="22"/>
          <w:szCs w:val="22"/>
          <w:lang w:val="pt-BR" w:eastAsia="en-US"/>
        </w:rPr>
        <w:t>s</w:t>
      </w:r>
      <w:r w:rsidR="00E3421D">
        <w:rPr>
          <w:sz w:val="22"/>
          <w:szCs w:val="22"/>
          <w:lang w:val="pt-BR" w:eastAsia="en-US"/>
        </w:rPr>
        <w:t xml:space="preserve"> ou</w:t>
      </w:r>
      <w:r w:rsidRPr="008079F1">
        <w:rPr>
          <w:sz w:val="22"/>
          <w:szCs w:val="22"/>
          <w:lang w:val="pt-BR" w:eastAsia="en-US"/>
        </w:rPr>
        <w:t xml:space="preserve"> improcedente</w:t>
      </w:r>
      <w:r w:rsidR="00995E4B" w:rsidRPr="008079F1">
        <w:rPr>
          <w:sz w:val="22"/>
          <w:szCs w:val="22"/>
          <w:lang w:val="pt-BR" w:eastAsia="en-US"/>
        </w:rPr>
        <w:t>s</w:t>
      </w:r>
      <w:r w:rsidR="00E3421D">
        <w:rPr>
          <w:sz w:val="22"/>
          <w:szCs w:val="22"/>
          <w:lang w:val="pt-BR" w:eastAsia="en-US"/>
        </w:rPr>
        <w:t xml:space="preserve"> </w:t>
      </w:r>
      <w:r w:rsidR="008079F1" w:rsidRPr="008079F1">
        <w:rPr>
          <w:sz w:val="22"/>
          <w:szCs w:val="22"/>
          <w:lang w:val="pt-BR" w:eastAsia="en-US"/>
        </w:rPr>
        <w:t>ou prejudicados</w:t>
      </w:r>
      <w:r w:rsidRPr="008079F1">
        <w:rPr>
          <w:sz w:val="22"/>
          <w:szCs w:val="22"/>
          <w:lang w:val="pt-BR" w:eastAsia="en-US"/>
        </w:rPr>
        <w:t>, provocado p</w:t>
      </w:r>
      <w:r w:rsidR="00995E4B" w:rsidRPr="008079F1">
        <w:rPr>
          <w:sz w:val="22"/>
          <w:szCs w:val="22"/>
          <w:lang w:val="pt-BR" w:eastAsia="en-US"/>
        </w:rPr>
        <w:t xml:space="preserve">ela </w:t>
      </w:r>
      <w:r w:rsidR="002C034C" w:rsidRPr="008079F1">
        <w:rPr>
          <w:sz w:val="22"/>
          <w:szCs w:val="22"/>
          <w:lang w:val="pt-BR" w:eastAsia="en-US"/>
        </w:rPr>
        <w:t xml:space="preserve">inconsistência na </w:t>
      </w:r>
      <w:r w:rsidR="00995E4B" w:rsidRPr="008079F1">
        <w:rPr>
          <w:sz w:val="22"/>
          <w:szCs w:val="22"/>
          <w:lang w:val="pt-BR" w:eastAsia="en-US"/>
        </w:rPr>
        <w:t>identificação de</w:t>
      </w:r>
      <w:r w:rsidRPr="008079F1">
        <w:rPr>
          <w:sz w:val="22"/>
          <w:szCs w:val="22"/>
          <w:lang w:val="pt-BR" w:eastAsia="en-US"/>
        </w:rPr>
        <w:t xml:space="preserve"> </w:t>
      </w:r>
      <w:r w:rsidR="002C034C" w:rsidRPr="008079F1">
        <w:rPr>
          <w:sz w:val="22"/>
          <w:szCs w:val="22"/>
          <w:lang w:val="pt-BR" w:eastAsia="en-US"/>
        </w:rPr>
        <w:t xml:space="preserve">fatos geradores </w:t>
      </w:r>
      <w:r w:rsidR="00DB50F8" w:rsidRPr="008079F1">
        <w:rPr>
          <w:sz w:val="22"/>
          <w:szCs w:val="22"/>
          <w:lang w:val="pt-BR" w:eastAsia="en-US"/>
        </w:rPr>
        <w:t>do ICMS</w:t>
      </w:r>
      <w:r w:rsidR="00995E4B" w:rsidRPr="008079F1">
        <w:rPr>
          <w:sz w:val="22"/>
          <w:szCs w:val="22"/>
          <w:lang w:val="pt-BR" w:eastAsia="en-US"/>
        </w:rPr>
        <w:t>,</w:t>
      </w:r>
      <w:r w:rsidRPr="008079F1">
        <w:rPr>
          <w:sz w:val="22"/>
          <w:szCs w:val="22"/>
          <w:lang w:val="pt-BR" w:eastAsia="en-US"/>
        </w:rPr>
        <w:t xml:space="preserve"> </w:t>
      </w:r>
      <w:r w:rsidR="00995E4B" w:rsidRPr="008079F1">
        <w:rPr>
          <w:sz w:val="22"/>
          <w:szCs w:val="22"/>
          <w:lang w:val="pt-BR" w:eastAsia="en-US"/>
        </w:rPr>
        <w:t xml:space="preserve">lavraturas </w:t>
      </w:r>
      <w:r w:rsidRPr="008079F1">
        <w:rPr>
          <w:sz w:val="22"/>
          <w:szCs w:val="22"/>
          <w:lang w:val="pt-BR" w:eastAsia="en-US"/>
        </w:rPr>
        <w:t>com dem</w:t>
      </w:r>
      <w:r w:rsidR="00995E4B" w:rsidRPr="008079F1">
        <w:rPr>
          <w:sz w:val="22"/>
          <w:szCs w:val="22"/>
          <w:lang w:val="pt-BR" w:eastAsia="en-US"/>
        </w:rPr>
        <w:t xml:space="preserve">onstrações (provas) </w:t>
      </w:r>
      <w:r w:rsidR="00995E4B" w:rsidRPr="008079F1">
        <w:rPr>
          <w:sz w:val="22"/>
          <w:szCs w:val="22"/>
          <w:lang w:val="pt-BR" w:eastAsia="en-US"/>
        </w:rPr>
        <w:lastRenderedPageBreak/>
        <w:t>imprecisas e aplicação incorreta da norma perti</w:t>
      </w:r>
      <w:r w:rsidR="00002A3D" w:rsidRPr="008079F1">
        <w:rPr>
          <w:sz w:val="22"/>
          <w:szCs w:val="22"/>
          <w:lang w:val="pt-BR" w:eastAsia="en-US"/>
        </w:rPr>
        <w:t>nente à infração fiscal. Em 2012</w:t>
      </w:r>
      <w:r w:rsidR="00995E4B" w:rsidRPr="008079F1">
        <w:rPr>
          <w:sz w:val="22"/>
          <w:szCs w:val="22"/>
          <w:lang w:val="pt-BR" w:eastAsia="en-US"/>
        </w:rPr>
        <w:t>, o percentual de processos julgados nulo</w:t>
      </w:r>
      <w:r w:rsidR="00E3421D">
        <w:rPr>
          <w:sz w:val="22"/>
          <w:szCs w:val="22"/>
          <w:lang w:val="pt-BR" w:eastAsia="en-US"/>
        </w:rPr>
        <w:t>s</w:t>
      </w:r>
      <w:r w:rsidR="00995E4B" w:rsidRPr="008079F1">
        <w:rPr>
          <w:sz w:val="22"/>
          <w:szCs w:val="22"/>
          <w:lang w:val="pt-BR" w:eastAsia="en-US"/>
        </w:rPr>
        <w:t xml:space="preserve"> ou improcedentes</w:t>
      </w:r>
      <w:r w:rsidR="008079F1" w:rsidRPr="008079F1">
        <w:rPr>
          <w:sz w:val="22"/>
          <w:szCs w:val="22"/>
          <w:lang w:val="pt-BR" w:eastAsia="en-US"/>
        </w:rPr>
        <w:t xml:space="preserve"> ou prejudicados</w:t>
      </w:r>
      <w:r w:rsidR="00995E4B" w:rsidRPr="008079F1">
        <w:rPr>
          <w:sz w:val="22"/>
          <w:szCs w:val="22"/>
          <w:lang w:val="pt-BR" w:eastAsia="en-US"/>
        </w:rPr>
        <w:t xml:space="preserve"> (Quantidade de Autos de Infração julgados Nulos ou Improcedentes</w:t>
      </w:r>
      <w:r w:rsidR="008079F1" w:rsidRPr="008079F1">
        <w:rPr>
          <w:sz w:val="22"/>
          <w:szCs w:val="22"/>
          <w:lang w:val="pt-BR" w:eastAsia="en-US"/>
        </w:rPr>
        <w:t xml:space="preserve"> ou prejudicados</w:t>
      </w:r>
      <w:r w:rsidR="00995E4B" w:rsidRPr="008079F1">
        <w:rPr>
          <w:sz w:val="22"/>
          <w:szCs w:val="22"/>
          <w:lang w:val="pt-BR" w:eastAsia="en-US"/>
        </w:rPr>
        <w:t xml:space="preserve"> / Quantidade de Autos de Infração Julgados no Período) foi de </w:t>
      </w:r>
      <w:r w:rsidR="008079F1" w:rsidRPr="008079F1">
        <w:rPr>
          <w:sz w:val="22"/>
          <w:szCs w:val="22"/>
          <w:lang w:val="pt-BR" w:eastAsia="en-US"/>
        </w:rPr>
        <w:t>22,83</w:t>
      </w:r>
      <w:r w:rsidR="00995E4B" w:rsidRPr="008079F1">
        <w:rPr>
          <w:sz w:val="22"/>
          <w:szCs w:val="22"/>
          <w:lang w:val="pt-BR" w:eastAsia="en-US"/>
        </w:rPr>
        <w:t>%.</w:t>
      </w:r>
      <w:r w:rsidR="00201CE9" w:rsidRPr="008079F1">
        <w:rPr>
          <w:sz w:val="22"/>
          <w:szCs w:val="22"/>
          <w:lang w:val="pt-BR" w:eastAsia="en-US"/>
        </w:rPr>
        <w:t xml:space="preserve"> </w:t>
      </w:r>
    </w:p>
    <w:tbl>
      <w:tblPr>
        <w:tblW w:w="9089" w:type="dxa"/>
        <w:jc w:val="center"/>
        <w:tblInd w:w="382" w:type="dxa"/>
        <w:tblCellMar>
          <w:left w:w="70" w:type="dxa"/>
          <w:right w:w="70" w:type="dxa"/>
        </w:tblCellMar>
        <w:tblLook w:val="04A0"/>
      </w:tblPr>
      <w:tblGrid>
        <w:gridCol w:w="837"/>
        <w:gridCol w:w="1200"/>
        <w:gridCol w:w="1080"/>
        <w:gridCol w:w="1540"/>
        <w:gridCol w:w="1519"/>
        <w:gridCol w:w="1501"/>
        <w:gridCol w:w="1412"/>
      </w:tblGrid>
      <w:tr w:rsidR="008079F1" w:rsidRPr="008079F1" w:rsidTr="0052372F">
        <w:trPr>
          <w:trHeight w:val="750"/>
          <w:jc w:val="center"/>
        </w:trPr>
        <w:tc>
          <w:tcPr>
            <w:tcW w:w="8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79F1" w:rsidRPr="008079F1" w:rsidRDefault="008079F1" w:rsidP="008079F1">
            <w:pPr>
              <w:spacing w:after="0" w:line="240" w:lineRule="auto"/>
              <w:jc w:val="center"/>
              <w:rPr>
                <w:rFonts w:eastAsia="Times New Roman"/>
                <w:b/>
                <w:bCs/>
                <w:noProof w:val="0"/>
                <w:color w:val="000000"/>
                <w:lang w:val="pt-BR" w:eastAsia="pt-BR"/>
              </w:rPr>
            </w:pPr>
            <w:r w:rsidRPr="008079F1">
              <w:rPr>
                <w:rFonts w:eastAsia="Times New Roman"/>
                <w:b/>
                <w:bCs/>
                <w:noProof w:val="0"/>
                <w:color w:val="000000"/>
                <w:lang w:val="pt-BR" w:eastAsia="pt-BR"/>
              </w:rPr>
              <w:t>ANO</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8079F1" w:rsidRPr="008079F1" w:rsidRDefault="008079F1" w:rsidP="008079F1">
            <w:pPr>
              <w:spacing w:after="0" w:line="240" w:lineRule="auto"/>
              <w:jc w:val="center"/>
              <w:rPr>
                <w:rFonts w:eastAsia="Times New Roman"/>
                <w:b/>
                <w:bCs/>
                <w:noProof w:val="0"/>
                <w:color w:val="000000"/>
                <w:sz w:val="20"/>
                <w:szCs w:val="20"/>
                <w:lang w:val="pt-BR" w:eastAsia="pt-BR"/>
              </w:rPr>
            </w:pPr>
            <w:r w:rsidRPr="008079F1">
              <w:rPr>
                <w:rFonts w:eastAsia="Times New Roman"/>
                <w:b/>
                <w:bCs/>
                <w:noProof w:val="0"/>
                <w:color w:val="000000"/>
                <w:sz w:val="20"/>
                <w:szCs w:val="20"/>
                <w:lang w:val="pt-BR" w:eastAsia="pt-BR"/>
              </w:rPr>
              <w:t>Autos Julgados no Período</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8079F1" w:rsidRPr="008079F1" w:rsidRDefault="008079F1" w:rsidP="008079F1">
            <w:pPr>
              <w:spacing w:after="0" w:line="240" w:lineRule="auto"/>
              <w:jc w:val="center"/>
              <w:rPr>
                <w:rFonts w:eastAsia="Times New Roman"/>
                <w:b/>
                <w:bCs/>
                <w:noProof w:val="0"/>
                <w:color w:val="000000"/>
                <w:lang w:val="pt-BR" w:eastAsia="pt-BR"/>
              </w:rPr>
            </w:pPr>
            <w:r w:rsidRPr="008079F1">
              <w:rPr>
                <w:rFonts w:eastAsia="Times New Roman"/>
                <w:b/>
                <w:bCs/>
                <w:noProof w:val="0"/>
                <w:color w:val="000000"/>
                <w:lang w:val="pt-BR" w:eastAsia="pt-BR"/>
              </w:rPr>
              <w:t>Autos Julgados Nulos (1)</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8079F1" w:rsidRPr="008079F1" w:rsidRDefault="008079F1" w:rsidP="008079F1">
            <w:pPr>
              <w:spacing w:after="0" w:line="240" w:lineRule="auto"/>
              <w:jc w:val="center"/>
              <w:rPr>
                <w:rFonts w:eastAsia="Times New Roman"/>
                <w:b/>
                <w:bCs/>
                <w:noProof w:val="0"/>
                <w:color w:val="000000"/>
                <w:lang w:val="pt-BR" w:eastAsia="pt-BR"/>
              </w:rPr>
            </w:pPr>
            <w:r w:rsidRPr="008079F1">
              <w:rPr>
                <w:rFonts w:eastAsia="Times New Roman"/>
                <w:b/>
                <w:bCs/>
                <w:noProof w:val="0"/>
                <w:color w:val="000000"/>
                <w:lang w:val="pt-BR" w:eastAsia="pt-BR"/>
              </w:rPr>
              <w:t xml:space="preserve">Autos </w:t>
            </w:r>
            <w:r w:rsidR="0052372F">
              <w:rPr>
                <w:rFonts w:eastAsia="Times New Roman"/>
                <w:b/>
                <w:bCs/>
                <w:noProof w:val="0"/>
                <w:color w:val="000000"/>
                <w:lang w:val="pt-BR" w:eastAsia="pt-BR"/>
              </w:rPr>
              <w:t xml:space="preserve">Julgados </w:t>
            </w:r>
            <w:r w:rsidRPr="008079F1">
              <w:rPr>
                <w:rFonts w:eastAsia="Times New Roman"/>
                <w:b/>
                <w:bCs/>
                <w:noProof w:val="0"/>
                <w:color w:val="000000"/>
                <w:lang w:val="pt-BR" w:eastAsia="pt-BR"/>
              </w:rPr>
              <w:t>Improcedentes (2)</w:t>
            </w:r>
          </w:p>
        </w:tc>
        <w:tc>
          <w:tcPr>
            <w:tcW w:w="1519" w:type="dxa"/>
            <w:tcBorders>
              <w:top w:val="single" w:sz="4" w:space="0" w:color="auto"/>
              <w:left w:val="nil"/>
              <w:bottom w:val="single" w:sz="4" w:space="0" w:color="auto"/>
              <w:right w:val="single" w:sz="4" w:space="0" w:color="auto"/>
            </w:tcBorders>
            <w:shd w:val="clear" w:color="auto" w:fill="auto"/>
            <w:vAlign w:val="center"/>
            <w:hideMark/>
          </w:tcPr>
          <w:p w:rsidR="008079F1" w:rsidRPr="008079F1" w:rsidRDefault="008079F1" w:rsidP="008079F1">
            <w:pPr>
              <w:spacing w:after="0" w:line="240" w:lineRule="auto"/>
              <w:jc w:val="center"/>
              <w:rPr>
                <w:rFonts w:eastAsia="Times New Roman"/>
                <w:b/>
                <w:bCs/>
                <w:noProof w:val="0"/>
                <w:color w:val="000000"/>
                <w:lang w:val="pt-BR" w:eastAsia="pt-BR"/>
              </w:rPr>
            </w:pPr>
            <w:r w:rsidRPr="008079F1">
              <w:rPr>
                <w:rFonts w:eastAsia="Times New Roman"/>
                <w:b/>
                <w:bCs/>
                <w:noProof w:val="0"/>
                <w:color w:val="000000"/>
                <w:lang w:val="pt-BR" w:eastAsia="pt-BR"/>
              </w:rPr>
              <w:t>Autos Julgados Prejudicados (3)</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8079F1" w:rsidRPr="008079F1" w:rsidRDefault="008079F1" w:rsidP="008079F1">
            <w:pPr>
              <w:spacing w:after="0" w:line="240" w:lineRule="auto"/>
              <w:jc w:val="center"/>
              <w:rPr>
                <w:rFonts w:eastAsia="Times New Roman"/>
                <w:b/>
                <w:bCs/>
                <w:noProof w:val="0"/>
                <w:color w:val="000000"/>
                <w:lang w:val="pt-BR" w:eastAsia="pt-BR"/>
              </w:rPr>
            </w:pPr>
            <w:r w:rsidRPr="008079F1">
              <w:rPr>
                <w:rFonts w:eastAsia="Times New Roman"/>
                <w:b/>
                <w:bCs/>
                <w:noProof w:val="0"/>
                <w:color w:val="000000"/>
                <w:lang w:val="pt-BR" w:eastAsia="pt-BR"/>
              </w:rPr>
              <w:t>TOTAL 1+2+3</w:t>
            </w:r>
          </w:p>
        </w:tc>
        <w:tc>
          <w:tcPr>
            <w:tcW w:w="1412" w:type="dxa"/>
            <w:tcBorders>
              <w:top w:val="single" w:sz="4" w:space="0" w:color="auto"/>
              <w:left w:val="nil"/>
              <w:bottom w:val="single" w:sz="4" w:space="0" w:color="auto"/>
              <w:right w:val="single" w:sz="4" w:space="0" w:color="auto"/>
            </w:tcBorders>
            <w:shd w:val="clear" w:color="auto" w:fill="auto"/>
            <w:vAlign w:val="center"/>
            <w:hideMark/>
          </w:tcPr>
          <w:p w:rsidR="008079F1" w:rsidRPr="008079F1" w:rsidRDefault="008079F1" w:rsidP="0052372F">
            <w:pPr>
              <w:spacing w:after="0" w:line="240" w:lineRule="auto"/>
              <w:ind w:right="8"/>
              <w:jc w:val="center"/>
              <w:rPr>
                <w:rFonts w:eastAsia="Times New Roman"/>
                <w:b/>
                <w:bCs/>
                <w:noProof w:val="0"/>
                <w:color w:val="000000"/>
                <w:lang w:val="pt-BR" w:eastAsia="pt-BR"/>
              </w:rPr>
            </w:pPr>
            <w:r w:rsidRPr="008079F1">
              <w:rPr>
                <w:rFonts w:eastAsia="Times New Roman"/>
                <w:b/>
                <w:bCs/>
                <w:noProof w:val="0"/>
                <w:color w:val="000000"/>
                <w:lang w:val="pt-BR" w:eastAsia="pt-BR"/>
              </w:rPr>
              <w:t>INDICADOR</w:t>
            </w:r>
          </w:p>
        </w:tc>
      </w:tr>
      <w:tr w:rsidR="008079F1" w:rsidRPr="008079F1" w:rsidTr="0052372F">
        <w:trPr>
          <w:trHeight w:val="195"/>
          <w:jc w:val="center"/>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center"/>
              <w:rPr>
                <w:rFonts w:eastAsia="Times New Roman"/>
                <w:noProof w:val="0"/>
                <w:color w:val="000000"/>
                <w:lang w:val="pt-BR" w:eastAsia="pt-BR"/>
              </w:rPr>
            </w:pPr>
            <w:r w:rsidRPr="008079F1">
              <w:rPr>
                <w:rFonts w:eastAsia="Times New Roman"/>
                <w:noProof w:val="0"/>
                <w:color w:val="000000"/>
                <w:lang w:val="pt-BR" w:eastAsia="pt-BR"/>
              </w:rPr>
              <w:t>2008</w:t>
            </w:r>
          </w:p>
        </w:tc>
        <w:tc>
          <w:tcPr>
            <w:tcW w:w="1200"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262</w:t>
            </w:r>
          </w:p>
        </w:tc>
        <w:tc>
          <w:tcPr>
            <w:tcW w:w="1080"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20</w:t>
            </w:r>
          </w:p>
        </w:tc>
        <w:tc>
          <w:tcPr>
            <w:tcW w:w="1540"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68</w:t>
            </w:r>
          </w:p>
        </w:tc>
        <w:tc>
          <w:tcPr>
            <w:tcW w:w="1519"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37</w:t>
            </w:r>
          </w:p>
        </w:tc>
        <w:tc>
          <w:tcPr>
            <w:tcW w:w="1501"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125</w:t>
            </w:r>
          </w:p>
        </w:tc>
        <w:tc>
          <w:tcPr>
            <w:tcW w:w="1412"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52372F">
            <w:pPr>
              <w:spacing w:after="0" w:line="240" w:lineRule="auto"/>
              <w:ind w:right="8"/>
              <w:jc w:val="right"/>
              <w:rPr>
                <w:rFonts w:eastAsia="Times New Roman"/>
                <w:noProof w:val="0"/>
                <w:color w:val="000000"/>
                <w:lang w:val="pt-BR" w:eastAsia="pt-BR"/>
              </w:rPr>
            </w:pPr>
            <w:r w:rsidRPr="008079F1">
              <w:rPr>
                <w:rFonts w:eastAsia="Times New Roman"/>
                <w:noProof w:val="0"/>
                <w:color w:val="000000"/>
                <w:lang w:val="pt-BR" w:eastAsia="pt-BR"/>
              </w:rPr>
              <w:t>47,71%</w:t>
            </w:r>
          </w:p>
        </w:tc>
      </w:tr>
      <w:tr w:rsidR="008079F1" w:rsidRPr="008079F1" w:rsidTr="0052372F">
        <w:trPr>
          <w:trHeight w:val="195"/>
          <w:jc w:val="center"/>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center"/>
              <w:rPr>
                <w:rFonts w:eastAsia="Times New Roman"/>
                <w:noProof w:val="0"/>
                <w:color w:val="000000"/>
                <w:lang w:val="pt-BR" w:eastAsia="pt-BR"/>
              </w:rPr>
            </w:pPr>
            <w:r w:rsidRPr="008079F1">
              <w:rPr>
                <w:rFonts w:eastAsia="Times New Roman"/>
                <w:noProof w:val="0"/>
                <w:color w:val="000000"/>
                <w:lang w:val="pt-BR" w:eastAsia="pt-BR"/>
              </w:rPr>
              <w:t>2009</w:t>
            </w:r>
          </w:p>
        </w:tc>
        <w:tc>
          <w:tcPr>
            <w:tcW w:w="1200"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591</w:t>
            </w:r>
          </w:p>
        </w:tc>
        <w:tc>
          <w:tcPr>
            <w:tcW w:w="1080"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49</w:t>
            </w:r>
          </w:p>
        </w:tc>
        <w:tc>
          <w:tcPr>
            <w:tcW w:w="1540"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149</w:t>
            </w:r>
          </w:p>
        </w:tc>
        <w:tc>
          <w:tcPr>
            <w:tcW w:w="1519"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proofErr w:type="gramStart"/>
            <w:r w:rsidRPr="008079F1">
              <w:rPr>
                <w:rFonts w:eastAsia="Times New Roman"/>
                <w:noProof w:val="0"/>
                <w:color w:val="000000"/>
                <w:lang w:val="pt-BR" w:eastAsia="pt-BR"/>
              </w:rPr>
              <w:t>0</w:t>
            </w:r>
            <w:proofErr w:type="gramEnd"/>
          </w:p>
        </w:tc>
        <w:tc>
          <w:tcPr>
            <w:tcW w:w="1501"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198</w:t>
            </w:r>
          </w:p>
        </w:tc>
        <w:tc>
          <w:tcPr>
            <w:tcW w:w="1412"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52372F">
            <w:pPr>
              <w:spacing w:after="0" w:line="240" w:lineRule="auto"/>
              <w:ind w:right="8"/>
              <w:jc w:val="right"/>
              <w:rPr>
                <w:rFonts w:eastAsia="Times New Roman"/>
                <w:noProof w:val="0"/>
                <w:color w:val="000000"/>
                <w:lang w:val="pt-BR" w:eastAsia="pt-BR"/>
              </w:rPr>
            </w:pPr>
            <w:r w:rsidRPr="008079F1">
              <w:rPr>
                <w:rFonts w:eastAsia="Times New Roman"/>
                <w:noProof w:val="0"/>
                <w:color w:val="000000"/>
                <w:lang w:val="pt-BR" w:eastAsia="pt-BR"/>
              </w:rPr>
              <w:t>33,50%</w:t>
            </w:r>
          </w:p>
        </w:tc>
      </w:tr>
      <w:tr w:rsidR="008079F1" w:rsidRPr="008079F1" w:rsidTr="0052372F">
        <w:trPr>
          <w:trHeight w:val="195"/>
          <w:jc w:val="center"/>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center"/>
              <w:rPr>
                <w:rFonts w:eastAsia="Times New Roman"/>
                <w:noProof w:val="0"/>
                <w:color w:val="000000"/>
                <w:lang w:val="pt-BR" w:eastAsia="pt-BR"/>
              </w:rPr>
            </w:pPr>
            <w:r w:rsidRPr="008079F1">
              <w:rPr>
                <w:rFonts w:eastAsia="Times New Roman"/>
                <w:noProof w:val="0"/>
                <w:color w:val="000000"/>
                <w:lang w:val="pt-BR" w:eastAsia="pt-BR"/>
              </w:rPr>
              <w:t>2010</w:t>
            </w:r>
          </w:p>
        </w:tc>
        <w:tc>
          <w:tcPr>
            <w:tcW w:w="1200"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1.150</w:t>
            </w:r>
          </w:p>
        </w:tc>
        <w:tc>
          <w:tcPr>
            <w:tcW w:w="1080"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178</w:t>
            </w:r>
          </w:p>
        </w:tc>
        <w:tc>
          <w:tcPr>
            <w:tcW w:w="1540"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240</w:t>
            </w:r>
          </w:p>
        </w:tc>
        <w:tc>
          <w:tcPr>
            <w:tcW w:w="1519"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17</w:t>
            </w:r>
          </w:p>
        </w:tc>
        <w:tc>
          <w:tcPr>
            <w:tcW w:w="1501"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435</w:t>
            </w:r>
          </w:p>
        </w:tc>
        <w:tc>
          <w:tcPr>
            <w:tcW w:w="1412"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52372F">
            <w:pPr>
              <w:spacing w:after="0" w:line="240" w:lineRule="auto"/>
              <w:ind w:right="8"/>
              <w:jc w:val="right"/>
              <w:rPr>
                <w:rFonts w:eastAsia="Times New Roman"/>
                <w:noProof w:val="0"/>
                <w:color w:val="000000"/>
                <w:lang w:val="pt-BR" w:eastAsia="pt-BR"/>
              </w:rPr>
            </w:pPr>
            <w:r w:rsidRPr="008079F1">
              <w:rPr>
                <w:rFonts w:eastAsia="Times New Roman"/>
                <w:noProof w:val="0"/>
                <w:color w:val="000000"/>
                <w:lang w:val="pt-BR" w:eastAsia="pt-BR"/>
              </w:rPr>
              <w:t>37,83%</w:t>
            </w:r>
          </w:p>
        </w:tc>
      </w:tr>
      <w:tr w:rsidR="008079F1" w:rsidRPr="008079F1" w:rsidTr="0052372F">
        <w:trPr>
          <w:trHeight w:val="195"/>
          <w:jc w:val="center"/>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center"/>
              <w:rPr>
                <w:rFonts w:eastAsia="Times New Roman"/>
                <w:noProof w:val="0"/>
                <w:color w:val="000000"/>
                <w:lang w:val="pt-BR" w:eastAsia="pt-BR"/>
              </w:rPr>
            </w:pPr>
            <w:r w:rsidRPr="008079F1">
              <w:rPr>
                <w:rFonts w:eastAsia="Times New Roman"/>
                <w:noProof w:val="0"/>
                <w:color w:val="000000"/>
                <w:lang w:val="pt-BR" w:eastAsia="pt-BR"/>
              </w:rPr>
              <w:t>2011</w:t>
            </w:r>
          </w:p>
        </w:tc>
        <w:tc>
          <w:tcPr>
            <w:tcW w:w="1200"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968</w:t>
            </w:r>
          </w:p>
        </w:tc>
        <w:tc>
          <w:tcPr>
            <w:tcW w:w="1080"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66</w:t>
            </w:r>
          </w:p>
        </w:tc>
        <w:tc>
          <w:tcPr>
            <w:tcW w:w="1540"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244</w:t>
            </w:r>
          </w:p>
        </w:tc>
        <w:tc>
          <w:tcPr>
            <w:tcW w:w="1519"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77</w:t>
            </w:r>
          </w:p>
        </w:tc>
        <w:tc>
          <w:tcPr>
            <w:tcW w:w="1501"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387</w:t>
            </w:r>
          </w:p>
        </w:tc>
        <w:tc>
          <w:tcPr>
            <w:tcW w:w="1412"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52372F">
            <w:pPr>
              <w:spacing w:after="0" w:line="240" w:lineRule="auto"/>
              <w:ind w:right="8"/>
              <w:jc w:val="right"/>
              <w:rPr>
                <w:rFonts w:eastAsia="Times New Roman"/>
                <w:noProof w:val="0"/>
                <w:color w:val="000000"/>
                <w:lang w:val="pt-BR" w:eastAsia="pt-BR"/>
              </w:rPr>
            </w:pPr>
            <w:r w:rsidRPr="008079F1">
              <w:rPr>
                <w:rFonts w:eastAsia="Times New Roman"/>
                <w:noProof w:val="0"/>
                <w:color w:val="000000"/>
                <w:lang w:val="pt-BR" w:eastAsia="pt-BR"/>
              </w:rPr>
              <w:t>39,98%</w:t>
            </w:r>
          </w:p>
        </w:tc>
      </w:tr>
      <w:tr w:rsidR="008079F1" w:rsidRPr="008079F1" w:rsidTr="0052372F">
        <w:trPr>
          <w:trHeight w:val="195"/>
          <w:jc w:val="center"/>
        </w:trPr>
        <w:tc>
          <w:tcPr>
            <w:tcW w:w="837" w:type="dxa"/>
            <w:tcBorders>
              <w:top w:val="nil"/>
              <w:left w:val="single" w:sz="4" w:space="0" w:color="auto"/>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center"/>
              <w:rPr>
                <w:rFonts w:eastAsia="Times New Roman"/>
                <w:noProof w:val="0"/>
                <w:color w:val="000000"/>
                <w:lang w:val="pt-BR" w:eastAsia="pt-BR"/>
              </w:rPr>
            </w:pPr>
            <w:r w:rsidRPr="008079F1">
              <w:rPr>
                <w:rFonts w:eastAsia="Times New Roman"/>
                <w:noProof w:val="0"/>
                <w:color w:val="000000"/>
                <w:lang w:val="pt-BR" w:eastAsia="pt-BR"/>
              </w:rPr>
              <w:t>2012</w:t>
            </w:r>
          </w:p>
        </w:tc>
        <w:tc>
          <w:tcPr>
            <w:tcW w:w="1200"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495</w:t>
            </w:r>
          </w:p>
        </w:tc>
        <w:tc>
          <w:tcPr>
            <w:tcW w:w="1080"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35</w:t>
            </w:r>
          </w:p>
        </w:tc>
        <w:tc>
          <w:tcPr>
            <w:tcW w:w="1540"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63</w:t>
            </w:r>
          </w:p>
        </w:tc>
        <w:tc>
          <w:tcPr>
            <w:tcW w:w="1519"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15</w:t>
            </w:r>
          </w:p>
        </w:tc>
        <w:tc>
          <w:tcPr>
            <w:tcW w:w="1501"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8079F1">
            <w:pPr>
              <w:spacing w:after="0" w:line="240" w:lineRule="auto"/>
              <w:jc w:val="right"/>
              <w:rPr>
                <w:rFonts w:eastAsia="Times New Roman"/>
                <w:noProof w:val="0"/>
                <w:color w:val="000000"/>
                <w:lang w:val="pt-BR" w:eastAsia="pt-BR"/>
              </w:rPr>
            </w:pPr>
            <w:r w:rsidRPr="008079F1">
              <w:rPr>
                <w:rFonts w:eastAsia="Times New Roman"/>
                <w:noProof w:val="0"/>
                <w:color w:val="000000"/>
                <w:lang w:val="pt-BR" w:eastAsia="pt-BR"/>
              </w:rPr>
              <w:t>113</w:t>
            </w:r>
          </w:p>
        </w:tc>
        <w:tc>
          <w:tcPr>
            <w:tcW w:w="1412" w:type="dxa"/>
            <w:tcBorders>
              <w:top w:val="nil"/>
              <w:left w:val="nil"/>
              <w:bottom w:val="single" w:sz="4" w:space="0" w:color="auto"/>
              <w:right w:val="single" w:sz="4" w:space="0" w:color="auto"/>
            </w:tcBorders>
            <w:shd w:val="clear" w:color="auto" w:fill="auto"/>
            <w:noWrap/>
            <w:vAlign w:val="bottom"/>
            <w:hideMark/>
          </w:tcPr>
          <w:p w:rsidR="008079F1" w:rsidRPr="008079F1" w:rsidRDefault="008079F1" w:rsidP="0052372F">
            <w:pPr>
              <w:spacing w:after="0" w:line="240" w:lineRule="auto"/>
              <w:ind w:right="8"/>
              <w:jc w:val="right"/>
              <w:rPr>
                <w:rFonts w:eastAsia="Times New Roman"/>
                <w:noProof w:val="0"/>
                <w:color w:val="000000"/>
                <w:lang w:val="pt-BR" w:eastAsia="pt-BR"/>
              </w:rPr>
            </w:pPr>
            <w:r w:rsidRPr="008079F1">
              <w:rPr>
                <w:rFonts w:eastAsia="Times New Roman"/>
                <w:noProof w:val="0"/>
                <w:color w:val="000000"/>
                <w:lang w:val="pt-BR" w:eastAsia="pt-BR"/>
              </w:rPr>
              <w:t>22,83%</w:t>
            </w:r>
          </w:p>
        </w:tc>
      </w:tr>
    </w:tbl>
    <w:p w:rsidR="00DB50F8" w:rsidRPr="00440BD8" w:rsidRDefault="00DB50F8" w:rsidP="00670008">
      <w:pPr>
        <w:pStyle w:val="Paragraph"/>
        <w:numPr>
          <w:ilvl w:val="0"/>
          <w:numId w:val="0"/>
        </w:numPr>
        <w:spacing w:line="276" w:lineRule="auto"/>
        <w:ind w:left="1434" w:firstLine="6"/>
        <w:rPr>
          <w:sz w:val="16"/>
          <w:szCs w:val="16"/>
          <w:lang w:val="pt-BR"/>
        </w:rPr>
      </w:pPr>
      <w:r w:rsidRPr="00440BD8">
        <w:rPr>
          <w:sz w:val="16"/>
          <w:szCs w:val="16"/>
          <w:lang w:val="pt-BR"/>
        </w:rPr>
        <w:t>Fonte: Coordenadoria de Julgamento</w:t>
      </w:r>
    </w:p>
    <w:p w:rsidR="007C288C" w:rsidRPr="002D2499" w:rsidRDefault="00995E4B" w:rsidP="00670008">
      <w:pPr>
        <w:pStyle w:val="Paragraph"/>
        <w:numPr>
          <w:ilvl w:val="0"/>
          <w:numId w:val="21"/>
        </w:numPr>
        <w:spacing w:line="276" w:lineRule="auto"/>
        <w:ind w:left="714" w:hanging="357"/>
        <w:rPr>
          <w:sz w:val="22"/>
          <w:szCs w:val="22"/>
          <w:lang w:val="pt-BR" w:eastAsia="en-US"/>
        </w:rPr>
      </w:pPr>
      <w:r w:rsidRPr="002D2499">
        <w:rPr>
          <w:sz w:val="22"/>
          <w:szCs w:val="22"/>
          <w:lang w:val="pt-BR"/>
        </w:rPr>
        <w:t xml:space="preserve">Baixa produtividade no julgamento dos autos de infração </w:t>
      </w:r>
      <w:r w:rsidR="00246E71" w:rsidRPr="002D2499">
        <w:rPr>
          <w:sz w:val="22"/>
          <w:szCs w:val="22"/>
          <w:lang w:val="pt-BR"/>
        </w:rPr>
        <w:t>devido à falta de critérios para distribuição de processos para os julgadores. Atualmente, autos de infração da mesma natureza são distribuídos para julgadores diferentes e em períodos distintos. Além disso, a existência de autos de infração heterogêneos possibilita tratamentos diferenciados para assuntos semelhantes. A produtividade</w:t>
      </w:r>
      <w:r w:rsidR="00DB154B" w:rsidRPr="002D2499">
        <w:rPr>
          <w:sz w:val="22"/>
          <w:szCs w:val="22"/>
          <w:lang w:val="pt-BR"/>
        </w:rPr>
        <w:t xml:space="preserve"> média</w:t>
      </w:r>
      <w:r w:rsidR="00246E71" w:rsidRPr="002D2499">
        <w:rPr>
          <w:sz w:val="22"/>
          <w:szCs w:val="22"/>
          <w:lang w:val="pt-BR"/>
        </w:rPr>
        <w:t xml:space="preserve"> (</w:t>
      </w:r>
      <w:r w:rsidR="00DB50F8" w:rsidRPr="002D2499">
        <w:rPr>
          <w:sz w:val="22"/>
          <w:szCs w:val="22"/>
          <w:lang w:val="pt-BR"/>
        </w:rPr>
        <w:t>Média</w:t>
      </w:r>
      <w:r w:rsidR="00246E71" w:rsidRPr="002D2499">
        <w:rPr>
          <w:sz w:val="22"/>
          <w:szCs w:val="22"/>
          <w:lang w:val="pt-BR"/>
        </w:rPr>
        <w:t xml:space="preserve"> de Processos Julgados</w:t>
      </w:r>
      <w:r w:rsidR="00DB50F8" w:rsidRPr="002D2499">
        <w:rPr>
          <w:sz w:val="22"/>
          <w:szCs w:val="22"/>
          <w:lang w:val="pt-BR"/>
        </w:rPr>
        <w:t xml:space="preserve"> ao mês/ Nº de julgadores</w:t>
      </w:r>
      <w:r w:rsidR="00246E71" w:rsidRPr="002D2499">
        <w:rPr>
          <w:sz w:val="22"/>
          <w:szCs w:val="22"/>
          <w:lang w:val="pt-BR"/>
        </w:rPr>
        <w:t>) no ano de 201</w:t>
      </w:r>
      <w:r w:rsidR="002D2499" w:rsidRPr="002D2499">
        <w:rPr>
          <w:sz w:val="22"/>
          <w:szCs w:val="22"/>
          <w:lang w:val="pt-BR"/>
        </w:rPr>
        <w:t>2</w:t>
      </w:r>
      <w:r w:rsidR="00246E71" w:rsidRPr="002D2499">
        <w:rPr>
          <w:sz w:val="22"/>
          <w:szCs w:val="22"/>
          <w:lang w:val="pt-BR"/>
        </w:rPr>
        <w:t xml:space="preserve"> foi de</w:t>
      </w:r>
      <w:r w:rsidR="00C13078" w:rsidRPr="002D2499">
        <w:rPr>
          <w:sz w:val="22"/>
          <w:szCs w:val="22"/>
          <w:lang w:val="pt-BR"/>
        </w:rPr>
        <w:t xml:space="preserve"> </w:t>
      </w:r>
      <w:proofErr w:type="gramStart"/>
      <w:r w:rsidR="002D2499" w:rsidRPr="002D2499">
        <w:rPr>
          <w:sz w:val="22"/>
          <w:szCs w:val="22"/>
          <w:lang w:val="pt-BR"/>
        </w:rPr>
        <w:t>3</w:t>
      </w:r>
      <w:proofErr w:type="gramEnd"/>
      <w:r w:rsidR="00DB50F8" w:rsidRPr="002D2499">
        <w:rPr>
          <w:sz w:val="22"/>
          <w:szCs w:val="22"/>
          <w:lang w:val="pt-BR"/>
        </w:rPr>
        <w:t xml:space="preserve"> Autos julgados por julgador</w:t>
      </w:r>
      <w:r w:rsidR="00C13078" w:rsidRPr="002D2499">
        <w:rPr>
          <w:sz w:val="22"/>
          <w:szCs w:val="22"/>
          <w:lang w:val="pt-BR"/>
        </w:rPr>
        <w:t>/mês</w:t>
      </w:r>
      <w:r w:rsidR="00246E71" w:rsidRPr="002D2499">
        <w:rPr>
          <w:sz w:val="22"/>
          <w:szCs w:val="22"/>
          <w:lang w:val="pt-BR"/>
        </w:rPr>
        <w:t>.</w:t>
      </w:r>
      <w:r w:rsidR="00201CE9" w:rsidRPr="002D2499">
        <w:rPr>
          <w:sz w:val="22"/>
          <w:szCs w:val="22"/>
          <w:lang w:val="pt-BR"/>
        </w:rPr>
        <w:t xml:space="preserve"> </w:t>
      </w:r>
    </w:p>
    <w:tbl>
      <w:tblPr>
        <w:tblW w:w="8179" w:type="dxa"/>
        <w:jc w:val="center"/>
        <w:tblInd w:w="55" w:type="dxa"/>
        <w:tblCellMar>
          <w:left w:w="70" w:type="dxa"/>
          <w:right w:w="70" w:type="dxa"/>
        </w:tblCellMar>
        <w:tblLook w:val="04A0"/>
      </w:tblPr>
      <w:tblGrid>
        <w:gridCol w:w="700"/>
        <w:gridCol w:w="1820"/>
        <w:gridCol w:w="1820"/>
        <w:gridCol w:w="1429"/>
        <w:gridCol w:w="2410"/>
      </w:tblGrid>
      <w:tr w:rsidR="002D2499" w:rsidRPr="002D2499" w:rsidTr="0052372F">
        <w:trPr>
          <w:trHeight w:val="600"/>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2499" w:rsidRPr="002D2499" w:rsidRDefault="002D2499" w:rsidP="002D2499">
            <w:pPr>
              <w:spacing w:after="0" w:line="240" w:lineRule="auto"/>
              <w:jc w:val="center"/>
              <w:rPr>
                <w:rFonts w:eastAsia="Times New Roman"/>
                <w:b/>
                <w:bCs/>
                <w:noProof w:val="0"/>
                <w:color w:val="000000"/>
                <w:lang w:val="pt-BR" w:eastAsia="pt-BR"/>
              </w:rPr>
            </w:pPr>
            <w:r w:rsidRPr="002D2499">
              <w:rPr>
                <w:rFonts w:eastAsia="Times New Roman"/>
                <w:b/>
                <w:bCs/>
                <w:noProof w:val="0"/>
                <w:color w:val="000000"/>
                <w:lang w:val="pt-BR" w:eastAsia="pt-BR"/>
              </w:rPr>
              <w:t>Ano</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2D2499" w:rsidRPr="002D2499" w:rsidRDefault="002D2499" w:rsidP="002D2499">
            <w:pPr>
              <w:spacing w:after="0" w:line="240" w:lineRule="auto"/>
              <w:jc w:val="center"/>
              <w:rPr>
                <w:rFonts w:eastAsia="Times New Roman"/>
                <w:b/>
                <w:bCs/>
                <w:noProof w:val="0"/>
                <w:color w:val="000000"/>
                <w:lang w:val="pt-BR" w:eastAsia="pt-BR"/>
              </w:rPr>
            </w:pPr>
            <w:r w:rsidRPr="002D2499">
              <w:rPr>
                <w:rFonts w:eastAsia="Times New Roman"/>
                <w:b/>
                <w:bCs/>
                <w:noProof w:val="0"/>
                <w:color w:val="000000"/>
                <w:lang w:val="pt-BR" w:eastAsia="pt-BR"/>
              </w:rPr>
              <w:t>Autos Julgados no Período</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2D2499" w:rsidRPr="002D2499" w:rsidRDefault="002D2499" w:rsidP="002D2499">
            <w:pPr>
              <w:spacing w:after="0" w:line="240" w:lineRule="auto"/>
              <w:jc w:val="center"/>
              <w:rPr>
                <w:rFonts w:eastAsia="Times New Roman"/>
                <w:b/>
                <w:bCs/>
                <w:noProof w:val="0"/>
                <w:color w:val="000000"/>
                <w:lang w:val="pt-BR" w:eastAsia="pt-BR"/>
              </w:rPr>
            </w:pPr>
            <w:r w:rsidRPr="002D2499">
              <w:rPr>
                <w:rFonts w:eastAsia="Times New Roman"/>
                <w:b/>
                <w:bCs/>
                <w:noProof w:val="0"/>
                <w:color w:val="000000"/>
                <w:lang w:val="pt-BR" w:eastAsia="pt-BR"/>
              </w:rPr>
              <w:t>Autos Julgados por mês</w:t>
            </w:r>
          </w:p>
        </w:tc>
        <w:tc>
          <w:tcPr>
            <w:tcW w:w="1429" w:type="dxa"/>
            <w:tcBorders>
              <w:top w:val="single" w:sz="4" w:space="0" w:color="auto"/>
              <w:left w:val="nil"/>
              <w:bottom w:val="single" w:sz="4" w:space="0" w:color="auto"/>
              <w:right w:val="single" w:sz="4" w:space="0" w:color="auto"/>
            </w:tcBorders>
            <w:shd w:val="clear" w:color="auto" w:fill="auto"/>
            <w:vAlign w:val="center"/>
            <w:hideMark/>
          </w:tcPr>
          <w:p w:rsidR="002D2499" w:rsidRPr="002D2499" w:rsidRDefault="002D2499" w:rsidP="002D2499">
            <w:pPr>
              <w:spacing w:after="0" w:line="240" w:lineRule="auto"/>
              <w:jc w:val="center"/>
              <w:rPr>
                <w:rFonts w:eastAsia="Times New Roman"/>
                <w:b/>
                <w:bCs/>
                <w:noProof w:val="0"/>
                <w:color w:val="000000"/>
                <w:lang w:val="pt-BR" w:eastAsia="pt-BR"/>
              </w:rPr>
            </w:pPr>
            <w:r w:rsidRPr="002D2499">
              <w:rPr>
                <w:rFonts w:eastAsia="Times New Roman"/>
                <w:b/>
                <w:bCs/>
                <w:noProof w:val="0"/>
                <w:color w:val="000000"/>
                <w:lang w:val="pt-BR" w:eastAsia="pt-BR"/>
              </w:rPr>
              <w:t>Nº de julgadores</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2D2499" w:rsidRPr="002D2499" w:rsidRDefault="002D2499" w:rsidP="002D2499">
            <w:pPr>
              <w:spacing w:after="0" w:line="240" w:lineRule="auto"/>
              <w:jc w:val="center"/>
              <w:rPr>
                <w:rFonts w:eastAsia="Times New Roman"/>
                <w:b/>
                <w:bCs/>
                <w:noProof w:val="0"/>
                <w:color w:val="000000"/>
                <w:lang w:val="pt-BR" w:eastAsia="pt-BR"/>
              </w:rPr>
            </w:pPr>
            <w:proofErr w:type="gramStart"/>
            <w:r w:rsidRPr="002D2499">
              <w:rPr>
                <w:rFonts w:eastAsia="Times New Roman"/>
                <w:b/>
                <w:bCs/>
                <w:noProof w:val="0"/>
                <w:color w:val="000000"/>
                <w:lang w:val="pt-BR" w:eastAsia="pt-BR"/>
              </w:rPr>
              <w:t>Quant.</w:t>
            </w:r>
            <w:proofErr w:type="gramEnd"/>
            <w:r w:rsidRPr="002D2499">
              <w:rPr>
                <w:rFonts w:eastAsia="Times New Roman"/>
                <w:b/>
                <w:bCs/>
                <w:noProof w:val="0"/>
                <w:color w:val="000000"/>
                <w:lang w:val="pt-BR" w:eastAsia="pt-BR"/>
              </w:rPr>
              <w:t>Autos por julgador /mês</w:t>
            </w:r>
          </w:p>
        </w:tc>
      </w:tr>
      <w:tr w:rsidR="002D2499" w:rsidRPr="002D2499" w:rsidTr="0052372F">
        <w:trPr>
          <w:trHeight w:val="18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2008</w:t>
            </w:r>
          </w:p>
        </w:tc>
        <w:tc>
          <w:tcPr>
            <w:tcW w:w="1820" w:type="dxa"/>
            <w:tcBorders>
              <w:top w:val="nil"/>
              <w:left w:val="nil"/>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262</w:t>
            </w:r>
          </w:p>
        </w:tc>
        <w:tc>
          <w:tcPr>
            <w:tcW w:w="1820" w:type="dxa"/>
            <w:tcBorders>
              <w:top w:val="nil"/>
              <w:left w:val="nil"/>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22</w:t>
            </w:r>
          </w:p>
        </w:tc>
        <w:tc>
          <w:tcPr>
            <w:tcW w:w="1429" w:type="dxa"/>
            <w:tcBorders>
              <w:top w:val="nil"/>
              <w:left w:val="nil"/>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proofErr w:type="gramStart"/>
            <w:r w:rsidRPr="002D2499">
              <w:rPr>
                <w:rFonts w:eastAsia="Times New Roman"/>
                <w:noProof w:val="0"/>
                <w:color w:val="000000"/>
                <w:lang w:val="pt-BR" w:eastAsia="pt-BR"/>
              </w:rPr>
              <w:t>8</w:t>
            </w:r>
            <w:proofErr w:type="gramEnd"/>
          </w:p>
        </w:tc>
        <w:tc>
          <w:tcPr>
            <w:tcW w:w="2410" w:type="dxa"/>
            <w:tcBorders>
              <w:top w:val="nil"/>
              <w:left w:val="nil"/>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2,73</w:t>
            </w:r>
          </w:p>
        </w:tc>
      </w:tr>
      <w:tr w:rsidR="002D2499" w:rsidRPr="002D2499" w:rsidTr="0052372F">
        <w:trPr>
          <w:trHeight w:val="18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2009</w:t>
            </w:r>
          </w:p>
        </w:tc>
        <w:tc>
          <w:tcPr>
            <w:tcW w:w="1820" w:type="dxa"/>
            <w:tcBorders>
              <w:top w:val="nil"/>
              <w:left w:val="nil"/>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591</w:t>
            </w:r>
          </w:p>
        </w:tc>
        <w:tc>
          <w:tcPr>
            <w:tcW w:w="1820" w:type="dxa"/>
            <w:tcBorders>
              <w:top w:val="nil"/>
              <w:left w:val="nil"/>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49</w:t>
            </w:r>
          </w:p>
        </w:tc>
        <w:tc>
          <w:tcPr>
            <w:tcW w:w="1429" w:type="dxa"/>
            <w:tcBorders>
              <w:top w:val="nil"/>
              <w:left w:val="nil"/>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11</w:t>
            </w:r>
          </w:p>
        </w:tc>
        <w:tc>
          <w:tcPr>
            <w:tcW w:w="2410" w:type="dxa"/>
            <w:tcBorders>
              <w:top w:val="nil"/>
              <w:left w:val="nil"/>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4,48</w:t>
            </w:r>
          </w:p>
        </w:tc>
      </w:tr>
      <w:tr w:rsidR="002D2499" w:rsidRPr="002D2499" w:rsidTr="0052372F">
        <w:trPr>
          <w:trHeight w:val="18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2010</w:t>
            </w:r>
          </w:p>
        </w:tc>
        <w:tc>
          <w:tcPr>
            <w:tcW w:w="1820" w:type="dxa"/>
            <w:tcBorders>
              <w:top w:val="nil"/>
              <w:left w:val="nil"/>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1.150</w:t>
            </w:r>
          </w:p>
        </w:tc>
        <w:tc>
          <w:tcPr>
            <w:tcW w:w="1820" w:type="dxa"/>
            <w:tcBorders>
              <w:top w:val="nil"/>
              <w:left w:val="nil"/>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96</w:t>
            </w:r>
          </w:p>
        </w:tc>
        <w:tc>
          <w:tcPr>
            <w:tcW w:w="1429" w:type="dxa"/>
            <w:tcBorders>
              <w:top w:val="nil"/>
              <w:left w:val="nil"/>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14</w:t>
            </w:r>
          </w:p>
        </w:tc>
        <w:tc>
          <w:tcPr>
            <w:tcW w:w="2410" w:type="dxa"/>
            <w:tcBorders>
              <w:top w:val="nil"/>
              <w:left w:val="nil"/>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6,85</w:t>
            </w:r>
          </w:p>
        </w:tc>
      </w:tr>
      <w:tr w:rsidR="002D2499" w:rsidRPr="002D2499" w:rsidTr="0052372F">
        <w:trPr>
          <w:trHeight w:val="18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2011</w:t>
            </w:r>
          </w:p>
        </w:tc>
        <w:tc>
          <w:tcPr>
            <w:tcW w:w="1820" w:type="dxa"/>
            <w:tcBorders>
              <w:top w:val="nil"/>
              <w:left w:val="nil"/>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968</w:t>
            </w:r>
          </w:p>
        </w:tc>
        <w:tc>
          <w:tcPr>
            <w:tcW w:w="1820" w:type="dxa"/>
            <w:tcBorders>
              <w:top w:val="nil"/>
              <w:left w:val="nil"/>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81</w:t>
            </w:r>
          </w:p>
        </w:tc>
        <w:tc>
          <w:tcPr>
            <w:tcW w:w="1429" w:type="dxa"/>
            <w:tcBorders>
              <w:top w:val="nil"/>
              <w:left w:val="nil"/>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15</w:t>
            </w:r>
          </w:p>
        </w:tc>
        <w:tc>
          <w:tcPr>
            <w:tcW w:w="2410" w:type="dxa"/>
            <w:tcBorders>
              <w:top w:val="nil"/>
              <w:left w:val="nil"/>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5,38</w:t>
            </w:r>
          </w:p>
        </w:tc>
      </w:tr>
      <w:tr w:rsidR="002D2499" w:rsidRPr="002D2499" w:rsidTr="0052372F">
        <w:trPr>
          <w:trHeight w:val="18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2012</w:t>
            </w:r>
          </w:p>
        </w:tc>
        <w:tc>
          <w:tcPr>
            <w:tcW w:w="1820" w:type="dxa"/>
            <w:tcBorders>
              <w:top w:val="nil"/>
              <w:left w:val="nil"/>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495</w:t>
            </w:r>
          </w:p>
        </w:tc>
        <w:tc>
          <w:tcPr>
            <w:tcW w:w="1820" w:type="dxa"/>
            <w:tcBorders>
              <w:top w:val="nil"/>
              <w:left w:val="nil"/>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41</w:t>
            </w:r>
          </w:p>
        </w:tc>
        <w:tc>
          <w:tcPr>
            <w:tcW w:w="1429" w:type="dxa"/>
            <w:tcBorders>
              <w:top w:val="nil"/>
              <w:left w:val="nil"/>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13</w:t>
            </w:r>
          </w:p>
        </w:tc>
        <w:tc>
          <w:tcPr>
            <w:tcW w:w="2410" w:type="dxa"/>
            <w:tcBorders>
              <w:top w:val="nil"/>
              <w:left w:val="nil"/>
              <w:bottom w:val="single" w:sz="4" w:space="0" w:color="auto"/>
              <w:right w:val="single" w:sz="4" w:space="0" w:color="auto"/>
            </w:tcBorders>
            <w:shd w:val="clear" w:color="auto" w:fill="auto"/>
            <w:noWrap/>
            <w:vAlign w:val="bottom"/>
            <w:hideMark/>
          </w:tcPr>
          <w:p w:rsidR="002D2499" w:rsidRPr="002D2499" w:rsidRDefault="002D2499" w:rsidP="002D2499">
            <w:pPr>
              <w:spacing w:after="0" w:line="240" w:lineRule="auto"/>
              <w:jc w:val="right"/>
              <w:rPr>
                <w:rFonts w:eastAsia="Times New Roman"/>
                <w:noProof w:val="0"/>
                <w:color w:val="000000"/>
                <w:lang w:val="pt-BR" w:eastAsia="pt-BR"/>
              </w:rPr>
            </w:pPr>
            <w:r w:rsidRPr="002D2499">
              <w:rPr>
                <w:rFonts w:eastAsia="Times New Roman"/>
                <w:noProof w:val="0"/>
                <w:color w:val="000000"/>
                <w:lang w:val="pt-BR" w:eastAsia="pt-BR"/>
              </w:rPr>
              <w:t>3,17</w:t>
            </w:r>
          </w:p>
        </w:tc>
      </w:tr>
    </w:tbl>
    <w:p w:rsidR="00DB50F8" w:rsidRDefault="00DB50F8" w:rsidP="0052372F">
      <w:pPr>
        <w:pStyle w:val="Paragraph"/>
        <w:numPr>
          <w:ilvl w:val="0"/>
          <w:numId w:val="0"/>
        </w:numPr>
        <w:spacing w:line="276" w:lineRule="auto"/>
        <w:ind w:left="1560"/>
        <w:rPr>
          <w:sz w:val="16"/>
          <w:szCs w:val="16"/>
          <w:lang w:val="pt-BR"/>
        </w:rPr>
      </w:pPr>
      <w:r w:rsidRPr="00440BD8">
        <w:rPr>
          <w:sz w:val="16"/>
          <w:szCs w:val="16"/>
          <w:lang w:val="pt-BR"/>
        </w:rPr>
        <w:t>Fonte: Coordenadoria de Julgamento</w:t>
      </w:r>
    </w:p>
    <w:p w:rsidR="00201CE9" w:rsidRPr="00440BD8" w:rsidRDefault="00201CE9" w:rsidP="003360F8">
      <w:pPr>
        <w:pStyle w:val="Paragraph"/>
        <w:numPr>
          <w:ilvl w:val="0"/>
          <w:numId w:val="0"/>
        </w:numPr>
        <w:spacing w:line="276" w:lineRule="auto"/>
        <w:ind w:left="2154" w:firstLine="6"/>
        <w:rPr>
          <w:sz w:val="16"/>
          <w:szCs w:val="16"/>
          <w:lang w:val="pt-BR"/>
        </w:rPr>
      </w:pPr>
    </w:p>
    <w:p w:rsidR="008E104E" w:rsidRPr="00440BD8" w:rsidRDefault="00567A79" w:rsidP="00670008">
      <w:pPr>
        <w:pStyle w:val="PargrafodaLista"/>
        <w:numPr>
          <w:ilvl w:val="1"/>
          <w:numId w:val="19"/>
        </w:numPr>
        <w:spacing w:before="120" w:after="120"/>
        <w:ind w:left="720" w:hanging="720"/>
        <w:jc w:val="both"/>
        <w:rPr>
          <w:rFonts w:ascii="Times New Roman" w:hAnsi="Times New Roman"/>
          <w:sz w:val="24"/>
          <w:szCs w:val="24"/>
          <w:lang w:val="pt-BR"/>
        </w:rPr>
      </w:pPr>
      <w:r w:rsidRPr="00440BD8">
        <w:rPr>
          <w:rFonts w:ascii="Times New Roman" w:hAnsi="Times New Roman"/>
          <w:b/>
          <w:noProof w:val="0"/>
          <w:color w:val="000000"/>
          <w:sz w:val="24"/>
          <w:szCs w:val="24"/>
          <w:lang w:val="pt-BR"/>
        </w:rPr>
        <w:t xml:space="preserve">DESCRIÇÃO </w:t>
      </w:r>
      <w:r w:rsidR="007E4049" w:rsidRPr="00440BD8">
        <w:rPr>
          <w:rFonts w:ascii="Times New Roman" w:hAnsi="Times New Roman"/>
          <w:b/>
          <w:noProof w:val="0"/>
          <w:color w:val="000000"/>
          <w:sz w:val="24"/>
          <w:szCs w:val="24"/>
          <w:lang w:val="pt-BR"/>
        </w:rPr>
        <w:t>DA SOLUÇÃO</w:t>
      </w:r>
    </w:p>
    <w:p w:rsidR="00647903" w:rsidRPr="00440BD8" w:rsidRDefault="00923BB8" w:rsidP="00670008">
      <w:pPr>
        <w:spacing w:before="240" w:after="240"/>
        <w:jc w:val="both"/>
        <w:rPr>
          <w:rFonts w:ascii="Times New Roman" w:hAnsi="Times New Roman"/>
          <w:noProof w:val="0"/>
          <w:color w:val="000000" w:themeColor="text1"/>
          <w:lang w:val="pt-BR"/>
        </w:rPr>
      </w:pPr>
      <w:r w:rsidRPr="00440BD8">
        <w:rPr>
          <w:rFonts w:ascii="Times New Roman" w:hAnsi="Times New Roman"/>
          <w:noProof w:val="0"/>
          <w:color w:val="000000" w:themeColor="text1"/>
          <w:lang w:val="pt-BR"/>
        </w:rPr>
        <w:t xml:space="preserve">Com a </w:t>
      </w:r>
      <w:r w:rsidR="00212AFF" w:rsidRPr="00440BD8">
        <w:rPr>
          <w:rFonts w:ascii="Times New Roman" w:hAnsi="Times New Roman"/>
          <w:noProof w:val="0"/>
          <w:color w:val="000000" w:themeColor="text1"/>
          <w:lang w:val="pt-BR"/>
        </w:rPr>
        <w:t xml:space="preserve">criação </w:t>
      </w:r>
      <w:r w:rsidR="008B651D">
        <w:rPr>
          <w:rFonts w:ascii="Times New Roman" w:hAnsi="Times New Roman"/>
          <w:noProof w:val="0"/>
          <w:color w:val="000000" w:themeColor="text1"/>
          <w:lang w:val="pt-BR"/>
        </w:rPr>
        <w:t>de uma diretoria voltada para a análise e monitoramento das informações fiscais será implantado um novo modelo de monitoramento de contribuintes com uso de indicadores de auditoria, etapa inicial d</w:t>
      </w:r>
      <w:r w:rsidR="00212AFF" w:rsidRPr="00440BD8">
        <w:rPr>
          <w:rFonts w:ascii="Times New Roman" w:hAnsi="Times New Roman"/>
          <w:noProof w:val="0"/>
          <w:color w:val="000000" w:themeColor="text1"/>
          <w:lang w:val="pt-BR"/>
        </w:rPr>
        <w:t>a</w:t>
      </w:r>
      <w:r w:rsidRPr="00440BD8">
        <w:rPr>
          <w:rFonts w:ascii="Times New Roman" w:hAnsi="Times New Roman"/>
          <w:noProof w:val="0"/>
          <w:color w:val="000000" w:themeColor="text1"/>
          <w:lang w:val="pt-BR"/>
        </w:rPr>
        <w:t xml:space="preserve"> </w:t>
      </w:r>
      <w:r w:rsidR="00212AFF" w:rsidRPr="00440BD8">
        <w:rPr>
          <w:rFonts w:ascii="Times New Roman" w:hAnsi="Times New Roman"/>
          <w:noProof w:val="0"/>
          <w:color w:val="000000" w:themeColor="text1"/>
          <w:lang w:val="pt-BR"/>
        </w:rPr>
        <w:t>p</w:t>
      </w:r>
      <w:r w:rsidR="00212AFF" w:rsidRPr="00440BD8">
        <w:rPr>
          <w:rFonts w:ascii="Times New Roman" w:hAnsi="Times New Roman"/>
          <w:noProof w:val="0"/>
          <w:lang w:val="pt-BR"/>
        </w:rPr>
        <w:t>adronização do processo de fiscalização e constituição do crédito tributário no âmbito estadual</w:t>
      </w:r>
      <w:r w:rsidR="008B651D">
        <w:rPr>
          <w:rFonts w:ascii="Times New Roman" w:hAnsi="Times New Roman"/>
          <w:noProof w:val="0"/>
          <w:lang w:val="pt-BR"/>
        </w:rPr>
        <w:t>. O processo será suportado</w:t>
      </w:r>
      <w:r w:rsidR="00212AFF" w:rsidRPr="00440BD8">
        <w:rPr>
          <w:rFonts w:ascii="Times New Roman" w:hAnsi="Times New Roman"/>
          <w:noProof w:val="0"/>
          <w:lang w:val="pt-BR"/>
        </w:rPr>
        <w:t xml:space="preserve"> pel</w:t>
      </w:r>
      <w:r w:rsidR="00647903" w:rsidRPr="00440BD8">
        <w:rPr>
          <w:rFonts w:ascii="Times New Roman" w:hAnsi="Times New Roman"/>
          <w:noProof w:val="0"/>
          <w:lang w:val="pt-BR"/>
        </w:rPr>
        <w:t>o modelo de</w:t>
      </w:r>
      <w:r w:rsidR="00212AFF" w:rsidRPr="00440BD8">
        <w:rPr>
          <w:rFonts w:ascii="Times New Roman" w:hAnsi="Times New Roman"/>
          <w:noProof w:val="0"/>
          <w:lang w:val="pt-BR"/>
        </w:rPr>
        <w:t xml:space="preserve"> gestão para resultados</w:t>
      </w:r>
      <w:r w:rsidR="00647903" w:rsidRPr="00440BD8">
        <w:rPr>
          <w:rFonts w:ascii="Times New Roman" w:hAnsi="Times New Roman"/>
          <w:noProof w:val="0"/>
          <w:lang w:val="pt-BR"/>
        </w:rPr>
        <w:t xml:space="preserve"> </w:t>
      </w:r>
      <w:r w:rsidRPr="00440BD8">
        <w:rPr>
          <w:rFonts w:ascii="Times New Roman" w:hAnsi="Times New Roman"/>
          <w:noProof w:val="0"/>
          <w:color w:val="000000" w:themeColor="text1"/>
          <w:lang w:val="pt-BR"/>
        </w:rPr>
        <w:t>com acordo de metas de arrecadação tributária e sistemática de acompanhamento de resultados por setor / atividade econômica</w:t>
      </w:r>
      <w:r w:rsidR="00DB154B" w:rsidRPr="00440BD8">
        <w:rPr>
          <w:rFonts w:ascii="Times New Roman" w:hAnsi="Times New Roman"/>
          <w:noProof w:val="0"/>
          <w:lang w:val="pt-BR"/>
        </w:rPr>
        <w:t>,</w:t>
      </w:r>
      <w:r w:rsidRPr="00440BD8">
        <w:rPr>
          <w:rFonts w:ascii="Times New Roman" w:hAnsi="Times New Roman"/>
          <w:noProof w:val="0"/>
          <w:color w:val="000000" w:themeColor="text1"/>
          <w:lang w:val="pt-BR"/>
        </w:rPr>
        <w:t xml:space="preserve"> cuja liderança</w:t>
      </w:r>
      <w:r w:rsidR="00FC1386" w:rsidRPr="00440BD8">
        <w:rPr>
          <w:rFonts w:ascii="Times New Roman" w:hAnsi="Times New Roman"/>
          <w:noProof w:val="0"/>
          <w:color w:val="000000" w:themeColor="text1"/>
          <w:lang w:val="pt-BR"/>
        </w:rPr>
        <w:t xml:space="preserve"> </w:t>
      </w:r>
      <w:r w:rsidR="008C03AC" w:rsidRPr="00440BD8">
        <w:rPr>
          <w:rFonts w:ascii="Times New Roman" w:hAnsi="Times New Roman"/>
          <w:noProof w:val="0"/>
          <w:color w:val="000000" w:themeColor="text1"/>
          <w:lang w:val="pt-BR"/>
        </w:rPr>
        <w:t>d</w:t>
      </w:r>
      <w:r w:rsidR="00FC1386" w:rsidRPr="00440BD8">
        <w:rPr>
          <w:rFonts w:ascii="Times New Roman" w:hAnsi="Times New Roman"/>
          <w:noProof w:val="0"/>
          <w:color w:val="000000" w:themeColor="text1"/>
          <w:lang w:val="pt-BR"/>
        </w:rPr>
        <w:t>o</w:t>
      </w:r>
      <w:r w:rsidRPr="00440BD8">
        <w:rPr>
          <w:rFonts w:ascii="Times New Roman" w:hAnsi="Times New Roman"/>
          <w:noProof w:val="0"/>
          <w:color w:val="000000" w:themeColor="text1"/>
          <w:lang w:val="pt-BR"/>
        </w:rPr>
        <w:t xml:space="preserve"> Secretário da Fazenda</w:t>
      </w:r>
      <w:r w:rsidR="00D01588" w:rsidRPr="00440BD8">
        <w:rPr>
          <w:rFonts w:ascii="Times New Roman" w:hAnsi="Times New Roman"/>
          <w:noProof w:val="0"/>
          <w:color w:val="000000" w:themeColor="text1"/>
          <w:lang w:val="pt-BR"/>
        </w:rPr>
        <w:t xml:space="preserve"> promove</w:t>
      </w:r>
      <w:r w:rsidR="008C03AC" w:rsidRPr="00440BD8">
        <w:rPr>
          <w:rFonts w:ascii="Times New Roman" w:hAnsi="Times New Roman"/>
          <w:noProof w:val="0"/>
          <w:color w:val="000000" w:themeColor="text1"/>
          <w:lang w:val="pt-BR"/>
        </w:rPr>
        <w:t>rá</w:t>
      </w:r>
      <w:r w:rsidRPr="00440BD8">
        <w:rPr>
          <w:rFonts w:ascii="Times New Roman" w:hAnsi="Times New Roman"/>
          <w:noProof w:val="0"/>
          <w:color w:val="000000" w:themeColor="text1"/>
          <w:lang w:val="pt-BR"/>
        </w:rPr>
        <w:t xml:space="preserve"> a realização das diretrizes </w:t>
      </w:r>
      <w:r w:rsidR="00DB1068" w:rsidRPr="00440BD8">
        <w:rPr>
          <w:rFonts w:ascii="Times New Roman" w:hAnsi="Times New Roman"/>
          <w:noProof w:val="0"/>
          <w:color w:val="000000" w:themeColor="text1"/>
          <w:lang w:val="pt-BR"/>
        </w:rPr>
        <w:t>anuais,</w:t>
      </w:r>
      <w:r w:rsidRPr="00440BD8">
        <w:rPr>
          <w:rFonts w:ascii="Times New Roman" w:hAnsi="Times New Roman"/>
          <w:noProof w:val="0"/>
          <w:color w:val="000000" w:themeColor="text1"/>
          <w:lang w:val="pt-BR"/>
        </w:rPr>
        <w:t xml:space="preserve"> através do desdobramento das metas e das medidas a serem tomadas em cada setor</w:t>
      </w:r>
      <w:r w:rsidR="00DB1068" w:rsidRPr="00440BD8">
        <w:rPr>
          <w:rFonts w:ascii="Times New Roman" w:hAnsi="Times New Roman"/>
          <w:noProof w:val="0"/>
          <w:color w:val="000000" w:themeColor="text1"/>
          <w:lang w:val="pt-BR"/>
        </w:rPr>
        <w:t>, canaliza</w:t>
      </w:r>
      <w:r w:rsidR="00FC1386" w:rsidRPr="00440BD8">
        <w:rPr>
          <w:rFonts w:ascii="Times New Roman" w:hAnsi="Times New Roman"/>
          <w:noProof w:val="0"/>
          <w:color w:val="000000" w:themeColor="text1"/>
          <w:lang w:val="pt-BR"/>
        </w:rPr>
        <w:t>ndo</w:t>
      </w:r>
      <w:r w:rsidR="00DB1068" w:rsidRPr="00440BD8">
        <w:rPr>
          <w:rFonts w:ascii="Times New Roman" w:hAnsi="Times New Roman"/>
          <w:noProof w:val="0"/>
          <w:color w:val="000000" w:themeColor="text1"/>
          <w:lang w:val="pt-BR"/>
        </w:rPr>
        <w:t xml:space="preserve"> os esforços em busca do crescimento sustentável do equilíbrio fiscal</w:t>
      </w:r>
      <w:r w:rsidR="00D164B2" w:rsidRPr="00440BD8">
        <w:rPr>
          <w:rFonts w:ascii="Times New Roman" w:hAnsi="Times New Roman"/>
          <w:noProof w:val="0"/>
          <w:color w:val="000000" w:themeColor="text1"/>
          <w:lang w:val="pt-BR"/>
        </w:rPr>
        <w:t xml:space="preserve"> do Estado</w:t>
      </w:r>
      <w:r w:rsidRPr="00440BD8">
        <w:rPr>
          <w:rFonts w:ascii="Times New Roman" w:hAnsi="Times New Roman"/>
          <w:noProof w:val="0"/>
          <w:color w:val="000000" w:themeColor="text1"/>
          <w:lang w:val="pt-BR"/>
        </w:rPr>
        <w:t>.</w:t>
      </w:r>
      <w:r w:rsidR="00647903" w:rsidRPr="00440BD8">
        <w:rPr>
          <w:rFonts w:ascii="Times New Roman" w:hAnsi="Times New Roman"/>
          <w:noProof w:val="0"/>
          <w:color w:val="000000" w:themeColor="text1"/>
          <w:lang w:val="pt-BR"/>
        </w:rPr>
        <w:t xml:space="preserve"> </w:t>
      </w:r>
    </w:p>
    <w:p w:rsidR="00923BB8" w:rsidRDefault="00647903" w:rsidP="00670008">
      <w:pPr>
        <w:spacing w:before="240" w:after="240"/>
        <w:jc w:val="both"/>
        <w:rPr>
          <w:rFonts w:ascii="Times New Roman" w:hAnsi="Times New Roman"/>
          <w:noProof w:val="0"/>
          <w:color w:val="000000" w:themeColor="text1"/>
          <w:lang w:val="pt-BR"/>
        </w:rPr>
      </w:pPr>
      <w:r w:rsidRPr="00295A44">
        <w:rPr>
          <w:rFonts w:ascii="Times New Roman" w:hAnsi="Times New Roman"/>
          <w:noProof w:val="0"/>
          <w:color w:val="000000" w:themeColor="text1"/>
          <w:lang w:val="pt-BR"/>
        </w:rPr>
        <w:t xml:space="preserve">Esse processo constitui-se de </w:t>
      </w:r>
      <w:proofErr w:type="gramStart"/>
      <w:r w:rsidRPr="00295A44">
        <w:rPr>
          <w:rFonts w:ascii="Times New Roman" w:hAnsi="Times New Roman"/>
          <w:noProof w:val="0"/>
          <w:color w:val="000000" w:themeColor="text1"/>
          <w:lang w:val="pt-BR"/>
        </w:rPr>
        <w:t>4</w:t>
      </w:r>
      <w:proofErr w:type="gramEnd"/>
      <w:r w:rsidR="003360F8">
        <w:rPr>
          <w:rFonts w:ascii="Times New Roman" w:hAnsi="Times New Roman"/>
          <w:noProof w:val="0"/>
          <w:color w:val="000000" w:themeColor="text1"/>
          <w:lang w:val="pt-BR"/>
        </w:rPr>
        <w:t xml:space="preserve"> (quatro)</w:t>
      </w:r>
      <w:r w:rsidRPr="00295A44">
        <w:rPr>
          <w:rFonts w:ascii="Times New Roman" w:hAnsi="Times New Roman"/>
          <w:noProof w:val="0"/>
          <w:color w:val="000000" w:themeColor="text1"/>
          <w:lang w:val="pt-BR"/>
        </w:rPr>
        <w:t xml:space="preserve"> fases distintas, sendo a primeira o monitoramento e tratamento das informações </w:t>
      </w:r>
      <w:r w:rsidR="00D164B2" w:rsidRPr="00295A44">
        <w:rPr>
          <w:rFonts w:ascii="Times New Roman" w:hAnsi="Times New Roman"/>
          <w:noProof w:val="0"/>
          <w:color w:val="000000" w:themeColor="text1"/>
          <w:lang w:val="pt-BR"/>
        </w:rPr>
        <w:t>que produzirá</w:t>
      </w:r>
      <w:r w:rsidRPr="00295A44">
        <w:rPr>
          <w:rFonts w:ascii="Times New Roman" w:hAnsi="Times New Roman"/>
          <w:noProof w:val="0"/>
          <w:color w:val="000000" w:themeColor="text1"/>
          <w:lang w:val="pt-BR"/>
        </w:rPr>
        <w:t xml:space="preserve"> </w:t>
      </w:r>
      <w:r w:rsidR="00D164B2" w:rsidRPr="00295A44">
        <w:rPr>
          <w:rFonts w:ascii="Times New Roman" w:hAnsi="Times New Roman"/>
          <w:noProof w:val="0"/>
          <w:color w:val="000000" w:themeColor="text1"/>
          <w:lang w:val="pt-BR"/>
        </w:rPr>
        <w:t xml:space="preserve">a </w:t>
      </w:r>
      <w:r w:rsidRPr="00295A44">
        <w:rPr>
          <w:rFonts w:ascii="Times New Roman" w:hAnsi="Times New Roman"/>
          <w:noProof w:val="0"/>
          <w:color w:val="000000" w:themeColor="text1"/>
          <w:lang w:val="pt-BR"/>
        </w:rPr>
        <w:t>oportunidade a ser buscada</w:t>
      </w:r>
      <w:r w:rsidR="00D164B2" w:rsidRPr="00295A44">
        <w:rPr>
          <w:rFonts w:ascii="Times New Roman" w:hAnsi="Times New Roman"/>
          <w:noProof w:val="0"/>
          <w:color w:val="000000" w:themeColor="text1"/>
          <w:lang w:val="pt-BR"/>
        </w:rPr>
        <w:t xml:space="preserve">, sendo </w:t>
      </w:r>
      <w:r w:rsidR="0088315C" w:rsidRPr="00295A44">
        <w:rPr>
          <w:rFonts w:ascii="Times New Roman" w:hAnsi="Times New Roman"/>
          <w:noProof w:val="0"/>
          <w:color w:val="000000" w:themeColor="text1"/>
          <w:lang w:val="pt-BR"/>
        </w:rPr>
        <w:t>nes</w:t>
      </w:r>
      <w:r w:rsidR="00800598">
        <w:rPr>
          <w:rFonts w:ascii="Times New Roman" w:hAnsi="Times New Roman"/>
          <w:noProof w:val="0"/>
          <w:color w:val="000000" w:themeColor="text1"/>
          <w:lang w:val="pt-BR"/>
        </w:rPr>
        <w:t>s</w:t>
      </w:r>
      <w:r w:rsidR="0088315C" w:rsidRPr="00295A44">
        <w:rPr>
          <w:rFonts w:ascii="Times New Roman" w:hAnsi="Times New Roman"/>
          <w:noProof w:val="0"/>
          <w:color w:val="000000" w:themeColor="text1"/>
          <w:lang w:val="pt-BR"/>
        </w:rPr>
        <w:t xml:space="preserve">e momento, </w:t>
      </w:r>
      <w:r w:rsidR="00144AE0" w:rsidRPr="00295A44">
        <w:rPr>
          <w:rFonts w:ascii="Times New Roman" w:hAnsi="Times New Roman"/>
          <w:noProof w:val="0"/>
          <w:color w:val="000000" w:themeColor="text1"/>
          <w:lang w:val="pt-BR"/>
        </w:rPr>
        <w:t>identificados</w:t>
      </w:r>
      <w:r w:rsidR="0088315C" w:rsidRPr="00295A44">
        <w:rPr>
          <w:rFonts w:ascii="Times New Roman" w:hAnsi="Times New Roman"/>
          <w:noProof w:val="0"/>
          <w:color w:val="000000" w:themeColor="text1"/>
          <w:lang w:val="pt-BR"/>
        </w:rPr>
        <w:t xml:space="preserve"> os contribuintes com valores a recuperar dentro de um período definido</w:t>
      </w:r>
      <w:r w:rsidR="00144AE0" w:rsidRPr="00295A44">
        <w:rPr>
          <w:rFonts w:ascii="Times New Roman" w:hAnsi="Times New Roman"/>
          <w:noProof w:val="0"/>
          <w:color w:val="000000" w:themeColor="text1"/>
          <w:lang w:val="pt-BR"/>
        </w:rPr>
        <w:t>, cujas opo</w:t>
      </w:r>
      <w:r w:rsidR="00B614E7">
        <w:rPr>
          <w:rFonts w:ascii="Times New Roman" w:hAnsi="Times New Roman"/>
          <w:noProof w:val="0"/>
          <w:color w:val="000000" w:themeColor="text1"/>
          <w:lang w:val="pt-BR"/>
        </w:rPr>
        <w:t>rtunidades serão submetidas ao Comitê G</w:t>
      </w:r>
      <w:r w:rsidR="00144AE0" w:rsidRPr="00295A44">
        <w:rPr>
          <w:rFonts w:ascii="Times New Roman" w:hAnsi="Times New Roman"/>
          <w:noProof w:val="0"/>
          <w:color w:val="000000" w:themeColor="text1"/>
          <w:lang w:val="pt-BR"/>
        </w:rPr>
        <w:t>estor, liderado pelo Superintendente da Receita Estadual e composto pelos diretores da</w:t>
      </w:r>
      <w:r w:rsidR="00B614E7">
        <w:rPr>
          <w:rFonts w:ascii="Times New Roman" w:hAnsi="Times New Roman"/>
          <w:noProof w:val="0"/>
          <w:color w:val="000000" w:themeColor="text1"/>
          <w:lang w:val="pt-BR"/>
        </w:rPr>
        <w:t xml:space="preserve"> mesma Superintendência</w:t>
      </w:r>
      <w:r w:rsidR="00144AE0" w:rsidRPr="00295A44">
        <w:rPr>
          <w:rFonts w:ascii="Times New Roman" w:hAnsi="Times New Roman"/>
          <w:noProof w:val="0"/>
          <w:color w:val="000000" w:themeColor="text1"/>
          <w:lang w:val="pt-BR"/>
        </w:rPr>
        <w:t>, que definirá a ação a seguir para o planejamento</w:t>
      </w:r>
      <w:r w:rsidRPr="00295A44">
        <w:rPr>
          <w:rFonts w:ascii="Times New Roman" w:hAnsi="Times New Roman"/>
          <w:noProof w:val="0"/>
          <w:color w:val="000000" w:themeColor="text1"/>
          <w:lang w:val="pt-BR"/>
        </w:rPr>
        <w:t>; a segunda é o planejamento das ações e</w:t>
      </w:r>
      <w:r w:rsidR="00B614E7">
        <w:rPr>
          <w:rFonts w:ascii="Times New Roman" w:hAnsi="Times New Roman"/>
          <w:noProof w:val="0"/>
          <w:color w:val="000000" w:themeColor="text1"/>
          <w:lang w:val="pt-BR"/>
        </w:rPr>
        <w:t xml:space="preserve">/ou </w:t>
      </w:r>
      <w:r w:rsidRPr="00295A44">
        <w:rPr>
          <w:rFonts w:ascii="Times New Roman" w:hAnsi="Times New Roman"/>
          <w:noProof w:val="0"/>
          <w:color w:val="000000" w:themeColor="text1"/>
          <w:lang w:val="pt-BR"/>
        </w:rPr>
        <w:t>procedimentos fiscais</w:t>
      </w:r>
      <w:r w:rsidR="00D164B2" w:rsidRPr="00295A44">
        <w:rPr>
          <w:rFonts w:ascii="Times New Roman" w:hAnsi="Times New Roman"/>
          <w:noProof w:val="0"/>
          <w:color w:val="000000" w:themeColor="text1"/>
          <w:lang w:val="pt-BR"/>
        </w:rPr>
        <w:t xml:space="preserve"> que será baseado nas oportunidades estabelecidas pelo monitoramento, normalmente alcançando uma grande quantidade de contribuintes com  foco em fatos específicos de descumprimento da </w:t>
      </w:r>
      <w:r w:rsidR="00B614E7">
        <w:rPr>
          <w:rFonts w:ascii="Times New Roman" w:hAnsi="Times New Roman"/>
          <w:noProof w:val="0"/>
          <w:color w:val="000000" w:themeColor="text1"/>
          <w:lang w:val="pt-BR"/>
        </w:rPr>
        <w:t>l</w:t>
      </w:r>
      <w:r w:rsidR="00D164B2" w:rsidRPr="00295A44">
        <w:rPr>
          <w:rFonts w:ascii="Times New Roman" w:hAnsi="Times New Roman"/>
          <w:noProof w:val="0"/>
          <w:color w:val="000000" w:themeColor="text1"/>
          <w:lang w:val="pt-BR"/>
        </w:rPr>
        <w:t>egislação</w:t>
      </w:r>
      <w:r w:rsidR="00B614E7">
        <w:rPr>
          <w:rFonts w:ascii="Times New Roman" w:hAnsi="Times New Roman"/>
          <w:noProof w:val="0"/>
          <w:color w:val="000000" w:themeColor="text1"/>
          <w:lang w:val="pt-BR"/>
        </w:rPr>
        <w:t xml:space="preserve"> tributária</w:t>
      </w:r>
      <w:r w:rsidR="00D164B2" w:rsidRPr="00295A44">
        <w:rPr>
          <w:rFonts w:ascii="Times New Roman" w:hAnsi="Times New Roman"/>
          <w:noProof w:val="0"/>
          <w:color w:val="000000" w:themeColor="text1"/>
          <w:lang w:val="pt-BR"/>
        </w:rPr>
        <w:t xml:space="preserve"> (ex.: crédito indevido </w:t>
      </w:r>
      <w:r w:rsidR="00B614E7">
        <w:rPr>
          <w:rFonts w:ascii="Times New Roman" w:hAnsi="Times New Roman"/>
          <w:noProof w:val="0"/>
          <w:color w:val="000000" w:themeColor="text1"/>
          <w:lang w:val="pt-BR"/>
        </w:rPr>
        <w:t xml:space="preserve">oriundo </w:t>
      </w:r>
      <w:r w:rsidR="00D164B2" w:rsidRPr="00295A44">
        <w:rPr>
          <w:rFonts w:ascii="Times New Roman" w:hAnsi="Times New Roman"/>
          <w:noProof w:val="0"/>
          <w:color w:val="000000" w:themeColor="text1"/>
          <w:lang w:val="pt-BR"/>
        </w:rPr>
        <w:t>da compra de energia elétrica)</w:t>
      </w:r>
      <w:r w:rsidR="00144AE0" w:rsidRPr="00295A44">
        <w:rPr>
          <w:rFonts w:ascii="Times New Roman" w:hAnsi="Times New Roman"/>
          <w:noProof w:val="0"/>
          <w:color w:val="000000" w:themeColor="text1"/>
          <w:lang w:val="pt-BR"/>
        </w:rPr>
        <w:t>, sendo também</w:t>
      </w:r>
      <w:r w:rsidR="00B614E7">
        <w:rPr>
          <w:rFonts w:ascii="Times New Roman" w:hAnsi="Times New Roman"/>
          <w:noProof w:val="0"/>
          <w:color w:val="000000" w:themeColor="text1"/>
          <w:lang w:val="pt-BR"/>
        </w:rPr>
        <w:t xml:space="preserve"> o produto do planejamento</w:t>
      </w:r>
      <w:r w:rsidR="00144AE0" w:rsidRPr="00295A44">
        <w:rPr>
          <w:rFonts w:ascii="Times New Roman" w:hAnsi="Times New Roman"/>
          <w:noProof w:val="0"/>
          <w:color w:val="000000" w:themeColor="text1"/>
          <w:lang w:val="pt-BR"/>
        </w:rPr>
        <w:t xml:space="preserve"> submetido ao Comitê Gestor para aprovação e/ou ajustes antes de </w:t>
      </w:r>
      <w:r w:rsidR="00B614E7">
        <w:rPr>
          <w:rFonts w:ascii="Times New Roman" w:hAnsi="Times New Roman"/>
          <w:noProof w:val="0"/>
          <w:color w:val="000000" w:themeColor="text1"/>
          <w:lang w:val="pt-BR"/>
        </w:rPr>
        <w:t>ser encaminhado</w:t>
      </w:r>
      <w:r w:rsidR="00144AE0" w:rsidRPr="00295A44">
        <w:rPr>
          <w:rFonts w:ascii="Times New Roman" w:hAnsi="Times New Roman"/>
          <w:noProof w:val="0"/>
          <w:color w:val="000000" w:themeColor="text1"/>
          <w:lang w:val="pt-BR"/>
        </w:rPr>
        <w:t xml:space="preserve"> para a execução</w:t>
      </w:r>
      <w:r w:rsidR="00B614E7">
        <w:rPr>
          <w:rFonts w:ascii="Times New Roman" w:hAnsi="Times New Roman"/>
          <w:noProof w:val="0"/>
          <w:color w:val="000000" w:themeColor="text1"/>
          <w:lang w:val="pt-BR"/>
        </w:rPr>
        <w:t>; a terceira</w:t>
      </w:r>
      <w:r w:rsidRPr="00295A44">
        <w:rPr>
          <w:rFonts w:ascii="Times New Roman" w:hAnsi="Times New Roman"/>
          <w:noProof w:val="0"/>
          <w:color w:val="000000" w:themeColor="text1"/>
          <w:lang w:val="pt-BR"/>
        </w:rPr>
        <w:t xml:space="preserve"> </w:t>
      </w:r>
      <w:r w:rsidR="0088315C" w:rsidRPr="00295A44">
        <w:rPr>
          <w:rFonts w:ascii="Times New Roman" w:hAnsi="Times New Roman"/>
          <w:noProof w:val="0"/>
          <w:color w:val="000000" w:themeColor="text1"/>
          <w:lang w:val="pt-BR"/>
        </w:rPr>
        <w:t xml:space="preserve">é a própria </w:t>
      </w:r>
      <w:r w:rsidR="0088315C" w:rsidRPr="00295A44">
        <w:rPr>
          <w:rFonts w:ascii="Times New Roman" w:hAnsi="Times New Roman"/>
          <w:noProof w:val="0"/>
          <w:color w:val="000000" w:themeColor="text1"/>
          <w:lang w:val="pt-BR"/>
        </w:rPr>
        <w:lastRenderedPageBreak/>
        <w:t xml:space="preserve">execução da fiscalização </w:t>
      </w:r>
      <w:r w:rsidR="00B614E7">
        <w:rPr>
          <w:rFonts w:ascii="Times New Roman" w:hAnsi="Times New Roman"/>
          <w:noProof w:val="0"/>
          <w:color w:val="000000" w:themeColor="text1"/>
          <w:lang w:val="pt-BR"/>
        </w:rPr>
        <w:t>e/ou</w:t>
      </w:r>
      <w:r w:rsidR="0088315C" w:rsidRPr="00295A44">
        <w:rPr>
          <w:rFonts w:ascii="Times New Roman" w:hAnsi="Times New Roman"/>
          <w:noProof w:val="0"/>
          <w:color w:val="000000" w:themeColor="text1"/>
          <w:lang w:val="pt-BR"/>
        </w:rPr>
        <w:t xml:space="preserve"> procedimentos pelos fiscais, a qual se</w:t>
      </w:r>
      <w:r w:rsidR="00B614E7">
        <w:rPr>
          <w:rFonts w:ascii="Times New Roman" w:hAnsi="Times New Roman"/>
          <w:noProof w:val="0"/>
          <w:color w:val="000000" w:themeColor="text1"/>
          <w:lang w:val="pt-BR"/>
        </w:rPr>
        <w:t>rá restrita ao estabelecido no</w:t>
      </w:r>
      <w:r w:rsidR="0088315C" w:rsidRPr="00295A44">
        <w:rPr>
          <w:rFonts w:ascii="Times New Roman" w:hAnsi="Times New Roman"/>
          <w:noProof w:val="0"/>
          <w:color w:val="000000" w:themeColor="text1"/>
          <w:lang w:val="pt-BR"/>
        </w:rPr>
        <w:t xml:space="preserve"> planejamento e seguirá os passos previamente definidos e, se for o caso, contará com a lavratura de Autos de Infração dentro de um padrão com fundamentação legal uniforme;</w:t>
      </w:r>
      <w:r w:rsidR="00144AE0" w:rsidRPr="00295A44">
        <w:rPr>
          <w:rFonts w:ascii="Times New Roman" w:hAnsi="Times New Roman"/>
          <w:noProof w:val="0"/>
          <w:color w:val="000000" w:themeColor="text1"/>
          <w:lang w:val="pt-BR"/>
        </w:rPr>
        <w:t xml:space="preserve"> </w:t>
      </w:r>
      <w:r w:rsidR="00052D3C" w:rsidRPr="00295A44">
        <w:rPr>
          <w:rFonts w:ascii="Times New Roman" w:hAnsi="Times New Roman"/>
          <w:noProof w:val="0"/>
          <w:color w:val="000000" w:themeColor="text1"/>
          <w:lang w:val="pt-BR"/>
        </w:rPr>
        <w:t>e a quarta é o julgamento dos processos administrativos fiscais que ser</w:t>
      </w:r>
      <w:r w:rsidR="00144AE0" w:rsidRPr="00295A44">
        <w:rPr>
          <w:rFonts w:ascii="Times New Roman" w:hAnsi="Times New Roman"/>
          <w:noProof w:val="0"/>
          <w:color w:val="000000" w:themeColor="text1"/>
          <w:lang w:val="pt-BR"/>
        </w:rPr>
        <w:t>á otimizado por meio d</w:t>
      </w:r>
      <w:r w:rsidR="00052D3C" w:rsidRPr="00295A44">
        <w:rPr>
          <w:rFonts w:ascii="Times New Roman" w:hAnsi="Times New Roman"/>
          <w:noProof w:val="0"/>
          <w:color w:val="000000" w:themeColor="text1"/>
          <w:lang w:val="pt-BR"/>
        </w:rPr>
        <w:t xml:space="preserve">a padronização na constituição do crédito tributário. </w:t>
      </w:r>
    </w:p>
    <w:p w:rsidR="00295A44" w:rsidRPr="00295A44" w:rsidRDefault="004162E2" w:rsidP="00800598">
      <w:pPr>
        <w:spacing w:before="240" w:after="240"/>
        <w:jc w:val="center"/>
        <w:rPr>
          <w:rFonts w:ascii="Times New Roman" w:hAnsi="Times New Roman"/>
          <w:noProof w:val="0"/>
          <w:color w:val="000000" w:themeColor="text1"/>
          <w:lang w:val="pt-BR"/>
        </w:rPr>
      </w:pPr>
      <w:bookmarkStart w:id="0" w:name="_GoBack"/>
      <w:r w:rsidRPr="004162E2">
        <w:rPr>
          <w:rFonts w:ascii="Times New Roman" w:hAnsi="Times New Roman"/>
          <w:color w:val="000000" w:themeColor="text1"/>
          <w:lang w:val="pt-BR" w:eastAsia="pt-BR"/>
        </w:rPr>
        <w:drawing>
          <wp:inline distT="0" distB="0" distL="0" distR="0">
            <wp:extent cx="5392672" cy="1812898"/>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rcRect t="2417"/>
                    <a:stretch>
                      <a:fillRect/>
                    </a:stretch>
                  </pic:blipFill>
                  <pic:spPr>
                    <a:xfrm>
                      <a:off x="0" y="0"/>
                      <a:ext cx="5398936" cy="1815004"/>
                    </a:xfrm>
                    <a:prstGeom prst="rect">
                      <a:avLst/>
                    </a:prstGeom>
                  </pic:spPr>
                </pic:pic>
              </a:graphicData>
            </a:graphic>
          </wp:inline>
        </w:drawing>
      </w:r>
      <w:bookmarkEnd w:id="0"/>
    </w:p>
    <w:p w:rsidR="00EB0CC2" w:rsidRPr="00295A44" w:rsidRDefault="004F31BE" w:rsidP="00670008">
      <w:pPr>
        <w:spacing w:before="120" w:after="120"/>
        <w:jc w:val="both"/>
        <w:rPr>
          <w:rFonts w:ascii="Times New Roman" w:hAnsi="Times New Roman"/>
          <w:noProof w:val="0"/>
          <w:color w:val="000000" w:themeColor="text1"/>
          <w:lang w:val="pt-BR"/>
        </w:rPr>
      </w:pPr>
      <w:r w:rsidRPr="00295A44">
        <w:rPr>
          <w:rFonts w:ascii="Times New Roman" w:hAnsi="Times New Roman"/>
          <w:noProof w:val="0"/>
          <w:color w:val="000000" w:themeColor="text1"/>
          <w:lang w:val="pt-BR"/>
        </w:rPr>
        <w:t xml:space="preserve">A partir da criação da </w:t>
      </w:r>
      <w:r w:rsidR="00B614E7">
        <w:rPr>
          <w:rFonts w:ascii="Times New Roman" w:hAnsi="Times New Roman"/>
          <w:noProof w:val="0"/>
          <w:color w:val="000000" w:themeColor="text1"/>
          <w:lang w:val="pt-BR"/>
        </w:rPr>
        <w:t>Diretoria de Análise e Monitoramento das Informações Fiscais (</w:t>
      </w:r>
      <w:r w:rsidRPr="00295A44">
        <w:rPr>
          <w:rFonts w:ascii="Times New Roman" w:hAnsi="Times New Roman"/>
          <w:noProof w:val="0"/>
          <w:color w:val="000000" w:themeColor="text1"/>
          <w:lang w:val="pt-BR"/>
        </w:rPr>
        <w:t>DAMIF</w:t>
      </w:r>
      <w:r w:rsidR="00B614E7">
        <w:rPr>
          <w:rFonts w:ascii="Times New Roman" w:hAnsi="Times New Roman"/>
          <w:noProof w:val="0"/>
          <w:color w:val="000000" w:themeColor="text1"/>
          <w:lang w:val="pt-BR"/>
        </w:rPr>
        <w:t>)</w:t>
      </w:r>
      <w:r w:rsidRPr="00295A44">
        <w:rPr>
          <w:rFonts w:ascii="Times New Roman" w:hAnsi="Times New Roman"/>
          <w:noProof w:val="0"/>
          <w:color w:val="000000" w:themeColor="text1"/>
          <w:lang w:val="pt-BR"/>
        </w:rPr>
        <w:t xml:space="preserve"> e do estabelecimento do acordo de metas</w:t>
      </w:r>
      <w:r w:rsidR="00FC1386" w:rsidRPr="00295A44">
        <w:rPr>
          <w:rFonts w:ascii="Times New Roman" w:hAnsi="Times New Roman"/>
          <w:noProof w:val="0"/>
          <w:color w:val="000000" w:themeColor="text1"/>
          <w:lang w:val="pt-BR"/>
        </w:rPr>
        <w:t>,</w:t>
      </w:r>
      <w:r w:rsidRPr="00295A44">
        <w:rPr>
          <w:rFonts w:ascii="Times New Roman" w:hAnsi="Times New Roman"/>
          <w:noProof w:val="0"/>
          <w:color w:val="000000" w:themeColor="text1"/>
          <w:lang w:val="pt-BR"/>
        </w:rPr>
        <w:t xml:space="preserve"> outr</w:t>
      </w:r>
      <w:r w:rsidR="00EB0CC2" w:rsidRPr="00295A44">
        <w:rPr>
          <w:rFonts w:ascii="Times New Roman" w:hAnsi="Times New Roman"/>
          <w:noProof w:val="0"/>
          <w:color w:val="000000" w:themeColor="text1"/>
          <w:lang w:val="pt-BR"/>
        </w:rPr>
        <w:t>a</w:t>
      </w:r>
      <w:r w:rsidRPr="00295A44">
        <w:rPr>
          <w:rFonts w:ascii="Times New Roman" w:hAnsi="Times New Roman"/>
          <w:noProof w:val="0"/>
          <w:color w:val="000000" w:themeColor="text1"/>
          <w:lang w:val="pt-BR"/>
        </w:rPr>
        <w:t xml:space="preserve">s </w:t>
      </w:r>
      <w:r w:rsidR="00EB0CC2" w:rsidRPr="00295A44">
        <w:rPr>
          <w:rFonts w:ascii="Times New Roman" w:hAnsi="Times New Roman"/>
          <w:noProof w:val="0"/>
          <w:color w:val="000000" w:themeColor="text1"/>
          <w:lang w:val="pt-BR"/>
        </w:rPr>
        <w:t xml:space="preserve">três importantes </w:t>
      </w:r>
      <w:r w:rsidR="008C03AC" w:rsidRPr="00295A44">
        <w:rPr>
          <w:rFonts w:ascii="Times New Roman" w:hAnsi="Times New Roman"/>
          <w:noProof w:val="0"/>
          <w:color w:val="000000" w:themeColor="text1"/>
          <w:lang w:val="pt-BR"/>
        </w:rPr>
        <w:t xml:space="preserve">soluções </w:t>
      </w:r>
      <w:r w:rsidR="008900CB" w:rsidRPr="00295A44">
        <w:rPr>
          <w:rFonts w:ascii="Times New Roman" w:hAnsi="Times New Roman"/>
          <w:noProof w:val="0"/>
          <w:color w:val="000000" w:themeColor="text1"/>
          <w:lang w:val="pt-BR"/>
        </w:rPr>
        <w:t>serão</w:t>
      </w:r>
      <w:r w:rsidRPr="00295A44">
        <w:rPr>
          <w:rFonts w:ascii="Times New Roman" w:hAnsi="Times New Roman"/>
          <w:noProof w:val="0"/>
          <w:color w:val="000000" w:themeColor="text1"/>
          <w:lang w:val="pt-BR"/>
        </w:rPr>
        <w:t xml:space="preserve"> </w:t>
      </w:r>
      <w:proofErr w:type="gramStart"/>
      <w:r w:rsidRPr="00295A44">
        <w:rPr>
          <w:rFonts w:ascii="Times New Roman" w:hAnsi="Times New Roman"/>
          <w:noProof w:val="0"/>
          <w:color w:val="000000" w:themeColor="text1"/>
          <w:lang w:val="pt-BR"/>
        </w:rPr>
        <w:t>implementadas</w:t>
      </w:r>
      <w:proofErr w:type="gramEnd"/>
      <w:r w:rsidRPr="00295A44">
        <w:rPr>
          <w:rFonts w:ascii="Times New Roman" w:hAnsi="Times New Roman"/>
          <w:noProof w:val="0"/>
          <w:color w:val="000000" w:themeColor="text1"/>
          <w:lang w:val="pt-BR"/>
        </w:rPr>
        <w:t xml:space="preserve"> com eficácia</w:t>
      </w:r>
      <w:r w:rsidR="00EB0CC2" w:rsidRPr="00295A44">
        <w:rPr>
          <w:rFonts w:ascii="Times New Roman" w:hAnsi="Times New Roman"/>
          <w:noProof w:val="0"/>
          <w:color w:val="000000" w:themeColor="text1"/>
          <w:lang w:val="pt-BR"/>
        </w:rPr>
        <w:t>:</w:t>
      </w:r>
    </w:p>
    <w:p w:rsidR="00EB0CC2" w:rsidRPr="00295A44" w:rsidRDefault="004F31BE" w:rsidP="00670008">
      <w:pPr>
        <w:pStyle w:val="PargrafodaLista"/>
        <w:numPr>
          <w:ilvl w:val="0"/>
          <w:numId w:val="25"/>
        </w:numPr>
        <w:spacing w:before="120" w:after="120"/>
        <w:jc w:val="both"/>
        <w:rPr>
          <w:rFonts w:ascii="Times New Roman" w:hAnsi="Times New Roman"/>
          <w:noProof w:val="0"/>
          <w:color w:val="000000" w:themeColor="text1"/>
          <w:lang w:val="pt-BR"/>
        </w:rPr>
      </w:pPr>
      <w:proofErr w:type="gramStart"/>
      <w:r w:rsidRPr="00295A44">
        <w:rPr>
          <w:rFonts w:ascii="Times New Roman" w:hAnsi="Times New Roman"/>
          <w:noProof w:val="0"/>
          <w:color w:val="000000" w:themeColor="text1"/>
          <w:lang w:val="pt-BR"/>
        </w:rPr>
        <w:t>a</w:t>
      </w:r>
      <w:proofErr w:type="gramEnd"/>
      <w:r w:rsidRPr="00295A44">
        <w:rPr>
          <w:rFonts w:ascii="Times New Roman" w:hAnsi="Times New Roman"/>
          <w:noProof w:val="0"/>
          <w:color w:val="000000" w:themeColor="text1"/>
          <w:lang w:val="pt-BR"/>
        </w:rPr>
        <w:t xml:space="preserve"> “notificação prévia do contribuinte para sanar as possíveis irregularidades”</w:t>
      </w:r>
      <w:r w:rsidR="00212AFF" w:rsidRPr="00295A44">
        <w:rPr>
          <w:rFonts w:ascii="Times New Roman" w:hAnsi="Times New Roman"/>
          <w:noProof w:val="0"/>
          <w:color w:val="000000" w:themeColor="text1"/>
          <w:lang w:val="pt-BR"/>
        </w:rPr>
        <w:t>, a ser emitida pela Diretoria de Planejamento (DIPLAF) antes do efetivo início da fiscalização</w:t>
      </w:r>
      <w:r w:rsidR="00FC1386" w:rsidRPr="00295A44">
        <w:rPr>
          <w:rFonts w:ascii="Times New Roman" w:hAnsi="Times New Roman"/>
          <w:noProof w:val="0"/>
          <w:color w:val="000000" w:themeColor="text1"/>
          <w:lang w:val="pt-BR"/>
        </w:rPr>
        <w:t>,</w:t>
      </w:r>
      <w:r w:rsidRPr="00295A44">
        <w:rPr>
          <w:rFonts w:ascii="Times New Roman" w:hAnsi="Times New Roman"/>
          <w:noProof w:val="0"/>
          <w:color w:val="000000" w:themeColor="text1"/>
          <w:lang w:val="pt-BR"/>
        </w:rPr>
        <w:t xml:space="preserve"> </w:t>
      </w:r>
      <w:r w:rsidR="00B145F2" w:rsidRPr="00295A44">
        <w:rPr>
          <w:rFonts w:ascii="Times New Roman" w:hAnsi="Times New Roman"/>
          <w:noProof w:val="0"/>
          <w:color w:val="000000" w:themeColor="text1"/>
          <w:lang w:val="pt-BR"/>
        </w:rPr>
        <w:t>cujo objetivo é</w:t>
      </w:r>
      <w:r w:rsidR="00212AFF" w:rsidRPr="00295A44">
        <w:rPr>
          <w:rFonts w:ascii="Times New Roman" w:hAnsi="Times New Roman"/>
          <w:noProof w:val="0"/>
          <w:color w:val="000000" w:themeColor="text1"/>
          <w:lang w:val="pt-BR"/>
        </w:rPr>
        <w:t xml:space="preserve"> dar celeridade a recuperação do erário em alguns casos e</w:t>
      </w:r>
      <w:r w:rsidR="00B145F2" w:rsidRPr="00295A44">
        <w:rPr>
          <w:rFonts w:ascii="Times New Roman" w:hAnsi="Times New Roman"/>
          <w:noProof w:val="0"/>
          <w:color w:val="000000" w:themeColor="text1"/>
          <w:lang w:val="pt-BR"/>
        </w:rPr>
        <w:t xml:space="preserve"> eliminar o</w:t>
      </w:r>
      <w:r w:rsidRPr="00295A44">
        <w:rPr>
          <w:rFonts w:ascii="Times New Roman" w:hAnsi="Times New Roman"/>
          <w:noProof w:val="0"/>
          <w:color w:val="000000" w:themeColor="text1"/>
          <w:lang w:val="pt-BR"/>
        </w:rPr>
        <w:t xml:space="preserve"> desperdício de tempo e recursos com </w:t>
      </w:r>
      <w:r w:rsidR="00212AFF" w:rsidRPr="00295A44">
        <w:rPr>
          <w:rFonts w:ascii="Times New Roman" w:hAnsi="Times New Roman"/>
          <w:noProof w:val="0"/>
          <w:color w:val="000000" w:themeColor="text1"/>
          <w:lang w:val="pt-BR"/>
        </w:rPr>
        <w:t>auditoria</w:t>
      </w:r>
      <w:r w:rsidR="00B145F2" w:rsidRPr="00295A44">
        <w:rPr>
          <w:rFonts w:ascii="Times New Roman" w:hAnsi="Times New Roman"/>
          <w:noProof w:val="0"/>
          <w:color w:val="000000" w:themeColor="text1"/>
          <w:lang w:val="pt-BR"/>
        </w:rPr>
        <w:t xml:space="preserve">s que não geram </w:t>
      </w:r>
      <w:r w:rsidR="00212AFF" w:rsidRPr="00295A44">
        <w:rPr>
          <w:rFonts w:ascii="Times New Roman" w:hAnsi="Times New Roman"/>
          <w:noProof w:val="0"/>
          <w:color w:val="000000" w:themeColor="text1"/>
          <w:lang w:val="pt-BR"/>
        </w:rPr>
        <w:t xml:space="preserve">expressivo </w:t>
      </w:r>
      <w:r w:rsidR="00B145F2" w:rsidRPr="00295A44">
        <w:rPr>
          <w:rFonts w:ascii="Times New Roman" w:hAnsi="Times New Roman"/>
          <w:noProof w:val="0"/>
          <w:color w:val="000000" w:themeColor="text1"/>
          <w:lang w:val="pt-BR"/>
        </w:rPr>
        <w:t>retorno financeiro para os cofres públicos</w:t>
      </w:r>
      <w:r w:rsidR="00EB0CC2" w:rsidRPr="00295A44">
        <w:rPr>
          <w:rFonts w:ascii="Times New Roman" w:hAnsi="Times New Roman"/>
          <w:noProof w:val="0"/>
          <w:color w:val="000000" w:themeColor="text1"/>
          <w:lang w:val="pt-BR"/>
        </w:rPr>
        <w:t>;</w:t>
      </w:r>
    </w:p>
    <w:p w:rsidR="00DB1068" w:rsidRPr="00295A44" w:rsidRDefault="00EB0CC2" w:rsidP="00670008">
      <w:pPr>
        <w:pStyle w:val="PargrafodaLista"/>
        <w:numPr>
          <w:ilvl w:val="0"/>
          <w:numId w:val="25"/>
        </w:numPr>
        <w:spacing w:before="120" w:after="120"/>
        <w:jc w:val="both"/>
        <w:rPr>
          <w:rFonts w:ascii="Times New Roman" w:hAnsi="Times New Roman"/>
          <w:noProof w:val="0"/>
          <w:color w:val="000000" w:themeColor="text1"/>
          <w:lang w:val="pt-BR"/>
        </w:rPr>
      </w:pPr>
      <w:proofErr w:type="gramStart"/>
      <w:r w:rsidRPr="00295A44">
        <w:rPr>
          <w:rFonts w:ascii="Times New Roman" w:hAnsi="Times New Roman"/>
          <w:noProof w:val="0"/>
          <w:color w:val="000000" w:themeColor="text1"/>
          <w:lang w:val="pt-BR"/>
        </w:rPr>
        <w:t>a</w:t>
      </w:r>
      <w:proofErr w:type="gramEnd"/>
      <w:r w:rsidRPr="00295A44">
        <w:rPr>
          <w:rFonts w:ascii="Times New Roman" w:hAnsi="Times New Roman"/>
          <w:noProof w:val="0"/>
          <w:color w:val="000000" w:themeColor="text1"/>
          <w:lang w:val="pt-BR"/>
        </w:rPr>
        <w:t xml:space="preserve"> “sistematização dos procedimentos para a execução da ação fiscal”</w:t>
      </w:r>
      <w:r w:rsidR="00FC1386" w:rsidRPr="00295A44">
        <w:rPr>
          <w:rFonts w:ascii="Times New Roman" w:hAnsi="Times New Roman"/>
          <w:noProof w:val="0"/>
          <w:color w:val="000000" w:themeColor="text1"/>
          <w:lang w:val="pt-BR"/>
        </w:rPr>
        <w:t>,</w:t>
      </w:r>
      <w:r w:rsidRPr="00295A44">
        <w:rPr>
          <w:rFonts w:ascii="Times New Roman" w:hAnsi="Times New Roman"/>
          <w:noProof w:val="0"/>
          <w:color w:val="000000" w:themeColor="text1"/>
          <w:lang w:val="pt-BR"/>
        </w:rPr>
        <w:t xml:space="preserve"> </w:t>
      </w:r>
      <w:r w:rsidR="00FC1386" w:rsidRPr="00295A44">
        <w:rPr>
          <w:rFonts w:ascii="Times New Roman" w:hAnsi="Times New Roman"/>
          <w:noProof w:val="0"/>
          <w:color w:val="000000" w:themeColor="text1"/>
          <w:lang w:val="pt-BR"/>
        </w:rPr>
        <w:t xml:space="preserve">que visa </w:t>
      </w:r>
      <w:r w:rsidR="008C03AC" w:rsidRPr="00295A44">
        <w:rPr>
          <w:rFonts w:ascii="Times New Roman" w:hAnsi="Times New Roman"/>
          <w:noProof w:val="0"/>
          <w:color w:val="000000" w:themeColor="text1"/>
          <w:lang w:val="pt-BR"/>
        </w:rPr>
        <w:t>uniformizar</w:t>
      </w:r>
      <w:r w:rsidR="00B145F2" w:rsidRPr="00295A44">
        <w:rPr>
          <w:rFonts w:ascii="Times New Roman" w:hAnsi="Times New Roman"/>
          <w:noProof w:val="0"/>
          <w:color w:val="000000" w:themeColor="text1"/>
          <w:lang w:val="pt-BR"/>
        </w:rPr>
        <w:t xml:space="preserve"> a execução da</w:t>
      </w:r>
      <w:r w:rsidRPr="00295A44">
        <w:rPr>
          <w:rFonts w:ascii="Times New Roman" w:hAnsi="Times New Roman"/>
          <w:noProof w:val="0"/>
          <w:color w:val="000000" w:themeColor="text1"/>
          <w:lang w:val="pt-BR"/>
        </w:rPr>
        <w:t xml:space="preserve"> fiscalização e a lavratura de </w:t>
      </w:r>
      <w:r w:rsidR="00B145F2" w:rsidRPr="00295A44">
        <w:rPr>
          <w:rFonts w:ascii="Times New Roman" w:hAnsi="Times New Roman"/>
          <w:noProof w:val="0"/>
          <w:color w:val="000000" w:themeColor="text1"/>
          <w:lang w:val="pt-BR"/>
        </w:rPr>
        <w:t xml:space="preserve">Autos </w:t>
      </w:r>
      <w:r w:rsidRPr="00295A44">
        <w:rPr>
          <w:rFonts w:ascii="Times New Roman" w:hAnsi="Times New Roman"/>
          <w:noProof w:val="0"/>
          <w:color w:val="000000" w:themeColor="text1"/>
          <w:lang w:val="pt-BR"/>
        </w:rPr>
        <w:t xml:space="preserve">de </w:t>
      </w:r>
      <w:r w:rsidR="00B145F2" w:rsidRPr="00295A44">
        <w:rPr>
          <w:rFonts w:ascii="Times New Roman" w:hAnsi="Times New Roman"/>
          <w:noProof w:val="0"/>
          <w:color w:val="000000" w:themeColor="text1"/>
          <w:lang w:val="pt-BR"/>
        </w:rPr>
        <w:t>Infração (AI)</w:t>
      </w:r>
      <w:r w:rsidR="00FC1386" w:rsidRPr="00295A44">
        <w:rPr>
          <w:rFonts w:ascii="Times New Roman" w:hAnsi="Times New Roman"/>
          <w:noProof w:val="0"/>
          <w:color w:val="000000" w:themeColor="text1"/>
          <w:lang w:val="pt-BR"/>
        </w:rPr>
        <w:t xml:space="preserve"> quanto aos padrões por fato gerador do desvio de comportamento do contribuinte,</w:t>
      </w:r>
      <w:r w:rsidR="00B145F2" w:rsidRPr="00295A44">
        <w:rPr>
          <w:rFonts w:ascii="Times New Roman" w:hAnsi="Times New Roman"/>
          <w:noProof w:val="0"/>
          <w:color w:val="000000" w:themeColor="text1"/>
          <w:lang w:val="pt-BR"/>
        </w:rPr>
        <w:t xml:space="preserve"> buscando assim diminuir o índice de AI </w:t>
      </w:r>
      <w:r w:rsidRPr="00295A44">
        <w:rPr>
          <w:rFonts w:ascii="Times New Roman" w:hAnsi="Times New Roman"/>
          <w:noProof w:val="0"/>
          <w:color w:val="000000" w:themeColor="text1"/>
          <w:lang w:val="pt-BR"/>
        </w:rPr>
        <w:t>que são julgados nulos ou improcedentes;</w:t>
      </w:r>
    </w:p>
    <w:p w:rsidR="00EB0CC2" w:rsidRPr="00295A44" w:rsidRDefault="00EB0CC2" w:rsidP="00670008">
      <w:pPr>
        <w:pStyle w:val="PargrafodaLista"/>
        <w:numPr>
          <w:ilvl w:val="0"/>
          <w:numId w:val="25"/>
        </w:numPr>
        <w:spacing w:before="120" w:after="120"/>
        <w:jc w:val="both"/>
        <w:rPr>
          <w:rFonts w:ascii="Times New Roman" w:hAnsi="Times New Roman"/>
          <w:noProof w:val="0"/>
          <w:color w:val="000000" w:themeColor="text1"/>
          <w:lang w:val="pt-BR"/>
        </w:rPr>
      </w:pPr>
      <w:proofErr w:type="gramStart"/>
      <w:r w:rsidRPr="00295A44">
        <w:rPr>
          <w:rFonts w:ascii="Times New Roman" w:hAnsi="Times New Roman"/>
          <w:noProof w:val="0"/>
          <w:color w:val="000000" w:themeColor="text1"/>
          <w:lang w:val="pt-BR"/>
        </w:rPr>
        <w:t>e</w:t>
      </w:r>
      <w:proofErr w:type="gramEnd"/>
      <w:r w:rsidRPr="00295A44">
        <w:rPr>
          <w:rFonts w:ascii="Times New Roman" w:hAnsi="Times New Roman"/>
          <w:noProof w:val="0"/>
          <w:color w:val="000000" w:themeColor="text1"/>
          <w:lang w:val="pt-BR"/>
        </w:rPr>
        <w:t xml:space="preserve"> a “</w:t>
      </w:r>
      <w:r w:rsidR="008C03AC" w:rsidRPr="00295A44">
        <w:rPr>
          <w:rFonts w:ascii="Times New Roman" w:hAnsi="Times New Roman"/>
          <w:noProof w:val="0"/>
          <w:color w:val="000000" w:themeColor="text1"/>
          <w:lang w:val="pt-BR"/>
        </w:rPr>
        <w:t>sistematização da distribuição dos Processos Administrativo Fiscais (PAF)  por natureza e julgador</w:t>
      </w:r>
      <w:r w:rsidRPr="00295A44">
        <w:rPr>
          <w:rFonts w:ascii="Times New Roman" w:hAnsi="Times New Roman"/>
          <w:noProof w:val="0"/>
          <w:color w:val="000000" w:themeColor="text1"/>
          <w:lang w:val="pt-BR"/>
        </w:rPr>
        <w:t xml:space="preserve">” </w:t>
      </w:r>
      <w:r w:rsidR="00B145F2" w:rsidRPr="00295A44">
        <w:rPr>
          <w:rFonts w:ascii="Times New Roman" w:hAnsi="Times New Roman"/>
          <w:noProof w:val="0"/>
          <w:color w:val="000000" w:themeColor="text1"/>
          <w:lang w:val="pt-BR"/>
        </w:rPr>
        <w:t xml:space="preserve">com o intuito de dar </w:t>
      </w:r>
      <w:r w:rsidRPr="00295A44">
        <w:rPr>
          <w:rFonts w:ascii="Times New Roman" w:hAnsi="Times New Roman"/>
          <w:noProof w:val="0"/>
          <w:color w:val="000000" w:themeColor="text1"/>
          <w:lang w:val="pt-BR"/>
        </w:rPr>
        <w:t xml:space="preserve">maior celeridade no andamento </w:t>
      </w:r>
      <w:r w:rsidR="009B001D" w:rsidRPr="00295A44">
        <w:rPr>
          <w:rFonts w:ascii="Times New Roman" w:hAnsi="Times New Roman"/>
          <w:noProof w:val="0"/>
          <w:color w:val="000000" w:themeColor="text1"/>
          <w:lang w:val="pt-BR"/>
        </w:rPr>
        <w:t xml:space="preserve">do processo </w:t>
      </w:r>
      <w:r w:rsidRPr="00295A44">
        <w:rPr>
          <w:rFonts w:ascii="Times New Roman" w:hAnsi="Times New Roman"/>
          <w:noProof w:val="0"/>
          <w:color w:val="000000" w:themeColor="text1"/>
          <w:lang w:val="pt-BR"/>
        </w:rPr>
        <w:t>e</w:t>
      </w:r>
      <w:r w:rsidR="009B001D" w:rsidRPr="00295A44">
        <w:rPr>
          <w:rFonts w:ascii="Times New Roman" w:hAnsi="Times New Roman"/>
          <w:noProof w:val="0"/>
          <w:color w:val="000000" w:themeColor="text1"/>
          <w:lang w:val="pt-BR"/>
        </w:rPr>
        <w:t>m</w:t>
      </w:r>
      <w:r w:rsidRPr="00295A44">
        <w:rPr>
          <w:rFonts w:ascii="Times New Roman" w:hAnsi="Times New Roman"/>
          <w:noProof w:val="0"/>
          <w:color w:val="000000" w:themeColor="text1"/>
          <w:lang w:val="pt-BR"/>
        </w:rPr>
        <w:t xml:space="preserve"> julgame</w:t>
      </w:r>
      <w:r w:rsidR="00B145F2" w:rsidRPr="00295A44">
        <w:rPr>
          <w:rFonts w:ascii="Times New Roman" w:hAnsi="Times New Roman"/>
          <w:noProof w:val="0"/>
          <w:color w:val="000000" w:themeColor="text1"/>
          <w:lang w:val="pt-BR"/>
        </w:rPr>
        <w:t>nto</w:t>
      </w:r>
      <w:r w:rsidR="009B001D" w:rsidRPr="00295A44">
        <w:rPr>
          <w:rFonts w:ascii="Times New Roman" w:hAnsi="Times New Roman"/>
          <w:noProof w:val="0"/>
          <w:color w:val="000000" w:themeColor="text1"/>
          <w:lang w:val="pt-BR"/>
        </w:rPr>
        <w:t xml:space="preserve"> de 1ª instância,</w:t>
      </w:r>
      <w:r w:rsidR="00B145F2" w:rsidRPr="00295A44">
        <w:rPr>
          <w:rFonts w:ascii="Times New Roman" w:hAnsi="Times New Roman"/>
          <w:noProof w:val="0"/>
          <w:color w:val="000000" w:themeColor="text1"/>
          <w:lang w:val="pt-BR"/>
        </w:rPr>
        <w:t xml:space="preserve"> por meio da</w:t>
      </w:r>
      <w:r w:rsidR="008C03AC" w:rsidRPr="00295A44">
        <w:rPr>
          <w:rFonts w:ascii="Times New Roman" w:hAnsi="Times New Roman"/>
          <w:noProof w:val="0"/>
          <w:color w:val="000000" w:themeColor="text1"/>
          <w:lang w:val="pt-BR"/>
        </w:rPr>
        <w:t xml:space="preserve"> otimização da relação dos PAF </w:t>
      </w:r>
      <w:r w:rsidR="00692EB4" w:rsidRPr="00295A44">
        <w:rPr>
          <w:rFonts w:ascii="Times New Roman" w:hAnsi="Times New Roman"/>
          <w:noProof w:val="0"/>
          <w:color w:val="000000" w:themeColor="text1"/>
          <w:lang w:val="pt-BR"/>
        </w:rPr>
        <w:t>envia</w:t>
      </w:r>
      <w:r w:rsidR="009B001D" w:rsidRPr="00295A44">
        <w:rPr>
          <w:rFonts w:ascii="Times New Roman" w:hAnsi="Times New Roman"/>
          <w:noProof w:val="0"/>
          <w:color w:val="000000" w:themeColor="text1"/>
          <w:lang w:val="pt-BR"/>
        </w:rPr>
        <w:t>d</w:t>
      </w:r>
      <w:r w:rsidR="00692EB4" w:rsidRPr="00295A44">
        <w:rPr>
          <w:rFonts w:ascii="Times New Roman" w:hAnsi="Times New Roman"/>
          <w:noProof w:val="0"/>
          <w:color w:val="000000" w:themeColor="text1"/>
          <w:lang w:val="pt-BR"/>
        </w:rPr>
        <w:t>a</w:t>
      </w:r>
      <w:r w:rsidR="009B001D" w:rsidRPr="00295A44">
        <w:rPr>
          <w:rFonts w:ascii="Times New Roman" w:hAnsi="Times New Roman"/>
          <w:noProof w:val="0"/>
          <w:color w:val="000000" w:themeColor="text1"/>
          <w:lang w:val="pt-BR"/>
        </w:rPr>
        <w:t xml:space="preserve"> a cada</w:t>
      </w:r>
      <w:r w:rsidR="00B145F2" w:rsidRPr="00295A44">
        <w:rPr>
          <w:rFonts w:ascii="Times New Roman" w:hAnsi="Times New Roman"/>
          <w:noProof w:val="0"/>
          <w:color w:val="000000" w:themeColor="text1"/>
          <w:lang w:val="pt-BR"/>
        </w:rPr>
        <w:t xml:space="preserve"> julgador </w:t>
      </w:r>
      <w:r w:rsidR="00692EB4" w:rsidRPr="00295A44">
        <w:rPr>
          <w:rFonts w:ascii="Times New Roman" w:hAnsi="Times New Roman"/>
          <w:noProof w:val="0"/>
          <w:color w:val="000000" w:themeColor="text1"/>
          <w:lang w:val="pt-BR"/>
        </w:rPr>
        <w:t>tratando da</w:t>
      </w:r>
      <w:r w:rsidR="00B145F2" w:rsidRPr="00295A44">
        <w:rPr>
          <w:rFonts w:ascii="Times New Roman" w:hAnsi="Times New Roman"/>
          <w:noProof w:val="0"/>
          <w:color w:val="000000" w:themeColor="text1"/>
          <w:lang w:val="pt-BR"/>
        </w:rPr>
        <w:t xml:space="preserve"> mesma inf</w:t>
      </w:r>
      <w:r w:rsidR="00692EB4" w:rsidRPr="00295A44">
        <w:rPr>
          <w:rFonts w:ascii="Times New Roman" w:hAnsi="Times New Roman"/>
          <w:noProof w:val="0"/>
          <w:color w:val="000000" w:themeColor="text1"/>
          <w:lang w:val="pt-BR"/>
        </w:rPr>
        <w:t>ração em um determinado per</w:t>
      </w:r>
      <w:r w:rsidR="0076711A">
        <w:rPr>
          <w:rFonts w:ascii="Times New Roman" w:hAnsi="Times New Roman"/>
          <w:noProof w:val="0"/>
          <w:color w:val="000000" w:themeColor="text1"/>
          <w:lang w:val="pt-BR"/>
        </w:rPr>
        <w:t>íodo.</w:t>
      </w:r>
    </w:p>
    <w:p w:rsidR="00DB1068" w:rsidRPr="00440BD8" w:rsidRDefault="00B145F2" w:rsidP="00670008">
      <w:pPr>
        <w:spacing w:before="120" w:after="120"/>
        <w:jc w:val="both"/>
        <w:rPr>
          <w:rFonts w:ascii="Times New Roman" w:hAnsi="Times New Roman"/>
          <w:noProof w:val="0"/>
          <w:color w:val="000000" w:themeColor="text1"/>
          <w:lang w:val="pt-BR"/>
        </w:rPr>
      </w:pPr>
      <w:r w:rsidRPr="00440BD8">
        <w:rPr>
          <w:rFonts w:ascii="Times New Roman" w:hAnsi="Times New Roman"/>
          <w:noProof w:val="0"/>
          <w:color w:val="000000" w:themeColor="text1"/>
          <w:lang w:val="pt-BR"/>
        </w:rPr>
        <w:t xml:space="preserve">Face ao exposto, faz-se </w:t>
      </w:r>
      <w:r w:rsidR="00D725D4" w:rsidRPr="00440BD8">
        <w:rPr>
          <w:rFonts w:ascii="Times New Roman" w:hAnsi="Times New Roman"/>
          <w:noProof w:val="0"/>
          <w:color w:val="000000" w:themeColor="text1"/>
          <w:lang w:val="pt-BR"/>
        </w:rPr>
        <w:t xml:space="preserve">imprescindível </w:t>
      </w:r>
      <w:r w:rsidRPr="00440BD8">
        <w:rPr>
          <w:rFonts w:ascii="Times New Roman" w:hAnsi="Times New Roman"/>
          <w:noProof w:val="0"/>
          <w:color w:val="000000" w:themeColor="text1"/>
          <w:lang w:val="pt-BR"/>
        </w:rPr>
        <w:t xml:space="preserve">que </w:t>
      </w:r>
      <w:r w:rsidR="00D725D4" w:rsidRPr="00440BD8">
        <w:rPr>
          <w:rFonts w:ascii="Times New Roman" w:hAnsi="Times New Roman"/>
          <w:noProof w:val="0"/>
          <w:color w:val="000000" w:themeColor="text1"/>
          <w:lang w:val="pt-BR"/>
        </w:rPr>
        <w:t xml:space="preserve">o </w:t>
      </w:r>
      <w:r w:rsidR="00DB1068" w:rsidRPr="00440BD8">
        <w:rPr>
          <w:rFonts w:ascii="Times New Roman" w:hAnsi="Times New Roman"/>
          <w:noProof w:val="0"/>
          <w:color w:val="000000" w:themeColor="text1"/>
          <w:lang w:val="pt-BR"/>
        </w:rPr>
        <w:t xml:space="preserve">fluxo de acompanhamento de resultados </w:t>
      </w:r>
      <w:r w:rsidR="009B001D" w:rsidRPr="00440BD8">
        <w:rPr>
          <w:rFonts w:ascii="Times New Roman" w:hAnsi="Times New Roman"/>
          <w:noProof w:val="0"/>
          <w:color w:val="000000" w:themeColor="text1"/>
          <w:lang w:val="pt-BR"/>
        </w:rPr>
        <w:t>con</w:t>
      </w:r>
      <w:r w:rsidR="00D725D4" w:rsidRPr="00440BD8">
        <w:rPr>
          <w:rFonts w:ascii="Times New Roman" w:hAnsi="Times New Roman"/>
          <w:noProof w:val="0"/>
          <w:color w:val="000000" w:themeColor="text1"/>
          <w:lang w:val="pt-BR"/>
        </w:rPr>
        <w:t xml:space="preserve">temple todos os níveis da SEFAZ-AL. Diante disso, serão realizadas </w:t>
      </w:r>
      <w:r w:rsidR="00DB1068" w:rsidRPr="00440BD8">
        <w:rPr>
          <w:rFonts w:ascii="Times New Roman" w:hAnsi="Times New Roman"/>
          <w:noProof w:val="0"/>
          <w:color w:val="000000" w:themeColor="text1"/>
          <w:lang w:val="pt-BR"/>
        </w:rPr>
        <w:t xml:space="preserve">reuniões em </w:t>
      </w:r>
      <w:proofErr w:type="gramStart"/>
      <w:r w:rsidR="00DB1068" w:rsidRPr="00440BD8">
        <w:rPr>
          <w:rFonts w:ascii="Times New Roman" w:hAnsi="Times New Roman"/>
          <w:noProof w:val="0"/>
          <w:color w:val="000000" w:themeColor="text1"/>
          <w:lang w:val="pt-BR"/>
        </w:rPr>
        <w:t>4</w:t>
      </w:r>
      <w:proofErr w:type="gramEnd"/>
      <w:r w:rsidR="00B614E7">
        <w:rPr>
          <w:rFonts w:ascii="Times New Roman" w:hAnsi="Times New Roman"/>
          <w:noProof w:val="0"/>
          <w:color w:val="000000" w:themeColor="text1"/>
          <w:lang w:val="pt-BR"/>
        </w:rPr>
        <w:t xml:space="preserve"> </w:t>
      </w:r>
      <w:r w:rsidR="009B001D" w:rsidRPr="00440BD8">
        <w:rPr>
          <w:rFonts w:ascii="Times New Roman" w:hAnsi="Times New Roman"/>
          <w:noProof w:val="0"/>
          <w:color w:val="000000" w:themeColor="text1"/>
          <w:lang w:val="pt-BR"/>
        </w:rPr>
        <w:t>(quatro)</w:t>
      </w:r>
      <w:r w:rsidR="00DB1068" w:rsidRPr="00440BD8">
        <w:rPr>
          <w:rFonts w:ascii="Times New Roman" w:hAnsi="Times New Roman"/>
          <w:noProof w:val="0"/>
          <w:color w:val="000000" w:themeColor="text1"/>
          <w:lang w:val="pt-BR"/>
        </w:rPr>
        <w:t xml:space="preserve"> níveis</w:t>
      </w:r>
      <w:r w:rsidR="009B001D" w:rsidRPr="00440BD8">
        <w:rPr>
          <w:rFonts w:ascii="Times New Roman" w:hAnsi="Times New Roman"/>
          <w:noProof w:val="0"/>
          <w:color w:val="000000" w:themeColor="text1"/>
          <w:lang w:val="pt-BR"/>
        </w:rPr>
        <w:t xml:space="preserve"> gerenciais</w:t>
      </w:r>
      <w:r w:rsidR="00DB1068" w:rsidRPr="00440BD8">
        <w:rPr>
          <w:rFonts w:ascii="Times New Roman" w:hAnsi="Times New Roman"/>
          <w:noProof w:val="0"/>
          <w:color w:val="000000" w:themeColor="text1"/>
          <w:lang w:val="pt-BR"/>
        </w:rPr>
        <w:t>. Cada reunião deve acontecer nas datas estabelecidas no cronograma de acompanhamento</w:t>
      </w:r>
      <w:r w:rsidR="009B001D" w:rsidRPr="00440BD8">
        <w:rPr>
          <w:rFonts w:ascii="Times New Roman" w:hAnsi="Times New Roman"/>
          <w:noProof w:val="0"/>
          <w:color w:val="000000" w:themeColor="text1"/>
          <w:lang w:val="pt-BR"/>
        </w:rPr>
        <w:t>,</w:t>
      </w:r>
      <w:r w:rsidR="00DB1068" w:rsidRPr="00440BD8">
        <w:rPr>
          <w:rFonts w:ascii="Times New Roman" w:hAnsi="Times New Roman"/>
          <w:noProof w:val="0"/>
          <w:color w:val="000000" w:themeColor="text1"/>
          <w:lang w:val="pt-BR"/>
        </w:rPr>
        <w:t xml:space="preserve"> com foco na análise dos resultados e definição de contramedidas necessárias para correção dos desvios de meta. </w:t>
      </w:r>
      <w:r w:rsidR="00D725D4" w:rsidRPr="00440BD8">
        <w:rPr>
          <w:rFonts w:ascii="Times New Roman" w:hAnsi="Times New Roman"/>
          <w:noProof w:val="0"/>
          <w:color w:val="000000" w:themeColor="text1"/>
          <w:lang w:val="pt-BR"/>
        </w:rPr>
        <w:t>Conforme demonstra a figura abaixo:</w:t>
      </w:r>
    </w:p>
    <w:p w:rsidR="00D725D4" w:rsidRPr="00440BD8" w:rsidRDefault="00DB1068" w:rsidP="00295A44">
      <w:pPr>
        <w:jc w:val="center"/>
        <w:rPr>
          <w:rFonts w:ascii="Times New Roman" w:hAnsi="Times New Roman"/>
          <w:sz w:val="18"/>
          <w:szCs w:val="18"/>
        </w:rPr>
      </w:pPr>
      <w:r w:rsidRPr="00440BD8">
        <w:rPr>
          <w:rFonts w:ascii="Times New Roman" w:hAnsi="Times New Roman"/>
          <w:lang w:val="pt-BR" w:eastAsia="pt-BR"/>
        </w:rPr>
        <w:drawing>
          <wp:inline distT="0" distB="0" distL="0" distR="0">
            <wp:extent cx="5781674" cy="197167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89929" cy="1974490"/>
                    </a:xfrm>
                    <a:prstGeom prst="rect">
                      <a:avLst/>
                    </a:prstGeom>
                    <a:noFill/>
                  </pic:spPr>
                </pic:pic>
              </a:graphicData>
            </a:graphic>
          </wp:inline>
        </w:drawing>
      </w:r>
      <w:r w:rsidR="004F31BE" w:rsidRPr="00440BD8">
        <w:rPr>
          <w:rFonts w:ascii="Times New Roman" w:hAnsi="Times New Roman"/>
          <w:sz w:val="18"/>
          <w:szCs w:val="18"/>
        </w:rPr>
        <w:br/>
      </w:r>
      <w:r w:rsidR="00D725D4" w:rsidRPr="00440BD8">
        <w:rPr>
          <w:rFonts w:ascii="Times New Roman" w:hAnsi="Times New Roman"/>
          <w:sz w:val="18"/>
          <w:szCs w:val="18"/>
        </w:rPr>
        <w:t xml:space="preserve"> Fluxo de acompanhamento de Resultados</w:t>
      </w:r>
    </w:p>
    <w:p w:rsidR="00552CE7" w:rsidRPr="00440BD8" w:rsidRDefault="00567A79" w:rsidP="00670008">
      <w:pPr>
        <w:pStyle w:val="PargrafodaLista"/>
        <w:numPr>
          <w:ilvl w:val="1"/>
          <w:numId w:val="19"/>
        </w:numPr>
        <w:spacing w:before="120" w:after="120"/>
        <w:ind w:left="720" w:hanging="720"/>
        <w:jc w:val="both"/>
        <w:rPr>
          <w:rFonts w:ascii="Times New Roman" w:hAnsi="Times New Roman"/>
          <w:noProof w:val="0"/>
          <w:color w:val="FF0000"/>
          <w:sz w:val="24"/>
          <w:szCs w:val="24"/>
          <w:lang w:val="pt-BR"/>
        </w:rPr>
      </w:pPr>
      <w:r w:rsidRPr="00440BD8">
        <w:rPr>
          <w:rFonts w:ascii="Times New Roman" w:hAnsi="Times New Roman"/>
          <w:b/>
          <w:noProof w:val="0"/>
          <w:color w:val="000000"/>
          <w:sz w:val="24"/>
          <w:szCs w:val="24"/>
          <w:lang w:val="pt-BR"/>
        </w:rPr>
        <w:lastRenderedPageBreak/>
        <w:t>CÁ</w:t>
      </w:r>
      <w:r w:rsidR="004F2111" w:rsidRPr="00440BD8">
        <w:rPr>
          <w:rFonts w:ascii="Times New Roman" w:hAnsi="Times New Roman"/>
          <w:b/>
          <w:noProof w:val="0"/>
          <w:color w:val="000000"/>
          <w:sz w:val="24"/>
          <w:szCs w:val="24"/>
          <w:lang w:val="pt-BR"/>
        </w:rPr>
        <w:t xml:space="preserve">LCULO </w:t>
      </w:r>
      <w:r w:rsidRPr="00440BD8">
        <w:rPr>
          <w:rFonts w:ascii="Times New Roman" w:hAnsi="Times New Roman"/>
          <w:b/>
          <w:noProof w:val="0"/>
          <w:color w:val="000000"/>
          <w:sz w:val="24"/>
          <w:szCs w:val="24"/>
          <w:lang w:val="pt-BR"/>
        </w:rPr>
        <w:t>DO</w:t>
      </w:r>
      <w:r w:rsidR="00F52D7B" w:rsidRPr="00440BD8">
        <w:rPr>
          <w:rFonts w:ascii="Times New Roman" w:hAnsi="Times New Roman"/>
          <w:b/>
          <w:noProof w:val="0"/>
          <w:color w:val="000000"/>
          <w:sz w:val="24"/>
          <w:szCs w:val="24"/>
          <w:lang w:val="pt-BR"/>
        </w:rPr>
        <w:t xml:space="preserve"> BENEFÍ</w:t>
      </w:r>
      <w:r w:rsidR="004F2111" w:rsidRPr="00440BD8">
        <w:rPr>
          <w:rFonts w:ascii="Times New Roman" w:hAnsi="Times New Roman"/>
          <w:b/>
          <w:noProof w:val="0"/>
          <w:color w:val="000000"/>
          <w:sz w:val="24"/>
          <w:szCs w:val="24"/>
          <w:lang w:val="pt-BR"/>
        </w:rPr>
        <w:t>CI</w:t>
      </w:r>
      <w:r w:rsidR="00552CE7" w:rsidRPr="00440BD8">
        <w:rPr>
          <w:rFonts w:ascii="Times New Roman" w:hAnsi="Times New Roman"/>
          <w:b/>
          <w:noProof w:val="0"/>
          <w:color w:val="000000"/>
          <w:sz w:val="24"/>
          <w:szCs w:val="24"/>
          <w:lang w:val="pt-BR"/>
        </w:rPr>
        <w:t>O</w:t>
      </w:r>
    </w:p>
    <w:p w:rsidR="00BF5E1E" w:rsidRPr="00440BD8" w:rsidRDefault="00B614E7" w:rsidP="00B614E7">
      <w:pPr>
        <w:spacing w:before="240" w:after="240"/>
        <w:jc w:val="both"/>
        <w:rPr>
          <w:rFonts w:ascii="Times New Roman" w:hAnsi="Times New Roman"/>
          <w:noProof w:val="0"/>
          <w:color w:val="000000" w:themeColor="text1"/>
          <w:lang w:val="pt-BR"/>
        </w:rPr>
      </w:pPr>
      <w:r>
        <w:rPr>
          <w:rFonts w:ascii="Times New Roman" w:hAnsi="Times New Roman"/>
          <w:noProof w:val="0"/>
          <w:color w:val="000000" w:themeColor="text1"/>
          <w:lang w:val="pt-BR"/>
        </w:rPr>
        <w:t>A viabilidade</w:t>
      </w:r>
      <w:r w:rsidR="00BF5E1E" w:rsidRPr="00440BD8">
        <w:rPr>
          <w:rFonts w:ascii="Times New Roman" w:hAnsi="Times New Roman"/>
          <w:noProof w:val="0"/>
          <w:color w:val="000000" w:themeColor="text1"/>
          <w:lang w:val="pt-BR"/>
        </w:rPr>
        <w:t xml:space="preserve"> </w:t>
      </w:r>
      <w:r>
        <w:rPr>
          <w:rFonts w:ascii="Times New Roman" w:hAnsi="Times New Roman"/>
          <w:noProof w:val="0"/>
          <w:color w:val="000000" w:themeColor="text1"/>
          <w:lang w:val="pt-BR"/>
        </w:rPr>
        <w:t>da p</w:t>
      </w:r>
      <w:r w:rsidRPr="00B614E7">
        <w:rPr>
          <w:rFonts w:ascii="Times New Roman" w:hAnsi="Times New Roman"/>
          <w:noProof w:val="0"/>
          <w:lang w:val="pt-BR"/>
        </w:rPr>
        <w:t>adronização do processo de fiscalização no âmbito estadual</w:t>
      </w:r>
      <w:r>
        <w:rPr>
          <w:rFonts w:ascii="Times New Roman" w:hAnsi="Times New Roman"/>
          <w:noProof w:val="0"/>
          <w:lang w:val="pt-BR"/>
        </w:rPr>
        <w:t xml:space="preserve"> </w:t>
      </w:r>
      <w:r w:rsidR="00BF5E1E" w:rsidRPr="00440BD8">
        <w:rPr>
          <w:rFonts w:ascii="Times New Roman" w:hAnsi="Times New Roman"/>
          <w:noProof w:val="0"/>
          <w:color w:val="000000" w:themeColor="text1"/>
          <w:lang w:val="pt-BR"/>
        </w:rPr>
        <w:t xml:space="preserve">pode ser facilmente observada pelos diversos benefícios </w:t>
      </w:r>
      <w:r w:rsidR="002160B1" w:rsidRPr="00440BD8">
        <w:rPr>
          <w:rFonts w:ascii="Times New Roman" w:hAnsi="Times New Roman"/>
          <w:noProof w:val="0"/>
          <w:color w:val="000000" w:themeColor="text1"/>
          <w:lang w:val="pt-BR"/>
        </w:rPr>
        <w:t>tangíveis e intangíveis</w:t>
      </w:r>
      <w:r w:rsidR="001002E9" w:rsidRPr="00440BD8">
        <w:rPr>
          <w:rFonts w:ascii="Times New Roman" w:hAnsi="Times New Roman"/>
          <w:noProof w:val="0"/>
          <w:color w:val="000000" w:themeColor="text1"/>
          <w:lang w:val="pt-BR"/>
        </w:rPr>
        <w:t>,</w:t>
      </w:r>
      <w:r w:rsidR="00BF5E1E" w:rsidRPr="00440BD8">
        <w:rPr>
          <w:rFonts w:ascii="Times New Roman" w:hAnsi="Times New Roman"/>
          <w:noProof w:val="0"/>
          <w:color w:val="000000" w:themeColor="text1"/>
          <w:lang w:val="pt-BR"/>
        </w:rPr>
        <w:t xml:space="preserve"> que vão desde a melhoria da gestão da carteira de contribuintes</w:t>
      </w:r>
      <w:r w:rsidR="001002E9" w:rsidRPr="00440BD8">
        <w:rPr>
          <w:rFonts w:ascii="Times New Roman" w:hAnsi="Times New Roman"/>
          <w:noProof w:val="0"/>
          <w:color w:val="000000" w:themeColor="text1"/>
          <w:lang w:val="pt-BR"/>
        </w:rPr>
        <w:t xml:space="preserve"> e</w:t>
      </w:r>
      <w:r w:rsidR="00BF5E1E" w:rsidRPr="00440BD8">
        <w:rPr>
          <w:rFonts w:ascii="Times New Roman" w:hAnsi="Times New Roman"/>
          <w:noProof w:val="0"/>
          <w:color w:val="000000" w:themeColor="text1"/>
          <w:lang w:val="pt-BR"/>
        </w:rPr>
        <w:t xml:space="preserve"> eliminação de disfunções do atual processo de fiscalização dos tributos estaduais</w:t>
      </w:r>
      <w:r w:rsidR="001002E9" w:rsidRPr="00440BD8">
        <w:rPr>
          <w:rFonts w:ascii="Times New Roman" w:hAnsi="Times New Roman"/>
          <w:noProof w:val="0"/>
          <w:color w:val="000000" w:themeColor="text1"/>
          <w:lang w:val="pt-BR"/>
        </w:rPr>
        <w:t>, até</w:t>
      </w:r>
      <w:r w:rsidR="002160B1" w:rsidRPr="00440BD8">
        <w:rPr>
          <w:rFonts w:ascii="Times New Roman" w:hAnsi="Times New Roman"/>
          <w:noProof w:val="0"/>
          <w:color w:val="000000" w:themeColor="text1"/>
          <w:lang w:val="pt-BR"/>
        </w:rPr>
        <w:t xml:space="preserve"> </w:t>
      </w:r>
      <w:r w:rsidR="00692EB4" w:rsidRPr="00440BD8">
        <w:rPr>
          <w:rFonts w:ascii="Times New Roman" w:hAnsi="Times New Roman"/>
          <w:noProof w:val="0"/>
          <w:color w:val="000000" w:themeColor="text1"/>
          <w:lang w:val="pt-BR"/>
        </w:rPr>
        <w:t>a</w:t>
      </w:r>
      <w:r w:rsidR="002160B1" w:rsidRPr="00440BD8">
        <w:rPr>
          <w:rFonts w:ascii="Times New Roman" w:hAnsi="Times New Roman"/>
          <w:noProof w:val="0"/>
          <w:color w:val="000000" w:themeColor="text1"/>
          <w:lang w:val="pt-BR"/>
        </w:rPr>
        <w:t xml:space="preserve"> disseminação da cultura de gestão por resultados</w:t>
      </w:r>
      <w:r w:rsidR="00BF5E1E" w:rsidRPr="00440BD8">
        <w:rPr>
          <w:rFonts w:ascii="Times New Roman" w:hAnsi="Times New Roman"/>
          <w:noProof w:val="0"/>
          <w:color w:val="000000" w:themeColor="text1"/>
          <w:lang w:val="pt-BR"/>
        </w:rPr>
        <w:t>.</w:t>
      </w:r>
    </w:p>
    <w:p w:rsidR="0040286B" w:rsidRDefault="0022509B" w:rsidP="00C6798B">
      <w:pPr>
        <w:spacing w:before="120" w:after="120"/>
        <w:jc w:val="both"/>
        <w:rPr>
          <w:rFonts w:ascii="Times New Roman" w:hAnsi="Times New Roman"/>
          <w:sz w:val="18"/>
          <w:szCs w:val="18"/>
        </w:rPr>
      </w:pPr>
      <w:r w:rsidRPr="00440BD8">
        <w:rPr>
          <w:rFonts w:ascii="Times New Roman" w:hAnsi="Times New Roman"/>
          <w:noProof w:val="0"/>
          <w:color w:val="000000" w:themeColor="text1"/>
          <w:lang w:val="pt-BR"/>
        </w:rPr>
        <w:t>Portanto, t</w:t>
      </w:r>
      <w:r w:rsidR="00BF5E1E" w:rsidRPr="00440BD8">
        <w:rPr>
          <w:rFonts w:ascii="Times New Roman" w:hAnsi="Times New Roman"/>
          <w:noProof w:val="0"/>
          <w:color w:val="000000" w:themeColor="text1"/>
          <w:lang w:val="pt-BR"/>
        </w:rPr>
        <w:t>odas as soluções, ora apresentadas, estão diretamente ligadas à melhoria da eficiência operacional da Secretaria de Estado da Fazenda de Alagoas</w:t>
      </w:r>
      <w:r w:rsidR="001002E9" w:rsidRPr="00440BD8">
        <w:rPr>
          <w:rFonts w:ascii="Times New Roman" w:hAnsi="Times New Roman"/>
          <w:noProof w:val="0"/>
          <w:color w:val="000000" w:themeColor="text1"/>
          <w:lang w:val="pt-BR"/>
        </w:rPr>
        <w:t>,</w:t>
      </w:r>
      <w:r w:rsidRPr="00440BD8">
        <w:rPr>
          <w:rFonts w:ascii="Times New Roman" w:hAnsi="Times New Roman"/>
          <w:noProof w:val="0"/>
          <w:color w:val="000000" w:themeColor="text1"/>
          <w:lang w:val="pt-BR"/>
        </w:rPr>
        <w:t xml:space="preserve"> focando no incremento real da arrecadação de ICMS como principal indicador de resultados, conforme demonstrado no gráfico abaixo:</w:t>
      </w:r>
    </w:p>
    <w:p w:rsidR="00BF5E1E" w:rsidRPr="00440BD8" w:rsidRDefault="00947E75" w:rsidP="00EB0BD3">
      <w:pPr>
        <w:spacing w:before="120" w:after="120"/>
        <w:jc w:val="center"/>
        <w:rPr>
          <w:rFonts w:ascii="Times New Roman" w:hAnsi="Times New Roman"/>
          <w:sz w:val="18"/>
          <w:szCs w:val="18"/>
        </w:rPr>
      </w:pPr>
      <w:r w:rsidRPr="00947E75">
        <w:rPr>
          <w:rFonts w:ascii="Times New Roman" w:hAnsi="Times New Roman"/>
          <w:color w:val="FF0000"/>
          <w:lang w:val="pt-BR" w:eastAsia="pt-BR"/>
        </w:rPr>
        <w:drawing>
          <wp:inline distT="0" distB="0" distL="0" distR="0">
            <wp:extent cx="5044992" cy="1987826"/>
            <wp:effectExtent l="19050" t="0" r="22308" b="0"/>
            <wp:docPr id="1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22509B" w:rsidRPr="00440BD8">
        <w:rPr>
          <w:rFonts w:ascii="Times New Roman" w:hAnsi="Times New Roman"/>
          <w:color w:val="FF0000"/>
          <w:lang w:val="pt-BR" w:eastAsia="pt-BR"/>
        </w:rPr>
        <w:br/>
      </w:r>
      <w:r w:rsidR="0022509B" w:rsidRPr="00440BD8">
        <w:rPr>
          <w:rFonts w:ascii="Times New Roman" w:hAnsi="Times New Roman"/>
          <w:sz w:val="18"/>
          <w:szCs w:val="18"/>
        </w:rPr>
        <w:t xml:space="preserve"> Projeção da Arrecadação </w:t>
      </w:r>
      <w:r w:rsidR="0040286B">
        <w:rPr>
          <w:rFonts w:ascii="Times New Roman" w:hAnsi="Times New Roman"/>
          <w:sz w:val="18"/>
          <w:szCs w:val="18"/>
        </w:rPr>
        <w:t>de ICMS para 2013</w:t>
      </w:r>
    </w:p>
    <w:p w:rsidR="008900CB" w:rsidRPr="005E610F" w:rsidRDefault="004162E2" w:rsidP="00670008">
      <w:pPr>
        <w:spacing w:before="120" w:after="120"/>
        <w:jc w:val="both"/>
        <w:rPr>
          <w:rFonts w:ascii="Times New Roman" w:hAnsi="Times New Roman"/>
          <w:noProof w:val="0"/>
          <w:color w:val="000000" w:themeColor="text1"/>
          <w:lang w:val="pt-BR"/>
        </w:rPr>
      </w:pPr>
      <w:r w:rsidRPr="005E610F">
        <w:rPr>
          <w:rFonts w:ascii="Times New Roman" w:hAnsi="Times New Roman"/>
          <w:noProof w:val="0"/>
          <w:color w:val="000000" w:themeColor="text1"/>
          <w:lang w:val="pt-BR"/>
        </w:rPr>
        <w:t>O</w:t>
      </w:r>
      <w:r w:rsidR="008900CB" w:rsidRPr="005E610F">
        <w:rPr>
          <w:rFonts w:ascii="Times New Roman" w:hAnsi="Times New Roman"/>
          <w:noProof w:val="0"/>
          <w:color w:val="000000" w:themeColor="text1"/>
          <w:lang w:val="pt-BR"/>
        </w:rPr>
        <w:t xml:space="preserve"> cálculo do benefício </w:t>
      </w:r>
      <w:r w:rsidRPr="005E610F">
        <w:rPr>
          <w:rFonts w:ascii="Times New Roman" w:hAnsi="Times New Roman"/>
          <w:noProof w:val="0"/>
          <w:color w:val="000000" w:themeColor="text1"/>
          <w:lang w:val="pt-BR"/>
        </w:rPr>
        <w:t xml:space="preserve">foi identificado por meio de análises periódicas e comparativas do comportamento dos contribuintes </w:t>
      </w:r>
      <w:r w:rsidR="00714BE9" w:rsidRPr="005E610F">
        <w:rPr>
          <w:rFonts w:ascii="Times New Roman" w:hAnsi="Times New Roman"/>
          <w:noProof w:val="0"/>
          <w:color w:val="000000" w:themeColor="text1"/>
          <w:lang w:val="pt-BR"/>
        </w:rPr>
        <w:t xml:space="preserve">do ICMS </w:t>
      </w:r>
      <w:r w:rsidRPr="005E610F">
        <w:rPr>
          <w:rFonts w:ascii="Times New Roman" w:hAnsi="Times New Roman"/>
          <w:noProof w:val="0"/>
          <w:color w:val="000000" w:themeColor="text1"/>
          <w:lang w:val="pt-BR"/>
        </w:rPr>
        <w:t>do Estado de</w:t>
      </w:r>
      <w:r w:rsidR="00714BE9">
        <w:rPr>
          <w:rFonts w:ascii="Times New Roman" w:hAnsi="Times New Roman"/>
          <w:noProof w:val="0"/>
          <w:color w:val="000000" w:themeColor="text1"/>
          <w:lang w:val="pt-BR"/>
        </w:rPr>
        <w:t xml:space="preserve"> Alagoas, </w:t>
      </w:r>
      <w:r w:rsidR="008900CB" w:rsidRPr="005E610F">
        <w:rPr>
          <w:rFonts w:ascii="Times New Roman" w:hAnsi="Times New Roman"/>
          <w:noProof w:val="0"/>
          <w:color w:val="000000" w:themeColor="text1"/>
          <w:lang w:val="pt-BR"/>
        </w:rPr>
        <w:t>contemplando as seguintes etapas:</w:t>
      </w:r>
    </w:p>
    <w:p w:rsidR="000B07BE" w:rsidRPr="005E610F" w:rsidRDefault="000B07BE" w:rsidP="00670008">
      <w:pPr>
        <w:pStyle w:val="PargrafodaLista"/>
        <w:numPr>
          <w:ilvl w:val="1"/>
          <w:numId w:val="27"/>
        </w:numPr>
        <w:spacing w:before="120" w:after="120"/>
        <w:jc w:val="both"/>
        <w:rPr>
          <w:rFonts w:ascii="Times New Roman" w:eastAsia="Calibri" w:hAnsi="Times New Roman"/>
          <w:noProof w:val="0"/>
          <w:color w:val="000000" w:themeColor="text1"/>
          <w:lang w:val="pt-BR"/>
        </w:rPr>
      </w:pPr>
      <w:r w:rsidRPr="005E610F">
        <w:rPr>
          <w:rFonts w:ascii="Times New Roman" w:eastAsia="Calibri" w:hAnsi="Times New Roman"/>
          <w:noProof w:val="0"/>
          <w:color w:val="000000" w:themeColor="text1"/>
          <w:lang w:val="pt-BR"/>
        </w:rPr>
        <w:t xml:space="preserve">– Seleção </w:t>
      </w:r>
      <w:r w:rsidR="004162E2" w:rsidRPr="005E610F">
        <w:rPr>
          <w:rFonts w:ascii="Times New Roman" w:eastAsia="Calibri" w:hAnsi="Times New Roman"/>
          <w:noProof w:val="0"/>
          <w:color w:val="000000" w:themeColor="text1"/>
          <w:lang w:val="pt-BR"/>
        </w:rPr>
        <w:t xml:space="preserve">da amostra dos contribuintes: </w:t>
      </w:r>
      <w:r w:rsidR="004162E2" w:rsidRPr="005E610F">
        <w:rPr>
          <w:rFonts w:ascii="Times New Roman" w:hAnsi="Times New Roman"/>
          <w:noProof w:val="0"/>
          <w:color w:val="000000" w:themeColor="text1"/>
          <w:lang w:val="pt-BR"/>
        </w:rPr>
        <w:t>priorização dos contribuintes mais representativos em termos do recolhimento de ICMS na ordem de 80% da receita tributária</w:t>
      </w:r>
      <w:r w:rsidR="00714BE9">
        <w:rPr>
          <w:rFonts w:ascii="Times New Roman" w:hAnsi="Times New Roman"/>
          <w:noProof w:val="0"/>
          <w:color w:val="000000" w:themeColor="text1"/>
          <w:lang w:val="pt-BR"/>
        </w:rPr>
        <w:t>,</w:t>
      </w:r>
      <w:r w:rsidR="004162E2" w:rsidRPr="005E610F">
        <w:rPr>
          <w:rFonts w:ascii="Times New Roman" w:hAnsi="Times New Roman"/>
          <w:noProof w:val="0"/>
          <w:color w:val="000000" w:themeColor="text1"/>
          <w:lang w:val="pt-BR"/>
        </w:rPr>
        <w:t xml:space="preserve"> </w:t>
      </w:r>
      <w:r w:rsidR="00BB289F">
        <w:rPr>
          <w:rFonts w:ascii="Times New Roman" w:eastAsia="Calibri" w:hAnsi="Times New Roman"/>
          <w:noProof w:val="0"/>
          <w:color w:val="000000" w:themeColor="text1"/>
          <w:lang w:val="pt-BR"/>
        </w:rPr>
        <w:t>no período de setembro/2011 a agosto</w:t>
      </w:r>
      <w:r w:rsidR="00091005">
        <w:rPr>
          <w:rFonts w:ascii="Times New Roman" w:eastAsia="Calibri" w:hAnsi="Times New Roman"/>
          <w:noProof w:val="0"/>
          <w:color w:val="000000" w:themeColor="text1"/>
          <w:lang w:val="pt-BR"/>
        </w:rPr>
        <w:t>/</w:t>
      </w:r>
      <w:r w:rsidR="004C627B" w:rsidRPr="005E610F">
        <w:rPr>
          <w:rFonts w:ascii="Times New Roman" w:eastAsia="Calibri" w:hAnsi="Times New Roman"/>
          <w:noProof w:val="0"/>
          <w:color w:val="000000" w:themeColor="text1"/>
          <w:lang w:val="pt-BR"/>
        </w:rPr>
        <w:t>2012</w:t>
      </w:r>
      <w:r w:rsidR="004162E2" w:rsidRPr="005E610F">
        <w:rPr>
          <w:rFonts w:ascii="Times New Roman" w:eastAsia="Calibri" w:hAnsi="Times New Roman"/>
          <w:noProof w:val="0"/>
          <w:color w:val="000000" w:themeColor="text1"/>
          <w:lang w:val="pt-BR"/>
        </w:rPr>
        <w:t xml:space="preserve"> e </w:t>
      </w:r>
      <w:r w:rsidR="00714BE9">
        <w:rPr>
          <w:rFonts w:ascii="Times New Roman" w:eastAsia="Calibri" w:hAnsi="Times New Roman"/>
          <w:noProof w:val="0"/>
          <w:color w:val="000000" w:themeColor="text1"/>
          <w:lang w:val="pt-BR"/>
        </w:rPr>
        <w:t xml:space="preserve">sua </w:t>
      </w:r>
      <w:r w:rsidR="00714BE9">
        <w:rPr>
          <w:rFonts w:ascii="Times New Roman" w:hAnsi="Times New Roman"/>
          <w:noProof w:val="0"/>
          <w:color w:val="000000" w:themeColor="text1"/>
          <w:lang w:val="pt-BR"/>
        </w:rPr>
        <w:t>classificação</w:t>
      </w:r>
      <w:r w:rsidR="004162E2" w:rsidRPr="005E610F">
        <w:rPr>
          <w:rFonts w:ascii="Times New Roman" w:hAnsi="Times New Roman"/>
          <w:noProof w:val="0"/>
          <w:color w:val="000000" w:themeColor="text1"/>
          <w:lang w:val="pt-BR"/>
        </w:rPr>
        <w:t xml:space="preserve"> em agrupamentos comparáveis por </w:t>
      </w:r>
      <w:r w:rsidRPr="005E610F">
        <w:rPr>
          <w:rFonts w:ascii="Times New Roman" w:eastAsia="Calibri" w:hAnsi="Times New Roman"/>
          <w:noProof w:val="0"/>
          <w:color w:val="000000" w:themeColor="text1"/>
          <w:lang w:val="pt-BR"/>
        </w:rPr>
        <w:t xml:space="preserve">segmentos econômicos, formando </w:t>
      </w:r>
      <w:r w:rsidR="00714BE9">
        <w:rPr>
          <w:rFonts w:ascii="Times New Roman" w:eastAsia="Calibri" w:hAnsi="Times New Roman"/>
          <w:noProof w:val="0"/>
          <w:color w:val="000000" w:themeColor="text1"/>
          <w:lang w:val="pt-BR"/>
        </w:rPr>
        <w:t>uma base de dados para o estudo</w:t>
      </w:r>
      <w:r w:rsidR="00714BE9">
        <w:rPr>
          <w:rFonts w:ascii="Times New Roman" w:hAnsi="Times New Roman"/>
          <w:noProof w:val="0"/>
          <w:color w:val="000000" w:themeColor="text1"/>
          <w:lang w:val="pt-BR"/>
        </w:rPr>
        <w:t>;</w:t>
      </w:r>
    </w:p>
    <w:p w:rsidR="008900CB" w:rsidRPr="005E610F" w:rsidRDefault="008900CB" w:rsidP="00670008">
      <w:pPr>
        <w:pStyle w:val="PargrafodaLista"/>
        <w:numPr>
          <w:ilvl w:val="1"/>
          <w:numId w:val="27"/>
        </w:numPr>
        <w:spacing w:before="120" w:after="120"/>
        <w:jc w:val="both"/>
        <w:rPr>
          <w:rFonts w:ascii="Times New Roman" w:eastAsia="Calibri" w:hAnsi="Times New Roman"/>
          <w:noProof w:val="0"/>
          <w:color w:val="000000" w:themeColor="text1"/>
          <w:lang w:val="pt-BR"/>
        </w:rPr>
      </w:pPr>
      <w:r w:rsidRPr="005E610F">
        <w:rPr>
          <w:rFonts w:ascii="Times New Roman" w:eastAsia="Calibri" w:hAnsi="Times New Roman"/>
          <w:noProof w:val="0"/>
          <w:color w:val="000000" w:themeColor="text1"/>
          <w:lang w:val="pt-BR"/>
        </w:rPr>
        <w:t xml:space="preserve"> </w:t>
      </w:r>
      <w:r w:rsidR="000B07BE" w:rsidRPr="005E610F">
        <w:rPr>
          <w:rFonts w:ascii="Times New Roman" w:eastAsia="Calibri" w:hAnsi="Times New Roman"/>
          <w:noProof w:val="0"/>
          <w:color w:val="000000" w:themeColor="text1"/>
          <w:lang w:val="pt-BR"/>
        </w:rPr>
        <w:t xml:space="preserve">– </w:t>
      </w:r>
      <w:r w:rsidRPr="005E610F">
        <w:rPr>
          <w:rFonts w:ascii="Times New Roman" w:eastAsia="Calibri" w:hAnsi="Times New Roman"/>
          <w:noProof w:val="0"/>
          <w:color w:val="000000" w:themeColor="text1"/>
          <w:lang w:val="pt-BR"/>
        </w:rPr>
        <w:t xml:space="preserve">Avaliação do critério: inicialmente, foi feita uma ponderação quanto ao melhor </w:t>
      </w:r>
      <w:r w:rsidR="003B4C27" w:rsidRPr="005E610F">
        <w:rPr>
          <w:rFonts w:ascii="Times New Roman" w:eastAsia="Calibri" w:hAnsi="Times New Roman"/>
          <w:noProof w:val="0"/>
          <w:color w:val="000000" w:themeColor="text1"/>
          <w:lang w:val="pt-BR"/>
        </w:rPr>
        <w:t>ín</w:t>
      </w:r>
      <w:r w:rsidR="00623D54" w:rsidRPr="005E610F">
        <w:rPr>
          <w:rFonts w:ascii="Times New Roman" w:eastAsia="Calibri" w:hAnsi="Times New Roman"/>
          <w:noProof w:val="0"/>
          <w:color w:val="000000" w:themeColor="text1"/>
          <w:lang w:val="pt-BR"/>
        </w:rPr>
        <w:t>dice</w:t>
      </w:r>
      <w:r w:rsidRPr="005E610F">
        <w:rPr>
          <w:rFonts w:ascii="Times New Roman" w:eastAsia="Calibri" w:hAnsi="Times New Roman"/>
          <w:noProof w:val="0"/>
          <w:color w:val="000000" w:themeColor="text1"/>
          <w:lang w:val="pt-BR"/>
        </w:rPr>
        <w:t xml:space="preserve"> a ser considerado na análise, tendo sido incluídos os seguintes: IAC – Índice de Adicionamento Contábil, IAF – Índice de Adicionamento Fiscal, ITE – Índice de Tributação nas Entradas, ITS -</w:t>
      </w:r>
      <w:proofErr w:type="gramStart"/>
      <w:r w:rsidRPr="005E610F">
        <w:rPr>
          <w:rFonts w:ascii="Times New Roman" w:eastAsia="Calibri" w:hAnsi="Times New Roman"/>
          <w:noProof w:val="0"/>
          <w:color w:val="000000" w:themeColor="text1"/>
          <w:lang w:val="pt-BR"/>
        </w:rPr>
        <w:t xml:space="preserve">  </w:t>
      </w:r>
      <w:proofErr w:type="gramEnd"/>
      <w:r w:rsidRPr="005E610F">
        <w:rPr>
          <w:rFonts w:ascii="Times New Roman" w:eastAsia="Calibri" w:hAnsi="Times New Roman"/>
          <w:noProof w:val="0"/>
          <w:color w:val="000000" w:themeColor="text1"/>
          <w:lang w:val="pt-BR"/>
        </w:rPr>
        <w:t xml:space="preserve">Índice de Tributação nas Saídas, AME – Alíquota Média nas Entradas, MAS – Alíquota Média nas Saídas e IP – Índice de Pagamento. Dentre eles, </w:t>
      </w:r>
      <w:r w:rsidR="000B07BE" w:rsidRPr="005E610F">
        <w:rPr>
          <w:rFonts w:ascii="Times New Roman" w:eastAsia="Calibri" w:hAnsi="Times New Roman"/>
          <w:noProof w:val="0"/>
          <w:color w:val="000000" w:themeColor="text1"/>
          <w:lang w:val="pt-BR"/>
        </w:rPr>
        <w:t>o IP mostrou melhor coerência nas análises</w:t>
      </w:r>
      <w:r w:rsidR="004162E2" w:rsidRPr="005E610F">
        <w:rPr>
          <w:rFonts w:ascii="Times New Roman" w:eastAsia="Calibri" w:hAnsi="Times New Roman"/>
          <w:noProof w:val="0"/>
          <w:color w:val="000000" w:themeColor="text1"/>
          <w:lang w:val="pt-BR"/>
        </w:rPr>
        <w:t xml:space="preserve"> efetuadas</w:t>
      </w:r>
      <w:r w:rsidR="004162E2" w:rsidRPr="005E610F">
        <w:rPr>
          <w:rFonts w:ascii="Times New Roman" w:hAnsi="Times New Roman"/>
          <w:noProof w:val="0"/>
          <w:color w:val="000000" w:themeColor="text1"/>
          <w:lang w:val="pt-BR"/>
        </w:rPr>
        <w:t xml:space="preserve"> com base nas Declarações de Atividade do Contribuinte (DAC</w:t>
      </w:r>
      <w:r w:rsidR="00ED34EB">
        <w:rPr>
          <w:rFonts w:ascii="Times New Roman" w:hAnsi="Times New Roman"/>
          <w:noProof w:val="0"/>
          <w:color w:val="000000" w:themeColor="text1"/>
          <w:lang w:val="pt-BR"/>
        </w:rPr>
        <w:t xml:space="preserve">) do período de </w:t>
      </w:r>
      <w:r w:rsidR="00091005">
        <w:rPr>
          <w:rFonts w:ascii="Times New Roman" w:eastAsia="Calibri" w:hAnsi="Times New Roman"/>
          <w:noProof w:val="0"/>
          <w:color w:val="000000" w:themeColor="text1"/>
          <w:lang w:val="pt-BR"/>
        </w:rPr>
        <w:t>setembro/2011 a agosto/</w:t>
      </w:r>
      <w:r w:rsidR="00BB289F" w:rsidRPr="005E610F">
        <w:rPr>
          <w:rFonts w:ascii="Times New Roman" w:eastAsia="Calibri" w:hAnsi="Times New Roman"/>
          <w:noProof w:val="0"/>
          <w:color w:val="000000" w:themeColor="text1"/>
          <w:lang w:val="pt-BR"/>
        </w:rPr>
        <w:t>2012</w:t>
      </w:r>
      <w:r w:rsidR="00714BE9">
        <w:rPr>
          <w:rFonts w:ascii="Times New Roman" w:hAnsi="Times New Roman"/>
          <w:noProof w:val="0"/>
          <w:color w:val="000000" w:themeColor="text1"/>
          <w:lang w:val="pt-BR"/>
        </w:rPr>
        <w:t>;</w:t>
      </w:r>
    </w:p>
    <w:tbl>
      <w:tblPr>
        <w:tblW w:w="5320" w:type="dxa"/>
        <w:tblInd w:w="2623" w:type="dxa"/>
        <w:tblCellMar>
          <w:left w:w="70" w:type="dxa"/>
          <w:right w:w="70" w:type="dxa"/>
        </w:tblCellMar>
        <w:tblLook w:val="04A0"/>
      </w:tblPr>
      <w:tblGrid>
        <w:gridCol w:w="960"/>
        <w:gridCol w:w="4360"/>
      </w:tblGrid>
      <w:tr w:rsidR="003B4C27" w:rsidRPr="00C6798B" w:rsidTr="003B4C27">
        <w:trPr>
          <w:trHeight w:val="227"/>
        </w:trPr>
        <w:tc>
          <w:tcPr>
            <w:tcW w:w="53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4C27" w:rsidRPr="00C6798B" w:rsidRDefault="003B4C27" w:rsidP="00670008">
            <w:pPr>
              <w:spacing w:after="0" w:line="240" w:lineRule="auto"/>
              <w:rPr>
                <w:rFonts w:ascii="Times New Roman" w:eastAsia="Times New Roman" w:hAnsi="Times New Roman"/>
                <w:noProof w:val="0"/>
                <w:color w:val="000000"/>
                <w:sz w:val="16"/>
                <w:szCs w:val="16"/>
                <w:lang w:val="pt-BR" w:eastAsia="pt-BR"/>
              </w:rPr>
            </w:pPr>
            <w:r w:rsidRPr="00C6798B">
              <w:rPr>
                <w:rFonts w:ascii="Times New Roman" w:eastAsia="Times New Roman" w:hAnsi="Times New Roman"/>
                <w:noProof w:val="0"/>
                <w:color w:val="000000"/>
                <w:sz w:val="16"/>
                <w:szCs w:val="16"/>
                <w:lang w:val="pt-BR" w:eastAsia="pt-BR"/>
              </w:rPr>
              <w:t>Cesta de Índices </w:t>
            </w:r>
          </w:p>
        </w:tc>
      </w:tr>
      <w:tr w:rsidR="003B4C27" w:rsidRPr="00C6798B" w:rsidTr="003B4C27">
        <w:trPr>
          <w:trHeight w:val="2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B4C27" w:rsidRPr="00C6798B" w:rsidRDefault="003B4C27" w:rsidP="00670008">
            <w:pPr>
              <w:spacing w:after="0" w:line="240" w:lineRule="auto"/>
              <w:rPr>
                <w:rFonts w:ascii="Times New Roman" w:eastAsia="Times New Roman" w:hAnsi="Times New Roman"/>
                <w:noProof w:val="0"/>
                <w:color w:val="000000"/>
                <w:sz w:val="16"/>
                <w:szCs w:val="16"/>
                <w:lang w:val="pt-BR" w:eastAsia="pt-BR"/>
              </w:rPr>
            </w:pPr>
            <w:r w:rsidRPr="00C6798B">
              <w:rPr>
                <w:rFonts w:ascii="Times New Roman" w:eastAsia="Times New Roman" w:hAnsi="Times New Roman"/>
                <w:noProof w:val="0"/>
                <w:color w:val="000000"/>
                <w:sz w:val="16"/>
                <w:szCs w:val="16"/>
                <w:lang w:val="pt-BR" w:eastAsia="pt-BR"/>
              </w:rPr>
              <w:t>IAC</w:t>
            </w:r>
          </w:p>
        </w:tc>
        <w:tc>
          <w:tcPr>
            <w:tcW w:w="4360" w:type="dxa"/>
            <w:tcBorders>
              <w:top w:val="nil"/>
              <w:left w:val="nil"/>
              <w:bottom w:val="single" w:sz="4" w:space="0" w:color="auto"/>
              <w:right w:val="single" w:sz="4" w:space="0" w:color="auto"/>
            </w:tcBorders>
            <w:shd w:val="clear" w:color="auto" w:fill="auto"/>
            <w:noWrap/>
            <w:vAlign w:val="bottom"/>
            <w:hideMark/>
          </w:tcPr>
          <w:p w:rsidR="003B4C27" w:rsidRPr="00C6798B" w:rsidRDefault="003B4C27" w:rsidP="00670008">
            <w:pPr>
              <w:spacing w:after="0" w:line="240" w:lineRule="auto"/>
              <w:rPr>
                <w:rFonts w:ascii="Times New Roman" w:eastAsia="Times New Roman" w:hAnsi="Times New Roman"/>
                <w:noProof w:val="0"/>
                <w:color w:val="000000"/>
                <w:sz w:val="16"/>
                <w:szCs w:val="16"/>
                <w:lang w:val="pt-BR" w:eastAsia="pt-BR"/>
              </w:rPr>
            </w:pPr>
            <w:r w:rsidRPr="00C6798B">
              <w:rPr>
                <w:rFonts w:ascii="Times New Roman" w:eastAsia="Times New Roman" w:hAnsi="Times New Roman"/>
                <w:noProof w:val="0"/>
                <w:color w:val="000000"/>
                <w:sz w:val="16"/>
                <w:szCs w:val="16"/>
                <w:lang w:val="pt-BR" w:eastAsia="pt-BR"/>
              </w:rPr>
              <w:t>(CONTABIL_SAIDAS/CONTABIL_ENTRADAS)-1</w:t>
            </w:r>
          </w:p>
        </w:tc>
      </w:tr>
      <w:tr w:rsidR="003B4C27" w:rsidRPr="00C6798B" w:rsidTr="003B4C27">
        <w:trPr>
          <w:trHeight w:val="2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B4C27" w:rsidRPr="00C6798B" w:rsidRDefault="003B4C27" w:rsidP="00670008">
            <w:pPr>
              <w:spacing w:after="0" w:line="240" w:lineRule="auto"/>
              <w:rPr>
                <w:rFonts w:ascii="Times New Roman" w:eastAsia="Times New Roman" w:hAnsi="Times New Roman"/>
                <w:noProof w:val="0"/>
                <w:color w:val="000000"/>
                <w:sz w:val="16"/>
                <w:szCs w:val="16"/>
                <w:lang w:val="pt-BR" w:eastAsia="pt-BR"/>
              </w:rPr>
            </w:pPr>
            <w:r w:rsidRPr="00C6798B">
              <w:rPr>
                <w:rFonts w:ascii="Times New Roman" w:eastAsia="Times New Roman" w:hAnsi="Times New Roman"/>
                <w:noProof w:val="0"/>
                <w:color w:val="000000"/>
                <w:sz w:val="16"/>
                <w:szCs w:val="16"/>
                <w:lang w:val="pt-BR" w:eastAsia="pt-BR"/>
              </w:rPr>
              <w:t>IAF</w:t>
            </w:r>
          </w:p>
        </w:tc>
        <w:tc>
          <w:tcPr>
            <w:tcW w:w="4360" w:type="dxa"/>
            <w:tcBorders>
              <w:top w:val="nil"/>
              <w:left w:val="nil"/>
              <w:bottom w:val="single" w:sz="4" w:space="0" w:color="auto"/>
              <w:right w:val="single" w:sz="4" w:space="0" w:color="auto"/>
            </w:tcBorders>
            <w:shd w:val="clear" w:color="auto" w:fill="auto"/>
            <w:noWrap/>
            <w:vAlign w:val="bottom"/>
            <w:hideMark/>
          </w:tcPr>
          <w:p w:rsidR="003B4C27" w:rsidRPr="00C6798B" w:rsidRDefault="003B4C27" w:rsidP="00670008">
            <w:pPr>
              <w:spacing w:after="0" w:line="240" w:lineRule="auto"/>
              <w:rPr>
                <w:rFonts w:ascii="Times New Roman" w:eastAsia="Times New Roman" w:hAnsi="Times New Roman"/>
                <w:noProof w:val="0"/>
                <w:color w:val="000000"/>
                <w:sz w:val="16"/>
                <w:szCs w:val="16"/>
                <w:lang w:val="pt-BR" w:eastAsia="pt-BR"/>
              </w:rPr>
            </w:pPr>
            <w:r w:rsidRPr="00C6798B">
              <w:rPr>
                <w:rFonts w:ascii="Times New Roman" w:eastAsia="Times New Roman" w:hAnsi="Times New Roman"/>
                <w:noProof w:val="0"/>
                <w:color w:val="000000"/>
                <w:sz w:val="16"/>
                <w:szCs w:val="16"/>
                <w:lang w:val="pt-BR" w:eastAsia="pt-BR"/>
              </w:rPr>
              <w:t>(BASE_SAIDAS/BASE_ENTRADAS)-1</w:t>
            </w:r>
          </w:p>
        </w:tc>
      </w:tr>
      <w:tr w:rsidR="003B4C27" w:rsidRPr="00C6798B" w:rsidTr="003B4C27">
        <w:trPr>
          <w:trHeight w:val="2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B4C27" w:rsidRPr="00C6798B" w:rsidRDefault="003B4C27" w:rsidP="00670008">
            <w:pPr>
              <w:spacing w:after="0" w:line="240" w:lineRule="auto"/>
              <w:rPr>
                <w:rFonts w:ascii="Times New Roman" w:eastAsia="Times New Roman" w:hAnsi="Times New Roman"/>
                <w:noProof w:val="0"/>
                <w:color w:val="000000"/>
                <w:sz w:val="16"/>
                <w:szCs w:val="16"/>
                <w:lang w:val="pt-BR" w:eastAsia="pt-BR"/>
              </w:rPr>
            </w:pPr>
            <w:r w:rsidRPr="00C6798B">
              <w:rPr>
                <w:rFonts w:ascii="Times New Roman" w:eastAsia="Times New Roman" w:hAnsi="Times New Roman"/>
                <w:noProof w:val="0"/>
                <w:color w:val="000000"/>
                <w:sz w:val="16"/>
                <w:szCs w:val="16"/>
                <w:lang w:val="pt-BR" w:eastAsia="pt-BR"/>
              </w:rPr>
              <w:t>ITE</w:t>
            </w:r>
          </w:p>
        </w:tc>
        <w:tc>
          <w:tcPr>
            <w:tcW w:w="4360" w:type="dxa"/>
            <w:tcBorders>
              <w:top w:val="nil"/>
              <w:left w:val="nil"/>
              <w:bottom w:val="single" w:sz="4" w:space="0" w:color="auto"/>
              <w:right w:val="single" w:sz="4" w:space="0" w:color="auto"/>
            </w:tcBorders>
            <w:shd w:val="clear" w:color="auto" w:fill="auto"/>
            <w:noWrap/>
            <w:vAlign w:val="bottom"/>
            <w:hideMark/>
          </w:tcPr>
          <w:p w:rsidR="003B4C27" w:rsidRPr="00C6798B" w:rsidRDefault="003B4C27" w:rsidP="00670008">
            <w:pPr>
              <w:spacing w:after="0" w:line="240" w:lineRule="auto"/>
              <w:rPr>
                <w:rFonts w:ascii="Times New Roman" w:eastAsia="Times New Roman" w:hAnsi="Times New Roman"/>
                <w:noProof w:val="0"/>
                <w:color w:val="000000"/>
                <w:sz w:val="16"/>
                <w:szCs w:val="16"/>
                <w:lang w:val="pt-BR" w:eastAsia="pt-BR"/>
              </w:rPr>
            </w:pPr>
            <w:r w:rsidRPr="00C6798B">
              <w:rPr>
                <w:rFonts w:ascii="Times New Roman" w:eastAsia="Times New Roman" w:hAnsi="Times New Roman"/>
                <w:noProof w:val="0"/>
                <w:color w:val="000000"/>
                <w:sz w:val="16"/>
                <w:szCs w:val="16"/>
                <w:lang w:val="pt-BR" w:eastAsia="pt-BR"/>
              </w:rPr>
              <w:t>BASE_ENTRADAS/CONTABIL_ENTRADAS</w:t>
            </w:r>
          </w:p>
        </w:tc>
      </w:tr>
      <w:tr w:rsidR="003B4C27" w:rsidRPr="00C6798B" w:rsidTr="003B4C27">
        <w:trPr>
          <w:trHeight w:val="2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B4C27" w:rsidRPr="00C6798B" w:rsidRDefault="003B4C27" w:rsidP="00670008">
            <w:pPr>
              <w:spacing w:after="0" w:line="240" w:lineRule="auto"/>
              <w:rPr>
                <w:rFonts w:ascii="Times New Roman" w:eastAsia="Times New Roman" w:hAnsi="Times New Roman"/>
                <w:noProof w:val="0"/>
                <w:color w:val="000000"/>
                <w:sz w:val="16"/>
                <w:szCs w:val="16"/>
                <w:lang w:val="pt-BR" w:eastAsia="pt-BR"/>
              </w:rPr>
            </w:pPr>
            <w:r w:rsidRPr="00C6798B">
              <w:rPr>
                <w:rFonts w:ascii="Times New Roman" w:eastAsia="Times New Roman" w:hAnsi="Times New Roman"/>
                <w:noProof w:val="0"/>
                <w:color w:val="000000"/>
                <w:sz w:val="16"/>
                <w:szCs w:val="16"/>
                <w:lang w:val="pt-BR" w:eastAsia="pt-BR"/>
              </w:rPr>
              <w:t>ITS</w:t>
            </w:r>
          </w:p>
        </w:tc>
        <w:tc>
          <w:tcPr>
            <w:tcW w:w="4360" w:type="dxa"/>
            <w:tcBorders>
              <w:top w:val="nil"/>
              <w:left w:val="nil"/>
              <w:bottom w:val="single" w:sz="4" w:space="0" w:color="auto"/>
              <w:right w:val="single" w:sz="4" w:space="0" w:color="auto"/>
            </w:tcBorders>
            <w:shd w:val="clear" w:color="auto" w:fill="auto"/>
            <w:noWrap/>
            <w:vAlign w:val="bottom"/>
            <w:hideMark/>
          </w:tcPr>
          <w:p w:rsidR="003B4C27" w:rsidRPr="00C6798B" w:rsidRDefault="003B4C27" w:rsidP="00670008">
            <w:pPr>
              <w:spacing w:after="0" w:line="240" w:lineRule="auto"/>
              <w:rPr>
                <w:rFonts w:ascii="Times New Roman" w:eastAsia="Times New Roman" w:hAnsi="Times New Roman"/>
                <w:noProof w:val="0"/>
                <w:color w:val="000000"/>
                <w:sz w:val="16"/>
                <w:szCs w:val="16"/>
                <w:lang w:val="pt-BR" w:eastAsia="pt-BR"/>
              </w:rPr>
            </w:pPr>
            <w:r w:rsidRPr="00C6798B">
              <w:rPr>
                <w:rFonts w:ascii="Times New Roman" w:eastAsia="Times New Roman" w:hAnsi="Times New Roman"/>
                <w:noProof w:val="0"/>
                <w:color w:val="000000"/>
                <w:sz w:val="16"/>
                <w:szCs w:val="16"/>
                <w:lang w:val="pt-BR" w:eastAsia="pt-BR"/>
              </w:rPr>
              <w:t>BASE_SAIDAS/CONTABIL_SAIDAS</w:t>
            </w:r>
          </w:p>
        </w:tc>
      </w:tr>
      <w:tr w:rsidR="003B4C27" w:rsidRPr="00C6798B" w:rsidTr="003B4C27">
        <w:trPr>
          <w:trHeight w:val="2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B4C27" w:rsidRPr="00C6798B" w:rsidRDefault="003B4C27" w:rsidP="00670008">
            <w:pPr>
              <w:spacing w:after="0" w:line="240" w:lineRule="auto"/>
              <w:rPr>
                <w:rFonts w:ascii="Times New Roman" w:eastAsia="Times New Roman" w:hAnsi="Times New Roman"/>
                <w:noProof w:val="0"/>
                <w:color w:val="000000"/>
                <w:sz w:val="16"/>
                <w:szCs w:val="16"/>
                <w:lang w:val="pt-BR" w:eastAsia="pt-BR"/>
              </w:rPr>
            </w:pPr>
            <w:r w:rsidRPr="00C6798B">
              <w:rPr>
                <w:rFonts w:ascii="Times New Roman" w:eastAsia="Times New Roman" w:hAnsi="Times New Roman"/>
                <w:noProof w:val="0"/>
                <w:color w:val="000000"/>
                <w:sz w:val="16"/>
                <w:szCs w:val="16"/>
                <w:lang w:val="pt-BR" w:eastAsia="pt-BR"/>
              </w:rPr>
              <w:t>AME</w:t>
            </w:r>
          </w:p>
        </w:tc>
        <w:tc>
          <w:tcPr>
            <w:tcW w:w="4360" w:type="dxa"/>
            <w:tcBorders>
              <w:top w:val="nil"/>
              <w:left w:val="nil"/>
              <w:bottom w:val="single" w:sz="4" w:space="0" w:color="auto"/>
              <w:right w:val="single" w:sz="4" w:space="0" w:color="auto"/>
            </w:tcBorders>
            <w:shd w:val="clear" w:color="auto" w:fill="auto"/>
            <w:noWrap/>
            <w:vAlign w:val="bottom"/>
            <w:hideMark/>
          </w:tcPr>
          <w:p w:rsidR="003B4C27" w:rsidRPr="00C6798B" w:rsidRDefault="003B4C27" w:rsidP="00670008">
            <w:pPr>
              <w:spacing w:after="0" w:line="240" w:lineRule="auto"/>
              <w:rPr>
                <w:rFonts w:ascii="Times New Roman" w:eastAsia="Times New Roman" w:hAnsi="Times New Roman"/>
                <w:noProof w:val="0"/>
                <w:color w:val="000000"/>
                <w:sz w:val="16"/>
                <w:szCs w:val="16"/>
                <w:lang w:val="pt-BR" w:eastAsia="pt-BR"/>
              </w:rPr>
            </w:pPr>
            <w:r w:rsidRPr="00C6798B">
              <w:rPr>
                <w:rFonts w:ascii="Times New Roman" w:eastAsia="Times New Roman" w:hAnsi="Times New Roman"/>
                <w:noProof w:val="0"/>
                <w:color w:val="000000"/>
                <w:sz w:val="16"/>
                <w:szCs w:val="16"/>
                <w:lang w:val="pt-BR" w:eastAsia="pt-BR"/>
              </w:rPr>
              <w:t>CREDITO_ENTRADAS/CONTABIL_ENTRADAS</w:t>
            </w:r>
          </w:p>
        </w:tc>
      </w:tr>
      <w:tr w:rsidR="003B4C27" w:rsidRPr="00C6798B" w:rsidTr="003B4C27">
        <w:trPr>
          <w:trHeight w:val="2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B4C27" w:rsidRPr="00C6798B" w:rsidRDefault="003B4C27" w:rsidP="00670008">
            <w:pPr>
              <w:spacing w:after="0" w:line="240" w:lineRule="auto"/>
              <w:rPr>
                <w:rFonts w:ascii="Times New Roman" w:eastAsia="Times New Roman" w:hAnsi="Times New Roman"/>
                <w:noProof w:val="0"/>
                <w:color w:val="000000"/>
                <w:sz w:val="16"/>
                <w:szCs w:val="16"/>
                <w:lang w:val="pt-BR" w:eastAsia="pt-BR"/>
              </w:rPr>
            </w:pPr>
            <w:r w:rsidRPr="00C6798B">
              <w:rPr>
                <w:rFonts w:ascii="Times New Roman" w:eastAsia="Times New Roman" w:hAnsi="Times New Roman"/>
                <w:noProof w:val="0"/>
                <w:color w:val="000000"/>
                <w:sz w:val="16"/>
                <w:szCs w:val="16"/>
                <w:lang w:val="pt-BR" w:eastAsia="pt-BR"/>
              </w:rPr>
              <w:t>AMS</w:t>
            </w:r>
          </w:p>
        </w:tc>
        <w:tc>
          <w:tcPr>
            <w:tcW w:w="4360" w:type="dxa"/>
            <w:tcBorders>
              <w:top w:val="nil"/>
              <w:left w:val="nil"/>
              <w:bottom w:val="single" w:sz="4" w:space="0" w:color="auto"/>
              <w:right w:val="single" w:sz="4" w:space="0" w:color="auto"/>
            </w:tcBorders>
            <w:shd w:val="clear" w:color="auto" w:fill="auto"/>
            <w:noWrap/>
            <w:vAlign w:val="bottom"/>
            <w:hideMark/>
          </w:tcPr>
          <w:p w:rsidR="003B4C27" w:rsidRPr="00C6798B" w:rsidRDefault="003B4C27" w:rsidP="00670008">
            <w:pPr>
              <w:spacing w:after="0" w:line="240" w:lineRule="auto"/>
              <w:rPr>
                <w:rFonts w:ascii="Times New Roman" w:eastAsia="Times New Roman" w:hAnsi="Times New Roman"/>
                <w:noProof w:val="0"/>
                <w:color w:val="000000"/>
                <w:sz w:val="16"/>
                <w:szCs w:val="16"/>
                <w:lang w:val="pt-BR" w:eastAsia="pt-BR"/>
              </w:rPr>
            </w:pPr>
            <w:r w:rsidRPr="00C6798B">
              <w:rPr>
                <w:rFonts w:ascii="Times New Roman" w:eastAsia="Times New Roman" w:hAnsi="Times New Roman"/>
                <w:noProof w:val="0"/>
                <w:color w:val="000000"/>
                <w:sz w:val="16"/>
                <w:szCs w:val="16"/>
                <w:lang w:val="pt-BR" w:eastAsia="pt-BR"/>
              </w:rPr>
              <w:t>DEBITOS_SAIDAS/BASE_SAIDAS</w:t>
            </w:r>
          </w:p>
        </w:tc>
      </w:tr>
      <w:tr w:rsidR="003B4C27" w:rsidRPr="00C6798B" w:rsidTr="003B4C27">
        <w:trPr>
          <w:trHeight w:val="22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B4C27" w:rsidRPr="00C6798B" w:rsidRDefault="003B4C27" w:rsidP="00670008">
            <w:pPr>
              <w:spacing w:after="0" w:line="240" w:lineRule="auto"/>
              <w:rPr>
                <w:rFonts w:ascii="Times New Roman" w:eastAsia="Times New Roman" w:hAnsi="Times New Roman"/>
                <w:noProof w:val="0"/>
                <w:color w:val="000000"/>
                <w:sz w:val="16"/>
                <w:szCs w:val="16"/>
                <w:lang w:val="pt-BR" w:eastAsia="pt-BR"/>
              </w:rPr>
            </w:pPr>
            <w:r w:rsidRPr="00C6798B">
              <w:rPr>
                <w:rFonts w:ascii="Times New Roman" w:eastAsia="Times New Roman" w:hAnsi="Times New Roman"/>
                <w:noProof w:val="0"/>
                <w:color w:val="000000"/>
                <w:sz w:val="16"/>
                <w:szCs w:val="16"/>
                <w:lang w:val="pt-BR" w:eastAsia="pt-BR"/>
              </w:rPr>
              <w:t>IP</w:t>
            </w:r>
          </w:p>
        </w:tc>
        <w:tc>
          <w:tcPr>
            <w:tcW w:w="4360" w:type="dxa"/>
            <w:tcBorders>
              <w:top w:val="nil"/>
              <w:left w:val="nil"/>
              <w:bottom w:val="single" w:sz="4" w:space="0" w:color="auto"/>
              <w:right w:val="single" w:sz="4" w:space="0" w:color="auto"/>
            </w:tcBorders>
            <w:shd w:val="clear" w:color="auto" w:fill="auto"/>
            <w:noWrap/>
            <w:vAlign w:val="bottom"/>
            <w:hideMark/>
          </w:tcPr>
          <w:p w:rsidR="003B4C27" w:rsidRPr="00C6798B" w:rsidRDefault="003B4C27" w:rsidP="00670008">
            <w:pPr>
              <w:spacing w:after="0" w:line="240" w:lineRule="auto"/>
              <w:rPr>
                <w:rFonts w:ascii="Times New Roman" w:eastAsia="Times New Roman" w:hAnsi="Times New Roman"/>
                <w:noProof w:val="0"/>
                <w:color w:val="000000"/>
                <w:sz w:val="16"/>
                <w:szCs w:val="16"/>
                <w:lang w:val="pt-BR" w:eastAsia="pt-BR"/>
              </w:rPr>
            </w:pPr>
            <w:r w:rsidRPr="00C6798B">
              <w:rPr>
                <w:rFonts w:ascii="Times New Roman" w:eastAsia="Times New Roman" w:hAnsi="Times New Roman"/>
                <w:noProof w:val="0"/>
                <w:color w:val="000000"/>
                <w:sz w:val="16"/>
                <w:szCs w:val="16"/>
                <w:lang w:val="pt-BR" w:eastAsia="pt-BR"/>
              </w:rPr>
              <w:t>IMPOSTO_PAGAR/BASE_SAIDAS</w:t>
            </w:r>
          </w:p>
        </w:tc>
      </w:tr>
    </w:tbl>
    <w:p w:rsidR="00912326" w:rsidRPr="005E610F" w:rsidRDefault="008900CB" w:rsidP="00670008">
      <w:pPr>
        <w:pStyle w:val="PargrafodaLista"/>
        <w:numPr>
          <w:ilvl w:val="1"/>
          <w:numId w:val="27"/>
        </w:numPr>
        <w:spacing w:before="120" w:after="120"/>
        <w:jc w:val="both"/>
        <w:rPr>
          <w:rFonts w:ascii="Times New Roman" w:eastAsia="Calibri" w:hAnsi="Times New Roman"/>
          <w:noProof w:val="0"/>
          <w:color w:val="000000" w:themeColor="text1"/>
          <w:lang w:val="pt-BR"/>
        </w:rPr>
      </w:pPr>
      <w:r w:rsidRPr="005E610F">
        <w:rPr>
          <w:rFonts w:ascii="Times New Roman" w:eastAsia="Calibri" w:hAnsi="Times New Roman"/>
          <w:noProof w:val="0"/>
          <w:color w:val="000000" w:themeColor="text1"/>
          <w:lang w:val="pt-BR"/>
        </w:rPr>
        <w:t>– Cálculo do índice de pagamento:</w:t>
      </w:r>
      <w:r w:rsidR="000B07BE" w:rsidRPr="005E610F">
        <w:rPr>
          <w:rFonts w:ascii="Times New Roman" w:eastAsia="Calibri" w:hAnsi="Times New Roman"/>
          <w:noProof w:val="0"/>
          <w:color w:val="000000" w:themeColor="text1"/>
          <w:lang w:val="pt-BR"/>
        </w:rPr>
        <w:t xml:space="preserve"> O cálculo do índice de pagamento</w:t>
      </w:r>
      <w:r w:rsidR="00714BE9">
        <w:rPr>
          <w:rFonts w:ascii="Times New Roman" w:eastAsia="Calibri" w:hAnsi="Times New Roman"/>
          <w:noProof w:val="0"/>
          <w:color w:val="000000" w:themeColor="text1"/>
          <w:lang w:val="pt-BR"/>
        </w:rPr>
        <w:t xml:space="preserve"> (IP)</w:t>
      </w:r>
      <w:r w:rsidR="000B07BE" w:rsidRPr="005E610F">
        <w:rPr>
          <w:rFonts w:ascii="Times New Roman" w:eastAsia="Calibri" w:hAnsi="Times New Roman"/>
          <w:noProof w:val="0"/>
          <w:color w:val="000000" w:themeColor="text1"/>
          <w:lang w:val="pt-BR"/>
        </w:rPr>
        <w:t xml:space="preserve"> representa o valor do ICMS </w:t>
      </w:r>
      <w:r w:rsidR="003B4C27" w:rsidRPr="005E610F">
        <w:rPr>
          <w:rFonts w:ascii="Times New Roman" w:eastAsia="Calibri" w:hAnsi="Times New Roman"/>
          <w:noProof w:val="0"/>
          <w:color w:val="000000" w:themeColor="text1"/>
          <w:lang w:val="pt-BR"/>
        </w:rPr>
        <w:t>a pagar / Valor Base de Cálculo</w:t>
      </w:r>
      <w:r w:rsidR="000B07BE" w:rsidRPr="005E610F">
        <w:rPr>
          <w:rFonts w:ascii="Times New Roman" w:eastAsia="Calibri" w:hAnsi="Times New Roman"/>
          <w:noProof w:val="0"/>
          <w:color w:val="000000" w:themeColor="text1"/>
          <w:lang w:val="pt-BR"/>
        </w:rPr>
        <w:t xml:space="preserve"> das Saídas</w:t>
      </w:r>
      <w:r w:rsidR="003B4C27" w:rsidRPr="005E610F">
        <w:rPr>
          <w:rFonts w:ascii="Times New Roman" w:eastAsia="Calibri" w:hAnsi="Times New Roman"/>
          <w:noProof w:val="0"/>
          <w:color w:val="000000" w:themeColor="text1"/>
          <w:lang w:val="pt-BR"/>
        </w:rPr>
        <w:t xml:space="preserve">, tendo sido feito </w:t>
      </w:r>
      <w:r w:rsidR="004C627B" w:rsidRPr="005E610F">
        <w:rPr>
          <w:rFonts w:ascii="Times New Roman" w:eastAsia="Calibri" w:hAnsi="Times New Roman"/>
          <w:noProof w:val="0"/>
          <w:color w:val="000000" w:themeColor="text1"/>
          <w:lang w:val="pt-BR"/>
        </w:rPr>
        <w:t xml:space="preserve">o cálculo da média do índice </w:t>
      </w:r>
      <w:r w:rsidR="003B4C27" w:rsidRPr="005E610F">
        <w:rPr>
          <w:rFonts w:ascii="Times New Roman" w:eastAsia="Calibri" w:hAnsi="Times New Roman"/>
          <w:noProof w:val="0"/>
          <w:color w:val="000000" w:themeColor="text1"/>
          <w:lang w:val="pt-BR"/>
        </w:rPr>
        <w:t>por clusters em distintos segmentos econômicos</w:t>
      </w:r>
      <w:r w:rsidR="004C627B" w:rsidRPr="005E610F">
        <w:rPr>
          <w:rFonts w:ascii="Times New Roman" w:eastAsia="Calibri" w:hAnsi="Times New Roman"/>
          <w:noProof w:val="0"/>
          <w:color w:val="000000" w:themeColor="text1"/>
          <w:lang w:val="pt-BR"/>
        </w:rPr>
        <w:t xml:space="preserve"> (dentro da base de dados considerada para o estudo)</w:t>
      </w:r>
      <w:r w:rsidR="003B4C27" w:rsidRPr="005E610F">
        <w:rPr>
          <w:rFonts w:ascii="Times New Roman" w:eastAsia="Calibri" w:hAnsi="Times New Roman"/>
          <w:noProof w:val="0"/>
          <w:color w:val="000000" w:themeColor="text1"/>
          <w:lang w:val="pt-BR"/>
        </w:rPr>
        <w:t xml:space="preserve">, </w:t>
      </w:r>
      <w:r w:rsidR="004C627B" w:rsidRPr="005E610F">
        <w:rPr>
          <w:rFonts w:ascii="Times New Roman" w:eastAsia="Calibri" w:hAnsi="Times New Roman"/>
          <w:noProof w:val="0"/>
          <w:color w:val="000000" w:themeColor="text1"/>
          <w:lang w:val="pt-BR"/>
        </w:rPr>
        <w:t>e a partir dessa</w:t>
      </w:r>
      <w:r w:rsidR="003B4C27" w:rsidRPr="005E610F">
        <w:rPr>
          <w:rFonts w:ascii="Times New Roman" w:eastAsia="Calibri" w:hAnsi="Times New Roman"/>
          <w:noProof w:val="0"/>
          <w:color w:val="000000" w:themeColor="text1"/>
          <w:lang w:val="pt-BR"/>
        </w:rPr>
        <w:t xml:space="preserve"> </w:t>
      </w:r>
      <w:r w:rsidR="004C627B" w:rsidRPr="005E610F">
        <w:rPr>
          <w:rFonts w:ascii="Times New Roman" w:eastAsia="Calibri" w:hAnsi="Times New Roman"/>
          <w:noProof w:val="0"/>
          <w:color w:val="000000" w:themeColor="text1"/>
          <w:lang w:val="pt-BR"/>
        </w:rPr>
        <w:t xml:space="preserve">média </w:t>
      </w:r>
      <w:r w:rsidR="003B4C27" w:rsidRPr="005E610F">
        <w:rPr>
          <w:rFonts w:ascii="Times New Roman" w:eastAsia="Calibri" w:hAnsi="Times New Roman"/>
          <w:noProof w:val="0"/>
          <w:color w:val="000000" w:themeColor="text1"/>
          <w:lang w:val="pt-BR"/>
        </w:rPr>
        <w:t xml:space="preserve">foram detectadas as lacunas entre </w:t>
      </w:r>
      <w:proofErr w:type="gramStart"/>
      <w:r w:rsidR="003B4C27" w:rsidRPr="005E610F">
        <w:rPr>
          <w:rFonts w:ascii="Times New Roman" w:eastAsia="Calibri" w:hAnsi="Times New Roman"/>
          <w:noProof w:val="0"/>
          <w:color w:val="000000" w:themeColor="text1"/>
          <w:lang w:val="pt-BR"/>
        </w:rPr>
        <w:t>os valores abaixo da média e a própria média utilizada como parâmetro</w:t>
      </w:r>
      <w:proofErr w:type="gramEnd"/>
      <w:r w:rsidR="004C627B" w:rsidRPr="005E610F">
        <w:rPr>
          <w:rFonts w:ascii="Times New Roman" w:eastAsia="Calibri" w:hAnsi="Times New Roman"/>
          <w:noProof w:val="0"/>
          <w:color w:val="000000" w:themeColor="text1"/>
          <w:lang w:val="pt-BR"/>
        </w:rPr>
        <w:t>.</w:t>
      </w:r>
      <w:r w:rsidR="003B4C27" w:rsidRPr="005E610F">
        <w:rPr>
          <w:rFonts w:ascii="Times New Roman" w:eastAsia="Calibri" w:hAnsi="Times New Roman"/>
          <w:noProof w:val="0"/>
          <w:color w:val="000000" w:themeColor="text1"/>
          <w:lang w:val="pt-BR"/>
        </w:rPr>
        <w:t xml:space="preserve"> </w:t>
      </w:r>
      <w:r w:rsidR="004C627B" w:rsidRPr="005E610F">
        <w:rPr>
          <w:rFonts w:ascii="Times New Roman" w:eastAsia="Calibri" w:hAnsi="Times New Roman"/>
          <w:noProof w:val="0"/>
          <w:color w:val="000000" w:themeColor="text1"/>
          <w:lang w:val="pt-BR"/>
        </w:rPr>
        <w:t xml:space="preserve">Como exemplo, é apresentado um segmento analisado: </w:t>
      </w:r>
    </w:p>
    <w:tbl>
      <w:tblPr>
        <w:tblW w:w="8288" w:type="dxa"/>
        <w:tblInd w:w="1488" w:type="dxa"/>
        <w:tblCellMar>
          <w:left w:w="70" w:type="dxa"/>
          <w:right w:w="70" w:type="dxa"/>
        </w:tblCellMar>
        <w:tblLook w:val="04A0"/>
      </w:tblPr>
      <w:tblGrid>
        <w:gridCol w:w="852"/>
        <w:gridCol w:w="1625"/>
        <w:gridCol w:w="1775"/>
        <w:gridCol w:w="4036"/>
      </w:tblGrid>
      <w:tr w:rsidR="005E610F" w:rsidRPr="005E610F" w:rsidTr="00C6798B">
        <w:trPr>
          <w:trHeight w:val="240"/>
        </w:trPr>
        <w:tc>
          <w:tcPr>
            <w:tcW w:w="852" w:type="dxa"/>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D424AA" w:rsidRPr="005E610F" w:rsidRDefault="00D424AA" w:rsidP="000C5898">
            <w:pPr>
              <w:spacing w:after="0" w:line="240" w:lineRule="auto"/>
              <w:rPr>
                <w:rFonts w:ascii="Times New Roman" w:eastAsia="Times New Roman" w:hAnsi="Times New Roman"/>
                <w:noProof w:val="0"/>
                <w:color w:val="FFFFFF"/>
                <w:sz w:val="16"/>
                <w:szCs w:val="16"/>
                <w:lang w:val="pt-BR" w:eastAsia="pt-BR"/>
              </w:rPr>
            </w:pPr>
            <w:r w:rsidRPr="005E610F">
              <w:rPr>
                <w:rFonts w:ascii="Times New Roman" w:eastAsia="Times New Roman" w:hAnsi="Times New Roman"/>
                <w:noProof w:val="0"/>
                <w:color w:val="FFFFFF"/>
                <w:sz w:val="16"/>
                <w:szCs w:val="16"/>
                <w:lang w:val="pt-BR" w:eastAsia="pt-BR"/>
              </w:rPr>
              <w:lastRenderedPageBreak/>
              <w:t>CLUSTE</w:t>
            </w:r>
            <w:r w:rsidR="005E610F" w:rsidRPr="005E610F">
              <w:rPr>
                <w:rFonts w:ascii="Times New Roman" w:eastAsia="Times New Roman" w:hAnsi="Times New Roman"/>
                <w:noProof w:val="0"/>
                <w:color w:val="FFFFFF"/>
                <w:sz w:val="16"/>
                <w:szCs w:val="16"/>
                <w:lang w:val="pt-BR" w:eastAsia="pt-BR"/>
              </w:rPr>
              <w:t>R</w:t>
            </w:r>
          </w:p>
        </w:tc>
        <w:tc>
          <w:tcPr>
            <w:tcW w:w="1625" w:type="dxa"/>
            <w:tcBorders>
              <w:top w:val="single" w:sz="4" w:space="0" w:color="auto"/>
              <w:left w:val="nil"/>
              <w:bottom w:val="single" w:sz="4" w:space="0" w:color="auto"/>
              <w:right w:val="single" w:sz="4" w:space="0" w:color="auto"/>
            </w:tcBorders>
            <w:shd w:val="clear" w:color="000000" w:fill="376091"/>
            <w:noWrap/>
            <w:vAlign w:val="center"/>
            <w:hideMark/>
          </w:tcPr>
          <w:p w:rsidR="00D424AA" w:rsidRPr="005E610F" w:rsidRDefault="00D424AA" w:rsidP="000C5898">
            <w:pPr>
              <w:spacing w:after="0" w:line="240" w:lineRule="auto"/>
              <w:rPr>
                <w:rFonts w:ascii="Times New Roman" w:eastAsia="Times New Roman" w:hAnsi="Times New Roman"/>
                <w:noProof w:val="0"/>
                <w:color w:val="FFFFFF"/>
                <w:sz w:val="16"/>
                <w:szCs w:val="16"/>
                <w:lang w:val="pt-BR" w:eastAsia="pt-BR"/>
              </w:rPr>
            </w:pPr>
            <w:r w:rsidRPr="005E610F">
              <w:rPr>
                <w:rFonts w:ascii="Times New Roman" w:eastAsia="Times New Roman" w:hAnsi="Times New Roman"/>
                <w:noProof w:val="0"/>
                <w:color w:val="FFFFFF"/>
                <w:sz w:val="16"/>
                <w:szCs w:val="16"/>
                <w:lang w:val="pt-BR" w:eastAsia="pt-BR"/>
              </w:rPr>
              <w:t>NUMERO_CLUSTER</w:t>
            </w:r>
          </w:p>
        </w:tc>
        <w:tc>
          <w:tcPr>
            <w:tcW w:w="1775" w:type="dxa"/>
            <w:tcBorders>
              <w:top w:val="single" w:sz="4" w:space="0" w:color="auto"/>
              <w:left w:val="nil"/>
              <w:bottom w:val="single" w:sz="4" w:space="0" w:color="auto"/>
              <w:right w:val="single" w:sz="4" w:space="0" w:color="auto"/>
            </w:tcBorders>
            <w:shd w:val="clear" w:color="000000" w:fill="376091"/>
            <w:noWrap/>
            <w:vAlign w:val="center"/>
            <w:hideMark/>
          </w:tcPr>
          <w:p w:rsidR="00D424AA" w:rsidRPr="005E610F" w:rsidRDefault="00D424AA" w:rsidP="000C5898">
            <w:pPr>
              <w:spacing w:after="0" w:line="240" w:lineRule="auto"/>
              <w:rPr>
                <w:rFonts w:ascii="Times New Roman" w:eastAsia="Times New Roman" w:hAnsi="Times New Roman"/>
                <w:noProof w:val="0"/>
                <w:color w:val="FFFFFF"/>
                <w:sz w:val="16"/>
                <w:szCs w:val="16"/>
                <w:lang w:val="pt-BR" w:eastAsia="pt-BR"/>
              </w:rPr>
            </w:pPr>
            <w:r w:rsidRPr="005E610F">
              <w:rPr>
                <w:rFonts w:ascii="Times New Roman" w:eastAsia="Times New Roman" w:hAnsi="Times New Roman"/>
                <w:noProof w:val="0"/>
                <w:color w:val="FFFFFF"/>
                <w:sz w:val="16"/>
                <w:szCs w:val="16"/>
                <w:lang w:val="pt-BR" w:eastAsia="pt-BR"/>
              </w:rPr>
              <w:t>NOME_CLUSTER</w:t>
            </w:r>
          </w:p>
        </w:tc>
        <w:tc>
          <w:tcPr>
            <w:tcW w:w="4036" w:type="dxa"/>
            <w:tcBorders>
              <w:top w:val="single" w:sz="4" w:space="0" w:color="auto"/>
              <w:left w:val="nil"/>
              <w:bottom w:val="single" w:sz="4" w:space="0" w:color="auto"/>
              <w:right w:val="single" w:sz="4" w:space="0" w:color="auto"/>
            </w:tcBorders>
            <w:shd w:val="clear" w:color="000000" w:fill="376091"/>
            <w:noWrap/>
            <w:vAlign w:val="center"/>
            <w:hideMark/>
          </w:tcPr>
          <w:p w:rsidR="00D424AA" w:rsidRPr="005E610F" w:rsidRDefault="00D424AA" w:rsidP="000C5898">
            <w:pPr>
              <w:spacing w:after="0" w:line="240" w:lineRule="auto"/>
              <w:rPr>
                <w:rFonts w:ascii="Times New Roman" w:eastAsia="Times New Roman" w:hAnsi="Times New Roman"/>
                <w:noProof w:val="0"/>
                <w:color w:val="FFFFFF"/>
                <w:sz w:val="16"/>
                <w:szCs w:val="16"/>
                <w:lang w:val="pt-BR" w:eastAsia="pt-BR"/>
              </w:rPr>
            </w:pPr>
            <w:r w:rsidRPr="005E610F">
              <w:rPr>
                <w:rFonts w:ascii="Times New Roman" w:eastAsia="Times New Roman" w:hAnsi="Times New Roman"/>
                <w:noProof w:val="0"/>
                <w:color w:val="FFFFFF"/>
                <w:sz w:val="16"/>
                <w:szCs w:val="16"/>
                <w:lang w:val="pt-BR" w:eastAsia="pt-BR"/>
              </w:rPr>
              <w:t>CRITÉRIO_AGRUPAMENTO</w:t>
            </w:r>
          </w:p>
        </w:tc>
      </w:tr>
      <w:tr w:rsidR="005E610F" w:rsidRPr="005E610F" w:rsidTr="00C6798B">
        <w:trPr>
          <w:trHeight w:val="24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D424AA" w:rsidRPr="005E610F" w:rsidRDefault="00D424AA" w:rsidP="000C5898">
            <w:pPr>
              <w:spacing w:after="0" w:line="240" w:lineRule="auto"/>
              <w:jc w:val="center"/>
              <w:rPr>
                <w:rFonts w:ascii="Times New Roman" w:eastAsia="Times New Roman" w:hAnsi="Times New Roman"/>
                <w:noProof w:val="0"/>
                <w:color w:val="000000"/>
                <w:sz w:val="16"/>
                <w:szCs w:val="16"/>
                <w:lang w:val="pt-BR" w:eastAsia="pt-BR"/>
              </w:rPr>
            </w:pPr>
            <w:proofErr w:type="gramStart"/>
            <w:r w:rsidRPr="005E610F">
              <w:rPr>
                <w:rFonts w:ascii="Times New Roman" w:eastAsia="Times New Roman" w:hAnsi="Times New Roman"/>
                <w:noProof w:val="0"/>
                <w:color w:val="000000"/>
                <w:sz w:val="16"/>
                <w:szCs w:val="16"/>
                <w:lang w:val="pt-BR" w:eastAsia="pt-BR"/>
              </w:rPr>
              <w:t>1</w:t>
            </w:r>
            <w:proofErr w:type="gramEnd"/>
          </w:p>
        </w:tc>
        <w:tc>
          <w:tcPr>
            <w:tcW w:w="1625" w:type="dxa"/>
            <w:tcBorders>
              <w:top w:val="nil"/>
              <w:left w:val="nil"/>
              <w:bottom w:val="single" w:sz="4" w:space="0" w:color="auto"/>
              <w:right w:val="single" w:sz="4" w:space="0" w:color="auto"/>
            </w:tcBorders>
            <w:shd w:val="clear" w:color="auto" w:fill="auto"/>
            <w:noWrap/>
            <w:vAlign w:val="center"/>
            <w:hideMark/>
          </w:tcPr>
          <w:p w:rsidR="00D424AA" w:rsidRPr="005E610F" w:rsidRDefault="00D424AA" w:rsidP="000C5898">
            <w:pPr>
              <w:spacing w:after="0" w:line="240" w:lineRule="auto"/>
              <w:jc w:val="center"/>
              <w:rPr>
                <w:rFonts w:ascii="Times New Roman" w:eastAsia="Times New Roman" w:hAnsi="Times New Roman"/>
                <w:noProof w:val="0"/>
                <w:color w:val="000000"/>
                <w:sz w:val="16"/>
                <w:szCs w:val="16"/>
                <w:lang w:val="pt-BR" w:eastAsia="pt-BR"/>
              </w:rPr>
            </w:pPr>
            <w:r w:rsidRPr="005E610F">
              <w:rPr>
                <w:rFonts w:ascii="Times New Roman" w:eastAsia="Times New Roman" w:hAnsi="Times New Roman"/>
                <w:noProof w:val="0"/>
                <w:color w:val="000000"/>
                <w:sz w:val="16"/>
                <w:szCs w:val="16"/>
                <w:lang w:val="pt-BR" w:eastAsia="pt-BR"/>
              </w:rPr>
              <w:t>1.6120501.1</w:t>
            </w:r>
          </w:p>
        </w:tc>
        <w:tc>
          <w:tcPr>
            <w:tcW w:w="1775" w:type="dxa"/>
            <w:tcBorders>
              <w:top w:val="nil"/>
              <w:left w:val="nil"/>
              <w:bottom w:val="single" w:sz="4" w:space="0" w:color="auto"/>
              <w:right w:val="single" w:sz="4" w:space="0" w:color="auto"/>
            </w:tcBorders>
            <w:shd w:val="clear" w:color="auto" w:fill="auto"/>
            <w:noWrap/>
            <w:vAlign w:val="center"/>
            <w:hideMark/>
          </w:tcPr>
          <w:p w:rsidR="00D424AA" w:rsidRPr="005E610F" w:rsidRDefault="00D424AA" w:rsidP="000C5898">
            <w:pPr>
              <w:spacing w:after="0" w:line="240" w:lineRule="auto"/>
              <w:rPr>
                <w:rFonts w:ascii="Times New Roman" w:eastAsia="Times New Roman" w:hAnsi="Times New Roman"/>
                <w:noProof w:val="0"/>
                <w:color w:val="000000"/>
                <w:sz w:val="16"/>
                <w:szCs w:val="16"/>
                <w:lang w:val="pt-BR" w:eastAsia="pt-BR"/>
              </w:rPr>
            </w:pPr>
            <w:r w:rsidRPr="005E610F">
              <w:rPr>
                <w:rFonts w:ascii="Times New Roman" w:eastAsia="Times New Roman" w:hAnsi="Times New Roman"/>
                <w:noProof w:val="0"/>
                <w:color w:val="000000"/>
                <w:sz w:val="16"/>
                <w:szCs w:val="16"/>
                <w:lang w:val="pt-BR" w:eastAsia="pt-BR"/>
              </w:rPr>
              <w:t xml:space="preserve">TELEFONIA MÓVEL </w:t>
            </w:r>
            <w:proofErr w:type="gramStart"/>
            <w:r w:rsidRPr="005E610F">
              <w:rPr>
                <w:rFonts w:ascii="Times New Roman" w:eastAsia="Times New Roman" w:hAnsi="Times New Roman"/>
                <w:noProof w:val="0"/>
                <w:color w:val="000000"/>
                <w:sz w:val="16"/>
                <w:szCs w:val="16"/>
                <w:lang w:val="pt-BR" w:eastAsia="pt-BR"/>
              </w:rPr>
              <w:t>1</w:t>
            </w:r>
            <w:proofErr w:type="gramEnd"/>
          </w:p>
        </w:tc>
        <w:tc>
          <w:tcPr>
            <w:tcW w:w="4036" w:type="dxa"/>
            <w:tcBorders>
              <w:top w:val="nil"/>
              <w:left w:val="nil"/>
              <w:bottom w:val="single" w:sz="4" w:space="0" w:color="auto"/>
              <w:right w:val="single" w:sz="4" w:space="0" w:color="auto"/>
            </w:tcBorders>
            <w:shd w:val="clear" w:color="auto" w:fill="auto"/>
            <w:noWrap/>
            <w:vAlign w:val="center"/>
            <w:hideMark/>
          </w:tcPr>
          <w:p w:rsidR="00D424AA" w:rsidRPr="005E610F" w:rsidRDefault="00D424AA" w:rsidP="000C5898">
            <w:pPr>
              <w:spacing w:after="0" w:line="240" w:lineRule="auto"/>
              <w:rPr>
                <w:rFonts w:ascii="Times New Roman" w:eastAsia="Times New Roman" w:hAnsi="Times New Roman"/>
                <w:noProof w:val="0"/>
                <w:color w:val="000000"/>
                <w:sz w:val="16"/>
                <w:szCs w:val="16"/>
                <w:lang w:val="pt-BR" w:eastAsia="pt-BR"/>
              </w:rPr>
            </w:pPr>
            <w:r w:rsidRPr="005E610F">
              <w:rPr>
                <w:rFonts w:ascii="Times New Roman" w:eastAsia="Times New Roman" w:hAnsi="Times New Roman"/>
                <w:noProof w:val="0"/>
                <w:color w:val="000000"/>
                <w:sz w:val="16"/>
                <w:szCs w:val="16"/>
                <w:lang w:val="pt-BR" w:eastAsia="pt-BR"/>
              </w:rPr>
              <w:t xml:space="preserve">FATURAMENTO ATÉ R$ </w:t>
            </w:r>
            <w:proofErr w:type="gramStart"/>
            <w:r w:rsidRPr="005E610F">
              <w:rPr>
                <w:rFonts w:ascii="Times New Roman" w:eastAsia="Times New Roman" w:hAnsi="Times New Roman"/>
                <w:noProof w:val="0"/>
                <w:color w:val="000000"/>
                <w:sz w:val="16"/>
                <w:szCs w:val="16"/>
                <w:lang w:val="pt-BR" w:eastAsia="pt-BR"/>
              </w:rPr>
              <w:t>100MM</w:t>
            </w:r>
            <w:proofErr w:type="gramEnd"/>
          </w:p>
        </w:tc>
      </w:tr>
      <w:tr w:rsidR="005E610F" w:rsidRPr="005E610F" w:rsidTr="00C6798B">
        <w:trPr>
          <w:trHeight w:val="24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D424AA" w:rsidRPr="005E610F" w:rsidRDefault="00D424AA" w:rsidP="000C5898">
            <w:pPr>
              <w:spacing w:after="0" w:line="240" w:lineRule="auto"/>
              <w:jc w:val="center"/>
              <w:rPr>
                <w:rFonts w:ascii="Times New Roman" w:eastAsia="Times New Roman" w:hAnsi="Times New Roman"/>
                <w:noProof w:val="0"/>
                <w:color w:val="000000"/>
                <w:sz w:val="16"/>
                <w:szCs w:val="16"/>
                <w:lang w:val="pt-BR" w:eastAsia="pt-BR"/>
              </w:rPr>
            </w:pPr>
            <w:proofErr w:type="gramStart"/>
            <w:r w:rsidRPr="005E610F">
              <w:rPr>
                <w:rFonts w:ascii="Times New Roman" w:eastAsia="Times New Roman" w:hAnsi="Times New Roman"/>
                <w:noProof w:val="0"/>
                <w:color w:val="000000"/>
                <w:sz w:val="16"/>
                <w:szCs w:val="16"/>
                <w:lang w:val="pt-BR" w:eastAsia="pt-BR"/>
              </w:rPr>
              <w:t>2</w:t>
            </w:r>
            <w:proofErr w:type="gramEnd"/>
          </w:p>
        </w:tc>
        <w:tc>
          <w:tcPr>
            <w:tcW w:w="1625" w:type="dxa"/>
            <w:tcBorders>
              <w:top w:val="nil"/>
              <w:left w:val="nil"/>
              <w:bottom w:val="single" w:sz="4" w:space="0" w:color="auto"/>
              <w:right w:val="single" w:sz="4" w:space="0" w:color="auto"/>
            </w:tcBorders>
            <w:shd w:val="clear" w:color="auto" w:fill="auto"/>
            <w:noWrap/>
            <w:vAlign w:val="center"/>
            <w:hideMark/>
          </w:tcPr>
          <w:p w:rsidR="00D424AA" w:rsidRPr="005E610F" w:rsidRDefault="00D424AA" w:rsidP="000C5898">
            <w:pPr>
              <w:spacing w:after="0" w:line="240" w:lineRule="auto"/>
              <w:jc w:val="center"/>
              <w:rPr>
                <w:rFonts w:ascii="Times New Roman" w:eastAsia="Times New Roman" w:hAnsi="Times New Roman"/>
                <w:noProof w:val="0"/>
                <w:color w:val="000000"/>
                <w:sz w:val="16"/>
                <w:szCs w:val="16"/>
                <w:lang w:val="pt-BR" w:eastAsia="pt-BR"/>
              </w:rPr>
            </w:pPr>
            <w:r w:rsidRPr="005E610F">
              <w:rPr>
                <w:rFonts w:ascii="Times New Roman" w:eastAsia="Times New Roman" w:hAnsi="Times New Roman"/>
                <w:noProof w:val="0"/>
                <w:color w:val="000000"/>
                <w:sz w:val="16"/>
                <w:szCs w:val="16"/>
                <w:lang w:val="pt-BR" w:eastAsia="pt-BR"/>
              </w:rPr>
              <w:t>1.6120501.2</w:t>
            </w:r>
          </w:p>
        </w:tc>
        <w:tc>
          <w:tcPr>
            <w:tcW w:w="1775" w:type="dxa"/>
            <w:tcBorders>
              <w:top w:val="nil"/>
              <w:left w:val="nil"/>
              <w:bottom w:val="single" w:sz="4" w:space="0" w:color="auto"/>
              <w:right w:val="single" w:sz="4" w:space="0" w:color="auto"/>
            </w:tcBorders>
            <w:shd w:val="clear" w:color="auto" w:fill="auto"/>
            <w:noWrap/>
            <w:vAlign w:val="center"/>
            <w:hideMark/>
          </w:tcPr>
          <w:p w:rsidR="00D424AA" w:rsidRPr="005E610F" w:rsidRDefault="00D424AA" w:rsidP="000C5898">
            <w:pPr>
              <w:spacing w:after="0" w:line="240" w:lineRule="auto"/>
              <w:rPr>
                <w:rFonts w:ascii="Times New Roman" w:eastAsia="Times New Roman" w:hAnsi="Times New Roman"/>
                <w:noProof w:val="0"/>
                <w:color w:val="000000"/>
                <w:sz w:val="16"/>
                <w:szCs w:val="16"/>
                <w:lang w:val="pt-BR" w:eastAsia="pt-BR"/>
              </w:rPr>
            </w:pPr>
            <w:r w:rsidRPr="005E610F">
              <w:rPr>
                <w:rFonts w:ascii="Times New Roman" w:eastAsia="Times New Roman" w:hAnsi="Times New Roman"/>
                <w:noProof w:val="0"/>
                <w:color w:val="000000"/>
                <w:sz w:val="16"/>
                <w:szCs w:val="16"/>
                <w:lang w:val="pt-BR" w:eastAsia="pt-BR"/>
              </w:rPr>
              <w:t xml:space="preserve">TELEFONIA MÓVEL </w:t>
            </w:r>
            <w:proofErr w:type="gramStart"/>
            <w:r w:rsidRPr="005E610F">
              <w:rPr>
                <w:rFonts w:ascii="Times New Roman" w:eastAsia="Times New Roman" w:hAnsi="Times New Roman"/>
                <w:noProof w:val="0"/>
                <w:color w:val="000000"/>
                <w:sz w:val="16"/>
                <w:szCs w:val="16"/>
                <w:lang w:val="pt-BR" w:eastAsia="pt-BR"/>
              </w:rPr>
              <w:t>2</w:t>
            </w:r>
            <w:proofErr w:type="gramEnd"/>
          </w:p>
        </w:tc>
        <w:tc>
          <w:tcPr>
            <w:tcW w:w="4036" w:type="dxa"/>
            <w:tcBorders>
              <w:top w:val="nil"/>
              <w:left w:val="nil"/>
              <w:bottom w:val="single" w:sz="4" w:space="0" w:color="auto"/>
              <w:right w:val="single" w:sz="4" w:space="0" w:color="auto"/>
            </w:tcBorders>
            <w:shd w:val="clear" w:color="auto" w:fill="auto"/>
            <w:noWrap/>
            <w:vAlign w:val="center"/>
            <w:hideMark/>
          </w:tcPr>
          <w:p w:rsidR="00D424AA" w:rsidRPr="005E610F" w:rsidRDefault="00D424AA" w:rsidP="000C5898">
            <w:pPr>
              <w:spacing w:after="0" w:line="240" w:lineRule="auto"/>
              <w:rPr>
                <w:rFonts w:ascii="Times New Roman" w:eastAsia="Times New Roman" w:hAnsi="Times New Roman"/>
                <w:noProof w:val="0"/>
                <w:color w:val="000000"/>
                <w:sz w:val="16"/>
                <w:szCs w:val="16"/>
                <w:lang w:val="pt-BR" w:eastAsia="pt-BR"/>
              </w:rPr>
            </w:pPr>
            <w:r w:rsidRPr="005E610F">
              <w:rPr>
                <w:rFonts w:ascii="Times New Roman" w:eastAsia="Times New Roman" w:hAnsi="Times New Roman"/>
                <w:noProof w:val="0"/>
                <w:color w:val="000000"/>
                <w:sz w:val="16"/>
                <w:szCs w:val="16"/>
                <w:lang w:val="pt-BR" w:eastAsia="pt-BR"/>
              </w:rPr>
              <w:t>FATURAMENTO ENTRE R$</w:t>
            </w:r>
            <w:proofErr w:type="gramStart"/>
            <w:r w:rsidRPr="005E610F">
              <w:rPr>
                <w:rFonts w:ascii="Times New Roman" w:eastAsia="Times New Roman" w:hAnsi="Times New Roman"/>
                <w:noProof w:val="0"/>
                <w:color w:val="000000"/>
                <w:sz w:val="16"/>
                <w:szCs w:val="16"/>
                <w:lang w:val="pt-BR" w:eastAsia="pt-BR"/>
              </w:rPr>
              <w:t>100MM</w:t>
            </w:r>
            <w:proofErr w:type="gramEnd"/>
            <w:r w:rsidRPr="005E610F">
              <w:rPr>
                <w:rFonts w:ascii="Times New Roman" w:eastAsia="Times New Roman" w:hAnsi="Times New Roman"/>
                <w:noProof w:val="0"/>
                <w:color w:val="000000"/>
                <w:sz w:val="16"/>
                <w:szCs w:val="16"/>
                <w:lang w:val="pt-BR" w:eastAsia="pt-BR"/>
              </w:rPr>
              <w:t xml:space="preserve"> E R$ 200MM</w:t>
            </w:r>
          </w:p>
        </w:tc>
      </w:tr>
      <w:tr w:rsidR="005E610F" w:rsidRPr="005E610F" w:rsidTr="00C6798B">
        <w:trPr>
          <w:trHeight w:val="24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D424AA" w:rsidRPr="005E610F" w:rsidRDefault="00D424AA" w:rsidP="000C5898">
            <w:pPr>
              <w:spacing w:after="0" w:line="240" w:lineRule="auto"/>
              <w:jc w:val="center"/>
              <w:rPr>
                <w:rFonts w:ascii="Times New Roman" w:eastAsia="Times New Roman" w:hAnsi="Times New Roman"/>
                <w:noProof w:val="0"/>
                <w:color w:val="000000"/>
                <w:sz w:val="16"/>
                <w:szCs w:val="16"/>
                <w:lang w:val="pt-BR" w:eastAsia="pt-BR"/>
              </w:rPr>
            </w:pPr>
            <w:proofErr w:type="gramStart"/>
            <w:r w:rsidRPr="005E610F">
              <w:rPr>
                <w:rFonts w:ascii="Times New Roman" w:eastAsia="Times New Roman" w:hAnsi="Times New Roman"/>
                <w:noProof w:val="0"/>
                <w:color w:val="000000"/>
                <w:sz w:val="16"/>
                <w:szCs w:val="16"/>
                <w:lang w:val="pt-BR" w:eastAsia="pt-BR"/>
              </w:rPr>
              <w:t>3</w:t>
            </w:r>
            <w:proofErr w:type="gramEnd"/>
          </w:p>
        </w:tc>
        <w:tc>
          <w:tcPr>
            <w:tcW w:w="1625" w:type="dxa"/>
            <w:tcBorders>
              <w:top w:val="nil"/>
              <w:left w:val="nil"/>
              <w:bottom w:val="single" w:sz="4" w:space="0" w:color="auto"/>
              <w:right w:val="single" w:sz="4" w:space="0" w:color="auto"/>
            </w:tcBorders>
            <w:shd w:val="clear" w:color="auto" w:fill="auto"/>
            <w:noWrap/>
            <w:vAlign w:val="center"/>
            <w:hideMark/>
          </w:tcPr>
          <w:p w:rsidR="00D424AA" w:rsidRPr="005E610F" w:rsidRDefault="00D424AA" w:rsidP="000C5898">
            <w:pPr>
              <w:spacing w:after="0" w:line="240" w:lineRule="auto"/>
              <w:jc w:val="center"/>
              <w:rPr>
                <w:rFonts w:ascii="Times New Roman" w:eastAsia="Times New Roman" w:hAnsi="Times New Roman"/>
                <w:noProof w:val="0"/>
                <w:color w:val="000000"/>
                <w:sz w:val="16"/>
                <w:szCs w:val="16"/>
                <w:lang w:val="pt-BR" w:eastAsia="pt-BR"/>
              </w:rPr>
            </w:pPr>
            <w:r w:rsidRPr="005E610F">
              <w:rPr>
                <w:rFonts w:ascii="Times New Roman" w:eastAsia="Times New Roman" w:hAnsi="Times New Roman"/>
                <w:noProof w:val="0"/>
                <w:color w:val="000000"/>
                <w:sz w:val="16"/>
                <w:szCs w:val="16"/>
                <w:lang w:val="pt-BR" w:eastAsia="pt-BR"/>
              </w:rPr>
              <w:t>1.6120501.3</w:t>
            </w:r>
          </w:p>
        </w:tc>
        <w:tc>
          <w:tcPr>
            <w:tcW w:w="1775" w:type="dxa"/>
            <w:tcBorders>
              <w:top w:val="nil"/>
              <w:left w:val="nil"/>
              <w:bottom w:val="single" w:sz="4" w:space="0" w:color="auto"/>
              <w:right w:val="single" w:sz="4" w:space="0" w:color="auto"/>
            </w:tcBorders>
            <w:shd w:val="clear" w:color="auto" w:fill="auto"/>
            <w:noWrap/>
            <w:vAlign w:val="center"/>
            <w:hideMark/>
          </w:tcPr>
          <w:p w:rsidR="00D424AA" w:rsidRPr="005E610F" w:rsidRDefault="00D424AA" w:rsidP="000C5898">
            <w:pPr>
              <w:spacing w:after="0" w:line="240" w:lineRule="auto"/>
              <w:rPr>
                <w:rFonts w:ascii="Times New Roman" w:eastAsia="Times New Roman" w:hAnsi="Times New Roman"/>
                <w:noProof w:val="0"/>
                <w:color w:val="000000"/>
                <w:sz w:val="16"/>
                <w:szCs w:val="16"/>
                <w:lang w:val="pt-BR" w:eastAsia="pt-BR"/>
              </w:rPr>
            </w:pPr>
            <w:r w:rsidRPr="005E610F">
              <w:rPr>
                <w:rFonts w:ascii="Times New Roman" w:eastAsia="Times New Roman" w:hAnsi="Times New Roman"/>
                <w:noProof w:val="0"/>
                <w:color w:val="000000"/>
                <w:sz w:val="16"/>
                <w:szCs w:val="16"/>
                <w:lang w:val="pt-BR" w:eastAsia="pt-BR"/>
              </w:rPr>
              <w:t xml:space="preserve">TELEFONIA MÓVEL </w:t>
            </w:r>
            <w:proofErr w:type="gramStart"/>
            <w:r w:rsidRPr="005E610F">
              <w:rPr>
                <w:rFonts w:ascii="Times New Roman" w:eastAsia="Times New Roman" w:hAnsi="Times New Roman"/>
                <w:noProof w:val="0"/>
                <w:color w:val="000000"/>
                <w:sz w:val="16"/>
                <w:szCs w:val="16"/>
                <w:lang w:val="pt-BR" w:eastAsia="pt-BR"/>
              </w:rPr>
              <w:t>3</w:t>
            </w:r>
            <w:proofErr w:type="gramEnd"/>
          </w:p>
        </w:tc>
        <w:tc>
          <w:tcPr>
            <w:tcW w:w="4036" w:type="dxa"/>
            <w:tcBorders>
              <w:top w:val="nil"/>
              <w:left w:val="nil"/>
              <w:bottom w:val="single" w:sz="4" w:space="0" w:color="auto"/>
              <w:right w:val="single" w:sz="4" w:space="0" w:color="auto"/>
            </w:tcBorders>
            <w:shd w:val="clear" w:color="auto" w:fill="auto"/>
            <w:noWrap/>
            <w:vAlign w:val="center"/>
            <w:hideMark/>
          </w:tcPr>
          <w:p w:rsidR="00D424AA" w:rsidRPr="005E610F" w:rsidRDefault="00D424AA" w:rsidP="000C5898">
            <w:pPr>
              <w:spacing w:after="0" w:line="240" w:lineRule="auto"/>
              <w:rPr>
                <w:rFonts w:ascii="Times New Roman" w:eastAsia="Times New Roman" w:hAnsi="Times New Roman"/>
                <w:noProof w:val="0"/>
                <w:color w:val="000000"/>
                <w:sz w:val="16"/>
                <w:szCs w:val="16"/>
                <w:lang w:val="pt-BR" w:eastAsia="pt-BR"/>
              </w:rPr>
            </w:pPr>
            <w:r w:rsidRPr="005E610F">
              <w:rPr>
                <w:rFonts w:ascii="Times New Roman" w:eastAsia="Times New Roman" w:hAnsi="Times New Roman"/>
                <w:noProof w:val="0"/>
                <w:color w:val="000000"/>
                <w:sz w:val="16"/>
                <w:szCs w:val="16"/>
                <w:lang w:val="pt-BR" w:eastAsia="pt-BR"/>
              </w:rPr>
              <w:t>FATURAMENTO ENTRE R$</w:t>
            </w:r>
            <w:proofErr w:type="gramStart"/>
            <w:r w:rsidRPr="005E610F">
              <w:rPr>
                <w:rFonts w:ascii="Times New Roman" w:eastAsia="Times New Roman" w:hAnsi="Times New Roman"/>
                <w:noProof w:val="0"/>
                <w:color w:val="000000"/>
                <w:sz w:val="16"/>
                <w:szCs w:val="16"/>
                <w:lang w:val="pt-BR" w:eastAsia="pt-BR"/>
              </w:rPr>
              <w:t>300MM</w:t>
            </w:r>
            <w:proofErr w:type="gramEnd"/>
            <w:r w:rsidRPr="005E610F">
              <w:rPr>
                <w:rFonts w:ascii="Times New Roman" w:eastAsia="Times New Roman" w:hAnsi="Times New Roman"/>
                <w:noProof w:val="0"/>
                <w:color w:val="000000"/>
                <w:sz w:val="16"/>
                <w:szCs w:val="16"/>
                <w:lang w:val="pt-BR" w:eastAsia="pt-BR"/>
              </w:rPr>
              <w:t xml:space="preserve"> E R$ 400MM</w:t>
            </w:r>
          </w:p>
        </w:tc>
      </w:tr>
      <w:tr w:rsidR="005E610F" w:rsidRPr="005E610F" w:rsidTr="00C6798B">
        <w:trPr>
          <w:trHeight w:val="24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D424AA" w:rsidRPr="005E610F" w:rsidRDefault="00D424AA" w:rsidP="000C5898">
            <w:pPr>
              <w:spacing w:after="0" w:line="240" w:lineRule="auto"/>
              <w:jc w:val="center"/>
              <w:rPr>
                <w:rFonts w:ascii="Times New Roman" w:eastAsia="Times New Roman" w:hAnsi="Times New Roman"/>
                <w:noProof w:val="0"/>
                <w:color w:val="000000"/>
                <w:sz w:val="16"/>
                <w:szCs w:val="16"/>
                <w:lang w:val="pt-BR" w:eastAsia="pt-BR"/>
              </w:rPr>
            </w:pPr>
            <w:proofErr w:type="gramStart"/>
            <w:r w:rsidRPr="005E610F">
              <w:rPr>
                <w:rFonts w:ascii="Times New Roman" w:eastAsia="Times New Roman" w:hAnsi="Times New Roman"/>
                <w:noProof w:val="0"/>
                <w:color w:val="000000"/>
                <w:sz w:val="16"/>
                <w:szCs w:val="16"/>
                <w:lang w:val="pt-BR" w:eastAsia="pt-BR"/>
              </w:rPr>
              <w:t>4</w:t>
            </w:r>
            <w:proofErr w:type="gramEnd"/>
          </w:p>
        </w:tc>
        <w:tc>
          <w:tcPr>
            <w:tcW w:w="1625" w:type="dxa"/>
            <w:tcBorders>
              <w:top w:val="nil"/>
              <w:left w:val="nil"/>
              <w:bottom w:val="single" w:sz="4" w:space="0" w:color="auto"/>
              <w:right w:val="single" w:sz="4" w:space="0" w:color="auto"/>
            </w:tcBorders>
            <w:shd w:val="clear" w:color="auto" w:fill="auto"/>
            <w:noWrap/>
            <w:vAlign w:val="center"/>
            <w:hideMark/>
          </w:tcPr>
          <w:p w:rsidR="00D424AA" w:rsidRPr="005E610F" w:rsidRDefault="00D424AA" w:rsidP="000C5898">
            <w:pPr>
              <w:spacing w:after="0" w:line="240" w:lineRule="auto"/>
              <w:jc w:val="center"/>
              <w:rPr>
                <w:rFonts w:ascii="Times New Roman" w:eastAsia="Times New Roman" w:hAnsi="Times New Roman"/>
                <w:noProof w:val="0"/>
                <w:color w:val="000000"/>
                <w:sz w:val="16"/>
                <w:szCs w:val="16"/>
                <w:lang w:val="pt-BR" w:eastAsia="pt-BR"/>
              </w:rPr>
            </w:pPr>
            <w:r w:rsidRPr="005E610F">
              <w:rPr>
                <w:rFonts w:ascii="Times New Roman" w:eastAsia="Times New Roman" w:hAnsi="Times New Roman"/>
                <w:noProof w:val="0"/>
                <w:color w:val="000000"/>
                <w:sz w:val="16"/>
                <w:szCs w:val="16"/>
                <w:lang w:val="pt-BR" w:eastAsia="pt-BR"/>
              </w:rPr>
              <w:t>1.6120501.4</w:t>
            </w:r>
          </w:p>
        </w:tc>
        <w:tc>
          <w:tcPr>
            <w:tcW w:w="1775" w:type="dxa"/>
            <w:tcBorders>
              <w:top w:val="nil"/>
              <w:left w:val="nil"/>
              <w:bottom w:val="single" w:sz="4" w:space="0" w:color="auto"/>
              <w:right w:val="single" w:sz="4" w:space="0" w:color="auto"/>
            </w:tcBorders>
            <w:shd w:val="clear" w:color="auto" w:fill="auto"/>
            <w:noWrap/>
            <w:vAlign w:val="center"/>
            <w:hideMark/>
          </w:tcPr>
          <w:p w:rsidR="00D424AA" w:rsidRPr="005E610F" w:rsidRDefault="00D424AA" w:rsidP="000C5898">
            <w:pPr>
              <w:spacing w:after="0" w:line="240" w:lineRule="auto"/>
              <w:rPr>
                <w:rFonts w:ascii="Times New Roman" w:eastAsia="Times New Roman" w:hAnsi="Times New Roman"/>
                <w:noProof w:val="0"/>
                <w:color w:val="000000"/>
                <w:sz w:val="16"/>
                <w:szCs w:val="16"/>
                <w:lang w:val="pt-BR" w:eastAsia="pt-BR"/>
              </w:rPr>
            </w:pPr>
            <w:r w:rsidRPr="005E610F">
              <w:rPr>
                <w:rFonts w:ascii="Times New Roman" w:eastAsia="Times New Roman" w:hAnsi="Times New Roman"/>
                <w:noProof w:val="0"/>
                <w:color w:val="000000"/>
                <w:sz w:val="16"/>
                <w:szCs w:val="16"/>
                <w:lang w:val="pt-BR" w:eastAsia="pt-BR"/>
              </w:rPr>
              <w:t xml:space="preserve">TELEFONIA MÓVEL </w:t>
            </w:r>
            <w:proofErr w:type="gramStart"/>
            <w:r w:rsidRPr="005E610F">
              <w:rPr>
                <w:rFonts w:ascii="Times New Roman" w:eastAsia="Times New Roman" w:hAnsi="Times New Roman"/>
                <w:noProof w:val="0"/>
                <w:color w:val="000000"/>
                <w:sz w:val="16"/>
                <w:szCs w:val="16"/>
                <w:lang w:val="pt-BR" w:eastAsia="pt-BR"/>
              </w:rPr>
              <w:t>4</w:t>
            </w:r>
            <w:proofErr w:type="gramEnd"/>
          </w:p>
        </w:tc>
        <w:tc>
          <w:tcPr>
            <w:tcW w:w="4036" w:type="dxa"/>
            <w:tcBorders>
              <w:top w:val="nil"/>
              <w:left w:val="nil"/>
              <w:bottom w:val="single" w:sz="4" w:space="0" w:color="auto"/>
              <w:right w:val="single" w:sz="4" w:space="0" w:color="auto"/>
            </w:tcBorders>
            <w:shd w:val="clear" w:color="auto" w:fill="auto"/>
            <w:noWrap/>
            <w:vAlign w:val="center"/>
            <w:hideMark/>
          </w:tcPr>
          <w:p w:rsidR="00D424AA" w:rsidRPr="005E610F" w:rsidRDefault="00D424AA" w:rsidP="000C5898">
            <w:pPr>
              <w:spacing w:after="0" w:line="240" w:lineRule="auto"/>
              <w:rPr>
                <w:rFonts w:ascii="Times New Roman" w:eastAsia="Times New Roman" w:hAnsi="Times New Roman"/>
                <w:noProof w:val="0"/>
                <w:color w:val="000000"/>
                <w:sz w:val="16"/>
                <w:szCs w:val="16"/>
                <w:lang w:val="pt-BR" w:eastAsia="pt-BR"/>
              </w:rPr>
            </w:pPr>
            <w:r w:rsidRPr="005E610F">
              <w:rPr>
                <w:rFonts w:ascii="Times New Roman" w:eastAsia="Times New Roman" w:hAnsi="Times New Roman"/>
                <w:noProof w:val="0"/>
                <w:color w:val="000000"/>
                <w:sz w:val="16"/>
                <w:szCs w:val="16"/>
                <w:lang w:val="pt-BR" w:eastAsia="pt-BR"/>
              </w:rPr>
              <w:t>FATURAMENTO ENTRE DE R$</w:t>
            </w:r>
            <w:proofErr w:type="gramStart"/>
            <w:r w:rsidRPr="005E610F">
              <w:rPr>
                <w:rFonts w:ascii="Times New Roman" w:eastAsia="Times New Roman" w:hAnsi="Times New Roman"/>
                <w:noProof w:val="0"/>
                <w:color w:val="000000"/>
                <w:sz w:val="16"/>
                <w:szCs w:val="16"/>
                <w:lang w:val="pt-BR" w:eastAsia="pt-BR"/>
              </w:rPr>
              <w:t>400MM</w:t>
            </w:r>
            <w:proofErr w:type="gramEnd"/>
            <w:r w:rsidRPr="005E610F">
              <w:rPr>
                <w:rFonts w:ascii="Times New Roman" w:eastAsia="Times New Roman" w:hAnsi="Times New Roman"/>
                <w:noProof w:val="0"/>
                <w:color w:val="000000"/>
                <w:sz w:val="16"/>
                <w:szCs w:val="16"/>
                <w:lang w:val="pt-BR" w:eastAsia="pt-BR"/>
              </w:rPr>
              <w:t xml:space="preserve"> E R$ 600MM</w:t>
            </w:r>
          </w:p>
        </w:tc>
      </w:tr>
      <w:tr w:rsidR="005E610F" w:rsidRPr="005E610F" w:rsidTr="00C6798B">
        <w:trPr>
          <w:trHeight w:val="24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D424AA" w:rsidRPr="005E610F" w:rsidRDefault="00D424AA" w:rsidP="000C5898">
            <w:pPr>
              <w:spacing w:after="0" w:line="240" w:lineRule="auto"/>
              <w:jc w:val="center"/>
              <w:rPr>
                <w:rFonts w:ascii="Times New Roman" w:eastAsia="Times New Roman" w:hAnsi="Times New Roman"/>
                <w:noProof w:val="0"/>
                <w:color w:val="000000"/>
                <w:sz w:val="16"/>
                <w:szCs w:val="16"/>
                <w:lang w:val="pt-BR" w:eastAsia="pt-BR"/>
              </w:rPr>
            </w:pPr>
            <w:proofErr w:type="gramStart"/>
            <w:r w:rsidRPr="005E610F">
              <w:rPr>
                <w:rFonts w:ascii="Times New Roman" w:eastAsia="Times New Roman" w:hAnsi="Times New Roman"/>
                <w:noProof w:val="0"/>
                <w:color w:val="000000"/>
                <w:sz w:val="16"/>
                <w:szCs w:val="16"/>
                <w:lang w:val="pt-BR" w:eastAsia="pt-BR"/>
              </w:rPr>
              <w:t>5</w:t>
            </w:r>
            <w:proofErr w:type="gramEnd"/>
          </w:p>
        </w:tc>
        <w:tc>
          <w:tcPr>
            <w:tcW w:w="1625" w:type="dxa"/>
            <w:tcBorders>
              <w:top w:val="nil"/>
              <w:left w:val="nil"/>
              <w:bottom w:val="single" w:sz="4" w:space="0" w:color="auto"/>
              <w:right w:val="single" w:sz="4" w:space="0" w:color="auto"/>
            </w:tcBorders>
            <w:shd w:val="clear" w:color="auto" w:fill="auto"/>
            <w:noWrap/>
            <w:vAlign w:val="center"/>
            <w:hideMark/>
          </w:tcPr>
          <w:p w:rsidR="00D424AA" w:rsidRPr="005E610F" w:rsidRDefault="00D424AA" w:rsidP="000C5898">
            <w:pPr>
              <w:spacing w:after="0" w:line="240" w:lineRule="auto"/>
              <w:jc w:val="center"/>
              <w:rPr>
                <w:rFonts w:ascii="Times New Roman" w:eastAsia="Times New Roman" w:hAnsi="Times New Roman"/>
                <w:noProof w:val="0"/>
                <w:color w:val="000000"/>
                <w:sz w:val="16"/>
                <w:szCs w:val="16"/>
                <w:lang w:val="pt-BR" w:eastAsia="pt-BR"/>
              </w:rPr>
            </w:pPr>
            <w:r w:rsidRPr="005E610F">
              <w:rPr>
                <w:rFonts w:ascii="Times New Roman" w:eastAsia="Times New Roman" w:hAnsi="Times New Roman"/>
                <w:noProof w:val="0"/>
                <w:color w:val="000000"/>
                <w:sz w:val="16"/>
                <w:szCs w:val="16"/>
                <w:lang w:val="pt-BR" w:eastAsia="pt-BR"/>
              </w:rPr>
              <w:t>1.6120501.5</w:t>
            </w:r>
          </w:p>
        </w:tc>
        <w:tc>
          <w:tcPr>
            <w:tcW w:w="1775" w:type="dxa"/>
            <w:tcBorders>
              <w:top w:val="nil"/>
              <w:left w:val="nil"/>
              <w:bottom w:val="single" w:sz="4" w:space="0" w:color="auto"/>
              <w:right w:val="single" w:sz="4" w:space="0" w:color="auto"/>
            </w:tcBorders>
            <w:shd w:val="clear" w:color="auto" w:fill="auto"/>
            <w:noWrap/>
            <w:vAlign w:val="center"/>
            <w:hideMark/>
          </w:tcPr>
          <w:p w:rsidR="00D424AA" w:rsidRPr="005E610F" w:rsidRDefault="00D424AA" w:rsidP="000C5898">
            <w:pPr>
              <w:spacing w:after="0" w:line="240" w:lineRule="auto"/>
              <w:rPr>
                <w:rFonts w:ascii="Times New Roman" w:eastAsia="Times New Roman" w:hAnsi="Times New Roman"/>
                <w:noProof w:val="0"/>
                <w:color w:val="000000"/>
                <w:sz w:val="16"/>
                <w:szCs w:val="16"/>
                <w:lang w:val="pt-BR" w:eastAsia="pt-BR"/>
              </w:rPr>
            </w:pPr>
            <w:r w:rsidRPr="005E610F">
              <w:rPr>
                <w:rFonts w:ascii="Times New Roman" w:eastAsia="Times New Roman" w:hAnsi="Times New Roman"/>
                <w:noProof w:val="0"/>
                <w:color w:val="000000"/>
                <w:sz w:val="16"/>
                <w:szCs w:val="16"/>
                <w:lang w:val="pt-BR" w:eastAsia="pt-BR"/>
              </w:rPr>
              <w:t xml:space="preserve">TELEFONIA MÓVEL </w:t>
            </w:r>
            <w:proofErr w:type="gramStart"/>
            <w:r w:rsidRPr="005E610F">
              <w:rPr>
                <w:rFonts w:ascii="Times New Roman" w:eastAsia="Times New Roman" w:hAnsi="Times New Roman"/>
                <w:noProof w:val="0"/>
                <w:color w:val="000000"/>
                <w:sz w:val="16"/>
                <w:szCs w:val="16"/>
                <w:lang w:val="pt-BR" w:eastAsia="pt-BR"/>
              </w:rPr>
              <w:t>5</w:t>
            </w:r>
            <w:proofErr w:type="gramEnd"/>
          </w:p>
        </w:tc>
        <w:tc>
          <w:tcPr>
            <w:tcW w:w="4036" w:type="dxa"/>
            <w:tcBorders>
              <w:top w:val="nil"/>
              <w:left w:val="nil"/>
              <w:bottom w:val="single" w:sz="4" w:space="0" w:color="auto"/>
              <w:right w:val="single" w:sz="4" w:space="0" w:color="auto"/>
            </w:tcBorders>
            <w:shd w:val="clear" w:color="auto" w:fill="auto"/>
            <w:noWrap/>
            <w:vAlign w:val="center"/>
            <w:hideMark/>
          </w:tcPr>
          <w:p w:rsidR="00D424AA" w:rsidRPr="005E610F" w:rsidRDefault="00D424AA" w:rsidP="000C5898">
            <w:pPr>
              <w:spacing w:after="0" w:line="240" w:lineRule="auto"/>
              <w:rPr>
                <w:rFonts w:ascii="Times New Roman" w:eastAsia="Times New Roman" w:hAnsi="Times New Roman"/>
                <w:noProof w:val="0"/>
                <w:color w:val="000000"/>
                <w:sz w:val="16"/>
                <w:szCs w:val="16"/>
                <w:lang w:val="pt-BR" w:eastAsia="pt-BR"/>
              </w:rPr>
            </w:pPr>
            <w:r w:rsidRPr="005E610F">
              <w:rPr>
                <w:rFonts w:ascii="Times New Roman" w:eastAsia="Times New Roman" w:hAnsi="Times New Roman"/>
                <w:noProof w:val="0"/>
                <w:color w:val="000000"/>
                <w:sz w:val="16"/>
                <w:szCs w:val="16"/>
                <w:lang w:val="pt-BR" w:eastAsia="pt-BR"/>
              </w:rPr>
              <w:t>FATURAMENTO ACIMA DE R$</w:t>
            </w:r>
            <w:proofErr w:type="gramStart"/>
            <w:r w:rsidRPr="005E610F">
              <w:rPr>
                <w:rFonts w:ascii="Times New Roman" w:eastAsia="Times New Roman" w:hAnsi="Times New Roman"/>
                <w:noProof w:val="0"/>
                <w:color w:val="000000"/>
                <w:sz w:val="16"/>
                <w:szCs w:val="16"/>
                <w:lang w:val="pt-BR" w:eastAsia="pt-BR"/>
              </w:rPr>
              <w:t>600MM</w:t>
            </w:r>
            <w:proofErr w:type="gramEnd"/>
          </w:p>
        </w:tc>
      </w:tr>
    </w:tbl>
    <w:p w:rsidR="00912326" w:rsidRDefault="00912326" w:rsidP="00670008">
      <w:pPr>
        <w:pStyle w:val="PargrafodaLista"/>
        <w:spacing w:before="120" w:after="120"/>
        <w:ind w:left="1080"/>
        <w:jc w:val="both"/>
        <w:rPr>
          <w:rFonts w:ascii="Times New Roman" w:eastAsia="Calibri" w:hAnsi="Times New Roman"/>
          <w:noProof w:val="0"/>
          <w:color w:val="000000" w:themeColor="text1"/>
          <w:lang w:val="pt-BR"/>
        </w:rPr>
      </w:pPr>
      <w:r w:rsidRPr="005E610F">
        <w:rPr>
          <w:rFonts w:ascii="Times New Roman" w:eastAsia="Calibri" w:hAnsi="Times New Roman"/>
          <w:noProof w:val="0"/>
          <w:color w:val="000000" w:themeColor="text1"/>
          <w:lang w:val="pt-BR"/>
        </w:rPr>
        <w:t>No cluster 1.6120501.1, a análise foi feita por período, considerando a evolução do comportamento do contribuinte e a régua foi traçada na média, a qual apresentou a lacuna de R$ 119.405,00, a ser somada com as lacunas dos outros c</w:t>
      </w:r>
      <w:r w:rsidR="00E558CD" w:rsidRPr="005E610F">
        <w:rPr>
          <w:rFonts w:ascii="Times New Roman" w:eastAsia="Calibri" w:hAnsi="Times New Roman"/>
          <w:noProof w:val="0"/>
          <w:color w:val="000000" w:themeColor="text1"/>
          <w:lang w:val="pt-BR"/>
        </w:rPr>
        <w:t>lusters do segmento Comunicação</w:t>
      </w:r>
      <w:r w:rsidRPr="005E610F">
        <w:rPr>
          <w:rFonts w:ascii="Times New Roman" w:eastAsia="Calibri" w:hAnsi="Times New Roman"/>
          <w:noProof w:val="0"/>
          <w:color w:val="000000" w:themeColor="text1"/>
          <w:lang w:val="pt-BR"/>
        </w:rPr>
        <w:t>. Em casos de clusters com vários contribuintes, a análise foi realizada por comparação entre eles.</w:t>
      </w:r>
      <w:r w:rsidR="00E558CD" w:rsidRPr="005E610F">
        <w:rPr>
          <w:rFonts w:ascii="Times New Roman" w:eastAsia="Calibri" w:hAnsi="Times New Roman"/>
          <w:noProof w:val="0"/>
          <w:color w:val="000000" w:themeColor="text1"/>
          <w:lang w:val="pt-BR"/>
        </w:rPr>
        <w:t xml:space="preserve"> A mesma metodologia foi aplicada para os demais segmentos econômicos.</w:t>
      </w:r>
    </w:p>
    <w:tbl>
      <w:tblPr>
        <w:tblStyle w:val="Tabelacomgrade"/>
        <w:tblW w:w="0" w:type="auto"/>
        <w:tblInd w:w="1080" w:type="dxa"/>
        <w:tblLook w:val="04A0"/>
      </w:tblPr>
      <w:tblGrid>
        <w:gridCol w:w="1580"/>
        <w:gridCol w:w="7244"/>
      </w:tblGrid>
      <w:tr w:rsidR="00597344" w:rsidTr="00C6798B">
        <w:trPr>
          <w:trHeight w:val="2433"/>
        </w:trPr>
        <w:tc>
          <w:tcPr>
            <w:tcW w:w="1580" w:type="dxa"/>
          </w:tcPr>
          <w:tbl>
            <w:tblPr>
              <w:tblW w:w="0" w:type="auto"/>
              <w:tblInd w:w="60" w:type="dxa"/>
              <w:tblCellMar>
                <w:left w:w="70" w:type="dxa"/>
                <w:right w:w="70" w:type="dxa"/>
              </w:tblCellMar>
              <w:tblLook w:val="04A0"/>
            </w:tblPr>
            <w:tblGrid>
              <w:gridCol w:w="1284"/>
            </w:tblGrid>
            <w:tr w:rsidR="00C6798B" w:rsidRPr="00C6798B" w:rsidTr="00C6798B">
              <w:trPr>
                <w:trHeight w:val="236"/>
              </w:trPr>
              <w:tc>
                <w:tcPr>
                  <w:tcW w:w="0" w:type="auto"/>
                  <w:tcBorders>
                    <w:top w:val="single" w:sz="4" w:space="0" w:color="auto"/>
                    <w:left w:val="single" w:sz="8" w:space="0" w:color="auto"/>
                    <w:bottom w:val="single" w:sz="4" w:space="0" w:color="auto"/>
                    <w:right w:val="single" w:sz="8" w:space="0" w:color="000000"/>
                  </w:tcBorders>
                  <w:shd w:val="clear" w:color="000000" w:fill="95B3D7"/>
                  <w:noWrap/>
                  <w:vAlign w:val="center"/>
                  <w:hideMark/>
                </w:tcPr>
                <w:p w:rsidR="00C6798B" w:rsidRPr="00C6798B" w:rsidRDefault="00C6798B" w:rsidP="00C6798B">
                  <w:pPr>
                    <w:spacing w:after="0" w:line="240" w:lineRule="auto"/>
                    <w:jc w:val="center"/>
                    <w:rPr>
                      <w:rFonts w:eastAsia="Times New Roman"/>
                      <w:color w:val="000000"/>
                      <w:sz w:val="14"/>
                      <w:szCs w:val="14"/>
                      <w:lang w:eastAsia="pt-BR"/>
                    </w:rPr>
                  </w:pPr>
                  <w:r w:rsidRPr="00C6798B">
                    <w:rPr>
                      <w:rFonts w:eastAsia="Times New Roman"/>
                      <w:color w:val="000000"/>
                      <w:sz w:val="14"/>
                      <w:szCs w:val="14"/>
                      <w:lang w:eastAsia="pt-BR"/>
                    </w:rPr>
                    <w:t>DESC_SEGM_CNAE</w:t>
                  </w:r>
                </w:p>
              </w:tc>
            </w:tr>
            <w:tr w:rsidR="00C6798B" w:rsidRPr="00C6798B" w:rsidTr="00C6798B">
              <w:trPr>
                <w:trHeight w:val="236"/>
              </w:trPr>
              <w:tc>
                <w:tcPr>
                  <w:tcW w:w="0" w:type="auto"/>
                  <w:tcBorders>
                    <w:top w:val="single" w:sz="4" w:space="0" w:color="auto"/>
                    <w:left w:val="single" w:sz="8" w:space="0" w:color="auto"/>
                    <w:bottom w:val="nil"/>
                    <w:right w:val="single" w:sz="8" w:space="0" w:color="000000"/>
                  </w:tcBorders>
                  <w:shd w:val="clear" w:color="auto" w:fill="auto"/>
                  <w:noWrap/>
                  <w:vAlign w:val="center"/>
                  <w:hideMark/>
                </w:tcPr>
                <w:p w:rsidR="00C6798B" w:rsidRPr="00C6798B" w:rsidRDefault="00C6798B" w:rsidP="00C6798B">
                  <w:pPr>
                    <w:spacing w:after="0" w:line="240" w:lineRule="auto"/>
                    <w:jc w:val="center"/>
                    <w:rPr>
                      <w:rFonts w:eastAsia="Times New Roman"/>
                      <w:b/>
                      <w:bCs/>
                      <w:color w:val="000000"/>
                      <w:sz w:val="14"/>
                      <w:szCs w:val="14"/>
                      <w:lang w:eastAsia="pt-BR"/>
                    </w:rPr>
                  </w:pPr>
                  <w:r w:rsidRPr="00C6798B">
                    <w:rPr>
                      <w:rFonts w:eastAsia="Times New Roman"/>
                      <w:b/>
                      <w:bCs/>
                      <w:color w:val="000000"/>
                      <w:sz w:val="14"/>
                      <w:szCs w:val="14"/>
                      <w:lang w:eastAsia="pt-BR"/>
                    </w:rPr>
                    <w:t xml:space="preserve">COMUNICAÇÃO                             </w:t>
                  </w:r>
                </w:p>
              </w:tc>
            </w:tr>
            <w:tr w:rsidR="00C6798B" w:rsidRPr="00C6798B" w:rsidTr="00C6798B">
              <w:trPr>
                <w:trHeight w:val="236"/>
              </w:trPr>
              <w:tc>
                <w:tcPr>
                  <w:tcW w:w="0" w:type="auto"/>
                  <w:tcBorders>
                    <w:top w:val="single" w:sz="4" w:space="0" w:color="auto"/>
                    <w:left w:val="single" w:sz="8" w:space="0" w:color="auto"/>
                    <w:bottom w:val="single" w:sz="4" w:space="0" w:color="auto"/>
                    <w:right w:val="single" w:sz="8" w:space="0" w:color="000000"/>
                  </w:tcBorders>
                  <w:shd w:val="clear" w:color="000000" w:fill="95B3D7"/>
                  <w:noWrap/>
                  <w:vAlign w:val="center"/>
                  <w:hideMark/>
                </w:tcPr>
                <w:p w:rsidR="00C6798B" w:rsidRPr="00C6798B" w:rsidRDefault="00C6798B" w:rsidP="00C6798B">
                  <w:pPr>
                    <w:spacing w:after="0" w:line="240" w:lineRule="auto"/>
                    <w:jc w:val="center"/>
                    <w:rPr>
                      <w:rFonts w:eastAsia="Times New Roman"/>
                      <w:color w:val="000000"/>
                      <w:sz w:val="14"/>
                      <w:szCs w:val="14"/>
                      <w:lang w:eastAsia="pt-BR"/>
                    </w:rPr>
                  </w:pPr>
                  <w:r w:rsidRPr="00C6798B">
                    <w:rPr>
                      <w:rFonts w:eastAsia="Times New Roman"/>
                      <w:color w:val="000000"/>
                      <w:sz w:val="14"/>
                      <w:szCs w:val="14"/>
                      <w:lang w:eastAsia="pt-BR"/>
                    </w:rPr>
                    <w:t>CLUSTER</w:t>
                  </w:r>
                </w:p>
              </w:tc>
            </w:tr>
            <w:tr w:rsidR="00C6798B" w:rsidRPr="00C6798B" w:rsidTr="00C6798B">
              <w:trPr>
                <w:trHeight w:val="236"/>
              </w:trPr>
              <w:tc>
                <w:tcPr>
                  <w:tcW w:w="0" w:type="auto"/>
                  <w:tcBorders>
                    <w:top w:val="single" w:sz="4" w:space="0" w:color="auto"/>
                    <w:left w:val="single" w:sz="8" w:space="0" w:color="auto"/>
                    <w:bottom w:val="nil"/>
                    <w:right w:val="single" w:sz="8" w:space="0" w:color="000000"/>
                  </w:tcBorders>
                  <w:shd w:val="clear" w:color="auto" w:fill="auto"/>
                  <w:noWrap/>
                  <w:vAlign w:val="center"/>
                  <w:hideMark/>
                </w:tcPr>
                <w:p w:rsidR="00C6798B" w:rsidRPr="00C6798B" w:rsidRDefault="00C6798B" w:rsidP="00C6798B">
                  <w:pPr>
                    <w:spacing w:after="0" w:line="240" w:lineRule="auto"/>
                    <w:jc w:val="center"/>
                    <w:rPr>
                      <w:rFonts w:eastAsia="Times New Roman"/>
                      <w:b/>
                      <w:bCs/>
                      <w:color w:val="000000"/>
                      <w:sz w:val="14"/>
                      <w:szCs w:val="14"/>
                      <w:lang w:eastAsia="pt-BR"/>
                    </w:rPr>
                  </w:pPr>
                  <w:r w:rsidRPr="00C6798B">
                    <w:rPr>
                      <w:rFonts w:eastAsia="Times New Roman"/>
                      <w:b/>
                      <w:bCs/>
                      <w:color w:val="000000"/>
                      <w:sz w:val="14"/>
                      <w:szCs w:val="14"/>
                      <w:lang w:eastAsia="pt-BR"/>
                    </w:rPr>
                    <w:t>1.6120501.1</w:t>
                  </w:r>
                </w:p>
              </w:tc>
            </w:tr>
            <w:tr w:rsidR="00C6798B" w:rsidRPr="00C6798B" w:rsidTr="00C6798B">
              <w:trPr>
                <w:trHeight w:val="236"/>
              </w:trPr>
              <w:tc>
                <w:tcPr>
                  <w:tcW w:w="0" w:type="auto"/>
                  <w:tcBorders>
                    <w:top w:val="single" w:sz="4" w:space="0" w:color="auto"/>
                    <w:left w:val="single" w:sz="8" w:space="0" w:color="auto"/>
                    <w:bottom w:val="single" w:sz="4" w:space="0" w:color="auto"/>
                    <w:right w:val="single" w:sz="8" w:space="0" w:color="000000"/>
                  </w:tcBorders>
                  <w:shd w:val="clear" w:color="000000" w:fill="95B3D7"/>
                  <w:noWrap/>
                  <w:vAlign w:val="center"/>
                  <w:hideMark/>
                </w:tcPr>
                <w:p w:rsidR="00C6798B" w:rsidRPr="00C6798B" w:rsidRDefault="00C6798B" w:rsidP="00C6798B">
                  <w:pPr>
                    <w:spacing w:after="0" w:line="240" w:lineRule="auto"/>
                    <w:jc w:val="center"/>
                    <w:rPr>
                      <w:rFonts w:eastAsia="Times New Roman"/>
                      <w:color w:val="000000"/>
                      <w:sz w:val="14"/>
                      <w:szCs w:val="14"/>
                      <w:lang w:eastAsia="pt-BR"/>
                    </w:rPr>
                  </w:pPr>
                  <w:r w:rsidRPr="00C6798B">
                    <w:rPr>
                      <w:rFonts w:eastAsia="Times New Roman"/>
                      <w:color w:val="000000"/>
                      <w:sz w:val="14"/>
                      <w:szCs w:val="14"/>
                      <w:lang w:eastAsia="pt-BR"/>
                    </w:rPr>
                    <w:t>Tipo de Análise</w:t>
                  </w:r>
                </w:p>
              </w:tc>
            </w:tr>
            <w:tr w:rsidR="00C6798B" w:rsidRPr="00C6798B" w:rsidTr="00C6798B">
              <w:trPr>
                <w:trHeight w:val="236"/>
              </w:trPr>
              <w:tc>
                <w:tcPr>
                  <w:tcW w:w="0" w:type="auto"/>
                  <w:tcBorders>
                    <w:top w:val="single" w:sz="4" w:space="0" w:color="auto"/>
                    <w:left w:val="single" w:sz="8" w:space="0" w:color="auto"/>
                    <w:bottom w:val="single" w:sz="4" w:space="0" w:color="auto"/>
                    <w:right w:val="single" w:sz="8" w:space="0" w:color="000000"/>
                  </w:tcBorders>
                  <w:shd w:val="clear" w:color="auto" w:fill="auto"/>
                  <w:vAlign w:val="center"/>
                  <w:hideMark/>
                </w:tcPr>
                <w:p w:rsidR="00C6798B" w:rsidRPr="00C6798B" w:rsidRDefault="00C6798B" w:rsidP="00C6798B">
                  <w:pPr>
                    <w:spacing w:after="0" w:line="240" w:lineRule="auto"/>
                    <w:jc w:val="center"/>
                    <w:rPr>
                      <w:rFonts w:eastAsia="Times New Roman"/>
                      <w:color w:val="000000"/>
                      <w:sz w:val="14"/>
                      <w:szCs w:val="14"/>
                      <w:lang w:eastAsia="pt-BR"/>
                    </w:rPr>
                  </w:pPr>
                  <w:r w:rsidRPr="00C6798B">
                    <w:rPr>
                      <w:rFonts w:eastAsia="Times New Roman"/>
                      <w:color w:val="000000"/>
                      <w:sz w:val="14"/>
                      <w:szCs w:val="14"/>
                      <w:lang w:eastAsia="pt-BR"/>
                    </w:rPr>
                    <w:t>Comparativa</w:t>
                  </w:r>
                </w:p>
              </w:tc>
            </w:tr>
            <w:tr w:rsidR="00C6798B" w:rsidRPr="00C6798B" w:rsidTr="00C6798B">
              <w:trPr>
                <w:trHeight w:val="236"/>
              </w:trPr>
              <w:tc>
                <w:tcPr>
                  <w:tcW w:w="0" w:type="auto"/>
                  <w:tcBorders>
                    <w:top w:val="single" w:sz="4" w:space="0" w:color="auto"/>
                    <w:left w:val="single" w:sz="8" w:space="0" w:color="auto"/>
                    <w:bottom w:val="single" w:sz="4" w:space="0" w:color="auto"/>
                    <w:right w:val="single" w:sz="8" w:space="0" w:color="000000"/>
                  </w:tcBorders>
                  <w:shd w:val="clear" w:color="000000" w:fill="95B3D7"/>
                  <w:noWrap/>
                  <w:vAlign w:val="center"/>
                  <w:hideMark/>
                </w:tcPr>
                <w:p w:rsidR="00C6798B" w:rsidRPr="00C6798B" w:rsidRDefault="00C6798B" w:rsidP="00C6798B">
                  <w:pPr>
                    <w:spacing w:after="0" w:line="240" w:lineRule="auto"/>
                    <w:jc w:val="center"/>
                    <w:rPr>
                      <w:rFonts w:eastAsia="Times New Roman"/>
                      <w:color w:val="000000"/>
                      <w:sz w:val="14"/>
                      <w:szCs w:val="14"/>
                      <w:lang w:eastAsia="pt-BR"/>
                    </w:rPr>
                  </w:pPr>
                  <w:r w:rsidRPr="00C6798B">
                    <w:rPr>
                      <w:rFonts w:eastAsia="Times New Roman"/>
                      <w:color w:val="000000"/>
                      <w:sz w:val="14"/>
                      <w:szCs w:val="14"/>
                      <w:lang w:eastAsia="pt-BR"/>
                    </w:rPr>
                    <w:t>Indicador</w:t>
                  </w:r>
                </w:p>
              </w:tc>
            </w:tr>
            <w:tr w:rsidR="00C6798B" w:rsidRPr="00C6798B" w:rsidTr="00C6798B">
              <w:trPr>
                <w:trHeight w:val="236"/>
              </w:trPr>
              <w:tc>
                <w:tcPr>
                  <w:tcW w:w="0" w:type="auto"/>
                  <w:tcBorders>
                    <w:top w:val="single" w:sz="4" w:space="0" w:color="auto"/>
                    <w:left w:val="single" w:sz="8" w:space="0" w:color="auto"/>
                    <w:bottom w:val="single" w:sz="4" w:space="0" w:color="auto"/>
                    <w:right w:val="single" w:sz="8" w:space="0" w:color="000000"/>
                  </w:tcBorders>
                  <w:shd w:val="clear" w:color="auto" w:fill="auto"/>
                  <w:vAlign w:val="center"/>
                  <w:hideMark/>
                </w:tcPr>
                <w:p w:rsidR="00C6798B" w:rsidRPr="00C6798B" w:rsidRDefault="00C6798B" w:rsidP="00C6798B">
                  <w:pPr>
                    <w:spacing w:after="0" w:line="240" w:lineRule="auto"/>
                    <w:jc w:val="center"/>
                    <w:rPr>
                      <w:rFonts w:eastAsia="Times New Roman"/>
                      <w:color w:val="000000"/>
                      <w:sz w:val="14"/>
                      <w:szCs w:val="14"/>
                      <w:lang w:eastAsia="pt-BR"/>
                    </w:rPr>
                  </w:pPr>
                  <w:r w:rsidRPr="00C6798B">
                    <w:rPr>
                      <w:rFonts w:eastAsia="Times New Roman"/>
                      <w:color w:val="000000"/>
                      <w:sz w:val="14"/>
                      <w:szCs w:val="14"/>
                      <w:lang w:eastAsia="pt-BR"/>
                    </w:rPr>
                    <w:t>ITS</w:t>
                  </w:r>
                </w:p>
              </w:tc>
            </w:tr>
            <w:tr w:rsidR="00C6798B" w:rsidRPr="00C6798B" w:rsidTr="00C6798B">
              <w:trPr>
                <w:trHeight w:val="236"/>
              </w:trPr>
              <w:tc>
                <w:tcPr>
                  <w:tcW w:w="0" w:type="auto"/>
                  <w:tcBorders>
                    <w:top w:val="single" w:sz="4" w:space="0" w:color="auto"/>
                    <w:left w:val="single" w:sz="8" w:space="0" w:color="auto"/>
                    <w:bottom w:val="single" w:sz="4" w:space="0" w:color="auto"/>
                    <w:right w:val="single" w:sz="8" w:space="0" w:color="000000"/>
                  </w:tcBorders>
                  <w:shd w:val="clear" w:color="000000" w:fill="95B3D7"/>
                  <w:noWrap/>
                  <w:vAlign w:val="center"/>
                  <w:hideMark/>
                </w:tcPr>
                <w:p w:rsidR="00C6798B" w:rsidRPr="00C6798B" w:rsidRDefault="00C6798B" w:rsidP="00C6798B">
                  <w:pPr>
                    <w:spacing w:after="0" w:line="240" w:lineRule="auto"/>
                    <w:jc w:val="center"/>
                    <w:rPr>
                      <w:rFonts w:eastAsia="Times New Roman"/>
                      <w:color w:val="000000"/>
                      <w:sz w:val="14"/>
                      <w:szCs w:val="14"/>
                      <w:lang w:eastAsia="pt-BR"/>
                    </w:rPr>
                  </w:pPr>
                  <w:r w:rsidRPr="00C6798B">
                    <w:rPr>
                      <w:rFonts w:eastAsia="Times New Roman"/>
                      <w:color w:val="000000"/>
                      <w:sz w:val="14"/>
                      <w:szCs w:val="14"/>
                      <w:lang w:eastAsia="pt-BR"/>
                    </w:rPr>
                    <w:t>Critério</w:t>
                  </w:r>
                </w:p>
              </w:tc>
            </w:tr>
            <w:tr w:rsidR="00C6798B" w:rsidRPr="00C6798B" w:rsidTr="00C6798B">
              <w:trPr>
                <w:trHeight w:val="236"/>
              </w:trPr>
              <w:tc>
                <w:tcPr>
                  <w:tcW w:w="0" w:type="auto"/>
                  <w:tcBorders>
                    <w:top w:val="single" w:sz="4" w:space="0" w:color="auto"/>
                    <w:left w:val="single" w:sz="8" w:space="0" w:color="auto"/>
                    <w:bottom w:val="single" w:sz="4" w:space="0" w:color="auto"/>
                    <w:right w:val="single" w:sz="8" w:space="0" w:color="000000"/>
                  </w:tcBorders>
                  <w:shd w:val="clear" w:color="auto" w:fill="auto"/>
                  <w:vAlign w:val="center"/>
                  <w:hideMark/>
                </w:tcPr>
                <w:p w:rsidR="00C6798B" w:rsidRPr="00C6798B" w:rsidRDefault="00C6798B" w:rsidP="00C6798B">
                  <w:pPr>
                    <w:spacing w:after="0" w:line="240" w:lineRule="auto"/>
                    <w:jc w:val="center"/>
                    <w:rPr>
                      <w:rFonts w:eastAsia="Times New Roman"/>
                      <w:color w:val="000000"/>
                      <w:sz w:val="14"/>
                      <w:szCs w:val="14"/>
                      <w:lang w:eastAsia="pt-BR"/>
                    </w:rPr>
                  </w:pPr>
                  <w:r w:rsidRPr="00C6798B">
                    <w:rPr>
                      <w:rFonts w:eastAsia="Times New Roman"/>
                      <w:color w:val="000000"/>
                      <w:sz w:val="14"/>
                      <w:szCs w:val="14"/>
                      <w:lang w:eastAsia="pt-BR"/>
                    </w:rPr>
                    <w:t>Media Sem Extremos</w:t>
                  </w:r>
                </w:p>
              </w:tc>
            </w:tr>
            <w:tr w:rsidR="00C6798B" w:rsidRPr="00C6798B" w:rsidTr="00C6798B">
              <w:trPr>
                <w:trHeight w:val="61"/>
              </w:trPr>
              <w:tc>
                <w:tcPr>
                  <w:tcW w:w="0" w:type="auto"/>
                  <w:tcBorders>
                    <w:top w:val="single" w:sz="4" w:space="0" w:color="auto"/>
                    <w:left w:val="single" w:sz="8" w:space="0" w:color="auto"/>
                    <w:bottom w:val="single" w:sz="4" w:space="0" w:color="auto"/>
                    <w:right w:val="single" w:sz="8" w:space="0" w:color="000000"/>
                  </w:tcBorders>
                  <w:shd w:val="clear" w:color="000000" w:fill="95B3D7"/>
                  <w:noWrap/>
                  <w:vAlign w:val="center"/>
                  <w:hideMark/>
                </w:tcPr>
                <w:p w:rsidR="00C6798B" w:rsidRPr="00C6798B" w:rsidRDefault="00C6798B" w:rsidP="00C6798B">
                  <w:pPr>
                    <w:spacing w:after="0" w:line="240" w:lineRule="auto"/>
                    <w:jc w:val="center"/>
                    <w:rPr>
                      <w:rFonts w:eastAsia="Times New Roman"/>
                      <w:color w:val="000000"/>
                      <w:sz w:val="14"/>
                      <w:szCs w:val="14"/>
                      <w:lang w:eastAsia="pt-BR"/>
                    </w:rPr>
                  </w:pPr>
                  <w:r w:rsidRPr="00C6798B">
                    <w:rPr>
                      <w:rFonts w:eastAsia="Times New Roman"/>
                      <w:color w:val="000000"/>
                      <w:sz w:val="14"/>
                      <w:szCs w:val="14"/>
                      <w:lang w:eastAsia="pt-BR"/>
                    </w:rPr>
                    <w:t>Régua</w:t>
                  </w:r>
                </w:p>
              </w:tc>
            </w:tr>
            <w:tr w:rsidR="00C6798B" w:rsidRPr="00C6798B" w:rsidTr="00C6798B">
              <w:trPr>
                <w:trHeight w:val="195"/>
              </w:trPr>
              <w:tc>
                <w:tcPr>
                  <w:tcW w:w="0" w:type="auto"/>
                  <w:tcBorders>
                    <w:top w:val="single" w:sz="4" w:space="0" w:color="auto"/>
                    <w:left w:val="single" w:sz="8" w:space="0" w:color="auto"/>
                    <w:bottom w:val="single" w:sz="4" w:space="0" w:color="auto"/>
                    <w:right w:val="single" w:sz="8" w:space="0" w:color="000000"/>
                  </w:tcBorders>
                  <w:shd w:val="clear" w:color="auto" w:fill="auto"/>
                  <w:vAlign w:val="center"/>
                  <w:hideMark/>
                </w:tcPr>
                <w:p w:rsidR="00C6798B" w:rsidRPr="00C6798B" w:rsidRDefault="00C6798B" w:rsidP="00C6798B">
                  <w:pPr>
                    <w:spacing w:after="0" w:line="240" w:lineRule="auto"/>
                    <w:jc w:val="center"/>
                    <w:rPr>
                      <w:rFonts w:eastAsia="Times New Roman"/>
                      <w:color w:val="000000"/>
                      <w:sz w:val="14"/>
                      <w:szCs w:val="14"/>
                      <w:lang w:eastAsia="pt-BR"/>
                    </w:rPr>
                  </w:pPr>
                  <w:r w:rsidRPr="00C6798B">
                    <w:rPr>
                      <w:rFonts w:eastAsia="Times New Roman"/>
                      <w:color w:val="000000"/>
                      <w:sz w:val="14"/>
                      <w:szCs w:val="14"/>
                      <w:lang w:eastAsia="pt-BR"/>
                    </w:rPr>
                    <w:t>73,6%</w:t>
                  </w:r>
                </w:p>
              </w:tc>
            </w:tr>
            <w:tr w:rsidR="00C6798B" w:rsidRPr="00C6798B" w:rsidTr="00C6798B">
              <w:trPr>
                <w:trHeight w:val="186"/>
              </w:trPr>
              <w:tc>
                <w:tcPr>
                  <w:tcW w:w="0" w:type="auto"/>
                  <w:tcBorders>
                    <w:top w:val="single" w:sz="4" w:space="0" w:color="auto"/>
                    <w:left w:val="single" w:sz="8" w:space="0" w:color="auto"/>
                    <w:bottom w:val="single" w:sz="4" w:space="0" w:color="auto"/>
                    <w:right w:val="single" w:sz="8" w:space="0" w:color="000000"/>
                  </w:tcBorders>
                  <w:shd w:val="clear" w:color="000000" w:fill="95B3D7"/>
                  <w:noWrap/>
                  <w:vAlign w:val="center"/>
                  <w:hideMark/>
                </w:tcPr>
                <w:p w:rsidR="00C6798B" w:rsidRPr="00C6798B" w:rsidRDefault="00C6798B" w:rsidP="00C6798B">
                  <w:pPr>
                    <w:spacing w:after="0" w:line="240" w:lineRule="auto"/>
                    <w:jc w:val="center"/>
                    <w:rPr>
                      <w:rFonts w:eastAsia="Times New Roman"/>
                      <w:color w:val="000000"/>
                      <w:sz w:val="14"/>
                      <w:szCs w:val="14"/>
                      <w:lang w:eastAsia="pt-BR"/>
                    </w:rPr>
                  </w:pPr>
                  <w:r w:rsidRPr="00C6798B">
                    <w:rPr>
                      <w:rFonts w:eastAsia="Times New Roman"/>
                      <w:color w:val="000000"/>
                      <w:sz w:val="14"/>
                      <w:szCs w:val="14"/>
                      <w:lang w:eastAsia="pt-BR"/>
                    </w:rPr>
                    <w:t>Oportunidade</w:t>
                  </w:r>
                </w:p>
              </w:tc>
            </w:tr>
            <w:tr w:rsidR="00C6798B" w:rsidRPr="00C6798B" w:rsidTr="00C6798B">
              <w:trPr>
                <w:trHeight w:val="236"/>
              </w:trPr>
              <w:tc>
                <w:tcPr>
                  <w:tcW w:w="0" w:type="auto"/>
                  <w:tcBorders>
                    <w:top w:val="single" w:sz="4" w:space="0" w:color="auto"/>
                    <w:left w:val="single" w:sz="8" w:space="0" w:color="auto"/>
                    <w:bottom w:val="single" w:sz="4" w:space="0" w:color="auto"/>
                    <w:right w:val="single" w:sz="8" w:space="0" w:color="000000"/>
                  </w:tcBorders>
                  <w:shd w:val="clear" w:color="auto" w:fill="auto"/>
                  <w:vAlign w:val="center"/>
                  <w:hideMark/>
                </w:tcPr>
                <w:p w:rsidR="00C6798B" w:rsidRPr="00C6798B" w:rsidRDefault="00C6798B" w:rsidP="00C6798B">
                  <w:pPr>
                    <w:spacing w:after="0" w:line="240" w:lineRule="auto"/>
                    <w:jc w:val="center"/>
                    <w:rPr>
                      <w:rFonts w:eastAsia="Times New Roman"/>
                      <w:color w:val="000000"/>
                      <w:sz w:val="14"/>
                      <w:szCs w:val="14"/>
                      <w:lang w:eastAsia="pt-BR"/>
                    </w:rPr>
                  </w:pPr>
                  <w:r w:rsidRPr="00C6798B">
                    <w:rPr>
                      <w:rFonts w:eastAsia="Times New Roman"/>
                      <w:color w:val="000000"/>
                      <w:sz w:val="14"/>
                      <w:szCs w:val="14"/>
                      <w:lang w:eastAsia="pt-BR"/>
                    </w:rPr>
                    <w:t>R$ 2.874.326,16</w:t>
                  </w:r>
                </w:p>
              </w:tc>
            </w:tr>
          </w:tbl>
          <w:p w:rsidR="00597344" w:rsidRDefault="00597344" w:rsidP="00670008">
            <w:pPr>
              <w:pStyle w:val="PargrafodaLista"/>
              <w:spacing w:before="120" w:after="120"/>
              <w:ind w:left="0"/>
              <w:rPr>
                <w:rFonts w:ascii="Times New Roman" w:eastAsia="Calibri" w:hAnsi="Times New Roman"/>
                <w:noProof w:val="0"/>
                <w:color w:val="000000" w:themeColor="text1"/>
                <w:lang w:val="pt-BR"/>
              </w:rPr>
            </w:pPr>
          </w:p>
        </w:tc>
        <w:tc>
          <w:tcPr>
            <w:tcW w:w="7244" w:type="dxa"/>
          </w:tcPr>
          <w:p w:rsidR="00597344" w:rsidRDefault="00C6798B" w:rsidP="00670008">
            <w:pPr>
              <w:pStyle w:val="PargrafodaLista"/>
              <w:spacing w:before="120" w:after="120"/>
              <w:ind w:left="0"/>
              <w:rPr>
                <w:rFonts w:ascii="Times New Roman" w:eastAsia="Calibri" w:hAnsi="Times New Roman"/>
                <w:noProof w:val="0"/>
                <w:color w:val="000000" w:themeColor="text1"/>
                <w:lang w:val="pt-BR"/>
              </w:rPr>
            </w:pPr>
            <w:r w:rsidRPr="00597344">
              <w:rPr>
                <w:rFonts w:ascii="Times New Roman" w:eastAsia="Calibri" w:hAnsi="Times New Roman"/>
                <w:color w:val="000000" w:themeColor="text1"/>
                <w:lang w:val="pt-BR" w:eastAsia="pt-BR"/>
              </w:rPr>
              <w:drawing>
                <wp:inline distT="0" distB="0" distL="0" distR="0">
                  <wp:extent cx="4425729" cy="2083242"/>
                  <wp:effectExtent l="19050" t="0" r="0" b="0"/>
                  <wp:docPr id="12" name="Imagem 2"/>
                  <wp:cNvGraphicFramePr/>
                  <a:graphic xmlns:a="http://schemas.openxmlformats.org/drawingml/2006/main">
                    <a:graphicData uri="http://schemas.openxmlformats.org/drawingml/2006/picture">
                      <pic:pic xmlns:pic="http://schemas.openxmlformats.org/drawingml/2006/picture">
                        <pic:nvPicPr>
                          <pic:cNvPr id="3078" name="Picture 6"/>
                          <pic:cNvPicPr>
                            <a:picLocks noChangeAspect="1" noChangeArrowheads="1"/>
                          </pic:cNvPicPr>
                        </pic:nvPicPr>
                        <pic:blipFill>
                          <a:blip r:embed="rId12" cstate="print"/>
                          <a:srcRect r="5155"/>
                          <a:stretch>
                            <a:fillRect/>
                          </a:stretch>
                        </pic:blipFill>
                        <pic:spPr bwMode="auto">
                          <a:xfrm>
                            <a:off x="0" y="0"/>
                            <a:ext cx="4425729" cy="2083242"/>
                          </a:xfrm>
                          <a:prstGeom prst="rect">
                            <a:avLst/>
                          </a:prstGeom>
                          <a:noFill/>
                        </pic:spPr>
                      </pic:pic>
                    </a:graphicData>
                  </a:graphic>
                </wp:inline>
              </w:drawing>
            </w:r>
          </w:p>
        </w:tc>
      </w:tr>
    </w:tbl>
    <w:p w:rsidR="00D424AA" w:rsidRPr="005E610F" w:rsidRDefault="003360F8" w:rsidP="003360F8">
      <w:pPr>
        <w:pStyle w:val="PargrafodaLista"/>
        <w:spacing w:before="120" w:after="120" w:line="240" w:lineRule="auto"/>
        <w:ind w:left="1080"/>
        <w:jc w:val="center"/>
        <w:rPr>
          <w:rFonts w:ascii="Times New Roman" w:eastAsia="Calibri" w:hAnsi="Times New Roman"/>
          <w:noProof w:val="0"/>
          <w:color w:val="000000" w:themeColor="text1"/>
          <w:sz w:val="18"/>
          <w:szCs w:val="18"/>
          <w:lang w:val="pt-BR"/>
        </w:rPr>
      </w:pPr>
      <w:r w:rsidRPr="005E610F">
        <w:rPr>
          <w:rFonts w:ascii="Times New Roman" w:eastAsia="Calibri" w:hAnsi="Times New Roman"/>
          <w:noProof w:val="0"/>
          <w:color w:val="000000" w:themeColor="text1"/>
          <w:sz w:val="18"/>
          <w:szCs w:val="18"/>
          <w:lang w:val="pt-BR"/>
        </w:rPr>
        <w:t>Exemplo da régua traçada no cluster 1.6120501.1</w:t>
      </w:r>
      <w:r w:rsidR="00714BE9">
        <w:rPr>
          <w:rFonts w:ascii="Times New Roman" w:eastAsia="Calibri" w:hAnsi="Times New Roman"/>
          <w:noProof w:val="0"/>
          <w:color w:val="000000" w:themeColor="text1"/>
          <w:sz w:val="18"/>
          <w:szCs w:val="18"/>
          <w:lang w:val="pt-BR"/>
        </w:rPr>
        <w:t xml:space="preserve"> para identificação da lacuna</w:t>
      </w:r>
    </w:p>
    <w:p w:rsidR="00670008" w:rsidRPr="00637970" w:rsidRDefault="008900CB" w:rsidP="00670008">
      <w:pPr>
        <w:pStyle w:val="PargrafodaLista"/>
        <w:numPr>
          <w:ilvl w:val="1"/>
          <w:numId w:val="27"/>
        </w:numPr>
        <w:spacing w:before="120" w:after="120"/>
        <w:jc w:val="both"/>
        <w:rPr>
          <w:rFonts w:ascii="Times New Roman" w:eastAsia="Calibri" w:hAnsi="Times New Roman"/>
          <w:lang w:val="pt-BR" w:eastAsia="pt-BR"/>
        </w:rPr>
      </w:pPr>
      <w:r w:rsidRPr="005E610F">
        <w:rPr>
          <w:rFonts w:ascii="Times New Roman" w:eastAsia="Calibri" w:hAnsi="Times New Roman"/>
          <w:noProof w:val="0"/>
          <w:color w:val="000000" w:themeColor="text1"/>
          <w:lang w:val="pt-BR"/>
        </w:rPr>
        <w:t>– Resultado: para cada s</w:t>
      </w:r>
      <w:r w:rsidR="00E558CD" w:rsidRPr="005E610F">
        <w:rPr>
          <w:rFonts w:ascii="Times New Roman" w:eastAsia="Calibri" w:hAnsi="Times New Roman"/>
          <w:noProof w:val="0"/>
          <w:color w:val="000000" w:themeColor="text1"/>
          <w:lang w:val="pt-BR"/>
        </w:rPr>
        <w:t>egmento econômico foi encontrada</w:t>
      </w:r>
      <w:r w:rsidR="0072759D" w:rsidRPr="005E610F">
        <w:rPr>
          <w:rFonts w:ascii="Times New Roman" w:eastAsia="Calibri" w:hAnsi="Times New Roman"/>
          <w:noProof w:val="0"/>
          <w:color w:val="000000" w:themeColor="text1"/>
          <w:lang w:val="pt-BR"/>
        </w:rPr>
        <w:t xml:space="preserve"> um</w:t>
      </w:r>
      <w:r w:rsidR="00670008" w:rsidRPr="005E610F">
        <w:rPr>
          <w:rFonts w:ascii="Times New Roman" w:eastAsia="Calibri" w:hAnsi="Times New Roman"/>
          <w:noProof w:val="0"/>
          <w:color w:val="000000" w:themeColor="text1"/>
          <w:lang w:val="pt-BR"/>
        </w:rPr>
        <w:t>a lacuna em valor de ICMS, a qual será recuperada com a implantação de ações específicas para cada setor</w:t>
      </w:r>
      <w:r w:rsidR="00714BE9">
        <w:rPr>
          <w:rFonts w:ascii="Times New Roman" w:eastAsia="Calibri" w:hAnsi="Times New Roman"/>
          <w:noProof w:val="0"/>
          <w:color w:val="000000" w:themeColor="text1"/>
          <w:lang w:val="pt-BR"/>
        </w:rPr>
        <w:t>,</w:t>
      </w:r>
      <w:r w:rsidR="00670008" w:rsidRPr="005E610F">
        <w:rPr>
          <w:rFonts w:ascii="Times New Roman" w:eastAsia="Calibri" w:hAnsi="Times New Roman"/>
          <w:noProof w:val="0"/>
          <w:color w:val="000000" w:themeColor="text1"/>
          <w:lang w:val="pt-BR"/>
        </w:rPr>
        <w:t xml:space="preserve"> com foco nos contribuintes que apresentaram a oportunidade analisada</w:t>
      </w:r>
      <w:r w:rsidR="00714BE9">
        <w:rPr>
          <w:rFonts w:ascii="Times New Roman" w:eastAsia="Calibri" w:hAnsi="Times New Roman"/>
          <w:noProof w:val="0"/>
          <w:color w:val="000000" w:themeColor="text1"/>
          <w:lang w:val="pt-BR"/>
        </w:rPr>
        <w:t>;</w:t>
      </w:r>
    </w:p>
    <w:tbl>
      <w:tblPr>
        <w:tblW w:w="3887" w:type="dxa"/>
        <w:jc w:val="center"/>
        <w:tblInd w:w="65" w:type="dxa"/>
        <w:tblCellMar>
          <w:left w:w="70" w:type="dxa"/>
          <w:right w:w="70" w:type="dxa"/>
        </w:tblCellMar>
        <w:tblLook w:val="04A0"/>
      </w:tblPr>
      <w:tblGrid>
        <w:gridCol w:w="2184"/>
        <w:gridCol w:w="1703"/>
      </w:tblGrid>
      <w:tr w:rsidR="00637970" w:rsidRPr="00637970" w:rsidTr="00947E75">
        <w:trPr>
          <w:trHeight w:val="256"/>
          <w:jc w:val="center"/>
        </w:trPr>
        <w:tc>
          <w:tcPr>
            <w:tcW w:w="2184" w:type="dxa"/>
            <w:tcBorders>
              <w:top w:val="single" w:sz="4" w:space="0" w:color="auto"/>
              <w:left w:val="single" w:sz="4" w:space="0" w:color="auto"/>
              <w:bottom w:val="single" w:sz="4" w:space="0" w:color="auto"/>
              <w:right w:val="single" w:sz="4" w:space="0" w:color="auto"/>
            </w:tcBorders>
            <w:shd w:val="clear" w:color="000000" w:fill="376091"/>
            <w:noWrap/>
            <w:vAlign w:val="bottom"/>
            <w:hideMark/>
          </w:tcPr>
          <w:p w:rsidR="00637970" w:rsidRPr="00637970" w:rsidRDefault="00637970" w:rsidP="00637970">
            <w:pPr>
              <w:spacing w:after="0" w:line="240" w:lineRule="auto"/>
              <w:jc w:val="center"/>
              <w:rPr>
                <w:rFonts w:eastAsia="Times New Roman"/>
                <w:noProof w:val="0"/>
                <w:color w:val="FFFFFF"/>
                <w:sz w:val="18"/>
                <w:szCs w:val="18"/>
                <w:lang w:val="pt-BR" w:eastAsia="pt-BR"/>
              </w:rPr>
            </w:pPr>
            <w:r w:rsidRPr="00637970">
              <w:rPr>
                <w:rFonts w:eastAsia="Times New Roman"/>
                <w:noProof w:val="0"/>
                <w:color w:val="FFFFFF"/>
                <w:sz w:val="18"/>
                <w:szCs w:val="18"/>
                <w:lang w:val="pt-BR" w:eastAsia="pt-BR"/>
              </w:rPr>
              <w:t xml:space="preserve">Segmento Econômico </w:t>
            </w:r>
          </w:p>
        </w:tc>
        <w:tc>
          <w:tcPr>
            <w:tcW w:w="1703" w:type="dxa"/>
            <w:tcBorders>
              <w:top w:val="single" w:sz="4" w:space="0" w:color="auto"/>
              <w:left w:val="nil"/>
              <w:bottom w:val="single" w:sz="4" w:space="0" w:color="auto"/>
              <w:right w:val="single" w:sz="4" w:space="0" w:color="auto"/>
            </w:tcBorders>
            <w:shd w:val="clear" w:color="000000" w:fill="376091"/>
            <w:noWrap/>
            <w:vAlign w:val="bottom"/>
            <w:hideMark/>
          </w:tcPr>
          <w:p w:rsidR="00637970" w:rsidRPr="00637970" w:rsidRDefault="00637970" w:rsidP="00637970">
            <w:pPr>
              <w:spacing w:after="0" w:line="240" w:lineRule="auto"/>
              <w:jc w:val="center"/>
              <w:rPr>
                <w:rFonts w:eastAsia="Times New Roman"/>
                <w:noProof w:val="0"/>
                <w:color w:val="FFFFFF"/>
                <w:sz w:val="18"/>
                <w:szCs w:val="18"/>
                <w:lang w:val="pt-BR" w:eastAsia="pt-BR"/>
              </w:rPr>
            </w:pPr>
            <w:r w:rsidRPr="00637970">
              <w:rPr>
                <w:rFonts w:eastAsia="Times New Roman"/>
                <w:noProof w:val="0"/>
                <w:color w:val="FFFFFF"/>
                <w:sz w:val="18"/>
                <w:szCs w:val="18"/>
                <w:lang w:val="pt-BR" w:eastAsia="pt-BR"/>
              </w:rPr>
              <w:t>Lacuna Identificada</w:t>
            </w:r>
          </w:p>
        </w:tc>
      </w:tr>
      <w:tr w:rsidR="00637970" w:rsidRPr="00637970" w:rsidTr="00947E75">
        <w:trPr>
          <w:trHeight w:val="256"/>
          <w:jc w:val="center"/>
        </w:trPr>
        <w:tc>
          <w:tcPr>
            <w:tcW w:w="2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ALIMENTAÇÃO</w:t>
            </w:r>
          </w:p>
        </w:tc>
        <w:tc>
          <w:tcPr>
            <w:tcW w:w="1703" w:type="dxa"/>
            <w:tcBorders>
              <w:top w:val="single" w:sz="4" w:space="0" w:color="auto"/>
              <w:left w:val="nil"/>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 xml:space="preserve">7.316.374 </w:t>
            </w:r>
          </w:p>
        </w:tc>
      </w:tr>
      <w:tr w:rsidR="00637970" w:rsidRPr="00637970" w:rsidTr="00947E75">
        <w:trPr>
          <w:trHeight w:val="256"/>
          <w:jc w:val="center"/>
        </w:trPr>
        <w:tc>
          <w:tcPr>
            <w:tcW w:w="2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AUTOMOTIVOS</w:t>
            </w:r>
          </w:p>
        </w:tc>
        <w:tc>
          <w:tcPr>
            <w:tcW w:w="1703" w:type="dxa"/>
            <w:tcBorders>
              <w:top w:val="single" w:sz="4" w:space="0" w:color="auto"/>
              <w:left w:val="nil"/>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 xml:space="preserve">3.858.200 </w:t>
            </w:r>
          </w:p>
        </w:tc>
      </w:tr>
      <w:tr w:rsidR="00637970" w:rsidRPr="00637970" w:rsidTr="00947E75">
        <w:trPr>
          <w:trHeight w:val="256"/>
          <w:jc w:val="center"/>
        </w:trPr>
        <w:tc>
          <w:tcPr>
            <w:tcW w:w="2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BEBIDAS/FUMO</w:t>
            </w:r>
          </w:p>
        </w:tc>
        <w:tc>
          <w:tcPr>
            <w:tcW w:w="1703" w:type="dxa"/>
            <w:tcBorders>
              <w:top w:val="single" w:sz="4" w:space="0" w:color="auto"/>
              <w:left w:val="nil"/>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 xml:space="preserve">12.225.854 </w:t>
            </w:r>
          </w:p>
        </w:tc>
      </w:tr>
      <w:tr w:rsidR="00637970" w:rsidRPr="00637970" w:rsidTr="00947E75">
        <w:trPr>
          <w:trHeight w:val="256"/>
          <w:jc w:val="center"/>
        </w:trPr>
        <w:tc>
          <w:tcPr>
            <w:tcW w:w="2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COMBUSTÍVEIS</w:t>
            </w:r>
          </w:p>
        </w:tc>
        <w:tc>
          <w:tcPr>
            <w:tcW w:w="1703" w:type="dxa"/>
            <w:tcBorders>
              <w:top w:val="single" w:sz="4" w:space="0" w:color="auto"/>
              <w:left w:val="nil"/>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 xml:space="preserve">11.766.712 </w:t>
            </w:r>
          </w:p>
        </w:tc>
      </w:tr>
      <w:tr w:rsidR="00637970" w:rsidRPr="00637970" w:rsidTr="00947E75">
        <w:trPr>
          <w:trHeight w:val="256"/>
          <w:jc w:val="center"/>
        </w:trPr>
        <w:tc>
          <w:tcPr>
            <w:tcW w:w="2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COMUNICAÇÃO</w:t>
            </w:r>
          </w:p>
        </w:tc>
        <w:tc>
          <w:tcPr>
            <w:tcW w:w="1703" w:type="dxa"/>
            <w:tcBorders>
              <w:top w:val="single" w:sz="4" w:space="0" w:color="auto"/>
              <w:left w:val="nil"/>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 xml:space="preserve">3.819.511 </w:t>
            </w:r>
          </w:p>
        </w:tc>
      </w:tr>
      <w:tr w:rsidR="00637970" w:rsidRPr="00637970" w:rsidTr="00947E75">
        <w:trPr>
          <w:trHeight w:val="256"/>
          <w:jc w:val="center"/>
        </w:trPr>
        <w:tc>
          <w:tcPr>
            <w:tcW w:w="2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CONSTRUÇÃO CIVIL</w:t>
            </w:r>
          </w:p>
        </w:tc>
        <w:tc>
          <w:tcPr>
            <w:tcW w:w="1703" w:type="dxa"/>
            <w:tcBorders>
              <w:top w:val="single" w:sz="4" w:space="0" w:color="auto"/>
              <w:left w:val="nil"/>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 xml:space="preserve">7.702.710 </w:t>
            </w:r>
          </w:p>
        </w:tc>
      </w:tr>
      <w:tr w:rsidR="00637970" w:rsidRPr="00637970" w:rsidTr="00947E75">
        <w:trPr>
          <w:trHeight w:val="256"/>
          <w:jc w:val="center"/>
        </w:trPr>
        <w:tc>
          <w:tcPr>
            <w:tcW w:w="2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DEPARTAMENTOS/TÊXTIL</w:t>
            </w:r>
          </w:p>
        </w:tc>
        <w:tc>
          <w:tcPr>
            <w:tcW w:w="1703" w:type="dxa"/>
            <w:tcBorders>
              <w:top w:val="single" w:sz="4" w:space="0" w:color="auto"/>
              <w:left w:val="nil"/>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 xml:space="preserve">5.321.049 </w:t>
            </w:r>
          </w:p>
        </w:tc>
      </w:tr>
      <w:tr w:rsidR="00637970" w:rsidRPr="00637970" w:rsidTr="00947E75">
        <w:trPr>
          <w:trHeight w:val="256"/>
          <w:jc w:val="center"/>
        </w:trPr>
        <w:tc>
          <w:tcPr>
            <w:tcW w:w="2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ENERGIA ELÉTRICA</w:t>
            </w:r>
          </w:p>
        </w:tc>
        <w:tc>
          <w:tcPr>
            <w:tcW w:w="1703" w:type="dxa"/>
            <w:tcBorders>
              <w:top w:val="single" w:sz="4" w:space="0" w:color="auto"/>
              <w:left w:val="nil"/>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 xml:space="preserve">996.864 </w:t>
            </w:r>
          </w:p>
        </w:tc>
      </w:tr>
      <w:tr w:rsidR="00637970" w:rsidRPr="00637970" w:rsidTr="00947E75">
        <w:trPr>
          <w:trHeight w:val="256"/>
          <w:jc w:val="center"/>
        </w:trPr>
        <w:tc>
          <w:tcPr>
            <w:tcW w:w="2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MINERAIS</w:t>
            </w:r>
          </w:p>
        </w:tc>
        <w:tc>
          <w:tcPr>
            <w:tcW w:w="1703" w:type="dxa"/>
            <w:tcBorders>
              <w:top w:val="single" w:sz="4" w:space="0" w:color="auto"/>
              <w:left w:val="nil"/>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 xml:space="preserve">1.009.192 </w:t>
            </w:r>
          </w:p>
        </w:tc>
      </w:tr>
      <w:tr w:rsidR="00637970" w:rsidRPr="00637970" w:rsidTr="00947E75">
        <w:trPr>
          <w:trHeight w:val="256"/>
          <w:jc w:val="center"/>
        </w:trPr>
        <w:tc>
          <w:tcPr>
            <w:tcW w:w="2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OUTROS</w:t>
            </w:r>
          </w:p>
        </w:tc>
        <w:tc>
          <w:tcPr>
            <w:tcW w:w="1703" w:type="dxa"/>
            <w:tcBorders>
              <w:top w:val="single" w:sz="4" w:space="0" w:color="auto"/>
              <w:left w:val="nil"/>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 xml:space="preserve">5.123.590 </w:t>
            </w:r>
          </w:p>
        </w:tc>
      </w:tr>
      <w:tr w:rsidR="00637970" w:rsidRPr="00637970" w:rsidTr="00947E75">
        <w:trPr>
          <w:trHeight w:val="256"/>
          <w:jc w:val="center"/>
        </w:trPr>
        <w:tc>
          <w:tcPr>
            <w:tcW w:w="2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QUÍMICOS</w:t>
            </w:r>
          </w:p>
        </w:tc>
        <w:tc>
          <w:tcPr>
            <w:tcW w:w="1703" w:type="dxa"/>
            <w:tcBorders>
              <w:top w:val="single" w:sz="4" w:space="0" w:color="auto"/>
              <w:left w:val="nil"/>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 xml:space="preserve">4.895.713 </w:t>
            </w:r>
          </w:p>
        </w:tc>
      </w:tr>
      <w:tr w:rsidR="00637970" w:rsidRPr="00637970" w:rsidTr="00947E75">
        <w:trPr>
          <w:trHeight w:val="256"/>
          <w:jc w:val="center"/>
        </w:trPr>
        <w:tc>
          <w:tcPr>
            <w:tcW w:w="2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SUCROALCOOLEIRO</w:t>
            </w:r>
          </w:p>
        </w:tc>
        <w:tc>
          <w:tcPr>
            <w:tcW w:w="1703" w:type="dxa"/>
            <w:tcBorders>
              <w:top w:val="single" w:sz="4" w:space="0" w:color="auto"/>
              <w:left w:val="nil"/>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 xml:space="preserve">585.514 </w:t>
            </w:r>
          </w:p>
        </w:tc>
      </w:tr>
      <w:tr w:rsidR="00637970" w:rsidRPr="00637970" w:rsidTr="00947E75">
        <w:trPr>
          <w:trHeight w:val="256"/>
          <w:jc w:val="center"/>
        </w:trPr>
        <w:tc>
          <w:tcPr>
            <w:tcW w:w="2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SEM CLASSIFICAÇÃO</w:t>
            </w:r>
          </w:p>
        </w:tc>
        <w:tc>
          <w:tcPr>
            <w:tcW w:w="1703" w:type="dxa"/>
            <w:tcBorders>
              <w:top w:val="single" w:sz="4" w:space="0" w:color="auto"/>
              <w:left w:val="nil"/>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 xml:space="preserve">491.827 </w:t>
            </w:r>
          </w:p>
        </w:tc>
      </w:tr>
      <w:tr w:rsidR="00637970" w:rsidRPr="00637970" w:rsidTr="00947E75">
        <w:trPr>
          <w:trHeight w:val="256"/>
          <w:jc w:val="center"/>
        </w:trPr>
        <w:tc>
          <w:tcPr>
            <w:tcW w:w="2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NÃO IDENTIFICADOS</w:t>
            </w:r>
          </w:p>
        </w:tc>
        <w:tc>
          <w:tcPr>
            <w:tcW w:w="1703" w:type="dxa"/>
            <w:tcBorders>
              <w:top w:val="single" w:sz="4" w:space="0" w:color="auto"/>
              <w:left w:val="nil"/>
              <w:bottom w:val="single" w:sz="4" w:space="0" w:color="auto"/>
              <w:right w:val="single" w:sz="4" w:space="0" w:color="auto"/>
            </w:tcBorders>
            <w:shd w:val="clear" w:color="auto" w:fill="auto"/>
            <w:noWrap/>
            <w:vAlign w:val="bottom"/>
            <w:hideMark/>
          </w:tcPr>
          <w:p w:rsidR="00637970" w:rsidRPr="00947E75" w:rsidRDefault="00637970" w:rsidP="00637970">
            <w:pPr>
              <w:spacing w:after="0" w:line="240" w:lineRule="auto"/>
              <w:jc w:val="center"/>
              <w:rPr>
                <w:rFonts w:eastAsia="Times New Roman"/>
                <w:noProof w:val="0"/>
                <w:sz w:val="18"/>
                <w:szCs w:val="18"/>
                <w:lang w:val="pt-BR" w:eastAsia="pt-BR"/>
              </w:rPr>
            </w:pPr>
            <w:r w:rsidRPr="00947E75">
              <w:rPr>
                <w:rFonts w:eastAsia="Times New Roman"/>
                <w:noProof w:val="0"/>
                <w:sz w:val="18"/>
                <w:szCs w:val="18"/>
                <w:lang w:val="pt-BR" w:eastAsia="pt-BR"/>
              </w:rPr>
              <w:t xml:space="preserve">11.087.190 </w:t>
            </w:r>
          </w:p>
        </w:tc>
      </w:tr>
    </w:tbl>
    <w:p w:rsidR="00E558CD" w:rsidRPr="005E610F" w:rsidRDefault="008900CB" w:rsidP="00E558CD">
      <w:pPr>
        <w:pStyle w:val="PargrafodaLista"/>
        <w:numPr>
          <w:ilvl w:val="1"/>
          <w:numId w:val="27"/>
        </w:numPr>
        <w:spacing w:before="120" w:after="120"/>
        <w:jc w:val="both"/>
        <w:rPr>
          <w:rFonts w:ascii="Times New Roman" w:eastAsia="Calibri" w:hAnsi="Times New Roman"/>
          <w:noProof w:val="0"/>
          <w:color w:val="000000" w:themeColor="text1"/>
          <w:lang w:val="pt-BR"/>
        </w:rPr>
      </w:pPr>
      <w:r w:rsidRPr="005E610F">
        <w:rPr>
          <w:rFonts w:ascii="Times New Roman" w:eastAsia="Calibri" w:hAnsi="Times New Roman"/>
          <w:noProof w:val="0"/>
          <w:color w:val="000000" w:themeColor="text1"/>
          <w:lang w:val="pt-BR"/>
        </w:rPr>
        <w:t xml:space="preserve">– Cálculo do benefício financeiro: a partir dos </w:t>
      </w:r>
      <w:r w:rsidR="0072759D" w:rsidRPr="005E610F">
        <w:rPr>
          <w:rFonts w:ascii="Times New Roman" w:eastAsia="Calibri" w:hAnsi="Times New Roman"/>
          <w:noProof w:val="0"/>
          <w:color w:val="000000" w:themeColor="text1"/>
          <w:lang w:val="pt-BR"/>
        </w:rPr>
        <w:t>valores identificados</w:t>
      </w:r>
      <w:r w:rsidRPr="005E610F">
        <w:rPr>
          <w:rFonts w:ascii="Times New Roman" w:eastAsia="Calibri" w:hAnsi="Times New Roman"/>
          <w:noProof w:val="0"/>
          <w:color w:val="000000" w:themeColor="text1"/>
          <w:lang w:val="pt-BR"/>
        </w:rPr>
        <w:t xml:space="preserve"> na etapa anterior, se calculou </w:t>
      </w:r>
      <w:r w:rsidR="0072759D" w:rsidRPr="005E610F">
        <w:rPr>
          <w:rFonts w:ascii="Times New Roman" w:eastAsia="Calibri" w:hAnsi="Times New Roman"/>
          <w:noProof w:val="0"/>
          <w:color w:val="000000" w:themeColor="text1"/>
          <w:lang w:val="pt-BR"/>
        </w:rPr>
        <w:t>a</w:t>
      </w:r>
      <w:r w:rsidRPr="005E610F">
        <w:rPr>
          <w:rFonts w:ascii="Times New Roman" w:eastAsia="Calibri" w:hAnsi="Times New Roman"/>
          <w:noProof w:val="0"/>
          <w:color w:val="000000" w:themeColor="text1"/>
          <w:lang w:val="pt-BR"/>
        </w:rPr>
        <w:t xml:space="preserve"> recuperação </w:t>
      </w:r>
      <w:r w:rsidR="0072759D" w:rsidRPr="005E610F">
        <w:rPr>
          <w:rFonts w:ascii="Times New Roman" w:eastAsia="Calibri" w:hAnsi="Times New Roman"/>
          <w:noProof w:val="0"/>
          <w:color w:val="000000" w:themeColor="text1"/>
          <w:lang w:val="pt-BR"/>
        </w:rPr>
        <w:t>total da arrecadação do ICMS</w:t>
      </w:r>
      <w:r w:rsidR="00714BE9">
        <w:rPr>
          <w:rFonts w:ascii="Times New Roman" w:eastAsia="Calibri" w:hAnsi="Times New Roman"/>
          <w:noProof w:val="0"/>
          <w:color w:val="000000" w:themeColor="text1"/>
          <w:lang w:val="pt-BR"/>
        </w:rPr>
        <w:t>, somando-se as lacunas identificadas;</w:t>
      </w:r>
      <w:r w:rsidRPr="005E610F">
        <w:rPr>
          <w:rFonts w:ascii="Times New Roman" w:eastAsia="Calibri" w:hAnsi="Times New Roman"/>
          <w:noProof w:val="0"/>
          <w:color w:val="000000" w:themeColor="text1"/>
          <w:lang w:val="pt-BR"/>
        </w:rPr>
        <w:t xml:space="preserve"> </w:t>
      </w:r>
    </w:p>
    <w:tbl>
      <w:tblPr>
        <w:tblW w:w="2209" w:type="dxa"/>
        <w:jc w:val="center"/>
        <w:tblInd w:w="65" w:type="dxa"/>
        <w:tblCellMar>
          <w:left w:w="70" w:type="dxa"/>
          <w:right w:w="70" w:type="dxa"/>
        </w:tblCellMar>
        <w:tblLook w:val="04A0"/>
      </w:tblPr>
      <w:tblGrid>
        <w:gridCol w:w="2209"/>
      </w:tblGrid>
      <w:tr w:rsidR="00947E75" w:rsidRPr="00947E75" w:rsidTr="00947E75">
        <w:trPr>
          <w:trHeight w:val="312"/>
          <w:jc w:val="center"/>
        </w:trPr>
        <w:tc>
          <w:tcPr>
            <w:tcW w:w="2209" w:type="dxa"/>
            <w:tcBorders>
              <w:top w:val="single" w:sz="4" w:space="0" w:color="auto"/>
              <w:left w:val="single" w:sz="4" w:space="0" w:color="auto"/>
              <w:bottom w:val="single" w:sz="4" w:space="0" w:color="auto"/>
              <w:right w:val="single" w:sz="4" w:space="0" w:color="auto"/>
            </w:tcBorders>
            <w:shd w:val="clear" w:color="000000" w:fill="376091"/>
            <w:noWrap/>
            <w:vAlign w:val="bottom"/>
            <w:hideMark/>
          </w:tcPr>
          <w:p w:rsidR="00947E75" w:rsidRPr="00947E75" w:rsidRDefault="00947E75" w:rsidP="00947E75">
            <w:pPr>
              <w:spacing w:after="0" w:line="240" w:lineRule="auto"/>
              <w:jc w:val="center"/>
              <w:rPr>
                <w:rFonts w:eastAsia="Times New Roman"/>
                <w:noProof w:val="0"/>
                <w:color w:val="FFFFFF"/>
                <w:sz w:val="18"/>
                <w:szCs w:val="18"/>
                <w:lang w:val="pt-BR" w:eastAsia="pt-BR"/>
              </w:rPr>
            </w:pPr>
            <w:r w:rsidRPr="00947E75">
              <w:rPr>
                <w:rFonts w:eastAsia="Times New Roman"/>
                <w:noProof w:val="0"/>
                <w:color w:val="FFFFFF"/>
                <w:sz w:val="18"/>
                <w:szCs w:val="18"/>
                <w:lang w:val="pt-BR" w:eastAsia="pt-BR"/>
              </w:rPr>
              <w:t>Lacuna Identificada</w:t>
            </w:r>
          </w:p>
        </w:tc>
      </w:tr>
      <w:tr w:rsidR="00947E75" w:rsidRPr="00947E75" w:rsidTr="00947E75">
        <w:trPr>
          <w:trHeight w:val="312"/>
          <w:jc w:val="center"/>
        </w:trPr>
        <w:tc>
          <w:tcPr>
            <w:tcW w:w="2209" w:type="dxa"/>
            <w:tcBorders>
              <w:top w:val="nil"/>
              <w:left w:val="single" w:sz="4" w:space="0" w:color="auto"/>
              <w:bottom w:val="single" w:sz="4" w:space="0" w:color="auto"/>
              <w:right w:val="single" w:sz="4" w:space="0" w:color="auto"/>
            </w:tcBorders>
            <w:shd w:val="clear" w:color="auto" w:fill="auto"/>
            <w:noWrap/>
            <w:vAlign w:val="bottom"/>
            <w:hideMark/>
          </w:tcPr>
          <w:p w:rsidR="00947E75" w:rsidRPr="00947E75" w:rsidRDefault="00947E75" w:rsidP="00947E75">
            <w:pPr>
              <w:spacing w:after="0" w:line="240" w:lineRule="auto"/>
              <w:jc w:val="center"/>
              <w:rPr>
                <w:rFonts w:eastAsia="Times New Roman"/>
                <w:b/>
                <w:bCs/>
                <w:noProof w:val="0"/>
                <w:color w:val="000000"/>
                <w:sz w:val="16"/>
                <w:szCs w:val="16"/>
                <w:lang w:val="pt-BR" w:eastAsia="pt-BR"/>
              </w:rPr>
            </w:pPr>
            <w:r>
              <w:rPr>
                <w:rFonts w:eastAsia="Times New Roman"/>
                <w:b/>
                <w:bCs/>
                <w:noProof w:val="0"/>
                <w:color w:val="000000"/>
                <w:sz w:val="16"/>
                <w:szCs w:val="16"/>
                <w:lang w:val="pt-BR" w:eastAsia="pt-BR"/>
              </w:rPr>
              <w:t xml:space="preserve">R$ </w:t>
            </w:r>
            <w:r w:rsidR="00091005">
              <w:rPr>
                <w:rFonts w:eastAsia="Times New Roman"/>
                <w:b/>
                <w:bCs/>
                <w:noProof w:val="0"/>
                <w:color w:val="000000"/>
                <w:sz w:val="16"/>
                <w:szCs w:val="16"/>
                <w:lang w:val="pt-BR" w:eastAsia="pt-BR"/>
              </w:rPr>
              <w:t>76.200.305</w:t>
            </w:r>
            <w:r>
              <w:rPr>
                <w:rFonts w:eastAsia="Times New Roman"/>
                <w:b/>
                <w:bCs/>
                <w:noProof w:val="0"/>
                <w:color w:val="000000"/>
                <w:sz w:val="16"/>
                <w:szCs w:val="16"/>
                <w:lang w:val="pt-BR" w:eastAsia="pt-BR"/>
              </w:rPr>
              <w:t>,00</w:t>
            </w:r>
          </w:p>
        </w:tc>
      </w:tr>
    </w:tbl>
    <w:p w:rsidR="00947E75" w:rsidRPr="00947E75" w:rsidRDefault="00947E75" w:rsidP="00E558CD">
      <w:pPr>
        <w:pStyle w:val="PargrafodaLista"/>
        <w:spacing w:before="120" w:after="120"/>
        <w:ind w:left="1080"/>
        <w:jc w:val="center"/>
        <w:rPr>
          <w:rFonts w:ascii="Times New Roman" w:eastAsia="Calibri" w:hAnsi="Times New Roman"/>
          <w:noProof w:val="0"/>
          <w:color w:val="000000" w:themeColor="text1"/>
          <w:sz w:val="16"/>
          <w:szCs w:val="16"/>
          <w:lang w:val="pt-BR"/>
        </w:rPr>
      </w:pPr>
    </w:p>
    <w:p w:rsidR="008900CB" w:rsidRDefault="001570FF" w:rsidP="00670008">
      <w:pPr>
        <w:pStyle w:val="PargrafodaLista"/>
        <w:numPr>
          <w:ilvl w:val="1"/>
          <w:numId w:val="27"/>
        </w:numPr>
        <w:spacing w:before="120" w:after="120"/>
        <w:jc w:val="both"/>
        <w:rPr>
          <w:rFonts w:ascii="Times New Roman" w:eastAsia="Calibri" w:hAnsi="Times New Roman"/>
          <w:noProof w:val="0"/>
          <w:color w:val="000000" w:themeColor="text1"/>
          <w:lang w:val="pt-BR"/>
        </w:rPr>
      </w:pPr>
      <w:r w:rsidRPr="005E610F">
        <w:rPr>
          <w:rFonts w:ascii="Times New Roman" w:eastAsia="Calibri" w:hAnsi="Times New Roman"/>
          <w:noProof w:val="0"/>
          <w:color w:val="000000" w:themeColor="text1"/>
          <w:lang w:val="pt-BR"/>
        </w:rPr>
        <w:t>– V</w:t>
      </w:r>
      <w:r w:rsidR="008900CB" w:rsidRPr="005E610F">
        <w:rPr>
          <w:rFonts w:ascii="Times New Roman" w:eastAsia="Calibri" w:hAnsi="Times New Roman"/>
          <w:noProof w:val="0"/>
          <w:color w:val="000000" w:themeColor="text1"/>
          <w:lang w:val="pt-BR"/>
        </w:rPr>
        <w:t>alor total poss</w:t>
      </w:r>
      <w:r w:rsidR="00B025FF" w:rsidRPr="005E610F">
        <w:rPr>
          <w:rFonts w:ascii="Times New Roman" w:eastAsia="Calibri" w:hAnsi="Times New Roman"/>
          <w:noProof w:val="0"/>
          <w:color w:val="000000" w:themeColor="text1"/>
          <w:lang w:val="pt-BR"/>
        </w:rPr>
        <w:t xml:space="preserve">ível de recuperação: o valor </w:t>
      </w:r>
      <w:r w:rsidR="00670008" w:rsidRPr="005E610F">
        <w:rPr>
          <w:rFonts w:ascii="Times New Roman" w:eastAsia="Calibri" w:hAnsi="Times New Roman"/>
          <w:noProof w:val="0"/>
          <w:color w:val="000000" w:themeColor="text1"/>
          <w:lang w:val="pt-BR"/>
        </w:rPr>
        <w:t>previsto</w:t>
      </w:r>
      <w:r w:rsidR="00B025FF" w:rsidRPr="005E610F">
        <w:rPr>
          <w:rFonts w:ascii="Times New Roman" w:eastAsia="Calibri" w:hAnsi="Times New Roman"/>
          <w:noProof w:val="0"/>
          <w:color w:val="000000" w:themeColor="text1"/>
          <w:lang w:val="pt-BR"/>
        </w:rPr>
        <w:t xml:space="preserve"> de recuperação do ICMS</w:t>
      </w:r>
      <w:r w:rsidR="008900CB" w:rsidRPr="005E610F">
        <w:rPr>
          <w:rFonts w:ascii="Times New Roman" w:eastAsia="Calibri" w:hAnsi="Times New Roman"/>
          <w:noProof w:val="0"/>
          <w:color w:val="000000" w:themeColor="text1"/>
          <w:lang w:val="pt-BR"/>
        </w:rPr>
        <w:t xml:space="preserve"> foi de R$</w:t>
      </w:r>
      <w:r w:rsidR="00ED7B08">
        <w:rPr>
          <w:rFonts w:ascii="Times New Roman" w:eastAsia="Calibri" w:hAnsi="Times New Roman"/>
          <w:noProof w:val="0"/>
          <w:color w:val="000000" w:themeColor="text1"/>
          <w:lang w:val="pt-BR"/>
        </w:rPr>
        <w:t>76.200.305</w:t>
      </w:r>
      <w:r w:rsidR="00091005">
        <w:rPr>
          <w:rFonts w:ascii="Times New Roman" w:eastAsia="Calibri" w:hAnsi="Times New Roman"/>
          <w:noProof w:val="0"/>
          <w:color w:val="000000" w:themeColor="text1"/>
          <w:lang w:val="pt-BR"/>
        </w:rPr>
        <w:t>,00, representando 2,9</w:t>
      </w:r>
      <w:r w:rsidR="008900CB" w:rsidRPr="005E610F">
        <w:rPr>
          <w:rFonts w:ascii="Times New Roman" w:eastAsia="Calibri" w:hAnsi="Times New Roman"/>
          <w:noProof w:val="0"/>
          <w:color w:val="000000" w:themeColor="text1"/>
          <w:lang w:val="pt-BR"/>
        </w:rPr>
        <w:t>% da arrecadação</w:t>
      </w:r>
      <w:r w:rsidR="00670008" w:rsidRPr="005E610F">
        <w:rPr>
          <w:rFonts w:ascii="Times New Roman" w:eastAsia="Calibri" w:hAnsi="Times New Roman"/>
          <w:noProof w:val="0"/>
          <w:color w:val="000000" w:themeColor="text1"/>
          <w:lang w:val="pt-BR"/>
        </w:rPr>
        <w:t xml:space="preserve"> do ICMS</w:t>
      </w:r>
      <w:r w:rsidR="00CA0F60">
        <w:rPr>
          <w:rFonts w:ascii="Times New Roman" w:eastAsia="Calibri" w:hAnsi="Times New Roman"/>
          <w:noProof w:val="0"/>
          <w:color w:val="000000" w:themeColor="text1"/>
          <w:lang w:val="pt-BR"/>
        </w:rPr>
        <w:t xml:space="preserve"> de</w:t>
      </w:r>
      <w:r w:rsidR="00091005">
        <w:rPr>
          <w:rFonts w:ascii="Times New Roman" w:eastAsia="Calibri" w:hAnsi="Times New Roman"/>
          <w:noProof w:val="0"/>
          <w:color w:val="000000" w:themeColor="text1"/>
          <w:lang w:val="pt-BR"/>
        </w:rPr>
        <w:t xml:space="preserve"> 2012</w:t>
      </w:r>
      <w:r w:rsidR="008900CB" w:rsidRPr="005E610F">
        <w:rPr>
          <w:rFonts w:ascii="Times New Roman" w:eastAsia="Calibri" w:hAnsi="Times New Roman"/>
          <w:noProof w:val="0"/>
          <w:color w:val="000000" w:themeColor="text1"/>
          <w:lang w:val="pt-BR"/>
        </w:rPr>
        <w:t>.</w:t>
      </w:r>
      <w:r w:rsidR="00ED7B08">
        <w:rPr>
          <w:rFonts w:ascii="Times New Roman" w:eastAsia="Calibri" w:hAnsi="Times New Roman"/>
          <w:noProof w:val="0"/>
          <w:color w:val="000000" w:themeColor="text1"/>
          <w:lang w:val="pt-BR"/>
        </w:rPr>
        <w:t xml:space="preserve"> Ressaltamos que foi expurgado da arrecadação base de 2012 o valor da perda de arrecadação proveniente da desoneração da tarifa de energia elétrica determinada pela presidência da república, sobre a venda para indústrias e consumidores finais.</w:t>
      </w:r>
    </w:p>
    <w:tbl>
      <w:tblPr>
        <w:tblW w:w="9880" w:type="dxa"/>
        <w:tblInd w:w="65" w:type="dxa"/>
        <w:tblCellMar>
          <w:left w:w="70" w:type="dxa"/>
          <w:right w:w="70" w:type="dxa"/>
        </w:tblCellMar>
        <w:tblLook w:val="04A0"/>
      </w:tblPr>
      <w:tblGrid>
        <w:gridCol w:w="2020"/>
        <w:gridCol w:w="1180"/>
        <w:gridCol w:w="1000"/>
        <w:gridCol w:w="1920"/>
        <w:gridCol w:w="1840"/>
        <w:gridCol w:w="1920"/>
      </w:tblGrid>
      <w:tr w:rsidR="00ED7B08" w:rsidRPr="00ED7B08" w:rsidTr="00ED7B08">
        <w:trPr>
          <w:trHeight w:val="450"/>
        </w:trPr>
        <w:tc>
          <w:tcPr>
            <w:tcW w:w="2020" w:type="dxa"/>
            <w:tcBorders>
              <w:top w:val="single" w:sz="4" w:space="0" w:color="auto"/>
              <w:left w:val="single" w:sz="4" w:space="0" w:color="auto"/>
              <w:bottom w:val="single" w:sz="4" w:space="0" w:color="auto"/>
              <w:right w:val="single" w:sz="4" w:space="0" w:color="auto"/>
            </w:tcBorders>
            <w:shd w:val="clear" w:color="000000" w:fill="376091"/>
            <w:vAlign w:val="center"/>
            <w:hideMark/>
          </w:tcPr>
          <w:p w:rsidR="00ED7B08" w:rsidRPr="00ED7B08" w:rsidRDefault="00ED7B08" w:rsidP="00ED7B08">
            <w:pPr>
              <w:spacing w:after="0" w:line="240" w:lineRule="auto"/>
              <w:jc w:val="center"/>
              <w:rPr>
                <w:rFonts w:eastAsia="Times New Roman"/>
                <w:noProof w:val="0"/>
                <w:color w:val="FFFFFF"/>
                <w:sz w:val="16"/>
                <w:szCs w:val="16"/>
                <w:lang w:val="pt-BR" w:eastAsia="pt-BR"/>
              </w:rPr>
            </w:pPr>
            <w:r w:rsidRPr="00ED7B08">
              <w:rPr>
                <w:rFonts w:eastAsia="Times New Roman"/>
                <w:noProof w:val="0"/>
                <w:color w:val="FFFFFF"/>
                <w:sz w:val="16"/>
                <w:szCs w:val="16"/>
                <w:lang w:val="pt-BR" w:eastAsia="pt-BR"/>
              </w:rPr>
              <w:t>ARRECADAÇÃO DE 2012 (a)</w:t>
            </w:r>
          </w:p>
        </w:tc>
        <w:tc>
          <w:tcPr>
            <w:tcW w:w="1180" w:type="dxa"/>
            <w:tcBorders>
              <w:top w:val="single" w:sz="4" w:space="0" w:color="auto"/>
              <w:left w:val="nil"/>
              <w:bottom w:val="single" w:sz="4" w:space="0" w:color="auto"/>
              <w:right w:val="single" w:sz="4" w:space="0" w:color="auto"/>
            </w:tcBorders>
            <w:shd w:val="clear" w:color="000000" w:fill="376091"/>
            <w:vAlign w:val="center"/>
            <w:hideMark/>
          </w:tcPr>
          <w:p w:rsidR="00ED7B08" w:rsidRPr="00ED7B08" w:rsidRDefault="00ED7B08" w:rsidP="00ED7B08">
            <w:pPr>
              <w:spacing w:after="0" w:line="240" w:lineRule="auto"/>
              <w:jc w:val="center"/>
              <w:rPr>
                <w:rFonts w:eastAsia="Times New Roman"/>
                <w:noProof w:val="0"/>
                <w:color w:val="FFFFFF"/>
                <w:sz w:val="16"/>
                <w:szCs w:val="16"/>
                <w:lang w:val="pt-BR" w:eastAsia="pt-BR"/>
              </w:rPr>
            </w:pPr>
            <w:r w:rsidRPr="00ED7B08">
              <w:rPr>
                <w:rFonts w:eastAsia="Times New Roman"/>
                <w:noProof w:val="0"/>
                <w:color w:val="FFFFFF"/>
                <w:sz w:val="16"/>
                <w:szCs w:val="16"/>
                <w:lang w:val="pt-BR" w:eastAsia="pt-BR"/>
              </w:rPr>
              <w:t>PIB+Inflação (b)</w:t>
            </w:r>
          </w:p>
        </w:tc>
        <w:tc>
          <w:tcPr>
            <w:tcW w:w="1000" w:type="dxa"/>
            <w:tcBorders>
              <w:top w:val="single" w:sz="4" w:space="0" w:color="auto"/>
              <w:left w:val="nil"/>
              <w:bottom w:val="single" w:sz="4" w:space="0" w:color="auto"/>
              <w:right w:val="single" w:sz="4" w:space="0" w:color="auto"/>
            </w:tcBorders>
            <w:shd w:val="clear" w:color="000000" w:fill="376091"/>
            <w:vAlign w:val="center"/>
            <w:hideMark/>
          </w:tcPr>
          <w:p w:rsidR="00ED7B08" w:rsidRPr="00ED7B08" w:rsidRDefault="00ED7B08" w:rsidP="00ED7B08">
            <w:pPr>
              <w:spacing w:after="0" w:line="240" w:lineRule="auto"/>
              <w:jc w:val="center"/>
              <w:rPr>
                <w:rFonts w:eastAsia="Times New Roman"/>
                <w:noProof w:val="0"/>
                <w:color w:val="FFFFFF"/>
                <w:sz w:val="16"/>
                <w:szCs w:val="16"/>
                <w:lang w:val="pt-BR" w:eastAsia="pt-BR"/>
              </w:rPr>
            </w:pPr>
            <w:r w:rsidRPr="00ED7B08">
              <w:rPr>
                <w:rFonts w:eastAsia="Times New Roman"/>
                <w:noProof w:val="0"/>
                <w:color w:val="FFFFFF"/>
                <w:sz w:val="16"/>
                <w:szCs w:val="16"/>
                <w:lang w:val="pt-BR" w:eastAsia="pt-BR"/>
              </w:rPr>
              <w:t>Lacunas (c</w:t>
            </w:r>
            <w:proofErr w:type="gramStart"/>
            <w:r w:rsidRPr="00ED7B08">
              <w:rPr>
                <w:rFonts w:eastAsia="Times New Roman"/>
                <w:noProof w:val="0"/>
                <w:color w:val="FFFFFF"/>
                <w:sz w:val="16"/>
                <w:szCs w:val="16"/>
                <w:lang w:val="pt-BR" w:eastAsia="pt-BR"/>
              </w:rPr>
              <w:t xml:space="preserve"> )</w:t>
            </w:r>
            <w:proofErr w:type="gramEnd"/>
          </w:p>
        </w:tc>
        <w:tc>
          <w:tcPr>
            <w:tcW w:w="1920" w:type="dxa"/>
            <w:tcBorders>
              <w:top w:val="single" w:sz="4" w:space="0" w:color="auto"/>
              <w:left w:val="nil"/>
              <w:bottom w:val="single" w:sz="4" w:space="0" w:color="auto"/>
              <w:right w:val="single" w:sz="4" w:space="0" w:color="auto"/>
            </w:tcBorders>
            <w:shd w:val="clear" w:color="000000" w:fill="376091"/>
            <w:vAlign w:val="center"/>
            <w:hideMark/>
          </w:tcPr>
          <w:p w:rsidR="00ED7B08" w:rsidRPr="00ED7B08" w:rsidRDefault="00ED7B08" w:rsidP="00ED7B08">
            <w:pPr>
              <w:spacing w:after="0" w:line="240" w:lineRule="auto"/>
              <w:jc w:val="center"/>
              <w:rPr>
                <w:rFonts w:eastAsia="Times New Roman"/>
                <w:noProof w:val="0"/>
                <w:color w:val="FFFFFF"/>
                <w:sz w:val="16"/>
                <w:szCs w:val="16"/>
                <w:lang w:val="pt-BR" w:eastAsia="pt-BR"/>
              </w:rPr>
            </w:pPr>
            <w:r w:rsidRPr="00ED7B08">
              <w:rPr>
                <w:rFonts w:eastAsia="Times New Roman"/>
                <w:noProof w:val="0"/>
                <w:color w:val="FFFFFF"/>
                <w:sz w:val="16"/>
                <w:szCs w:val="16"/>
                <w:lang w:val="pt-BR" w:eastAsia="pt-BR"/>
              </w:rPr>
              <w:t>Desoneração da tarifa de energia (d)</w:t>
            </w:r>
          </w:p>
        </w:tc>
        <w:tc>
          <w:tcPr>
            <w:tcW w:w="1840" w:type="dxa"/>
            <w:tcBorders>
              <w:top w:val="single" w:sz="4" w:space="0" w:color="auto"/>
              <w:left w:val="nil"/>
              <w:bottom w:val="single" w:sz="4" w:space="0" w:color="auto"/>
              <w:right w:val="single" w:sz="4" w:space="0" w:color="auto"/>
            </w:tcBorders>
            <w:shd w:val="clear" w:color="000000" w:fill="376091"/>
            <w:vAlign w:val="center"/>
            <w:hideMark/>
          </w:tcPr>
          <w:p w:rsidR="00ED7B08" w:rsidRPr="00ED7B08" w:rsidRDefault="00ED7B08" w:rsidP="00ED7B08">
            <w:pPr>
              <w:spacing w:after="0" w:line="240" w:lineRule="auto"/>
              <w:jc w:val="center"/>
              <w:rPr>
                <w:rFonts w:eastAsia="Times New Roman"/>
                <w:noProof w:val="0"/>
                <w:color w:val="FFFFFF"/>
                <w:sz w:val="16"/>
                <w:szCs w:val="16"/>
                <w:lang w:val="pt-BR" w:eastAsia="pt-BR"/>
              </w:rPr>
            </w:pPr>
            <w:r w:rsidRPr="00ED7B08">
              <w:rPr>
                <w:rFonts w:eastAsia="Times New Roman"/>
                <w:noProof w:val="0"/>
                <w:color w:val="FFFFFF"/>
                <w:sz w:val="16"/>
                <w:szCs w:val="16"/>
                <w:lang w:val="pt-BR" w:eastAsia="pt-BR"/>
              </w:rPr>
              <w:t>Meta de ICMS para 2013                   (= a+b+c-d)</w:t>
            </w:r>
          </w:p>
        </w:tc>
        <w:tc>
          <w:tcPr>
            <w:tcW w:w="1920" w:type="dxa"/>
            <w:tcBorders>
              <w:top w:val="single" w:sz="4" w:space="0" w:color="auto"/>
              <w:left w:val="nil"/>
              <w:bottom w:val="single" w:sz="4" w:space="0" w:color="auto"/>
              <w:right w:val="single" w:sz="4" w:space="0" w:color="auto"/>
            </w:tcBorders>
            <w:shd w:val="clear" w:color="000000" w:fill="376091"/>
            <w:vAlign w:val="center"/>
            <w:hideMark/>
          </w:tcPr>
          <w:p w:rsidR="00ED7B08" w:rsidRPr="00ED7B08" w:rsidRDefault="00ED7B08" w:rsidP="00ED7B08">
            <w:pPr>
              <w:spacing w:after="0" w:line="240" w:lineRule="auto"/>
              <w:jc w:val="center"/>
              <w:rPr>
                <w:rFonts w:eastAsia="Times New Roman"/>
                <w:noProof w:val="0"/>
                <w:color w:val="FFFFFF"/>
                <w:sz w:val="16"/>
                <w:szCs w:val="16"/>
                <w:lang w:val="pt-BR" w:eastAsia="pt-BR"/>
              </w:rPr>
            </w:pPr>
            <w:r w:rsidRPr="00ED7B08">
              <w:rPr>
                <w:rFonts w:eastAsia="Times New Roman"/>
                <w:noProof w:val="0"/>
                <w:color w:val="FFFFFF"/>
                <w:sz w:val="16"/>
                <w:szCs w:val="16"/>
                <w:lang w:val="pt-BR" w:eastAsia="pt-BR"/>
              </w:rPr>
              <w:t>% de crescimento real sobre 2012</w:t>
            </w:r>
            <w:proofErr w:type="gramStart"/>
            <w:r w:rsidRPr="00ED7B08">
              <w:rPr>
                <w:rFonts w:eastAsia="Times New Roman"/>
                <w:noProof w:val="0"/>
                <w:color w:val="FFFFFF"/>
                <w:sz w:val="16"/>
                <w:szCs w:val="16"/>
                <w:lang w:val="pt-BR" w:eastAsia="pt-BR"/>
              </w:rPr>
              <w:t xml:space="preserve">   </w:t>
            </w:r>
            <w:proofErr w:type="gramEnd"/>
            <w:r w:rsidRPr="00ED7B08">
              <w:rPr>
                <w:rFonts w:eastAsia="Times New Roman"/>
                <w:noProof w:val="0"/>
                <w:color w:val="FFFFFF"/>
                <w:sz w:val="16"/>
                <w:szCs w:val="16"/>
                <w:lang w:val="pt-BR" w:eastAsia="pt-BR"/>
              </w:rPr>
              <w:t>(=c/(a+b-c))</w:t>
            </w:r>
          </w:p>
        </w:tc>
      </w:tr>
      <w:tr w:rsidR="00ED7B08" w:rsidRPr="00ED7B08" w:rsidTr="00ED7B08">
        <w:trPr>
          <w:trHeight w:val="480"/>
        </w:trPr>
        <w:tc>
          <w:tcPr>
            <w:tcW w:w="2020" w:type="dxa"/>
            <w:tcBorders>
              <w:top w:val="nil"/>
              <w:left w:val="single" w:sz="4" w:space="0" w:color="auto"/>
              <w:bottom w:val="single" w:sz="4" w:space="0" w:color="auto"/>
              <w:right w:val="single" w:sz="4" w:space="0" w:color="auto"/>
            </w:tcBorders>
            <w:shd w:val="clear" w:color="auto" w:fill="auto"/>
            <w:noWrap/>
            <w:vAlign w:val="center"/>
            <w:hideMark/>
          </w:tcPr>
          <w:p w:rsidR="00ED7B08" w:rsidRPr="00ED7B08" w:rsidRDefault="00ED7B08" w:rsidP="00ED7B08">
            <w:pPr>
              <w:spacing w:after="0" w:line="240" w:lineRule="auto"/>
              <w:jc w:val="center"/>
              <w:rPr>
                <w:rFonts w:eastAsia="Times New Roman"/>
                <w:noProof w:val="0"/>
                <w:color w:val="000000"/>
                <w:sz w:val="16"/>
                <w:szCs w:val="16"/>
                <w:lang w:val="pt-BR" w:eastAsia="pt-BR"/>
              </w:rPr>
            </w:pPr>
            <w:r w:rsidRPr="00ED7B08">
              <w:rPr>
                <w:rFonts w:eastAsia="Times New Roman"/>
                <w:noProof w:val="0"/>
                <w:color w:val="000000"/>
                <w:sz w:val="16"/>
                <w:szCs w:val="16"/>
                <w:lang w:val="pt-BR" w:eastAsia="pt-BR"/>
              </w:rPr>
              <w:t>2.448.433.867</w:t>
            </w:r>
          </w:p>
        </w:tc>
        <w:tc>
          <w:tcPr>
            <w:tcW w:w="1180" w:type="dxa"/>
            <w:tcBorders>
              <w:top w:val="nil"/>
              <w:left w:val="nil"/>
              <w:bottom w:val="single" w:sz="4" w:space="0" w:color="auto"/>
              <w:right w:val="single" w:sz="4" w:space="0" w:color="auto"/>
            </w:tcBorders>
            <w:shd w:val="clear" w:color="auto" w:fill="auto"/>
            <w:noWrap/>
            <w:vAlign w:val="center"/>
            <w:hideMark/>
          </w:tcPr>
          <w:p w:rsidR="00ED7B08" w:rsidRPr="00ED7B08" w:rsidRDefault="00ED7B08" w:rsidP="00ED7B08">
            <w:pPr>
              <w:spacing w:after="0" w:line="240" w:lineRule="auto"/>
              <w:rPr>
                <w:rFonts w:eastAsia="Times New Roman"/>
                <w:noProof w:val="0"/>
                <w:color w:val="000000"/>
                <w:sz w:val="16"/>
                <w:szCs w:val="16"/>
                <w:lang w:val="pt-BR" w:eastAsia="pt-BR"/>
              </w:rPr>
            </w:pPr>
            <w:r w:rsidRPr="00ED7B08">
              <w:rPr>
                <w:rFonts w:eastAsia="Times New Roman"/>
                <w:noProof w:val="0"/>
                <w:color w:val="000000"/>
                <w:sz w:val="16"/>
                <w:szCs w:val="16"/>
                <w:lang w:val="pt-BR" w:eastAsia="pt-BR"/>
              </w:rPr>
              <w:t xml:space="preserve">      183.632.540 </w:t>
            </w:r>
          </w:p>
        </w:tc>
        <w:tc>
          <w:tcPr>
            <w:tcW w:w="1000" w:type="dxa"/>
            <w:tcBorders>
              <w:top w:val="nil"/>
              <w:left w:val="nil"/>
              <w:bottom w:val="single" w:sz="4" w:space="0" w:color="auto"/>
              <w:right w:val="single" w:sz="4" w:space="0" w:color="auto"/>
            </w:tcBorders>
            <w:shd w:val="clear" w:color="auto" w:fill="auto"/>
            <w:noWrap/>
            <w:vAlign w:val="center"/>
            <w:hideMark/>
          </w:tcPr>
          <w:p w:rsidR="00ED7B08" w:rsidRPr="00ED7B08" w:rsidRDefault="00ED7B08" w:rsidP="00ED7B08">
            <w:pPr>
              <w:spacing w:after="0" w:line="240" w:lineRule="auto"/>
              <w:rPr>
                <w:rFonts w:eastAsia="Times New Roman"/>
                <w:noProof w:val="0"/>
                <w:color w:val="000000"/>
                <w:sz w:val="16"/>
                <w:szCs w:val="16"/>
                <w:lang w:val="pt-BR" w:eastAsia="pt-BR"/>
              </w:rPr>
            </w:pPr>
            <w:r w:rsidRPr="00ED7B08">
              <w:rPr>
                <w:rFonts w:eastAsia="Times New Roman"/>
                <w:noProof w:val="0"/>
                <w:color w:val="000000"/>
                <w:sz w:val="16"/>
                <w:szCs w:val="16"/>
                <w:lang w:val="pt-BR" w:eastAsia="pt-BR"/>
              </w:rPr>
              <w:t xml:space="preserve">   76.200.305 </w:t>
            </w:r>
          </w:p>
        </w:tc>
        <w:tc>
          <w:tcPr>
            <w:tcW w:w="1920" w:type="dxa"/>
            <w:tcBorders>
              <w:top w:val="nil"/>
              <w:left w:val="nil"/>
              <w:bottom w:val="single" w:sz="4" w:space="0" w:color="auto"/>
              <w:right w:val="single" w:sz="4" w:space="0" w:color="auto"/>
            </w:tcBorders>
            <w:shd w:val="clear" w:color="auto" w:fill="auto"/>
            <w:noWrap/>
            <w:vAlign w:val="center"/>
            <w:hideMark/>
          </w:tcPr>
          <w:p w:rsidR="00ED7B08" w:rsidRPr="00ED7B08" w:rsidRDefault="00ED7B08" w:rsidP="00ED7B08">
            <w:pPr>
              <w:spacing w:after="0" w:line="240" w:lineRule="auto"/>
              <w:jc w:val="right"/>
              <w:rPr>
                <w:rFonts w:eastAsia="Times New Roman"/>
                <w:noProof w:val="0"/>
                <w:color w:val="000000"/>
                <w:sz w:val="16"/>
                <w:szCs w:val="16"/>
                <w:lang w:val="pt-BR" w:eastAsia="pt-BR"/>
              </w:rPr>
            </w:pPr>
            <w:r w:rsidRPr="00ED7B08">
              <w:rPr>
                <w:rFonts w:eastAsia="Times New Roman"/>
                <w:noProof w:val="0"/>
                <w:color w:val="000000"/>
                <w:sz w:val="16"/>
                <w:szCs w:val="16"/>
                <w:lang w:val="pt-BR" w:eastAsia="pt-BR"/>
              </w:rPr>
              <w:t xml:space="preserve">41.280.000 </w:t>
            </w:r>
          </w:p>
        </w:tc>
        <w:tc>
          <w:tcPr>
            <w:tcW w:w="1840" w:type="dxa"/>
            <w:tcBorders>
              <w:top w:val="nil"/>
              <w:left w:val="nil"/>
              <w:bottom w:val="single" w:sz="4" w:space="0" w:color="auto"/>
              <w:right w:val="single" w:sz="4" w:space="0" w:color="auto"/>
            </w:tcBorders>
            <w:shd w:val="clear" w:color="auto" w:fill="auto"/>
            <w:noWrap/>
            <w:vAlign w:val="center"/>
            <w:hideMark/>
          </w:tcPr>
          <w:p w:rsidR="00ED7B08" w:rsidRPr="00ED7B08" w:rsidRDefault="00ED7B08" w:rsidP="00ED7B08">
            <w:pPr>
              <w:spacing w:after="0" w:line="240" w:lineRule="auto"/>
              <w:jc w:val="right"/>
              <w:rPr>
                <w:rFonts w:eastAsia="Times New Roman"/>
                <w:noProof w:val="0"/>
                <w:color w:val="000000"/>
                <w:sz w:val="16"/>
                <w:szCs w:val="16"/>
                <w:lang w:val="pt-BR" w:eastAsia="pt-BR"/>
              </w:rPr>
            </w:pPr>
            <w:r w:rsidRPr="00ED7B08">
              <w:rPr>
                <w:rFonts w:eastAsia="Times New Roman"/>
                <w:noProof w:val="0"/>
                <w:color w:val="000000"/>
                <w:sz w:val="16"/>
                <w:szCs w:val="16"/>
                <w:lang w:val="pt-BR" w:eastAsia="pt-BR"/>
              </w:rPr>
              <w:t xml:space="preserve">2.666.986.712 </w:t>
            </w:r>
          </w:p>
        </w:tc>
        <w:tc>
          <w:tcPr>
            <w:tcW w:w="1920" w:type="dxa"/>
            <w:tcBorders>
              <w:top w:val="nil"/>
              <w:left w:val="nil"/>
              <w:bottom w:val="single" w:sz="4" w:space="0" w:color="auto"/>
              <w:right w:val="single" w:sz="4" w:space="0" w:color="auto"/>
            </w:tcBorders>
            <w:shd w:val="clear" w:color="auto" w:fill="auto"/>
            <w:noWrap/>
            <w:vAlign w:val="center"/>
            <w:hideMark/>
          </w:tcPr>
          <w:p w:rsidR="00ED7B08" w:rsidRPr="00ED7B08" w:rsidRDefault="00ED7B08" w:rsidP="00ED7B08">
            <w:pPr>
              <w:spacing w:after="0" w:line="240" w:lineRule="auto"/>
              <w:jc w:val="center"/>
              <w:rPr>
                <w:rFonts w:eastAsia="Times New Roman"/>
                <w:noProof w:val="0"/>
                <w:color w:val="000000"/>
                <w:sz w:val="16"/>
                <w:szCs w:val="16"/>
                <w:lang w:val="pt-BR" w:eastAsia="pt-BR"/>
              </w:rPr>
            </w:pPr>
            <w:r w:rsidRPr="00ED7B08">
              <w:rPr>
                <w:rFonts w:eastAsia="Times New Roman"/>
                <w:noProof w:val="0"/>
                <w:color w:val="000000"/>
                <w:sz w:val="16"/>
                <w:szCs w:val="16"/>
                <w:lang w:val="pt-BR" w:eastAsia="pt-BR"/>
              </w:rPr>
              <w:t>2,9%</w:t>
            </w:r>
          </w:p>
        </w:tc>
      </w:tr>
    </w:tbl>
    <w:p w:rsidR="00091005" w:rsidRPr="005E610F" w:rsidRDefault="00091005" w:rsidP="00091005">
      <w:pPr>
        <w:pStyle w:val="PargrafodaLista"/>
        <w:spacing w:before="120" w:after="120"/>
        <w:ind w:left="1080"/>
        <w:jc w:val="both"/>
        <w:rPr>
          <w:rFonts w:ascii="Times New Roman" w:eastAsia="Calibri" w:hAnsi="Times New Roman"/>
          <w:noProof w:val="0"/>
          <w:color w:val="000000" w:themeColor="text1"/>
          <w:lang w:val="pt-BR"/>
        </w:rPr>
      </w:pPr>
    </w:p>
    <w:p w:rsidR="00E558CD" w:rsidRDefault="00E558CD" w:rsidP="00714BE9">
      <w:pPr>
        <w:pStyle w:val="PargrafodaLista"/>
        <w:spacing w:before="120" w:after="120"/>
        <w:ind w:left="1080"/>
        <w:jc w:val="center"/>
        <w:rPr>
          <w:rFonts w:ascii="Times New Roman" w:eastAsia="Calibri" w:hAnsi="Times New Roman"/>
          <w:noProof w:val="0"/>
          <w:color w:val="000000" w:themeColor="text1"/>
          <w:lang w:val="pt-BR"/>
        </w:rPr>
      </w:pPr>
    </w:p>
    <w:p w:rsidR="0058243B" w:rsidRPr="005E610F" w:rsidRDefault="00013877" w:rsidP="00670008">
      <w:pPr>
        <w:pStyle w:val="PargrafodaLista"/>
        <w:numPr>
          <w:ilvl w:val="1"/>
          <w:numId w:val="19"/>
        </w:numPr>
        <w:spacing w:before="120" w:after="120"/>
        <w:ind w:left="720" w:hanging="720"/>
        <w:jc w:val="both"/>
        <w:rPr>
          <w:rFonts w:ascii="Times New Roman" w:hAnsi="Times New Roman"/>
          <w:b/>
          <w:sz w:val="24"/>
          <w:szCs w:val="24"/>
          <w:lang w:val="pt-BR"/>
        </w:rPr>
      </w:pPr>
      <w:r w:rsidRPr="005E610F">
        <w:rPr>
          <w:rFonts w:ascii="Times New Roman" w:hAnsi="Times New Roman"/>
          <w:b/>
          <w:noProof w:val="0"/>
          <w:color w:val="000000"/>
          <w:sz w:val="24"/>
          <w:szCs w:val="24"/>
          <w:lang w:val="pt-BR"/>
        </w:rPr>
        <w:t>CONC</w:t>
      </w:r>
      <w:r w:rsidR="00567A79" w:rsidRPr="005E610F">
        <w:rPr>
          <w:rFonts w:ascii="Times New Roman" w:hAnsi="Times New Roman"/>
          <w:b/>
          <w:noProof w:val="0"/>
          <w:color w:val="000000"/>
          <w:sz w:val="24"/>
          <w:szCs w:val="24"/>
          <w:lang w:val="pt-BR"/>
        </w:rPr>
        <w:t>LUSÃO</w:t>
      </w:r>
    </w:p>
    <w:p w:rsidR="00567A79" w:rsidRPr="005E610F" w:rsidRDefault="002160B1" w:rsidP="00670008">
      <w:pPr>
        <w:spacing w:before="240" w:after="240"/>
        <w:jc w:val="both"/>
        <w:rPr>
          <w:rFonts w:ascii="Times New Roman" w:hAnsi="Times New Roman"/>
          <w:noProof w:val="0"/>
          <w:color w:val="000000" w:themeColor="text1"/>
          <w:lang w:val="pt-BR"/>
        </w:rPr>
      </w:pPr>
      <w:r w:rsidRPr="005E610F">
        <w:rPr>
          <w:rFonts w:ascii="Times New Roman" w:hAnsi="Times New Roman"/>
          <w:noProof w:val="0"/>
          <w:color w:val="000000" w:themeColor="text1"/>
          <w:lang w:val="pt-BR"/>
        </w:rPr>
        <w:t xml:space="preserve">Conclui-se que a </w:t>
      </w:r>
      <w:r w:rsidR="0072759D" w:rsidRPr="005E610F">
        <w:rPr>
          <w:rFonts w:ascii="Times New Roman" w:hAnsi="Times New Roman"/>
          <w:noProof w:val="0"/>
          <w:lang w:val="pt-BR"/>
        </w:rPr>
        <w:t xml:space="preserve">padronização do processo de fiscalização e constituição do crédito tributário no âmbito estadual </w:t>
      </w:r>
      <w:r w:rsidRPr="005E610F">
        <w:rPr>
          <w:rFonts w:ascii="Times New Roman" w:hAnsi="Times New Roman"/>
          <w:noProof w:val="0"/>
          <w:color w:val="000000" w:themeColor="text1"/>
          <w:lang w:val="pt-BR"/>
        </w:rPr>
        <w:t>suportada pela metodologia de Gerenciamento pelas Diretrizes</w:t>
      </w:r>
      <w:r w:rsidR="001002E9" w:rsidRPr="005E610F">
        <w:rPr>
          <w:rFonts w:ascii="Times New Roman" w:hAnsi="Times New Roman"/>
          <w:noProof w:val="0"/>
          <w:color w:val="000000" w:themeColor="text1"/>
          <w:lang w:val="pt-BR"/>
        </w:rPr>
        <w:t>,</w:t>
      </w:r>
      <w:r w:rsidRPr="005E610F">
        <w:rPr>
          <w:rFonts w:ascii="Times New Roman" w:hAnsi="Times New Roman"/>
          <w:noProof w:val="0"/>
          <w:color w:val="000000" w:themeColor="text1"/>
          <w:lang w:val="pt-BR"/>
        </w:rPr>
        <w:t xml:space="preserve"> </w:t>
      </w:r>
      <w:r w:rsidR="00951E0A" w:rsidRPr="005E610F">
        <w:rPr>
          <w:rFonts w:ascii="Times New Roman" w:hAnsi="Times New Roman"/>
          <w:noProof w:val="0"/>
          <w:color w:val="000000" w:themeColor="text1"/>
          <w:lang w:val="pt-BR"/>
        </w:rPr>
        <w:t>produzirá um aumento real</w:t>
      </w:r>
      <w:r w:rsidR="00951E0A" w:rsidRPr="005E610F">
        <w:rPr>
          <w:rStyle w:val="Refdenotaderodap"/>
          <w:rFonts w:ascii="Times New Roman" w:hAnsi="Times New Roman"/>
          <w:noProof w:val="0"/>
          <w:color w:val="000000" w:themeColor="text1"/>
          <w:lang w:val="pt-BR"/>
        </w:rPr>
        <w:footnoteReference w:id="1"/>
      </w:r>
      <w:r w:rsidR="00951E0A" w:rsidRPr="005E610F">
        <w:rPr>
          <w:rFonts w:ascii="Times New Roman" w:hAnsi="Times New Roman"/>
          <w:noProof w:val="0"/>
          <w:color w:val="000000" w:themeColor="text1"/>
          <w:lang w:val="pt-BR"/>
        </w:rPr>
        <w:t xml:space="preserve"> na arrecadação de ICMS de 2</w:t>
      </w:r>
      <w:r w:rsidR="00947E75">
        <w:rPr>
          <w:rFonts w:ascii="Times New Roman" w:hAnsi="Times New Roman"/>
          <w:noProof w:val="0"/>
          <w:color w:val="000000" w:themeColor="text1"/>
          <w:lang w:val="pt-BR"/>
        </w:rPr>
        <w:t>,9</w:t>
      </w:r>
      <w:r w:rsidR="00951E0A" w:rsidRPr="005E610F">
        <w:rPr>
          <w:rFonts w:ascii="Times New Roman" w:hAnsi="Times New Roman"/>
          <w:noProof w:val="0"/>
          <w:color w:val="000000" w:themeColor="text1"/>
          <w:lang w:val="pt-BR"/>
        </w:rPr>
        <w:t>% pa</w:t>
      </w:r>
      <w:r w:rsidR="00947E75">
        <w:rPr>
          <w:rFonts w:ascii="Times New Roman" w:hAnsi="Times New Roman"/>
          <w:noProof w:val="0"/>
          <w:color w:val="000000" w:themeColor="text1"/>
          <w:lang w:val="pt-BR"/>
        </w:rPr>
        <w:t>ra o ano de 2013</w:t>
      </w:r>
      <w:r w:rsidR="008415B6" w:rsidRPr="005E610F">
        <w:rPr>
          <w:rFonts w:ascii="Times New Roman" w:hAnsi="Times New Roman"/>
          <w:noProof w:val="0"/>
          <w:color w:val="000000" w:themeColor="text1"/>
          <w:lang w:val="pt-BR"/>
        </w:rPr>
        <w:t>, representando R$</w:t>
      </w:r>
      <w:r w:rsidR="00ED7B08" w:rsidRPr="00ED7B08">
        <w:rPr>
          <w:rFonts w:ascii="Times New Roman" w:eastAsia="Times New Roman" w:hAnsi="Times New Roman"/>
          <w:noProof w:val="0"/>
          <w:color w:val="000000"/>
          <w:lang w:val="pt-BR" w:eastAsia="pt-BR"/>
        </w:rPr>
        <w:t>76.200.305</w:t>
      </w:r>
      <w:r w:rsidR="00ED7B08">
        <w:rPr>
          <w:rFonts w:ascii="Times New Roman" w:hAnsi="Times New Roman"/>
          <w:noProof w:val="0"/>
          <w:color w:val="000000" w:themeColor="text1"/>
          <w:lang w:val="pt-BR"/>
        </w:rPr>
        <w:t>,00</w:t>
      </w:r>
      <w:r w:rsidR="00102EFF">
        <w:rPr>
          <w:rFonts w:ascii="Times New Roman" w:hAnsi="Times New Roman"/>
          <w:noProof w:val="0"/>
          <w:color w:val="000000" w:themeColor="text1"/>
          <w:lang w:val="pt-BR"/>
        </w:rPr>
        <w:t xml:space="preserve"> (</w:t>
      </w:r>
      <w:proofErr w:type="gramStart"/>
      <w:r w:rsidR="00102EFF">
        <w:rPr>
          <w:rFonts w:ascii="Times New Roman" w:hAnsi="Times New Roman"/>
          <w:noProof w:val="0"/>
          <w:color w:val="000000" w:themeColor="text1"/>
          <w:lang w:val="pt-BR"/>
        </w:rPr>
        <w:t>setenta e seis milhões, duzentos mil e trezentos e</w:t>
      </w:r>
      <w:proofErr w:type="gramEnd"/>
      <w:r w:rsidR="00102EFF">
        <w:rPr>
          <w:rFonts w:ascii="Times New Roman" w:hAnsi="Times New Roman"/>
          <w:noProof w:val="0"/>
          <w:color w:val="000000" w:themeColor="text1"/>
          <w:lang w:val="pt-BR"/>
        </w:rPr>
        <w:t xml:space="preserve"> cinco reais)</w:t>
      </w:r>
      <w:r w:rsidR="008415B6" w:rsidRPr="005E610F">
        <w:rPr>
          <w:rFonts w:ascii="Times New Roman" w:hAnsi="Times New Roman"/>
          <w:noProof w:val="0"/>
          <w:color w:val="000000" w:themeColor="text1"/>
          <w:lang w:val="pt-BR"/>
        </w:rPr>
        <w:t>.</w:t>
      </w:r>
    </w:p>
    <w:sectPr w:rsidR="00567A79" w:rsidRPr="005E610F" w:rsidSect="00201CE9">
      <w:pgSz w:w="12240" w:h="15840"/>
      <w:pgMar w:top="993" w:right="758" w:bottom="851"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11A" w:rsidRDefault="0076711A" w:rsidP="00951E0A">
      <w:pPr>
        <w:spacing w:after="0" w:line="240" w:lineRule="auto"/>
      </w:pPr>
      <w:r>
        <w:separator/>
      </w:r>
    </w:p>
  </w:endnote>
  <w:endnote w:type="continuationSeparator" w:id="0">
    <w:p w:rsidR="0076711A" w:rsidRDefault="0076711A" w:rsidP="00951E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11A" w:rsidRDefault="0076711A" w:rsidP="00951E0A">
      <w:pPr>
        <w:spacing w:after="0" w:line="240" w:lineRule="auto"/>
      </w:pPr>
      <w:r>
        <w:separator/>
      </w:r>
    </w:p>
  </w:footnote>
  <w:footnote w:type="continuationSeparator" w:id="0">
    <w:p w:rsidR="0076711A" w:rsidRDefault="0076711A" w:rsidP="00951E0A">
      <w:pPr>
        <w:spacing w:after="0" w:line="240" w:lineRule="auto"/>
      </w:pPr>
      <w:r>
        <w:continuationSeparator/>
      </w:r>
    </w:p>
  </w:footnote>
  <w:footnote w:id="1">
    <w:p w:rsidR="0076711A" w:rsidRPr="00CC0093" w:rsidRDefault="0076711A">
      <w:pPr>
        <w:pStyle w:val="Textodenotaderodap"/>
        <w:rPr>
          <w:rFonts w:ascii="Times New Roman" w:hAnsi="Times New Roman"/>
          <w:sz w:val="18"/>
          <w:lang w:val="pt-BR"/>
        </w:rPr>
      </w:pPr>
      <w:r w:rsidRPr="00CC0093">
        <w:rPr>
          <w:rStyle w:val="Refdenotaderodap"/>
          <w:rFonts w:ascii="Times New Roman" w:hAnsi="Times New Roman"/>
          <w:sz w:val="18"/>
        </w:rPr>
        <w:footnoteRef/>
      </w:r>
      <w:r w:rsidRPr="00CC0093">
        <w:rPr>
          <w:rFonts w:ascii="Times New Roman" w:hAnsi="Times New Roman"/>
          <w:sz w:val="18"/>
        </w:rPr>
        <w:t xml:space="preserve"> </w:t>
      </w:r>
      <w:r w:rsidRPr="00CC0093">
        <w:rPr>
          <w:rFonts w:ascii="Times New Roman" w:hAnsi="Times New Roman"/>
          <w:sz w:val="18"/>
          <w:lang w:val="pt-BR"/>
        </w:rPr>
        <w:t>Entende-se por crescimento real da arrecadação o resultado obtido por meio do esforço fiscal, descontando os efeitos do crescimento econômico medidos pelo Produto Interno Bruto (PIB) de Alagoas e pela inflação</w:t>
      </w:r>
      <w:r>
        <w:rPr>
          <w:rFonts w:ascii="Times New Roman" w:hAnsi="Times New Roman"/>
          <w:sz w:val="18"/>
          <w:lang w:val="pt-BR"/>
        </w:rPr>
        <w:t xml:space="preserve"> pulbicada no dia 08/01/2013 pelo BC</w:t>
      </w:r>
      <w:r w:rsidRPr="00CC0093">
        <w:rPr>
          <w:rFonts w:ascii="Times New Roman" w:hAnsi="Times New Roman"/>
          <w:sz w:val="18"/>
          <w:lang w:val="pt-BR"/>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pStyle w:val="Paragraph"/>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720"/>
        </w:tabs>
        <w:ind w:left="720" w:hanging="72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
    <w:nsid w:val="0B7B2ED5"/>
    <w:multiLevelType w:val="hybridMultilevel"/>
    <w:tmpl w:val="B7EC56B4"/>
    <w:lvl w:ilvl="0" w:tplc="04160001">
      <w:start w:val="1"/>
      <w:numFmt w:val="bullet"/>
      <w:lvlText w:val=""/>
      <w:lvlJc w:val="left"/>
      <w:pPr>
        <w:ind w:left="778" w:hanging="360"/>
      </w:pPr>
      <w:rPr>
        <w:rFonts w:ascii="Symbol" w:hAnsi="Symbol" w:hint="default"/>
      </w:rPr>
    </w:lvl>
    <w:lvl w:ilvl="1" w:tplc="04160003" w:tentative="1">
      <w:start w:val="1"/>
      <w:numFmt w:val="bullet"/>
      <w:lvlText w:val="o"/>
      <w:lvlJc w:val="left"/>
      <w:pPr>
        <w:ind w:left="1498" w:hanging="360"/>
      </w:pPr>
      <w:rPr>
        <w:rFonts w:ascii="Courier New" w:hAnsi="Courier New" w:cs="Courier New" w:hint="default"/>
      </w:rPr>
    </w:lvl>
    <w:lvl w:ilvl="2" w:tplc="04160005" w:tentative="1">
      <w:start w:val="1"/>
      <w:numFmt w:val="bullet"/>
      <w:lvlText w:val=""/>
      <w:lvlJc w:val="left"/>
      <w:pPr>
        <w:ind w:left="2218" w:hanging="360"/>
      </w:pPr>
      <w:rPr>
        <w:rFonts w:ascii="Wingdings" w:hAnsi="Wingdings" w:hint="default"/>
      </w:rPr>
    </w:lvl>
    <w:lvl w:ilvl="3" w:tplc="04160001" w:tentative="1">
      <w:start w:val="1"/>
      <w:numFmt w:val="bullet"/>
      <w:lvlText w:val=""/>
      <w:lvlJc w:val="left"/>
      <w:pPr>
        <w:ind w:left="2938" w:hanging="360"/>
      </w:pPr>
      <w:rPr>
        <w:rFonts w:ascii="Symbol" w:hAnsi="Symbol" w:hint="default"/>
      </w:rPr>
    </w:lvl>
    <w:lvl w:ilvl="4" w:tplc="04160003" w:tentative="1">
      <w:start w:val="1"/>
      <w:numFmt w:val="bullet"/>
      <w:lvlText w:val="o"/>
      <w:lvlJc w:val="left"/>
      <w:pPr>
        <w:ind w:left="3658" w:hanging="360"/>
      </w:pPr>
      <w:rPr>
        <w:rFonts w:ascii="Courier New" w:hAnsi="Courier New" w:cs="Courier New" w:hint="default"/>
      </w:rPr>
    </w:lvl>
    <w:lvl w:ilvl="5" w:tplc="04160005" w:tentative="1">
      <w:start w:val="1"/>
      <w:numFmt w:val="bullet"/>
      <w:lvlText w:val=""/>
      <w:lvlJc w:val="left"/>
      <w:pPr>
        <w:ind w:left="4378" w:hanging="360"/>
      </w:pPr>
      <w:rPr>
        <w:rFonts w:ascii="Wingdings" w:hAnsi="Wingdings" w:hint="default"/>
      </w:rPr>
    </w:lvl>
    <w:lvl w:ilvl="6" w:tplc="04160001" w:tentative="1">
      <w:start w:val="1"/>
      <w:numFmt w:val="bullet"/>
      <w:lvlText w:val=""/>
      <w:lvlJc w:val="left"/>
      <w:pPr>
        <w:ind w:left="5098" w:hanging="360"/>
      </w:pPr>
      <w:rPr>
        <w:rFonts w:ascii="Symbol" w:hAnsi="Symbol" w:hint="default"/>
      </w:rPr>
    </w:lvl>
    <w:lvl w:ilvl="7" w:tplc="04160003" w:tentative="1">
      <w:start w:val="1"/>
      <w:numFmt w:val="bullet"/>
      <w:lvlText w:val="o"/>
      <w:lvlJc w:val="left"/>
      <w:pPr>
        <w:ind w:left="5818" w:hanging="360"/>
      </w:pPr>
      <w:rPr>
        <w:rFonts w:ascii="Courier New" w:hAnsi="Courier New" w:cs="Courier New" w:hint="default"/>
      </w:rPr>
    </w:lvl>
    <w:lvl w:ilvl="8" w:tplc="04160005" w:tentative="1">
      <w:start w:val="1"/>
      <w:numFmt w:val="bullet"/>
      <w:lvlText w:val=""/>
      <w:lvlJc w:val="left"/>
      <w:pPr>
        <w:ind w:left="6538" w:hanging="360"/>
      </w:pPr>
      <w:rPr>
        <w:rFonts w:ascii="Wingdings" w:hAnsi="Wingdings" w:hint="default"/>
      </w:rPr>
    </w:lvl>
  </w:abstractNum>
  <w:abstractNum w:abstractNumId="2">
    <w:nsid w:val="277867B8"/>
    <w:multiLevelType w:val="multilevel"/>
    <w:tmpl w:val="336ABD72"/>
    <w:lvl w:ilvl="0">
      <w:start w:val="1"/>
      <w:numFmt w:val="decimal"/>
      <w:pStyle w:val="Ttulo1"/>
      <w:lvlText w:val="%1"/>
      <w:lvlJc w:val="left"/>
      <w:pPr>
        <w:tabs>
          <w:tab w:val="num" w:pos="720"/>
        </w:tabs>
        <w:ind w:left="720" w:hanging="720"/>
      </w:pPr>
    </w:lvl>
    <w:lvl w:ilvl="1">
      <w:start w:val="1"/>
      <w:numFmt w:val="decimal"/>
      <w:pStyle w:val="Ttulo2"/>
      <w:lvlText w:val="%1.%2"/>
      <w:lvlJc w:val="left"/>
      <w:pPr>
        <w:tabs>
          <w:tab w:val="num" w:pos="720"/>
        </w:tabs>
        <w:ind w:left="720" w:hanging="720"/>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1080"/>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
    <w:nsid w:val="2AA53F33"/>
    <w:multiLevelType w:val="hybridMultilevel"/>
    <w:tmpl w:val="0F42CE2C"/>
    <w:lvl w:ilvl="0" w:tplc="C23E353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E360A67"/>
    <w:multiLevelType w:val="hybridMultilevel"/>
    <w:tmpl w:val="692881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3E200A7D"/>
    <w:multiLevelType w:val="hybridMultilevel"/>
    <w:tmpl w:val="0C0474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9B91404"/>
    <w:multiLevelType w:val="multilevel"/>
    <w:tmpl w:val="97C00674"/>
    <w:lvl w:ilvl="0">
      <w:start w:val="1"/>
      <w:numFmt w:val="decimal"/>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7">
    <w:nsid w:val="520418FB"/>
    <w:multiLevelType w:val="multilevel"/>
    <w:tmpl w:val="BC0EF738"/>
    <w:lvl w:ilvl="0">
      <w:start w:val="2"/>
      <w:numFmt w:val="decimal"/>
      <w:lvlText w:val="%1"/>
      <w:lvlJc w:val="left"/>
      <w:pPr>
        <w:ind w:left="360" w:hanging="360"/>
      </w:pPr>
      <w:rPr>
        <w:rFonts w:hint="default"/>
      </w:rPr>
    </w:lvl>
    <w:lvl w:ilvl="1">
      <w:start w:val="1"/>
      <w:numFmt w:val="decimal"/>
      <w:lvlText w:val="%2."/>
      <w:lvlJc w:val="left"/>
      <w:pPr>
        <w:ind w:left="540" w:hanging="360"/>
      </w:pPr>
      <w:rPr>
        <w:rFonts w:ascii="Times New Roman" w:eastAsia="Calibri" w:hAnsi="Times New Roman" w:cs="Times New Roman"/>
        <w:i w:val="0"/>
        <w:color w:val="000000" w:themeColor="text1"/>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8">
    <w:nsid w:val="60740365"/>
    <w:multiLevelType w:val="hybridMultilevel"/>
    <w:tmpl w:val="CB0E6C60"/>
    <w:lvl w:ilvl="0" w:tplc="DA521DA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7"/>
  </w:num>
  <w:num w:numId="20">
    <w:abstractNumId w:val="3"/>
  </w:num>
  <w:num w:numId="21">
    <w:abstractNumId w:val="4"/>
  </w:num>
  <w:num w:numId="22">
    <w:abstractNumId w:val="0"/>
  </w:num>
  <w:num w:numId="23">
    <w:abstractNumId w:val="5"/>
  </w:num>
  <w:num w:numId="24">
    <w:abstractNumId w:val="0"/>
  </w:num>
  <w:num w:numId="25">
    <w:abstractNumId w:val="1"/>
  </w:num>
  <w:num w:numId="26">
    <w:abstractNumId w:val="8"/>
  </w:num>
  <w:num w:numId="2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5A2439"/>
    <w:rsid w:val="000006A5"/>
    <w:rsid w:val="00002A3D"/>
    <w:rsid w:val="000100B6"/>
    <w:rsid w:val="00013877"/>
    <w:rsid w:val="00044C4E"/>
    <w:rsid w:val="00052D3C"/>
    <w:rsid w:val="0005301A"/>
    <w:rsid w:val="00064CCE"/>
    <w:rsid w:val="00073823"/>
    <w:rsid w:val="00075ABB"/>
    <w:rsid w:val="00076EF4"/>
    <w:rsid w:val="00091005"/>
    <w:rsid w:val="000A7C7E"/>
    <w:rsid w:val="000B07BE"/>
    <w:rsid w:val="000B68D6"/>
    <w:rsid w:val="000C5898"/>
    <w:rsid w:val="001002E9"/>
    <w:rsid w:val="0010124F"/>
    <w:rsid w:val="00102EFF"/>
    <w:rsid w:val="00120587"/>
    <w:rsid w:val="00120CC4"/>
    <w:rsid w:val="00131629"/>
    <w:rsid w:val="00135427"/>
    <w:rsid w:val="00144AE0"/>
    <w:rsid w:val="00147C4A"/>
    <w:rsid w:val="00153702"/>
    <w:rsid w:val="001570FF"/>
    <w:rsid w:val="00162683"/>
    <w:rsid w:val="00164257"/>
    <w:rsid w:val="00187CAD"/>
    <w:rsid w:val="001D11F1"/>
    <w:rsid w:val="001D4186"/>
    <w:rsid w:val="001D485C"/>
    <w:rsid w:val="00201CE9"/>
    <w:rsid w:val="00210FDF"/>
    <w:rsid w:val="00212AFF"/>
    <w:rsid w:val="002160B1"/>
    <w:rsid w:val="00221A25"/>
    <w:rsid w:val="0022509B"/>
    <w:rsid w:val="00230B82"/>
    <w:rsid w:val="00232A63"/>
    <w:rsid w:val="00246E71"/>
    <w:rsid w:val="00267308"/>
    <w:rsid w:val="0027687D"/>
    <w:rsid w:val="00282575"/>
    <w:rsid w:val="002852F1"/>
    <w:rsid w:val="002934AA"/>
    <w:rsid w:val="0029552D"/>
    <w:rsid w:val="00295A44"/>
    <w:rsid w:val="002A05CE"/>
    <w:rsid w:val="002A3191"/>
    <w:rsid w:val="002A6819"/>
    <w:rsid w:val="002C034C"/>
    <w:rsid w:val="002D2499"/>
    <w:rsid w:val="002D60A5"/>
    <w:rsid w:val="003244F9"/>
    <w:rsid w:val="003360F8"/>
    <w:rsid w:val="00350337"/>
    <w:rsid w:val="003606BD"/>
    <w:rsid w:val="00365F64"/>
    <w:rsid w:val="003878AB"/>
    <w:rsid w:val="003A67C9"/>
    <w:rsid w:val="003B4C27"/>
    <w:rsid w:val="003C0AD2"/>
    <w:rsid w:val="003D2105"/>
    <w:rsid w:val="003D7D92"/>
    <w:rsid w:val="00400BD6"/>
    <w:rsid w:val="0040286B"/>
    <w:rsid w:val="004162E2"/>
    <w:rsid w:val="004253FC"/>
    <w:rsid w:val="00430D4A"/>
    <w:rsid w:val="00440340"/>
    <w:rsid w:val="00440BD8"/>
    <w:rsid w:val="004452B9"/>
    <w:rsid w:val="004801AD"/>
    <w:rsid w:val="004804D2"/>
    <w:rsid w:val="00483390"/>
    <w:rsid w:val="0048340B"/>
    <w:rsid w:val="004C627B"/>
    <w:rsid w:val="004D1C40"/>
    <w:rsid w:val="004E4FCB"/>
    <w:rsid w:val="004F2111"/>
    <w:rsid w:val="004F31BE"/>
    <w:rsid w:val="00520BD6"/>
    <w:rsid w:val="0052372F"/>
    <w:rsid w:val="0054232A"/>
    <w:rsid w:val="005509FF"/>
    <w:rsid w:val="00552CE7"/>
    <w:rsid w:val="00564A63"/>
    <w:rsid w:val="00567A79"/>
    <w:rsid w:val="0058171D"/>
    <w:rsid w:val="0058243B"/>
    <w:rsid w:val="00594A8B"/>
    <w:rsid w:val="00595707"/>
    <w:rsid w:val="00597344"/>
    <w:rsid w:val="005A2439"/>
    <w:rsid w:val="005C50A0"/>
    <w:rsid w:val="005D41A0"/>
    <w:rsid w:val="005E610F"/>
    <w:rsid w:val="00603F06"/>
    <w:rsid w:val="00607B32"/>
    <w:rsid w:val="006128ED"/>
    <w:rsid w:val="00623D54"/>
    <w:rsid w:val="00637970"/>
    <w:rsid w:val="00646DF1"/>
    <w:rsid w:val="00647903"/>
    <w:rsid w:val="00670008"/>
    <w:rsid w:val="006740B6"/>
    <w:rsid w:val="00675A54"/>
    <w:rsid w:val="00692EB4"/>
    <w:rsid w:val="00693182"/>
    <w:rsid w:val="006A68A1"/>
    <w:rsid w:val="006B1031"/>
    <w:rsid w:val="006B402F"/>
    <w:rsid w:val="006C3227"/>
    <w:rsid w:val="006F2B38"/>
    <w:rsid w:val="006F360D"/>
    <w:rsid w:val="0070146C"/>
    <w:rsid w:val="00714BE9"/>
    <w:rsid w:val="0072759D"/>
    <w:rsid w:val="00735BFE"/>
    <w:rsid w:val="0074478C"/>
    <w:rsid w:val="0076711A"/>
    <w:rsid w:val="007A3442"/>
    <w:rsid w:val="007B5D08"/>
    <w:rsid w:val="007C288C"/>
    <w:rsid w:val="007C4BA8"/>
    <w:rsid w:val="007E4049"/>
    <w:rsid w:val="007F17B5"/>
    <w:rsid w:val="007F2860"/>
    <w:rsid w:val="007F2BC5"/>
    <w:rsid w:val="00800598"/>
    <w:rsid w:val="00802429"/>
    <w:rsid w:val="008079F1"/>
    <w:rsid w:val="00820B03"/>
    <w:rsid w:val="0082268B"/>
    <w:rsid w:val="0082310E"/>
    <w:rsid w:val="008265A4"/>
    <w:rsid w:val="008373B2"/>
    <w:rsid w:val="008415B6"/>
    <w:rsid w:val="008758DE"/>
    <w:rsid w:val="0088315C"/>
    <w:rsid w:val="008900CB"/>
    <w:rsid w:val="008B03C6"/>
    <w:rsid w:val="008B651D"/>
    <w:rsid w:val="008C03AC"/>
    <w:rsid w:val="008D5166"/>
    <w:rsid w:val="008E104E"/>
    <w:rsid w:val="008E155D"/>
    <w:rsid w:val="00905AB5"/>
    <w:rsid w:val="00912326"/>
    <w:rsid w:val="00923BB8"/>
    <w:rsid w:val="00947E75"/>
    <w:rsid w:val="00951E0A"/>
    <w:rsid w:val="00961D44"/>
    <w:rsid w:val="00995E4B"/>
    <w:rsid w:val="009B001D"/>
    <w:rsid w:val="009B0D51"/>
    <w:rsid w:val="009B2D8A"/>
    <w:rsid w:val="009D2E31"/>
    <w:rsid w:val="009D7947"/>
    <w:rsid w:val="00A018BB"/>
    <w:rsid w:val="00A04EB0"/>
    <w:rsid w:val="00A22923"/>
    <w:rsid w:val="00A3285B"/>
    <w:rsid w:val="00A35B9D"/>
    <w:rsid w:val="00A81E29"/>
    <w:rsid w:val="00A82158"/>
    <w:rsid w:val="00AD63DC"/>
    <w:rsid w:val="00B025FF"/>
    <w:rsid w:val="00B04F49"/>
    <w:rsid w:val="00B145F2"/>
    <w:rsid w:val="00B2067D"/>
    <w:rsid w:val="00B329D7"/>
    <w:rsid w:val="00B5214A"/>
    <w:rsid w:val="00B52579"/>
    <w:rsid w:val="00B60534"/>
    <w:rsid w:val="00B614E7"/>
    <w:rsid w:val="00B75EE5"/>
    <w:rsid w:val="00B7671F"/>
    <w:rsid w:val="00B95A6C"/>
    <w:rsid w:val="00BA4509"/>
    <w:rsid w:val="00BB289F"/>
    <w:rsid w:val="00BC1045"/>
    <w:rsid w:val="00BD6B4B"/>
    <w:rsid w:val="00BF46DC"/>
    <w:rsid w:val="00BF5E1E"/>
    <w:rsid w:val="00C13078"/>
    <w:rsid w:val="00C2717F"/>
    <w:rsid w:val="00C6714E"/>
    <w:rsid w:val="00C6798B"/>
    <w:rsid w:val="00C865CD"/>
    <w:rsid w:val="00CA0F60"/>
    <w:rsid w:val="00CB70C1"/>
    <w:rsid w:val="00CC0093"/>
    <w:rsid w:val="00CC3345"/>
    <w:rsid w:val="00CC6364"/>
    <w:rsid w:val="00CD7B99"/>
    <w:rsid w:val="00D01276"/>
    <w:rsid w:val="00D01588"/>
    <w:rsid w:val="00D1045D"/>
    <w:rsid w:val="00D164B2"/>
    <w:rsid w:val="00D21B47"/>
    <w:rsid w:val="00D241B8"/>
    <w:rsid w:val="00D424AA"/>
    <w:rsid w:val="00D535E1"/>
    <w:rsid w:val="00D725D4"/>
    <w:rsid w:val="00D93C1A"/>
    <w:rsid w:val="00DA770C"/>
    <w:rsid w:val="00DB04BE"/>
    <w:rsid w:val="00DB1068"/>
    <w:rsid w:val="00DB154B"/>
    <w:rsid w:val="00DB50F8"/>
    <w:rsid w:val="00DD45FA"/>
    <w:rsid w:val="00DF6071"/>
    <w:rsid w:val="00E14999"/>
    <w:rsid w:val="00E215D0"/>
    <w:rsid w:val="00E3421D"/>
    <w:rsid w:val="00E433C7"/>
    <w:rsid w:val="00E558CD"/>
    <w:rsid w:val="00E56397"/>
    <w:rsid w:val="00E57FB6"/>
    <w:rsid w:val="00E662DC"/>
    <w:rsid w:val="00E84463"/>
    <w:rsid w:val="00E85FFF"/>
    <w:rsid w:val="00EA7AEE"/>
    <w:rsid w:val="00EB0BD3"/>
    <w:rsid w:val="00EB0CC2"/>
    <w:rsid w:val="00EB6382"/>
    <w:rsid w:val="00EB7857"/>
    <w:rsid w:val="00EC788A"/>
    <w:rsid w:val="00ED34EB"/>
    <w:rsid w:val="00ED7B08"/>
    <w:rsid w:val="00F05D26"/>
    <w:rsid w:val="00F22618"/>
    <w:rsid w:val="00F31804"/>
    <w:rsid w:val="00F52D7B"/>
    <w:rsid w:val="00F70A42"/>
    <w:rsid w:val="00F868E7"/>
    <w:rsid w:val="00FB254D"/>
    <w:rsid w:val="00FB304E"/>
    <w:rsid w:val="00FC1386"/>
    <w:rsid w:val="00FE042D"/>
    <w:rsid w:val="00FF3E74"/>
    <w:rsid w:val="00FF742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439"/>
    <w:pPr>
      <w:spacing w:after="200" w:line="276" w:lineRule="auto"/>
      <w:jc w:val="left"/>
    </w:pPr>
    <w:rPr>
      <w:noProof/>
      <w:sz w:val="22"/>
      <w:szCs w:val="22"/>
      <w:lang w:val="es-ES"/>
    </w:rPr>
  </w:style>
  <w:style w:type="paragraph" w:styleId="Ttulo1">
    <w:name w:val="heading 1"/>
    <w:aliases w:val="Heading 1-Agriteam"/>
    <w:basedOn w:val="Normal"/>
    <w:next w:val="Normal"/>
    <w:link w:val="Ttulo1Char"/>
    <w:qFormat/>
    <w:rsid w:val="00C865CD"/>
    <w:pPr>
      <w:keepNext/>
      <w:numPr>
        <w:numId w:val="18"/>
      </w:numPr>
      <w:pBdr>
        <w:bottom w:val="single" w:sz="12" w:space="12" w:color="auto"/>
      </w:pBdr>
      <w:spacing w:after="240" w:line="240" w:lineRule="auto"/>
      <w:outlineLvl w:val="0"/>
    </w:pPr>
    <w:rPr>
      <w:rFonts w:eastAsia="Times New Roman"/>
      <w:b/>
      <w:caps/>
      <w:sz w:val="32"/>
    </w:rPr>
  </w:style>
  <w:style w:type="paragraph" w:styleId="Ttulo2">
    <w:name w:val="heading 2"/>
    <w:aliases w:val="Heading 2-Agriteam"/>
    <w:basedOn w:val="Normal"/>
    <w:next w:val="Normal"/>
    <w:link w:val="Ttulo2Char"/>
    <w:qFormat/>
    <w:rsid w:val="00C865CD"/>
    <w:pPr>
      <w:keepNext/>
      <w:numPr>
        <w:ilvl w:val="1"/>
        <w:numId w:val="18"/>
      </w:numPr>
      <w:spacing w:before="120" w:after="120"/>
      <w:outlineLvl w:val="1"/>
    </w:pPr>
    <w:rPr>
      <w:rFonts w:eastAsia="Times New Roman"/>
      <w:b/>
      <w:sz w:val="26"/>
    </w:rPr>
  </w:style>
  <w:style w:type="paragraph" w:styleId="Ttulo3">
    <w:name w:val="heading 3"/>
    <w:aliases w:val="Heading 3-Agriteam"/>
    <w:basedOn w:val="Normal"/>
    <w:next w:val="Normal"/>
    <w:link w:val="Ttulo3Char"/>
    <w:qFormat/>
    <w:rsid w:val="00C865CD"/>
    <w:pPr>
      <w:keepNext/>
      <w:numPr>
        <w:ilvl w:val="2"/>
        <w:numId w:val="18"/>
      </w:numPr>
      <w:spacing w:before="120"/>
      <w:outlineLvl w:val="2"/>
    </w:pPr>
    <w:rPr>
      <w:rFonts w:eastAsia="Times New Roman"/>
      <w:b/>
      <w:snapToGrid w:val="0"/>
      <w:color w:val="000000"/>
    </w:rPr>
  </w:style>
  <w:style w:type="paragraph" w:styleId="Ttulo4">
    <w:name w:val="heading 4"/>
    <w:basedOn w:val="Normal"/>
    <w:next w:val="Normal"/>
    <w:link w:val="Ttulo4Char"/>
    <w:qFormat/>
    <w:rsid w:val="00C865CD"/>
    <w:pPr>
      <w:keepNext/>
      <w:numPr>
        <w:ilvl w:val="3"/>
        <w:numId w:val="18"/>
      </w:numPr>
      <w:spacing w:before="120"/>
      <w:outlineLvl w:val="3"/>
    </w:pPr>
    <w:rPr>
      <w:rFonts w:eastAsia="Times New Roman"/>
      <w:b/>
      <w:i/>
    </w:rPr>
  </w:style>
  <w:style w:type="paragraph" w:styleId="Ttulo5">
    <w:name w:val="heading 5"/>
    <w:basedOn w:val="Normal"/>
    <w:next w:val="Normal"/>
    <w:link w:val="Ttulo5Char"/>
    <w:qFormat/>
    <w:rsid w:val="00C865CD"/>
    <w:pPr>
      <w:keepNext/>
      <w:numPr>
        <w:ilvl w:val="4"/>
        <w:numId w:val="18"/>
      </w:numPr>
      <w:outlineLvl w:val="4"/>
    </w:pPr>
    <w:rPr>
      <w:rFonts w:eastAsia="Times New Roman"/>
    </w:rPr>
  </w:style>
  <w:style w:type="paragraph" w:styleId="Ttulo6">
    <w:name w:val="heading 6"/>
    <w:basedOn w:val="Normal"/>
    <w:next w:val="Normal"/>
    <w:link w:val="Ttulo6Char"/>
    <w:qFormat/>
    <w:rsid w:val="00C865CD"/>
    <w:pPr>
      <w:numPr>
        <w:ilvl w:val="5"/>
        <w:numId w:val="18"/>
      </w:numPr>
      <w:spacing w:before="240" w:after="60"/>
      <w:outlineLvl w:val="5"/>
    </w:pPr>
    <w:rPr>
      <w:rFonts w:eastAsia="Times New Roman"/>
      <w:i/>
    </w:rPr>
  </w:style>
  <w:style w:type="paragraph" w:styleId="Ttulo7">
    <w:name w:val="heading 7"/>
    <w:basedOn w:val="Normal"/>
    <w:next w:val="Normal"/>
    <w:link w:val="Ttulo7Char"/>
    <w:qFormat/>
    <w:rsid w:val="00C865CD"/>
    <w:pPr>
      <w:numPr>
        <w:ilvl w:val="6"/>
        <w:numId w:val="18"/>
      </w:numPr>
      <w:spacing w:before="240" w:after="60"/>
      <w:outlineLvl w:val="6"/>
    </w:pPr>
    <w:rPr>
      <w:rFonts w:eastAsia="Times New Roman"/>
      <w:sz w:val="20"/>
    </w:rPr>
  </w:style>
  <w:style w:type="paragraph" w:styleId="Ttulo8">
    <w:name w:val="heading 8"/>
    <w:basedOn w:val="Normal"/>
    <w:next w:val="Normal"/>
    <w:link w:val="Ttulo8Char"/>
    <w:qFormat/>
    <w:rsid w:val="00C865CD"/>
    <w:pPr>
      <w:numPr>
        <w:ilvl w:val="7"/>
        <w:numId w:val="18"/>
      </w:numPr>
      <w:spacing w:before="240" w:after="60"/>
      <w:outlineLvl w:val="7"/>
    </w:pPr>
    <w:rPr>
      <w:rFonts w:eastAsia="Times New Roman"/>
      <w:i/>
      <w:sz w:val="20"/>
    </w:rPr>
  </w:style>
  <w:style w:type="paragraph" w:styleId="Ttulo9">
    <w:name w:val="heading 9"/>
    <w:basedOn w:val="Normal"/>
    <w:next w:val="Normal"/>
    <w:link w:val="Ttulo9Char"/>
    <w:qFormat/>
    <w:rsid w:val="00C865CD"/>
    <w:pPr>
      <w:numPr>
        <w:ilvl w:val="8"/>
        <w:numId w:val="18"/>
      </w:numPr>
      <w:spacing w:before="240" w:after="60"/>
      <w:outlineLvl w:val="8"/>
    </w:pPr>
    <w:rPr>
      <w:rFonts w:eastAsia="Times New Roman"/>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Heading 1-Agriteam Char"/>
    <w:basedOn w:val="Fontepargpadro"/>
    <w:link w:val="Ttulo1"/>
    <w:rsid w:val="00C865CD"/>
    <w:rPr>
      <w:rFonts w:ascii="Times New Roman" w:eastAsia="Times New Roman" w:hAnsi="Times New Roman"/>
      <w:b/>
      <w:caps/>
      <w:sz w:val="32"/>
    </w:rPr>
  </w:style>
  <w:style w:type="character" w:customStyle="1" w:styleId="Ttulo2Char">
    <w:name w:val="Título 2 Char"/>
    <w:aliases w:val="Heading 2-Agriteam Char"/>
    <w:basedOn w:val="Fontepargpadro"/>
    <w:link w:val="Ttulo2"/>
    <w:rsid w:val="00C865CD"/>
    <w:rPr>
      <w:rFonts w:ascii="Times New Roman" w:eastAsia="Times New Roman" w:hAnsi="Times New Roman"/>
      <w:b/>
      <w:sz w:val="26"/>
    </w:rPr>
  </w:style>
  <w:style w:type="character" w:customStyle="1" w:styleId="Ttulo3Char">
    <w:name w:val="Título 3 Char"/>
    <w:aliases w:val="Heading 3-Agriteam Char"/>
    <w:basedOn w:val="Fontepargpadro"/>
    <w:link w:val="Ttulo3"/>
    <w:rsid w:val="00C865CD"/>
    <w:rPr>
      <w:rFonts w:ascii="Times New Roman" w:eastAsia="Times New Roman" w:hAnsi="Times New Roman"/>
      <w:b/>
      <w:snapToGrid w:val="0"/>
      <w:color w:val="000000"/>
      <w:sz w:val="22"/>
    </w:rPr>
  </w:style>
  <w:style w:type="character" w:customStyle="1" w:styleId="Ttulo4Char">
    <w:name w:val="Título 4 Char"/>
    <w:basedOn w:val="Fontepargpadro"/>
    <w:link w:val="Ttulo4"/>
    <w:rsid w:val="00C865CD"/>
    <w:rPr>
      <w:rFonts w:ascii="Times New Roman" w:eastAsia="Times New Roman" w:hAnsi="Times New Roman"/>
      <w:b/>
      <w:i/>
      <w:sz w:val="22"/>
    </w:rPr>
  </w:style>
  <w:style w:type="character" w:customStyle="1" w:styleId="Ttulo5Char">
    <w:name w:val="Título 5 Char"/>
    <w:basedOn w:val="Fontepargpadro"/>
    <w:link w:val="Ttulo5"/>
    <w:rsid w:val="00C865CD"/>
    <w:rPr>
      <w:rFonts w:ascii="Times New Roman" w:eastAsia="Times New Roman" w:hAnsi="Times New Roman"/>
      <w:sz w:val="22"/>
    </w:rPr>
  </w:style>
  <w:style w:type="character" w:customStyle="1" w:styleId="Ttulo6Char">
    <w:name w:val="Título 6 Char"/>
    <w:basedOn w:val="Fontepargpadro"/>
    <w:link w:val="Ttulo6"/>
    <w:rsid w:val="00C865CD"/>
    <w:rPr>
      <w:rFonts w:ascii="Times New Roman" w:eastAsia="Times New Roman" w:hAnsi="Times New Roman"/>
      <w:i/>
      <w:sz w:val="22"/>
    </w:rPr>
  </w:style>
  <w:style w:type="character" w:customStyle="1" w:styleId="Ttulo7Char">
    <w:name w:val="Título 7 Char"/>
    <w:basedOn w:val="Fontepargpadro"/>
    <w:link w:val="Ttulo7"/>
    <w:rsid w:val="00C865CD"/>
    <w:rPr>
      <w:rFonts w:ascii="Times New Roman" w:eastAsia="Times New Roman" w:hAnsi="Times New Roman"/>
    </w:rPr>
  </w:style>
  <w:style w:type="character" w:customStyle="1" w:styleId="Ttulo8Char">
    <w:name w:val="Título 8 Char"/>
    <w:basedOn w:val="Fontepargpadro"/>
    <w:link w:val="Ttulo8"/>
    <w:rsid w:val="00C865CD"/>
    <w:rPr>
      <w:rFonts w:ascii="Times New Roman" w:eastAsia="Times New Roman" w:hAnsi="Times New Roman"/>
      <w:i/>
    </w:rPr>
  </w:style>
  <w:style w:type="character" w:customStyle="1" w:styleId="Ttulo9Char">
    <w:name w:val="Título 9 Char"/>
    <w:basedOn w:val="Fontepargpadro"/>
    <w:link w:val="Ttulo9"/>
    <w:rsid w:val="00C865CD"/>
    <w:rPr>
      <w:rFonts w:ascii="Times New Roman" w:eastAsia="Times New Roman" w:hAnsi="Times New Roman"/>
      <w:i/>
      <w:sz w:val="18"/>
    </w:rPr>
  </w:style>
  <w:style w:type="paragraph" w:styleId="Sumrio1">
    <w:name w:val="toc 1"/>
    <w:basedOn w:val="Normal"/>
    <w:next w:val="Normal"/>
    <w:autoRedefine/>
    <w:uiPriority w:val="39"/>
    <w:unhideWhenUsed/>
    <w:qFormat/>
    <w:rsid w:val="00C865CD"/>
    <w:pPr>
      <w:spacing w:after="100"/>
    </w:pPr>
    <w:rPr>
      <w:rFonts w:asciiTheme="minorHAnsi" w:eastAsiaTheme="minorEastAsia" w:hAnsiTheme="minorHAnsi" w:cstheme="minorBidi"/>
    </w:rPr>
  </w:style>
  <w:style w:type="paragraph" w:styleId="Sumrio2">
    <w:name w:val="toc 2"/>
    <w:basedOn w:val="Normal"/>
    <w:next w:val="Normal"/>
    <w:autoRedefine/>
    <w:uiPriority w:val="39"/>
    <w:unhideWhenUsed/>
    <w:qFormat/>
    <w:rsid w:val="00C865CD"/>
    <w:pPr>
      <w:spacing w:after="100"/>
      <w:ind w:left="220"/>
    </w:pPr>
    <w:rPr>
      <w:rFonts w:asciiTheme="minorHAnsi" w:eastAsiaTheme="minorEastAsia" w:hAnsiTheme="minorHAnsi" w:cstheme="minorBidi"/>
    </w:rPr>
  </w:style>
  <w:style w:type="paragraph" w:styleId="Sumrio3">
    <w:name w:val="toc 3"/>
    <w:basedOn w:val="Normal"/>
    <w:next w:val="Normal"/>
    <w:autoRedefine/>
    <w:uiPriority w:val="39"/>
    <w:unhideWhenUsed/>
    <w:qFormat/>
    <w:rsid w:val="00C865CD"/>
    <w:pPr>
      <w:spacing w:after="100"/>
      <w:ind w:left="440"/>
    </w:pPr>
    <w:rPr>
      <w:rFonts w:asciiTheme="minorHAnsi" w:eastAsiaTheme="minorEastAsia" w:hAnsiTheme="minorHAnsi" w:cstheme="minorBidi"/>
    </w:rPr>
  </w:style>
  <w:style w:type="character" w:styleId="Forte">
    <w:name w:val="Strong"/>
    <w:basedOn w:val="Fontepargpadro"/>
    <w:uiPriority w:val="22"/>
    <w:qFormat/>
    <w:rsid w:val="00C865CD"/>
    <w:rPr>
      <w:b/>
      <w:bCs/>
    </w:rPr>
  </w:style>
  <w:style w:type="paragraph" w:styleId="SemEspaamento">
    <w:name w:val="No Spacing"/>
    <w:link w:val="SemEspaamentoChar"/>
    <w:uiPriority w:val="1"/>
    <w:qFormat/>
    <w:rsid w:val="00C865CD"/>
    <w:pPr>
      <w:overflowPunct w:val="0"/>
      <w:autoSpaceDE w:val="0"/>
      <w:autoSpaceDN w:val="0"/>
      <w:adjustRightInd w:val="0"/>
      <w:textAlignment w:val="baseline"/>
    </w:pPr>
    <w:rPr>
      <w:rFonts w:ascii="Times New Roman" w:eastAsia="Times New Roman" w:hAnsi="Times New Roman"/>
      <w:lang w:val="en-CA"/>
    </w:rPr>
  </w:style>
  <w:style w:type="character" w:customStyle="1" w:styleId="SemEspaamentoChar">
    <w:name w:val="Sem Espaçamento Char"/>
    <w:basedOn w:val="Fontepargpadro"/>
    <w:link w:val="SemEspaamento"/>
    <w:uiPriority w:val="1"/>
    <w:rsid w:val="00C865CD"/>
    <w:rPr>
      <w:rFonts w:ascii="Times New Roman" w:eastAsia="Times New Roman" w:hAnsi="Times New Roman"/>
      <w:lang w:val="en-CA" w:eastAsia="en-US" w:bidi="ar-SA"/>
    </w:rPr>
  </w:style>
  <w:style w:type="paragraph" w:styleId="PargrafodaLista">
    <w:name w:val="List Paragraph"/>
    <w:basedOn w:val="Normal"/>
    <w:uiPriority w:val="99"/>
    <w:qFormat/>
    <w:rsid w:val="00C865CD"/>
    <w:pPr>
      <w:ind w:left="720"/>
    </w:pPr>
    <w:rPr>
      <w:rFonts w:eastAsia="Times New Roman"/>
    </w:rPr>
  </w:style>
  <w:style w:type="paragraph" w:styleId="CabealhodoSumrio">
    <w:name w:val="TOC Heading"/>
    <w:basedOn w:val="Ttulo1"/>
    <w:next w:val="Normal"/>
    <w:uiPriority w:val="39"/>
    <w:unhideWhenUsed/>
    <w:qFormat/>
    <w:rsid w:val="00C865CD"/>
    <w:pPr>
      <w:keepLines/>
      <w:numPr>
        <w:numId w:val="0"/>
      </w:numPr>
      <w:pBdr>
        <w:bottom w:val="none" w:sz="0" w:space="0" w:color="auto"/>
      </w:pBdr>
      <w:spacing w:before="480" w:after="0" w:line="276" w:lineRule="auto"/>
      <w:outlineLvl w:val="9"/>
    </w:pPr>
    <w:rPr>
      <w:rFonts w:asciiTheme="majorHAnsi" w:eastAsiaTheme="majorEastAsia" w:hAnsiTheme="majorHAnsi" w:cstheme="majorBidi"/>
      <w:bCs/>
      <w:caps w:val="0"/>
      <w:color w:val="365F91" w:themeColor="accent1" w:themeShade="BF"/>
      <w:sz w:val="28"/>
      <w:szCs w:val="28"/>
    </w:rPr>
  </w:style>
  <w:style w:type="paragraph" w:customStyle="1" w:styleId="ColorfulList-Accent11">
    <w:name w:val="Colorful List - Accent 11"/>
    <w:basedOn w:val="Normal"/>
    <w:uiPriority w:val="34"/>
    <w:qFormat/>
    <w:rsid w:val="00C865CD"/>
    <w:pPr>
      <w:spacing w:line="240" w:lineRule="auto"/>
      <w:ind w:left="720"/>
    </w:pPr>
    <w:rPr>
      <w:rFonts w:eastAsia="Times New Roman"/>
      <w:sz w:val="24"/>
      <w:szCs w:val="24"/>
    </w:rPr>
  </w:style>
  <w:style w:type="paragraph" w:styleId="Ttulo">
    <w:name w:val="Title"/>
    <w:basedOn w:val="Normal"/>
    <w:link w:val="TtuloChar"/>
    <w:qFormat/>
    <w:rsid w:val="005A2439"/>
    <w:pPr>
      <w:tabs>
        <w:tab w:val="left" w:pos="1440"/>
        <w:tab w:val="left" w:pos="3060"/>
      </w:tabs>
      <w:spacing w:after="0" w:line="240" w:lineRule="auto"/>
      <w:jc w:val="center"/>
      <w:outlineLvl w:val="0"/>
    </w:pPr>
    <w:rPr>
      <w:rFonts w:ascii="Times New Roman" w:eastAsia="Times New Roman" w:hAnsi="Times New Roman"/>
      <w:noProof w:val="0"/>
      <w:sz w:val="24"/>
      <w:szCs w:val="24"/>
    </w:rPr>
  </w:style>
  <w:style w:type="character" w:customStyle="1" w:styleId="TtuloChar">
    <w:name w:val="Título Char"/>
    <w:basedOn w:val="Fontepargpadro"/>
    <w:link w:val="Ttulo"/>
    <w:rsid w:val="005A2439"/>
    <w:rPr>
      <w:rFonts w:ascii="Times New Roman" w:eastAsia="Times New Roman" w:hAnsi="Times New Roman"/>
      <w:sz w:val="24"/>
      <w:szCs w:val="24"/>
      <w:lang w:val="es-ES"/>
    </w:rPr>
  </w:style>
  <w:style w:type="character" w:styleId="Hyperlink">
    <w:name w:val="Hyperlink"/>
    <w:basedOn w:val="Fontepargpadro"/>
    <w:uiPriority w:val="99"/>
    <w:unhideWhenUsed/>
    <w:rsid w:val="00187CAD"/>
    <w:rPr>
      <w:color w:val="0000FF" w:themeColor="hyperlink"/>
      <w:u w:val="single"/>
    </w:rPr>
  </w:style>
  <w:style w:type="table" w:styleId="Tabelacomgrade">
    <w:name w:val="Table Grid"/>
    <w:basedOn w:val="Tabelanormal"/>
    <w:uiPriority w:val="59"/>
    <w:rsid w:val="008758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
    <w:name w:val="Paragraph"/>
    <w:basedOn w:val="Recuodecorpodetexto"/>
    <w:rsid w:val="007C288C"/>
    <w:pPr>
      <w:numPr>
        <w:numId w:val="22"/>
      </w:numPr>
      <w:suppressAutoHyphens/>
      <w:spacing w:before="120" w:line="240" w:lineRule="auto"/>
      <w:jc w:val="both"/>
    </w:pPr>
    <w:rPr>
      <w:rFonts w:ascii="Times New Roman" w:eastAsia="Times New Roman" w:hAnsi="Times New Roman"/>
      <w:noProof w:val="0"/>
      <w:sz w:val="24"/>
      <w:szCs w:val="20"/>
      <w:lang w:val="es-ES_tradnl" w:eastAsia="zh-CN"/>
    </w:rPr>
  </w:style>
  <w:style w:type="paragraph" w:styleId="Recuodecorpodetexto">
    <w:name w:val="Body Text Indent"/>
    <w:basedOn w:val="Normal"/>
    <w:link w:val="RecuodecorpodetextoChar"/>
    <w:uiPriority w:val="99"/>
    <w:semiHidden/>
    <w:unhideWhenUsed/>
    <w:rsid w:val="007C288C"/>
    <w:pPr>
      <w:spacing w:after="120"/>
      <w:ind w:left="283"/>
    </w:pPr>
  </w:style>
  <w:style w:type="character" w:customStyle="1" w:styleId="RecuodecorpodetextoChar">
    <w:name w:val="Recuo de corpo de texto Char"/>
    <w:basedOn w:val="Fontepargpadro"/>
    <w:link w:val="Recuodecorpodetexto"/>
    <w:uiPriority w:val="99"/>
    <w:semiHidden/>
    <w:rsid w:val="007C288C"/>
    <w:rPr>
      <w:noProof/>
      <w:sz w:val="22"/>
      <w:szCs w:val="22"/>
      <w:lang w:val="es-ES"/>
    </w:rPr>
  </w:style>
  <w:style w:type="character" w:customStyle="1" w:styleId="WW8Num39z0">
    <w:name w:val="WW8Num39z0"/>
    <w:uiPriority w:val="99"/>
    <w:rsid w:val="007C288C"/>
    <w:rPr>
      <w:color w:val="auto"/>
    </w:rPr>
  </w:style>
  <w:style w:type="paragraph" w:styleId="Textodebalo">
    <w:name w:val="Balloon Text"/>
    <w:basedOn w:val="Normal"/>
    <w:link w:val="TextodebaloChar"/>
    <w:uiPriority w:val="99"/>
    <w:semiHidden/>
    <w:unhideWhenUsed/>
    <w:rsid w:val="00923BB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23BB8"/>
    <w:rPr>
      <w:rFonts w:ascii="Tahoma" w:hAnsi="Tahoma" w:cs="Tahoma"/>
      <w:noProof/>
      <w:sz w:val="16"/>
      <w:szCs w:val="16"/>
      <w:lang w:val="es-ES"/>
    </w:rPr>
  </w:style>
  <w:style w:type="paragraph" w:styleId="Corpodetexto">
    <w:name w:val="Body Text"/>
    <w:basedOn w:val="Normal"/>
    <w:link w:val="CorpodetextoChar"/>
    <w:uiPriority w:val="99"/>
    <w:semiHidden/>
    <w:unhideWhenUsed/>
    <w:rsid w:val="00EB0CC2"/>
    <w:pPr>
      <w:spacing w:after="120"/>
    </w:pPr>
  </w:style>
  <w:style w:type="character" w:customStyle="1" w:styleId="CorpodetextoChar">
    <w:name w:val="Corpo de texto Char"/>
    <w:basedOn w:val="Fontepargpadro"/>
    <w:link w:val="Corpodetexto"/>
    <w:uiPriority w:val="99"/>
    <w:semiHidden/>
    <w:rsid w:val="00EB0CC2"/>
    <w:rPr>
      <w:noProof/>
      <w:sz w:val="22"/>
      <w:szCs w:val="22"/>
      <w:lang w:val="es-ES"/>
    </w:rPr>
  </w:style>
  <w:style w:type="paragraph" w:styleId="Textodenotaderodap">
    <w:name w:val="footnote text"/>
    <w:basedOn w:val="Normal"/>
    <w:link w:val="TextodenotaderodapChar"/>
    <w:uiPriority w:val="99"/>
    <w:semiHidden/>
    <w:unhideWhenUsed/>
    <w:rsid w:val="00951E0A"/>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951E0A"/>
    <w:rPr>
      <w:noProof/>
      <w:lang w:val="es-ES"/>
    </w:rPr>
  </w:style>
  <w:style w:type="character" w:styleId="Refdenotaderodap">
    <w:name w:val="footnote reference"/>
    <w:basedOn w:val="Fontepargpadro"/>
    <w:uiPriority w:val="99"/>
    <w:semiHidden/>
    <w:unhideWhenUsed/>
    <w:rsid w:val="00951E0A"/>
    <w:rPr>
      <w:vertAlign w:val="superscript"/>
    </w:rPr>
  </w:style>
  <w:style w:type="paragraph" w:styleId="Recuodecorpodetexto2">
    <w:name w:val="Body Text Indent 2"/>
    <w:basedOn w:val="Normal"/>
    <w:link w:val="Recuodecorpodetexto2Char"/>
    <w:uiPriority w:val="99"/>
    <w:unhideWhenUsed/>
    <w:rsid w:val="0082268B"/>
    <w:pPr>
      <w:spacing w:before="240" w:after="0" w:line="240" w:lineRule="auto"/>
      <w:ind w:left="360"/>
      <w:jc w:val="center"/>
    </w:pPr>
    <w:rPr>
      <w:rFonts w:ascii="Times New Roman" w:hAnsi="Times New Roman"/>
      <w:noProof w:val="0"/>
      <w:color w:val="000000" w:themeColor="text1"/>
      <w:sz w:val="24"/>
      <w:szCs w:val="24"/>
      <w:lang w:val="pt-BR"/>
    </w:rPr>
  </w:style>
  <w:style w:type="character" w:customStyle="1" w:styleId="Recuodecorpodetexto2Char">
    <w:name w:val="Recuo de corpo de texto 2 Char"/>
    <w:basedOn w:val="Fontepargpadro"/>
    <w:link w:val="Recuodecorpodetexto2"/>
    <w:uiPriority w:val="99"/>
    <w:rsid w:val="0082268B"/>
    <w:rPr>
      <w:rFonts w:ascii="Times New Roman" w:hAnsi="Times New Roman"/>
      <w:color w:val="000000" w:themeColor="text1"/>
      <w:sz w:val="24"/>
      <w:szCs w:val="24"/>
      <w:lang w:val="pt-BR"/>
    </w:rPr>
  </w:style>
  <w:style w:type="paragraph" w:styleId="Corpodetexto2">
    <w:name w:val="Body Text 2"/>
    <w:basedOn w:val="Normal"/>
    <w:link w:val="Corpodetexto2Char"/>
    <w:uiPriority w:val="99"/>
    <w:unhideWhenUsed/>
    <w:rsid w:val="00DA770C"/>
    <w:pPr>
      <w:spacing w:before="240" w:after="0" w:line="240" w:lineRule="auto"/>
      <w:jc w:val="both"/>
    </w:pPr>
    <w:rPr>
      <w:rFonts w:ascii="Times New Roman" w:hAnsi="Times New Roman"/>
      <w:noProof w:val="0"/>
      <w:color w:val="000000" w:themeColor="text1"/>
      <w:lang w:val="pt-BR"/>
    </w:rPr>
  </w:style>
  <w:style w:type="character" w:customStyle="1" w:styleId="Corpodetexto2Char">
    <w:name w:val="Corpo de texto 2 Char"/>
    <w:basedOn w:val="Fontepargpadro"/>
    <w:link w:val="Corpodetexto2"/>
    <w:uiPriority w:val="99"/>
    <w:rsid w:val="00DA770C"/>
    <w:rPr>
      <w:rFonts w:ascii="Times New Roman" w:hAnsi="Times New Roman"/>
      <w:color w:val="000000" w:themeColor="text1"/>
      <w:sz w:val="22"/>
      <w:szCs w:val="22"/>
      <w:lang w:val="pt-BR"/>
    </w:rPr>
  </w:style>
  <w:style w:type="character" w:customStyle="1" w:styleId="apple-converted-space">
    <w:name w:val="apple-converted-space"/>
    <w:basedOn w:val="Fontepargpadro"/>
    <w:rsid w:val="00B75E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439"/>
    <w:pPr>
      <w:spacing w:after="200" w:line="276" w:lineRule="auto"/>
      <w:jc w:val="left"/>
    </w:pPr>
    <w:rPr>
      <w:noProof/>
      <w:sz w:val="22"/>
      <w:szCs w:val="22"/>
      <w:lang w:val="es-ES"/>
    </w:rPr>
  </w:style>
  <w:style w:type="paragraph" w:styleId="Ttulo1">
    <w:name w:val="heading 1"/>
    <w:aliases w:val="Heading 1-Agriteam"/>
    <w:basedOn w:val="Normal"/>
    <w:next w:val="Normal"/>
    <w:link w:val="Ttulo1Char"/>
    <w:qFormat/>
    <w:rsid w:val="00C865CD"/>
    <w:pPr>
      <w:keepNext/>
      <w:numPr>
        <w:numId w:val="18"/>
      </w:numPr>
      <w:pBdr>
        <w:bottom w:val="single" w:sz="12" w:space="12" w:color="auto"/>
      </w:pBdr>
      <w:spacing w:after="240" w:line="240" w:lineRule="auto"/>
      <w:outlineLvl w:val="0"/>
    </w:pPr>
    <w:rPr>
      <w:rFonts w:eastAsia="Times New Roman"/>
      <w:b/>
      <w:caps/>
      <w:sz w:val="32"/>
    </w:rPr>
  </w:style>
  <w:style w:type="paragraph" w:styleId="Ttulo2">
    <w:name w:val="heading 2"/>
    <w:aliases w:val="Heading 2-Agriteam"/>
    <w:basedOn w:val="Normal"/>
    <w:next w:val="Normal"/>
    <w:link w:val="Ttulo2Char"/>
    <w:qFormat/>
    <w:rsid w:val="00C865CD"/>
    <w:pPr>
      <w:keepNext/>
      <w:numPr>
        <w:ilvl w:val="1"/>
        <w:numId w:val="18"/>
      </w:numPr>
      <w:spacing w:before="120" w:after="120"/>
      <w:outlineLvl w:val="1"/>
    </w:pPr>
    <w:rPr>
      <w:rFonts w:eastAsia="Times New Roman"/>
      <w:b/>
      <w:sz w:val="26"/>
    </w:rPr>
  </w:style>
  <w:style w:type="paragraph" w:styleId="Ttulo3">
    <w:name w:val="heading 3"/>
    <w:aliases w:val="Heading 3-Agriteam"/>
    <w:basedOn w:val="Normal"/>
    <w:next w:val="Normal"/>
    <w:link w:val="Ttulo3Char"/>
    <w:qFormat/>
    <w:rsid w:val="00C865CD"/>
    <w:pPr>
      <w:keepNext/>
      <w:numPr>
        <w:ilvl w:val="2"/>
        <w:numId w:val="18"/>
      </w:numPr>
      <w:spacing w:before="120"/>
      <w:outlineLvl w:val="2"/>
    </w:pPr>
    <w:rPr>
      <w:rFonts w:eastAsia="Times New Roman"/>
      <w:b/>
      <w:snapToGrid w:val="0"/>
      <w:color w:val="000000"/>
    </w:rPr>
  </w:style>
  <w:style w:type="paragraph" w:styleId="Ttulo4">
    <w:name w:val="heading 4"/>
    <w:basedOn w:val="Normal"/>
    <w:next w:val="Normal"/>
    <w:link w:val="Ttulo4Char"/>
    <w:qFormat/>
    <w:rsid w:val="00C865CD"/>
    <w:pPr>
      <w:keepNext/>
      <w:numPr>
        <w:ilvl w:val="3"/>
        <w:numId w:val="18"/>
      </w:numPr>
      <w:spacing w:before="120"/>
      <w:outlineLvl w:val="3"/>
    </w:pPr>
    <w:rPr>
      <w:rFonts w:eastAsia="Times New Roman"/>
      <w:b/>
      <w:i/>
    </w:rPr>
  </w:style>
  <w:style w:type="paragraph" w:styleId="Ttulo5">
    <w:name w:val="heading 5"/>
    <w:basedOn w:val="Normal"/>
    <w:next w:val="Normal"/>
    <w:link w:val="Ttulo5Char"/>
    <w:qFormat/>
    <w:rsid w:val="00C865CD"/>
    <w:pPr>
      <w:keepNext/>
      <w:numPr>
        <w:ilvl w:val="4"/>
        <w:numId w:val="18"/>
      </w:numPr>
      <w:outlineLvl w:val="4"/>
    </w:pPr>
    <w:rPr>
      <w:rFonts w:eastAsia="Times New Roman"/>
    </w:rPr>
  </w:style>
  <w:style w:type="paragraph" w:styleId="Ttulo6">
    <w:name w:val="heading 6"/>
    <w:basedOn w:val="Normal"/>
    <w:next w:val="Normal"/>
    <w:link w:val="Ttulo6Char"/>
    <w:qFormat/>
    <w:rsid w:val="00C865CD"/>
    <w:pPr>
      <w:numPr>
        <w:ilvl w:val="5"/>
        <w:numId w:val="18"/>
      </w:numPr>
      <w:spacing w:before="240" w:after="60"/>
      <w:outlineLvl w:val="5"/>
    </w:pPr>
    <w:rPr>
      <w:rFonts w:eastAsia="Times New Roman"/>
      <w:i/>
    </w:rPr>
  </w:style>
  <w:style w:type="paragraph" w:styleId="Ttulo7">
    <w:name w:val="heading 7"/>
    <w:basedOn w:val="Normal"/>
    <w:next w:val="Normal"/>
    <w:link w:val="Ttulo7Char"/>
    <w:qFormat/>
    <w:rsid w:val="00C865CD"/>
    <w:pPr>
      <w:numPr>
        <w:ilvl w:val="6"/>
        <w:numId w:val="18"/>
      </w:numPr>
      <w:spacing w:before="240" w:after="60"/>
      <w:outlineLvl w:val="6"/>
    </w:pPr>
    <w:rPr>
      <w:rFonts w:eastAsia="Times New Roman"/>
      <w:sz w:val="20"/>
    </w:rPr>
  </w:style>
  <w:style w:type="paragraph" w:styleId="Ttulo8">
    <w:name w:val="heading 8"/>
    <w:basedOn w:val="Normal"/>
    <w:next w:val="Normal"/>
    <w:link w:val="Ttulo8Char"/>
    <w:qFormat/>
    <w:rsid w:val="00C865CD"/>
    <w:pPr>
      <w:numPr>
        <w:ilvl w:val="7"/>
        <w:numId w:val="18"/>
      </w:numPr>
      <w:spacing w:before="240" w:after="60"/>
      <w:outlineLvl w:val="7"/>
    </w:pPr>
    <w:rPr>
      <w:rFonts w:eastAsia="Times New Roman"/>
      <w:i/>
      <w:sz w:val="20"/>
    </w:rPr>
  </w:style>
  <w:style w:type="paragraph" w:styleId="Ttulo9">
    <w:name w:val="heading 9"/>
    <w:basedOn w:val="Normal"/>
    <w:next w:val="Normal"/>
    <w:link w:val="Ttulo9Char"/>
    <w:qFormat/>
    <w:rsid w:val="00C865CD"/>
    <w:pPr>
      <w:numPr>
        <w:ilvl w:val="8"/>
        <w:numId w:val="18"/>
      </w:numPr>
      <w:spacing w:before="240" w:after="60"/>
      <w:outlineLvl w:val="8"/>
    </w:pPr>
    <w:rPr>
      <w:rFonts w:eastAsia="Times New Roman"/>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Heading 1-Agriteam Char"/>
    <w:basedOn w:val="Fontepargpadro"/>
    <w:link w:val="Ttulo1"/>
    <w:rsid w:val="00C865CD"/>
    <w:rPr>
      <w:rFonts w:ascii="Times New Roman" w:eastAsia="Times New Roman" w:hAnsi="Times New Roman"/>
      <w:b/>
      <w:caps/>
      <w:sz w:val="32"/>
    </w:rPr>
  </w:style>
  <w:style w:type="character" w:customStyle="1" w:styleId="Ttulo2Char">
    <w:name w:val="Título 2 Char"/>
    <w:aliases w:val="Heading 2-Agriteam Char"/>
    <w:basedOn w:val="Fontepargpadro"/>
    <w:link w:val="Ttulo2"/>
    <w:rsid w:val="00C865CD"/>
    <w:rPr>
      <w:rFonts w:ascii="Times New Roman" w:eastAsia="Times New Roman" w:hAnsi="Times New Roman"/>
      <w:b/>
      <w:sz w:val="26"/>
    </w:rPr>
  </w:style>
  <w:style w:type="character" w:customStyle="1" w:styleId="Ttulo3Char">
    <w:name w:val="Título 3 Char"/>
    <w:aliases w:val="Heading 3-Agriteam Char"/>
    <w:basedOn w:val="Fontepargpadro"/>
    <w:link w:val="Ttulo3"/>
    <w:rsid w:val="00C865CD"/>
    <w:rPr>
      <w:rFonts w:ascii="Times New Roman" w:eastAsia="Times New Roman" w:hAnsi="Times New Roman"/>
      <w:b/>
      <w:snapToGrid w:val="0"/>
      <w:color w:val="000000"/>
      <w:sz w:val="22"/>
    </w:rPr>
  </w:style>
  <w:style w:type="character" w:customStyle="1" w:styleId="Ttulo4Char">
    <w:name w:val="Título 4 Char"/>
    <w:basedOn w:val="Fontepargpadro"/>
    <w:link w:val="Ttulo4"/>
    <w:rsid w:val="00C865CD"/>
    <w:rPr>
      <w:rFonts w:ascii="Times New Roman" w:eastAsia="Times New Roman" w:hAnsi="Times New Roman"/>
      <w:b/>
      <w:i/>
      <w:sz w:val="22"/>
    </w:rPr>
  </w:style>
  <w:style w:type="character" w:customStyle="1" w:styleId="Ttulo5Char">
    <w:name w:val="Título 5 Char"/>
    <w:basedOn w:val="Fontepargpadro"/>
    <w:link w:val="Ttulo5"/>
    <w:rsid w:val="00C865CD"/>
    <w:rPr>
      <w:rFonts w:ascii="Times New Roman" w:eastAsia="Times New Roman" w:hAnsi="Times New Roman"/>
      <w:sz w:val="22"/>
    </w:rPr>
  </w:style>
  <w:style w:type="character" w:customStyle="1" w:styleId="Ttulo6Char">
    <w:name w:val="Título 6 Char"/>
    <w:basedOn w:val="Fontepargpadro"/>
    <w:link w:val="Ttulo6"/>
    <w:rsid w:val="00C865CD"/>
    <w:rPr>
      <w:rFonts w:ascii="Times New Roman" w:eastAsia="Times New Roman" w:hAnsi="Times New Roman"/>
      <w:i/>
      <w:sz w:val="22"/>
    </w:rPr>
  </w:style>
  <w:style w:type="character" w:customStyle="1" w:styleId="Ttulo7Char">
    <w:name w:val="Título 7 Char"/>
    <w:basedOn w:val="Fontepargpadro"/>
    <w:link w:val="Ttulo7"/>
    <w:rsid w:val="00C865CD"/>
    <w:rPr>
      <w:rFonts w:ascii="Times New Roman" w:eastAsia="Times New Roman" w:hAnsi="Times New Roman"/>
    </w:rPr>
  </w:style>
  <w:style w:type="character" w:customStyle="1" w:styleId="Ttulo8Char">
    <w:name w:val="Título 8 Char"/>
    <w:basedOn w:val="Fontepargpadro"/>
    <w:link w:val="Ttulo8"/>
    <w:rsid w:val="00C865CD"/>
    <w:rPr>
      <w:rFonts w:ascii="Times New Roman" w:eastAsia="Times New Roman" w:hAnsi="Times New Roman"/>
      <w:i/>
    </w:rPr>
  </w:style>
  <w:style w:type="character" w:customStyle="1" w:styleId="Ttulo9Char">
    <w:name w:val="Título 9 Char"/>
    <w:basedOn w:val="Fontepargpadro"/>
    <w:link w:val="Ttulo9"/>
    <w:rsid w:val="00C865CD"/>
    <w:rPr>
      <w:rFonts w:ascii="Times New Roman" w:eastAsia="Times New Roman" w:hAnsi="Times New Roman"/>
      <w:i/>
      <w:sz w:val="18"/>
    </w:rPr>
  </w:style>
  <w:style w:type="paragraph" w:styleId="Sumrio1">
    <w:name w:val="toc 1"/>
    <w:basedOn w:val="Normal"/>
    <w:next w:val="Normal"/>
    <w:autoRedefine/>
    <w:uiPriority w:val="39"/>
    <w:unhideWhenUsed/>
    <w:qFormat/>
    <w:rsid w:val="00C865CD"/>
    <w:pPr>
      <w:spacing w:after="100"/>
    </w:pPr>
    <w:rPr>
      <w:rFonts w:asciiTheme="minorHAnsi" w:eastAsiaTheme="minorEastAsia" w:hAnsiTheme="minorHAnsi" w:cstheme="minorBidi"/>
    </w:rPr>
  </w:style>
  <w:style w:type="paragraph" w:styleId="Sumrio2">
    <w:name w:val="toc 2"/>
    <w:basedOn w:val="Normal"/>
    <w:next w:val="Normal"/>
    <w:autoRedefine/>
    <w:uiPriority w:val="39"/>
    <w:unhideWhenUsed/>
    <w:qFormat/>
    <w:rsid w:val="00C865CD"/>
    <w:pPr>
      <w:spacing w:after="100"/>
      <w:ind w:left="220"/>
    </w:pPr>
    <w:rPr>
      <w:rFonts w:asciiTheme="minorHAnsi" w:eastAsiaTheme="minorEastAsia" w:hAnsiTheme="minorHAnsi" w:cstheme="minorBidi"/>
    </w:rPr>
  </w:style>
  <w:style w:type="paragraph" w:styleId="Sumrio3">
    <w:name w:val="toc 3"/>
    <w:basedOn w:val="Normal"/>
    <w:next w:val="Normal"/>
    <w:autoRedefine/>
    <w:uiPriority w:val="39"/>
    <w:unhideWhenUsed/>
    <w:qFormat/>
    <w:rsid w:val="00C865CD"/>
    <w:pPr>
      <w:spacing w:after="100"/>
      <w:ind w:left="440"/>
    </w:pPr>
    <w:rPr>
      <w:rFonts w:asciiTheme="minorHAnsi" w:eastAsiaTheme="minorEastAsia" w:hAnsiTheme="minorHAnsi" w:cstheme="minorBidi"/>
    </w:rPr>
  </w:style>
  <w:style w:type="character" w:styleId="Forte">
    <w:name w:val="Strong"/>
    <w:basedOn w:val="Fontepargpadro"/>
    <w:uiPriority w:val="22"/>
    <w:qFormat/>
    <w:rsid w:val="00C865CD"/>
    <w:rPr>
      <w:b/>
      <w:bCs/>
    </w:rPr>
  </w:style>
  <w:style w:type="paragraph" w:styleId="SemEspaamento">
    <w:name w:val="No Spacing"/>
    <w:link w:val="SemEspaamentoChar"/>
    <w:uiPriority w:val="1"/>
    <w:qFormat/>
    <w:rsid w:val="00C865CD"/>
    <w:pPr>
      <w:overflowPunct w:val="0"/>
      <w:autoSpaceDE w:val="0"/>
      <w:autoSpaceDN w:val="0"/>
      <w:adjustRightInd w:val="0"/>
      <w:textAlignment w:val="baseline"/>
    </w:pPr>
    <w:rPr>
      <w:rFonts w:ascii="Times New Roman" w:eastAsia="Times New Roman" w:hAnsi="Times New Roman"/>
      <w:lang w:val="en-CA"/>
    </w:rPr>
  </w:style>
  <w:style w:type="character" w:customStyle="1" w:styleId="SemEspaamentoChar">
    <w:name w:val="Sem Espaçamento Char"/>
    <w:basedOn w:val="Fontepargpadro"/>
    <w:link w:val="SemEspaamento"/>
    <w:uiPriority w:val="1"/>
    <w:rsid w:val="00C865CD"/>
    <w:rPr>
      <w:rFonts w:ascii="Times New Roman" w:eastAsia="Times New Roman" w:hAnsi="Times New Roman"/>
      <w:lang w:val="en-CA" w:eastAsia="en-US" w:bidi="ar-SA"/>
    </w:rPr>
  </w:style>
  <w:style w:type="paragraph" w:styleId="PargrafodaLista">
    <w:name w:val="List Paragraph"/>
    <w:basedOn w:val="Normal"/>
    <w:uiPriority w:val="99"/>
    <w:qFormat/>
    <w:rsid w:val="00C865CD"/>
    <w:pPr>
      <w:ind w:left="720"/>
    </w:pPr>
    <w:rPr>
      <w:rFonts w:eastAsia="Times New Roman"/>
    </w:rPr>
  </w:style>
  <w:style w:type="paragraph" w:styleId="CabealhodoSumrio">
    <w:name w:val="TOC Heading"/>
    <w:basedOn w:val="Ttulo1"/>
    <w:next w:val="Normal"/>
    <w:uiPriority w:val="39"/>
    <w:unhideWhenUsed/>
    <w:qFormat/>
    <w:rsid w:val="00C865CD"/>
    <w:pPr>
      <w:keepLines/>
      <w:numPr>
        <w:numId w:val="0"/>
      </w:numPr>
      <w:pBdr>
        <w:bottom w:val="none" w:sz="0" w:space="0" w:color="auto"/>
      </w:pBdr>
      <w:spacing w:before="480" w:after="0" w:line="276" w:lineRule="auto"/>
      <w:outlineLvl w:val="9"/>
    </w:pPr>
    <w:rPr>
      <w:rFonts w:asciiTheme="majorHAnsi" w:eastAsiaTheme="majorEastAsia" w:hAnsiTheme="majorHAnsi" w:cstheme="majorBidi"/>
      <w:bCs/>
      <w:caps w:val="0"/>
      <w:color w:val="365F91" w:themeColor="accent1" w:themeShade="BF"/>
      <w:sz w:val="28"/>
      <w:szCs w:val="28"/>
    </w:rPr>
  </w:style>
  <w:style w:type="paragraph" w:customStyle="1" w:styleId="ColorfulList-Accent11">
    <w:name w:val="Colorful List - Accent 11"/>
    <w:basedOn w:val="Normal"/>
    <w:uiPriority w:val="34"/>
    <w:qFormat/>
    <w:rsid w:val="00C865CD"/>
    <w:pPr>
      <w:spacing w:line="240" w:lineRule="auto"/>
      <w:ind w:left="720"/>
    </w:pPr>
    <w:rPr>
      <w:rFonts w:eastAsia="Times New Roman"/>
      <w:sz w:val="24"/>
      <w:szCs w:val="24"/>
    </w:rPr>
  </w:style>
  <w:style w:type="paragraph" w:styleId="Ttulo">
    <w:name w:val="Title"/>
    <w:basedOn w:val="Normal"/>
    <w:link w:val="TtuloChar"/>
    <w:qFormat/>
    <w:rsid w:val="005A2439"/>
    <w:pPr>
      <w:tabs>
        <w:tab w:val="left" w:pos="1440"/>
        <w:tab w:val="left" w:pos="3060"/>
      </w:tabs>
      <w:spacing w:after="0" w:line="240" w:lineRule="auto"/>
      <w:jc w:val="center"/>
      <w:outlineLvl w:val="0"/>
    </w:pPr>
    <w:rPr>
      <w:rFonts w:ascii="Times New Roman" w:eastAsia="Times New Roman" w:hAnsi="Times New Roman"/>
      <w:noProof w:val="0"/>
      <w:sz w:val="24"/>
      <w:szCs w:val="24"/>
    </w:rPr>
  </w:style>
  <w:style w:type="character" w:customStyle="1" w:styleId="TtuloChar">
    <w:name w:val="Título Char"/>
    <w:basedOn w:val="Fontepargpadro"/>
    <w:link w:val="Ttulo"/>
    <w:rsid w:val="005A2439"/>
    <w:rPr>
      <w:rFonts w:ascii="Times New Roman" w:eastAsia="Times New Roman" w:hAnsi="Times New Roman"/>
      <w:sz w:val="24"/>
      <w:szCs w:val="24"/>
      <w:lang w:val="es-ES"/>
    </w:rPr>
  </w:style>
  <w:style w:type="character" w:styleId="Hyperlink">
    <w:name w:val="Hyperlink"/>
    <w:basedOn w:val="Fontepargpadro"/>
    <w:uiPriority w:val="99"/>
    <w:unhideWhenUsed/>
    <w:rsid w:val="00187CAD"/>
    <w:rPr>
      <w:color w:val="0000FF" w:themeColor="hyperlink"/>
      <w:u w:val="single"/>
    </w:rPr>
  </w:style>
  <w:style w:type="table" w:styleId="Tabelacomgrade">
    <w:name w:val="Table Grid"/>
    <w:basedOn w:val="Tabelanormal"/>
    <w:uiPriority w:val="59"/>
    <w:rsid w:val="008758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
    <w:name w:val="Paragraph"/>
    <w:basedOn w:val="Recuodecorpodetexto"/>
    <w:rsid w:val="007C288C"/>
    <w:pPr>
      <w:numPr>
        <w:numId w:val="22"/>
      </w:numPr>
      <w:suppressAutoHyphens/>
      <w:spacing w:before="120" w:line="240" w:lineRule="auto"/>
      <w:jc w:val="both"/>
    </w:pPr>
    <w:rPr>
      <w:rFonts w:ascii="Times New Roman" w:eastAsia="Times New Roman" w:hAnsi="Times New Roman"/>
      <w:noProof w:val="0"/>
      <w:sz w:val="24"/>
      <w:szCs w:val="20"/>
      <w:lang w:val="es-ES_tradnl" w:eastAsia="zh-CN"/>
    </w:rPr>
  </w:style>
  <w:style w:type="paragraph" w:styleId="Recuodecorpodetexto">
    <w:name w:val="Body Text Indent"/>
    <w:basedOn w:val="Normal"/>
    <w:link w:val="RecuodecorpodetextoChar"/>
    <w:uiPriority w:val="99"/>
    <w:semiHidden/>
    <w:unhideWhenUsed/>
    <w:rsid w:val="007C288C"/>
    <w:pPr>
      <w:spacing w:after="120"/>
      <w:ind w:left="283"/>
    </w:pPr>
  </w:style>
  <w:style w:type="character" w:customStyle="1" w:styleId="RecuodecorpodetextoChar">
    <w:name w:val="Recuo de corpo de texto Char"/>
    <w:basedOn w:val="Fontepargpadro"/>
    <w:link w:val="Recuodecorpodetexto"/>
    <w:uiPriority w:val="99"/>
    <w:semiHidden/>
    <w:rsid w:val="007C288C"/>
    <w:rPr>
      <w:noProof/>
      <w:sz w:val="22"/>
      <w:szCs w:val="22"/>
      <w:lang w:val="es-ES"/>
    </w:rPr>
  </w:style>
  <w:style w:type="character" w:customStyle="1" w:styleId="WW8Num39z0">
    <w:name w:val="WW8Num39z0"/>
    <w:uiPriority w:val="99"/>
    <w:rsid w:val="007C288C"/>
    <w:rPr>
      <w:color w:val="auto"/>
    </w:rPr>
  </w:style>
  <w:style w:type="paragraph" w:styleId="Textodebalo">
    <w:name w:val="Balloon Text"/>
    <w:basedOn w:val="Normal"/>
    <w:link w:val="TextodebaloChar"/>
    <w:uiPriority w:val="99"/>
    <w:semiHidden/>
    <w:unhideWhenUsed/>
    <w:rsid w:val="00923BB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23BB8"/>
    <w:rPr>
      <w:rFonts w:ascii="Tahoma" w:hAnsi="Tahoma" w:cs="Tahoma"/>
      <w:noProof/>
      <w:sz w:val="16"/>
      <w:szCs w:val="16"/>
      <w:lang w:val="es-ES"/>
    </w:rPr>
  </w:style>
  <w:style w:type="paragraph" w:styleId="Corpodetexto">
    <w:name w:val="Body Text"/>
    <w:basedOn w:val="Normal"/>
    <w:link w:val="CorpodetextoChar"/>
    <w:uiPriority w:val="99"/>
    <w:semiHidden/>
    <w:unhideWhenUsed/>
    <w:rsid w:val="00EB0CC2"/>
    <w:pPr>
      <w:spacing w:after="120"/>
    </w:pPr>
  </w:style>
  <w:style w:type="character" w:customStyle="1" w:styleId="CorpodetextoChar">
    <w:name w:val="Corpo de texto Char"/>
    <w:basedOn w:val="Fontepargpadro"/>
    <w:link w:val="Corpodetexto"/>
    <w:uiPriority w:val="99"/>
    <w:semiHidden/>
    <w:rsid w:val="00EB0CC2"/>
    <w:rPr>
      <w:noProof/>
      <w:sz w:val="22"/>
      <w:szCs w:val="22"/>
      <w:lang w:val="es-ES"/>
    </w:rPr>
  </w:style>
  <w:style w:type="paragraph" w:styleId="Textodenotaderodap">
    <w:name w:val="footnote text"/>
    <w:basedOn w:val="Normal"/>
    <w:link w:val="TextodenotaderodapChar"/>
    <w:uiPriority w:val="99"/>
    <w:semiHidden/>
    <w:unhideWhenUsed/>
    <w:rsid w:val="00951E0A"/>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951E0A"/>
    <w:rPr>
      <w:noProof/>
      <w:lang w:val="es-ES"/>
    </w:rPr>
  </w:style>
  <w:style w:type="character" w:styleId="Refdenotaderodap">
    <w:name w:val="footnote reference"/>
    <w:basedOn w:val="Fontepargpadro"/>
    <w:uiPriority w:val="99"/>
    <w:semiHidden/>
    <w:unhideWhenUsed/>
    <w:rsid w:val="00951E0A"/>
    <w:rPr>
      <w:vertAlign w:val="superscript"/>
    </w:rPr>
  </w:style>
  <w:style w:type="paragraph" w:styleId="Recuodecorpodetexto2">
    <w:name w:val="Body Text Indent 2"/>
    <w:basedOn w:val="Normal"/>
    <w:link w:val="Recuodecorpodetexto2Char"/>
    <w:uiPriority w:val="99"/>
    <w:unhideWhenUsed/>
    <w:rsid w:val="0082268B"/>
    <w:pPr>
      <w:spacing w:before="240" w:after="0" w:line="240" w:lineRule="auto"/>
      <w:ind w:left="360"/>
      <w:jc w:val="center"/>
    </w:pPr>
    <w:rPr>
      <w:rFonts w:ascii="Times New Roman" w:hAnsi="Times New Roman"/>
      <w:noProof w:val="0"/>
      <w:color w:val="000000" w:themeColor="text1"/>
      <w:sz w:val="24"/>
      <w:szCs w:val="24"/>
      <w:lang w:val="pt-BR"/>
    </w:rPr>
  </w:style>
  <w:style w:type="character" w:customStyle="1" w:styleId="Recuodecorpodetexto2Char">
    <w:name w:val="Recuo de corpo de texto 2 Char"/>
    <w:basedOn w:val="Fontepargpadro"/>
    <w:link w:val="Recuodecorpodetexto2"/>
    <w:uiPriority w:val="99"/>
    <w:rsid w:val="0082268B"/>
    <w:rPr>
      <w:rFonts w:ascii="Times New Roman" w:hAnsi="Times New Roman"/>
      <w:color w:val="000000" w:themeColor="text1"/>
      <w:sz w:val="24"/>
      <w:szCs w:val="24"/>
      <w:lang w:val="pt-BR"/>
    </w:rPr>
  </w:style>
  <w:style w:type="paragraph" w:styleId="Corpodetexto2">
    <w:name w:val="Body Text 2"/>
    <w:basedOn w:val="Normal"/>
    <w:link w:val="Corpodetexto2Char"/>
    <w:uiPriority w:val="99"/>
    <w:unhideWhenUsed/>
    <w:rsid w:val="00DA770C"/>
    <w:pPr>
      <w:spacing w:before="240" w:after="0" w:line="240" w:lineRule="auto"/>
      <w:jc w:val="both"/>
    </w:pPr>
    <w:rPr>
      <w:rFonts w:ascii="Times New Roman" w:hAnsi="Times New Roman"/>
      <w:noProof w:val="0"/>
      <w:color w:val="000000" w:themeColor="text1"/>
      <w:lang w:val="pt-BR"/>
    </w:rPr>
  </w:style>
  <w:style w:type="character" w:customStyle="1" w:styleId="Corpodetexto2Char">
    <w:name w:val="Corpo de texto 2 Char"/>
    <w:basedOn w:val="Fontepargpadro"/>
    <w:link w:val="Corpodetexto2"/>
    <w:uiPriority w:val="99"/>
    <w:rsid w:val="00DA770C"/>
    <w:rPr>
      <w:rFonts w:ascii="Times New Roman" w:hAnsi="Times New Roman"/>
      <w:color w:val="000000" w:themeColor="text1"/>
      <w:sz w:val="22"/>
      <w:szCs w:val="22"/>
      <w:lang w:val="pt-BR"/>
    </w:rPr>
  </w:style>
</w:styles>
</file>

<file path=word/webSettings.xml><?xml version="1.0" encoding="utf-8"?>
<w:webSettings xmlns:r="http://schemas.openxmlformats.org/officeDocument/2006/relationships" xmlns:w="http://schemas.openxmlformats.org/wordprocessingml/2006/main">
  <w:divs>
    <w:div w:id="5402711">
      <w:bodyDiv w:val="1"/>
      <w:marLeft w:val="0"/>
      <w:marRight w:val="0"/>
      <w:marTop w:val="0"/>
      <w:marBottom w:val="0"/>
      <w:divBdr>
        <w:top w:val="none" w:sz="0" w:space="0" w:color="auto"/>
        <w:left w:val="none" w:sz="0" w:space="0" w:color="auto"/>
        <w:bottom w:val="none" w:sz="0" w:space="0" w:color="auto"/>
        <w:right w:val="none" w:sz="0" w:space="0" w:color="auto"/>
      </w:divBdr>
    </w:div>
    <w:div w:id="169804513">
      <w:bodyDiv w:val="1"/>
      <w:marLeft w:val="0"/>
      <w:marRight w:val="0"/>
      <w:marTop w:val="0"/>
      <w:marBottom w:val="0"/>
      <w:divBdr>
        <w:top w:val="none" w:sz="0" w:space="0" w:color="auto"/>
        <w:left w:val="none" w:sz="0" w:space="0" w:color="auto"/>
        <w:bottom w:val="none" w:sz="0" w:space="0" w:color="auto"/>
        <w:right w:val="none" w:sz="0" w:space="0" w:color="auto"/>
      </w:divBdr>
    </w:div>
    <w:div w:id="251472817">
      <w:bodyDiv w:val="1"/>
      <w:marLeft w:val="0"/>
      <w:marRight w:val="0"/>
      <w:marTop w:val="0"/>
      <w:marBottom w:val="0"/>
      <w:divBdr>
        <w:top w:val="none" w:sz="0" w:space="0" w:color="auto"/>
        <w:left w:val="none" w:sz="0" w:space="0" w:color="auto"/>
        <w:bottom w:val="none" w:sz="0" w:space="0" w:color="auto"/>
        <w:right w:val="none" w:sz="0" w:space="0" w:color="auto"/>
      </w:divBdr>
    </w:div>
    <w:div w:id="346752513">
      <w:bodyDiv w:val="1"/>
      <w:marLeft w:val="0"/>
      <w:marRight w:val="0"/>
      <w:marTop w:val="0"/>
      <w:marBottom w:val="0"/>
      <w:divBdr>
        <w:top w:val="none" w:sz="0" w:space="0" w:color="auto"/>
        <w:left w:val="none" w:sz="0" w:space="0" w:color="auto"/>
        <w:bottom w:val="none" w:sz="0" w:space="0" w:color="auto"/>
        <w:right w:val="none" w:sz="0" w:space="0" w:color="auto"/>
      </w:divBdr>
    </w:div>
    <w:div w:id="628781023">
      <w:bodyDiv w:val="1"/>
      <w:marLeft w:val="0"/>
      <w:marRight w:val="0"/>
      <w:marTop w:val="0"/>
      <w:marBottom w:val="0"/>
      <w:divBdr>
        <w:top w:val="none" w:sz="0" w:space="0" w:color="auto"/>
        <w:left w:val="none" w:sz="0" w:space="0" w:color="auto"/>
        <w:bottom w:val="none" w:sz="0" w:space="0" w:color="auto"/>
        <w:right w:val="none" w:sz="0" w:space="0" w:color="auto"/>
      </w:divBdr>
    </w:div>
    <w:div w:id="645859282">
      <w:bodyDiv w:val="1"/>
      <w:marLeft w:val="0"/>
      <w:marRight w:val="0"/>
      <w:marTop w:val="0"/>
      <w:marBottom w:val="0"/>
      <w:divBdr>
        <w:top w:val="none" w:sz="0" w:space="0" w:color="auto"/>
        <w:left w:val="none" w:sz="0" w:space="0" w:color="auto"/>
        <w:bottom w:val="none" w:sz="0" w:space="0" w:color="auto"/>
        <w:right w:val="none" w:sz="0" w:space="0" w:color="auto"/>
      </w:divBdr>
    </w:div>
    <w:div w:id="783617013">
      <w:bodyDiv w:val="1"/>
      <w:marLeft w:val="0"/>
      <w:marRight w:val="0"/>
      <w:marTop w:val="0"/>
      <w:marBottom w:val="0"/>
      <w:divBdr>
        <w:top w:val="none" w:sz="0" w:space="0" w:color="auto"/>
        <w:left w:val="none" w:sz="0" w:space="0" w:color="auto"/>
        <w:bottom w:val="none" w:sz="0" w:space="0" w:color="auto"/>
        <w:right w:val="none" w:sz="0" w:space="0" w:color="auto"/>
      </w:divBdr>
    </w:div>
    <w:div w:id="858546329">
      <w:bodyDiv w:val="1"/>
      <w:marLeft w:val="0"/>
      <w:marRight w:val="0"/>
      <w:marTop w:val="0"/>
      <w:marBottom w:val="0"/>
      <w:divBdr>
        <w:top w:val="none" w:sz="0" w:space="0" w:color="auto"/>
        <w:left w:val="none" w:sz="0" w:space="0" w:color="auto"/>
        <w:bottom w:val="none" w:sz="0" w:space="0" w:color="auto"/>
        <w:right w:val="none" w:sz="0" w:space="0" w:color="auto"/>
      </w:divBdr>
    </w:div>
    <w:div w:id="1088382139">
      <w:bodyDiv w:val="1"/>
      <w:marLeft w:val="0"/>
      <w:marRight w:val="0"/>
      <w:marTop w:val="0"/>
      <w:marBottom w:val="0"/>
      <w:divBdr>
        <w:top w:val="none" w:sz="0" w:space="0" w:color="auto"/>
        <w:left w:val="none" w:sz="0" w:space="0" w:color="auto"/>
        <w:bottom w:val="none" w:sz="0" w:space="0" w:color="auto"/>
        <w:right w:val="none" w:sz="0" w:space="0" w:color="auto"/>
      </w:divBdr>
    </w:div>
    <w:div w:id="1195729164">
      <w:bodyDiv w:val="1"/>
      <w:marLeft w:val="0"/>
      <w:marRight w:val="0"/>
      <w:marTop w:val="0"/>
      <w:marBottom w:val="0"/>
      <w:divBdr>
        <w:top w:val="none" w:sz="0" w:space="0" w:color="auto"/>
        <w:left w:val="none" w:sz="0" w:space="0" w:color="auto"/>
        <w:bottom w:val="none" w:sz="0" w:space="0" w:color="auto"/>
        <w:right w:val="none" w:sz="0" w:space="0" w:color="auto"/>
      </w:divBdr>
    </w:div>
    <w:div w:id="1240750949">
      <w:bodyDiv w:val="1"/>
      <w:marLeft w:val="0"/>
      <w:marRight w:val="0"/>
      <w:marTop w:val="0"/>
      <w:marBottom w:val="0"/>
      <w:divBdr>
        <w:top w:val="none" w:sz="0" w:space="0" w:color="auto"/>
        <w:left w:val="none" w:sz="0" w:space="0" w:color="auto"/>
        <w:bottom w:val="none" w:sz="0" w:space="0" w:color="auto"/>
        <w:right w:val="none" w:sz="0" w:space="0" w:color="auto"/>
      </w:divBdr>
    </w:div>
    <w:div w:id="1258830868">
      <w:bodyDiv w:val="1"/>
      <w:marLeft w:val="0"/>
      <w:marRight w:val="0"/>
      <w:marTop w:val="0"/>
      <w:marBottom w:val="0"/>
      <w:divBdr>
        <w:top w:val="none" w:sz="0" w:space="0" w:color="auto"/>
        <w:left w:val="none" w:sz="0" w:space="0" w:color="auto"/>
        <w:bottom w:val="none" w:sz="0" w:space="0" w:color="auto"/>
        <w:right w:val="none" w:sz="0" w:space="0" w:color="auto"/>
      </w:divBdr>
    </w:div>
    <w:div w:id="1440754568">
      <w:bodyDiv w:val="1"/>
      <w:marLeft w:val="0"/>
      <w:marRight w:val="0"/>
      <w:marTop w:val="0"/>
      <w:marBottom w:val="0"/>
      <w:divBdr>
        <w:top w:val="none" w:sz="0" w:space="0" w:color="auto"/>
        <w:left w:val="none" w:sz="0" w:space="0" w:color="auto"/>
        <w:bottom w:val="none" w:sz="0" w:space="0" w:color="auto"/>
        <w:right w:val="none" w:sz="0" w:space="0" w:color="auto"/>
      </w:divBdr>
    </w:div>
    <w:div w:id="1645041747">
      <w:bodyDiv w:val="1"/>
      <w:marLeft w:val="0"/>
      <w:marRight w:val="0"/>
      <w:marTop w:val="0"/>
      <w:marBottom w:val="0"/>
      <w:divBdr>
        <w:top w:val="none" w:sz="0" w:space="0" w:color="auto"/>
        <w:left w:val="none" w:sz="0" w:space="0" w:color="auto"/>
        <w:bottom w:val="none" w:sz="0" w:space="0" w:color="auto"/>
        <w:right w:val="none" w:sz="0" w:space="0" w:color="auto"/>
      </w:divBdr>
    </w:div>
    <w:div w:id="1664433840">
      <w:bodyDiv w:val="1"/>
      <w:marLeft w:val="0"/>
      <w:marRight w:val="0"/>
      <w:marTop w:val="0"/>
      <w:marBottom w:val="0"/>
      <w:divBdr>
        <w:top w:val="none" w:sz="0" w:space="0" w:color="auto"/>
        <w:left w:val="none" w:sz="0" w:space="0" w:color="auto"/>
        <w:bottom w:val="none" w:sz="0" w:space="0" w:color="auto"/>
        <w:right w:val="none" w:sz="0" w:space="0" w:color="auto"/>
      </w:divBdr>
    </w:div>
    <w:div w:id="1694916427">
      <w:bodyDiv w:val="1"/>
      <w:marLeft w:val="0"/>
      <w:marRight w:val="0"/>
      <w:marTop w:val="0"/>
      <w:marBottom w:val="0"/>
      <w:divBdr>
        <w:top w:val="none" w:sz="0" w:space="0" w:color="auto"/>
        <w:left w:val="none" w:sz="0" w:space="0" w:color="auto"/>
        <w:bottom w:val="none" w:sz="0" w:space="0" w:color="auto"/>
        <w:right w:val="none" w:sz="0" w:space="0" w:color="auto"/>
      </w:divBdr>
    </w:div>
    <w:div w:id="1776944949">
      <w:bodyDiv w:val="1"/>
      <w:marLeft w:val="0"/>
      <w:marRight w:val="0"/>
      <w:marTop w:val="0"/>
      <w:marBottom w:val="0"/>
      <w:divBdr>
        <w:top w:val="none" w:sz="0" w:space="0" w:color="auto"/>
        <w:left w:val="none" w:sz="0" w:space="0" w:color="auto"/>
        <w:bottom w:val="none" w:sz="0" w:space="0" w:color="auto"/>
        <w:right w:val="none" w:sz="0" w:space="0" w:color="auto"/>
      </w:divBdr>
    </w:div>
    <w:div w:id="1783260778">
      <w:bodyDiv w:val="1"/>
      <w:marLeft w:val="0"/>
      <w:marRight w:val="0"/>
      <w:marTop w:val="0"/>
      <w:marBottom w:val="0"/>
      <w:divBdr>
        <w:top w:val="none" w:sz="0" w:space="0" w:color="auto"/>
        <w:left w:val="none" w:sz="0" w:space="0" w:color="auto"/>
        <w:bottom w:val="none" w:sz="0" w:space="0" w:color="auto"/>
        <w:right w:val="none" w:sz="0" w:space="0" w:color="auto"/>
      </w:divBdr>
    </w:div>
    <w:div w:id="1793671710">
      <w:bodyDiv w:val="1"/>
      <w:marLeft w:val="0"/>
      <w:marRight w:val="0"/>
      <w:marTop w:val="0"/>
      <w:marBottom w:val="0"/>
      <w:divBdr>
        <w:top w:val="none" w:sz="0" w:space="0" w:color="auto"/>
        <w:left w:val="none" w:sz="0" w:space="0" w:color="auto"/>
        <w:bottom w:val="none" w:sz="0" w:space="0" w:color="auto"/>
        <w:right w:val="none" w:sz="0" w:space="0" w:color="auto"/>
      </w:divBdr>
    </w:div>
    <w:div w:id="1835532599">
      <w:bodyDiv w:val="1"/>
      <w:marLeft w:val="0"/>
      <w:marRight w:val="0"/>
      <w:marTop w:val="0"/>
      <w:marBottom w:val="0"/>
      <w:divBdr>
        <w:top w:val="none" w:sz="0" w:space="0" w:color="auto"/>
        <w:left w:val="none" w:sz="0" w:space="0" w:color="auto"/>
        <w:bottom w:val="none" w:sz="0" w:space="0" w:color="auto"/>
        <w:right w:val="none" w:sz="0" w:space="0" w:color="auto"/>
      </w:divBdr>
    </w:div>
    <w:div w:id="1910338057">
      <w:bodyDiv w:val="1"/>
      <w:marLeft w:val="0"/>
      <w:marRight w:val="0"/>
      <w:marTop w:val="0"/>
      <w:marBottom w:val="0"/>
      <w:divBdr>
        <w:top w:val="none" w:sz="0" w:space="0" w:color="auto"/>
        <w:left w:val="none" w:sz="0" w:space="0" w:color="auto"/>
        <w:bottom w:val="none" w:sz="0" w:space="0" w:color="auto"/>
        <w:right w:val="none" w:sz="0" w:space="0" w:color="auto"/>
      </w:divBdr>
    </w:div>
    <w:div w:id="1977834529">
      <w:bodyDiv w:val="1"/>
      <w:marLeft w:val="0"/>
      <w:marRight w:val="0"/>
      <w:marTop w:val="0"/>
      <w:marBottom w:val="0"/>
      <w:divBdr>
        <w:top w:val="none" w:sz="0" w:space="0" w:color="auto"/>
        <w:left w:val="none" w:sz="0" w:space="0" w:color="auto"/>
        <w:bottom w:val="none" w:sz="0" w:space="0" w:color="auto"/>
        <w:right w:val="none" w:sz="0" w:space="0" w:color="auto"/>
      </w:divBdr>
    </w:div>
    <w:div w:id="2069108153">
      <w:bodyDiv w:val="1"/>
      <w:marLeft w:val="0"/>
      <w:marRight w:val="0"/>
      <w:marTop w:val="0"/>
      <w:marBottom w:val="0"/>
      <w:divBdr>
        <w:top w:val="none" w:sz="0" w:space="0" w:color="auto"/>
        <w:left w:val="none" w:sz="0" w:space="0" w:color="auto"/>
        <w:bottom w:val="none" w:sz="0" w:space="0" w:color="auto"/>
        <w:right w:val="none" w:sz="0" w:space="0" w:color="auto"/>
      </w:divBdr>
    </w:div>
    <w:div w:id="210471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niraogama@sefaz.al.gov.br" TargetMode="External"/><Relationship Id="rId13" Type="http://schemas.openxmlformats.org/officeDocument/2006/relationships/fontTable" Target="fontTable.xml"/><Relationship Id="rId26" Type="http://schemas.openxmlformats.org/officeDocument/2006/relationships/customXml" Target="../customXml/item6.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emf"/><Relationship Id="rId25" Type="http://schemas.openxmlformats.org/officeDocument/2006/relationships/customXml" Target="../customXml/item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customXml" Target="../customXml/item4.xml"/><Relationship Id="rId5" Type="http://schemas.openxmlformats.org/officeDocument/2006/relationships/webSettings" Target="webSettings.xml"/><Relationship Id="rId23" Type="http://schemas.openxmlformats.org/officeDocument/2006/relationships/customXml" Target="../customXml/item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 Id="rId22" Type="http://schemas.openxmlformats.org/officeDocument/2006/relationships/customXml" Target="../customXml/item2.xml"/><Relationship Id="rId27" Type="http://schemas.openxmlformats.org/officeDocument/2006/relationships/customXml" Target="../customXml/item7.xml"/></Relationships>
</file>

<file path=word/charts/_rels/chart1.xml.rels><?xml version="1.0" encoding="UTF-8" standalone="yes"?>
<Relationships xmlns="http://schemas.openxmlformats.org/package/2006/relationships"><Relationship Id="rId1" Type="http://schemas.openxmlformats.org/officeDocument/2006/relationships/oleObject" Target="Pasta2"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pt-BR"/>
  <c:chart>
    <c:plotArea>
      <c:layout/>
      <c:barChart>
        <c:barDir val="col"/>
        <c:grouping val="stacked"/>
        <c:ser>
          <c:idx val="0"/>
          <c:order val="0"/>
          <c:spPr>
            <a:solidFill>
              <a:schemeClr val="accent3">
                <a:lumMod val="75000"/>
              </a:schemeClr>
            </a:solidFill>
            <a:effectLst>
              <a:outerShdw blurRad="50800" dist="38100" dir="5400000" algn="t" rotWithShape="0">
                <a:prstClr val="black">
                  <a:alpha val="40000"/>
                </a:prstClr>
              </a:outerShdw>
            </a:effectLst>
          </c:spPr>
          <c:dPt>
            <c:idx val="0"/>
            <c:spPr>
              <a:solidFill>
                <a:schemeClr val="accent3">
                  <a:lumMod val="75000"/>
                </a:schemeClr>
              </a:solidFill>
              <a:ln>
                <a:solidFill>
                  <a:schemeClr val="tx1"/>
                </a:solidFill>
              </a:ln>
              <a:effectLst>
                <a:outerShdw blurRad="50800" dist="38100" dir="5400000" algn="t" rotWithShape="0">
                  <a:prstClr val="black">
                    <a:alpha val="40000"/>
                  </a:prstClr>
                </a:outerShdw>
              </a:effectLst>
            </c:spPr>
          </c:dPt>
          <c:dPt>
            <c:idx val="1"/>
            <c:spPr>
              <a:noFill/>
              <a:ln>
                <a:noFill/>
              </a:ln>
              <a:effectLst>
                <a:outerShdw blurRad="50800" dist="38100" dir="5400000" algn="t" rotWithShape="0">
                  <a:prstClr val="black">
                    <a:alpha val="40000"/>
                  </a:prstClr>
                </a:outerShdw>
              </a:effectLst>
            </c:spPr>
          </c:dPt>
          <c:dPt>
            <c:idx val="2"/>
            <c:spPr>
              <a:noFill/>
              <a:effectLst>
                <a:outerShdw blurRad="50800" dist="38100" dir="5400000" algn="t" rotWithShape="0">
                  <a:prstClr val="black">
                    <a:alpha val="40000"/>
                  </a:prstClr>
                </a:outerShdw>
              </a:effectLst>
            </c:spPr>
          </c:dPt>
          <c:dPt>
            <c:idx val="3"/>
            <c:spPr>
              <a:solidFill>
                <a:srgbClr val="00B050"/>
              </a:solidFill>
              <a:ln>
                <a:solidFill>
                  <a:schemeClr val="tx1"/>
                </a:solidFill>
              </a:ln>
              <a:effectLst>
                <a:outerShdw blurRad="50800" dist="38100" dir="5400000" algn="t" rotWithShape="0">
                  <a:prstClr val="black">
                    <a:alpha val="40000"/>
                  </a:prstClr>
                </a:outerShdw>
              </a:effectLst>
            </c:spPr>
          </c:dPt>
          <c:dPt>
            <c:idx val="4"/>
            <c:spPr>
              <a:noFill/>
              <a:effectLst>
                <a:outerShdw blurRad="50800" dist="38100" dir="5400000" algn="t" rotWithShape="0">
                  <a:prstClr val="black">
                    <a:alpha val="40000"/>
                  </a:prstClr>
                </a:outerShdw>
              </a:effectLst>
            </c:spPr>
          </c:dPt>
          <c:dPt>
            <c:idx val="5"/>
            <c:spPr>
              <a:solidFill>
                <a:schemeClr val="tx2">
                  <a:lumMod val="60000"/>
                  <a:lumOff val="40000"/>
                </a:schemeClr>
              </a:solidFill>
              <a:ln>
                <a:solidFill>
                  <a:schemeClr val="tx1"/>
                </a:solidFill>
              </a:ln>
              <a:effectLst>
                <a:outerShdw blurRad="50800" dist="38100" dir="5400000" algn="t" rotWithShape="0">
                  <a:prstClr val="black">
                    <a:alpha val="40000"/>
                  </a:prstClr>
                </a:outerShdw>
              </a:effectLst>
            </c:spPr>
          </c:dPt>
          <c:dLbls>
            <c:dLbl>
              <c:idx val="0"/>
              <c:layout>
                <c:manualLayout>
                  <c:x val="-8.5142613878246027E-3"/>
                  <c:y val="-6.7260138476755688E-2"/>
                </c:manualLayout>
              </c:layout>
              <c:tx>
                <c:rich>
                  <a:bodyPr/>
                  <a:lstStyle/>
                  <a:p>
                    <a:r>
                      <a:rPr lang="en-US" b="1"/>
                      <a:t>2</a:t>
                    </a:r>
                    <a:r>
                      <a:rPr lang="en-US"/>
                      <a:t>.448.434</a:t>
                    </a:r>
                  </a:p>
                </c:rich>
              </c:tx>
              <c:showVal val="1"/>
            </c:dLbl>
            <c:dLbl>
              <c:idx val="3"/>
              <c:layout>
                <c:manualLayout>
                  <c:x val="-1.0217113665389467E-2"/>
                  <c:y val="-5.5390702274975327E-2"/>
                </c:manualLayout>
              </c:layout>
              <c:tx>
                <c:rich>
                  <a:bodyPr/>
                  <a:lstStyle/>
                  <a:p>
                    <a:r>
                      <a:rPr lang="en-US" b="1"/>
                      <a:t>2</a:t>
                    </a:r>
                    <a:r>
                      <a:rPr lang="en-US"/>
                      <a:t>.708.267</a:t>
                    </a:r>
                  </a:p>
                </c:rich>
              </c:tx>
              <c:showVal val="1"/>
            </c:dLbl>
            <c:dLbl>
              <c:idx val="5"/>
              <c:layout>
                <c:manualLayout>
                  <c:x val="-1.36228182205194E-2"/>
                  <c:y val="-6.3303659742828977E-2"/>
                </c:manualLayout>
              </c:layout>
              <c:tx>
                <c:rich>
                  <a:bodyPr/>
                  <a:lstStyle/>
                  <a:p>
                    <a:r>
                      <a:rPr lang="en-US" b="1"/>
                      <a:t>2</a:t>
                    </a:r>
                    <a:r>
                      <a:rPr lang="en-US"/>
                      <a:t>.666.987</a:t>
                    </a:r>
                  </a:p>
                </c:rich>
              </c:tx>
              <c:showVal val="1"/>
            </c:dLbl>
            <c:delete val="1"/>
            <c:numFmt formatCode="#," sourceLinked="0"/>
            <c:txPr>
              <a:bodyPr rot="0" vert="horz"/>
              <a:lstStyle/>
              <a:p>
                <a:pPr>
                  <a:defRPr b="1"/>
                </a:pPr>
                <a:endParaRPr lang="pt-BR"/>
              </a:p>
            </c:txPr>
          </c:dLbls>
          <c:cat>
            <c:strRef>
              <c:f>Metas!$G$5:$G$10</c:f>
              <c:strCache>
                <c:ptCount val="6"/>
                <c:pt idx="0">
                  <c:v>Arrecadação 2012</c:v>
                </c:pt>
                <c:pt idx="1">
                  <c:v>Atualização Inflação + PIB</c:v>
                </c:pt>
                <c:pt idx="2">
                  <c:v>Ganho pelo Esforço Fiscal</c:v>
                </c:pt>
                <c:pt idx="3">
                  <c:v>Meta Prévia</c:v>
                </c:pt>
                <c:pt idx="4">
                  <c:v>Desoneração da tarifa de energia</c:v>
                </c:pt>
                <c:pt idx="5">
                  <c:v>Meta Arrecadação 2013</c:v>
                </c:pt>
              </c:strCache>
            </c:strRef>
          </c:cat>
          <c:val>
            <c:numRef>
              <c:f>Metas!$H$5:$H$10</c:f>
              <c:numCache>
                <c:formatCode>_(* #,##0.00_);_(* \(#,##0.00\);_(* "-"??_);_(@_)</c:formatCode>
                <c:ptCount val="6"/>
                <c:pt idx="0">
                  <c:v>2448433866.7599998</c:v>
                </c:pt>
                <c:pt idx="1">
                  <c:v>2448433866.7600026</c:v>
                </c:pt>
                <c:pt idx="2">
                  <c:v>2448433866.7600026</c:v>
                </c:pt>
                <c:pt idx="3">
                  <c:v>2708266712.5254912</c:v>
                </c:pt>
                <c:pt idx="4">
                  <c:v>2666986712.5254955</c:v>
                </c:pt>
                <c:pt idx="5">
                  <c:v>2666986712.5254912</c:v>
                </c:pt>
              </c:numCache>
            </c:numRef>
          </c:val>
        </c:ser>
        <c:ser>
          <c:idx val="1"/>
          <c:order val="1"/>
          <c:spPr>
            <a:solidFill>
              <a:schemeClr val="accent6">
                <a:lumMod val="60000"/>
                <a:lumOff val="40000"/>
              </a:schemeClr>
            </a:solidFill>
          </c:spPr>
          <c:dPt>
            <c:idx val="1"/>
            <c:spPr>
              <a:solidFill>
                <a:srgbClr val="FFC000"/>
              </a:solidFill>
              <a:ln>
                <a:solidFill>
                  <a:schemeClr val="tx1"/>
                </a:solidFill>
              </a:ln>
            </c:spPr>
          </c:dPt>
          <c:dPt>
            <c:idx val="2"/>
            <c:spPr>
              <a:noFill/>
            </c:spPr>
          </c:dPt>
          <c:dLbls>
            <c:dLbl>
              <c:idx val="1"/>
              <c:layout>
                <c:manualLayout>
                  <c:x val="1.7028522775649228E-3"/>
                  <c:y val="-4.7477744807121788E-2"/>
                </c:manualLayout>
              </c:layout>
              <c:tx>
                <c:rich>
                  <a:bodyPr/>
                  <a:lstStyle/>
                  <a:p>
                    <a:pPr algn="ctr">
                      <a:defRPr lang="pt-BR" sz="1000" b="1" i="0" u="none" strike="noStrike" kern="1200" baseline="0">
                        <a:solidFill>
                          <a:sysClr val="windowText" lastClr="000000"/>
                        </a:solidFill>
                        <a:latin typeface="+mn-lt"/>
                        <a:ea typeface="+mn-ea"/>
                        <a:cs typeface="+mn-cs"/>
                      </a:defRPr>
                    </a:pPr>
                    <a:r>
                      <a:t>183.632</a:t>
                    </a:r>
                  </a:p>
                </c:rich>
              </c:tx>
              <c:numFmt formatCode="#,##0.00" sourceLinked="0"/>
              <c:spPr/>
              <c:showVal val="1"/>
            </c:dLbl>
            <c:dLbl>
              <c:idx val="2"/>
              <c:delete val="1"/>
            </c:dLbl>
            <c:txPr>
              <a:bodyPr/>
              <a:lstStyle/>
              <a:p>
                <a:pPr algn="ctr">
                  <a:defRPr lang="pt-BR" sz="1000" b="1" i="0" u="none" strike="noStrike" kern="1200" baseline="0">
                    <a:solidFill>
                      <a:sysClr val="windowText" lastClr="000000"/>
                    </a:solidFill>
                    <a:latin typeface="+mn-lt"/>
                    <a:ea typeface="+mn-ea"/>
                    <a:cs typeface="+mn-cs"/>
                  </a:defRPr>
                </a:pPr>
                <a:endParaRPr lang="pt-BR"/>
              </a:p>
            </c:txPr>
            <c:showVal val="1"/>
          </c:dLbls>
          <c:cat>
            <c:strRef>
              <c:f>Metas!$G$5:$G$10</c:f>
              <c:strCache>
                <c:ptCount val="6"/>
                <c:pt idx="0">
                  <c:v>Arrecadação 2012</c:v>
                </c:pt>
                <c:pt idx="1">
                  <c:v>Atualização Inflação + PIB</c:v>
                </c:pt>
                <c:pt idx="2">
                  <c:v>Ganho pelo Esforço Fiscal</c:v>
                </c:pt>
                <c:pt idx="3">
                  <c:v>Meta Prévia</c:v>
                </c:pt>
                <c:pt idx="4">
                  <c:v>Desoneração da tarifa de energia</c:v>
                </c:pt>
                <c:pt idx="5">
                  <c:v>Meta Arrecadação 2013</c:v>
                </c:pt>
              </c:strCache>
            </c:strRef>
          </c:cat>
          <c:val>
            <c:numRef>
              <c:f>Metas!$I$5:$I$10</c:f>
              <c:numCache>
                <c:formatCode>_(* #,##0.00_);_(* \(#,##0.00\);_(* "-"??_);_(@_)</c:formatCode>
                <c:ptCount val="6"/>
                <c:pt idx="1">
                  <c:v>183632540.00700027</c:v>
                </c:pt>
                <c:pt idx="2">
                  <c:v>183632540.00700027</c:v>
                </c:pt>
              </c:numCache>
            </c:numRef>
          </c:val>
        </c:ser>
        <c:ser>
          <c:idx val="2"/>
          <c:order val="2"/>
          <c:spPr>
            <a:ln>
              <a:solidFill>
                <a:schemeClr val="tx1"/>
              </a:solidFill>
            </a:ln>
          </c:spPr>
          <c:dPt>
            <c:idx val="2"/>
            <c:spPr>
              <a:solidFill>
                <a:schemeClr val="accent1">
                  <a:lumMod val="75000"/>
                </a:schemeClr>
              </a:solidFill>
              <a:ln>
                <a:solidFill>
                  <a:schemeClr val="tx1"/>
                </a:solidFill>
              </a:ln>
            </c:spPr>
          </c:dPt>
          <c:dPt>
            <c:idx val="4"/>
            <c:spPr>
              <a:solidFill>
                <a:schemeClr val="accent4">
                  <a:lumMod val="60000"/>
                  <a:lumOff val="40000"/>
                </a:schemeClr>
              </a:solidFill>
              <a:ln>
                <a:solidFill>
                  <a:schemeClr val="tx1"/>
                </a:solidFill>
              </a:ln>
            </c:spPr>
          </c:dPt>
          <c:dLbls>
            <c:dLbl>
              <c:idx val="4"/>
              <c:layout>
                <c:manualLayout>
                  <c:x val="0"/>
                  <c:y val="-3.5608308605341296E-2"/>
                </c:manualLayout>
              </c:layout>
              <c:tx>
                <c:rich>
                  <a:bodyPr/>
                  <a:lstStyle/>
                  <a:p>
                    <a:pPr>
                      <a:defRPr b="1"/>
                    </a:pPr>
                    <a:r>
                      <a:rPr lang="en-US" b="1"/>
                      <a:t>4</a:t>
                    </a:r>
                    <a:r>
                      <a:rPr lang="en-US"/>
                      <a:t>1.280</a:t>
                    </a:r>
                  </a:p>
                </c:rich>
              </c:tx>
              <c:numFmt formatCode="#,##0.00" sourceLinked="0"/>
              <c:spPr/>
              <c:showVal val="1"/>
            </c:dLbl>
            <c:delete val="1"/>
            <c:txPr>
              <a:bodyPr/>
              <a:lstStyle/>
              <a:p>
                <a:pPr>
                  <a:defRPr b="1"/>
                </a:pPr>
                <a:endParaRPr lang="pt-BR"/>
              </a:p>
            </c:txPr>
          </c:dLbls>
          <c:cat>
            <c:strRef>
              <c:f>Metas!$G$5:$G$10</c:f>
              <c:strCache>
                <c:ptCount val="6"/>
                <c:pt idx="0">
                  <c:v>Arrecadação 2012</c:v>
                </c:pt>
                <c:pt idx="1">
                  <c:v>Atualização Inflação + PIB</c:v>
                </c:pt>
                <c:pt idx="2">
                  <c:v>Ganho pelo Esforço Fiscal</c:v>
                </c:pt>
                <c:pt idx="3">
                  <c:v>Meta Prévia</c:v>
                </c:pt>
                <c:pt idx="4">
                  <c:v>Desoneração da tarifa de energia</c:v>
                </c:pt>
                <c:pt idx="5">
                  <c:v>Meta Arrecadação 2013</c:v>
                </c:pt>
              </c:strCache>
            </c:strRef>
          </c:cat>
          <c:val>
            <c:numRef>
              <c:f>Metas!$J$5:$J$10</c:f>
              <c:numCache>
                <c:formatCode>General</c:formatCode>
                <c:ptCount val="6"/>
                <c:pt idx="2">
                  <c:v>5</c:v>
                </c:pt>
                <c:pt idx="4" formatCode="_(* #,##0.00_);_(* \(#,##0.00\);_(* &quot;-&quot;??_);_(@_)">
                  <c:v>41280000</c:v>
                </c:pt>
              </c:numCache>
            </c:numRef>
          </c:val>
        </c:ser>
        <c:ser>
          <c:idx val="3"/>
          <c:order val="3"/>
          <c:spPr>
            <a:ln>
              <a:solidFill>
                <a:prstClr val="black"/>
              </a:solidFill>
            </a:ln>
          </c:spPr>
          <c:dLbls>
            <c:dLbl>
              <c:idx val="2"/>
              <c:layout>
                <c:manualLayout>
                  <c:x val="0"/>
                  <c:y val="-3.7634408602150615E-2"/>
                </c:manualLayout>
              </c:layout>
              <c:tx>
                <c:rich>
                  <a:bodyPr/>
                  <a:lstStyle/>
                  <a:p>
                    <a:r>
                      <a:rPr lang="en-US" b="1"/>
                      <a:t> </a:t>
                    </a:r>
                    <a:r>
                      <a:rPr lang="en-US"/>
                      <a:t>76.200 </a:t>
                    </a:r>
                  </a:p>
                </c:rich>
              </c:tx>
              <c:showVal val="1"/>
            </c:dLbl>
            <c:txPr>
              <a:bodyPr/>
              <a:lstStyle/>
              <a:p>
                <a:pPr>
                  <a:defRPr b="1"/>
                </a:pPr>
                <a:endParaRPr lang="pt-BR"/>
              </a:p>
            </c:txPr>
            <c:showVal val="1"/>
          </c:dLbls>
          <c:cat>
            <c:strRef>
              <c:f>Metas!$G$5:$G$10</c:f>
              <c:strCache>
                <c:ptCount val="6"/>
                <c:pt idx="0">
                  <c:v>Arrecadação 2012</c:v>
                </c:pt>
                <c:pt idx="1">
                  <c:v>Atualização Inflação + PIB</c:v>
                </c:pt>
                <c:pt idx="2">
                  <c:v>Ganho pelo Esforço Fiscal</c:v>
                </c:pt>
                <c:pt idx="3">
                  <c:v>Meta Prévia</c:v>
                </c:pt>
                <c:pt idx="4">
                  <c:v>Desoneração da tarifa de energia</c:v>
                </c:pt>
                <c:pt idx="5">
                  <c:v>Meta Arrecadação 2013</c:v>
                </c:pt>
              </c:strCache>
            </c:strRef>
          </c:cat>
          <c:val>
            <c:numRef>
              <c:f>Metas!$K$5:$K$10</c:f>
              <c:numCache>
                <c:formatCode>General</c:formatCode>
                <c:ptCount val="6"/>
                <c:pt idx="2" formatCode="_(* #,##0.00_);_(* \(#,##0.00\);_(* &quot;-&quot;??_);_(@_)">
                  <c:v>76200305.758490592</c:v>
                </c:pt>
              </c:numCache>
            </c:numRef>
          </c:val>
        </c:ser>
        <c:overlap val="100"/>
        <c:axId val="34639232"/>
        <c:axId val="34649216"/>
      </c:barChart>
      <c:catAx>
        <c:axId val="34639232"/>
        <c:scaling>
          <c:orientation val="minMax"/>
        </c:scaling>
        <c:axPos val="b"/>
        <c:tickLblPos val="nextTo"/>
        <c:crossAx val="34649216"/>
        <c:crosses val="autoZero"/>
        <c:auto val="1"/>
        <c:lblAlgn val="ctr"/>
        <c:lblOffset val="100"/>
      </c:catAx>
      <c:valAx>
        <c:axId val="34649216"/>
        <c:scaling>
          <c:orientation val="minMax"/>
          <c:min val="0"/>
        </c:scaling>
        <c:delete val="1"/>
        <c:axPos val="l"/>
        <c:numFmt formatCode="_(* #,##0.00_);_(* \(#,##0.00\);_(* &quot;-&quot;??_);_(@_)" sourceLinked="1"/>
        <c:tickLblPos val="none"/>
        <c:crossAx val="34639232"/>
        <c:crosses val="autoZero"/>
        <c:crossBetween val="between"/>
      </c:valAx>
      <c:spPr>
        <a:noFill/>
        <a:ln w="25400">
          <a:noFill/>
        </a:ln>
        <a:effectLst>
          <a:innerShdw blurRad="63500" dist="50800" dir="2700000">
            <a:prstClr val="black">
              <a:alpha val="50000"/>
            </a:prstClr>
          </a:innerShdw>
        </a:effectLst>
        <a:scene3d>
          <a:camera prst="orthographicFront"/>
          <a:lightRig rig="threePt" dir="t"/>
        </a:scene3d>
        <a:sp3d>
          <a:bevelB w="165100" prst="coolSlant"/>
        </a:sp3d>
      </c:spPr>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5412FF8501848489F11A01C9FC84F08" ma:contentTypeVersion="3519" ma:contentTypeDescription="A content type to manage public (operations) IDB documents" ma:contentTypeScope="" ma:versionID="3927e38c2b84e9a96eacf6bb208fb9a7">
  <xsd:schema xmlns:xsd="http://www.w3.org/2001/XMLSchema" xmlns:xs="http://www.w3.org/2001/XMLSchema" xmlns:p="http://schemas.microsoft.com/office/2006/metadata/properties" xmlns:ns2="cdc7663a-08f0-4737-9e8c-148ce897a09c" targetNamespace="http://schemas.microsoft.com/office/2006/metadata/properties" ma:root="true" ma:fieldsID="5d3781321cad55452cadae92803181b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37720803</IDBDocs_x0020_Number>
    <TaxCatchAll xmlns="cdc7663a-08f0-4737-9e8c-148ce897a09c">
      <Value>13</Value>
      <Value>30</Value>
      <Value>1</Value>
    </TaxCatchAll>
    <Phase xmlns="cdc7663a-08f0-4737-9e8c-148ce897a09c" xsi:nil="true"/>
    <SISCOR_x0020_Number xmlns="cdc7663a-08f0-4737-9e8c-148ce897a09c" xsi:nil="true"/>
    <Division_x0020_or_x0020_Unit xmlns="cdc7663a-08f0-4737-9e8c-148ce897a09c">INE/TSP</Division_x0020_or_x0020_Unit>
    <Approval_x0020_Number xmlns="cdc7663a-08f0-4737-9e8c-148ce897a09c" xsi:nil="true"/>
    <Document_x0020_Author xmlns="cdc7663a-08f0-4737-9e8c-148ce897a09c">Lenci Pousada, Vera Lucia</Document_x0020_Author>
    <Fiscal_x0020_Year_x0020_IDB xmlns="cdc7663a-08f0-4737-9e8c-148ce897a09c">2013</Fiscal_x0020_Year_x0020_IDB>
    <Other_x0020_Author xmlns="cdc7663a-08f0-4737-9e8c-148ce897a09c" xsi:nil="true"/>
    <Project_x0020_Number xmlns="cdc7663a-08f0-4737-9e8c-148ce897a09c">BR-L1374</Project_x0020_Number>
    <Package_x0020_Code xmlns="cdc7663a-08f0-4737-9e8c-148ce897a09c" xsi:nil="true"/>
    <Key_x0020_Document xmlns="cdc7663a-08f0-4737-9e8c-148ce897a09c">false</Key_x0020_Document>
    <Migration_x0020_Info xmlns="cdc7663a-08f0-4737-9e8c-148ce897a09c">&lt;div class="ExternalClass1FB1C7270FB24755A003DF8B71A7E45D"&gt;MS WORDLPLoan ProposalOPOperations Policy Committee0NSouth AmericaPO-BR-L1374-Anl1087602513&lt;/div&gt;</Migration_x0020_Info>
    <Operation_x0020_Type xmlns="cdc7663a-08f0-4737-9e8c-148ce897a09c" xsi:nil="true"/>
    <Record_x0020_Number xmlns="cdc7663a-08f0-4737-9e8c-148ce897a09c">R0002799383</Record_x0020_Number>
    <Document_x0020_Language_x0020_IDB xmlns="cdc7663a-08f0-4737-9e8c-148ce897a09c">Spanish</Document_x0020_Language_x0020_IDB>
    <Identifier xmlns="cdc7663a-08f0-4737-9e8c-148ce897a09c">Caterina Vecco x.2460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Loan Proposal</Disclosure_x0020_Activity>
    <Region xmlns="cdc7663a-08f0-4737-9e8c-148ce897a09c" xsi:nil="true"/>
    <_dlc_DocId xmlns="cdc7663a-08f0-4737-9e8c-148ce897a09c">EZSHARE-1185062258-90</_dlc_DocId>
    <Publication_x0020_Type xmlns="cdc7663a-08f0-4737-9e8c-148ce897a09c" xsi:nil="true"/>
    <Issue_x0020_Date xmlns="cdc7663a-08f0-4737-9e8c-148ce897a09c" xsi:nil="true"/>
    <KP_x0020_Topics xmlns="cdc7663a-08f0-4737-9e8c-148ce897a09c" xsi:nil="true"/>
    <Webtopic xmlns="cdc7663a-08f0-4737-9e8c-148ce897a09c">Highways and Roads;Transportation</Webtopic>
    <Publishing_x0020_House xmlns="cdc7663a-08f0-4737-9e8c-148ce897a09c" xsi:nil="true"/>
    <Disclosed xmlns="cdc7663a-08f0-4737-9e8c-148ce897a09c">true</Disclosed>
    <_dlc_DocIdUrl xmlns="cdc7663a-08f0-4737-9e8c-148ce897a09c">
      <Url>https://idbg.sharepoint.com/teams/EZ-BR-LON/BR-L1374/_layouts/15/DocIdRedir.aspx?ID=EZSHARE-1185062258-90</Url>
      <Description>EZSHARE-1185062258-90</Description>
    </_dlc_DocIdUrl>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C1D525E-5049-4039-BAAF-3DB1BFFBA1CE}"/>
</file>

<file path=customXml/itemProps2.xml><?xml version="1.0" encoding="utf-8"?>
<ds:datastoreItem xmlns:ds="http://schemas.openxmlformats.org/officeDocument/2006/customXml" ds:itemID="{0F1C595A-4F8F-4D83-ABE4-8C7628344CDF}"/>
</file>

<file path=customXml/itemProps3.xml><?xml version="1.0" encoding="utf-8"?>
<ds:datastoreItem xmlns:ds="http://schemas.openxmlformats.org/officeDocument/2006/customXml" ds:itemID="{B38A40E2-A5AB-47B3-83B6-E3251E55F2A9}"/>
</file>

<file path=customXml/itemProps4.xml><?xml version="1.0" encoding="utf-8"?>
<ds:datastoreItem xmlns:ds="http://schemas.openxmlformats.org/officeDocument/2006/customXml" ds:itemID="{F640591F-CAF2-4EB1-B866-A1876A9AF003}"/>
</file>

<file path=customXml/itemProps5.xml><?xml version="1.0" encoding="utf-8"?>
<ds:datastoreItem xmlns:ds="http://schemas.openxmlformats.org/officeDocument/2006/customXml" ds:itemID="{1AC136AF-9BCF-4904-BEA0-433865EA98DC}"/>
</file>

<file path=customXml/itemProps6.xml><?xml version="1.0" encoding="utf-8"?>
<ds:datastoreItem xmlns:ds="http://schemas.openxmlformats.org/officeDocument/2006/customXml" ds:itemID="{2305A363-1C50-4B0B-9E13-850CA88CD4A0}"/>
</file>

<file path=customXml/itemProps7.xml><?xml version="1.0" encoding="utf-8"?>
<ds:datastoreItem xmlns:ds="http://schemas.openxmlformats.org/officeDocument/2006/customXml" ds:itemID="{D506EF1E-B9C3-4C86-A1BC-5CF0D8C29B92}"/>
</file>

<file path=docProps/app.xml><?xml version="1.0" encoding="utf-8"?>
<Properties xmlns="http://schemas.openxmlformats.org/officeDocument/2006/extended-properties" xmlns:vt="http://schemas.openxmlformats.org/officeDocument/2006/docPropsVTypes">
  <Template>Normal</Template>
  <TotalTime>1</TotalTime>
  <Pages>8</Pages>
  <Words>2898</Words>
  <Characters>15655</Characters>
  <Application>Microsoft Office Word</Application>
  <DocSecurity>0</DocSecurity>
  <Lines>130</Lines>
  <Paragraphs>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18516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Electrónico Opcional 10_ Nota Técnica Procedimientos de Fiscalización _ POD</dc:title>
  <dc:creator>Familia Cracel</dc:creator>
  <cp:lastModifiedBy>Lenira Gama</cp:lastModifiedBy>
  <cp:revision>2</cp:revision>
  <cp:lastPrinted>2012-10-19T14:16:00Z</cp:lastPrinted>
  <dcterms:created xsi:type="dcterms:W3CDTF">2013-04-09T12:48:00Z</dcterms:created>
  <dcterms:modified xsi:type="dcterms:W3CDTF">2013-04-09T12:48:00Z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0x0101001A458A224826124E8B45B1D613300CFC00E5412FF8501848489F11A01C9FC84F08</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28;#Loan Proposal|6ee86b6f-6e46-485b-8bfb-87a1f44622ac</vt:lpwstr>
  </property>
  <property fmtid="{D5CDD505-2E9C-101B-9397-08002B2CF9AE}" pid="8" name="Country">
    <vt:lpwstr>30;#Brazil|7deb27ec-6837-4974-9aa8-6cfbac841ef8</vt:lpwstr>
  </property>
  <property fmtid="{D5CDD505-2E9C-101B-9397-08002B2CF9AE}" pid="9" name="Fund IDB">
    <vt:lpwstr/>
  </property>
  <property fmtid="{D5CDD505-2E9C-101B-9397-08002B2CF9AE}" pid="10" name="Series_x0020_Operations_x0020_IDB">
    <vt:lpwstr>28;#Loan Proposal|6ee86b6f-6e46-485b-8bfb-87a1f44622ac</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ub-Sector">
    <vt:lpwstr/>
  </property>
  <property fmtid="{D5CDD505-2E9C-101B-9397-08002B2CF9AE}" pid="16" name="Order">
    <vt:r8>9000</vt:r8>
  </property>
  <property fmtid="{D5CDD505-2E9C-101B-9397-08002B2CF9AE}" pid="17" name="_dlc_DocIdItemGuid">
    <vt:lpwstr>032fe8b8-8f42-4831-a966-a78d94bd3c4b</vt:lpwstr>
  </property>
</Properties>
</file>