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B38" w:rsidRDefault="00DE1B38" w:rsidP="00332D8A">
      <w:pPr>
        <w:pStyle w:val="Title"/>
        <w:tabs>
          <w:tab w:val="clear" w:pos="1440"/>
          <w:tab w:val="clear" w:pos="3060"/>
        </w:tabs>
        <w:outlineLvl w:val="9"/>
        <w:rPr>
          <w:smallCaps/>
          <w:szCs w:val="24"/>
          <w:lang w:val="es-ES"/>
        </w:rPr>
      </w:pPr>
    </w:p>
    <w:p w:rsidR="001B5186" w:rsidRPr="0070507C" w:rsidRDefault="001B5186" w:rsidP="00332D8A">
      <w:pPr>
        <w:pStyle w:val="Title"/>
        <w:tabs>
          <w:tab w:val="clear" w:pos="1440"/>
          <w:tab w:val="clear" w:pos="3060"/>
        </w:tabs>
        <w:outlineLvl w:val="9"/>
        <w:rPr>
          <w:smallCaps/>
          <w:szCs w:val="24"/>
          <w:lang w:val="es-ES"/>
        </w:rPr>
      </w:pPr>
      <w:r w:rsidRPr="0070507C">
        <w:rPr>
          <w:smallCaps/>
          <w:szCs w:val="24"/>
          <w:lang w:val="es-ES"/>
        </w:rPr>
        <w:t>Document</w:t>
      </w:r>
      <w:r w:rsidR="00BD6C4D" w:rsidRPr="0070507C">
        <w:rPr>
          <w:smallCaps/>
          <w:szCs w:val="24"/>
          <w:lang w:val="es-ES"/>
        </w:rPr>
        <w:t>o</w:t>
      </w:r>
      <w:r w:rsidRPr="0070507C">
        <w:rPr>
          <w:smallCaps/>
          <w:szCs w:val="24"/>
          <w:lang w:val="es-ES"/>
        </w:rPr>
        <w:t xml:space="preserve"> </w:t>
      </w:r>
      <w:r w:rsidR="00BD6C4D" w:rsidRPr="0070507C">
        <w:rPr>
          <w:smallCaps/>
          <w:szCs w:val="24"/>
          <w:lang w:val="es-ES"/>
        </w:rPr>
        <w:t xml:space="preserve">del Banco </w:t>
      </w:r>
      <w:r w:rsidRPr="0070507C">
        <w:rPr>
          <w:smallCaps/>
          <w:szCs w:val="24"/>
          <w:lang w:val="es-ES"/>
        </w:rPr>
        <w:t>Inter</w:t>
      </w:r>
      <w:r w:rsidR="00BD6C4D" w:rsidRPr="0070507C">
        <w:rPr>
          <w:smallCaps/>
          <w:szCs w:val="24"/>
          <w:lang w:val="es-ES"/>
        </w:rPr>
        <w:t>a</w:t>
      </w:r>
      <w:r w:rsidRPr="0070507C">
        <w:rPr>
          <w:smallCaps/>
          <w:szCs w:val="24"/>
          <w:lang w:val="es-ES"/>
        </w:rPr>
        <w:t>merican</w:t>
      </w:r>
      <w:r w:rsidR="00BD6C4D" w:rsidRPr="0070507C">
        <w:rPr>
          <w:smallCaps/>
          <w:szCs w:val="24"/>
          <w:lang w:val="es-ES"/>
        </w:rPr>
        <w:t>o de Desarrollo</w:t>
      </w: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tabs>
          <w:tab w:val="left" w:pos="1440"/>
          <w:tab w:val="left" w:pos="3060"/>
        </w:tabs>
        <w:jc w:val="center"/>
        <w:rPr>
          <w:b/>
          <w:smallCaps/>
          <w:szCs w:val="24"/>
          <w:lang w:val="es-ES"/>
        </w:rPr>
      </w:pPr>
    </w:p>
    <w:p w:rsidR="001B5186" w:rsidRDefault="001B5186" w:rsidP="00332D8A">
      <w:pPr>
        <w:tabs>
          <w:tab w:val="left" w:pos="1440"/>
          <w:tab w:val="left" w:pos="3060"/>
        </w:tabs>
        <w:jc w:val="center"/>
        <w:rPr>
          <w:b/>
          <w:smallCaps/>
          <w:szCs w:val="24"/>
          <w:lang w:val="es-ES"/>
        </w:rPr>
      </w:pPr>
    </w:p>
    <w:p w:rsidR="00DE1B38" w:rsidRDefault="00DE1B38" w:rsidP="00332D8A">
      <w:pPr>
        <w:tabs>
          <w:tab w:val="left" w:pos="1440"/>
          <w:tab w:val="left" w:pos="3060"/>
        </w:tabs>
        <w:jc w:val="center"/>
        <w:rPr>
          <w:b/>
          <w:smallCaps/>
          <w:szCs w:val="24"/>
          <w:lang w:val="es-ES"/>
        </w:rPr>
      </w:pPr>
      <w:bookmarkStart w:id="0" w:name="_GoBack"/>
    </w:p>
    <w:bookmarkEnd w:id="0"/>
    <w:p w:rsidR="00DE1B38" w:rsidRDefault="00DE1B38" w:rsidP="00332D8A">
      <w:pPr>
        <w:tabs>
          <w:tab w:val="left" w:pos="1440"/>
          <w:tab w:val="left" w:pos="3060"/>
        </w:tabs>
        <w:jc w:val="center"/>
        <w:rPr>
          <w:b/>
          <w:smallCaps/>
          <w:szCs w:val="24"/>
          <w:lang w:val="es-ES"/>
        </w:rPr>
      </w:pPr>
    </w:p>
    <w:p w:rsidR="00DE1B38" w:rsidRDefault="00DE1B38" w:rsidP="00332D8A">
      <w:pPr>
        <w:tabs>
          <w:tab w:val="left" w:pos="1440"/>
          <w:tab w:val="left" w:pos="3060"/>
        </w:tabs>
        <w:jc w:val="center"/>
        <w:rPr>
          <w:b/>
          <w:smallCaps/>
          <w:szCs w:val="24"/>
          <w:lang w:val="es-ES"/>
        </w:rPr>
      </w:pPr>
    </w:p>
    <w:p w:rsidR="00DE1B38" w:rsidRDefault="00DE1B38" w:rsidP="00332D8A">
      <w:pPr>
        <w:tabs>
          <w:tab w:val="left" w:pos="1440"/>
          <w:tab w:val="left" w:pos="3060"/>
        </w:tabs>
        <w:jc w:val="center"/>
        <w:rPr>
          <w:b/>
          <w:smallCaps/>
          <w:szCs w:val="24"/>
          <w:lang w:val="es-ES"/>
        </w:rPr>
      </w:pPr>
    </w:p>
    <w:p w:rsidR="00DE1B38" w:rsidRDefault="00DE1B38" w:rsidP="00332D8A">
      <w:pPr>
        <w:tabs>
          <w:tab w:val="left" w:pos="1440"/>
          <w:tab w:val="left" w:pos="3060"/>
        </w:tabs>
        <w:jc w:val="center"/>
        <w:rPr>
          <w:b/>
          <w:smallCaps/>
          <w:szCs w:val="24"/>
          <w:lang w:val="es-ES"/>
        </w:rPr>
      </w:pPr>
    </w:p>
    <w:p w:rsidR="00DE1B38" w:rsidRPr="0070507C" w:rsidRDefault="00DE1B38" w:rsidP="00332D8A">
      <w:pPr>
        <w:tabs>
          <w:tab w:val="left" w:pos="1440"/>
          <w:tab w:val="left" w:pos="3060"/>
        </w:tabs>
        <w:jc w:val="center"/>
        <w:rPr>
          <w:b/>
          <w:smallCaps/>
          <w:szCs w:val="24"/>
          <w:lang w:val="es-ES"/>
        </w:rPr>
      </w:pPr>
    </w:p>
    <w:p w:rsidR="009843DE" w:rsidRPr="009843DE" w:rsidRDefault="009843DE" w:rsidP="009843DE">
      <w:pPr>
        <w:tabs>
          <w:tab w:val="left" w:pos="1440"/>
          <w:tab w:val="left" w:pos="3060"/>
        </w:tabs>
        <w:jc w:val="center"/>
        <w:rPr>
          <w:b/>
          <w:smallCaps/>
          <w:sz w:val="26"/>
          <w:szCs w:val="26"/>
        </w:rPr>
      </w:pPr>
      <w:r w:rsidRPr="009843DE">
        <w:rPr>
          <w:b/>
          <w:smallCaps/>
          <w:sz w:val="26"/>
          <w:szCs w:val="26"/>
          <w:lang w:val="es-ES"/>
        </w:rPr>
        <w:t>Brasil</w:t>
      </w:r>
    </w:p>
    <w:p w:rsidR="009843DE" w:rsidRPr="009843DE" w:rsidRDefault="009843DE" w:rsidP="009843DE">
      <w:pPr>
        <w:tabs>
          <w:tab w:val="left" w:pos="1440"/>
          <w:tab w:val="left" w:pos="3060"/>
        </w:tabs>
        <w:jc w:val="center"/>
        <w:rPr>
          <w:smallCaps/>
          <w:sz w:val="26"/>
          <w:szCs w:val="26"/>
        </w:rPr>
      </w:pPr>
    </w:p>
    <w:p w:rsidR="009843DE" w:rsidRPr="009843DE" w:rsidRDefault="009843DE" w:rsidP="009843DE">
      <w:pPr>
        <w:tabs>
          <w:tab w:val="left" w:pos="1440"/>
          <w:tab w:val="left" w:pos="3060"/>
        </w:tabs>
        <w:jc w:val="center"/>
        <w:rPr>
          <w:smallCaps/>
          <w:sz w:val="26"/>
          <w:szCs w:val="26"/>
        </w:rPr>
      </w:pPr>
    </w:p>
    <w:p w:rsidR="009843DE" w:rsidRPr="009843DE" w:rsidRDefault="009843DE" w:rsidP="009843DE">
      <w:pPr>
        <w:tabs>
          <w:tab w:val="left" w:pos="1440"/>
          <w:tab w:val="left" w:pos="3060"/>
        </w:tabs>
        <w:jc w:val="center"/>
        <w:rPr>
          <w:smallCaps/>
          <w:sz w:val="26"/>
          <w:szCs w:val="26"/>
        </w:rPr>
      </w:pPr>
    </w:p>
    <w:p w:rsidR="009843DE" w:rsidRPr="009843DE" w:rsidRDefault="009843DE" w:rsidP="009843DE">
      <w:pPr>
        <w:tabs>
          <w:tab w:val="left" w:pos="1440"/>
          <w:tab w:val="left" w:pos="3060"/>
        </w:tabs>
        <w:jc w:val="center"/>
        <w:rPr>
          <w:b/>
          <w:smallCaps/>
          <w:sz w:val="26"/>
          <w:szCs w:val="26"/>
          <w:lang w:val="es-ES"/>
        </w:rPr>
      </w:pPr>
      <w:r w:rsidRPr="009843DE">
        <w:rPr>
          <w:b/>
          <w:smallCaps/>
          <w:sz w:val="26"/>
          <w:szCs w:val="26"/>
          <w:lang w:val="es-ES"/>
        </w:rPr>
        <w:t>Programa de consolidación fiscal para el desarrollo del estado de Alagoas (</w:t>
      </w:r>
      <w:proofErr w:type="spellStart"/>
      <w:r w:rsidRPr="009843DE">
        <w:rPr>
          <w:b/>
          <w:smallCaps/>
          <w:sz w:val="26"/>
          <w:szCs w:val="26"/>
          <w:lang w:val="es-ES"/>
        </w:rPr>
        <w:t>proconfis</w:t>
      </w:r>
      <w:proofErr w:type="spellEnd"/>
      <w:r w:rsidRPr="009843DE">
        <w:rPr>
          <w:b/>
          <w:smallCaps/>
          <w:sz w:val="26"/>
          <w:szCs w:val="26"/>
          <w:lang w:val="es-ES"/>
        </w:rPr>
        <w:t xml:space="preserve"> al) </w:t>
      </w:r>
    </w:p>
    <w:p w:rsidR="009843DE" w:rsidRPr="009843DE" w:rsidRDefault="009843DE" w:rsidP="009843DE">
      <w:pPr>
        <w:pStyle w:val="Newpage"/>
        <w:rPr>
          <w:b w:val="0"/>
          <w:caps/>
          <w:smallCaps w:val="0"/>
          <w:sz w:val="26"/>
          <w:szCs w:val="26"/>
        </w:rPr>
      </w:pPr>
    </w:p>
    <w:p w:rsidR="009843DE" w:rsidRPr="009843DE" w:rsidRDefault="009843DE" w:rsidP="009843DE">
      <w:pPr>
        <w:pStyle w:val="Newpage"/>
        <w:rPr>
          <w:b w:val="0"/>
          <w:caps/>
          <w:smallCaps w:val="0"/>
          <w:sz w:val="26"/>
          <w:szCs w:val="26"/>
        </w:rPr>
      </w:pPr>
    </w:p>
    <w:p w:rsidR="001B5186" w:rsidRPr="009843DE" w:rsidRDefault="009843DE" w:rsidP="009843DE">
      <w:pPr>
        <w:tabs>
          <w:tab w:val="left" w:pos="1440"/>
          <w:tab w:val="left" w:pos="3060"/>
        </w:tabs>
        <w:jc w:val="center"/>
        <w:rPr>
          <w:b/>
          <w:smallCaps/>
          <w:szCs w:val="24"/>
          <w:lang w:val="es-ES"/>
        </w:rPr>
      </w:pPr>
      <w:r w:rsidRPr="009843DE">
        <w:rPr>
          <w:b/>
          <w:smallCaps/>
          <w:szCs w:val="24"/>
          <w:lang w:val="es-ES"/>
        </w:rPr>
        <w:t>BR-L1374</w:t>
      </w:r>
    </w:p>
    <w:p w:rsidR="004C5A25" w:rsidRPr="0070507C" w:rsidRDefault="004C5A25" w:rsidP="00332D8A">
      <w:pPr>
        <w:tabs>
          <w:tab w:val="left" w:pos="1440"/>
          <w:tab w:val="left" w:pos="3060"/>
        </w:tabs>
        <w:jc w:val="center"/>
        <w:rPr>
          <w:b/>
          <w:smallCaps/>
          <w:szCs w:val="24"/>
          <w:lang w:val="es-ES"/>
        </w:rPr>
      </w:pPr>
    </w:p>
    <w:p w:rsidR="001B5186" w:rsidRDefault="001B5186" w:rsidP="00332D8A">
      <w:pPr>
        <w:tabs>
          <w:tab w:val="left" w:pos="1440"/>
          <w:tab w:val="left" w:pos="3060"/>
        </w:tabs>
        <w:jc w:val="center"/>
        <w:rPr>
          <w:smallCaps/>
          <w:szCs w:val="24"/>
          <w:lang w:val="es-ES"/>
        </w:rPr>
      </w:pPr>
    </w:p>
    <w:p w:rsidR="00DE1B38" w:rsidRDefault="00DE1B38" w:rsidP="00332D8A">
      <w:pPr>
        <w:tabs>
          <w:tab w:val="left" w:pos="1440"/>
          <w:tab w:val="left" w:pos="3060"/>
        </w:tabs>
        <w:jc w:val="center"/>
        <w:rPr>
          <w:smallCaps/>
          <w:szCs w:val="24"/>
          <w:lang w:val="es-ES"/>
        </w:rPr>
      </w:pPr>
    </w:p>
    <w:p w:rsidR="00DE1B38" w:rsidRDefault="00DE1B38" w:rsidP="00332D8A">
      <w:pPr>
        <w:tabs>
          <w:tab w:val="left" w:pos="1440"/>
          <w:tab w:val="left" w:pos="3060"/>
        </w:tabs>
        <w:jc w:val="center"/>
        <w:rPr>
          <w:smallCaps/>
          <w:szCs w:val="24"/>
          <w:lang w:val="es-ES"/>
        </w:rPr>
      </w:pPr>
    </w:p>
    <w:p w:rsidR="00DE1B38" w:rsidRPr="0070507C" w:rsidRDefault="00DE1B38" w:rsidP="00332D8A">
      <w:pPr>
        <w:tabs>
          <w:tab w:val="left" w:pos="1440"/>
          <w:tab w:val="left" w:pos="3060"/>
        </w:tabs>
        <w:jc w:val="center"/>
        <w:rPr>
          <w:smallCaps/>
          <w:szCs w:val="24"/>
          <w:lang w:val="es-ES"/>
        </w:rPr>
      </w:pPr>
    </w:p>
    <w:p w:rsidR="001B5186" w:rsidRPr="0070507C" w:rsidRDefault="004C5A25" w:rsidP="00332D8A">
      <w:pPr>
        <w:tabs>
          <w:tab w:val="left" w:pos="1440"/>
          <w:tab w:val="left" w:pos="3060"/>
        </w:tabs>
        <w:jc w:val="center"/>
        <w:outlineLvl w:val="0"/>
        <w:rPr>
          <w:b/>
          <w:smallCaps/>
          <w:szCs w:val="24"/>
          <w:lang w:val="es-ES"/>
        </w:rPr>
      </w:pPr>
      <w:r>
        <w:rPr>
          <w:b/>
          <w:smallCaps/>
          <w:szCs w:val="24"/>
          <w:lang w:val="es-ES"/>
        </w:rPr>
        <w:t>Plan de Monitoreo</w:t>
      </w:r>
      <w:r w:rsidR="00BD6C4D" w:rsidRPr="0070507C">
        <w:rPr>
          <w:b/>
          <w:smallCaps/>
          <w:szCs w:val="24"/>
          <w:lang w:val="es-ES"/>
        </w:rPr>
        <w:t xml:space="preserve"> y Evaluación</w:t>
      </w:r>
    </w:p>
    <w:p w:rsidR="001B5186" w:rsidRPr="0070507C" w:rsidRDefault="001B5186" w:rsidP="00332D8A">
      <w:pPr>
        <w:tabs>
          <w:tab w:val="left" w:pos="1440"/>
          <w:tab w:val="left" w:pos="3060"/>
        </w:tabs>
        <w:outlineLvl w:val="0"/>
        <w:rPr>
          <w:b/>
          <w:smallCaps/>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32CA1" w:rsidRPr="0070507C" w:rsidRDefault="00132CA1" w:rsidP="00132CA1">
      <w:pPr>
        <w:pStyle w:val="ColorfulList-Accent11"/>
        <w:ind w:left="0"/>
        <w:rPr>
          <w:rFonts w:ascii="Times New Roman" w:hAnsi="Times New Roman"/>
          <w:b/>
          <w:sz w:val="24"/>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pStyle w:val="ColorfulList-Accent11"/>
        <w:ind w:left="1080"/>
        <w:jc w:val="center"/>
        <w:rPr>
          <w:rFonts w:ascii="Times New Roman" w:hAnsi="Times New Roman"/>
          <w:b/>
          <w:sz w:val="24"/>
          <w:szCs w:val="24"/>
          <w:lang w:val="es-ES"/>
        </w:rPr>
      </w:pPr>
    </w:p>
    <w:p w:rsidR="001B5186" w:rsidRPr="0070507C" w:rsidRDefault="001B5186" w:rsidP="00332D8A">
      <w:pPr>
        <w:tabs>
          <w:tab w:val="left" w:pos="1440"/>
          <w:tab w:val="left" w:pos="3060"/>
        </w:tabs>
        <w:jc w:val="center"/>
        <w:rPr>
          <w:szCs w:val="24"/>
          <w:lang w:val="es-ES"/>
        </w:rPr>
      </w:pPr>
    </w:p>
    <w:p w:rsidR="00B87A39" w:rsidRDefault="00B87A39" w:rsidP="00332D8A">
      <w:pPr>
        <w:pStyle w:val="ColorfulList-Accent11"/>
        <w:ind w:left="1080"/>
        <w:jc w:val="center"/>
        <w:rPr>
          <w:smallCaps/>
          <w:szCs w:val="24"/>
        </w:rPr>
      </w:pPr>
    </w:p>
    <w:p w:rsidR="00AD59CA" w:rsidRPr="0070507C" w:rsidRDefault="00AD59CA" w:rsidP="00AD59CA">
      <w:pPr>
        <w:tabs>
          <w:tab w:val="left" w:pos="1440"/>
          <w:tab w:val="left" w:pos="3060"/>
        </w:tabs>
        <w:jc w:val="center"/>
        <w:rPr>
          <w:szCs w:val="24"/>
          <w:lang w:val="es-ES"/>
        </w:rPr>
      </w:pPr>
    </w:p>
    <w:p w:rsidR="00AD59CA" w:rsidRPr="0070507C" w:rsidRDefault="002C7793" w:rsidP="00AD59CA">
      <w:pPr>
        <w:pStyle w:val="BodyText"/>
        <w:pBdr>
          <w:top w:val="single" w:sz="4" w:space="1" w:color="auto"/>
          <w:left w:val="single" w:sz="4" w:space="4" w:color="auto"/>
          <w:bottom w:val="single" w:sz="4" w:space="1" w:color="auto"/>
          <w:right w:val="single" w:sz="4" w:space="4" w:color="auto"/>
        </w:pBdr>
        <w:tabs>
          <w:tab w:val="left" w:pos="1440"/>
        </w:tabs>
        <w:jc w:val="both"/>
        <w:rPr>
          <w:szCs w:val="24"/>
          <w:lang w:val="es-ES"/>
        </w:rPr>
      </w:pPr>
      <w:r>
        <w:rPr>
          <w:szCs w:val="24"/>
          <w:lang w:val="es-ES"/>
        </w:rPr>
        <w:t xml:space="preserve">Este documento fue preparado por el equipo de proyecto compuesto por: Vera Lucia Vicentini (TSP/CAR) y Cristina Mac Dowell (FMM/CBR), Co-jefes de Equipo; Alejandro Taddia (INE/TSP), Adela Moreda (INE/RND), Yvon Mellinger (WSA/CBR); Carlos Pimenta (FMM/IFD); Fátima Cartaxo (FMM/CBR); Emilio </w:t>
      </w:r>
      <w:proofErr w:type="spellStart"/>
      <w:r>
        <w:rPr>
          <w:szCs w:val="24"/>
          <w:lang w:val="es-ES"/>
        </w:rPr>
        <w:t>Piñeda</w:t>
      </w:r>
      <w:proofErr w:type="spellEnd"/>
      <w:r>
        <w:rPr>
          <w:szCs w:val="24"/>
          <w:lang w:val="es-ES"/>
        </w:rPr>
        <w:t xml:space="preserve"> (FMM/CUR); Fabiano Bastos (CSC/CBR); Germán Zappani (PDP/CBR); Cristina Celeste (LEG/SGO); </w:t>
      </w:r>
      <w:r>
        <w:rPr>
          <w:spacing w:val="-4"/>
          <w:szCs w:val="24"/>
          <w:lang w:val="es-ES"/>
        </w:rPr>
        <w:t>Leonardo Corral y Cesar Mosquera (SPD/SDV); y Caterina Vecco (INE/TSP).</w:t>
      </w:r>
    </w:p>
    <w:p w:rsidR="00AD59CA" w:rsidRDefault="00AD59CA" w:rsidP="00AD59CA">
      <w:pPr>
        <w:pStyle w:val="ColorfulList-Accent11"/>
        <w:ind w:left="1080"/>
        <w:jc w:val="center"/>
        <w:rPr>
          <w:smallCaps/>
          <w:szCs w:val="24"/>
        </w:rPr>
      </w:pPr>
    </w:p>
    <w:p w:rsidR="00B87A39" w:rsidRDefault="00B87A39" w:rsidP="00AD59CA">
      <w:pPr>
        <w:pStyle w:val="ColorfulList-Accent11"/>
        <w:ind w:left="0"/>
        <w:rPr>
          <w:smallCaps/>
          <w:szCs w:val="24"/>
        </w:rPr>
        <w:sectPr w:rsidR="00B87A39" w:rsidSect="00DE1B38">
          <w:headerReference w:type="first" r:id="rId9"/>
          <w:pgSz w:w="12240" w:h="15840"/>
          <w:pgMar w:top="1440" w:right="1620" w:bottom="1440" w:left="1800" w:header="720" w:footer="720" w:gutter="0"/>
          <w:pgNumType w:start="0"/>
          <w:cols w:space="720"/>
          <w:vAlign w:val="both"/>
          <w:docGrid w:linePitch="360"/>
        </w:sectPr>
      </w:pPr>
    </w:p>
    <w:p w:rsidR="001B5186" w:rsidRPr="00DE1B38" w:rsidRDefault="001B5186" w:rsidP="00DE1B38">
      <w:pPr>
        <w:pStyle w:val="Heading1"/>
        <w:tabs>
          <w:tab w:val="clear" w:pos="360"/>
          <w:tab w:val="num" w:pos="720"/>
        </w:tabs>
        <w:ind w:left="720" w:hanging="630"/>
        <w:jc w:val="left"/>
        <w:rPr>
          <w:sz w:val="24"/>
          <w:szCs w:val="24"/>
          <w:lang w:val="es-ES_tradnl"/>
        </w:rPr>
      </w:pPr>
      <w:r w:rsidRPr="00DE1B38">
        <w:rPr>
          <w:sz w:val="24"/>
          <w:szCs w:val="24"/>
          <w:lang w:val="es-ES_tradnl"/>
        </w:rPr>
        <w:lastRenderedPageBreak/>
        <w:t>Introduc</w:t>
      </w:r>
      <w:r w:rsidR="00BD6C4D" w:rsidRPr="00DE1B38">
        <w:rPr>
          <w:sz w:val="24"/>
          <w:szCs w:val="24"/>
          <w:lang w:val="es-ES_tradnl"/>
        </w:rPr>
        <w:t>ción</w:t>
      </w:r>
    </w:p>
    <w:p w:rsidR="00C11C20" w:rsidRDefault="00C11C20" w:rsidP="000912B3">
      <w:pPr>
        <w:pStyle w:val="AutoNumpara"/>
        <w:rPr>
          <w:lang w:val="es-NI" w:eastAsia="pt-BR"/>
        </w:rPr>
      </w:pPr>
      <w:r>
        <w:t>E</w:t>
      </w:r>
      <w:r w:rsidRPr="00C44773">
        <w:t>l presente documento describe el plan de monitoreo y evaluación para las actividades, compromisos de políti</w:t>
      </w:r>
      <w:r>
        <w:t>ca, y resultados e impactos del Programa de Consolidación Fiscal para el desarrollo del estado Alagoas (BR-L1374)</w:t>
      </w:r>
    </w:p>
    <w:p w:rsidR="009843DE" w:rsidRDefault="009843DE" w:rsidP="000912B3">
      <w:pPr>
        <w:pStyle w:val="AutoNumpara"/>
        <w:rPr>
          <w:lang w:val="es-NI" w:eastAsia="pt-BR"/>
        </w:rPr>
      </w:pPr>
      <w:r w:rsidRPr="009843DE">
        <w:rPr>
          <w:lang w:val="es-NI" w:eastAsia="pt-BR"/>
        </w:rPr>
        <w:t>El objetivo del programa es contribuir a la sostenibilidad fiscal e incrementar los niveles y la calidad de l</w:t>
      </w:r>
      <w:r w:rsidR="00232D7A">
        <w:rPr>
          <w:lang w:val="es-NI" w:eastAsia="pt-BR"/>
        </w:rPr>
        <w:t>a inversión, principalmente aque</w:t>
      </w:r>
      <w:r w:rsidRPr="009843DE">
        <w:rPr>
          <w:lang w:val="es-NI" w:eastAsia="pt-BR"/>
        </w:rPr>
        <w:t>lla orientada a promover la actividad turística sostenible, para el desarrollo del Estado de Alagoas (EdA). El fin del Programa es aumentar la contribución del sector turístico a la economía del EdA</w:t>
      </w:r>
      <w:r>
        <w:rPr>
          <w:lang w:val="es-NI" w:eastAsia="pt-BR"/>
        </w:rPr>
        <w:t>.</w:t>
      </w:r>
    </w:p>
    <w:p w:rsidR="00FD3912" w:rsidRDefault="00232D7A" w:rsidP="00232D7A">
      <w:pPr>
        <w:pStyle w:val="AutoNumpara"/>
        <w:rPr>
          <w:lang w:val="es-NI" w:eastAsia="pt-BR"/>
        </w:rPr>
      </w:pPr>
      <w:r>
        <w:rPr>
          <w:lang w:val="es-NI" w:eastAsia="pt-BR"/>
        </w:rPr>
        <w:t>Para la consecucion de los citados objetivos, l</w:t>
      </w:r>
      <w:r w:rsidRPr="00232D7A">
        <w:rPr>
          <w:lang w:val="es-NI" w:eastAsia="pt-BR"/>
        </w:rPr>
        <w:t>a presente operación apoyará las reformas de política que permitan: i) garantizar la estabilidad macroeconómica del EdA;</w:t>
      </w:r>
      <w:r w:rsidR="00DE1B38">
        <w:rPr>
          <w:lang w:val="es-NI" w:eastAsia="pt-BR"/>
        </w:rPr>
        <w:t xml:space="preserve"> </w:t>
      </w:r>
      <w:r w:rsidRPr="00232D7A">
        <w:rPr>
          <w:lang w:val="es-NI" w:eastAsia="pt-BR"/>
        </w:rPr>
        <w:t>ii)</w:t>
      </w:r>
      <w:r w:rsidR="00DE1B38">
        <w:rPr>
          <w:lang w:val="es-NI" w:eastAsia="pt-BR"/>
        </w:rPr>
        <w:t> </w:t>
      </w:r>
      <w:r w:rsidRPr="00232D7A">
        <w:rPr>
          <w:lang w:val="es-NI" w:eastAsia="pt-BR"/>
        </w:rPr>
        <w:t>mejorar su situación fiscal, mediante el incremento de los ingresos propios y la mejora en el nivel y calidad del gasto público, ampliando su capacidad de realizar futuras inversiones; y ii)</w:t>
      </w:r>
      <w:r w:rsidR="00DE1B38">
        <w:rPr>
          <w:lang w:val="es-NI" w:eastAsia="pt-BR"/>
        </w:rPr>
        <w:t> </w:t>
      </w:r>
      <w:r w:rsidRPr="00232D7A">
        <w:rPr>
          <w:lang w:val="es-NI" w:eastAsia="pt-BR"/>
        </w:rPr>
        <w:t xml:space="preserve">contribuir a crear un marco de planificación integrada y de coordinación entre los diversos sectores, niveles de gobierno y sector privado para promover efectivamente el desarrollo sostenible del sector turístico del Estado y de este modo aumentar la capacidad de generar empleo, renta y mayores ingresos propios. </w:t>
      </w:r>
    </w:p>
    <w:p w:rsidR="003C3E18" w:rsidRPr="00232D7A" w:rsidRDefault="003C3E18" w:rsidP="00232D7A">
      <w:pPr>
        <w:pStyle w:val="AutoNumpara"/>
        <w:rPr>
          <w:lang w:val="es-NI" w:eastAsia="pt-BR"/>
        </w:rPr>
      </w:pPr>
      <w:r w:rsidRPr="00E71A5C">
        <w:t xml:space="preserve">El programa se ha estructurado </w:t>
      </w:r>
      <w:r>
        <w:t>como</w:t>
      </w:r>
      <w:r w:rsidRPr="00E71A5C">
        <w:t xml:space="preserve"> </w:t>
      </w:r>
      <w:r>
        <w:t xml:space="preserve">un Préstamo de Apoyo a Reformas de Política (PBL) </w:t>
      </w:r>
      <w:r w:rsidRPr="00023416">
        <w:t>dividid</w:t>
      </w:r>
      <w:r>
        <w:t xml:space="preserve">o en dos tramos, </w:t>
      </w:r>
      <w:r w:rsidRPr="00E71A5C">
        <w:rPr>
          <w:spacing w:val="-4"/>
        </w:rPr>
        <w:t xml:space="preserve">cuyas acciones buscan dar respuesta a algunos de los principales retos que enfrenta </w:t>
      </w:r>
      <w:r>
        <w:rPr>
          <w:spacing w:val="-4"/>
        </w:rPr>
        <w:t xml:space="preserve">Alagoas </w:t>
      </w:r>
      <w:r w:rsidRPr="00E71A5C">
        <w:rPr>
          <w:spacing w:val="-4"/>
        </w:rPr>
        <w:t xml:space="preserve">para hacer más efectivas sus políticas de </w:t>
      </w:r>
      <w:r w:rsidRPr="00E71A5C">
        <w:t xml:space="preserve">sostenibilidad fiscal y </w:t>
      </w:r>
      <w:r>
        <w:t>facilitar</w:t>
      </w:r>
      <w:r w:rsidRPr="00E71A5C">
        <w:t xml:space="preserve"> el </w:t>
      </w:r>
      <w:r>
        <w:t xml:space="preserve">aumento </w:t>
      </w:r>
      <w:r w:rsidRPr="00E71A5C">
        <w:t xml:space="preserve">de </w:t>
      </w:r>
      <w:r>
        <w:t xml:space="preserve">las </w:t>
      </w:r>
      <w:r w:rsidRPr="00E71A5C">
        <w:t>inversiones requerid</w:t>
      </w:r>
      <w:r>
        <w:t>a</w:t>
      </w:r>
      <w:r w:rsidRPr="00E71A5C">
        <w:t>s para el desarrollo del Estado</w:t>
      </w:r>
      <w:r>
        <w:rPr>
          <w:spacing w:val="-4"/>
        </w:rPr>
        <w:t xml:space="preserve">. </w:t>
      </w:r>
      <w:r w:rsidRPr="005C2782">
        <w:rPr>
          <w:spacing w:val="-4"/>
        </w:rPr>
        <w:t xml:space="preserve">El primer tramo se orienta principalmente a sentar las bases normativas del programa, mediante la expedición de decretos reglamentarios, resoluciones y ajustes institucionales necesarios para la </w:t>
      </w:r>
      <w:r w:rsidRPr="005C2782">
        <w:t>adopción</w:t>
      </w:r>
      <w:r w:rsidRPr="005C2782">
        <w:rPr>
          <w:spacing w:val="-4"/>
        </w:rPr>
        <w:t xml:space="preserve"> de nuevos procedimientos de gestión de los ingresos, del gasto público y de </w:t>
      </w:r>
      <w:r>
        <w:rPr>
          <w:spacing w:val="-4"/>
        </w:rPr>
        <w:t xml:space="preserve">los </w:t>
      </w:r>
      <w:r w:rsidRPr="005C2782">
        <w:rPr>
          <w:spacing w:val="-4"/>
        </w:rPr>
        <w:t>programas de inversión. El</w:t>
      </w:r>
      <w:r w:rsidRPr="005C2782">
        <w:t xml:space="preserve"> segundo tramo comprenderá mayormente acciones de política orientadas a apoyar la implementación de las actividades reglamentadas en la primera etapa de la operación.</w:t>
      </w:r>
    </w:p>
    <w:p w:rsidR="003C3E18" w:rsidRPr="00C11C20" w:rsidRDefault="00E807D8" w:rsidP="00C11C20">
      <w:pPr>
        <w:pStyle w:val="AutoNumpara"/>
        <w:rPr>
          <w:color w:val="000000"/>
          <w:lang w:val="es-ES"/>
        </w:rPr>
      </w:pPr>
      <w:r w:rsidRPr="00FD3912">
        <w:rPr>
          <w:lang w:val="es-ES"/>
        </w:rPr>
        <w:t xml:space="preserve">El cumplimiento </w:t>
      </w:r>
      <w:r w:rsidR="003D7E41" w:rsidRPr="00FD3912">
        <w:rPr>
          <w:lang w:val="es-ES"/>
        </w:rPr>
        <w:t xml:space="preserve">oportuno </w:t>
      </w:r>
      <w:r w:rsidRPr="00FD3912">
        <w:rPr>
          <w:lang w:val="es-ES"/>
        </w:rPr>
        <w:t>de las actividades planeadas</w:t>
      </w:r>
      <w:r w:rsidR="003D7E41" w:rsidRPr="00FD3912">
        <w:rPr>
          <w:lang w:val="es-ES"/>
        </w:rPr>
        <w:t>, dentro de los costos estimados y calid</w:t>
      </w:r>
      <w:r w:rsidR="004C5A25">
        <w:rPr>
          <w:lang w:val="es-ES"/>
        </w:rPr>
        <w:t>ades especifica</w:t>
      </w:r>
      <w:r w:rsidR="003D7E41" w:rsidRPr="00FD3912">
        <w:rPr>
          <w:lang w:val="es-ES"/>
        </w:rPr>
        <w:t xml:space="preserve">das, </w:t>
      </w:r>
      <w:r w:rsidR="00031CBC">
        <w:rPr>
          <w:lang w:val="es-ES"/>
        </w:rPr>
        <w:t>es objeto</w:t>
      </w:r>
      <w:r w:rsidRPr="00FD3912">
        <w:rPr>
          <w:lang w:val="es-ES"/>
        </w:rPr>
        <w:t xml:space="preserve"> de</w:t>
      </w:r>
      <w:r w:rsidR="00031CBC">
        <w:rPr>
          <w:lang w:val="es-ES"/>
        </w:rPr>
        <w:t>l</w:t>
      </w:r>
      <w:r w:rsidRPr="00FD3912">
        <w:rPr>
          <w:lang w:val="es-ES"/>
        </w:rPr>
        <w:t xml:space="preserve"> </w:t>
      </w:r>
      <w:r w:rsidR="003D7E41" w:rsidRPr="00FD3912">
        <w:rPr>
          <w:lang w:val="es-ES"/>
        </w:rPr>
        <w:t>seguimiento</w:t>
      </w:r>
      <w:r w:rsidR="00031CBC">
        <w:rPr>
          <w:lang w:val="es-ES"/>
        </w:rPr>
        <w:t xml:space="preserve"> descrito</w:t>
      </w:r>
      <w:r w:rsidRPr="00FD3912">
        <w:rPr>
          <w:lang w:val="es-ES"/>
        </w:rPr>
        <w:t xml:space="preserve"> en la primera sección de este documento. El propósito de la evaluación es determinar el cumplimiento de los objetivos del programa para poder abordar la causalidad y atribución de los resultados </w:t>
      </w:r>
      <w:r w:rsidR="00F274C8">
        <w:rPr>
          <w:lang w:val="es-ES"/>
        </w:rPr>
        <w:t>del mismo</w:t>
      </w:r>
      <w:r w:rsidRPr="00FD3912">
        <w:rPr>
          <w:lang w:val="es-ES"/>
        </w:rPr>
        <w:t xml:space="preserve">. </w:t>
      </w:r>
    </w:p>
    <w:p w:rsidR="001B5186" w:rsidRPr="003D7E41" w:rsidRDefault="003C3E18" w:rsidP="00DB4C6E">
      <w:pPr>
        <w:pStyle w:val="AutoNumpara"/>
        <w:rPr>
          <w:color w:val="000000"/>
          <w:lang w:val="es-ES"/>
        </w:rPr>
      </w:pPr>
      <w:r w:rsidRPr="00E14B1A">
        <w:rPr>
          <w:bCs/>
        </w:rPr>
        <w:t xml:space="preserve">El </w:t>
      </w:r>
      <w:r w:rsidRPr="0078499F">
        <w:t>Banco</w:t>
      </w:r>
      <w:r w:rsidRPr="00E14B1A">
        <w:rPr>
          <w:bCs/>
        </w:rPr>
        <w:t xml:space="preserve"> y el </w:t>
      </w:r>
      <w:r w:rsidRPr="000B1873">
        <w:t>Gobierno</w:t>
      </w:r>
      <w:r w:rsidRPr="00E14B1A">
        <w:rPr>
          <w:bCs/>
        </w:rPr>
        <w:t xml:space="preserve"> del </w:t>
      </w:r>
      <w:r>
        <w:rPr>
          <w:bCs/>
        </w:rPr>
        <w:t>EdA acordaron utilizar la Matriz de Política y la Matriz de Resultados como el Plan de Monitoreo de la Operación.</w:t>
      </w:r>
      <w:r w:rsidR="00E807D8" w:rsidRPr="00FD3912">
        <w:rPr>
          <w:lang w:val="es-ES"/>
        </w:rPr>
        <w:t xml:space="preserve"> </w:t>
      </w:r>
    </w:p>
    <w:p w:rsidR="00C53634" w:rsidRPr="00DE1B38" w:rsidRDefault="00332D8A" w:rsidP="00DE1B38">
      <w:pPr>
        <w:pStyle w:val="Heading1"/>
        <w:tabs>
          <w:tab w:val="clear" w:pos="360"/>
          <w:tab w:val="num" w:pos="720"/>
        </w:tabs>
        <w:ind w:left="720" w:hanging="540"/>
        <w:jc w:val="left"/>
        <w:rPr>
          <w:sz w:val="24"/>
          <w:szCs w:val="24"/>
        </w:rPr>
      </w:pPr>
      <w:r w:rsidRPr="00DE1B38">
        <w:rPr>
          <w:sz w:val="24"/>
          <w:szCs w:val="24"/>
        </w:rPr>
        <w:t>Seguimiento</w:t>
      </w:r>
    </w:p>
    <w:p w:rsidR="00C53634" w:rsidRPr="00B44A6A" w:rsidRDefault="00B44A6A" w:rsidP="00B44A6A">
      <w:pPr>
        <w:pStyle w:val="AutoNumpara"/>
        <w:rPr>
          <w:color w:val="000000"/>
          <w:shd w:val="clear" w:color="auto" w:fill="FFFFFF"/>
        </w:rPr>
      </w:pPr>
      <w:r w:rsidRPr="00D265AE">
        <w:rPr>
          <w:szCs w:val="24"/>
        </w:rPr>
        <w:t xml:space="preserve">El prestatario </w:t>
      </w:r>
      <w:r w:rsidRPr="00FB2761">
        <w:rPr>
          <w:szCs w:val="24"/>
        </w:rPr>
        <w:t>será el E</w:t>
      </w:r>
      <w:r>
        <w:rPr>
          <w:szCs w:val="24"/>
        </w:rPr>
        <w:t>dA</w:t>
      </w:r>
      <w:r w:rsidRPr="00FB2761">
        <w:rPr>
          <w:szCs w:val="24"/>
        </w:rPr>
        <w:t xml:space="preserve">. El Organismo Ejecutor será la Secretaria de Hacienda (SEFAZ, por su sigla en portugués). La SEFAZ/AL </w:t>
      </w:r>
      <w:r w:rsidRPr="00430D9C">
        <w:rPr>
          <w:szCs w:val="24"/>
        </w:rPr>
        <w:t>tendrá las siguientes responsabilidades: i)</w:t>
      </w:r>
      <w:r w:rsidR="00DE1B38">
        <w:rPr>
          <w:szCs w:val="24"/>
        </w:rPr>
        <w:t> </w:t>
      </w:r>
      <w:r w:rsidRPr="00430D9C">
        <w:rPr>
          <w:szCs w:val="24"/>
        </w:rPr>
        <w:t>coordinar con las demás secretarias estatales involucradas con la operación</w:t>
      </w:r>
      <w:r w:rsidRPr="00430D9C">
        <w:rPr>
          <w:rStyle w:val="FootnoteReference"/>
          <w:szCs w:val="24"/>
        </w:rPr>
        <w:footnoteReference w:id="1"/>
      </w:r>
      <w:r w:rsidRPr="00430D9C">
        <w:rPr>
          <w:szCs w:val="24"/>
        </w:rPr>
        <w:t xml:space="preserve">, las cuales tienen a su cargo la adopción de medidas y la ejecución técnica de los componente </w:t>
      </w:r>
      <w:r w:rsidR="00053333">
        <w:rPr>
          <w:szCs w:val="24"/>
        </w:rPr>
        <w:t>d</w:t>
      </w:r>
      <w:r w:rsidRPr="00430D9C">
        <w:rPr>
          <w:szCs w:val="24"/>
        </w:rPr>
        <w:t>; ii)</w:t>
      </w:r>
      <w:r w:rsidR="00DE1B38">
        <w:rPr>
          <w:szCs w:val="24"/>
        </w:rPr>
        <w:t> </w:t>
      </w:r>
      <w:r w:rsidRPr="00430D9C">
        <w:rPr>
          <w:szCs w:val="24"/>
        </w:rPr>
        <w:t xml:space="preserve">entregar los informes y la evidencia del cumplimiento de las condiciones de la </w:t>
      </w:r>
      <w:r w:rsidRPr="00430D9C">
        <w:rPr>
          <w:szCs w:val="24"/>
        </w:rPr>
        <w:lastRenderedPageBreak/>
        <w:t>operación, así como los demás informes que el Banco pueda requerir; iii) impulsar acciones tendientes al logro de los objetivos de política definidos en el programa; y iv)</w:t>
      </w:r>
      <w:r w:rsidR="00DE1B38">
        <w:rPr>
          <w:szCs w:val="24"/>
        </w:rPr>
        <w:t> </w:t>
      </w:r>
      <w:r w:rsidRPr="00430D9C">
        <w:rPr>
          <w:szCs w:val="24"/>
        </w:rPr>
        <w:t>reunir, archivar y entregar al Banco toda la información, indicadores y parámetros que contribuyan a que el Prestatario y el Banco puedan dar seguimiento, medir y evaluar los resultados del programa</w:t>
      </w:r>
    </w:p>
    <w:p w:rsidR="00053333" w:rsidRPr="00053333" w:rsidRDefault="00053333" w:rsidP="00053333">
      <w:pPr>
        <w:pStyle w:val="AutoNumpara"/>
        <w:rPr>
          <w:lang w:val="es-ES"/>
        </w:rPr>
      </w:pPr>
      <w:bookmarkStart w:id="1" w:name="_Ref295307672"/>
      <w:r w:rsidRPr="00053333">
        <w:rPr>
          <w:lang w:val="es-ES"/>
        </w:rPr>
        <w:t>El equipo de proyecto del Banco ha adoptado una estrategia para apoyar al EdA que incluye: i) proveer asistencia técnica necesaria en temas ya identificados, que se financiará con los fondos de soporte operacional de la cooperación técnica BR-T</w:t>
      </w:r>
      <w:r w:rsidR="00D64948">
        <w:rPr>
          <w:lang w:val="es-ES"/>
        </w:rPr>
        <w:t>1280</w:t>
      </w:r>
      <w:r w:rsidRPr="00053333">
        <w:rPr>
          <w:lang w:val="es-ES"/>
        </w:rPr>
        <w:t>; ii)</w:t>
      </w:r>
      <w:r w:rsidR="00DE1B38">
        <w:rPr>
          <w:lang w:val="es-ES"/>
        </w:rPr>
        <w:t> </w:t>
      </w:r>
      <w:r w:rsidRPr="00053333">
        <w:rPr>
          <w:lang w:val="es-ES"/>
        </w:rPr>
        <w:t>realizar misiones especiales que coincidan con momentos claves en el diseño e implementación del programa; y iii) realizar un monitoreo cercano, conjuntamente con la SEFAZ/AL, para prever y resolver adecuadamente los riesgos y dificultades estratégicas, técnicas y de coordinación que puedan ocurrir durante la ejecución de la operación</w:t>
      </w:r>
    </w:p>
    <w:p w:rsidR="00053333" w:rsidRPr="00053333" w:rsidRDefault="00053333" w:rsidP="00053333">
      <w:pPr>
        <w:pStyle w:val="AutoNumpara"/>
        <w:rPr>
          <w:lang w:val="es-ES"/>
        </w:rPr>
      </w:pPr>
      <w:r w:rsidRPr="00053333">
        <w:rPr>
          <w:lang w:val="es-ES"/>
        </w:rPr>
        <w:t>Por el lado del Banco la responsabilidad de la supervisión técnica del Programa será compartida por la División Transporte (INE/TSP), la División de Gestión Fiscal y Municipal (IFD/FMM), y el equipo del proyecto basado en la Oficina del Banco en Brasil (FMM/CBR).</w:t>
      </w:r>
    </w:p>
    <w:p w:rsidR="001B5186" w:rsidRPr="00D64948" w:rsidRDefault="00C53634" w:rsidP="00DE1B38">
      <w:pPr>
        <w:pStyle w:val="AutoNumpara"/>
        <w:numPr>
          <w:ilvl w:val="0"/>
          <w:numId w:val="12"/>
        </w:numPr>
        <w:ind w:hanging="720"/>
        <w:rPr>
          <w:b/>
        </w:rPr>
      </w:pPr>
      <w:r w:rsidRPr="00D64948">
        <w:rPr>
          <w:lang w:val="es-ES"/>
        </w:rPr>
        <w:t xml:space="preserve"> </w:t>
      </w:r>
      <w:bookmarkEnd w:id="1"/>
      <w:r w:rsidR="00B44A6A" w:rsidRPr="00D64948">
        <w:rPr>
          <w:b/>
        </w:rPr>
        <w:t>Indicadores y Matriz de Seguimiento</w:t>
      </w:r>
    </w:p>
    <w:p w:rsidR="001B5186" w:rsidRPr="0070507C" w:rsidRDefault="00B44A6A" w:rsidP="00B44A6A">
      <w:pPr>
        <w:pStyle w:val="AutoNumpara"/>
        <w:rPr>
          <w:color w:val="000000"/>
          <w:lang w:val="es-ES"/>
        </w:rPr>
      </w:pPr>
      <w:r w:rsidRPr="00933F07">
        <w:t xml:space="preserve">Para el monitoreo de la ejecución del Programa se tomarán en consideración los compromisos de política y los Medios de Verificación e indicadores acordados </w:t>
      </w:r>
      <w:r>
        <w:t xml:space="preserve">con la SEFAZ/AL </w:t>
      </w:r>
      <w:r w:rsidRPr="00933F07">
        <w:t>y serán realizadas reuniones trimestrales</w:t>
      </w:r>
      <w:r>
        <w:t xml:space="preserve"> de seguimiento</w:t>
      </w:r>
      <w:r w:rsidRPr="00933F07">
        <w:t xml:space="preserve">, o con mayor periodicidad </w:t>
      </w:r>
      <w:r>
        <w:t xml:space="preserve">en </w:t>
      </w:r>
      <w:r w:rsidRPr="00933F07">
        <w:t xml:space="preserve">caso </w:t>
      </w:r>
      <w:r>
        <w:t xml:space="preserve">que </w:t>
      </w:r>
      <w:r w:rsidRPr="00933F07">
        <w:t>se considere necesari</w:t>
      </w:r>
      <w:r>
        <w:t>o</w:t>
      </w:r>
      <w:r w:rsidRPr="00933F07">
        <w:t xml:space="preserve">, entre el Banco y </w:t>
      </w:r>
      <w:r>
        <w:t>la SEFAZ/AL</w:t>
      </w:r>
      <w:r w:rsidRPr="00933F07">
        <w:t xml:space="preserve"> para monitorear el avance en el cumplimiento de los compromisos de política acordados</w:t>
      </w:r>
      <w:r w:rsidR="00D64948">
        <w:t>.</w:t>
      </w:r>
    </w:p>
    <w:p w:rsidR="00D64948" w:rsidRPr="00D64948" w:rsidRDefault="001B5186" w:rsidP="00D64948">
      <w:pPr>
        <w:pStyle w:val="AutoNumpara"/>
        <w:rPr>
          <w:color w:val="000000"/>
          <w:lang w:val="es-ES"/>
        </w:rPr>
      </w:pPr>
      <w:r w:rsidRPr="0070507C">
        <w:rPr>
          <w:color w:val="000000"/>
          <w:lang w:val="es-ES"/>
        </w:rPr>
        <w:t xml:space="preserve"> </w:t>
      </w:r>
      <w:r w:rsidR="00D64948" w:rsidRPr="00D64948">
        <w:rPr>
          <w:color w:val="000000"/>
          <w:lang w:val="es-ES"/>
        </w:rPr>
        <w:t>El monitoreo de las metas incluidas en la Matriz de Política será realizada por el equipo de Proyecto con el apoyo de un consultor</w:t>
      </w:r>
      <w:r w:rsidR="00D64948">
        <w:rPr>
          <w:color w:val="000000"/>
          <w:lang w:val="es-ES"/>
        </w:rPr>
        <w:t>, a ser contratado con recursos de la CT BR-T1280 en preparación</w:t>
      </w:r>
      <w:r w:rsidR="009668EF">
        <w:rPr>
          <w:color w:val="000000"/>
          <w:lang w:val="es-ES"/>
        </w:rPr>
        <w:t xml:space="preserve"> </w:t>
      </w:r>
      <w:r w:rsidR="00D64948" w:rsidRPr="00D64948">
        <w:rPr>
          <w:color w:val="000000"/>
          <w:lang w:val="es-ES"/>
        </w:rPr>
        <w:t xml:space="preserve">y </w:t>
      </w:r>
      <w:r w:rsidR="00D64948">
        <w:rPr>
          <w:color w:val="000000"/>
          <w:lang w:val="es-ES"/>
        </w:rPr>
        <w:t xml:space="preserve">sobre la base de </w:t>
      </w:r>
      <w:r w:rsidR="00D64948" w:rsidRPr="00D64948">
        <w:rPr>
          <w:color w:val="000000"/>
          <w:lang w:val="es-ES"/>
        </w:rPr>
        <w:t xml:space="preserve">los insumos proveídos por el equipo de la SEFAZ/AL. Los Medios de Verificación serán la fuente de información que determinará el cumplimiento de las metas de política. La evaluación del equipo de proyecto del cumplimento de las acciones previstas para el desembolso tendrá inicio luego de la aprobación de la operación en el Directorio del Banco, con el objetivo de elaborar el Memorando de Desembolso. </w:t>
      </w:r>
    </w:p>
    <w:p w:rsidR="00F5024C" w:rsidRDefault="00D64948" w:rsidP="00D64948">
      <w:pPr>
        <w:pStyle w:val="AutoNumpara"/>
        <w:rPr>
          <w:color w:val="000000"/>
          <w:lang w:val="es-ES"/>
        </w:rPr>
      </w:pPr>
      <w:r w:rsidRPr="00D64948">
        <w:rPr>
          <w:color w:val="000000"/>
          <w:lang w:val="es-ES"/>
        </w:rPr>
        <w:t>Al final de este Plan se incluye</w:t>
      </w:r>
      <w:r w:rsidR="009668EF">
        <w:rPr>
          <w:color w:val="000000"/>
          <w:lang w:val="es-ES"/>
        </w:rPr>
        <w:t xml:space="preserve"> </w:t>
      </w:r>
      <w:r w:rsidRPr="00D64948">
        <w:rPr>
          <w:color w:val="000000"/>
          <w:lang w:val="es-ES"/>
        </w:rPr>
        <w:t xml:space="preserve">un borrador de los términos de referencia a emplearse en la contratación de </w:t>
      </w:r>
      <w:r>
        <w:rPr>
          <w:color w:val="000000"/>
          <w:lang w:val="es-ES"/>
        </w:rPr>
        <w:t xml:space="preserve">una consultoría para apoyar el </w:t>
      </w:r>
      <w:r w:rsidRPr="00D64948">
        <w:rPr>
          <w:color w:val="000000"/>
          <w:lang w:val="es-ES"/>
        </w:rPr>
        <w:t>monitoreo de las dos operaciones</w:t>
      </w:r>
      <w:r>
        <w:rPr>
          <w:color w:val="000000"/>
          <w:lang w:val="es-ES"/>
        </w:rPr>
        <w:t>.</w:t>
      </w:r>
      <w:r w:rsidR="001774B8">
        <w:rPr>
          <w:color w:val="000000"/>
          <w:lang w:val="es-ES"/>
        </w:rPr>
        <w:t xml:space="preserve"> El Cuadro 1 a seguir presenta el plan de trabajo de seguimiento de las acciones de politica. El cuadro con el detalle de dicho plan de trabajo se presenta en el Anexo 1,</w:t>
      </w:r>
    </w:p>
    <w:p w:rsidR="00F96F8A" w:rsidRDefault="00F96F8A">
      <w:pPr>
        <w:rPr>
          <w:noProof/>
          <w:color w:val="000000"/>
          <w:spacing w:val="-2"/>
          <w:lang w:val="es-ES"/>
        </w:rPr>
      </w:pPr>
      <w:r>
        <w:rPr>
          <w:color w:val="000000"/>
          <w:lang w:val="es-ES"/>
        </w:rPr>
        <w:br w:type="page"/>
      </w:r>
    </w:p>
    <w:p w:rsidR="00D64948" w:rsidRDefault="00D64948" w:rsidP="00D64948">
      <w:pPr>
        <w:pStyle w:val="Heading1"/>
        <w:numPr>
          <w:ilvl w:val="0"/>
          <w:numId w:val="0"/>
        </w:numPr>
        <w:ind w:left="288"/>
      </w:pPr>
      <w:r>
        <w:lastRenderedPageBreak/>
        <w:t>Monitoreo</w:t>
      </w:r>
    </w:p>
    <w:tbl>
      <w:tblPr>
        <w:tblStyle w:val="TableGrid"/>
        <w:tblW w:w="10440" w:type="dxa"/>
        <w:tblInd w:w="-432" w:type="dxa"/>
        <w:tblLayout w:type="fixed"/>
        <w:tblLook w:val="00A0" w:firstRow="1" w:lastRow="0" w:firstColumn="1" w:lastColumn="0" w:noHBand="0" w:noVBand="0"/>
      </w:tblPr>
      <w:tblGrid>
        <w:gridCol w:w="1170"/>
        <w:gridCol w:w="1620"/>
        <w:gridCol w:w="360"/>
        <w:gridCol w:w="360"/>
        <w:gridCol w:w="270"/>
        <w:gridCol w:w="360"/>
        <w:gridCol w:w="1890"/>
        <w:gridCol w:w="1800"/>
        <w:gridCol w:w="1260"/>
        <w:gridCol w:w="1350"/>
      </w:tblGrid>
      <w:tr w:rsidR="00D64948" w:rsidRPr="00897C37" w:rsidTr="00DE1B38">
        <w:trPr>
          <w:trHeight w:val="431"/>
        </w:trPr>
        <w:tc>
          <w:tcPr>
            <w:tcW w:w="10440" w:type="dxa"/>
            <w:gridSpan w:val="10"/>
            <w:shd w:val="clear" w:color="auto" w:fill="D9D9D9" w:themeFill="background1" w:themeFillShade="D9"/>
          </w:tcPr>
          <w:p w:rsidR="00D64948" w:rsidRPr="00897C37" w:rsidRDefault="00D64948" w:rsidP="00777485">
            <w:pPr>
              <w:jc w:val="center"/>
              <w:rPr>
                <w:b/>
                <w:smallCaps/>
                <w:szCs w:val="24"/>
              </w:rPr>
            </w:pPr>
            <w:r w:rsidRPr="00897C37">
              <w:rPr>
                <w:b/>
                <w:smallCaps/>
                <w:szCs w:val="24"/>
              </w:rPr>
              <w:t>Cuadro 1</w:t>
            </w:r>
            <w:r w:rsidR="001774B8" w:rsidRPr="001774B8">
              <w:rPr>
                <w:b/>
                <w:sz w:val="20"/>
              </w:rPr>
              <w:t>*</w:t>
            </w:r>
            <w:r w:rsidRPr="00897C37">
              <w:rPr>
                <w:b/>
                <w:smallCaps/>
                <w:szCs w:val="24"/>
              </w:rPr>
              <w:br/>
              <w:t>Plan de trabajo de seguimiento</w:t>
            </w:r>
            <w:r w:rsidR="00B6102E">
              <w:rPr>
                <w:b/>
                <w:smallCaps/>
                <w:szCs w:val="24"/>
              </w:rPr>
              <w:t xml:space="preserve"> de las Acciones de política</w:t>
            </w:r>
          </w:p>
        </w:tc>
      </w:tr>
      <w:tr w:rsidR="00D64948" w:rsidRPr="00897C37" w:rsidTr="00DE1B38">
        <w:trPr>
          <w:trHeight w:val="431"/>
        </w:trPr>
        <w:tc>
          <w:tcPr>
            <w:tcW w:w="2790" w:type="dxa"/>
            <w:gridSpan w:val="2"/>
            <w:vMerge w:val="restart"/>
            <w:shd w:val="clear" w:color="auto" w:fill="D9D9D9" w:themeFill="background1" w:themeFillShade="D9"/>
          </w:tcPr>
          <w:p w:rsidR="00D64948" w:rsidRPr="00897C37" w:rsidRDefault="00D64948" w:rsidP="00777485">
            <w:pPr>
              <w:jc w:val="center"/>
              <w:rPr>
                <w:b/>
                <w:szCs w:val="24"/>
              </w:rPr>
            </w:pPr>
            <w:r w:rsidRPr="00897C37">
              <w:rPr>
                <w:b/>
                <w:szCs w:val="24"/>
              </w:rPr>
              <w:t>Actividades de seguimiento/Productos por actividad</w:t>
            </w:r>
          </w:p>
        </w:tc>
        <w:tc>
          <w:tcPr>
            <w:tcW w:w="1350" w:type="dxa"/>
            <w:gridSpan w:val="4"/>
            <w:shd w:val="clear" w:color="auto" w:fill="D9D9D9" w:themeFill="background1" w:themeFillShade="D9"/>
          </w:tcPr>
          <w:p w:rsidR="00D64948" w:rsidRPr="00897C37" w:rsidRDefault="00B6102E" w:rsidP="00777485">
            <w:pPr>
              <w:jc w:val="center"/>
              <w:rPr>
                <w:b/>
                <w:szCs w:val="24"/>
              </w:rPr>
            </w:pPr>
            <w:r>
              <w:rPr>
                <w:b/>
                <w:szCs w:val="24"/>
              </w:rPr>
              <w:t>semestre</w:t>
            </w:r>
          </w:p>
        </w:tc>
        <w:tc>
          <w:tcPr>
            <w:tcW w:w="1890" w:type="dxa"/>
            <w:vMerge w:val="restart"/>
            <w:shd w:val="clear" w:color="auto" w:fill="D9D9D9" w:themeFill="background1" w:themeFillShade="D9"/>
          </w:tcPr>
          <w:p w:rsidR="00D64948" w:rsidRPr="00897C37" w:rsidRDefault="00D64948" w:rsidP="00777485">
            <w:pPr>
              <w:jc w:val="center"/>
              <w:rPr>
                <w:b/>
                <w:szCs w:val="24"/>
              </w:rPr>
            </w:pPr>
            <w:r w:rsidRPr="00897C37">
              <w:rPr>
                <w:b/>
                <w:szCs w:val="24"/>
              </w:rPr>
              <w:t>Responsable</w:t>
            </w:r>
          </w:p>
        </w:tc>
        <w:tc>
          <w:tcPr>
            <w:tcW w:w="1800" w:type="dxa"/>
            <w:vMerge w:val="restart"/>
            <w:shd w:val="clear" w:color="auto" w:fill="D9D9D9" w:themeFill="background1" w:themeFillShade="D9"/>
          </w:tcPr>
          <w:p w:rsidR="00D64948" w:rsidRPr="00897C37" w:rsidRDefault="00D64948" w:rsidP="00777485">
            <w:pPr>
              <w:jc w:val="center"/>
              <w:rPr>
                <w:b/>
                <w:szCs w:val="24"/>
              </w:rPr>
            </w:pPr>
            <w:r w:rsidRPr="00897C37">
              <w:rPr>
                <w:b/>
                <w:szCs w:val="24"/>
              </w:rPr>
              <w:t>Fuente de verificación</w:t>
            </w:r>
          </w:p>
        </w:tc>
        <w:tc>
          <w:tcPr>
            <w:tcW w:w="1260" w:type="dxa"/>
            <w:vMerge w:val="restart"/>
            <w:shd w:val="clear" w:color="auto" w:fill="D9D9D9" w:themeFill="background1" w:themeFillShade="D9"/>
          </w:tcPr>
          <w:p w:rsidR="00D64948" w:rsidRPr="00897C37" w:rsidRDefault="00D64948" w:rsidP="00777485">
            <w:pPr>
              <w:jc w:val="center"/>
              <w:rPr>
                <w:b/>
                <w:szCs w:val="24"/>
              </w:rPr>
            </w:pPr>
            <w:r w:rsidRPr="00897C37">
              <w:rPr>
                <w:b/>
                <w:szCs w:val="24"/>
              </w:rPr>
              <w:t>Costo</w:t>
            </w:r>
          </w:p>
        </w:tc>
        <w:tc>
          <w:tcPr>
            <w:tcW w:w="1350" w:type="dxa"/>
            <w:vMerge w:val="restart"/>
            <w:shd w:val="clear" w:color="auto" w:fill="D9D9D9" w:themeFill="background1" w:themeFillShade="D9"/>
          </w:tcPr>
          <w:p w:rsidR="00D64948" w:rsidRPr="00897C37" w:rsidRDefault="00D64948" w:rsidP="00777485">
            <w:pPr>
              <w:jc w:val="center"/>
              <w:rPr>
                <w:b/>
                <w:szCs w:val="24"/>
              </w:rPr>
            </w:pPr>
            <w:r w:rsidRPr="00897C37">
              <w:rPr>
                <w:b/>
                <w:szCs w:val="24"/>
              </w:rPr>
              <w:t>Financiamiento</w:t>
            </w:r>
          </w:p>
        </w:tc>
      </w:tr>
      <w:tr w:rsidR="00D64948" w:rsidRPr="00897C37" w:rsidTr="00DE1B38">
        <w:trPr>
          <w:trHeight w:val="269"/>
        </w:trPr>
        <w:tc>
          <w:tcPr>
            <w:tcW w:w="2790" w:type="dxa"/>
            <w:gridSpan w:val="2"/>
            <w:vMerge/>
          </w:tcPr>
          <w:p w:rsidR="00D64948" w:rsidRPr="00897C37" w:rsidRDefault="00D64948" w:rsidP="00777485">
            <w:pPr>
              <w:jc w:val="center"/>
              <w:rPr>
                <w:szCs w:val="24"/>
              </w:rPr>
            </w:pPr>
          </w:p>
        </w:tc>
        <w:tc>
          <w:tcPr>
            <w:tcW w:w="360" w:type="dxa"/>
            <w:shd w:val="clear" w:color="auto" w:fill="D9D9D9" w:themeFill="background1" w:themeFillShade="D9"/>
          </w:tcPr>
          <w:p w:rsidR="00D64948" w:rsidRPr="00897C37" w:rsidRDefault="00D64948" w:rsidP="00777485">
            <w:pPr>
              <w:jc w:val="center"/>
              <w:rPr>
                <w:b/>
                <w:szCs w:val="24"/>
              </w:rPr>
            </w:pPr>
            <w:r w:rsidRPr="00897C37">
              <w:rPr>
                <w:b/>
                <w:szCs w:val="24"/>
              </w:rPr>
              <w:t>1</w:t>
            </w:r>
          </w:p>
        </w:tc>
        <w:tc>
          <w:tcPr>
            <w:tcW w:w="360" w:type="dxa"/>
            <w:shd w:val="clear" w:color="auto" w:fill="D9D9D9" w:themeFill="background1" w:themeFillShade="D9"/>
          </w:tcPr>
          <w:p w:rsidR="00D64948" w:rsidRPr="00897C37" w:rsidRDefault="00D64948" w:rsidP="00777485">
            <w:pPr>
              <w:jc w:val="center"/>
              <w:rPr>
                <w:b/>
                <w:szCs w:val="24"/>
              </w:rPr>
            </w:pPr>
            <w:r w:rsidRPr="00897C37">
              <w:rPr>
                <w:b/>
                <w:szCs w:val="24"/>
              </w:rPr>
              <w:t>2</w:t>
            </w:r>
          </w:p>
        </w:tc>
        <w:tc>
          <w:tcPr>
            <w:tcW w:w="270" w:type="dxa"/>
            <w:shd w:val="clear" w:color="auto" w:fill="D9D9D9" w:themeFill="background1" w:themeFillShade="D9"/>
          </w:tcPr>
          <w:p w:rsidR="00D64948" w:rsidRPr="00897C37" w:rsidRDefault="00D64948" w:rsidP="00777485">
            <w:pPr>
              <w:jc w:val="center"/>
              <w:rPr>
                <w:b/>
                <w:szCs w:val="24"/>
              </w:rPr>
            </w:pPr>
            <w:r w:rsidRPr="00897C37">
              <w:rPr>
                <w:b/>
                <w:szCs w:val="24"/>
              </w:rPr>
              <w:t>3</w:t>
            </w:r>
          </w:p>
        </w:tc>
        <w:tc>
          <w:tcPr>
            <w:tcW w:w="360" w:type="dxa"/>
            <w:shd w:val="clear" w:color="auto" w:fill="D9D9D9" w:themeFill="background1" w:themeFillShade="D9"/>
          </w:tcPr>
          <w:p w:rsidR="00D64948" w:rsidRPr="00897C37" w:rsidRDefault="00D64948" w:rsidP="00777485">
            <w:pPr>
              <w:jc w:val="center"/>
              <w:rPr>
                <w:b/>
                <w:szCs w:val="24"/>
              </w:rPr>
            </w:pPr>
            <w:r w:rsidRPr="00897C37">
              <w:rPr>
                <w:b/>
                <w:szCs w:val="24"/>
              </w:rPr>
              <w:t>4</w:t>
            </w:r>
          </w:p>
        </w:tc>
        <w:tc>
          <w:tcPr>
            <w:tcW w:w="1890" w:type="dxa"/>
            <w:vMerge/>
          </w:tcPr>
          <w:p w:rsidR="00D64948" w:rsidRPr="00897C37" w:rsidRDefault="00D64948" w:rsidP="00777485">
            <w:pPr>
              <w:jc w:val="center"/>
              <w:rPr>
                <w:szCs w:val="24"/>
              </w:rPr>
            </w:pPr>
          </w:p>
        </w:tc>
        <w:tc>
          <w:tcPr>
            <w:tcW w:w="1800" w:type="dxa"/>
            <w:vMerge/>
          </w:tcPr>
          <w:p w:rsidR="00D64948" w:rsidRPr="00897C37" w:rsidRDefault="00D64948" w:rsidP="00777485">
            <w:pPr>
              <w:jc w:val="center"/>
              <w:rPr>
                <w:szCs w:val="24"/>
              </w:rPr>
            </w:pPr>
          </w:p>
        </w:tc>
        <w:tc>
          <w:tcPr>
            <w:tcW w:w="1260" w:type="dxa"/>
            <w:vMerge/>
          </w:tcPr>
          <w:p w:rsidR="00D64948" w:rsidRPr="00897C37" w:rsidRDefault="00D64948" w:rsidP="00777485">
            <w:pPr>
              <w:jc w:val="center"/>
              <w:rPr>
                <w:szCs w:val="24"/>
              </w:rPr>
            </w:pPr>
          </w:p>
        </w:tc>
        <w:tc>
          <w:tcPr>
            <w:tcW w:w="1350" w:type="dxa"/>
            <w:vMerge/>
          </w:tcPr>
          <w:p w:rsidR="00D64948" w:rsidRPr="00897C37" w:rsidRDefault="00D64948" w:rsidP="00777485">
            <w:pPr>
              <w:jc w:val="center"/>
              <w:rPr>
                <w:szCs w:val="24"/>
              </w:rPr>
            </w:pPr>
          </w:p>
        </w:tc>
      </w:tr>
      <w:tr w:rsidR="00D64948" w:rsidRPr="00897C37" w:rsidTr="00DE1B38">
        <w:trPr>
          <w:trHeight w:val="1295"/>
        </w:trPr>
        <w:tc>
          <w:tcPr>
            <w:tcW w:w="2790" w:type="dxa"/>
            <w:gridSpan w:val="2"/>
          </w:tcPr>
          <w:p w:rsidR="00D64948" w:rsidRPr="00897C37" w:rsidRDefault="00D64948" w:rsidP="001774B8">
            <w:pPr>
              <w:tabs>
                <w:tab w:val="left" w:pos="72"/>
                <w:tab w:val="left" w:pos="342"/>
              </w:tabs>
              <w:rPr>
                <w:noProof/>
                <w:szCs w:val="24"/>
                <w:lang w:val="es-ES"/>
              </w:rPr>
            </w:pPr>
            <w:r w:rsidRPr="00897C37">
              <w:rPr>
                <w:szCs w:val="24"/>
              </w:rPr>
              <w:t>Monitoreo del m</w:t>
            </w:r>
            <w:r w:rsidRPr="00897C37">
              <w:rPr>
                <w:noProof/>
                <w:szCs w:val="24"/>
                <w:lang w:val="es-ES"/>
              </w:rPr>
              <w:t xml:space="preserve">antenimiento de un contexto macroeconómico favorable del país y del Estado para el alcance de los objetivos del Programa. </w:t>
            </w:r>
          </w:p>
        </w:tc>
        <w:tc>
          <w:tcPr>
            <w:tcW w:w="360" w:type="dxa"/>
          </w:tcPr>
          <w:p w:rsidR="00D64948" w:rsidRPr="001774B8" w:rsidRDefault="001774B8" w:rsidP="00777485">
            <w:pPr>
              <w:jc w:val="center"/>
              <w:rPr>
                <w:szCs w:val="24"/>
              </w:rPr>
            </w:pPr>
            <w:r w:rsidRPr="001774B8">
              <w:rPr>
                <w:szCs w:val="24"/>
              </w:rPr>
              <w:t>X</w:t>
            </w:r>
          </w:p>
        </w:tc>
        <w:tc>
          <w:tcPr>
            <w:tcW w:w="360" w:type="dxa"/>
          </w:tcPr>
          <w:p w:rsidR="00D64948" w:rsidRPr="001774B8" w:rsidRDefault="00D64948" w:rsidP="00777485">
            <w:pPr>
              <w:jc w:val="center"/>
              <w:rPr>
                <w:szCs w:val="24"/>
              </w:rPr>
            </w:pPr>
          </w:p>
        </w:tc>
        <w:tc>
          <w:tcPr>
            <w:tcW w:w="270" w:type="dxa"/>
          </w:tcPr>
          <w:p w:rsidR="00D64948" w:rsidRPr="001774B8" w:rsidRDefault="00D64948" w:rsidP="00777485">
            <w:pPr>
              <w:jc w:val="center"/>
              <w:rPr>
                <w:szCs w:val="24"/>
              </w:rPr>
            </w:pPr>
          </w:p>
        </w:tc>
        <w:tc>
          <w:tcPr>
            <w:tcW w:w="360" w:type="dxa"/>
          </w:tcPr>
          <w:p w:rsidR="00D64948" w:rsidRPr="001774B8" w:rsidRDefault="001774B8" w:rsidP="00777485">
            <w:pPr>
              <w:jc w:val="center"/>
              <w:rPr>
                <w:szCs w:val="24"/>
              </w:rPr>
            </w:pPr>
            <w:r w:rsidRPr="001774B8">
              <w:rPr>
                <w:szCs w:val="24"/>
              </w:rPr>
              <w:t>X</w:t>
            </w:r>
          </w:p>
        </w:tc>
        <w:tc>
          <w:tcPr>
            <w:tcW w:w="1890" w:type="dxa"/>
          </w:tcPr>
          <w:p w:rsidR="00D64948" w:rsidRPr="00897C37" w:rsidRDefault="00D64948" w:rsidP="00777485">
            <w:pPr>
              <w:rPr>
                <w:szCs w:val="24"/>
              </w:rPr>
            </w:pPr>
            <w:r w:rsidRPr="00897C37">
              <w:rPr>
                <w:szCs w:val="24"/>
              </w:rPr>
              <w:t>Equipo del proyecto, del cual se incluye el economista de país, con apoyo de consultor</w:t>
            </w:r>
          </w:p>
        </w:tc>
        <w:tc>
          <w:tcPr>
            <w:tcW w:w="1800" w:type="dxa"/>
          </w:tcPr>
          <w:p w:rsidR="00D64948" w:rsidRPr="00897C37" w:rsidRDefault="00D64948" w:rsidP="00777485">
            <w:pPr>
              <w:rPr>
                <w:szCs w:val="24"/>
              </w:rPr>
            </w:pPr>
            <w:r w:rsidRPr="00897C37">
              <w:rPr>
                <w:szCs w:val="24"/>
              </w:rPr>
              <w:t>IMA (</w:t>
            </w:r>
            <w:proofErr w:type="spellStart"/>
            <w:r w:rsidRPr="00897C37">
              <w:rPr>
                <w:i/>
                <w:szCs w:val="24"/>
              </w:rPr>
              <w:t>Independent</w:t>
            </w:r>
            <w:proofErr w:type="spellEnd"/>
            <w:r w:rsidRPr="00897C37">
              <w:rPr>
                <w:i/>
                <w:szCs w:val="24"/>
              </w:rPr>
              <w:t xml:space="preserve"> </w:t>
            </w:r>
            <w:proofErr w:type="spellStart"/>
            <w:r w:rsidRPr="00897C37">
              <w:rPr>
                <w:i/>
                <w:szCs w:val="24"/>
              </w:rPr>
              <w:t>Macroeconomic</w:t>
            </w:r>
            <w:proofErr w:type="spellEnd"/>
            <w:r w:rsidRPr="00897C37">
              <w:rPr>
                <w:i/>
                <w:szCs w:val="24"/>
              </w:rPr>
              <w:t xml:space="preserve"> </w:t>
            </w:r>
            <w:proofErr w:type="spellStart"/>
            <w:r w:rsidRPr="00897C37">
              <w:rPr>
                <w:i/>
                <w:szCs w:val="24"/>
              </w:rPr>
              <w:t>Assessment</w:t>
            </w:r>
            <w:proofErr w:type="spellEnd"/>
            <w:r w:rsidRPr="00897C37">
              <w:rPr>
                <w:szCs w:val="24"/>
              </w:rPr>
              <w:t xml:space="preserve">) elaborada por el Banco </w:t>
            </w:r>
          </w:p>
        </w:tc>
        <w:tc>
          <w:tcPr>
            <w:tcW w:w="1260" w:type="dxa"/>
            <w:vMerge w:val="restart"/>
            <w:shd w:val="clear" w:color="auto" w:fill="auto"/>
            <w:vAlign w:val="center"/>
          </w:tcPr>
          <w:p w:rsidR="00D64948" w:rsidRPr="00897C37" w:rsidRDefault="00D64948" w:rsidP="001774B8">
            <w:pPr>
              <w:jc w:val="center"/>
              <w:rPr>
                <w:szCs w:val="24"/>
              </w:rPr>
            </w:pPr>
            <w:r w:rsidRPr="00897C37">
              <w:rPr>
                <w:szCs w:val="24"/>
              </w:rPr>
              <w:t>La consultoría de apoyo al equipo de proyecto tendrá un costo de USD 1</w:t>
            </w:r>
            <w:r w:rsidR="001774B8">
              <w:rPr>
                <w:szCs w:val="24"/>
              </w:rPr>
              <w:t>5</w:t>
            </w:r>
            <w:r w:rsidRPr="00897C37">
              <w:rPr>
                <w:szCs w:val="24"/>
              </w:rPr>
              <w:t>,000</w:t>
            </w:r>
          </w:p>
        </w:tc>
        <w:tc>
          <w:tcPr>
            <w:tcW w:w="1350" w:type="dxa"/>
            <w:vMerge w:val="restart"/>
            <w:vAlign w:val="center"/>
          </w:tcPr>
          <w:p w:rsidR="001774B8" w:rsidRDefault="001774B8" w:rsidP="001774B8">
            <w:pPr>
              <w:jc w:val="center"/>
              <w:rPr>
                <w:szCs w:val="24"/>
              </w:rPr>
            </w:pPr>
            <w:r>
              <w:rPr>
                <w:szCs w:val="24"/>
              </w:rPr>
              <w:t xml:space="preserve">Cooperación </w:t>
            </w:r>
          </w:p>
          <w:p w:rsidR="001774B8" w:rsidRDefault="001774B8" w:rsidP="001774B8">
            <w:pPr>
              <w:jc w:val="center"/>
              <w:rPr>
                <w:szCs w:val="24"/>
              </w:rPr>
            </w:pPr>
            <w:r>
              <w:rPr>
                <w:szCs w:val="24"/>
              </w:rPr>
              <w:t>Técnica</w:t>
            </w:r>
          </w:p>
          <w:p w:rsidR="00D64948" w:rsidRPr="00897C37" w:rsidRDefault="00D64948" w:rsidP="001774B8">
            <w:pPr>
              <w:jc w:val="center"/>
              <w:rPr>
                <w:szCs w:val="24"/>
              </w:rPr>
            </w:pPr>
            <w:r w:rsidRPr="001774B8">
              <w:rPr>
                <w:szCs w:val="24"/>
              </w:rPr>
              <w:t>BR-T</w:t>
            </w:r>
            <w:r w:rsidR="001774B8" w:rsidRPr="001774B8">
              <w:rPr>
                <w:szCs w:val="24"/>
              </w:rPr>
              <w:t>1280</w:t>
            </w:r>
          </w:p>
        </w:tc>
      </w:tr>
      <w:tr w:rsidR="00D64948" w:rsidRPr="00897C37" w:rsidTr="00DE1B38">
        <w:tc>
          <w:tcPr>
            <w:tcW w:w="2790" w:type="dxa"/>
            <w:gridSpan w:val="2"/>
          </w:tcPr>
          <w:p w:rsidR="00D64948" w:rsidRPr="00897C37" w:rsidRDefault="00D64948" w:rsidP="00777485">
            <w:pPr>
              <w:tabs>
                <w:tab w:val="left" w:pos="72"/>
                <w:tab w:val="left" w:pos="342"/>
              </w:tabs>
              <w:rPr>
                <w:szCs w:val="24"/>
              </w:rPr>
            </w:pPr>
            <w:r w:rsidRPr="00897C37">
              <w:rPr>
                <w:szCs w:val="24"/>
              </w:rPr>
              <w:t>Monitoreo de la implantación de políticas para incremento de la recaudación</w:t>
            </w:r>
          </w:p>
        </w:tc>
        <w:tc>
          <w:tcPr>
            <w:tcW w:w="360" w:type="dxa"/>
          </w:tcPr>
          <w:p w:rsidR="00D64948" w:rsidRPr="001774B8" w:rsidRDefault="00D64948" w:rsidP="00777485">
            <w:pPr>
              <w:jc w:val="center"/>
              <w:rPr>
                <w:szCs w:val="24"/>
              </w:rPr>
            </w:pPr>
            <w:r w:rsidRPr="001774B8">
              <w:rPr>
                <w:szCs w:val="24"/>
              </w:rPr>
              <w:t>X</w:t>
            </w:r>
          </w:p>
        </w:tc>
        <w:tc>
          <w:tcPr>
            <w:tcW w:w="360" w:type="dxa"/>
          </w:tcPr>
          <w:p w:rsidR="00D64948" w:rsidRPr="001774B8" w:rsidRDefault="00D64948" w:rsidP="00777485">
            <w:pPr>
              <w:jc w:val="center"/>
              <w:rPr>
                <w:szCs w:val="24"/>
              </w:rPr>
            </w:pPr>
          </w:p>
        </w:tc>
        <w:tc>
          <w:tcPr>
            <w:tcW w:w="270" w:type="dxa"/>
          </w:tcPr>
          <w:p w:rsidR="00D64948" w:rsidRPr="001774B8" w:rsidRDefault="00D64948" w:rsidP="00777485">
            <w:pPr>
              <w:jc w:val="center"/>
              <w:rPr>
                <w:szCs w:val="24"/>
              </w:rPr>
            </w:pPr>
          </w:p>
        </w:tc>
        <w:tc>
          <w:tcPr>
            <w:tcW w:w="360" w:type="dxa"/>
          </w:tcPr>
          <w:p w:rsidR="00D64948" w:rsidRPr="001774B8" w:rsidRDefault="001774B8" w:rsidP="00777485">
            <w:pPr>
              <w:jc w:val="center"/>
              <w:rPr>
                <w:szCs w:val="24"/>
              </w:rPr>
            </w:pPr>
            <w:r w:rsidRPr="001774B8">
              <w:rPr>
                <w:szCs w:val="24"/>
              </w:rPr>
              <w:t>X</w:t>
            </w:r>
          </w:p>
        </w:tc>
        <w:tc>
          <w:tcPr>
            <w:tcW w:w="1890" w:type="dxa"/>
          </w:tcPr>
          <w:p w:rsidR="00D64948" w:rsidRPr="00897C37" w:rsidRDefault="00D64948" w:rsidP="00777485">
            <w:pPr>
              <w:rPr>
                <w:szCs w:val="24"/>
              </w:rPr>
            </w:pPr>
            <w:r w:rsidRPr="00897C37">
              <w:rPr>
                <w:szCs w:val="24"/>
              </w:rPr>
              <w:t>Equipo de proyecto con apoyo de consultor</w:t>
            </w:r>
          </w:p>
        </w:tc>
        <w:tc>
          <w:tcPr>
            <w:tcW w:w="1800" w:type="dxa"/>
          </w:tcPr>
          <w:p w:rsidR="00D64948" w:rsidRPr="00897C37" w:rsidRDefault="00D64948" w:rsidP="00777485">
            <w:pPr>
              <w:rPr>
                <w:szCs w:val="24"/>
              </w:rPr>
            </w:pPr>
            <w:r w:rsidRPr="00897C37">
              <w:rPr>
                <w:szCs w:val="24"/>
              </w:rPr>
              <w:t xml:space="preserve">Informe de consultoría </w:t>
            </w:r>
          </w:p>
        </w:tc>
        <w:tc>
          <w:tcPr>
            <w:tcW w:w="1260" w:type="dxa"/>
            <w:vMerge/>
            <w:shd w:val="clear" w:color="auto" w:fill="auto"/>
          </w:tcPr>
          <w:p w:rsidR="00D64948" w:rsidRPr="00897C37" w:rsidRDefault="00D64948" w:rsidP="00777485">
            <w:pPr>
              <w:jc w:val="center"/>
              <w:rPr>
                <w:szCs w:val="24"/>
              </w:rPr>
            </w:pPr>
          </w:p>
        </w:tc>
        <w:tc>
          <w:tcPr>
            <w:tcW w:w="1350" w:type="dxa"/>
            <w:vMerge/>
          </w:tcPr>
          <w:p w:rsidR="00D64948" w:rsidRPr="00897C37" w:rsidRDefault="00D64948" w:rsidP="00777485">
            <w:pPr>
              <w:rPr>
                <w:szCs w:val="24"/>
              </w:rPr>
            </w:pPr>
          </w:p>
        </w:tc>
      </w:tr>
      <w:tr w:rsidR="00D64948" w:rsidRPr="00897C37" w:rsidTr="00DE1B38">
        <w:trPr>
          <w:trHeight w:val="728"/>
        </w:trPr>
        <w:tc>
          <w:tcPr>
            <w:tcW w:w="2790" w:type="dxa"/>
            <w:gridSpan w:val="2"/>
          </w:tcPr>
          <w:p w:rsidR="00D64948" w:rsidRPr="00897C37" w:rsidRDefault="00D64948" w:rsidP="00777485">
            <w:pPr>
              <w:tabs>
                <w:tab w:val="left" w:pos="72"/>
                <w:tab w:val="left" w:pos="342"/>
              </w:tabs>
              <w:rPr>
                <w:szCs w:val="24"/>
              </w:rPr>
            </w:pPr>
            <w:r w:rsidRPr="00897C37">
              <w:rPr>
                <w:szCs w:val="24"/>
              </w:rPr>
              <w:t>Monitoreo de la implantación de políticas de mejora de la gestión del gasto público</w:t>
            </w:r>
          </w:p>
        </w:tc>
        <w:tc>
          <w:tcPr>
            <w:tcW w:w="360" w:type="dxa"/>
          </w:tcPr>
          <w:p w:rsidR="00D64948" w:rsidRPr="001774B8" w:rsidRDefault="00D64948" w:rsidP="00777485">
            <w:pPr>
              <w:jc w:val="center"/>
              <w:rPr>
                <w:szCs w:val="24"/>
              </w:rPr>
            </w:pPr>
            <w:r w:rsidRPr="001774B8">
              <w:rPr>
                <w:szCs w:val="24"/>
              </w:rPr>
              <w:t>X</w:t>
            </w:r>
          </w:p>
        </w:tc>
        <w:tc>
          <w:tcPr>
            <w:tcW w:w="360" w:type="dxa"/>
          </w:tcPr>
          <w:p w:rsidR="00D64948" w:rsidRPr="001774B8" w:rsidRDefault="00D64948" w:rsidP="00777485">
            <w:pPr>
              <w:jc w:val="center"/>
              <w:rPr>
                <w:szCs w:val="24"/>
              </w:rPr>
            </w:pPr>
          </w:p>
        </w:tc>
        <w:tc>
          <w:tcPr>
            <w:tcW w:w="270" w:type="dxa"/>
          </w:tcPr>
          <w:p w:rsidR="00D64948" w:rsidRPr="001774B8" w:rsidRDefault="00D64948" w:rsidP="00777485">
            <w:pPr>
              <w:jc w:val="center"/>
              <w:rPr>
                <w:szCs w:val="24"/>
              </w:rPr>
            </w:pPr>
          </w:p>
        </w:tc>
        <w:tc>
          <w:tcPr>
            <w:tcW w:w="360" w:type="dxa"/>
          </w:tcPr>
          <w:p w:rsidR="00D64948" w:rsidRPr="001774B8" w:rsidRDefault="001774B8" w:rsidP="00777485">
            <w:pPr>
              <w:jc w:val="center"/>
              <w:rPr>
                <w:szCs w:val="24"/>
              </w:rPr>
            </w:pPr>
            <w:r>
              <w:rPr>
                <w:szCs w:val="24"/>
              </w:rPr>
              <w:t>X</w:t>
            </w:r>
          </w:p>
        </w:tc>
        <w:tc>
          <w:tcPr>
            <w:tcW w:w="1890" w:type="dxa"/>
          </w:tcPr>
          <w:p w:rsidR="00D64948" w:rsidRPr="00897C37" w:rsidRDefault="00D64948" w:rsidP="00777485">
            <w:pPr>
              <w:rPr>
                <w:szCs w:val="24"/>
              </w:rPr>
            </w:pPr>
            <w:r w:rsidRPr="00897C37">
              <w:rPr>
                <w:szCs w:val="24"/>
              </w:rPr>
              <w:t>Equipo de proyecto con apoyo de consultor</w:t>
            </w:r>
          </w:p>
        </w:tc>
        <w:tc>
          <w:tcPr>
            <w:tcW w:w="1800" w:type="dxa"/>
          </w:tcPr>
          <w:p w:rsidR="00D64948" w:rsidRPr="00897C37" w:rsidRDefault="00D64948" w:rsidP="00777485">
            <w:pPr>
              <w:rPr>
                <w:szCs w:val="24"/>
              </w:rPr>
            </w:pPr>
            <w:r w:rsidRPr="00897C37">
              <w:rPr>
                <w:szCs w:val="24"/>
              </w:rPr>
              <w:t>Informe de consultoría</w:t>
            </w:r>
          </w:p>
        </w:tc>
        <w:tc>
          <w:tcPr>
            <w:tcW w:w="1260" w:type="dxa"/>
            <w:vMerge/>
            <w:shd w:val="clear" w:color="auto" w:fill="auto"/>
          </w:tcPr>
          <w:p w:rsidR="00D64948" w:rsidRPr="00897C37" w:rsidRDefault="00D64948" w:rsidP="00777485">
            <w:pPr>
              <w:jc w:val="center"/>
              <w:rPr>
                <w:szCs w:val="24"/>
              </w:rPr>
            </w:pPr>
          </w:p>
        </w:tc>
        <w:tc>
          <w:tcPr>
            <w:tcW w:w="1350" w:type="dxa"/>
            <w:vMerge/>
          </w:tcPr>
          <w:p w:rsidR="00D64948" w:rsidRPr="00897C37" w:rsidRDefault="00D64948" w:rsidP="00777485">
            <w:pPr>
              <w:rPr>
                <w:szCs w:val="24"/>
              </w:rPr>
            </w:pPr>
          </w:p>
        </w:tc>
      </w:tr>
      <w:tr w:rsidR="00D64948" w:rsidRPr="00897C37" w:rsidTr="00DE1B38">
        <w:tc>
          <w:tcPr>
            <w:tcW w:w="2790" w:type="dxa"/>
            <w:gridSpan w:val="2"/>
          </w:tcPr>
          <w:p w:rsidR="00D64948" w:rsidRPr="00897C37" w:rsidRDefault="00D64948" w:rsidP="00777485">
            <w:pPr>
              <w:tabs>
                <w:tab w:val="left" w:pos="72"/>
                <w:tab w:val="left" w:pos="342"/>
              </w:tabs>
              <w:rPr>
                <w:szCs w:val="24"/>
              </w:rPr>
            </w:pPr>
            <w:r w:rsidRPr="00897C37">
              <w:rPr>
                <w:szCs w:val="24"/>
              </w:rPr>
              <w:t>Monitoreo referente a la mejora de la gestión de programas y políticas públicas</w:t>
            </w:r>
          </w:p>
        </w:tc>
        <w:tc>
          <w:tcPr>
            <w:tcW w:w="360" w:type="dxa"/>
          </w:tcPr>
          <w:p w:rsidR="00D64948" w:rsidRPr="001774B8" w:rsidRDefault="001774B8" w:rsidP="00777485">
            <w:pPr>
              <w:jc w:val="center"/>
              <w:rPr>
                <w:szCs w:val="24"/>
              </w:rPr>
            </w:pPr>
            <w:r>
              <w:rPr>
                <w:szCs w:val="24"/>
              </w:rPr>
              <w:t>X</w:t>
            </w:r>
          </w:p>
        </w:tc>
        <w:tc>
          <w:tcPr>
            <w:tcW w:w="360" w:type="dxa"/>
          </w:tcPr>
          <w:p w:rsidR="00D64948" w:rsidRPr="001774B8" w:rsidRDefault="00D64948" w:rsidP="00777485">
            <w:pPr>
              <w:jc w:val="center"/>
              <w:rPr>
                <w:szCs w:val="24"/>
              </w:rPr>
            </w:pPr>
          </w:p>
        </w:tc>
        <w:tc>
          <w:tcPr>
            <w:tcW w:w="270" w:type="dxa"/>
          </w:tcPr>
          <w:p w:rsidR="00D64948" w:rsidRPr="001774B8" w:rsidRDefault="00D64948" w:rsidP="00777485">
            <w:pPr>
              <w:jc w:val="center"/>
              <w:rPr>
                <w:szCs w:val="24"/>
              </w:rPr>
            </w:pPr>
          </w:p>
        </w:tc>
        <w:tc>
          <w:tcPr>
            <w:tcW w:w="360" w:type="dxa"/>
          </w:tcPr>
          <w:p w:rsidR="00D64948" w:rsidRPr="001774B8" w:rsidRDefault="001774B8" w:rsidP="00777485">
            <w:pPr>
              <w:jc w:val="center"/>
              <w:rPr>
                <w:szCs w:val="24"/>
              </w:rPr>
            </w:pPr>
            <w:r>
              <w:rPr>
                <w:szCs w:val="24"/>
              </w:rPr>
              <w:t>X</w:t>
            </w:r>
          </w:p>
        </w:tc>
        <w:tc>
          <w:tcPr>
            <w:tcW w:w="1890" w:type="dxa"/>
          </w:tcPr>
          <w:p w:rsidR="00D64948" w:rsidRPr="00897C37" w:rsidRDefault="00D64948" w:rsidP="00777485">
            <w:pPr>
              <w:rPr>
                <w:szCs w:val="24"/>
              </w:rPr>
            </w:pPr>
            <w:r w:rsidRPr="00897C37">
              <w:rPr>
                <w:szCs w:val="24"/>
              </w:rPr>
              <w:t>Equipo de proyecto con apoyo de consultor</w:t>
            </w:r>
          </w:p>
        </w:tc>
        <w:tc>
          <w:tcPr>
            <w:tcW w:w="1800" w:type="dxa"/>
          </w:tcPr>
          <w:p w:rsidR="00D64948" w:rsidRPr="00897C37" w:rsidRDefault="00D64948" w:rsidP="00777485">
            <w:pPr>
              <w:rPr>
                <w:szCs w:val="24"/>
              </w:rPr>
            </w:pPr>
            <w:r w:rsidRPr="00897C37">
              <w:rPr>
                <w:szCs w:val="24"/>
              </w:rPr>
              <w:t>Informe de consultoría</w:t>
            </w:r>
          </w:p>
        </w:tc>
        <w:tc>
          <w:tcPr>
            <w:tcW w:w="1260" w:type="dxa"/>
            <w:vMerge/>
            <w:shd w:val="clear" w:color="auto" w:fill="auto"/>
          </w:tcPr>
          <w:p w:rsidR="00D64948" w:rsidRPr="00897C37" w:rsidRDefault="00D64948" w:rsidP="00777485">
            <w:pPr>
              <w:jc w:val="center"/>
              <w:rPr>
                <w:szCs w:val="24"/>
              </w:rPr>
            </w:pPr>
          </w:p>
        </w:tc>
        <w:tc>
          <w:tcPr>
            <w:tcW w:w="1350" w:type="dxa"/>
            <w:vMerge/>
          </w:tcPr>
          <w:p w:rsidR="00D64948" w:rsidRPr="00897C37" w:rsidRDefault="00D64948" w:rsidP="00777485">
            <w:pPr>
              <w:jc w:val="center"/>
              <w:rPr>
                <w:szCs w:val="24"/>
              </w:rPr>
            </w:pPr>
          </w:p>
        </w:tc>
      </w:tr>
      <w:tr w:rsidR="00D64948" w:rsidRPr="00897C37" w:rsidTr="00DE1B38">
        <w:tc>
          <w:tcPr>
            <w:tcW w:w="2790" w:type="dxa"/>
            <w:gridSpan w:val="2"/>
          </w:tcPr>
          <w:p w:rsidR="00D64948" w:rsidRPr="00897C37" w:rsidRDefault="00D64948" w:rsidP="00777485">
            <w:pPr>
              <w:tabs>
                <w:tab w:val="left" w:pos="72"/>
                <w:tab w:val="left" w:pos="342"/>
              </w:tabs>
              <w:rPr>
                <w:szCs w:val="24"/>
              </w:rPr>
            </w:pPr>
            <w:r w:rsidRPr="00897C37">
              <w:rPr>
                <w:szCs w:val="24"/>
              </w:rPr>
              <w:t>Monitoreo referente a la gestión de políticas para el desarrollo económico.</w:t>
            </w:r>
          </w:p>
        </w:tc>
        <w:tc>
          <w:tcPr>
            <w:tcW w:w="360" w:type="dxa"/>
          </w:tcPr>
          <w:p w:rsidR="00D64948" w:rsidRPr="001774B8" w:rsidRDefault="00D64948" w:rsidP="00777485">
            <w:pPr>
              <w:jc w:val="center"/>
              <w:rPr>
                <w:szCs w:val="24"/>
              </w:rPr>
            </w:pPr>
            <w:r w:rsidRPr="001774B8">
              <w:rPr>
                <w:szCs w:val="24"/>
              </w:rPr>
              <w:t>X</w:t>
            </w:r>
          </w:p>
        </w:tc>
        <w:tc>
          <w:tcPr>
            <w:tcW w:w="360" w:type="dxa"/>
          </w:tcPr>
          <w:p w:rsidR="00D64948" w:rsidRPr="001774B8" w:rsidRDefault="00D64948" w:rsidP="00777485">
            <w:pPr>
              <w:jc w:val="center"/>
              <w:rPr>
                <w:szCs w:val="24"/>
              </w:rPr>
            </w:pPr>
          </w:p>
        </w:tc>
        <w:tc>
          <w:tcPr>
            <w:tcW w:w="270" w:type="dxa"/>
          </w:tcPr>
          <w:p w:rsidR="00D64948" w:rsidRPr="001774B8" w:rsidRDefault="00D64948" w:rsidP="00777485">
            <w:pPr>
              <w:jc w:val="center"/>
              <w:rPr>
                <w:szCs w:val="24"/>
              </w:rPr>
            </w:pPr>
          </w:p>
        </w:tc>
        <w:tc>
          <w:tcPr>
            <w:tcW w:w="360" w:type="dxa"/>
          </w:tcPr>
          <w:p w:rsidR="00D64948" w:rsidRPr="001774B8" w:rsidRDefault="001774B8" w:rsidP="00777485">
            <w:pPr>
              <w:jc w:val="center"/>
              <w:rPr>
                <w:szCs w:val="24"/>
              </w:rPr>
            </w:pPr>
            <w:r>
              <w:rPr>
                <w:szCs w:val="24"/>
              </w:rPr>
              <w:t>X</w:t>
            </w:r>
          </w:p>
        </w:tc>
        <w:tc>
          <w:tcPr>
            <w:tcW w:w="1890" w:type="dxa"/>
          </w:tcPr>
          <w:p w:rsidR="00D64948" w:rsidRPr="00897C37" w:rsidRDefault="00D64948" w:rsidP="00777485">
            <w:pPr>
              <w:rPr>
                <w:szCs w:val="24"/>
              </w:rPr>
            </w:pPr>
            <w:r w:rsidRPr="00897C37">
              <w:rPr>
                <w:szCs w:val="24"/>
              </w:rPr>
              <w:t>Equipo de proyecto con apoyo de consultor</w:t>
            </w:r>
          </w:p>
        </w:tc>
        <w:tc>
          <w:tcPr>
            <w:tcW w:w="1800" w:type="dxa"/>
          </w:tcPr>
          <w:p w:rsidR="00D64948" w:rsidRPr="00897C37" w:rsidRDefault="00D64948" w:rsidP="00777485">
            <w:pPr>
              <w:rPr>
                <w:szCs w:val="24"/>
              </w:rPr>
            </w:pPr>
            <w:r w:rsidRPr="00897C37">
              <w:rPr>
                <w:szCs w:val="24"/>
              </w:rPr>
              <w:t>Informe de consultoría</w:t>
            </w:r>
          </w:p>
        </w:tc>
        <w:tc>
          <w:tcPr>
            <w:tcW w:w="1260" w:type="dxa"/>
            <w:vMerge/>
            <w:shd w:val="clear" w:color="auto" w:fill="auto"/>
          </w:tcPr>
          <w:p w:rsidR="00D64948" w:rsidRPr="00897C37" w:rsidRDefault="00D64948" w:rsidP="00777485">
            <w:pPr>
              <w:jc w:val="center"/>
              <w:rPr>
                <w:szCs w:val="24"/>
              </w:rPr>
            </w:pPr>
          </w:p>
        </w:tc>
        <w:tc>
          <w:tcPr>
            <w:tcW w:w="1350" w:type="dxa"/>
            <w:vMerge/>
          </w:tcPr>
          <w:p w:rsidR="00D64948" w:rsidRPr="00897C37" w:rsidRDefault="00D64948" w:rsidP="00777485">
            <w:pPr>
              <w:jc w:val="center"/>
              <w:rPr>
                <w:szCs w:val="24"/>
              </w:rPr>
            </w:pPr>
          </w:p>
        </w:tc>
      </w:tr>
      <w:tr w:rsidR="00D64948" w:rsidRPr="00897C37" w:rsidTr="00DE1B38">
        <w:trPr>
          <w:trHeight w:val="63"/>
        </w:trPr>
        <w:tc>
          <w:tcPr>
            <w:tcW w:w="1170" w:type="dxa"/>
            <w:tcBorders>
              <w:bottom w:val="single" w:sz="4" w:space="0" w:color="000000"/>
            </w:tcBorders>
            <w:shd w:val="clear" w:color="auto" w:fill="D9D9D9" w:themeFill="background1" w:themeFillShade="D9"/>
          </w:tcPr>
          <w:p w:rsidR="00D64948" w:rsidRPr="00897C37" w:rsidRDefault="00D64948" w:rsidP="00777485">
            <w:pPr>
              <w:rPr>
                <w:b/>
                <w:szCs w:val="24"/>
              </w:rPr>
            </w:pPr>
          </w:p>
        </w:tc>
        <w:tc>
          <w:tcPr>
            <w:tcW w:w="7920" w:type="dxa"/>
            <w:gridSpan w:val="8"/>
            <w:tcBorders>
              <w:bottom w:val="single" w:sz="4" w:space="0" w:color="000000"/>
            </w:tcBorders>
            <w:shd w:val="clear" w:color="auto" w:fill="D9D9D9" w:themeFill="background1" w:themeFillShade="D9"/>
          </w:tcPr>
          <w:p w:rsidR="00D64948" w:rsidRPr="00897C37" w:rsidRDefault="00D64948" w:rsidP="00777485">
            <w:pPr>
              <w:jc w:val="right"/>
              <w:rPr>
                <w:b/>
                <w:szCs w:val="24"/>
              </w:rPr>
            </w:pPr>
            <w:r w:rsidRPr="00897C37">
              <w:rPr>
                <w:b/>
                <w:szCs w:val="24"/>
              </w:rPr>
              <w:t>Costo Total:</w:t>
            </w:r>
          </w:p>
        </w:tc>
        <w:tc>
          <w:tcPr>
            <w:tcW w:w="1350" w:type="dxa"/>
            <w:tcBorders>
              <w:bottom w:val="single" w:sz="4" w:space="0" w:color="000000"/>
            </w:tcBorders>
            <w:shd w:val="clear" w:color="auto" w:fill="D9D9D9" w:themeFill="background1" w:themeFillShade="D9"/>
          </w:tcPr>
          <w:p w:rsidR="00D64948" w:rsidRPr="00897C37" w:rsidRDefault="00D64948" w:rsidP="00E36AB2">
            <w:pPr>
              <w:jc w:val="both"/>
              <w:rPr>
                <w:szCs w:val="24"/>
              </w:rPr>
            </w:pPr>
            <w:r w:rsidRPr="00897C37">
              <w:rPr>
                <w:szCs w:val="24"/>
              </w:rPr>
              <w:t>USD 1</w:t>
            </w:r>
            <w:r w:rsidR="00E36AB2">
              <w:rPr>
                <w:szCs w:val="24"/>
              </w:rPr>
              <w:t>0</w:t>
            </w:r>
            <w:r w:rsidRPr="00897C37">
              <w:rPr>
                <w:szCs w:val="24"/>
              </w:rPr>
              <w:t>,000</w:t>
            </w:r>
          </w:p>
        </w:tc>
      </w:tr>
      <w:tr w:rsidR="001774B8" w:rsidRPr="00897C37" w:rsidTr="00DE1B38">
        <w:trPr>
          <w:trHeight w:val="63"/>
        </w:trPr>
        <w:tc>
          <w:tcPr>
            <w:tcW w:w="10440" w:type="dxa"/>
            <w:gridSpan w:val="10"/>
            <w:tcBorders>
              <w:left w:val="nil"/>
              <w:bottom w:val="nil"/>
              <w:right w:val="nil"/>
            </w:tcBorders>
            <w:shd w:val="clear" w:color="auto" w:fill="auto"/>
          </w:tcPr>
          <w:p w:rsidR="001774B8" w:rsidRPr="001774B8" w:rsidRDefault="001774B8" w:rsidP="001774B8">
            <w:pPr>
              <w:pStyle w:val="ListParagraph"/>
              <w:jc w:val="both"/>
              <w:rPr>
                <w:rFonts w:ascii="Times New Roman" w:hAnsi="Times New Roman" w:cs="Times New Roman"/>
                <w:sz w:val="20"/>
                <w:szCs w:val="20"/>
                <w:lang w:val="es-ES_tradnl"/>
              </w:rPr>
            </w:pPr>
            <w:r w:rsidRPr="001774B8">
              <w:rPr>
                <w:rFonts w:ascii="Times New Roman" w:hAnsi="Times New Roman" w:cs="Times New Roman"/>
                <w:b/>
                <w:sz w:val="20"/>
                <w:szCs w:val="20"/>
                <w:lang w:val="es-ES_tradnl"/>
              </w:rPr>
              <w:t>*</w:t>
            </w:r>
            <w:r w:rsidRPr="001774B8">
              <w:rPr>
                <w:rFonts w:ascii="Times New Roman" w:hAnsi="Times New Roman" w:cs="Times New Roman"/>
                <w:sz w:val="20"/>
                <w:szCs w:val="20"/>
                <w:lang w:val="es-ES_tradnl"/>
              </w:rPr>
              <w:t>El Anexo 1 presenta el Cuadro detallado de las actividades de seguimiento</w:t>
            </w:r>
          </w:p>
        </w:tc>
      </w:tr>
    </w:tbl>
    <w:p w:rsidR="00B44A6A" w:rsidRPr="00EE43D8" w:rsidRDefault="00B44A6A" w:rsidP="00DE1B38">
      <w:pPr>
        <w:pStyle w:val="AutoNumpara"/>
        <w:numPr>
          <w:ilvl w:val="0"/>
          <w:numId w:val="12"/>
        </w:numPr>
        <w:ind w:hanging="720"/>
        <w:rPr>
          <w:b/>
        </w:rPr>
      </w:pPr>
      <w:r w:rsidRPr="00EE43D8">
        <w:rPr>
          <w:b/>
        </w:rPr>
        <w:t>Colección de Datos y Reuniones Trimestrales</w:t>
      </w:r>
    </w:p>
    <w:p w:rsidR="00EE43D8" w:rsidRPr="00897C37" w:rsidRDefault="00B44A6A" w:rsidP="00EE43D8">
      <w:pPr>
        <w:pStyle w:val="AutoNumpara"/>
        <w:rPr>
          <w:szCs w:val="24"/>
        </w:rPr>
      </w:pPr>
      <w:r>
        <w:t>Los</w:t>
      </w:r>
      <w:r w:rsidR="00EE43D8">
        <w:t xml:space="preserve"> </w:t>
      </w:r>
      <w:r w:rsidR="00EE43D8" w:rsidRPr="00897C37">
        <w:rPr>
          <w:szCs w:val="24"/>
        </w:rPr>
        <w:t>La SEFAZ/AL enviará al equipo de Proyecto para las reuniones trimestrales (presenciales o por videoconferencia) una actualización de la Matriz de Políticas y Medios de Verificación, que incluya una descripción detallada de las actividades realizadas para lograr el cumplimiento de los medios de verificación, las evidencias correspondientes y las actividades</w:t>
      </w:r>
      <w:r w:rsidR="009668EF">
        <w:rPr>
          <w:szCs w:val="24"/>
        </w:rPr>
        <w:t xml:space="preserve"> </w:t>
      </w:r>
      <w:r w:rsidR="00EE43D8" w:rsidRPr="00897C37">
        <w:rPr>
          <w:szCs w:val="24"/>
        </w:rPr>
        <w:t>pendientes, además de las fechas actualizadas para el cumplimiento final de cada compromiso de política. La colección de datos será coordinada y remitida al Banco por la SEFAZ/AL.</w:t>
      </w:r>
    </w:p>
    <w:p w:rsidR="00EE43D8" w:rsidRPr="00897C37" w:rsidRDefault="00EE43D8" w:rsidP="00EE43D8">
      <w:pPr>
        <w:pStyle w:val="AutoNumpara"/>
        <w:rPr>
          <w:szCs w:val="24"/>
        </w:rPr>
      </w:pPr>
      <w:r w:rsidRPr="00897C37">
        <w:rPr>
          <w:b/>
          <w:szCs w:val="24"/>
        </w:rPr>
        <w:t>Visitas de Inspección</w:t>
      </w:r>
      <w:r w:rsidRPr="00897C37">
        <w:rPr>
          <w:b/>
          <w:bCs/>
          <w:szCs w:val="24"/>
        </w:rPr>
        <w:t>:</w:t>
      </w:r>
      <w:r w:rsidRPr="00897C37">
        <w:rPr>
          <w:szCs w:val="24"/>
        </w:rPr>
        <w:t xml:space="preserve"> Serán programadas regularmente por el Banco para el monitoreo de la implantación de las actividades previstas en el Programa, principalmente aquellas que no puedan comprobarse de forma remota, tales como la verificación de la operación de algunos sistemas informáticos.</w:t>
      </w:r>
    </w:p>
    <w:p w:rsidR="00EE43D8" w:rsidRPr="00897C37" w:rsidRDefault="00EE43D8" w:rsidP="00EE43D8">
      <w:pPr>
        <w:pStyle w:val="AutoNumpara"/>
        <w:rPr>
          <w:szCs w:val="24"/>
        </w:rPr>
      </w:pPr>
      <w:r w:rsidRPr="00897C37">
        <w:rPr>
          <w:b/>
          <w:bCs/>
          <w:szCs w:val="24"/>
        </w:rPr>
        <w:lastRenderedPageBreak/>
        <w:t>Misión de Administración:</w:t>
      </w:r>
      <w:r w:rsidRPr="00897C37">
        <w:rPr>
          <w:szCs w:val="24"/>
        </w:rPr>
        <w:t xml:space="preserve"> El Banco podrá programar una Misión de Administración para revisar el avance en el cumplimiento de los compromisos de política y apoyar la SEFAZ/AL con asistencias técnicas específicas.</w:t>
      </w:r>
    </w:p>
    <w:p w:rsidR="001B5186" w:rsidRPr="00F96F8A" w:rsidRDefault="005258AC" w:rsidP="00DE1B38">
      <w:pPr>
        <w:pStyle w:val="AutoNumpara"/>
        <w:numPr>
          <w:ilvl w:val="0"/>
          <w:numId w:val="12"/>
        </w:numPr>
        <w:ind w:hanging="630"/>
        <w:rPr>
          <w:b/>
        </w:rPr>
      </w:pPr>
      <w:r w:rsidRPr="00F96F8A">
        <w:rPr>
          <w:b/>
        </w:rPr>
        <w:t>Presentación de informes</w:t>
      </w:r>
    </w:p>
    <w:p w:rsidR="001B5186" w:rsidRPr="00C9083E" w:rsidRDefault="005258AC" w:rsidP="00B87A39">
      <w:pPr>
        <w:pStyle w:val="AutoNumpara"/>
        <w:rPr>
          <w:color w:val="000000"/>
          <w:lang w:val="es-ES"/>
        </w:rPr>
      </w:pPr>
      <w:r w:rsidRPr="00C9083E">
        <w:rPr>
          <w:lang w:val="es-ES"/>
        </w:rPr>
        <w:t>Los mecanismos e</w:t>
      </w:r>
      <w:r w:rsidR="000D5D08">
        <w:rPr>
          <w:lang w:val="es-ES"/>
        </w:rPr>
        <w:t xml:space="preserve"> </w:t>
      </w:r>
      <w:r w:rsidRPr="00C9083E">
        <w:rPr>
          <w:lang w:val="es-ES"/>
        </w:rPr>
        <w:t>instrumentos que se usarán para informar acerca de los resultados del seguimiento</w:t>
      </w:r>
      <w:r w:rsidR="00407056" w:rsidRPr="00C9083E">
        <w:rPr>
          <w:lang w:val="es-ES"/>
        </w:rPr>
        <w:t xml:space="preserve"> serán la principal </w:t>
      </w:r>
      <w:r w:rsidRPr="00C9083E">
        <w:rPr>
          <w:lang w:val="es-ES"/>
        </w:rPr>
        <w:t xml:space="preserve">fuente de información para el </w:t>
      </w:r>
      <w:r w:rsidR="00AE2ACB" w:rsidRPr="00C9083E">
        <w:rPr>
          <w:lang w:val="es-ES"/>
        </w:rPr>
        <w:t>PMR</w:t>
      </w:r>
      <w:r w:rsidR="000D5D08">
        <w:rPr>
          <w:lang w:val="es-ES"/>
        </w:rPr>
        <w:t xml:space="preserve"> </w:t>
      </w:r>
      <w:r w:rsidRPr="00C9083E">
        <w:rPr>
          <w:lang w:val="es-ES"/>
        </w:rPr>
        <w:t>.</w:t>
      </w:r>
    </w:p>
    <w:p w:rsidR="001B5186" w:rsidRPr="000D5D08" w:rsidRDefault="00F5024C" w:rsidP="00B87A39">
      <w:pPr>
        <w:pStyle w:val="AutoNumpara"/>
        <w:rPr>
          <w:color w:val="000000"/>
          <w:lang w:val="es-ES"/>
        </w:rPr>
      </w:pPr>
      <w:r w:rsidRPr="000D5D08">
        <w:rPr>
          <w:lang w:val="es-ES"/>
        </w:rPr>
        <w:t>Los informe</w:t>
      </w:r>
      <w:r w:rsidR="00E37FED" w:rsidRPr="000D5D08">
        <w:rPr>
          <w:lang w:val="es-ES"/>
        </w:rPr>
        <w:t>s de seguimiento s</w:t>
      </w:r>
      <w:r w:rsidRPr="000D5D08">
        <w:rPr>
          <w:lang w:val="es-ES"/>
        </w:rPr>
        <w:t>e</w:t>
      </w:r>
      <w:r w:rsidR="00E73E36">
        <w:rPr>
          <w:lang w:val="es-ES"/>
        </w:rPr>
        <w:t>rán publicados…</w:t>
      </w:r>
    </w:p>
    <w:p w:rsidR="001B5186" w:rsidRPr="00F96F8A" w:rsidRDefault="005258AC" w:rsidP="00DE1B38">
      <w:pPr>
        <w:pStyle w:val="AutoNumpara"/>
        <w:numPr>
          <w:ilvl w:val="0"/>
          <w:numId w:val="12"/>
        </w:numPr>
        <w:ind w:left="630" w:hanging="630"/>
        <w:rPr>
          <w:b/>
        </w:rPr>
      </w:pPr>
      <w:r w:rsidRPr="00F96F8A">
        <w:rPr>
          <w:b/>
        </w:rPr>
        <w:t>Coordinación, plan de traba</w:t>
      </w:r>
      <w:r w:rsidR="000D5D08" w:rsidRPr="00F96F8A">
        <w:rPr>
          <w:b/>
        </w:rPr>
        <w:t>jo y presupuesto del monitoreo</w:t>
      </w:r>
    </w:p>
    <w:p w:rsidR="001B5186" w:rsidRPr="00E73E36" w:rsidRDefault="00E73E36" w:rsidP="00B87A39">
      <w:pPr>
        <w:pStyle w:val="AutoNumpara"/>
        <w:rPr>
          <w:color w:val="000000"/>
          <w:lang w:val="es-ES"/>
        </w:rPr>
      </w:pPr>
      <w:r w:rsidRPr="00933F07">
        <w:t xml:space="preserve">El trabajo de coordinación de la ejecución del Programa por </w:t>
      </w:r>
      <w:r>
        <w:t>la SEFAZ/AL</w:t>
      </w:r>
      <w:r w:rsidRPr="00933F07">
        <w:t xml:space="preserve"> involucrará un monitoreo de las acciones previstas y realizadas para cada componente del Programa, comparados con las acciones de </w:t>
      </w:r>
      <w:r>
        <w:t>política acordadas y realizadas</w:t>
      </w:r>
      <w:r w:rsidR="00E37FED">
        <w:rPr>
          <w:szCs w:val="24"/>
        </w:rPr>
        <w:t>.</w:t>
      </w:r>
    </w:p>
    <w:p w:rsidR="00E73E36" w:rsidRPr="0070507C" w:rsidRDefault="00E73E36" w:rsidP="00E73E36">
      <w:pPr>
        <w:pStyle w:val="AutoNumpara"/>
        <w:rPr>
          <w:color w:val="000000"/>
          <w:lang w:val="es-ES"/>
        </w:rPr>
      </w:pPr>
      <w:r>
        <w:t>La SEFAZ/AL</w:t>
      </w:r>
      <w:r w:rsidRPr="00933F07">
        <w:t xml:space="preserve"> será responsable por la colección de datos y compilación de la información y evidencias necesarias para el monitoreo del avance de los resultados del Programa y mantendrá al Banco informado de los principales logros alcanzados.</w:t>
      </w:r>
    </w:p>
    <w:p w:rsidR="00B637C7" w:rsidRPr="00B637C7" w:rsidRDefault="00E37FED" w:rsidP="00B637C7">
      <w:pPr>
        <w:pStyle w:val="AutoNumpara"/>
        <w:rPr>
          <w:color w:val="000000"/>
          <w:lang w:val="es-ES"/>
        </w:rPr>
      </w:pPr>
      <w:r>
        <w:rPr>
          <w:lang w:val="es-ES"/>
        </w:rPr>
        <w:t xml:space="preserve">Los plazos para </w:t>
      </w:r>
      <w:r w:rsidR="009966F6">
        <w:rPr>
          <w:lang w:val="es-ES"/>
        </w:rPr>
        <w:t>el</w:t>
      </w:r>
      <w:r w:rsidR="00DD2D6F" w:rsidRPr="0070507C">
        <w:rPr>
          <w:lang w:val="es-ES"/>
        </w:rPr>
        <w:t xml:space="preserve"> seguimiento, </w:t>
      </w:r>
      <w:r>
        <w:rPr>
          <w:lang w:val="es-ES"/>
        </w:rPr>
        <w:t xml:space="preserve">el </w:t>
      </w:r>
      <w:r w:rsidR="00DD2D6F" w:rsidRPr="0070507C">
        <w:rPr>
          <w:lang w:val="es-ES"/>
        </w:rPr>
        <w:t xml:space="preserve">presupuesto asignado a cada una de las actividades principales y </w:t>
      </w:r>
      <w:r>
        <w:rPr>
          <w:lang w:val="es-ES"/>
        </w:rPr>
        <w:t xml:space="preserve">la </w:t>
      </w:r>
      <w:r w:rsidR="00DD2D6F" w:rsidRPr="0070507C">
        <w:rPr>
          <w:lang w:val="es-ES"/>
        </w:rPr>
        <w:t>fuente de financiamiento</w:t>
      </w:r>
      <w:r>
        <w:rPr>
          <w:lang w:val="es-ES"/>
        </w:rPr>
        <w:t xml:space="preserve"> se encuentran en el Plan de </w:t>
      </w:r>
      <w:r w:rsidR="000D5D08">
        <w:rPr>
          <w:lang w:val="es-ES"/>
        </w:rPr>
        <w:t>Ejecución del Proyecto</w:t>
      </w:r>
      <w:r w:rsidRPr="00B637C7">
        <w:rPr>
          <w:lang w:val="es-ES"/>
        </w:rPr>
        <w:t xml:space="preserve">, Plan de </w:t>
      </w:r>
      <w:r w:rsidR="000D5D08">
        <w:rPr>
          <w:lang w:val="es-ES"/>
        </w:rPr>
        <w:t xml:space="preserve">Desembolsos del Programa </w:t>
      </w:r>
      <w:r w:rsidRPr="00B637C7">
        <w:rPr>
          <w:lang w:val="es-ES"/>
        </w:rPr>
        <w:t xml:space="preserve">e Informe de Monitoreo del </w:t>
      </w:r>
      <w:r w:rsidR="000D5D08">
        <w:rPr>
          <w:lang w:val="es-ES"/>
        </w:rPr>
        <w:t>Progreso</w:t>
      </w:r>
      <w:r w:rsidRPr="00B637C7">
        <w:rPr>
          <w:lang w:val="es-ES"/>
        </w:rPr>
        <w:t>.</w:t>
      </w:r>
      <w:r w:rsidR="00B637C7">
        <w:rPr>
          <w:color w:val="000000"/>
          <w:lang w:val="es-ES"/>
        </w:rPr>
        <w:t xml:space="preserve"> Además, se contemplan recursos adicionales para el monitoreo dentro del rubro de administración del programa</w:t>
      </w:r>
      <w:r w:rsidR="00E73E36">
        <w:rPr>
          <w:color w:val="000000"/>
          <w:lang w:val="es-ES"/>
        </w:rPr>
        <w:t>..</w:t>
      </w:r>
    </w:p>
    <w:p w:rsidR="00425B28" w:rsidRPr="00DE1B38" w:rsidRDefault="001B5186" w:rsidP="00DE1B38">
      <w:pPr>
        <w:pStyle w:val="Heading1"/>
        <w:tabs>
          <w:tab w:val="clear" w:pos="360"/>
          <w:tab w:val="num" w:pos="720"/>
        </w:tabs>
        <w:ind w:left="720" w:hanging="630"/>
        <w:jc w:val="left"/>
        <w:rPr>
          <w:sz w:val="24"/>
          <w:szCs w:val="24"/>
          <w:lang w:val="es-ES_tradnl"/>
        </w:rPr>
      </w:pPr>
      <w:r w:rsidRPr="00DE1B38">
        <w:rPr>
          <w:sz w:val="24"/>
          <w:szCs w:val="24"/>
          <w:lang w:val="es-ES_tradnl"/>
        </w:rPr>
        <w:t>Evalua</w:t>
      </w:r>
      <w:r w:rsidR="00C2372F" w:rsidRPr="00DE1B38">
        <w:rPr>
          <w:sz w:val="24"/>
          <w:szCs w:val="24"/>
          <w:lang w:val="es-ES_tradnl"/>
        </w:rPr>
        <w:t>ción</w:t>
      </w:r>
      <w:r w:rsidR="00F96F8A" w:rsidRPr="00DE1B38">
        <w:rPr>
          <w:sz w:val="24"/>
          <w:szCs w:val="24"/>
          <w:lang w:val="es-ES_tradnl"/>
        </w:rPr>
        <w:t xml:space="preserve"> de los Resultados e Impactos del Programa</w:t>
      </w:r>
    </w:p>
    <w:p w:rsidR="0082229C" w:rsidRPr="006445D1" w:rsidRDefault="0082229C" w:rsidP="00DE1B38">
      <w:pPr>
        <w:pStyle w:val="AutoNumpara"/>
        <w:numPr>
          <w:ilvl w:val="0"/>
          <w:numId w:val="27"/>
        </w:numPr>
        <w:ind w:hanging="720"/>
        <w:rPr>
          <w:b/>
          <w:bCs/>
          <w:lang w:val="pt-BR"/>
        </w:rPr>
      </w:pPr>
      <w:r w:rsidRPr="006445D1">
        <w:rPr>
          <w:b/>
          <w:lang w:val="pt-BR"/>
        </w:rPr>
        <w:t>Objetivo e Indicadores de Impacto</w:t>
      </w:r>
    </w:p>
    <w:p w:rsidR="001B2F1E" w:rsidRPr="001B2F1E" w:rsidRDefault="001B2F1E" w:rsidP="001B2F1E">
      <w:pPr>
        <w:pStyle w:val="AutoNumpara"/>
        <w:rPr>
          <w:bCs/>
        </w:rPr>
      </w:pPr>
      <w:r>
        <w:t xml:space="preserve">El objetivo de la evaluación es analizar la efectividad del programa en </w:t>
      </w:r>
      <w:r w:rsidRPr="00B52BF8">
        <w:t>fortal</w:t>
      </w:r>
      <w:r>
        <w:t xml:space="preserve">ecer la sostenibilidad fiscal </w:t>
      </w:r>
      <w:r w:rsidRPr="00B52BF8">
        <w:t>e increment</w:t>
      </w:r>
      <w:r>
        <w:t xml:space="preserve">ar los niveles y la calidad de </w:t>
      </w:r>
      <w:r w:rsidRPr="00B52BF8">
        <w:t>la inversión</w:t>
      </w:r>
      <w:r>
        <w:t xml:space="preserve">, principalmente orientada a la actividad turística </w:t>
      </w:r>
      <w:r w:rsidRPr="00B52BF8">
        <w:t>para e</w:t>
      </w:r>
      <w:r>
        <w:t>l desarrollo del EdA. La unidad de análisis en esta evaluación será el Estado, básicamente porque la intervención busca generar impacto a nivel de todo el Estado.</w:t>
      </w:r>
    </w:p>
    <w:p w:rsidR="001B2F1E" w:rsidRPr="001B2F1E" w:rsidRDefault="001B2F1E" w:rsidP="001B2F1E">
      <w:pPr>
        <w:pStyle w:val="AutoNumpara"/>
        <w:rPr>
          <w:bCs/>
        </w:rPr>
      </w:pPr>
      <w:r w:rsidRPr="00933F07">
        <w:t xml:space="preserve">Como en la mayoría de las reformas de política, se estima que los impactos estimados para el Programa llevarán entre 2 y 3 tres años para </w:t>
      </w:r>
      <w:r>
        <w:t xml:space="preserve">lograrse en su plenitud. Por </w:t>
      </w:r>
      <w:r w:rsidRPr="00933F07">
        <w:t>tanto, los</w:t>
      </w:r>
      <w:r>
        <w:t xml:space="preserve"> siguientes</w:t>
      </w:r>
      <w:r w:rsidRPr="00933F07">
        <w:t xml:space="preserve"> impactos</w:t>
      </w:r>
      <w:r w:rsidR="003215D0">
        <w:t xml:space="preserve"> y resultados</w:t>
      </w:r>
      <w:r w:rsidR="009668EF">
        <w:t xml:space="preserve"> </w:t>
      </w:r>
      <w:r>
        <w:t>de</w:t>
      </w:r>
      <w:r w:rsidR="009668EF">
        <w:t xml:space="preserve"> </w:t>
      </w:r>
      <w:r w:rsidR="0082229C">
        <w:t xml:space="preserve">la Matriz de Resultados </w:t>
      </w:r>
      <w:r>
        <w:t>se estiman para el período 2014/2015:</w:t>
      </w:r>
    </w:p>
    <w:p w:rsidR="001B2F1E" w:rsidRPr="00430D9C" w:rsidRDefault="001B2F1E" w:rsidP="001B2F1E">
      <w:pPr>
        <w:pStyle w:val="Paragraph"/>
        <w:numPr>
          <w:ilvl w:val="0"/>
          <w:numId w:val="26"/>
        </w:numPr>
        <w:tabs>
          <w:tab w:val="left" w:pos="630"/>
        </w:tabs>
        <w:suppressAutoHyphens/>
        <w:ind w:left="1080" w:hanging="450"/>
        <w:outlineLvl w:val="9"/>
        <w:rPr>
          <w:szCs w:val="24"/>
        </w:rPr>
      </w:pPr>
      <w:r w:rsidRPr="00430D9C">
        <w:rPr>
          <w:b/>
          <w:szCs w:val="24"/>
        </w:rPr>
        <w:t xml:space="preserve">Incremento de las inversiones públicas del </w:t>
      </w:r>
      <w:proofErr w:type="spellStart"/>
      <w:r w:rsidRPr="00430D9C">
        <w:rPr>
          <w:b/>
          <w:szCs w:val="24"/>
        </w:rPr>
        <w:t>EdA</w:t>
      </w:r>
      <w:proofErr w:type="spellEnd"/>
      <w:r w:rsidRPr="00430D9C">
        <w:rPr>
          <w:szCs w:val="24"/>
        </w:rPr>
        <w:t xml:space="preserve">: incremento del valor de las inversiones públicas de </w:t>
      </w:r>
      <w:r w:rsidR="00F96F8A">
        <w:rPr>
          <w:szCs w:val="24"/>
        </w:rPr>
        <w:t>0,6</w:t>
      </w:r>
      <w:r w:rsidRPr="00430D9C">
        <w:rPr>
          <w:szCs w:val="24"/>
        </w:rPr>
        <w:t xml:space="preserve">% a </w:t>
      </w:r>
      <w:r w:rsidR="00F96F8A">
        <w:rPr>
          <w:szCs w:val="24"/>
        </w:rPr>
        <w:t>1,7</w:t>
      </w:r>
      <w:r w:rsidRPr="00430D9C">
        <w:rPr>
          <w:szCs w:val="24"/>
        </w:rPr>
        <w:t xml:space="preserve">% del PIB del </w:t>
      </w:r>
      <w:proofErr w:type="spellStart"/>
      <w:r w:rsidRPr="00430D9C">
        <w:rPr>
          <w:szCs w:val="24"/>
        </w:rPr>
        <w:t>EdA</w:t>
      </w:r>
      <w:proofErr w:type="spellEnd"/>
      <w:r w:rsidR="00F96F8A">
        <w:rPr>
          <w:szCs w:val="24"/>
        </w:rPr>
        <w:t xml:space="preserve"> (incluye inversión más inversión financiera menos transferencias de capital</w:t>
      </w:r>
      <w:r w:rsidR="00073FDC">
        <w:rPr>
          <w:szCs w:val="24"/>
        </w:rPr>
        <w:t>)</w:t>
      </w:r>
      <w:r w:rsidRPr="00430D9C">
        <w:rPr>
          <w:szCs w:val="24"/>
        </w:rPr>
        <w:t xml:space="preserve">; </w:t>
      </w:r>
    </w:p>
    <w:p w:rsidR="001B2F1E" w:rsidRPr="00430D9C" w:rsidRDefault="00B05551" w:rsidP="001B2F1E">
      <w:pPr>
        <w:pStyle w:val="Paragraph"/>
        <w:numPr>
          <w:ilvl w:val="0"/>
          <w:numId w:val="26"/>
        </w:numPr>
        <w:tabs>
          <w:tab w:val="left" w:pos="630"/>
        </w:tabs>
        <w:suppressAutoHyphens/>
        <w:ind w:left="1080" w:hanging="450"/>
        <w:outlineLvl w:val="9"/>
        <w:rPr>
          <w:szCs w:val="24"/>
        </w:rPr>
      </w:pPr>
      <w:r>
        <w:rPr>
          <w:b/>
          <w:szCs w:val="24"/>
        </w:rPr>
        <w:t>Incremento</w:t>
      </w:r>
      <w:r w:rsidR="001B2F1E" w:rsidRPr="00430D9C">
        <w:rPr>
          <w:b/>
          <w:szCs w:val="24"/>
        </w:rPr>
        <w:t xml:space="preserve"> de la</w:t>
      </w:r>
      <w:r w:rsidR="00252D78">
        <w:rPr>
          <w:b/>
          <w:szCs w:val="24"/>
        </w:rPr>
        <w:t>s inversiones en áreas turísticas</w:t>
      </w:r>
      <w:r w:rsidR="001B2F1E" w:rsidRPr="00430D9C">
        <w:rPr>
          <w:b/>
          <w:szCs w:val="24"/>
        </w:rPr>
        <w:t xml:space="preserve">: </w:t>
      </w:r>
      <w:r w:rsidR="00252D78">
        <w:rPr>
          <w:szCs w:val="24"/>
        </w:rPr>
        <w:t>aumento del valor de la</w:t>
      </w:r>
      <w:r w:rsidR="001B2F1E" w:rsidRPr="00430D9C">
        <w:rPr>
          <w:szCs w:val="24"/>
        </w:rPr>
        <w:t xml:space="preserve">s </w:t>
      </w:r>
      <w:r w:rsidR="00252D78">
        <w:rPr>
          <w:szCs w:val="24"/>
        </w:rPr>
        <w:t>inversiones privadas en proyectos hoteleros de R$73,5 millones (promedio 2011/12) para R$84 millones (promedio 2013/2014)</w:t>
      </w:r>
      <w:r w:rsidR="001B2F1E" w:rsidRPr="00430D9C">
        <w:rPr>
          <w:szCs w:val="24"/>
        </w:rPr>
        <w:t>;</w:t>
      </w:r>
    </w:p>
    <w:p w:rsidR="001B2F1E" w:rsidRPr="00E24361" w:rsidRDefault="001B2F1E" w:rsidP="001B2F1E">
      <w:pPr>
        <w:pStyle w:val="Paragraph"/>
        <w:numPr>
          <w:ilvl w:val="0"/>
          <w:numId w:val="26"/>
        </w:numPr>
        <w:tabs>
          <w:tab w:val="left" w:pos="630"/>
        </w:tabs>
        <w:suppressAutoHyphens/>
        <w:ind w:left="1080" w:hanging="450"/>
        <w:outlineLvl w:val="9"/>
        <w:rPr>
          <w:szCs w:val="24"/>
        </w:rPr>
      </w:pPr>
      <w:r w:rsidRPr="00430D9C">
        <w:rPr>
          <w:b/>
          <w:bCs/>
          <w:szCs w:val="24"/>
        </w:rPr>
        <w:t>Efectividad en la recaudación tributaria y gastos público</w:t>
      </w:r>
      <w:r w:rsidRPr="00430D9C">
        <w:rPr>
          <w:bCs/>
          <w:szCs w:val="24"/>
        </w:rPr>
        <w:t>: i) el incremento real de l</w:t>
      </w:r>
      <w:r w:rsidR="00B05551">
        <w:rPr>
          <w:bCs/>
          <w:szCs w:val="24"/>
        </w:rPr>
        <w:t>a recaudación del ICMS (de R$2,46 mil millones en 2012 a R$3,50 mil millones en 2015</w:t>
      </w:r>
      <w:r w:rsidRPr="00430D9C">
        <w:rPr>
          <w:bCs/>
          <w:szCs w:val="24"/>
        </w:rPr>
        <w:t xml:space="preserve">); ii) </w:t>
      </w:r>
      <w:r w:rsidR="00B05551">
        <w:rPr>
          <w:bCs/>
          <w:szCs w:val="24"/>
        </w:rPr>
        <w:t xml:space="preserve">reducción del gasto de costeo en relación al gasto total del </w:t>
      </w:r>
      <w:proofErr w:type="spellStart"/>
      <w:r w:rsidR="00B05551">
        <w:rPr>
          <w:bCs/>
          <w:szCs w:val="24"/>
        </w:rPr>
        <w:t>EdA</w:t>
      </w:r>
      <w:proofErr w:type="spellEnd"/>
      <w:r w:rsidR="00B05551">
        <w:rPr>
          <w:bCs/>
          <w:szCs w:val="24"/>
        </w:rPr>
        <w:t xml:space="preserve"> (de 19,3% </w:t>
      </w:r>
      <w:r w:rsidR="00B05551">
        <w:rPr>
          <w:bCs/>
          <w:szCs w:val="24"/>
        </w:rPr>
        <w:lastRenderedPageBreak/>
        <w:t xml:space="preserve">promedio de 2011/12 a 18,5% promedio de 2012/13; y iii) reducción del valor de compras estatales realizadas sin proceso licitatorio en relación al monto total de compras del Estado (de </w:t>
      </w:r>
      <w:r w:rsidR="00B05551" w:rsidRPr="00E24361">
        <w:rPr>
          <w:bCs/>
          <w:szCs w:val="24"/>
        </w:rPr>
        <w:t>x% promedio 2011/12 para y% promedio 2012/13)</w:t>
      </w:r>
      <w:r w:rsidRPr="00E24361">
        <w:rPr>
          <w:bCs/>
          <w:szCs w:val="24"/>
        </w:rPr>
        <w:t>;\</w:t>
      </w:r>
    </w:p>
    <w:p w:rsidR="0082229C" w:rsidRDefault="001B2F1E" w:rsidP="0082229C">
      <w:pPr>
        <w:pStyle w:val="Paragraph"/>
        <w:numPr>
          <w:ilvl w:val="0"/>
          <w:numId w:val="26"/>
        </w:numPr>
        <w:tabs>
          <w:tab w:val="left" w:pos="630"/>
        </w:tabs>
        <w:suppressAutoHyphens/>
        <w:ind w:left="1080" w:hanging="450"/>
        <w:outlineLvl w:val="9"/>
        <w:rPr>
          <w:bCs/>
          <w:szCs w:val="24"/>
        </w:rPr>
      </w:pPr>
      <w:r w:rsidRPr="00430D9C">
        <w:rPr>
          <w:b/>
          <w:bCs/>
          <w:szCs w:val="24"/>
        </w:rPr>
        <w:t>Gestión de programas y políticas públicas</w:t>
      </w:r>
      <w:r w:rsidR="003A10EE">
        <w:rPr>
          <w:b/>
          <w:bCs/>
          <w:szCs w:val="24"/>
        </w:rPr>
        <w:t xml:space="preserve"> de desarrollo económico</w:t>
      </w:r>
      <w:r w:rsidRPr="00430D9C">
        <w:rPr>
          <w:b/>
          <w:bCs/>
          <w:szCs w:val="24"/>
        </w:rPr>
        <w:t xml:space="preserve">: </w:t>
      </w:r>
      <w:r w:rsidR="008F2D25" w:rsidRPr="008F2D25">
        <w:rPr>
          <w:bCs/>
          <w:szCs w:val="24"/>
        </w:rPr>
        <w:t>i)</w:t>
      </w:r>
      <w:r w:rsidR="00DE1B38">
        <w:rPr>
          <w:bCs/>
          <w:szCs w:val="24"/>
        </w:rPr>
        <w:t> </w:t>
      </w:r>
      <w:r w:rsidR="008F2D25" w:rsidRPr="00DB1163">
        <w:rPr>
          <w:bCs/>
          <w:szCs w:val="24"/>
        </w:rPr>
        <w:t xml:space="preserve">disminución de la diferencia entre el </w:t>
      </w:r>
      <w:r w:rsidR="008F2D25">
        <w:rPr>
          <w:bCs/>
          <w:szCs w:val="24"/>
        </w:rPr>
        <w:t xml:space="preserve">valor del </w:t>
      </w:r>
      <w:r w:rsidR="008F2D25" w:rsidRPr="00DB1163">
        <w:rPr>
          <w:bCs/>
          <w:szCs w:val="24"/>
        </w:rPr>
        <w:t>presupuesto aprobado y el</w:t>
      </w:r>
      <w:r w:rsidR="008F2D25">
        <w:rPr>
          <w:bCs/>
          <w:szCs w:val="24"/>
        </w:rPr>
        <w:t xml:space="preserve"> valor </w:t>
      </w:r>
      <w:r w:rsidR="008F2D25" w:rsidRPr="00DB1163">
        <w:rPr>
          <w:bCs/>
          <w:szCs w:val="24"/>
        </w:rPr>
        <w:t xml:space="preserve">ejecutado </w:t>
      </w:r>
      <w:r w:rsidR="008F2D25">
        <w:rPr>
          <w:bCs/>
          <w:szCs w:val="24"/>
        </w:rPr>
        <w:t xml:space="preserve">del presupuesto </w:t>
      </w:r>
      <w:r w:rsidR="008F2D25" w:rsidRPr="00DB1163">
        <w:rPr>
          <w:bCs/>
          <w:szCs w:val="24"/>
        </w:rPr>
        <w:t>de 10% para el 12%</w:t>
      </w:r>
      <w:r w:rsidRPr="00430D9C">
        <w:rPr>
          <w:bCs/>
          <w:szCs w:val="24"/>
        </w:rPr>
        <w:t xml:space="preserve">; ii) aumento de la red vial pavimentada </w:t>
      </w:r>
      <w:r w:rsidR="003A10EE">
        <w:rPr>
          <w:bCs/>
          <w:szCs w:val="24"/>
        </w:rPr>
        <w:t xml:space="preserve">de acceso a las nuevas áreas turísticas </w:t>
      </w:r>
      <w:r w:rsidRPr="00430D9C">
        <w:rPr>
          <w:bCs/>
          <w:szCs w:val="24"/>
        </w:rPr>
        <w:t xml:space="preserve">en boas </w:t>
      </w:r>
      <w:r w:rsidR="003A10EE">
        <w:rPr>
          <w:bCs/>
          <w:szCs w:val="24"/>
        </w:rPr>
        <w:t xml:space="preserve">y óptimas </w:t>
      </w:r>
      <w:r w:rsidRPr="00430D9C">
        <w:rPr>
          <w:bCs/>
          <w:szCs w:val="24"/>
        </w:rPr>
        <w:t xml:space="preserve">condiciones (de </w:t>
      </w:r>
      <w:r w:rsidR="00410AE1">
        <w:rPr>
          <w:bCs/>
          <w:szCs w:val="24"/>
        </w:rPr>
        <w:t>13</w:t>
      </w:r>
      <w:r w:rsidRPr="00430D9C">
        <w:rPr>
          <w:bCs/>
          <w:szCs w:val="24"/>
        </w:rPr>
        <w:t xml:space="preserve">% a </w:t>
      </w:r>
      <w:r w:rsidR="00410AE1">
        <w:rPr>
          <w:bCs/>
          <w:szCs w:val="24"/>
        </w:rPr>
        <w:t>84</w:t>
      </w:r>
      <w:r w:rsidRPr="00430D9C">
        <w:rPr>
          <w:bCs/>
          <w:szCs w:val="24"/>
        </w:rPr>
        <w:t>%); iii) reducción del número anual de accidentes</w:t>
      </w:r>
      <w:r w:rsidR="009668EF">
        <w:rPr>
          <w:bCs/>
          <w:szCs w:val="24"/>
        </w:rPr>
        <w:t xml:space="preserve"> </w:t>
      </w:r>
      <w:r w:rsidR="0068693F">
        <w:rPr>
          <w:bCs/>
          <w:szCs w:val="24"/>
        </w:rPr>
        <w:t xml:space="preserve">en las vías de acceso a las nuevas áreas turísticas </w:t>
      </w:r>
      <w:r w:rsidRPr="00430D9C">
        <w:rPr>
          <w:bCs/>
          <w:szCs w:val="24"/>
        </w:rPr>
        <w:t xml:space="preserve">(de </w:t>
      </w:r>
      <w:r w:rsidR="0068693F">
        <w:rPr>
          <w:bCs/>
          <w:szCs w:val="24"/>
        </w:rPr>
        <w:t>537 accidentes en 2010 a 454 accidentes en 2015);</w:t>
      </w:r>
      <w:r w:rsidR="009668EF">
        <w:rPr>
          <w:bCs/>
          <w:szCs w:val="24"/>
        </w:rPr>
        <w:t xml:space="preserve"> </w:t>
      </w:r>
      <w:r w:rsidRPr="00430D9C">
        <w:rPr>
          <w:bCs/>
          <w:szCs w:val="24"/>
        </w:rPr>
        <w:t>iv) increment</w:t>
      </w:r>
      <w:r w:rsidR="0068693F">
        <w:rPr>
          <w:bCs/>
          <w:szCs w:val="24"/>
        </w:rPr>
        <w:t>o de la cobertura de agua (de 64</w:t>
      </w:r>
      <w:r w:rsidRPr="00430D9C">
        <w:rPr>
          <w:bCs/>
          <w:szCs w:val="24"/>
        </w:rPr>
        <w:t>% a 82%) y de la cobertura de alcantarillado (de 1</w:t>
      </w:r>
      <w:r w:rsidR="0068693F">
        <w:rPr>
          <w:bCs/>
          <w:szCs w:val="24"/>
        </w:rPr>
        <w:t>4</w:t>
      </w:r>
      <w:r w:rsidRPr="00430D9C">
        <w:rPr>
          <w:bCs/>
          <w:szCs w:val="24"/>
        </w:rPr>
        <w:t xml:space="preserve">% a 30%); v) aumento do número de municipios con destinación adecuada de residuos sólidos (de </w:t>
      </w:r>
      <w:r w:rsidR="0068693F">
        <w:rPr>
          <w:bCs/>
          <w:szCs w:val="24"/>
        </w:rPr>
        <w:t>20 a 36</w:t>
      </w:r>
      <w:r w:rsidRPr="00430D9C">
        <w:rPr>
          <w:bCs/>
          <w:szCs w:val="24"/>
        </w:rPr>
        <w:t xml:space="preserve">). </w:t>
      </w:r>
    </w:p>
    <w:p w:rsidR="0082229C" w:rsidRDefault="0082229C" w:rsidP="00930663">
      <w:pPr>
        <w:pStyle w:val="AutoNumpara"/>
        <w:rPr>
          <w:bCs/>
        </w:rPr>
      </w:pPr>
      <w:r>
        <w:t>La SEFAZ/AL</w:t>
      </w:r>
      <w:r w:rsidRPr="00933F07">
        <w:t xml:space="preserve"> será responsable por la colección de datos y compilación de la información necesaria para </w:t>
      </w:r>
      <w:r>
        <w:t xml:space="preserve">la evaluación </w:t>
      </w:r>
      <w:r w:rsidRPr="00933F07">
        <w:t>de los resultados del Programa y mantendrá al Banco informado.</w:t>
      </w:r>
    </w:p>
    <w:p w:rsidR="00B637C7" w:rsidRPr="00CE50D3" w:rsidRDefault="00E677B2" w:rsidP="00DE1B38">
      <w:pPr>
        <w:pStyle w:val="AutoNumpara"/>
        <w:numPr>
          <w:ilvl w:val="0"/>
          <w:numId w:val="27"/>
        </w:numPr>
        <w:ind w:hanging="810"/>
        <w:rPr>
          <w:b/>
          <w:bCs/>
        </w:rPr>
      </w:pPr>
      <w:r>
        <w:rPr>
          <w:b/>
          <w:bCs/>
        </w:rPr>
        <w:t>Metodología de Evaluació</w:t>
      </w:r>
      <w:r w:rsidR="00CE50D3">
        <w:rPr>
          <w:b/>
          <w:bCs/>
        </w:rPr>
        <w:t>n</w:t>
      </w:r>
      <w:r w:rsidR="00DA737F">
        <w:rPr>
          <w:b/>
          <w:bCs/>
        </w:rPr>
        <w:t xml:space="preserve"> ex post de Impacto </w:t>
      </w:r>
      <w:r w:rsidR="00DA737F" w:rsidRPr="004A535E">
        <w:t>(estimador del impacto promedio del programa)</w:t>
      </w:r>
    </w:p>
    <w:p w:rsidR="00CE50D3" w:rsidRPr="00CE50D3" w:rsidRDefault="00CE50D3" w:rsidP="00B637C7">
      <w:pPr>
        <w:pStyle w:val="AutoNumpara"/>
        <w:rPr>
          <w:color w:val="000000"/>
        </w:rPr>
      </w:pPr>
      <w:r w:rsidRPr="008F7C7E">
        <w:t xml:space="preserve">Muchos </w:t>
      </w:r>
      <w:r>
        <w:t xml:space="preserve">cambios de </w:t>
      </w:r>
      <w:r w:rsidRPr="008F7C7E">
        <w:t xml:space="preserve">política se llevan a cabo a nivel nacional. La política </w:t>
      </w:r>
      <w:r>
        <w:t>fiscal</w:t>
      </w:r>
      <w:r w:rsidRPr="008F7C7E">
        <w:t xml:space="preserve">, la política </w:t>
      </w:r>
      <w:r>
        <w:t>monetaria</w:t>
      </w:r>
      <w:r w:rsidRPr="008F7C7E">
        <w:t xml:space="preserve">, y muchos reglamentos son ejemplos clave. </w:t>
      </w:r>
      <w:r>
        <w:t>Si se utilizaran s</w:t>
      </w:r>
      <w:r w:rsidRPr="008F7C7E">
        <w:t xml:space="preserve">eries de tiempo o </w:t>
      </w:r>
      <w:r>
        <w:t xml:space="preserve">un análisis </w:t>
      </w:r>
      <w:r w:rsidRPr="008F7C7E">
        <w:t xml:space="preserve">antes-después los impactos de los cambios en estas políticas </w:t>
      </w:r>
      <w:r>
        <w:t xml:space="preserve">se contaminarían </w:t>
      </w:r>
      <w:r w:rsidRPr="008F7C7E">
        <w:t>con otros cambios que ocurren en la economía</w:t>
      </w:r>
      <w:r>
        <w:t xml:space="preserve"> de un país</w:t>
      </w:r>
      <w:r w:rsidRPr="008F7C7E">
        <w:t xml:space="preserve">. Esto hace que la evaluación de </w:t>
      </w:r>
      <w:r>
        <w:t>impacto</w:t>
      </w:r>
      <w:r w:rsidRPr="008F7C7E">
        <w:t xml:space="preserve"> de </w:t>
      </w:r>
      <w:r>
        <w:t>este tipo de</w:t>
      </w:r>
      <w:r w:rsidRPr="008F7C7E">
        <w:t xml:space="preserve"> políticas </w:t>
      </w:r>
      <w:r>
        <w:t>no sea una tarea sencilla. Por tanto, para evaluar el impacto</w:t>
      </w:r>
      <w:r w:rsidR="003215D0">
        <w:t xml:space="preserve"> </w:t>
      </w:r>
      <w:r w:rsidR="003215D0" w:rsidRPr="004A535E">
        <w:t>(estimador del impac</w:t>
      </w:r>
      <w:r w:rsidR="00DA737F">
        <w:t>to promedio del P</w:t>
      </w:r>
      <w:r w:rsidR="003215D0" w:rsidRPr="004A535E">
        <w:t>rograma)</w:t>
      </w:r>
      <w:r>
        <w:t xml:space="preserve"> de</w:t>
      </w:r>
      <w:r w:rsidR="00E677B2">
        <w:t>l</w:t>
      </w:r>
      <w:r>
        <w:t xml:space="preserve"> PROCONFIS AL se utilizará la metodología de “control sintético”.</w:t>
      </w:r>
    </w:p>
    <w:p w:rsidR="00CE50D3" w:rsidRPr="0034409A" w:rsidRDefault="0034409A" w:rsidP="00B637C7">
      <w:pPr>
        <w:pStyle w:val="AutoNumpara"/>
        <w:rPr>
          <w:color w:val="000000"/>
        </w:rPr>
      </w:pPr>
      <w:r w:rsidRPr="00AC1E2F">
        <w:rPr>
          <w:szCs w:val="24"/>
        </w:rPr>
        <w:t>Los métodos de control sintéticos intenta</w:t>
      </w:r>
      <w:r>
        <w:rPr>
          <w:szCs w:val="24"/>
        </w:rPr>
        <w:t>n</w:t>
      </w:r>
      <w:r w:rsidRPr="00AC1E2F">
        <w:rPr>
          <w:szCs w:val="24"/>
        </w:rPr>
        <w:t xml:space="preserve"> construir un escenario contrafactual vía </w:t>
      </w:r>
      <w:r>
        <w:rPr>
          <w:szCs w:val="24"/>
        </w:rPr>
        <w:t>un promedio ponderado</w:t>
      </w:r>
      <w:r w:rsidRPr="00AC1E2F">
        <w:rPr>
          <w:szCs w:val="24"/>
        </w:rPr>
        <w:t xml:space="preserve"> de los resultados de l</w:t>
      </w:r>
      <w:r>
        <w:rPr>
          <w:szCs w:val="24"/>
        </w:rPr>
        <w:t>os controles potenciales</w:t>
      </w:r>
      <w:r w:rsidRPr="00AC1E2F">
        <w:rPr>
          <w:szCs w:val="24"/>
        </w:rPr>
        <w:t xml:space="preserve"> (por ejemplo, otros </w:t>
      </w:r>
      <w:r>
        <w:rPr>
          <w:szCs w:val="24"/>
        </w:rPr>
        <w:t xml:space="preserve">estados </w:t>
      </w:r>
      <w:r w:rsidRPr="00AC1E2F">
        <w:rPr>
          <w:szCs w:val="24"/>
        </w:rPr>
        <w:t xml:space="preserve">en el país). </w:t>
      </w:r>
      <w:r>
        <w:rPr>
          <w:szCs w:val="24"/>
        </w:rPr>
        <w:t>Estos métodos de control sintético</w:t>
      </w:r>
      <w:r w:rsidRPr="00AC1E2F">
        <w:rPr>
          <w:szCs w:val="24"/>
        </w:rPr>
        <w:t xml:space="preserve"> fueron desarrollados por Abadie y Gardeazábal (2003) para analizar los efectos económicos del conflicto terrorista en el País Vasco de España. Los autores desarrollaron el enfoque en respuesta a dos cuestiones: 1)</w:t>
      </w:r>
      <w:r w:rsidR="0058618A">
        <w:rPr>
          <w:szCs w:val="24"/>
        </w:rPr>
        <w:t> </w:t>
      </w:r>
      <w:r w:rsidRPr="00AC1E2F">
        <w:rPr>
          <w:szCs w:val="24"/>
        </w:rPr>
        <w:t xml:space="preserve">las comparaciones antes y después </w:t>
      </w:r>
      <w:r>
        <w:rPr>
          <w:szCs w:val="24"/>
        </w:rPr>
        <w:t>son</w:t>
      </w:r>
      <w:r w:rsidRPr="00AC1E2F">
        <w:rPr>
          <w:szCs w:val="24"/>
        </w:rPr>
        <w:t xml:space="preserve"> inviable</w:t>
      </w:r>
      <w:r>
        <w:rPr>
          <w:szCs w:val="24"/>
        </w:rPr>
        <w:t>s</w:t>
      </w:r>
      <w:r w:rsidRPr="00AC1E2F">
        <w:rPr>
          <w:szCs w:val="24"/>
        </w:rPr>
        <w:t xml:space="preserve">, </w:t>
      </w:r>
      <w:r>
        <w:rPr>
          <w:szCs w:val="24"/>
        </w:rPr>
        <w:t xml:space="preserve">ya que </w:t>
      </w:r>
      <w:r w:rsidRPr="00AC1E2F">
        <w:rPr>
          <w:szCs w:val="24"/>
        </w:rPr>
        <w:t>la contribución de terrorismo a los cambios económicos pertinentes no se pod</w:t>
      </w:r>
      <w:r>
        <w:rPr>
          <w:szCs w:val="24"/>
        </w:rPr>
        <w:t>r</w:t>
      </w:r>
      <w:r w:rsidRPr="00AC1E2F">
        <w:rPr>
          <w:szCs w:val="24"/>
        </w:rPr>
        <w:t>ía distinguir fácilmente debido a la recesión económica generalizada y 2) una comparación simple de</w:t>
      </w:r>
      <w:r>
        <w:rPr>
          <w:szCs w:val="24"/>
        </w:rPr>
        <w:t>l</w:t>
      </w:r>
      <w:r w:rsidRPr="00AC1E2F">
        <w:rPr>
          <w:szCs w:val="24"/>
        </w:rPr>
        <w:t xml:space="preserve"> País Vasco con otras regiones de España no fue posible ya que el País Vasco </w:t>
      </w:r>
      <w:r>
        <w:rPr>
          <w:szCs w:val="24"/>
        </w:rPr>
        <w:t>difiere</w:t>
      </w:r>
      <w:r w:rsidRPr="00AC1E2F">
        <w:rPr>
          <w:szCs w:val="24"/>
        </w:rPr>
        <w:t xml:space="preserve"> marcadamente de aquellas regiones. En resumen, sin una hipótesis válida, los autores no </w:t>
      </w:r>
      <w:r>
        <w:rPr>
          <w:szCs w:val="24"/>
        </w:rPr>
        <w:t xml:space="preserve">hubieran podio </w:t>
      </w:r>
      <w:r w:rsidRPr="00AC1E2F">
        <w:rPr>
          <w:szCs w:val="24"/>
        </w:rPr>
        <w:t xml:space="preserve">atribuir confiablemente </w:t>
      </w:r>
      <w:r>
        <w:rPr>
          <w:szCs w:val="24"/>
        </w:rPr>
        <w:t xml:space="preserve">los </w:t>
      </w:r>
      <w:r w:rsidRPr="00AC1E2F">
        <w:rPr>
          <w:szCs w:val="24"/>
        </w:rPr>
        <w:t>cambios económicos observado</w:t>
      </w:r>
      <w:r>
        <w:rPr>
          <w:szCs w:val="24"/>
        </w:rPr>
        <w:t>s</w:t>
      </w:r>
      <w:r w:rsidRPr="00AC1E2F">
        <w:rPr>
          <w:szCs w:val="24"/>
        </w:rPr>
        <w:t xml:space="preserve"> a actividades terroristas. Es evidente que los </w:t>
      </w:r>
      <w:r>
        <w:rPr>
          <w:szCs w:val="24"/>
        </w:rPr>
        <w:t>desafíos que enfrentaron</w:t>
      </w:r>
      <w:r w:rsidRPr="00AC1E2F">
        <w:rPr>
          <w:szCs w:val="24"/>
        </w:rPr>
        <w:t xml:space="preserve"> Abadie y Gardeazabal son bastante similares a los actuales en la evaluación del impacto de </w:t>
      </w:r>
      <w:r>
        <w:rPr>
          <w:szCs w:val="24"/>
        </w:rPr>
        <w:t>este programa. En primer lugar</w:t>
      </w:r>
      <w:r w:rsidRPr="00AC1E2F">
        <w:rPr>
          <w:szCs w:val="24"/>
        </w:rPr>
        <w:t xml:space="preserve">, </w:t>
      </w:r>
      <w:r>
        <w:rPr>
          <w:szCs w:val="24"/>
        </w:rPr>
        <w:t xml:space="preserve">las </w:t>
      </w:r>
      <w:r w:rsidRPr="00AC1E2F">
        <w:rPr>
          <w:szCs w:val="24"/>
        </w:rPr>
        <w:t xml:space="preserve">comparaciones antes-después no suelen ser </w:t>
      </w:r>
      <w:r>
        <w:rPr>
          <w:szCs w:val="24"/>
        </w:rPr>
        <w:t xml:space="preserve">muy </w:t>
      </w:r>
      <w:r w:rsidRPr="00AC1E2F">
        <w:rPr>
          <w:szCs w:val="24"/>
        </w:rPr>
        <w:t>informativa</w:t>
      </w:r>
      <w:r>
        <w:rPr>
          <w:szCs w:val="24"/>
        </w:rPr>
        <w:t>s</w:t>
      </w:r>
      <w:r w:rsidRPr="00AC1E2F">
        <w:rPr>
          <w:szCs w:val="24"/>
        </w:rPr>
        <w:t xml:space="preserve">, ya que todos los cambios en </w:t>
      </w:r>
      <w:r>
        <w:rPr>
          <w:szCs w:val="24"/>
        </w:rPr>
        <w:t>la actividad del EdA</w:t>
      </w:r>
      <w:r w:rsidRPr="00AC1E2F">
        <w:rPr>
          <w:szCs w:val="24"/>
        </w:rPr>
        <w:t xml:space="preserve"> no pueden ser creíble</w:t>
      </w:r>
      <w:r>
        <w:rPr>
          <w:szCs w:val="24"/>
        </w:rPr>
        <w:t>mente atribuibles</w:t>
      </w:r>
      <w:r w:rsidRPr="00AC1E2F">
        <w:rPr>
          <w:szCs w:val="24"/>
        </w:rPr>
        <w:t xml:space="preserve"> al proyecto. En segundo lugar, </w:t>
      </w:r>
      <w:r>
        <w:rPr>
          <w:szCs w:val="24"/>
        </w:rPr>
        <w:t>la intervención planteada es única</w:t>
      </w:r>
      <w:r w:rsidRPr="00AC1E2F">
        <w:rPr>
          <w:szCs w:val="24"/>
        </w:rPr>
        <w:t xml:space="preserve"> por su diseño, lo que sugiere que </w:t>
      </w:r>
      <w:r>
        <w:rPr>
          <w:szCs w:val="24"/>
        </w:rPr>
        <w:t xml:space="preserve">los </w:t>
      </w:r>
      <w:r w:rsidRPr="00AC1E2F">
        <w:rPr>
          <w:szCs w:val="24"/>
        </w:rPr>
        <w:t xml:space="preserve">casos comparativos probablemente no </w:t>
      </w:r>
      <w:r>
        <w:rPr>
          <w:szCs w:val="24"/>
        </w:rPr>
        <w:t xml:space="preserve">son </w:t>
      </w:r>
      <w:r w:rsidRPr="00AC1E2F">
        <w:rPr>
          <w:szCs w:val="24"/>
        </w:rPr>
        <w:t>válido</w:t>
      </w:r>
      <w:r>
        <w:rPr>
          <w:szCs w:val="24"/>
        </w:rPr>
        <w:t>s</w:t>
      </w:r>
      <w:r w:rsidRPr="00AC1E2F">
        <w:rPr>
          <w:szCs w:val="24"/>
        </w:rPr>
        <w:t xml:space="preserve">. </w:t>
      </w:r>
      <w:r>
        <w:rPr>
          <w:szCs w:val="24"/>
        </w:rPr>
        <w:t>Por tanto</w:t>
      </w:r>
      <w:r w:rsidRPr="00AC1E2F">
        <w:rPr>
          <w:szCs w:val="24"/>
        </w:rPr>
        <w:t xml:space="preserve">, es evidente que los métodos </w:t>
      </w:r>
      <w:r>
        <w:rPr>
          <w:szCs w:val="24"/>
        </w:rPr>
        <w:t>de control sintético</w:t>
      </w:r>
      <w:r w:rsidRPr="00AC1E2F">
        <w:rPr>
          <w:szCs w:val="24"/>
        </w:rPr>
        <w:t xml:space="preserve"> son potencialmente útiles para abordar el problema </w:t>
      </w:r>
      <w:r>
        <w:rPr>
          <w:szCs w:val="24"/>
        </w:rPr>
        <w:t xml:space="preserve">de </w:t>
      </w:r>
      <w:r w:rsidRPr="00AC1E2F">
        <w:rPr>
          <w:szCs w:val="24"/>
        </w:rPr>
        <w:t xml:space="preserve">atribución </w:t>
      </w:r>
      <w:r>
        <w:rPr>
          <w:szCs w:val="24"/>
        </w:rPr>
        <w:t xml:space="preserve">existente </w:t>
      </w:r>
      <w:r w:rsidRPr="00AC1E2F">
        <w:rPr>
          <w:szCs w:val="24"/>
        </w:rPr>
        <w:t xml:space="preserve">en </w:t>
      </w:r>
      <w:r>
        <w:rPr>
          <w:szCs w:val="24"/>
        </w:rPr>
        <w:t>este tipo de intervenciones</w:t>
      </w:r>
      <w:r w:rsidRPr="00AC1E2F">
        <w:rPr>
          <w:szCs w:val="24"/>
        </w:rPr>
        <w:t>.</w:t>
      </w:r>
    </w:p>
    <w:p w:rsidR="00B675BB" w:rsidRPr="00B675BB" w:rsidRDefault="00B675BB" w:rsidP="00B637C7">
      <w:pPr>
        <w:pStyle w:val="AutoNumpara"/>
        <w:rPr>
          <w:color w:val="000000"/>
        </w:rPr>
      </w:pPr>
      <w:r>
        <w:lastRenderedPageBreak/>
        <w:t xml:space="preserve">Como se sugirio anteriormente, el objetivo principal de esta metodología es construir un </w:t>
      </w:r>
      <w:r w:rsidRPr="004A535E">
        <w:t xml:space="preserve">control ficticio o resultado contrafactual </w:t>
      </w:r>
      <w:r>
        <w:t xml:space="preserve">(un “Alagoas sintético”) </w:t>
      </w:r>
      <w:r w:rsidRPr="004A535E">
        <w:t>que refleje la evolución del indicador de</w:t>
      </w:r>
      <w:r>
        <w:t xml:space="preserve"> </w:t>
      </w:r>
      <w:r w:rsidRPr="004A535E">
        <w:t>resultado si la intervención no hubiera tenido lugar</w:t>
      </w:r>
      <w:r>
        <w:t xml:space="preserve">. Dicho “Alagoas sintético” es </w:t>
      </w:r>
      <w:r w:rsidRPr="004A535E">
        <w:t>construido</w:t>
      </w:r>
      <w:r>
        <w:t xml:space="preserve"> usando una combinación lineal de otros Estados </w:t>
      </w:r>
      <w:r w:rsidRPr="004A535E">
        <w:t xml:space="preserve">sobre la base de variables </w:t>
      </w:r>
      <w:r>
        <w:t xml:space="preserve">económicas </w:t>
      </w:r>
      <w:r w:rsidRPr="004A535E">
        <w:t>observables medibles en los períodos anteriores a la intervención</w:t>
      </w:r>
      <w:r>
        <w:t xml:space="preserve">, de forma tal que se minimice la diferencia entre el “Alagoas sintético” y el Alagoas real. Estos indicadores económicos son escogidos en función de su capacidad de explicar la variable(s) de interés de la evaluación. El Alagoas sintético resultante debería resemblar cercanamente al Alagoas real en estos determinantes económicos antes de la implantación de las reformas (el tratamiento) impulsadas por el PROCONFIS AL. </w:t>
      </w:r>
      <w:r w:rsidRPr="004A535E">
        <w:t>La diferencia entre el resultado post intervención de la región tratada y su control sintético (contrafactual) reflejaría el impacto del programa (estimador del impacto promedio del programa).</w:t>
      </w:r>
    </w:p>
    <w:p w:rsidR="00B675BB" w:rsidRPr="00B675BB" w:rsidRDefault="00B675BB" w:rsidP="00B675BB">
      <w:pPr>
        <w:pStyle w:val="AutoNumpara"/>
        <w:rPr>
          <w:color w:val="000000"/>
        </w:rPr>
      </w:pPr>
      <w:r w:rsidRPr="00AC1E2F">
        <w:rPr>
          <w:szCs w:val="24"/>
        </w:rPr>
        <w:t>El esquema de ponderación es la preocupación central en el desarrollo del control sintético. Los pesos utilizados para construir la entidad sintética son aquellos que</w:t>
      </w:r>
      <w:r>
        <w:rPr>
          <w:szCs w:val="24"/>
        </w:rPr>
        <w:t xml:space="preserve"> </w:t>
      </w:r>
      <w:r w:rsidRPr="00AC1E2F">
        <w:rPr>
          <w:szCs w:val="24"/>
        </w:rPr>
        <w:t>poseen la c</w:t>
      </w:r>
      <w:r>
        <w:rPr>
          <w:szCs w:val="24"/>
        </w:rPr>
        <w:t>apacidad de replicar</w:t>
      </w:r>
      <w:r w:rsidRPr="00AC1E2F">
        <w:rPr>
          <w:szCs w:val="24"/>
        </w:rPr>
        <w:t xml:space="preserve"> más satisfactoriamente </w:t>
      </w:r>
      <w:r>
        <w:rPr>
          <w:szCs w:val="24"/>
        </w:rPr>
        <w:t>la</w:t>
      </w:r>
      <w:r w:rsidRPr="00AC1E2F">
        <w:rPr>
          <w:szCs w:val="24"/>
        </w:rPr>
        <w:t xml:space="preserve">s características estructurales de la economía tratada. Los pesos entonces se puede emplear para calcular los resultados de interés (por ejemplo, medias ponderadas de la </w:t>
      </w:r>
      <w:r>
        <w:rPr>
          <w:szCs w:val="24"/>
        </w:rPr>
        <w:t>recaudación del ICMS</w:t>
      </w:r>
      <w:r w:rsidRPr="00AC1E2F">
        <w:rPr>
          <w:szCs w:val="24"/>
        </w:rPr>
        <w:t>) para el control sintético. Con este escenario contrafactual en la mano, entonces es posible simular tanto la hipótesis y los resultados observados.</w:t>
      </w:r>
    </w:p>
    <w:p w:rsidR="00B675BB" w:rsidRPr="00B675BB" w:rsidRDefault="00B675BB" w:rsidP="00624B18">
      <w:pPr>
        <w:pStyle w:val="AutoNumpara"/>
        <w:rPr>
          <w:color w:val="000000"/>
        </w:rPr>
      </w:pPr>
      <w:r>
        <w:t>Como síntesis, para la implantación de esta metodología será necesario seguir los siguientes pasos.</w:t>
      </w:r>
    </w:p>
    <w:p w:rsidR="00B675BB" w:rsidRPr="00B675BB" w:rsidRDefault="00B675BB" w:rsidP="00624B18">
      <w:pPr>
        <w:pStyle w:val="ListParagraph"/>
        <w:numPr>
          <w:ilvl w:val="0"/>
          <w:numId w:val="29"/>
        </w:numPr>
        <w:spacing w:line="240" w:lineRule="auto"/>
        <w:jc w:val="both"/>
        <w:rPr>
          <w:rFonts w:ascii="Times New Roman" w:hAnsi="Times New Roman" w:cs="Times New Roman"/>
          <w:sz w:val="24"/>
          <w:szCs w:val="24"/>
          <w:lang w:val="es-ES_tradnl"/>
        </w:rPr>
      </w:pPr>
      <w:r w:rsidRPr="00B675BB">
        <w:rPr>
          <w:rFonts w:ascii="Times New Roman" w:hAnsi="Times New Roman" w:cs="Times New Roman"/>
          <w:i/>
          <w:sz w:val="24"/>
          <w:szCs w:val="24"/>
          <w:lang w:val="es-ES_tradnl"/>
        </w:rPr>
        <w:t>Definir las variables de interés</w:t>
      </w:r>
      <w:r w:rsidRPr="00B675BB">
        <w:rPr>
          <w:rFonts w:ascii="Times New Roman" w:hAnsi="Times New Roman" w:cs="Times New Roman"/>
          <w:sz w:val="24"/>
          <w:szCs w:val="24"/>
          <w:lang w:val="es-ES_tradnl"/>
        </w:rPr>
        <w:t>. En concordancia con los indicadores de resultado de la Matriz de Resultados del Programa, estamos interesados en medir el impacto del Programa en por lo menos las siguientes variables: Valor de las inversiones públicas / PIB estatal; Valor de Ingresos Propios/Ingresos totales del Estado; Valor de la recaudación del ICMS; Valor de los gastos operativos del Estado/Valor de los gastos totales; Valor presupuestado / valor ejecutado.</w:t>
      </w:r>
    </w:p>
    <w:p w:rsidR="00B675BB" w:rsidRPr="00B675BB" w:rsidRDefault="00B675BB" w:rsidP="00624B18">
      <w:pPr>
        <w:pStyle w:val="ListParagraph"/>
        <w:numPr>
          <w:ilvl w:val="0"/>
          <w:numId w:val="29"/>
        </w:numPr>
        <w:spacing w:line="240" w:lineRule="auto"/>
        <w:jc w:val="both"/>
        <w:rPr>
          <w:rFonts w:ascii="Times New Roman" w:hAnsi="Times New Roman" w:cs="Times New Roman"/>
          <w:sz w:val="24"/>
          <w:szCs w:val="24"/>
          <w:lang w:val="es-ES_tradnl"/>
        </w:rPr>
      </w:pPr>
      <w:r w:rsidRPr="00B675BB">
        <w:rPr>
          <w:rFonts w:ascii="Times New Roman" w:hAnsi="Times New Roman" w:cs="Times New Roman"/>
          <w:i/>
          <w:sz w:val="24"/>
          <w:szCs w:val="24"/>
          <w:lang w:val="es-ES_tradnl"/>
        </w:rPr>
        <w:t>Definir los indicadores económicos que mejor determinan las variables de interés</w:t>
      </w:r>
      <w:r w:rsidRPr="00B675BB">
        <w:rPr>
          <w:rFonts w:ascii="Times New Roman" w:hAnsi="Times New Roman" w:cs="Times New Roman"/>
          <w:sz w:val="24"/>
          <w:szCs w:val="24"/>
          <w:lang w:val="es-ES_tradnl"/>
        </w:rPr>
        <w:t>. Como un mínimo estos determinantes son: PIB/per cápita, crecimiento del PIB, estructural sectorial del PIB, FPE/Ingresos totales del Estado, nivel de pobreza, distribución del ingreso, escolaridad, gasto e inversión pública, deuda pública/PIB.</w:t>
      </w:r>
      <w:r w:rsidR="009668EF">
        <w:rPr>
          <w:rFonts w:ascii="Times New Roman" w:hAnsi="Times New Roman" w:cs="Times New Roman"/>
          <w:sz w:val="24"/>
          <w:szCs w:val="24"/>
          <w:lang w:val="es-ES_tradnl"/>
        </w:rPr>
        <w:t xml:space="preserve"> </w:t>
      </w:r>
    </w:p>
    <w:p w:rsidR="00B675BB" w:rsidRPr="00B675BB" w:rsidRDefault="00B675BB" w:rsidP="00624B18">
      <w:pPr>
        <w:pStyle w:val="ListParagraph"/>
        <w:numPr>
          <w:ilvl w:val="0"/>
          <w:numId w:val="29"/>
        </w:numPr>
        <w:spacing w:line="240" w:lineRule="auto"/>
        <w:jc w:val="both"/>
        <w:rPr>
          <w:rFonts w:ascii="Times New Roman" w:hAnsi="Times New Roman" w:cs="Times New Roman"/>
          <w:sz w:val="24"/>
          <w:szCs w:val="24"/>
          <w:lang w:val="es-ES_tradnl"/>
        </w:rPr>
      </w:pPr>
      <w:r w:rsidRPr="00B675BB">
        <w:rPr>
          <w:rFonts w:ascii="Times New Roman" w:hAnsi="Times New Roman" w:cs="Times New Roman"/>
          <w:i/>
          <w:sz w:val="24"/>
          <w:szCs w:val="24"/>
          <w:lang w:val="es-ES_tradnl"/>
        </w:rPr>
        <w:t>Construir la serie de datos que permita definir “Alagoas sintético”</w:t>
      </w:r>
      <w:r w:rsidRPr="00B675BB">
        <w:rPr>
          <w:rFonts w:ascii="Times New Roman" w:hAnsi="Times New Roman" w:cs="Times New Roman"/>
          <w:sz w:val="24"/>
          <w:szCs w:val="24"/>
          <w:lang w:val="es-ES_tradnl"/>
        </w:rPr>
        <w:t>. Esto incluye, como un primer paso, definir el período durante el cual la diferencia entre Alagoas y Alagoas sintético es minimizado. Para este caso, dado que las reformas a ser implantadas tomaran efecto en el 2013, se utilizará datos con anterioridad al 2013 para emparejar a Alagoas con la combinación lineal óptima de Estados control (otros estados de Brasil) que no han sido beneficiarios de PROCONFIS. Idealmente, se deberá obtener la serie de tiempo antes del 2013 más larga posible (idealmente desde 1990 o antes) para los Estados Control y Alagoas para todas las variable de interés (ver punto 1 arriba), y los determinantes económicos (ver punto 2 arriba).</w:t>
      </w:r>
    </w:p>
    <w:p w:rsidR="00B675BB" w:rsidRPr="00B675BB" w:rsidRDefault="00E677B2" w:rsidP="00624B18">
      <w:pPr>
        <w:pStyle w:val="ListParagraph"/>
        <w:numPr>
          <w:ilvl w:val="0"/>
          <w:numId w:val="29"/>
        </w:num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Con base en</w:t>
      </w:r>
      <w:r w:rsidR="00B675BB" w:rsidRPr="00B675BB">
        <w:rPr>
          <w:rFonts w:ascii="Times New Roman" w:hAnsi="Times New Roman" w:cs="Times New Roman"/>
          <w:sz w:val="24"/>
          <w:szCs w:val="24"/>
          <w:lang w:val="es-ES_tradnl"/>
        </w:rPr>
        <w:t xml:space="preserve"> la construcción de la serie de datos descrita en el punto 3, que incluye todos los potenciales Estados Control, </w:t>
      </w:r>
      <w:r w:rsidR="00B675BB" w:rsidRPr="00E677B2">
        <w:rPr>
          <w:rFonts w:ascii="Times New Roman" w:hAnsi="Times New Roman" w:cs="Times New Roman"/>
          <w:sz w:val="24"/>
          <w:szCs w:val="24"/>
          <w:lang w:val="es-ES_tradnl"/>
        </w:rPr>
        <w:t>se</w:t>
      </w:r>
      <w:r w:rsidR="00B675BB" w:rsidRPr="00B675BB">
        <w:rPr>
          <w:rFonts w:ascii="Times New Roman" w:hAnsi="Times New Roman" w:cs="Times New Roman"/>
          <w:i/>
          <w:sz w:val="24"/>
          <w:szCs w:val="24"/>
          <w:lang w:val="es-ES_tradnl"/>
        </w:rPr>
        <w:t xml:space="preserve"> </w:t>
      </w:r>
      <w:r w:rsidR="00B675BB" w:rsidRPr="00E677B2">
        <w:rPr>
          <w:rFonts w:ascii="Times New Roman" w:hAnsi="Times New Roman" w:cs="Times New Roman"/>
          <w:sz w:val="24"/>
          <w:szCs w:val="24"/>
          <w:lang w:val="es-ES_tradnl"/>
        </w:rPr>
        <w:t>definirá el</w:t>
      </w:r>
      <w:r w:rsidR="00B675BB" w:rsidRPr="00B675BB">
        <w:rPr>
          <w:rFonts w:ascii="Times New Roman" w:hAnsi="Times New Roman" w:cs="Times New Roman"/>
          <w:i/>
          <w:sz w:val="24"/>
          <w:szCs w:val="24"/>
          <w:lang w:val="es-ES_tradnl"/>
        </w:rPr>
        <w:t xml:space="preserve"> “pool de donantes”</w:t>
      </w:r>
      <w:r w:rsidR="00B675BB" w:rsidRPr="00B675BB">
        <w:rPr>
          <w:rFonts w:ascii="Times New Roman" w:hAnsi="Times New Roman" w:cs="Times New Roman"/>
          <w:sz w:val="24"/>
          <w:szCs w:val="24"/>
          <w:lang w:val="es-ES_tradnl"/>
        </w:rPr>
        <w:t xml:space="preserve">. Es decir, aquellos Estados que mejor se asemejen a Alagoas sin PROCONFIS. Dado que el “tratamiento” son las reformas impulsadas por PROCONFIS, el primer paso es eliminar a aquellos Estados que han sido o serán beneficiarios de un programa </w:t>
      </w:r>
      <w:r w:rsidR="00B675BB" w:rsidRPr="00B675BB">
        <w:rPr>
          <w:rFonts w:ascii="Times New Roman" w:hAnsi="Times New Roman" w:cs="Times New Roman"/>
          <w:sz w:val="24"/>
          <w:szCs w:val="24"/>
          <w:lang w:val="es-ES_tradnl"/>
        </w:rPr>
        <w:lastRenderedPageBreak/>
        <w:t>PROCONFIS o semejante. Seguidamente, se elimina de la serie aquellos Estados para los cuales no tenemos los datos mínimos requeridos para el periodo 1990-2012. Finalmente, para evitar sesgos causados por la interpolación a través de Estados con características socio-económicas muy disimilares a las de Alagoas, se elimina aquellos estados con un PIB per cápita significativamente superior al de Alagoas, u otros determinantes socioeconómicos muy diferentes.</w:t>
      </w:r>
    </w:p>
    <w:p w:rsidR="00B675BB" w:rsidRDefault="00B675BB" w:rsidP="00624B18">
      <w:pPr>
        <w:pStyle w:val="ListParagraph"/>
        <w:numPr>
          <w:ilvl w:val="0"/>
          <w:numId w:val="29"/>
        </w:numPr>
        <w:spacing w:line="240" w:lineRule="auto"/>
        <w:jc w:val="both"/>
        <w:rPr>
          <w:rFonts w:ascii="Times New Roman" w:hAnsi="Times New Roman" w:cs="Times New Roman"/>
          <w:sz w:val="24"/>
          <w:szCs w:val="24"/>
          <w:lang w:val="es-ES_tradnl"/>
        </w:rPr>
      </w:pPr>
      <w:r w:rsidRPr="00B675BB">
        <w:rPr>
          <w:rFonts w:ascii="Times New Roman" w:hAnsi="Times New Roman" w:cs="Times New Roman"/>
          <w:sz w:val="24"/>
          <w:szCs w:val="24"/>
          <w:lang w:val="es-ES_tradnl"/>
        </w:rPr>
        <w:t xml:space="preserve">Una vez se cuente con las variables de interés, las variables determinantes, el periodo determinado, y el “pool de donantes” </w:t>
      </w:r>
      <w:r w:rsidRPr="00E677B2">
        <w:rPr>
          <w:rFonts w:ascii="Times New Roman" w:hAnsi="Times New Roman" w:cs="Times New Roman"/>
          <w:sz w:val="24"/>
          <w:szCs w:val="24"/>
          <w:lang w:val="es-ES_tradnl"/>
        </w:rPr>
        <w:t>se construye el “Alagoas Sintético”</w:t>
      </w:r>
      <w:r w:rsidRPr="00B675BB">
        <w:rPr>
          <w:rFonts w:ascii="Times New Roman" w:hAnsi="Times New Roman" w:cs="Times New Roman"/>
          <w:sz w:val="24"/>
          <w:szCs w:val="24"/>
          <w:lang w:val="es-ES_tradnl"/>
        </w:rPr>
        <w:t>. Para esto es posible utilizar códigos existentes para STATA --</w:t>
      </w:r>
      <w:r w:rsidR="009668EF">
        <w:rPr>
          <w:rFonts w:ascii="Times New Roman" w:hAnsi="Times New Roman" w:cs="Times New Roman"/>
          <w:sz w:val="24"/>
          <w:szCs w:val="24"/>
          <w:lang w:val="es-ES_tradnl"/>
        </w:rPr>
        <w:t xml:space="preserve"> </w:t>
      </w:r>
      <w:r w:rsidRPr="00B675BB">
        <w:rPr>
          <w:rFonts w:ascii="Times New Roman" w:hAnsi="Times New Roman" w:cs="Times New Roman"/>
          <w:sz w:val="24"/>
          <w:szCs w:val="24"/>
          <w:lang w:val="es-ES_tradnl"/>
        </w:rPr>
        <w:t>(</w:t>
      </w:r>
      <w:hyperlink r:id="rId10" w:history="1">
        <w:r w:rsidRPr="00B675BB">
          <w:rPr>
            <w:rStyle w:val="Hyperlink"/>
            <w:rFonts w:cs="Times New Roman"/>
            <w:szCs w:val="24"/>
            <w:lang w:val="es-ES_tradnl"/>
          </w:rPr>
          <w:t>http://www.mit.edu/~jhainm/synthpage.html</w:t>
        </w:r>
      </w:hyperlink>
      <w:r w:rsidRPr="00B675BB">
        <w:rPr>
          <w:rFonts w:ascii="Times New Roman" w:hAnsi="Times New Roman" w:cs="Times New Roman"/>
          <w:sz w:val="24"/>
          <w:szCs w:val="24"/>
          <w:lang w:val="es-ES_tradnl"/>
        </w:rPr>
        <w:t>)</w:t>
      </w:r>
      <w:r>
        <w:rPr>
          <w:rFonts w:ascii="Times New Roman" w:hAnsi="Times New Roman" w:cs="Times New Roman"/>
          <w:sz w:val="24"/>
          <w:szCs w:val="24"/>
          <w:lang w:val="es-ES_tradnl"/>
        </w:rPr>
        <w:t>.</w:t>
      </w:r>
    </w:p>
    <w:p w:rsidR="00E677B2" w:rsidRDefault="00B675BB" w:rsidP="00624B18">
      <w:pPr>
        <w:pStyle w:val="ListParagraph"/>
        <w:numPr>
          <w:ilvl w:val="0"/>
          <w:numId w:val="29"/>
        </w:numPr>
        <w:spacing w:line="240" w:lineRule="auto"/>
        <w:jc w:val="both"/>
        <w:rPr>
          <w:rFonts w:ascii="Times New Roman" w:hAnsi="Times New Roman" w:cs="Times New Roman"/>
          <w:sz w:val="24"/>
          <w:szCs w:val="24"/>
          <w:lang w:val="es-ES_tradnl"/>
        </w:rPr>
      </w:pPr>
      <w:r w:rsidRPr="00B675BB">
        <w:rPr>
          <w:rFonts w:ascii="Times New Roman" w:hAnsi="Times New Roman" w:cs="Times New Roman"/>
          <w:sz w:val="24"/>
          <w:szCs w:val="24"/>
          <w:lang w:val="es-ES_tradnl"/>
        </w:rPr>
        <w:t xml:space="preserve">Con base al “Alagoas Sintético” </w:t>
      </w:r>
      <w:r w:rsidRPr="00E677B2">
        <w:rPr>
          <w:rFonts w:ascii="Times New Roman" w:hAnsi="Times New Roman" w:cs="Times New Roman"/>
          <w:sz w:val="24"/>
          <w:szCs w:val="24"/>
          <w:lang w:val="es-ES_tradnl"/>
        </w:rPr>
        <w:t>se puede medir el impacto del programa</w:t>
      </w:r>
      <w:r w:rsidRPr="00B675BB">
        <w:rPr>
          <w:rFonts w:ascii="Times New Roman" w:hAnsi="Times New Roman" w:cs="Times New Roman"/>
          <w:sz w:val="24"/>
          <w:szCs w:val="24"/>
          <w:lang w:val="es-ES_tradnl"/>
        </w:rPr>
        <w:t xml:space="preserve"> PROCONFIS AL en las variables de interés utilizando una simple diferencia en diferencia en el 2015, cuando se estima que los impactos de las políticas impulsadas debería haber rendido fruto.</w:t>
      </w:r>
    </w:p>
    <w:p w:rsidR="00721AD6" w:rsidRPr="00624B18" w:rsidRDefault="00E677B2" w:rsidP="00DE1B38">
      <w:pPr>
        <w:pStyle w:val="AutoNumpara"/>
        <w:numPr>
          <w:ilvl w:val="0"/>
          <w:numId w:val="27"/>
        </w:numPr>
        <w:ind w:hanging="630"/>
        <w:rPr>
          <w:b/>
          <w:bCs/>
        </w:rPr>
      </w:pPr>
      <w:r>
        <w:rPr>
          <w:b/>
          <w:color w:val="000000"/>
        </w:rPr>
        <w:t>Coordinación y presupuesto</w:t>
      </w:r>
    </w:p>
    <w:p w:rsidR="00A92F1A" w:rsidRPr="00B0298C" w:rsidRDefault="00624B18" w:rsidP="00A92F1A">
      <w:pPr>
        <w:pStyle w:val="AutoNumpara"/>
        <w:rPr>
          <w:color w:val="000000"/>
        </w:rPr>
      </w:pPr>
      <w:r w:rsidRPr="00B0298C">
        <w:rPr>
          <w:color w:val="000000"/>
        </w:rPr>
        <w:t xml:space="preserve">El </w:t>
      </w:r>
      <w:r w:rsidR="00E66610" w:rsidRPr="00B0298C">
        <w:rPr>
          <w:color w:val="000000"/>
        </w:rPr>
        <w:t>Banco</w:t>
      </w:r>
      <w:r w:rsidRPr="00B0298C">
        <w:rPr>
          <w:color w:val="000000"/>
        </w:rPr>
        <w:t xml:space="preserve"> será responsable de las evaluaciones de los</w:t>
      </w:r>
      <w:r w:rsidR="00DA737F" w:rsidRPr="00B0298C">
        <w:rPr>
          <w:color w:val="000000"/>
        </w:rPr>
        <w:t xml:space="preserve"> resultados de los</w:t>
      </w:r>
      <w:r w:rsidRPr="00B0298C">
        <w:rPr>
          <w:color w:val="000000"/>
        </w:rPr>
        <w:t xml:space="preserve"> subcomponentes</w:t>
      </w:r>
      <w:r w:rsidR="00B344F2" w:rsidRPr="00B0298C">
        <w:rPr>
          <w:color w:val="000000"/>
        </w:rPr>
        <w:t xml:space="preserve">, </w:t>
      </w:r>
      <w:r w:rsidR="00DA737F" w:rsidRPr="00B0298C">
        <w:rPr>
          <w:color w:val="000000"/>
        </w:rPr>
        <w:t xml:space="preserve">y </w:t>
      </w:r>
      <w:r w:rsidR="00DA737F" w:rsidRPr="004A535E">
        <w:t>estimador del impac</w:t>
      </w:r>
      <w:r w:rsidR="00DA737F">
        <w:t xml:space="preserve">to promedio del Programa </w:t>
      </w:r>
      <w:r w:rsidR="00B344F2" w:rsidRPr="00B0298C">
        <w:rPr>
          <w:color w:val="000000"/>
        </w:rPr>
        <w:t>conforme Cuadro 2 presentado a seguir y detallado en el Anexo 2</w:t>
      </w:r>
      <w:r w:rsidRPr="00B0298C">
        <w:rPr>
          <w:color w:val="000000"/>
        </w:rPr>
        <w:t xml:space="preserve">. Para tal fin, con base en este Plan de Monitoreo y Evaluación, deberá redactar Términos de Referencia para las consultorías que </w:t>
      </w:r>
      <w:r w:rsidR="00E66610" w:rsidRPr="00B0298C">
        <w:rPr>
          <w:color w:val="000000"/>
        </w:rPr>
        <w:t>recopilaran las series temporales que se utilizaran en la evaluación</w:t>
      </w:r>
      <w:r w:rsidRPr="00B0298C">
        <w:rPr>
          <w:color w:val="000000"/>
        </w:rPr>
        <w:t>. Además deberá supervisar que dichas consultorías sigan los parámetros de evaluación descritos de manera que se obtengan análisis de calidad que permitan aprender sobre la efectiv</w:t>
      </w:r>
      <w:r w:rsidR="00B0298C" w:rsidRPr="00B0298C">
        <w:rPr>
          <w:color w:val="000000"/>
        </w:rPr>
        <w:t>idad de las intervenciones del P</w:t>
      </w:r>
      <w:r w:rsidRPr="00B0298C">
        <w:rPr>
          <w:color w:val="000000"/>
        </w:rPr>
        <w:t>rograma.</w:t>
      </w:r>
      <w:r w:rsidR="00B0298C" w:rsidRPr="00B0298C">
        <w:rPr>
          <w:color w:val="000000"/>
        </w:rPr>
        <w:t xml:space="preserve"> </w:t>
      </w:r>
      <w:r w:rsidR="00A92F1A" w:rsidRPr="00B0298C">
        <w:rPr>
          <w:color w:val="000000"/>
        </w:rPr>
        <w:t xml:space="preserve">El Banco conformará un grupo técnico que revisará los pliegos para la evaluación de impacto y realizará su seguimiento técnico. </w:t>
      </w:r>
    </w:p>
    <w:p w:rsidR="00624B18" w:rsidRPr="00624B18" w:rsidRDefault="00624B18" w:rsidP="00A92F1A">
      <w:pPr>
        <w:pStyle w:val="AutoNumpara"/>
        <w:rPr>
          <w:color w:val="000000"/>
        </w:rPr>
      </w:pPr>
      <w:r>
        <w:t>Usualmente los costos de una evaluación de impacto se encuentra distribuidos en 3 componentes:</w:t>
      </w:r>
      <w:r w:rsidR="00DE1B38">
        <w:t xml:space="preserve"> </w:t>
      </w:r>
      <w:r>
        <w:t xml:space="preserve">i) los costos de definición, coordinación y supervisión, ii) los costos de la recolección de la información, y iii) los costos del análisis. El segundo componente es frecuentemente el más importante. Para implantar esta propuesta será necesario contratar una consultoría especializada para armar la serie de datos descrita en el punto 3 de la sección 3.8. Se anticipa que este trabajo deberá ser realizado en dos etapas. La primera etapa, a ser contratada durante el 2013, consiste en armar la serie </w:t>
      </w:r>
      <w:r w:rsidR="000D3573">
        <w:t xml:space="preserve">para el periodo 1990- 2012 para </w:t>
      </w:r>
      <w:r>
        <w:t>los Estados de Brasil.</w:t>
      </w:r>
      <w:r w:rsidR="009668EF">
        <w:t xml:space="preserve"> </w:t>
      </w:r>
      <w:r>
        <w:t>La segunda etapa, a ser contratada en el 2015, consiste en completar la serie para las variables de interés para el periodo 2013-2015. Se estima que el costo de armar la s</w:t>
      </w:r>
      <w:r w:rsidR="000D3573">
        <w:t>erie de datos inicial es de US$4</w:t>
      </w:r>
      <w:r>
        <w:t>0,000; y el de completar la serie con las variables de interés sería de US$20,000.</w:t>
      </w:r>
    </w:p>
    <w:p w:rsidR="00A92F1A" w:rsidRDefault="00624B18" w:rsidP="00EE43D8">
      <w:pPr>
        <w:pStyle w:val="AutoNumpara"/>
        <w:rPr>
          <w:color w:val="000000"/>
        </w:rPr>
      </w:pPr>
      <w:r w:rsidRPr="003215D0">
        <w:rPr>
          <w:color w:val="000000"/>
        </w:rPr>
        <w:t xml:space="preserve">El presupuesto para </w:t>
      </w:r>
      <w:r w:rsidR="000D3573" w:rsidRPr="003215D0">
        <w:rPr>
          <w:color w:val="000000"/>
        </w:rPr>
        <w:t xml:space="preserve">realizar la </w:t>
      </w:r>
      <w:r w:rsidR="003215D0" w:rsidRPr="003215D0">
        <w:rPr>
          <w:color w:val="000000"/>
        </w:rPr>
        <w:t>evaluación del Programa</w:t>
      </w:r>
      <w:r w:rsidR="000D3573" w:rsidRPr="003215D0">
        <w:rPr>
          <w:color w:val="000000"/>
        </w:rPr>
        <w:t xml:space="preserve"> será financiado con recursos de </w:t>
      </w:r>
      <w:r w:rsidRPr="003215D0">
        <w:rPr>
          <w:noProof w:val="0"/>
          <w:szCs w:val="24"/>
        </w:rPr>
        <w:t>la cooperación técnica (CT) BR-T</w:t>
      </w:r>
      <w:r w:rsidR="000D3573" w:rsidRPr="003215D0">
        <w:rPr>
          <w:noProof w:val="0"/>
          <w:szCs w:val="24"/>
        </w:rPr>
        <w:t>1280</w:t>
      </w:r>
      <w:r w:rsidR="003215D0" w:rsidRPr="003215D0">
        <w:rPr>
          <w:noProof w:val="0"/>
          <w:szCs w:val="24"/>
        </w:rPr>
        <w:t xml:space="preserve"> </w:t>
      </w:r>
      <w:r w:rsidRPr="003215D0">
        <w:rPr>
          <w:noProof w:val="0"/>
          <w:szCs w:val="24"/>
        </w:rPr>
        <w:t xml:space="preserve">y que se estima será aprobada junto al POD de la operación. La consultoría de evaluación prevista en la CT </w:t>
      </w:r>
      <w:r w:rsidRPr="003215D0">
        <w:rPr>
          <w:szCs w:val="24"/>
        </w:rPr>
        <w:t>servirá para la oportuna evaluación del programa y de sus componentes, además de utilizados en la preparación del Informe de Terminación de Proyecto (PCR).</w:t>
      </w:r>
      <w:r w:rsidR="00A92F1A" w:rsidRPr="003215D0">
        <w:rPr>
          <w:color w:val="000000"/>
        </w:rPr>
        <w:t xml:space="preserve"> </w:t>
      </w:r>
    </w:p>
    <w:p w:rsidR="003215D0" w:rsidRDefault="003215D0" w:rsidP="003215D0">
      <w:pPr>
        <w:pStyle w:val="AutoNumpara"/>
        <w:numPr>
          <w:ilvl w:val="0"/>
          <w:numId w:val="0"/>
        </w:numPr>
        <w:ind w:left="720"/>
        <w:rPr>
          <w:color w:val="000000"/>
        </w:rPr>
      </w:pPr>
    </w:p>
    <w:p w:rsidR="00A02586" w:rsidRDefault="00A02586" w:rsidP="00A02586">
      <w:pPr>
        <w:pStyle w:val="AutoNumpara"/>
        <w:numPr>
          <w:ilvl w:val="0"/>
          <w:numId w:val="0"/>
        </w:numPr>
        <w:spacing w:before="0" w:after="0"/>
        <w:ind w:left="720"/>
        <w:rPr>
          <w:color w:val="000000"/>
        </w:rPr>
      </w:pPr>
    </w:p>
    <w:p w:rsidR="0058618A" w:rsidRDefault="0058618A">
      <w:r>
        <w:br w:type="page"/>
      </w:r>
    </w:p>
    <w:tbl>
      <w:tblPr>
        <w:tblW w:w="11013"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81"/>
        <w:gridCol w:w="360"/>
        <w:gridCol w:w="360"/>
        <w:gridCol w:w="360"/>
        <w:gridCol w:w="360"/>
        <w:gridCol w:w="2070"/>
        <w:gridCol w:w="1862"/>
        <w:gridCol w:w="2160"/>
      </w:tblGrid>
      <w:tr w:rsidR="003215D0" w:rsidRPr="00A02586" w:rsidTr="00DE1B38">
        <w:tc>
          <w:tcPr>
            <w:tcW w:w="11013" w:type="dxa"/>
            <w:gridSpan w:val="8"/>
            <w:tcBorders>
              <w:top w:val="nil"/>
              <w:left w:val="nil"/>
              <w:right w:val="nil"/>
            </w:tcBorders>
            <w:shd w:val="clear" w:color="auto" w:fill="auto"/>
          </w:tcPr>
          <w:p w:rsidR="003215D0" w:rsidRDefault="003215D0" w:rsidP="003215D0">
            <w:pPr>
              <w:jc w:val="center"/>
              <w:rPr>
                <w:b/>
                <w:smallCaps/>
                <w:szCs w:val="24"/>
              </w:rPr>
            </w:pPr>
            <w:r w:rsidRPr="00A02586">
              <w:rPr>
                <w:b/>
                <w:smallCaps/>
                <w:szCs w:val="24"/>
              </w:rPr>
              <w:lastRenderedPageBreak/>
              <w:t>Evaluación</w:t>
            </w:r>
          </w:p>
          <w:p w:rsidR="00DE1B38" w:rsidRPr="00A02586" w:rsidRDefault="00DE1B38" w:rsidP="003215D0">
            <w:pPr>
              <w:jc w:val="center"/>
              <w:rPr>
                <w:b/>
                <w:smallCaps/>
                <w:szCs w:val="24"/>
              </w:rPr>
            </w:pPr>
          </w:p>
        </w:tc>
      </w:tr>
      <w:tr w:rsidR="003215D0" w:rsidRPr="00A02586" w:rsidTr="00DE1B38">
        <w:trPr>
          <w:trHeight w:hRule="exact" w:val="514"/>
        </w:trPr>
        <w:tc>
          <w:tcPr>
            <w:tcW w:w="11013" w:type="dxa"/>
            <w:gridSpan w:val="8"/>
            <w:shd w:val="clear" w:color="auto" w:fill="D9D9D9" w:themeFill="background1" w:themeFillShade="D9"/>
          </w:tcPr>
          <w:p w:rsidR="003215D0" w:rsidRPr="00DA737F" w:rsidRDefault="003215D0" w:rsidP="00DA737F">
            <w:pPr>
              <w:ind w:firstLine="375"/>
              <w:jc w:val="center"/>
              <w:rPr>
                <w:b/>
                <w:smallCaps/>
                <w:sz w:val="22"/>
                <w:szCs w:val="22"/>
              </w:rPr>
            </w:pPr>
            <w:r w:rsidRPr="00DA737F">
              <w:rPr>
                <w:b/>
                <w:smallCaps/>
                <w:sz w:val="22"/>
                <w:szCs w:val="22"/>
              </w:rPr>
              <w:t>Cuadro 2*</w:t>
            </w:r>
            <w:r w:rsidRPr="00DA737F">
              <w:rPr>
                <w:b/>
                <w:smallCaps/>
                <w:sz w:val="22"/>
                <w:szCs w:val="22"/>
              </w:rPr>
              <w:br/>
              <w:t>Plan de trabajo de la evaluación</w:t>
            </w:r>
            <w:r w:rsidR="00693244" w:rsidRPr="00DA737F">
              <w:rPr>
                <w:b/>
                <w:smallCaps/>
                <w:sz w:val="22"/>
                <w:szCs w:val="22"/>
              </w:rPr>
              <w:t xml:space="preserve"> de los Impactos y Resultados del Programa</w:t>
            </w:r>
          </w:p>
        </w:tc>
      </w:tr>
      <w:tr w:rsidR="004A5E89" w:rsidRPr="00A02586" w:rsidTr="00DE1B38">
        <w:tc>
          <w:tcPr>
            <w:tcW w:w="3481" w:type="dxa"/>
            <w:vMerge w:val="restart"/>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Indicador</w:t>
            </w:r>
            <w:r>
              <w:rPr>
                <w:b/>
                <w:sz w:val="22"/>
                <w:szCs w:val="22"/>
              </w:rPr>
              <w:t xml:space="preserve"> de Resultado</w:t>
            </w:r>
          </w:p>
        </w:tc>
        <w:tc>
          <w:tcPr>
            <w:tcW w:w="1440" w:type="dxa"/>
            <w:gridSpan w:val="4"/>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Semestre</w:t>
            </w:r>
          </w:p>
        </w:tc>
        <w:tc>
          <w:tcPr>
            <w:tcW w:w="2070" w:type="dxa"/>
            <w:vMerge w:val="restart"/>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Responsable</w:t>
            </w:r>
          </w:p>
        </w:tc>
        <w:tc>
          <w:tcPr>
            <w:tcW w:w="1862" w:type="dxa"/>
            <w:vMerge w:val="restart"/>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Fuente de verificación</w:t>
            </w:r>
          </w:p>
        </w:tc>
        <w:tc>
          <w:tcPr>
            <w:tcW w:w="2160" w:type="dxa"/>
            <w:vMerge w:val="restart"/>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Costo</w:t>
            </w:r>
          </w:p>
          <w:p w:rsidR="004A5E89" w:rsidRPr="00DA737F" w:rsidRDefault="004A5E89" w:rsidP="00DA737F">
            <w:pPr>
              <w:ind w:firstLine="375"/>
              <w:jc w:val="center"/>
              <w:rPr>
                <w:b/>
                <w:sz w:val="22"/>
                <w:szCs w:val="22"/>
              </w:rPr>
            </w:pPr>
            <w:r w:rsidRPr="00DA737F">
              <w:rPr>
                <w:b/>
                <w:sz w:val="22"/>
                <w:szCs w:val="22"/>
              </w:rPr>
              <w:t>(</w:t>
            </w:r>
            <w:r>
              <w:rPr>
                <w:b/>
                <w:sz w:val="22"/>
                <w:szCs w:val="22"/>
              </w:rPr>
              <w:t>US$</w:t>
            </w:r>
            <w:r w:rsidRPr="00DA737F">
              <w:rPr>
                <w:b/>
                <w:sz w:val="22"/>
                <w:szCs w:val="22"/>
              </w:rPr>
              <w:t>)</w:t>
            </w:r>
          </w:p>
          <w:p w:rsidR="004A5E89" w:rsidRPr="00DA737F" w:rsidRDefault="004A5E89" w:rsidP="00DA737F">
            <w:pPr>
              <w:ind w:firstLine="375"/>
              <w:jc w:val="center"/>
              <w:rPr>
                <w:b/>
                <w:sz w:val="22"/>
                <w:szCs w:val="22"/>
              </w:rPr>
            </w:pPr>
            <w:r w:rsidRPr="00DA737F">
              <w:rPr>
                <w:b/>
                <w:sz w:val="22"/>
                <w:szCs w:val="22"/>
              </w:rPr>
              <w:t xml:space="preserve">Fuente </w:t>
            </w:r>
            <w:proofErr w:type="spellStart"/>
            <w:r w:rsidRPr="00DA737F">
              <w:rPr>
                <w:b/>
                <w:sz w:val="22"/>
                <w:szCs w:val="22"/>
              </w:rPr>
              <w:t>Financ</w:t>
            </w:r>
            <w:proofErr w:type="spellEnd"/>
            <w:r w:rsidRPr="00DA737F">
              <w:rPr>
                <w:b/>
                <w:sz w:val="22"/>
                <w:szCs w:val="22"/>
              </w:rPr>
              <w:t>.</w:t>
            </w:r>
          </w:p>
        </w:tc>
      </w:tr>
      <w:tr w:rsidR="004A5E89" w:rsidRPr="00A02586" w:rsidTr="00DE1B38">
        <w:tc>
          <w:tcPr>
            <w:tcW w:w="3481" w:type="dxa"/>
            <w:vMerge/>
            <w:shd w:val="clear" w:color="auto" w:fill="D9D9D9" w:themeFill="background1" w:themeFillShade="D9"/>
          </w:tcPr>
          <w:p w:rsidR="004A5E89" w:rsidRPr="00DA737F" w:rsidRDefault="004A5E89" w:rsidP="00DA737F">
            <w:pPr>
              <w:ind w:firstLine="375"/>
              <w:jc w:val="center"/>
              <w:rPr>
                <w:sz w:val="22"/>
                <w:szCs w:val="22"/>
              </w:rPr>
            </w:pPr>
          </w:p>
        </w:tc>
        <w:tc>
          <w:tcPr>
            <w:tcW w:w="360" w:type="dxa"/>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1</w:t>
            </w:r>
          </w:p>
        </w:tc>
        <w:tc>
          <w:tcPr>
            <w:tcW w:w="360" w:type="dxa"/>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2</w:t>
            </w:r>
          </w:p>
        </w:tc>
        <w:tc>
          <w:tcPr>
            <w:tcW w:w="360" w:type="dxa"/>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3</w:t>
            </w:r>
          </w:p>
        </w:tc>
        <w:tc>
          <w:tcPr>
            <w:tcW w:w="360" w:type="dxa"/>
            <w:shd w:val="clear" w:color="auto" w:fill="D9D9D9" w:themeFill="background1" w:themeFillShade="D9"/>
          </w:tcPr>
          <w:p w:rsidR="004A5E89" w:rsidRPr="00DA737F" w:rsidRDefault="004A5E89" w:rsidP="00DA737F">
            <w:pPr>
              <w:ind w:firstLine="375"/>
              <w:jc w:val="center"/>
              <w:rPr>
                <w:b/>
                <w:sz w:val="22"/>
                <w:szCs w:val="22"/>
              </w:rPr>
            </w:pPr>
            <w:r w:rsidRPr="00DA737F">
              <w:rPr>
                <w:b/>
                <w:sz w:val="22"/>
                <w:szCs w:val="22"/>
              </w:rPr>
              <w:t>4</w:t>
            </w:r>
          </w:p>
        </w:tc>
        <w:tc>
          <w:tcPr>
            <w:tcW w:w="2070" w:type="dxa"/>
            <w:vMerge/>
            <w:shd w:val="clear" w:color="auto" w:fill="D9D9D9" w:themeFill="background1" w:themeFillShade="D9"/>
          </w:tcPr>
          <w:p w:rsidR="004A5E89" w:rsidRPr="00DA737F" w:rsidRDefault="004A5E89" w:rsidP="00DA737F">
            <w:pPr>
              <w:ind w:firstLine="375"/>
              <w:jc w:val="center"/>
              <w:rPr>
                <w:sz w:val="22"/>
                <w:szCs w:val="22"/>
              </w:rPr>
            </w:pPr>
          </w:p>
        </w:tc>
        <w:tc>
          <w:tcPr>
            <w:tcW w:w="1862" w:type="dxa"/>
            <w:vMerge/>
            <w:shd w:val="clear" w:color="auto" w:fill="D9D9D9" w:themeFill="background1" w:themeFillShade="D9"/>
          </w:tcPr>
          <w:p w:rsidR="004A5E89" w:rsidRPr="00DA737F" w:rsidRDefault="004A5E89" w:rsidP="00DA737F">
            <w:pPr>
              <w:ind w:firstLine="375"/>
              <w:jc w:val="center"/>
              <w:rPr>
                <w:sz w:val="22"/>
                <w:szCs w:val="22"/>
              </w:rPr>
            </w:pPr>
          </w:p>
        </w:tc>
        <w:tc>
          <w:tcPr>
            <w:tcW w:w="2160" w:type="dxa"/>
            <w:vMerge/>
            <w:shd w:val="clear" w:color="auto" w:fill="D9D9D9" w:themeFill="background1" w:themeFillShade="D9"/>
          </w:tcPr>
          <w:p w:rsidR="004A5E89" w:rsidRPr="00DA737F" w:rsidRDefault="004A5E89" w:rsidP="00DA737F">
            <w:pPr>
              <w:ind w:firstLine="375"/>
              <w:jc w:val="center"/>
              <w:rPr>
                <w:sz w:val="22"/>
                <w:szCs w:val="22"/>
              </w:rPr>
            </w:pPr>
          </w:p>
        </w:tc>
      </w:tr>
      <w:tr w:rsidR="004A5E89" w:rsidRPr="00DA737F" w:rsidTr="00DE1B38">
        <w:trPr>
          <w:trHeight w:val="782"/>
        </w:trPr>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Incremento de las inversiones públicas del Estado (no incluye transferencia de capital)</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tcPr>
          <w:p w:rsidR="004A5E89" w:rsidRPr="00DA737F" w:rsidRDefault="004A5E89" w:rsidP="00DA737F">
            <w:pPr>
              <w:rPr>
                <w:sz w:val="22"/>
                <w:szCs w:val="22"/>
              </w:rPr>
            </w:pPr>
            <w:r w:rsidRPr="00DA737F">
              <w:rPr>
                <w:sz w:val="22"/>
                <w:szCs w:val="22"/>
              </w:rPr>
              <w:t>Consultor</w:t>
            </w:r>
            <w:r w:rsidR="009668EF">
              <w:rPr>
                <w:sz w:val="22"/>
                <w:szCs w:val="22"/>
              </w:rPr>
              <w:t xml:space="preserve"> </w:t>
            </w:r>
            <w:r w:rsidRPr="00DA737F">
              <w:rPr>
                <w:sz w:val="22"/>
                <w:szCs w:val="22"/>
              </w:rPr>
              <w:t>BID en coordinación con el equipo de la SEFAZ</w:t>
            </w:r>
          </w:p>
        </w:tc>
        <w:tc>
          <w:tcPr>
            <w:tcW w:w="1862" w:type="dxa"/>
          </w:tcPr>
          <w:p w:rsidR="004A5E89" w:rsidRPr="00DA737F" w:rsidRDefault="004A5E89" w:rsidP="00DA737F">
            <w:pPr>
              <w:tabs>
                <w:tab w:val="left" w:pos="72"/>
                <w:tab w:val="left" w:pos="342"/>
              </w:tabs>
              <w:rPr>
                <w:sz w:val="22"/>
                <w:szCs w:val="22"/>
              </w:rPr>
            </w:pPr>
            <w:r w:rsidRPr="00DA737F">
              <w:rPr>
                <w:sz w:val="22"/>
                <w:szCs w:val="22"/>
              </w:rPr>
              <w:t>Balance anual emitido por</w:t>
            </w:r>
            <w:r w:rsidR="009668EF">
              <w:rPr>
                <w:sz w:val="22"/>
                <w:szCs w:val="22"/>
              </w:rPr>
              <w:t xml:space="preserve"> </w:t>
            </w:r>
            <w:r w:rsidRPr="00DA737F">
              <w:rPr>
                <w:sz w:val="22"/>
                <w:szCs w:val="22"/>
              </w:rPr>
              <w:t>la SEFAZ</w:t>
            </w:r>
          </w:p>
        </w:tc>
        <w:tc>
          <w:tcPr>
            <w:tcW w:w="2160" w:type="dxa"/>
            <w:vMerge w:val="restart"/>
          </w:tcPr>
          <w:p w:rsidR="004A5E89" w:rsidRDefault="004A5E89" w:rsidP="00DA737F">
            <w:pPr>
              <w:ind w:firstLine="375"/>
              <w:rPr>
                <w:sz w:val="22"/>
                <w:szCs w:val="22"/>
              </w:rPr>
            </w:pPr>
          </w:p>
          <w:p w:rsidR="004A5E89" w:rsidRDefault="004A5E89" w:rsidP="00DA737F">
            <w:pPr>
              <w:ind w:firstLine="375"/>
              <w:rPr>
                <w:sz w:val="22"/>
                <w:szCs w:val="22"/>
              </w:rPr>
            </w:pPr>
          </w:p>
          <w:p w:rsidR="004A5E89" w:rsidRPr="00DA737F" w:rsidRDefault="004A5E89" w:rsidP="00DA737F">
            <w:pPr>
              <w:ind w:firstLine="375"/>
              <w:rPr>
                <w:sz w:val="22"/>
                <w:szCs w:val="22"/>
              </w:rPr>
            </w:pPr>
          </w:p>
          <w:p w:rsidR="004A5E89" w:rsidRPr="00DA737F" w:rsidRDefault="004A5E89" w:rsidP="00DA737F">
            <w:pPr>
              <w:ind w:firstLine="375"/>
              <w:rPr>
                <w:sz w:val="22"/>
                <w:szCs w:val="22"/>
              </w:rPr>
            </w:pPr>
          </w:p>
          <w:p w:rsidR="004A5E89" w:rsidRPr="00DA737F" w:rsidRDefault="004A5E89" w:rsidP="00DA737F">
            <w:pPr>
              <w:ind w:firstLine="375"/>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 xml:space="preserve">Incremento de la inversión en áreas turísticas </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tcPr>
          <w:p w:rsidR="004A5E89" w:rsidRPr="00DA737F" w:rsidRDefault="004A5E89" w:rsidP="00DA737F">
            <w:pPr>
              <w:rPr>
                <w:sz w:val="22"/>
                <w:szCs w:val="22"/>
              </w:rPr>
            </w:pPr>
            <w:r w:rsidRPr="00DA737F">
              <w:rPr>
                <w:sz w:val="22"/>
                <w:szCs w:val="22"/>
              </w:rPr>
              <w:t>Consultor BID en coordinación con el equipo de la SEFAZ</w:t>
            </w:r>
          </w:p>
        </w:tc>
        <w:tc>
          <w:tcPr>
            <w:tcW w:w="1862" w:type="dxa"/>
          </w:tcPr>
          <w:p w:rsidR="004A5E89" w:rsidRPr="00DA737F" w:rsidRDefault="004A5E89" w:rsidP="00DA737F">
            <w:pPr>
              <w:rPr>
                <w:sz w:val="22"/>
                <w:szCs w:val="22"/>
              </w:rPr>
            </w:pPr>
            <w:r w:rsidRPr="00DA737F">
              <w:rPr>
                <w:sz w:val="22"/>
                <w:szCs w:val="22"/>
              </w:rPr>
              <w:t>Balance anual emitido por la SETUR</w:t>
            </w:r>
          </w:p>
        </w:tc>
        <w:tc>
          <w:tcPr>
            <w:tcW w:w="2160" w:type="dxa"/>
            <w:vMerge/>
          </w:tcPr>
          <w:p w:rsidR="004A5E89" w:rsidRPr="00DA737F" w:rsidRDefault="004A5E89" w:rsidP="00DA737F">
            <w:pPr>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Mejora en el desempeño de la recaudación</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 en coordinación con el equipo de la SEFAZ</w:t>
            </w:r>
          </w:p>
        </w:tc>
        <w:tc>
          <w:tcPr>
            <w:tcW w:w="1862" w:type="dxa"/>
          </w:tcPr>
          <w:p w:rsidR="004A5E89" w:rsidRPr="00DA737F" w:rsidRDefault="004A5E89" w:rsidP="00DA737F">
            <w:pPr>
              <w:rPr>
                <w:sz w:val="22"/>
                <w:szCs w:val="22"/>
              </w:rPr>
            </w:pPr>
            <w:r w:rsidRPr="00DA737F">
              <w:rPr>
                <w:sz w:val="22"/>
                <w:szCs w:val="22"/>
              </w:rPr>
              <w:t>Informe de gestión de la SEFAZ</w:t>
            </w:r>
          </w:p>
        </w:tc>
        <w:tc>
          <w:tcPr>
            <w:tcW w:w="2160" w:type="dxa"/>
            <w:vMerge/>
          </w:tcPr>
          <w:p w:rsidR="004A5E89" w:rsidRPr="00DA737F" w:rsidRDefault="004A5E89" w:rsidP="00DA737F">
            <w:pPr>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Reducción del Gasto de Costeo en relación al Gasto Total del Estado de Alagoas</w:t>
            </w: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shd w:val="clear" w:color="auto" w:fill="auto"/>
          </w:tcPr>
          <w:p w:rsidR="004A5E89" w:rsidRPr="00DA737F" w:rsidRDefault="004A5E89" w:rsidP="00DA737F">
            <w:pPr>
              <w:rPr>
                <w:sz w:val="22"/>
                <w:szCs w:val="22"/>
              </w:rPr>
            </w:pPr>
            <w:r w:rsidRPr="00DA737F">
              <w:rPr>
                <w:sz w:val="22"/>
                <w:szCs w:val="22"/>
              </w:rPr>
              <w:t>Consultor BID en coordinación con el equipo de la SEFAZ</w:t>
            </w:r>
          </w:p>
        </w:tc>
        <w:tc>
          <w:tcPr>
            <w:tcW w:w="1862" w:type="dxa"/>
          </w:tcPr>
          <w:p w:rsidR="004A5E89" w:rsidRPr="00DA737F" w:rsidRDefault="004A5E89" w:rsidP="00DA737F">
            <w:pPr>
              <w:rPr>
                <w:sz w:val="22"/>
                <w:szCs w:val="22"/>
              </w:rPr>
            </w:pPr>
            <w:r w:rsidRPr="00DA737F">
              <w:rPr>
                <w:sz w:val="22"/>
                <w:szCs w:val="22"/>
              </w:rPr>
              <w:t>Informe de gestión de la SEFAZ</w:t>
            </w:r>
          </w:p>
        </w:tc>
        <w:tc>
          <w:tcPr>
            <w:tcW w:w="2160" w:type="dxa"/>
            <w:vMerge/>
          </w:tcPr>
          <w:p w:rsidR="004A5E89" w:rsidRPr="00DA737F" w:rsidRDefault="004A5E89" w:rsidP="00DA737F">
            <w:pPr>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 xml:space="preserve">Incremento de la eficiencia de la gestión del gasto público estatal </w:t>
            </w: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tcPr>
          <w:p w:rsidR="004A5E89" w:rsidRPr="00DA737F" w:rsidRDefault="004A5E89" w:rsidP="00DA737F">
            <w:pPr>
              <w:rPr>
                <w:sz w:val="22"/>
                <w:szCs w:val="22"/>
              </w:rPr>
            </w:pPr>
            <w:r w:rsidRPr="00DA737F">
              <w:rPr>
                <w:sz w:val="22"/>
                <w:szCs w:val="22"/>
              </w:rPr>
              <w:t>Consultor BID en coordinación con el equipo de la SIAFEM</w:t>
            </w:r>
          </w:p>
        </w:tc>
        <w:tc>
          <w:tcPr>
            <w:tcW w:w="1862" w:type="dxa"/>
          </w:tcPr>
          <w:p w:rsidR="004A5E89" w:rsidRPr="00DA737F" w:rsidRDefault="004A5E89" w:rsidP="00DA737F">
            <w:pPr>
              <w:rPr>
                <w:sz w:val="22"/>
                <w:szCs w:val="22"/>
              </w:rPr>
            </w:pPr>
            <w:r w:rsidRPr="00DA737F">
              <w:rPr>
                <w:sz w:val="22"/>
                <w:szCs w:val="22"/>
              </w:rPr>
              <w:t>Informe de gestión de la SIAFEM</w:t>
            </w:r>
          </w:p>
        </w:tc>
        <w:tc>
          <w:tcPr>
            <w:tcW w:w="2160" w:type="dxa"/>
            <w:vMerge/>
          </w:tcPr>
          <w:p w:rsidR="004A5E89" w:rsidRPr="00DA737F" w:rsidRDefault="004A5E89" w:rsidP="00DA737F">
            <w:pPr>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Mejora de la planificación y ejecución del presupuesto del Estado</w:t>
            </w: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tcPr>
          <w:p w:rsidR="004A5E89" w:rsidRPr="00DA737F" w:rsidRDefault="004A5E89" w:rsidP="00DA737F">
            <w:pPr>
              <w:rPr>
                <w:sz w:val="22"/>
                <w:szCs w:val="22"/>
              </w:rPr>
            </w:pPr>
            <w:r w:rsidRPr="00DA737F">
              <w:rPr>
                <w:sz w:val="22"/>
                <w:szCs w:val="22"/>
              </w:rPr>
              <w:t>Consultor BID en coordinación con el equipo de la SIAFEM</w:t>
            </w:r>
          </w:p>
        </w:tc>
        <w:tc>
          <w:tcPr>
            <w:tcW w:w="1862" w:type="dxa"/>
          </w:tcPr>
          <w:p w:rsidR="004A5E89" w:rsidRPr="00DA737F" w:rsidRDefault="004A5E89" w:rsidP="00DA737F">
            <w:pPr>
              <w:rPr>
                <w:sz w:val="22"/>
                <w:szCs w:val="22"/>
              </w:rPr>
            </w:pPr>
            <w:r w:rsidRPr="00DA737F">
              <w:rPr>
                <w:sz w:val="22"/>
                <w:szCs w:val="22"/>
              </w:rPr>
              <w:t>Informe de gestión de la SIAFEM</w:t>
            </w:r>
          </w:p>
        </w:tc>
        <w:tc>
          <w:tcPr>
            <w:tcW w:w="2160" w:type="dxa"/>
            <w:vMerge/>
          </w:tcPr>
          <w:p w:rsidR="004A5E89" w:rsidRPr="00DA737F" w:rsidRDefault="004A5E89" w:rsidP="00DA737F">
            <w:pPr>
              <w:rPr>
                <w:sz w:val="22"/>
                <w:szCs w:val="22"/>
              </w:rPr>
            </w:pPr>
          </w:p>
        </w:tc>
      </w:tr>
      <w:tr w:rsidR="004A5E89" w:rsidRPr="00DA737F" w:rsidTr="00DE1B38">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Mejora de la planificación y ejecución de los proyectos de inversión prioritarios del Gobierno de Alagoas</w:t>
            </w: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2070" w:type="dxa"/>
          </w:tcPr>
          <w:p w:rsidR="004A5E89" w:rsidRPr="00DA737F" w:rsidRDefault="004A5E89" w:rsidP="00DA737F">
            <w:pPr>
              <w:rPr>
                <w:sz w:val="22"/>
                <w:szCs w:val="22"/>
              </w:rPr>
            </w:pPr>
            <w:r w:rsidRPr="00DA737F">
              <w:rPr>
                <w:sz w:val="22"/>
                <w:szCs w:val="22"/>
              </w:rPr>
              <w:t>Consultor BID en coordinación con el equipo de SIAFEM</w:t>
            </w:r>
          </w:p>
        </w:tc>
        <w:tc>
          <w:tcPr>
            <w:tcW w:w="1862" w:type="dxa"/>
          </w:tcPr>
          <w:p w:rsidR="004A5E89" w:rsidRPr="00DA737F" w:rsidRDefault="004A5E89" w:rsidP="00DA737F">
            <w:pPr>
              <w:rPr>
                <w:sz w:val="22"/>
                <w:szCs w:val="22"/>
              </w:rPr>
            </w:pPr>
            <w:r w:rsidRPr="00DA737F">
              <w:rPr>
                <w:sz w:val="22"/>
                <w:szCs w:val="22"/>
              </w:rPr>
              <w:t>Informe de gestión de la SIAFEM</w:t>
            </w:r>
          </w:p>
        </w:tc>
        <w:tc>
          <w:tcPr>
            <w:tcW w:w="2160" w:type="dxa"/>
          </w:tcPr>
          <w:p w:rsidR="004A5E89" w:rsidRPr="00DA737F" w:rsidRDefault="004A5E89" w:rsidP="00DA737F">
            <w:pPr>
              <w:rPr>
                <w:sz w:val="22"/>
                <w:szCs w:val="22"/>
              </w:rPr>
            </w:pPr>
          </w:p>
        </w:tc>
      </w:tr>
      <w:tr w:rsidR="004A5E89" w:rsidRPr="00DA737F" w:rsidTr="00DE1B38">
        <w:trPr>
          <w:trHeight w:val="494"/>
        </w:trPr>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Aumento de la capacidad de camas hoteleras en destinos diferentes a la Región Metropolitana de Maceió, como evidencia de una progresiva diversificación de los destinos bajo la visión estratégica del PET</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 en coordinación con el equipo de la SETUR</w:t>
            </w:r>
          </w:p>
        </w:tc>
        <w:tc>
          <w:tcPr>
            <w:tcW w:w="1862" w:type="dxa"/>
          </w:tcPr>
          <w:p w:rsidR="004A5E89" w:rsidRPr="00DA737F" w:rsidRDefault="004A5E89" w:rsidP="00DA737F">
            <w:pPr>
              <w:rPr>
                <w:sz w:val="22"/>
                <w:szCs w:val="22"/>
              </w:rPr>
            </w:pPr>
            <w:r w:rsidRPr="00DA737F">
              <w:rPr>
                <w:sz w:val="22"/>
                <w:szCs w:val="22"/>
              </w:rPr>
              <w:t>Informe de la SETUR</w:t>
            </w:r>
          </w:p>
        </w:tc>
        <w:tc>
          <w:tcPr>
            <w:tcW w:w="2160" w:type="dxa"/>
          </w:tcPr>
          <w:p w:rsidR="004A5E89" w:rsidRPr="00DA737F" w:rsidRDefault="004A5E89" w:rsidP="00DA737F">
            <w:pPr>
              <w:rPr>
                <w:sz w:val="22"/>
                <w:szCs w:val="22"/>
              </w:rPr>
            </w:pPr>
          </w:p>
        </w:tc>
      </w:tr>
      <w:tr w:rsidR="004A5E89" w:rsidRPr="00DA737F" w:rsidTr="00DE1B38">
        <w:trPr>
          <w:trHeight w:val="494"/>
        </w:trPr>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 xml:space="preserve">Aumento del número de empresas turísticas que participan directamente en las actividades de los tres </w:t>
            </w:r>
            <w:proofErr w:type="spellStart"/>
            <w:r w:rsidRPr="00DA737F">
              <w:rPr>
                <w:color w:val="000000"/>
                <w:sz w:val="22"/>
                <w:szCs w:val="22"/>
              </w:rPr>
              <w:t>APLs</w:t>
            </w:r>
            <w:proofErr w:type="spellEnd"/>
            <w:r w:rsidRPr="00DA737F">
              <w:rPr>
                <w:color w:val="000000"/>
                <w:sz w:val="22"/>
                <w:szCs w:val="22"/>
              </w:rPr>
              <w:t xml:space="preserve"> turísticos existentes en el Estado, como prueba de la coordinación público-privada</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 en coordinación con el equipo de la SETUR</w:t>
            </w:r>
          </w:p>
        </w:tc>
        <w:tc>
          <w:tcPr>
            <w:tcW w:w="1862" w:type="dxa"/>
          </w:tcPr>
          <w:p w:rsidR="004A5E89" w:rsidRPr="00DA737F" w:rsidRDefault="004A5E89" w:rsidP="00DA737F">
            <w:pPr>
              <w:rPr>
                <w:sz w:val="22"/>
                <w:szCs w:val="22"/>
              </w:rPr>
            </w:pPr>
            <w:r w:rsidRPr="00DA737F">
              <w:rPr>
                <w:sz w:val="22"/>
                <w:szCs w:val="22"/>
              </w:rPr>
              <w:t>Informe de la SETUR</w:t>
            </w:r>
          </w:p>
        </w:tc>
        <w:tc>
          <w:tcPr>
            <w:tcW w:w="2160" w:type="dxa"/>
            <w:vMerge w:val="restart"/>
          </w:tcPr>
          <w:p w:rsidR="004A5E89" w:rsidRPr="00DA737F" w:rsidRDefault="004A5E89" w:rsidP="00DA737F">
            <w:pPr>
              <w:rPr>
                <w:sz w:val="22"/>
                <w:szCs w:val="22"/>
              </w:rPr>
            </w:pPr>
          </w:p>
        </w:tc>
      </w:tr>
      <w:tr w:rsidR="004A5E89" w:rsidRPr="00DA737F" w:rsidTr="00DE1B38">
        <w:trPr>
          <w:trHeight w:hRule="exact" w:val="775"/>
        </w:trPr>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 xml:space="preserve">Mejora de la accesibilidad a las áreas turísticas del </w:t>
            </w:r>
            <w:proofErr w:type="spellStart"/>
            <w:r w:rsidRPr="00DA737F">
              <w:rPr>
                <w:color w:val="000000"/>
                <w:sz w:val="22"/>
                <w:szCs w:val="22"/>
              </w:rPr>
              <w:t>EdA</w:t>
            </w:r>
            <w:proofErr w:type="spellEnd"/>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lang w:val="pt-BR"/>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 en coordinación con el equipo del DER</w:t>
            </w:r>
          </w:p>
        </w:tc>
        <w:tc>
          <w:tcPr>
            <w:tcW w:w="1862" w:type="dxa"/>
          </w:tcPr>
          <w:p w:rsidR="004A5E89" w:rsidRPr="00DA737F" w:rsidRDefault="004A5E89" w:rsidP="00DA737F">
            <w:pPr>
              <w:rPr>
                <w:sz w:val="22"/>
                <w:szCs w:val="22"/>
              </w:rPr>
            </w:pPr>
            <w:r w:rsidRPr="00DA737F">
              <w:rPr>
                <w:sz w:val="22"/>
                <w:szCs w:val="22"/>
              </w:rPr>
              <w:t>Informe DER/AL</w:t>
            </w:r>
          </w:p>
        </w:tc>
        <w:tc>
          <w:tcPr>
            <w:tcW w:w="2160" w:type="dxa"/>
            <w:vMerge/>
          </w:tcPr>
          <w:p w:rsidR="004A5E89" w:rsidRPr="00DA737F" w:rsidRDefault="004A5E89" w:rsidP="00DA737F">
            <w:pPr>
              <w:rPr>
                <w:sz w:val="22"/>
                <w:szCs w:val="22"/>
              </w:rPr>
            </w:pPr>
          </w:p>
        </w:tc>
      </w:tr>
      <w:tr w:rsidR="004A5E89" w:rsidRPr="00DA737F" w:rsidTr="00DE1B38">
        <w:trPr>
          <w:trHeight w:hRule="exact" w:val="712"/>
        </w:trPr>
        <w:tc>
          <w:tcPr>
            <w:tcW w:w="3481" w:type="dxa"/>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t xml:space="preserve"> Reducción del n° de accidentes viales</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lang w:val="pt-BR"/>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 en coordinación con</w:t>
            </w:r>
            <w:r w:rsidR="009668EF">
              <w:rPr>
                <w:sz w:val="22"/>
                <w:szCs w:val="22"/>
              </w:rPr>
              <w:t xml:space="preserve"> </w:t>
            </w:r>
            <w:r w:rsidRPr="00DA737F">
              <w:rPr>
                <w:sz w:val="22"/>
                <w:szCs w:val="22"/>
              </w:rPr>
              <w:t>DER</w:t>
            </w:r>
          </w:p>
        </w:tc>
        <w:tc>
          <w:tcPr>
            <w:tcW w:w="1862" w:type="dxa"/>
          </w:tcPr>
          <w:p w:rsidR="004A5E89" w:rsidRPr="00DA737F" w:rsidRDefault="004A5E89" w:rsidP="00DA737F">
            <w:pPr>
              <w:rPr>
                <w:sz w:val="22"/>
                <w:szCs w:val="22"/>
              </w:rPr>
            </w:pPr>
            <w:r w:rsidRPr="00DA737F">
              <w:rPr>
                <w:sz w:val="22"/>
                <w:szCs w:val="22"/>
              </w:rPr>
              <w:t>Informe DER/AL</w:t>
            </w:r>
          </w:p>
        </w:tc>
        <w:tc>
          <w:tcPr>
            <w:tcW w:w="2160" w:type="dxa"/>
            <w:vMerge/>
          </w:tcPr>
          <w:p w:rsidR="004A5E89" w:rsidRPr="00DA737F" w:rsidRDefault="004A5E89" w:rsidP="00DA737F">
            <w:pPr>
              <w:rPr>
                <w:sz w:val="22"/>
                <w:szCs w:val="22"/>
              </w:rPr>
            </w:pPr>
          </w:p>
        </w:tc>
      </w:tr>
    </w:tbl>
    <w:p w:rsidR="00DE1B38" w:rsidRDefault="00DE1B38">
      <w:r>
        <w:br w:type="page"/>
      </w:r>
    </w:p>
    <w:tbl>
      <w:tblPr>
        <w:tblW w:w="11013"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39"/>
        <w:gridCol w:w="2042"/>
        <w:gridCol w:w="360"/>
        <w:gridCol w:w="360"/>
        <w:gridCol w:w="360"/>
        <w:gridCol w:w="360"/>
        <w:gridCol w:w="2070"/>
        <w:gridCol w:w="1862"/>
        <w:gridCol w:w="2160"/>
      </w:tblGrid>
      <w:tr w:rsidR="004A5E89" w:rsidRPr="00DA737F" w:rsidTr="00DE1B38">
        <w:tc>
          <w:tcPr>
            <w:tcW w:w="3481" w:type="dxa"/>
            <w:gridSpan w:val="2"/>
          </w:tcPr>
          <w:p w:rsidR="004A5E89" w:rsidRPr="00DA737F" w:rsidRDefault="004A5E89" w:rsidP="00DA737F">
            <w:pPr>
              <w:tabs>
                <w:tab w:val="left" w:pos="72"/>
                <w:tab w:val="left" w:pos="105"/>
              </w:tabs>
              <w:ind w:left="105"/>
              <w:rPr>
                <w:color w:val="000000"/>
                <w:sz w:val="22"/>
                <w:szCs w:val="22"/>
              </w:rPr>
            </w:pPr>
            <w:r w:rsidRPr="00DA737F">
              <w:rPr>
                <w:color w:val="000000"/>
                <w:sz w:val="22"/>
                <w:szCs w:val="22"/>
              </w:rPr>
              <w:lastRenderedPageBreak/>
              <w:t>Aumento de la cobertura de agua y alcantarillado en el ámbito de los municipios operados por CASAL, en especial en los municipios de las nuevas áreas turísticas</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lang w:val="pt-BR"/>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w:t>
            </w:r>
            <w:r w:rsidR="009668EF">
              <w:rPr>
                <w:sz w:val="22"/>
                <w:szCs w:val="22"/>
              </w:rPr>
              <w:t xml:space="preserve"> </w:t>
            </w:r>
            <w:r w:rsidRPr="00DA737F">
              <w:rPr>
                <w:sz w:val="22"/>
                <w:szCs w:val="22"/>
              </w:rPr>
              <w:t>en coordinación con el equipo de CASAL</w:t>
            </w:r>
          </w:p>
        </w:tc>
        <w:tc>
          <w:tcPr>
            <w:tcW w:w="1862" w:type="dxa"/>
          </w:tcPr>
          <w:p w:rsidR="004A5E89" w:rsidRPr="00DA737F" w:rsidRDefault="004A5E89" w:rsidP="00DA737F">
            <w:pPr>
              <w:rPr>
                <w:sz w:val="22"/>
                <w:szCs w:val="22"/>
              </w:rPr>
            </w:pPr>
            <w:r w:rsidRPr="00DA737F">
              <w:rPr>
                <w:sz w:val="22"/>
                <w:szCs w:val="22"/>
              </w:rPr>
              <w:t>Informe de CASAL</w:t>
            </w:r>
          </w:p>
        </w:tc>
        <w:tc>
          <w:tcPr>
            <w:tcW w:w="2160" w:type="dxa"/>
            <w:vMerge w:val="restart"/>
          </w:tcPr>
          <w:p w:rsidR="004A5E89" w:rsidRPr="00DA737F" w:rsidRDefault="004A5E89" w:rsidP="00DA737F">
            <w:pPr>
              <w:rPr>
                <w:sz w:val="22"/>
                <w:szCs w:val="22"/>
              </w:rPr>
            </w:pPr>
          </w:p>
        </w:tc>
      </w:tr>
      <w:tr w:rsidR="004A5E89" w:rsidRPr="00DA737F" w:rsidTr="00DE1B38">
        <w:trPr>
          <w:trHeight w:hRule="exact" w:val="1000"/>
        </w:trPr>
        <w:tc>
          <w:tcPr>
            <w:tcW w:w="3481" w:type="dxa"/>
            <w:gridSpan w:val="2"/>
          </w:tcPr>
          <w:p w:rsidR="004A5E89" w:rsidRDefault="004A5E89" w:rsidP="00DA737F">
            <w:pPr>
              <w:tabs>
                <w:tab w:val="left" w:pos="72"/>
                <w:tab w:val="left" w:pos="105"/>
              </w:tabs>
              <w:ind w:left="105"/>
              <w:rPr>
                <w:color w:val="000000"/>
                <w:sz w:val="22"/>
                <w:szCs w:val="22"/>
              </w:rPr>
            </w:pPr>
            <w:r w:rsidRPr="00DA737F">
              <w:rPr>
                <w:color w:val="000000"/>
                <w:sz w:val="22"/>
                <w:szCs w:val="22"/>
              </w:rPr>
              <w:t>Aumento del número de municipios turísticos con destinación adecuada de residuos sólidos</w:t>
            </w:r>
          </w:p>
          <w:p w:rsidR="004A5E89" w:rsidRDefault="004A5E89" w:rsidP="00DA737F">
            <w:pPr>
              <w:tabs>
                <w:tab w:val="left" w:pos="72"/>
                <w:tab w:val="left" w:pos="105"/>
              </w:tabs>
              <w:ind w:left="105"/>
              <w:rPr>
                <w:color w:val="000000"/>
                <w:sz w:val="22"/>
                <w:szCs w:val="22"/>
              </w:rPr>
            </w:pPr>
          </w:p>
          <w:p w:rsidR="004A5E89" w:rsidRDefault="004A5E89" w:rsidP="00DA737F">
            <w:pPr>
              <w:tabs>
                <w:tab w:val="left" w:pos="72"/>
                <w:tab w:val="left" w:pos="105"/>
              </w:tabs>
              <w:ind w:left="105"/>
              <w:rPr>
                <w:color w:val="000000"/>
                <w:sz w:val="22"/>
                <w:szCs w:val="22"/>
              </w:rPr>
            </w:pPr>
          </w:p>
          <w:p w:rsidR="004A5E89" w:rsidRPr="00DA737F" w:rsidRDefault="004A5E89" w:rsidP="00DA737F">
            <w:pPr>
              <w:tabs>
                <w:tab w:val="left" w:pos="72"/>
                <w:tab w:val="left" w:pos="105"/>
              </w:tabs>
              <w:ind w:left="105"/>
              <w:rPr>
                <w:color w:val="000000"/>
                <w:sz w:val="22"/>
                <w:szCs w:val="22"/>
              </w:rPr>
            </w:pP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rPr>
            </w:pPr>
            <w:r w:rsidRPr="00DA737F">
              <w:rPr>
                <w:sz w:val="22"/>
                <w:szCs w:val="22"/>
              </w:rPr>
              <w:t>X</w:t>
            </w:r>
          </w:p>
        </w:tc>
        <w:tc>
          <w:tcPr>
            <w:tcW w:w="360" w:type="dxa"/>
            <w:vAlign w:val="center"/>
          </w:tcPr>
          <w:p w:rsidR="004A5E89" w:rsidRPr="00DA737F" w:rsidRDefault="004A5E89" w:rsidP="00DA737F">
            <w:pPr>
              <w:ind w:firstLine="375"/>
              <w:jc w:val="center"/>
              <w:rPr>
                <w:sz w:val="22"/>
                <w:szCs w:val="22"/>
              </w:rPr>
            </w:pPr>
          </w:p>
        </w:tc>
        <w:tc>
          <w:tcPr>
            <w:tcW w:w="360" w:type="dxa"/>
            <w:vAlign w:val="center"/>
          </w:tcPr>
          <w:p w:rsidR="004A5E89" w:rsidRPr="00DA737F" w:rsidRDefault="004A5E89" w:rsidP="00DA737F">
            <w:pPr>
              <w:ind w:firstLine="375"/>
              <w:jc w:val="center"/>
              <w:rPr>
                <w:sz w:val="22"/>
                <w:szCs w:val="22"/>
                <w:lang w:val="pt-BR"/>
              </w:rPr>
            </w:pPr>
            <w:r w:rsidRPr="00DA737F">
              <w:rPr>
                <w:sz w:val="22"/>
                <w:szCs w:val="22"/>
              </w:rPr>
              <w:t>X</w:t>
            </w:r>
          </w:p>
        </w:tc>
        <w:tc>
          <w:tcPr>
            <w:tcW w:w="2070" w:type="dxa"/>
          </w:tcPr>
          <w:p w:rsidR="004A5E89" w:rsidRPr="00DA737F" w:rsidRDefault="004A5E89" w:rsidP="00DA737F">
            <w:pPr>
              <w:rPr>
                <w:sz w:val="22"/>
                <w:szCs w:val="22"/>
              </w:rPr>
            </w:pPr>
            <w:r w:rsidRPr="00DA737F">
              <w:rPr>
                <w:sz w:val="22"/>
                <w:szCs w:val="22"/>
              </w:rPr>
              <w:t>Consultor BID</w:t>
            </w:r>
            <w:r w:rsidR="009668EF">
              <w:rPr>
                <w:sz w:val="22"/>
                <w:szCs w:val="22"/>
              </w:rPr>
              <w:t xml:space="preserve"> </w:t>
            </w:r>
            <w:r w:rsidRPr="00DA737F">
              <w:rPr>
                <w:sz w:val="22"/>
                <w:szCs w:val="22"/>
              </w:rPr>
              <w:t>en coordinación con el equipo de la SEMARH</w:t>
            </w:r>
          </w:p>
        </w:tc>
        <w:tc>
          <w:tcPr>
            <w:tcW w:w="1862" w:type="dxa"/>
          </w:tcPr>
          <w:p w:rsidR="004A5E89" w:rsidRPr="00DA737F" w:rsidRDefault="004A5E89" w:rsidP="00DA737F">
            <w:pPr>
              <w:rPr>
                <w:sz w:val="22"/>
                <w:szCs w:val="22"/>
              </w:rPr>
            </w:pPr>
            <w:r w:rsidRPr="00DA737F">
              <w:rPr>
                <w:sz w:val="22"/>
                <w:szCs w:val="22"/>
              </w:rPr>
              <w:t>Informe de SEMARH</w:t>
            </w:r>
          </w:p>
        </w:tc>
        <w:tc>
          <w:tcPr>
            <w:tcW w:w="2160" w:type="dxa"/>
            <w:vMerge/>
          </w:tcPr>
          <w:p w:rsidR="004A5E89" w:rsidRPr="00DA737F" w:rsidRDefault="004A5E89" w:rsidP="00DA737F">
            <w:pPr>
              <w:rPr>
                <w:sz w:val="22"/>
                <w:szCs w:val="22"/>
              </w:rPr>
            </w:pPr>
          </w:p>
        </w:tc>
      </w:tr>
      <w:tr w:rsidR="00A02586" w:rsidRPr="00A02586" w:rsidTr="00DE1B38">
        <w:tc>
          <w:tcPr>
            <w:tcW w:w="1439" w:type="dxa"/>
            <w:tcBorders>
              <w:bottom w:val="single" w:sz="4" w:space="0" w:color="000000"/>
            </w:tcBorders>
            <w:shd w:val="clear" w:color="auto" w:fill="D9D9D9" w:themeFill="background1" w:themeFillShade="D9"/>
          </w:tcPr>
          <w:p w:rsidR="00A02586" w:rsidRPr="00DA737F" w:rsidRDefault="00A02586" w:rsidP="00DA737F">
            <w:pPr>
              <w:tabs>
                <w:tab w:val="left" w:pos="72"/>
                <w:tab w:val="left" w:pos="105"/>
              </w:tabs>
              <w:ind w:left="105"/>
              <w:rPr>
                <w:color w:val="000000"/>
                <w:sz w:val="22"/>
                <w:szCs w:val="22"/>
              </w:rPr>
            </w:pPr>
          </w:p>
        </w:tc>
        <w:tc>
          <w:tcPr>
            <w:tcW w:w="7414" w:type="dxa"/>
            <w:gridSpan w:val="7"/>
            <w:tcBorders>
              <w:bottom w:val="single" w:sz="4" w:space="0" w:color="000000"/>
            </w:tcBorders>
            <w:shd w:val="clear" w:color="auto" w:fill="D9D9D9" w:themeFill="background1" w:themeFillShade="D9"/>
          </w:tcPr>
          <w:p w:rsidR="00A02586" w:rsidRPr="00DA737F" w:rsidRDefault="00DA737F" w:rsidP="00DA737F">
            <w:pPr>
              <w:ind w:firstLine="375"/>
              <w:jc w:val="right"/>
              <w:rPr>
                <w:b/>
                <w:sz w:val="22"/>
                <w:szCs w:val="22"/>
              </w:rPr>
            </w:pPr>
            <w:r w:rsidRPr="00DA737F">
              <w:rPr>
                <w:b/>
                <w:sz w:val="22"/>
                <w:szCs w:val="22"/>
              </w:rPr>
              <w:t>Subtotal</w:t>
            </w:r>
            <w:r w:rsidR="00A02586" w:rsidRPr="00DA737F">
              <w:rPr>
                <w:b/>
                <w:sz w:val="22"/>
                <w:szCs w:val="22"/>
              </w:rPr>
              <w:t>:</w:t>
            </w:r>
          </w:p>
        </w:tc>
        <w:tc>
          <w:tcPr>
            <w:tcW w:w="2160" w:type="dxa"/>
            <w:tcBorders>
              <w:bottom w:val="single" w:sz="4" w:space="0" w:color="000000"/>
            </w:tcBorders>
            <w:shd w:val="clear" w:color="auto" w:fill="D9D9D9" w:themeFill="background1" w:themeFillShade="D9"/>
          </w:tcPr>
          <w:p w:rsidR="00A02586" w:rsidRPr="00DA737F" w:rsidRDefault="004A5E89" w:rsidP="004A5E89">
            <w:pPr>
              <w:ind w:firstLine="375"/>
              <w:jc w:val="center"/>
              <w:rPr>
                <w:b/>
                <w:sz w:val="22"/>
                <w:szCs w:val="22"/>
              </w:rPr>
            </w:pPr>
            <w:r>
              <w:rPr>
                <w:b/>
                <w:sz w:val="22"/>
                <w:szCs w:val="22"/>
              </w:rPr>
              <w:t>US$</w:t>
            </w:r>
            <w:r w:rsidR="00A02586" w:rsidRPr="00DA737F">
              <w:rPr>
                <w:b/>
                <w:sz w:val="22"/>
                <w:szCs w:val="22"/>
              </w:rPr>
              <w:t xml:space="preserve"> </w:t>
            </w:r>
            <w:r w:rsidR="00DA737F">
              <w:rPr>
                <w:b/>
                <w:sz w:val="22"/>
                <w:szCs w:val="22"/>
              </w:rPr>
              <w:t>1</w:t>
            </w:r>
            <w:r w:rsidR="00A02586" w:rsidRPr="00DA737F">
              <w:rPr>
                <w:b/>
                <w:sz w:val="22"/>
                <w:szCs w:val="22"/>
              </w:rPr>
              <w:t>0</w:t>
            </w:r>
            <w:r>
              <w:rPr>
                <w:b/>
                <w:sz w:val="22"/>
                <w:szCs w:val="22"/>
              </w:rPr>
              <w:t>.</w:t>
            </w:r>
            <w:r w:rsidR="00A02586" w:rsidRPr="00DA737F">
              <w:rPr>
                <w:b/>
                <w:sz w:val="22"/>
                <w:szCs w:val="22"/>
              </w:rPr>
              <w:t>000</w:t>
            </w:r>
            <w:r>
              <w:rPr>
                <w:b/>
                <w:sz w:val="22"/>
                <w:szCs w:val="22"/>
              </w:rPr>
              <w:t xml:space="preserve"> a ser financiados por la CT BR-T1280 (US$5.000) y </w:t>
            </w:r>
            <w:proofErr w:type="spellStart"/>
            <w:r>
              <w:rPr>
                <w:b/>
                <w:sz w:val="22"/>
                <w:szCs w:val="22"/>
              </w:rPr>
              <w:t>presupesto</w:t>
            </w:r>
            <w:proofErr w:type="spellEnd"/>
            <w:r>
              <w:rPr>
                <w:b/>
                <w:sz w:val="22"/>
                <w:szCs w:val="22"/>
              </w:rPr>
              <w:t xml:space="preserve"> administrativo (US$5.000)</w:t>
            </w:r>
          </w:p>
        </w:tc>
      </w:tr>
      <w:tr w:rsidR="00DA737F" w:rsidRPr="00A02586" w:rsidTr="00DE1B38">
        <w:tc>
          <w:tcPr>
            <w:tcW w:w="11013" w:type="dxa"/>
            <w:gridSpan w:val="9"/>
            <w:shd w:val="clear" w:color="auto" w:fill="auto"/>
          </w:tcPr>
          <w:p w:rsidR="00DA737F" w:rsidRPr="00DA737F" w:rsidRDefault="004A5E89" w:rsidP="004A5E89">
            <w:pPr>
              <w:ind w:firstLine="375"/>
              <w:rPr>
                <w:b/>
                <w:sz w:val="22"/>
                <w:szCs w:val="22"/>
              </w:rPr>
            </w:pPr>
            <w:r>
              <w:rPr>
                <w:b/>
                <w:sz w:val="22"/>
                <w:szCs w:val="22"/>
              </w:rPr>
              <w:t xml:space="preserve">Evaluación </w:t>
            </w:r>
            <w:proofErr w:type="spellStart"/>
            <w:r>
              <w:rPr>
                <w:b/>
                <w:sz w:val="22"/>
                <w:szCs w:val="22"/>
              </w:rPr>
              <w:t>expost</w:t>
            </w:r>
            <w:proofErr w:type="spellEnd"/>
            <w:r>
              <w:rPr>
                <w:b/>
                <w:sz w:val="22"/>
                <w:szCs w:val="22"/>
              </w:rPr>
              <w:t xml:space="preserve"> de Impacto del Programa (</w:t>
            </w:r>
            <w:r w:rsidRPr="004A535E">
              <w:t>(estimador del impacto promedio del programa)</w:t>
            </w:r>
          </w:p>
        </w:tc>
      </w:tr>
      <w:tr w:rsidR="00DA737F" w:rsidRPr="00A02586" w:rsidTr="00DE1B38">
        <w:tc>
          <w:tcPr>
            <w:tcW w:w="1439" w:type="dxa"/>
            <w:shd w:val="clear" w:color="auto" w:fill="D9D9D9" w:themeFill="background1" w:themeFillShade="D9"/>
          </w:tcPr>
          <w:p w:rsidR="00DA737F" w:rsidRPr="00DA737F" w:rsidRDefault="00DA737F" w:rsidP="00DA737F">
            <w:pPr>
              <w:tabs>
                <w:tab w:val="left" w:pos="72"/>
                <w:tab w:val="left" w:pos="105"/>
              </w:tabs>
              <w:ind w:left="105"/>
              <w:rPr>
                <w:color w:val="000000"/>
                <w:sz w:val="22"/>
                <w:szCs w:val="22"/>
              </w:rPr>
            </w:pPr>
          </w:p>
        </w:tc>
        <w:tc>
          <w:tcPr>
            <w:tcW w:w="7414" w:type="dxa"/>
            <w:gridSpan w:val="7"/>
            <w:shd w:val="clear" w:color="auto" w:fill="D9D9D9" w:themeFill="background1" w:themeFillShade="D9"/>
          </w:tcPr>
          <w:p w:rsidR="00DA737F" w:rsidRPr="00DA737F" w:rsidRDefault="004A5E89" w:rsidP="00DA737F">
            <w:pPr>
              <w:ind w:firstLine="375"/>
              <w:jc w:val="right"/>
              <w:rPr>
                <w:b/>
                <w:sz w:val="22"/>
                <w:szCs w:val="22"/>
              </w:rPr>
            </w:pPr>
            <w:r>
              <w:rPr>
                <w:b/>
                <w:sz w:val="22"/>
                <w:szCs w:val="22"/>
              </w:rPr>
              <w:t>Subtotal</w:t>
            </w:r>
          </w:p>
        </w:tc>
        <w:tc>
          <w:tcPr>
            <w:tcW w:w="2160" w:type="dxa"/>
            <w:shd w:val="clear" w:color="auto" w:fill="D9D9D9" w:themeFill="background1" w:themeFillShade="D9"/>
          </w:tcPr>
          <w:p w:rsidR="00DA737F" w:rsidRPr="00DA737F" w:rsidRDefault="004A5E89" w:rsidP="00DA737F">
            <w:pPr>
              <w:ind w:firstLine="375"/>
              <w:jc w:val="center"/>
              <w:rPr>
                <w:b/>
                <w:sz w:val="22"/>
                <w:szCs w:val="22"/>
              </w:rPr>
            </w:pPr>
            <w:r>
              <w:rPr>
                <w:b/>
                <w:sz w:val="22"/>
                <w:szCs w:val="22"/>
              </w:rPr>
              <w:t>US$ 40.000 a ser financiados por la CT BR-T1280</w:t>
            </w:r>
          </w:p>
        </w:tc>
      </w:tr>
      <w:tr w:rsidR="004A5E89" w:rsidRPr="00A02586" w:rsidTr="00DE1B38">
        <w:tc>
          <w:tcPr>
            <w:tcW w:w="8853" w:type="dxa"/>
            <w:gridSpan w:val="8"/>
            <w:tcBorders>
              <w:bottom w:val="single" w:sz="4" w:space="0" w:color="000000"/>
            </w:tcBorders>
            <w:shd w:val="clear" w:color="auto" w:fill="D9D9D9" w:themeFill="background1" w:themeFillShade="D9"/>
          </w:tcPr>
          <w:p w:rsidR="004A5E89" w:rsidRDefault="004A5E89" w:rsidP="004A5E89">
            <w:pPr>
              <w:ind w:firstLine="375"/>
              <w:jc w:val="center"/>
              <w:rPr>
                <w:b/>
                <w:sz w:val="22"/>
                <w:szCs w:val="22"/>
              </w:rPr>
            </w:pPr>
            <w:r>
              <w:rPr>
                <w:b/>
                <w:sz w:val="22"/>
                <w:szCs w:val="22"/>
              </w:rPr>
              <w:t>TOTAL</w:t>
            </w:r>
          </w:p>
        </w:tc>
        <w:tc>
          <w:tcPr>
            <w:tcW w:w="2160" w:type="dxa"/>
            <w:tcBorders>
              <w:bottom w:val="single" w:sz="4" w:space="0" w:color="000000"/>
            </w:tcBorders>
            <w:shd w:val="clear" w:color="auto" w:fill="D9D9D9" w:themeFill="background1" w:themeFillShade="D9"/>
          </w:tcPr>
          <w:p w:rsidR="004A5E89" w:rsidRDefault="004A5E89" w:rsidP="00DA737F">
            <w:pPr>
              <w:ind w:firstLine="375"/>
              <w:jc w:val="center"/>
              <w:rPr>
                <w:b/>
                <w:sz w:val="22"/>
                <w:szCs w:val="22"/>
              </w:rPr>
            </w:pPr>
            <w:r>
              <w:rPr>
                <w:b/>
                <w:sz w:val="22"/>
                <w:szCs w:val="22"/>
              </w:rPr>
              <w:t>Us$50.000</w:t>
            </w:r>
          </w:p>
        </w:tc>
      </w:tr>
    </w:tbl>
    <w:p w:rsidR="00DA737F" w:rsidRDefault="00DA737F">
      <w:r>
        <w:br w:type="page"/>
      </w:r>
    </w:p>
    <w:tbl>
      <w:tblPr>
        <w:tblW w:w="11193" w:type="dxa"/>
        <w:tblInd w:w="-735" w:type="dxa"/>
        <w:tblLayout w:type="fixed"/>
        <w:tblLook w:val="00A0" w:firstRow="1" w:lastRow="0" w:firstColumn="1" w:lastColumn="0" w:noHBand="0" w:noVBand="0"/>
      </w:tblPr>
      <w:tblGrid>
        <w:gridCol w:w="11193"/>
      </w:tblGrid>
      <w:tr w:rsidR="000358DE" w:rsidRPr="00896813" w:rsidTr="000358DE">
        <w:tc>
          <w:tcPr>
            <w:tcW w:w="11193" w:type="dxa"/>
            <w:shd w:val="clear" w:color="auto" w:fill="auto"/>
          </w:tcPr>
          <w:p w:rsidR="000358DE" w:rsidRPr="000358DE" w:rsidRDefault="000358DE" w:rsidP="00DE1B38">
            <w:pPr>
              <w:ind w:left="-75" w:right="252"/>
              <w:jc w:val="center"/>
              <w:rPr>
                <w:b/>
                <w:sz w:val="22"/>
                <w:szCs w:val="22"/>
              </w:rPr>
            </w:pPr>
            <w:r w:rsidRPr="000358DE">
              <w:rPr>
                <w:b/>
                <w:sz w:val="22"/>
                <w:szCs w:val="22"/>
              </w:rPr>
              <w:lastRenderedPageBreak/>
              <w:t>ANEXO 1</w:t>
            </w:r>
          </w:p>
          <w:p w:rsidR="000358DE" w:rsidRPr="00777485" w:rsidRDefault="000358DE" w:rsidP="00DE1B38">
            <w:pPr>
              <w:ind w:left="-75" w:right="252"/>
              <w:jc w:val="center"/>
              <w:rPr>
                <w:rFonts w:ascii="Times New Roman Bold" w:hAnsi="Times New Roman Bold"/>
                <w:b/>
                <w:smallCaps/>
                <w:sz w:val="22"/>
                <w:szCs w:val="22"/>
              </w:rPr>
            </w:pPr>
            <w:r w:rsidRPr="00777485">
              <w:rPr>
                <w:rFonts w:ascii="Times New Roman Bold" w:hAnsi="Times New Roman Bold"/>
                <w:b/>
                <w:smallCaps/>
                <w:sz w:val="22"/>
                <w:szCs w:val="22"/>
              </w:rPr>
              <w:t xml:space="preserve">Plan de trabajo </w:t>
            </w:r>
            <w:r w:rsidR="00072078">
              <w:rPr>
                <w:rFonts w:ascii="Times New Roman Bold" w:hAnsi="Times New Roman Bold"/>
                <w:b/>
                <w:smallCaps/>
                <w:sz w:val="22"/>
                <w:szCs w:val="22"/>
              </w:rPr>
              <w:t xml:space="preserve">Detallado </w:t>
            </w:r>
            <w:r w:rsidRPr="00777485">
              <w:rPr>
                <w:rFonts w:ascii="Times New Roman Bold" w:hAnsi="Times New Roman Bold"/>
                <w:b/>
                <w:smallCaps/>
                <w:sz w:val="22"/>
                <w:szCs w:val="22"/>
              </w:rPr>
              <w:t>de seguimiento de las acciones de política</w:t>
            </w:r>
          </w:p>
          <w:p w:rsidR="000358DE" w:rsidRPr="000358DE" w:rsidRDefault="000358DE" w:rsidP="000358DE">
            <w:pPr>
              <w:ind w:left="1080"/>
              <w:jc w:val="center"/>
              <w:rPr>
                <w:b/>
                <w:sz w:val="20"/>
              </w:rPr>
            </w:pPr>
          </w:p>
        </w:tc>
      </w:tr>
    </w:tbl>
    <w:tbl>
      <w:tblPr>
        <w:tblStyle w:val="TableGrid"/>
        <w:tblW w:w="10710" w:type="dxa"/>
        <w:tblInd w:w="-702" w:type="dxa"/>
        <w:tblLayout w:type="fixed"/>
        <w:tblLook w:val="00A0" w:firstRow="1" w:lastRow="0" w:firstColumn="1" w:lastColumn="0" w:noHBand="0" w:noVBand="0"/>
      </w:tblPr>
      <w:tblGrid>
        <w:gridCol w:w="2718"/>
        <w:gridCol w:w="360"/>
        <w:gridCol w:w="360"/>
        <w:gridCol w:w="360"/>
        <w:gridCol w:w="360"/>
        <w:gridCol w:w="3132"/>
        <w:gridCol w:w="3420"/>
      </w:tblGrid>
      <w:tr w:rsidR="000358DE" w:rsidRPr="00896813" w:rsidTr="00DE1B38">
        <w:trPr>
          <w:trHeight w:val="431"/>
        </w:trPr>
        <w:tc>
          <w:tcPr>
            <w:tcW w:w="2718" w:type="dxa"/>
            <w:vMerge w:val="restart"/>
            <w:shd w:val="clear" w:color="auto" w:fill="D9D9D9" w:themeFill="background1" w:themeFillShade="D9"/>
          </w:tcPr>
          <w:p w:rsidR="000358DE" w:rsidRPr="00896813" w:rsidRDefault="000358DE" w:rsidP="00777485">
            <w:pPr>
              <w:jc w:val="center"/>
              <w:rPr>
                <w:b/>
                <w:sz w:val="18"/>
                <w:szCs w:val="18"/>
              </w:rPr>
            </w:pPr>
            <w:r w:rsidRPr="00896813">
              <w:rPr>
                <w:b/>
                <w:sz w:val="18"/>
                <w:szCs w:val="18"/>
              </w:rPr>
              <w:t>Actividades de seguimiento/Productos por actividad</w:t>
            </w:r>
          </w:p>
        </w:tc>
        <w:tc>
          <w:tcPr>
            <w:tcW w:w="1440" w:type="dxa"/>
            <w:gridSpan w:val="4"/>
            <w:shd w:val="clear" w:color="auto" w:fill="D9D9D9" w:themeFill="background1" w:themeFillShade="D9"/>
          </w:tcPr>
          <w:p w:rsidR="000358DE" w:rsidRPr="00896813" w:rsidRDefault="00C469A0" w:rsidP="00777485">
            <w:pPr>
              <w:jc w:val="center"/>
              <w:rPr>
                <w:b/>
                <w:sz w:val="18"/>
                <w:szCs w:val="18"/>
              </w:rPr>
            </w:pPr>
            <w:r>
              <w:rPr>
                <w:b/>
                <w:sz w:val="18"/>
                <w:szCs w:val="18"/>
              </w:rPr>
              <w:t>Semestre</w:t>
            </w:r>
          </w:p>
        </w:tc>
        <w:tc>
          <w:tcPr>
            <w:tcW w:w="3132" w:type="dxa"/>
            <w:vMerge w:val="restart"/>
            <w:shd w:val="clear" w:color="auto" w:fill="D9D9D9" w:themeFill="background1" w:themeFillShade="D9"/>
          </w:tcPr>
          <w:p w:rsidR="000358DE" w:rsidRPr="00896813" w:rsidRDefault="000358DE" w:rsidP="00777485">
            <w:pPr>
              <w:jc w:val="center"/>
              <w:rPr>
                <w:b/>
                <w:sz w:val="18"/>
                <w:szCs w:val="18"/>
              </w:rPr>
            </w:pPr>
            <w:r w:rsidRPr="00896813">
              <w:rPr>
                <w:b/>
                <w:sz w:val="18"/>
                <w:szCs w:val="18"/>
              </w:rPr>
              <w:t>Responsable</w:t>
            </w:r>
          </w:p>
        </w:tc>
        <w:tc>
          <w:tcPr>
            <w:tcW w:w="3420" w:type="dxa"/>
            <w:vMerge w:val="restart"/>
            <w:shd w:val="clear" w:color="auto" w:fill="D9D9D9" w:themeFill="background1" w:themeFillShade="D9"/>
          </w:tcPr>
          <w:p w:rsidR="000358DE" w:rsidRPr="00896813" w:rsidRDefault="000358DE" w:rsidP="00777485">
            <w:pPr>
              <w:jc w:val="center"/>
              <w:rPr>
                <w:b/>
                <w:sz w:val="18"/>
                <w:szCs w:val="18"/>
              </w:rPr>
            </w:pPr>
            <w:r w:rsidRPr="00896813">
              <w:rPr>
                <w:b/>
                <w:sz w:val="18"/>
                <w:szCs w:val="18"/>
              </w:rPr>
              <w:t>Fuente de verificación</w:t>
            </w:r>
          </w:p>
        </w:tc>
      </w:tr>
      <w:tr w:rsidR="000358DE" w:rsidRPr="00896813" w:rsidTr="00DE1B38">
        <w:trPr>
          <w:trHeight w:val="269"/>
        </w:trPr>
        <w:tc>
          <w:tcPr>
            <w:tcW w:w="2718" w:type="dxa"/>
            <w:vMerge/>
          </w:tcPr>
          <w:p w:rsidR="000358DE" w:rsidRPr="00896813" w:rsidRDefault="000358DE" w:rsidP="00777485">
            <w:pPr>
              <w:jc w:val="center"/>
              <w:rPr>
                <w:sz w:val="18"/>
                <w:szCs w:val="18"/>
              </w:rPr>
            </w:pPr>
          </w:p>
        </w:tc>
        <w:tc>
          <w:tcPr>
            <w:tcW w:w="360" w:type="dxa"/>
            <w:shd w:val="clear" w:color="auto" w:fill="D9D9D9" w:themeFill="background1" w:themeFillShade="D9"/>
          </w:tcPr>
          <w:p w:rsidR="000358DE" w:rsidRPr="00896813" w:rsidRDefault="000358DE" w:rsidP="00777485">
            <w:pPr>
              <w:jc w:val="center"/>
              <w:rPr>
                <w:b/>
                <w:sz w:val="18"/>
                <w:szCs w:val="18"/>
              </w:rPr>
            </w:pPr>
            <w:r w:rsidRPr="00896813">
              <w:rPr>
                <w:b/>
                <w:sz w:val="18"/>
                <w:szCs w:val="18"/>
              </w:rPr>
              <w:t>1</w:t>
            </w:r>
          </w:p>
        </w:tc>
        <w:tc>
          <w:tcPr>
            <w:tcW w:w="360" w:type="dxa"/>
            <w:shd w:val="clear" w:color="auto" w:fill="D9D9D9" w:themeFill="background1" w:themeFillShade="D9"/>
          </w:tcPr>
          <w:p w:rsidR="000358DE" w:rsidRPr="00896813" w:rsidRDefault="000358DE" w:rsidP="00777485">
            <w:pPr>
              <w:jc w:val="center"/>
              <w:rPr>
                <w:b/>
                <w:sz w:val="18"/>
                <w:szCs w:val="18"/>
              </w:rPr>
            </w:pPr>
            <w:r w:rsidRPr="00896813">
              <w:rPr>
                <w:b/>
                <w:sz w:val="18"/>
                <w:szCs w:val="18"/>
              </w:rPr>
              <w:t>2</w:t>
            </w:r>
          </w:p>
        </w:tc>
        <w:tc>
          <w:tcPr>
            <w:tcW w:w="360" w:type="dxa"/>
            <w:shd w:val="clear" w:color="auto" w:fill="D9D9D9" w:themeFill="background1" w:themeFillShade="D9"/>
          </w:tcPr>
          <w:p w:rsidR="000358DE" w:rsidRPr="00896813" w:rsidRDefault="000358DE" w:rsidP="00777485">
            <w:pPr>
              <w:jc w:val="center"/>
              <w:rPr>
                <w:b/>
                <w:sz w:val="18"/>
                <w:szCs w:val="18"/>
              </w:rPr>
            </w:pPr>
            <w:r w:rsidRPr="00896813">
              <w:rPr>
                <w:b/>
                <w:sz w:val="18"/>
                <w:szCs w:val="18"/>
              </w:rPr>
              <w:t>3</w:t>
            </w:r>
          </w:p>
        </w:tc>
        <w:tc>
          <w:tcPr>
            <w:tcW w:w="360" w:type="dxa"/>
            <w:shd w:val="clear" w:color="auto" w:fill="D9D9D9" w:themeFill="background1" w:themeFillShade="D9"/>
          </w:tcPr>
          <w:p w:rsidR="000358DE" w:rsidRPr="00896813" w:rsidRDefault="000358DE" w:rsidP="00777485">
            <w:pPr>
              <w:jc w:val="center"/>
              <w:rPr>
                <w:b/>
                <w:sz w:val="18"/>
                <w:szCs w:val="18"/>
              </w:rPr>
            </w:pPr>
            <w:r w:rsidRPr="00896813">
              <w:rPr>
                <w:b/>
                <w:sz w:val="18"/>
                <w:szCs w:val="18"/>
              </w:rPr>
              <w:t>4</w:t>
            </w:r>
          </w:p>
        </w:tc>
        <w:tc>
          <w:tcPr>
            <w:tcW w:w="3132" w:type="dxa"/>
            <w:vMerge/>
          </w:tcPr>
          <w:p w:rsidR="000358DE" w:rsidRPr="00896813" w:rsidRDefault="000358DE" w:rsidP="00777485">
            <w:pPr>
              <w:jc w:val="center"/>
              <w:rPr>
                <w:sz w:val="18"/>
                <w:szCs w:val="18"/>
              </w:rPr>
            </w:pPr>
          </w:p>
        </w:tc>
        <w:tc>
          <w:tcPr>
            <w:tcW w:w="3420" w:type="dxa"/>
            <w:vMerge/>
          </w:tcPr>
          <w:p w:rsidR="000358DE" w:rsidRPr="00896813" w:rsidRDefault="000358DE" w:rsidP="00777485">
            <w:pPr>
              <w:jc w:val="center"/>
              <w:rPr>
                <w:sz w:val="18"/>
                <w:szCs w:val="18"/>
              </w:rPr>
            </w:pPr>
          </w:p>
        </w:tc>
      </w:tr>
      <w:tr w:rsidR="000358DE" w:rsidRPr="00896813" w:rsidTr="00DE1B38">
        <w:trPr>
          <w:trHeight w:val="1295"/>
        </w:trPr>
        <w:tc>
          <w:tcPr>
            <w:tcW w:w="2718" w:type="dxa"/>
          </w:tcPr>
          <w:p w:rsidR="000358DE" w:rsidRPr="00896813" w:rsidRDefault="000358DE" w:rsidP="000358DE">
            <w:pPr>
              <w:tabs>
                <w:tab w:val="left" w:pos="72"/>
                <w:tab w:val="left" w:pos="342"/>
              </w:tabs>
              <w:rPr>
                <w:sz w:val="18"/>
                <w:szCs w:val="18"/>
              </w:rPr>
            </w:pPr>
            <w:r w:rsidRPr="00896813">
              <w:rPr>
                <w:sz w:val="18"/>
                <w:szCs w:val="18"/>
              </w:rPr>
              <w:t xml:space="preserve">Monitoreo del mantenimiento de un contexto macroeconómico favorable del país y del Estado para el alcance de los objetivos del Programa. </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0358DE">
            <w:pPr>
              <w:rPr>
                <w:sz w:val="18"/>
                <w:szCs w:val="18"/>
              </w:rPr>
            </w:pPr>
            <w:r w:rsidRPr="00896813">
              <w:rPr>
                <w:sz w:val="18"/>
                <w:szCs w:val="18"/>
              </w:rPr>
              <w:t>Equipo del proyecto con apoyo de consultor</w:t>
            </w:r>
          </w:p>
        </w:tc>
        <w:tc>
          <w:tcPr>
            <w:tcW w:w="3420" w:type="dxa"/>
          </w:tcPr>
          <w:p w:rsidR="000358DE" w:rsidRPr="00896813" w:rsidRDefault="000358DE" w:rsidP="00777485">
            <w:pPr>
              <w:rPr>
                <w:sz w:val="18"/>
                <w:szCs w:val="18"/>
              </w:rPr>
            </w:pPr>
            <w:r w:rsidRPr="00896813">
              <w:rPr>
                <w:sz w:val="18"/>
                <w:szCs w:val="18"/>
              </w:rPr>
              <w:t>IMA (</w:t>
            </w:r>
            <w:proofErr w:type="spellStart"/>
            <w:r w:rsidRPr="00896813">
              <w:rPr>
                <w:i/>
                <w:sz w:val="18"/>
                <w:szCs w:val="18"/>
              </w:rPr>
              <w:t>Independent</w:t>
            </w:r>
            <w:proofErr w:type="spellEnd"/>
            <w:r w:rsidRPr="00896813">
              <w:rPr>
                <w:i/>
                <w:sz w:val="18"/>
                <w:szCs w:val="18"/>
              </w:rPr>
              <w:t xml:space="preserve"> </w:t>
            </w:r>
            <w:proofErr w:type="spellStart"/>
            <w:r w:rsidRPr="00896813">
              <w:rPr>
                <w:i/>
                <w:sz w:val="18"/>
                <w:szCs w:val="18"/>
              </w:rPr>
              <w:t>Macroeconomic</w:t>
            </w:r>
            <w:proofErr w:type="spellEnd"/>
            <w:r w:rsidRPr="00896813">
              <w:rPr>
                <w:i/>
                <w:sz w:val="18"/>
                <w:szCs w:val="18"/>
              </w:rPr>
              <w:t xml:space="preserve"> </w:t>
            </w:r>
            <w:proofErr w:type="spellStart"/>
            <w:r w:rsidRPr="00896813">
              <w:rPr>
                <w:i/>
                <w:sz w:val="18"/>
                <w:szCs w:val="18"/>
              </w:rPr>
              <w:t>Assessment</w:t>
            </w:r>
            <w:proofErr w:type="spellEnd"/>
            <w:r w:rsidRPr="00896813">
              <w:rPr>
                <w:sz w:val="18"/>
                <w:szCs w:val="18"/>
              </w:rPr>
              <w:t xml:space="preserve">) elaborada por el Banco </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rPr>
              <w:t xml:space="preserve">Monitoreo del mantenimiento de la sustentabilidad fiscal del Estado, mediante el Cumplimiento de las metas fiscales I y II acordadas con el gobierno federal en el ámbito del Programa de Reestructuración y Ajuste Fiscal PAF vigente. </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rPr>
              <w:t>Monitoreo de la implantación</w:t>
            </w:r>
            <w:r w:rsidR="009668EF">
              <w:rPr>
                <w:sz w:val="18"/>
                <w:szCs w:val="18"/>
              </w:rPr>
              <w:t xml:space="preserve"> </w:t>
            </w:r>
            <w:r w:rsidRPr="00896813">
              <w:rPr>
                <w:sz w:val="18"/>
                <w:szCs w:val="18"/>
              </w:rPr>
              <w:t>del nuevo modelo de monitoreo del comportamiento fiscal de los contribuyentes, con base en el cruce de informaciones e inteligencia fiscal.</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rPr>
              <w:t>Monitoreo de la implantación del monitoreo de la información fiscal</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Monitoreo de la reglamentación del Proceso Administrativo Tributario común o especial, contencioso o non, incluyo el proveniente de lanzamiento de crédito tributario, control y fiscalización e de denuncia espontánea, entre otros.</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Monitoreo de la reglamentación del procedimiento de simples comunicación a los contribuyentes con indicios de irregularidades identificados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Monitoreo de la reglamentación de los procedimientos de auditoria tributaria</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Creación y reglamentación del Comité Gestor da Acción Fiscal</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t>Monitoreo de la reglamentación de los criterios para distribución de los procesos en la SEFAZ</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t xml:space="preserve">Monitoreo de la implantación del control gerencial </w:t>
            </w:r>
            <w:r w:rsidRPr="000358DE">
              <w:rPr>
                <w:sz w:val="18"/>
                <w:szCs w:val="18"/>
                <w:lang w:eastAsia="ar-SA"/>
              </w:rPr>
              <w:t>del desempeño de los juzgadores de 1ª Instancia</w:t>
            </w:r>
          </w:p>
        </w:tc>
        <w:tc>
          <w:tcPr>
            <w:tcW w:w="360" w:type="dxa"/>
          </w:tcPr>
          <w:p w:rsidR="000358DE" w:rsidRPr="000358DE" w:rsidRDefault="000358DE" w:rsidP="00777485">
            <w:pPr>
              <w:jc w:val="center"/>
              <w:rPr>
                <w:sz w:val="18"/>
                <w:szCs w:val="18"/>
              </w:rPr>
            </w:pPr>
          </w:p>
        </w:tc>
        <w:tc>
          <w:tcPr>
            <w:tcW w:w="360" w:type="dxa"/>
          </w:tcPr>
          <w:p w:rsidR="000358DE" w:rsidRPr="000358DE" w:rsidRDefault="000358DE" w:rsidP="00777485">
            <w:pPr>
              <w:jc w:val="center"/>
              <w:rPr>
                <w:sz w:val="18"/>
                <w:szCs w:val="18"/>
              </w:rPr>
            </w:pPr>
          </w:p>
        </w:tc>
        <w:tc>
          <w:tcPr>
            <w:tcW w:w="360" w:type="dxa"/>
          </w:tcPr>
          <w:p w:rsidR="000358DE" w:rsidRPr="000358DE"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Monitoreo de la Reglamentación de un modelo de Gestión para Resultados contemplando acuerdo de metas e acompañamiento de resultados en el ingreso del ICMS</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rPr>
              <w:t>Monitoreo de la implantación del</w:t>
            </w:r>
            <w:r w:rsidRPr="00896813">
              <w:rPr>
                <w:sz w:val="18"/>
                <w:szCs w:val="18"/>
                <w:lang w:eastAsia="ar-SA"/>
              </w:rPr>
              <w:t xml:space="preserve"> acuerdo de metas con sistemática de seguimiento de resultados en el ingreso del</w:t>
            </w:r>
            <w:r w:rsidR="009668EF">
              <w:rPr>
                <w:sz w:val="18"/>
                <w:szCs w:val="18"/>
                <w:lang w:eastAsia="ar-SA"/>
              </w:rPr>
              <w:t xml:space="preserve"> </w:t>
            </w:r>
            <w:r w:rsidRPr="00896813">
              <w:rPr>
                <w:sz w:val="18"/>
                <w:szCs w:val="18"/>
                <w:lang w:eastAsia="ar-SA"/>
              </w:rPr>
              <w:t>ICMS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bl>
    <w:p w:rsidR="0058618A" w:rsidRDefault="0058618A">
      <w:r>
        <w:br w:type="page"/>
      </w:r>
    </w:p>
    <w:tbl>
      <w:tblPr>
        <w:tblStyle w:val="TableGrid"/>
        <w:tblW w:w="10710" w:type="dxa"/>
        <w:tblInd w:w="-702" w:type="dxa"/>
        <w:tblLayout w:type="fixed"/>
        <w:tblLook w:val="00A0" w:firstRow="1" w:lastRow="0" w:firstColumn="1" w:lastColumn="0" w:noHBand="0" w:noVBand="0"/>
      </w:tblPr>
      <w:tblGrid>
        <w:gridCol w:w="2718"/>
        <w:gridCol w:w="360"/>
        <w:gridCol w:w="360"/>
        <w:gridCol w:w="360"/>
        <w:gridCol w:w="360"/>
        <w:gridCol w:w="3132"/>
        <w:gridCol w:w="3420"/>
      </w:tblGrid>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lastRenderedPageBreak/>
              <w:t xml:space="preserve">Monitoreo de la reestructuración organizacional de la PGE/PFE, </w:t>
            </w:r>
            <w:r>
              <w:rPr>
                <w:sz w:val="18"/>
                <w:szCs w:val="18"/>
                <w:lang w:eastAsia="ar-SA"/>
              </w:rPr>
              <w:t>par</w:t>
            </w:r>
            <w:r w:rsidRPr="00896813">
              <w:rPr>
                <w:sz w:val="18"/>
                <w:szCs w:val="18"/>
                <w:lang w:eastAsia="ar-SA"/>
              </w:rPr>
              <w:t>a</w:t>
            </w:r>
            <w:r>
              <w:rPr>
                <w:sz w:val="18"/>
                <w:szCs w:val="18"/>
                <w:lang w:eastAsia="ar-SA"/>
              </w:rPr>
              <w:t xml:space="preserve"> alcanzar</w:t>
            </w:r>
            <w:r w:rsidRPr="00896813">
              <w:rPr>
                <w:sz w:val="18"/>
                <w:szCs w:val="18"/>
                <w:lang w:eastAsia="ar-SA"/>
              </w:rPr>
              <w:t xml:space="preserve"> una mayor efectividad en la recuperación del crédito tributario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t xml:space="preserve">Monitoreo de la institución de los criterios y estandarización de los procedimientos para la actuación de los Procuradores </w:t>
            </w:r>
            <w:r>
              <w:rPr>
                <w:sz w:val="18"/>
                <w:szCs w:val="18"/>
                <w:lang w:eastAsia="ar-SA"/>
              </w:rPr>
              <w:t xml:space="preserve">de </w:t>
            </w:r>
            <w:r w:rsidRPr="00896813">
              <w:rPr>
                <w:sz w:val="18"/>
                <w:szCs w:val="18"/>
                <w:lang w:eastAsia="ar-SA"/>
              </w:rPr>
              <w:t>PGE/PFE</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t xml:space="preserve">Monitoreo de la creación de comité para la normalización de </w:t>
            </w:r>
            <w:r>
              <w:rPr>
                <w:sz w:val="18"/>
                <w:szCs w:val="18"/>
                <w:lang w:eastAsia="ar-SA"/>
              </w:rPr>
              <w:t>procedimientos</w:t>
            </w:r>
            <w:r w:rsidRPr="00896813">
              <w:rPr>
                <w:sz w:val="18"/>
                <w:szCs w:val="18"/>
                <w:lang w:eastAsia="ar-SA"/>
              </w:rPr>
              <w:t xml:space="preserve"> gerenciales de proceso e sistemática de acompañamiento en la</w:t>
            </w:r>
            <w:r w:rsidR="009668EF">
              <w:rPr>
                <w:sz w:val="18"/>
                <w:szCs w:val="18"/>
                <w:lang w:eastAsia="ar-SA"/>
              </w:rPr>
              <w:t xml:space="preserve"> </w:t>
            </w:r>
            <w:r w:rsidRPr="00896813">
              <w:rPr>
                <w:sz w:val="18"/>
                <w:szCs w:val="18"/>
                <w:lang w:eastAsia="ar-SA"/>
              </w:rPr>
              <w:t>Superintendencia del Tesoro Estadual (STE)</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rPr>
            </w:pPr>
            <w:r w:rsidRPr="00896813">
              <w:rPr>
                <w:sz w:val="18"/>
                <w:szCs w:val="18"/>
                <w:lang w:eastAsia="ar-SA"/>
              </w:rPr>
              <w:t xml:space="preserve">Monitoreo de la implantación de </w:t>
            </w:r>
            <w:r>
              <w:rPr>
                <w:sz w:val="18"/>
                <w:szCs w:val="18"/>
                <w:lang w:eastAsia="ar-SA"/>
              </w:rPr>
              <w:t>procedimientos</w:t>
            </w:r>
            <w:r w:rsidRPr="00896813">
              <w:rPr>
                <w:sz w:val="18"/>
                <w:szCs w:val="18"/>
                <w:lang w:eastAsia="ar-SA"/>
              </w:rPr>
              <w:t xml:space="preserve"> gerenciales de proceso e sistemática de acompañamiento en la</w:t>
            </w:r>
            <w:r w:rsidR="009668EF">
              <w:rPr>
                <w:sz w:val="18"/>
                <w:szCs w:val="18"/>
                <w:lang w:eastAsia="ar-SA"/>
              </w:rPr>
              <w:t xml:space="preserve"> </w:t>
            </w:r>
            <w:r w:rsidRPr="00896813">
              <w:rPr>
                <w:sz w:val="18"/>
                <w:szCs w:val="18"/>
                <w:lang w:eastAsia="ar-SA"/>
              </w:rPr>
              <w:t>Superintendencia del Tesoro Estadual (STE)</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creación de una Comisión Mista para elaboración de la especificaciones funcionales del sistema informatizado de monitoreo de convenios e sus contratos</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rPr>
              <w:t xml:space="preserve">Monitoreo de la definición de los </w:t>
            </w:r>
            <w:r w:rsidRPr="00896813">
              <w:rPr>
                <w:sz w:val="18"/>
                <w:szCs w:val="18"/>
                <w:lang w:eastAsia="ar-SA"/>
              </w:rPr>
              <w:t>objetivos y requisitos para el control y gestión de los convenios y sus contratos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reglamentación del Programa de Mejoría del Gasto Público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Implantación del Programa de Mejoría del</w:t>
            </w:r>
            <w:r w:rsidR="009668EF">
              <w:rPr>
                <w:sz w:val="18"/>
                <w:szCs w:val="18"/>
                <w:lang w:eastAsia="ar-SA"/>
              </w:rPr>
              <w:t xml:space="preserve"> </w:t>
            </w:r>
            <w:r w:rsidRPr="00896813">
              <w:rPr>
                <w:sz w:val="18"/>
                <w:szCs w:val="18"/>
                <w:lang w:eastAsia="ar-SA"/>
              </w:rPr>
              <w:t>Gasto Público.</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reglamentación de la obligatoriedad de la utilización del sistema de registro de precios en las contrataciones públicas estatales.</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Implantación de la utilización del sistema de registro de precios en las contrataciones públicas estatales.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reglamentación de l</w:t>
            </w:r>
            <w:r w:rsidRPr="00896813">
              <w:rPr>
                <w:sz w:val="18"/>
                <w:szCs w:val="18"/>
              </w:rPr>
              <w:t xml:space="preserve">os </w:t>
            </w:r>
            <w:r w:rsidRPr="00896813">
              <w:rPr>
                <w:sz w:val="18"/>
                <w:szCs w:val="18"/>
                <w:lang w:eastAsia="ar-SA"/>
              </w:rPr>
              <w:t>procedimientos de actuación del Estado para r</w:t>
            </w:r>
            <w:r w:rsidRPr="00896813">
              <w:rPr>
                <w:sz w:val="18"/>
                <w:szCs w:val="18"/>
              </w:rPr>
              <w:t xml:space="preserve">ecuperación de las contribuciones realizadas por los funcionarios públicos de AL </w:t>
            </w:r>
            <w:proofErr w:type="spellStart"/>
            <w:r w:rsidRPr="00896813">
              <w:rPr>
                <w:sz w:val="18"/>
                <w:szCs w:val="18"/>
              </w:rPr>
              <w:t>al</w:t>
            </w:r>
            <w:proofErr w:type="spellEnd"/>
            <w:r w:rsidRPr="00896813">
              <w:rPr>
                <w:sz w:val="18"/>
                <w:szCs w:val="18"/>
              </w:rPr>
              <w:t xml:space="preserve"> régimen de la Seguridad Social </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Default="000358DE" w:rsidP="00777485">
            <w:pPr>
              <w:tabs>
                <w:tab w:val="left" w:pos="72"/>
                <w:tab w:val="left" w:pos="342"/>
              </w:tabs>
              <w:rPr>
                <w:sz w:val="18"/>
                <w:szCs w:val="18"/>
              </w:rPr>
            </w:pPr>
            <w:r w:rsidRPr="00896813">
              <w:rPr>
                <w:sz w:val="18"/>
                <w:szCs w:val="18"/>
                <w:lang w:eastAsia="ar-SA"/>
              </w:rPr>
              <w:t>Monitoreo de la implantación de los procedimientos de supervisión de los trabajos de r</w:t>
            </w:r>
            <w:r w:rsidRPr="00896813">
              <w:rPr>
                <w:sz w:val="18"/>
                <w:szCs w:val="18"/>
              </w:rPr>
              <w:t xml:space="preserve">ecuperación de las Contribuciones realizadas por los funcionarios públicos de AL </w:t>
            </w:r>
            <w:proofErr w:type="spellStart"/>
            <w:r w:rsidRPr="00896813">
              <w:rPr>
                <w:sz w:val="18"/>
                <w:szCs w:val="18"/>
              </w:rPr>
              <w:t>al</w:t>
            </w:r>
            <w:proofErr w:type="spellEnd"/>
            <w:r w:rsidRPr="00896813">
              <w:rPr>
                <w:sz w:val="18"/>
                <w:szCs w:val="18"/>
              </w:rPr>
              <w:t xml:space="preserve"> régimen de la Seguridad Social </w:t>
            </w:r>
          </w:p>
          <w:p w:rsidR="00C469A0" w:rsidRPr="00896813" w:rsidRDefault="00C469A0" w:rsidP="00777485">
            <w:pPr>
              <w:tabs>
                <w:tab w:val="left" w:pos="72"/>
                <w:tab w:val="left" w:pos="342"/>
              </w:tabs>
              <w:rPr>
                <w:sz w:val="18"/>
                <w:szCs w:val="18"/>
                <w:lang w:eastAsia="ar-SA"/>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 xml:space="preserve">Informe de consultoría </w:t>
            </w:r>
          </w:p>
        </w:tc>
      </w:tr>
    </w:tbl>
    <w:p w:rsidR="0058618A" w:rsidRDefault="0058618A">
      <w:r>
        <w:br w:type="page"/>
      </w:r>
    </w:p>
    <w:tbl>
      <w:tblPr>
        <w:tblStyle w:val="TableGrid"/>
        <w:tblW w:w="10710" w:type="dxa"/>
        <w:tblInd w:w="-702" w:type="dxa"/>
        <w:tblLayout w:type="fixed"/>
        <w:tblLook w:val="00A0" w:firstRow="1" w:lastRow="0" w:firstColumn="1" w:lastColumn="0" w:noHBand="0" w:noVBand="0"/>
      </w:tblPr>
      <w:tblGrid>
        <w:gridCol w:w="2718"/>
        <w:gridCol w:w="360"/>
        <w:gridCol w:w="360"/>
        <w:gridCol w:w="360"/>
        <w:gridCol w:w="360"/>
        <w:gridCol w:w="3132"/>
        <w:gridCol w:w="3420"/>
      </w:tblGrid>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lastRenderedPageBreak/>
              <w:t>Monitoreo de la publicación de la Ley Presupuestaria Anual (LOA) que contemple una fuente presupuestaria exclusiva referente al Programa de Consolidación del Equilibrio Fiscal para el Desarrollo Económico y Social del Estado de Alagoas - PROCONFIS AL</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 xml:space="preserve">Monitoreo de la </w:t>
            </w:r>
            <w:r w:rsidRPr="00896813">
              <w:rPr>
                <w:sz w:val="18"/>
                <w:szCs w:val="18"/>
                <w:lang w:eastAsia="ar-SA"/>
              </w:rPr>
              <w:t xml:space="preserve">reglamentación </w:t>
            </w:r>
            <w:r w:rsidRPr="00896813">
              <w:rPr>
                <w:sz w:val="18"/>
                <w:szCs w:val="18"/>
              </w:rPr>
              <w:t>del Programa Alagoas Tiene Presa.</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Monitoreo de la definición de los procedimientos del monitoreo y control de los Proyectos Prioritarios en el ámbito del Programa Alagoas Tiene Presa.</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Monitoreo de la i</w:t>
            </w:r>
            <w:r w:rsidRPr="00896813">
              <w:rPr>
                <w:sz w:val="18"/>
                <w:szCs w:val="18"/>
                <w:lang w:eastAsia="ar-SA"/>
              </w:rPr>
              <w:t xml:space="preserve">nstitución de los procedimientos para el </w:t>
            </w:r>
            <w:r w:rsidRPr="00896813">
              <w:rPr>
                <w:sz w:val="18"/>
                <w:szCs w:val="18"/>
              </w:rPr>
              <w:t>proceso de elaboración de la Ley de Directrices Presupuestaria (LDO).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rPr>
              <w:t>Monitoreo de la i</w:t>
            </w:r>
            <w:r w:rsidRPr="00896813">
              <w:rPr>
                <w:sz w:val="18"/>
                <w:szCs w:val="18"/>
                <w:lang w:eastAsia="ar-SA"/>
              </w:rPr>
              <w:t xml:space="preserve">nstitución de los procedimientos para el </w:t>
            </w:r>
            <w:r w:rsidRPr="00896813">
              <w:rPr>
                <w:sz w:val="18"/>
                <w:szCs w:val="18"/>
              </w:rPr>
              <w:t>proceso de elaboración del Plan Plurianual (PPA).</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 xml:space="preserve">Monitoreo de la creación y reglamentación </w:t>
            </w:r>
            <w:r w:rsidRPr="00896813">
              <w:rPr>
                <w:sz w:val="18"/>
                <w:szCs w:val="18"/>
              </w:rPr>
              <w:t>del portal de datos e informaciones socioeconómicas y geográficas del Estado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producción y consolidación de datos e informaciones socioeconómicas del Estado, mediante la creación del portal</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jc w:val="cente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 xml:space="preserve">Monitoreo de la creación y reglamentación de </w:t>
            </w:r>
            <w:r w:rsidRPr="00896813">
              <w:rPr>
                <w:sz w:val="18"/>
                <w:szCs w:val="18"/>
              </w:rPr>
              <w:t>unidad de monitoreo de las operaciones de crédito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rPr>
            </w:pPr>
            <w:r w:rsidRPr="00896813">
              <w:rPr>
                <w:sz w:val="18"/>
                <w:szCs w:val="18"/>
                <w:lang w:eastAsia="ar-SA"/>
              </w:rPr>
              <w:t>Monitoreo de la i</w:t>
            </w:r>
            <w:r w:rsidRPr="00896813">
              <w:rPr>
                <w:sz w:val="18"/>
                <w:szCs w:val="18"/>
              </w:rPr>
              <w:t>mplantación de los Procedimientos Estandarizados para captación y monitoreo de las operaciones de crédito</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 xml:space="preserve">Monitoreo de la Certificación </w:t>
            </w:r>
            <w:r w:rsidRPr="00896813">
              <w:rPr>
                <w:sz w:val="18"/>
                <w:szCs w:val="18"/>
              </w:rPr>
              <w:t>del Sistema de Gestión de la SEPLANDE</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0358DE">
            <w:pPr>
              <w:tabs>
                <w:tab w:val="left" w:pos="72"/>
                <w:tab w:val="left" w:pos="342"/>
              </w:tabs>
              <w:rPr>
                <w:sz w:val="18"/>
                <w:szCs w:val="18"/>
                <w:lang w:eastAsia="ar-SA"/>
              </w:rPr>
            </w:pPr>
            <w:r w:rsidRPr="00896813">
              <w:rPr>
                <w:sz w:val="18"/>
                <w:szCs w:val="18"/>
                <w:lang w:eastAsia="ar-SA"/>
              </w:rPr>
              <w:t>Monitoreo de la a</w:t>
            </w:r>
            <w:r w:rsidRPr="00896813">
              <w:rPr>
                <w:sz w:val="18"/>
                <w:szCs w:val="18"/>
              </w:rPr>
              <w:t xml:space="preserve">mpliación del </w:t>
            </w:r>
            <w:r>
              <w:rPr>
                <w:sz w:val="18"/>
                <w:szCs w:val="18"/>
              </w:rPr>
              <w:t>alcance</w:t>
            </w:r>
            <w:r w:rsidRPr="00896813">
              <w:rPr>
                <w:sz w:val="18"/>
                <w:szCs w:val="18"/>
              </w:rPr>
              <w:t xml:space="preserve"> de la certificación de la norma NBR ISO 9001:2008, con incorporación de nuevas áreas da SEPLANDE</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0358DE">
            <w:pPr>
              <w:tabs>
                <w:tab w:val="left" w:pos="72"/>
                <w:tab w:val="left" w:pos="342"/>
              </w:tabs>
              <w:rPr>
                <w:sz w:val="18"/>
                <w:szCs w:val="18"/>
                <w:lang w:eastAsia="ar-SA"/>
              </w:rPr>
            </w:pPr>
            <w:r w:rsidRPr="00896813">
              <w:rPr>
                <w:sz w:val="18"/>
                <w:szCs w:val="18"/>
                <w:lang w:eastAsia="ar-SA"/>
              </w:rPr>
              <w:t>Monitoreo de la reglamentación en el á</w:t>
            </w:r>
            <w:r w:rsidRPr="00896813">
              <w:rPr>
                <w:sz w:val="18"/>
                <w:szCs w:val="18"/>
              </w:rPr>
              <w:t xml:space="preserve">mbito del Poder Ejecutivo estatal de la Ley Federal de </w:t>
            </w:r>
            <w:r>
              <w:rPr>
                <w:sz w:val="18"/>
                <w:szCs w:val="18"/>
              </w:rPr>
              <w:t>Acceso</w:t>
            </w:r>
            <w:r w:rsidRPr="00896813">
              <w:rPr>
                <w:sz w:val="18"/>
                <w:szCs w:val="18"/>
              </w:rPr>
              <w:t xml:space="preserve"> a la Información</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0358DE">
            <w:pPr>
              <w:tabs>
                <w:tab w:val="left" w:pos="72"/>
                <w:tab w:val="left" w:pos="342"/>
              </w:tabs>
              <w:rPr>
                <w:sz w:val="18"/>
                <w:szCs w:val="18"/>
                <w:lang w:eastAsia="ar-SA"/>
              </w:rPr>
            </w:pPr>
            <w:r w:rsidRPr="00896813">
              <w:rPr>
                <w:sz w:val="18"/>
                <w:szCs w:val="18"/>
                <w:lang w:eastAsia="ar-SA"/>
              </w:rPr>
              <w:t>Monitoreo de la i</w:t>
            </w:r>
            <w:r w:rsidRPr="00896813">
              <w:rPr>
                <w:sz w:val="18"/>
                <w:szCs w:val="18"/>
              </w:rPr>
              <w:t xml:space="preserve">mplantación de la política de </w:t>
            </w:r>
            <w:r>
              <w:rPr>
                <w:sz w:val="18"/>
                <w:szCs w:val="18"/>
              </w:rPr>
              <w:t>acceso</w:t>
            </w:r>
            <w:r w:rsidRPr="00896813">
              <w:rPr>
                <w:sz w:val="18"/>
                <w:szCs w:val="18"/>
              </w:rPr>
              <w:t xml:space="preserve"> a la Información en el</w:t>
            </w:r>
            <w:r w:rsidR="009668EF">
              <w:rPr>
                <w:sz w:val="18"/>
                <w:szCs w:val="18"/>
              </w:rPr>
              <w:t xml:space="preserve"> </w:t>
            </w:r>
            <w:r w:rsidRPr="00896813">
              <w:rPr>
                <w:sz w:val="18"/>
                <w:szCs w:val="18"/>
              </w:rPr>
              <w:t>Estado</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i</w:t>
            </w:r>
            <w:r w:rsidRPr="00896813">
              <w:rPr>
                <w:sz w:val="18"/>
                <w:szCs w:val="18"/>
              </w:rPr>
              <w:t>mplantación del</w:t>
            </w:r>
            <w:r w:rsidRPr="00896813">
              <w:rPr>
                <w:sz w:val="18"/>
                <w:szCs w:val="18"/>
                <w:lang w:eastAsia="ar-SA"/>
              </w:rPr>
              <w:t xml:space="preserve"> Plano Estatal de Turismo - PET 2013-2023</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 xml:space="preserve">Monitoreo de la realización de un diagnóstico del sistema estadístico turístico de Alagoas </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lastRenderedPageBreak/>
              <w:t>Monitoreo de la i</w:t>
            </w:r>
            <w:r w:rsidRPr="00896813">
              <w:rPr>
                <w:sz w:val="18"/>
                <w:szCs w:val="18"/>
              </w:rPr>
              <w:t>mplantación de</w:t>
            </w:r>
            <w:r w:rsidRPr="00896813">
              <w:rPr>
                <w:sz w:val="18"/>
                <w:szCs w:val="18"/>
                <w:lang w:eastAsia="ar-SA"/>
              </w:rPr>
              <w:t xml:space="preserve"> dos Planos de Ordenamiento Turístico y Territorial de tres municipios turísticos fuera de la Región Metropolitana</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proofErr w:type="spellStart"/>
            <w:r w:rsidRPr="00896813">
              <w:rPr>
                <w:sz w:val="18"/>
                <w:szCs w:val="18"/>
                <w:lang w:eastAsia="ar-SA"/>
              </w:rPr>
              <w:t>Convênios</w:t>
            </w:r>
            <w:proofErr w:type="spellEnd"/>
            <w:r w:rsidRPr="00896813">
              <w:rPr>
                <w:sz w:val="18"/>
                <w:szCs w:val="18"/>
                <w:lang w:eastAsia="ar-SA"/>
              </w:rPr>
              <w:t xml:space="preserve"> de </w:t>
            </w:r>
            <w:proofErr w:type="spellStart"/>
            <w:r w:rsidRPr="00896813">
              <w:rPr>
                <w:sz w:val="18"/>
                <w:szCs w:val="18"/>
                <w:lang w:eastAsia="ar-SA"/>
              </w:rPr>
              <w:t>cooperação</w:t>
            </w:r>
            <w:proofErr w:type="spellEnd"/>
            <w:r w:rsidRPr="00896813">
              <w:rPr>
                <w:sz w:val="18"/>
                <w:szCs w:val="18"/>
                <w:lang w:eastAsia="ar-SA"/>
              </w:rPr>
              <w:t xml:space="preserve"> técnica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realización del censo de las empresas privadas de las cadenas productivas locales turísticas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r w:rsidRPr="00896813">
              <w:rPr>
                <w:sz w:val="18"/>
                <w:szCs w:val="18"/>
              </w:rPr>
              <w:t>Equipo de proyecto con apoyo de consultor</w:t>
            </w: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0358DE">
            <w:pPr>
              <w:tabs>
                <w:tab w:val="left" w:pos="72"/>
                <w:tab w:val="left" w:pos="342"/>
              </w:tabs>
              <w:rPr>
                <w:sz w:val="18"/>
                <w:szCs w:val="18"/>
                <w:lang w:eastAsia="ar-SA"/>
              </w:rPr>
            </w:pPr>
            <w:r w:rsidRPr="00896813">
              <w:rPr>
                <w:sz w:val="18"/>
                <w:szCs w:val="18"/>
                <w:lang w:eastAsia="ar-SA"/>
              </w:rPr>
              <w:t xml:space="preserve">Monitoreo de la aprobación de la Estrategia Sectorial de Transporte </w:t>
            </w:r>
            <w:r>
              <w:rPr>
                <w:sz w:val="18"/>
                <w:szCs w:val="18"/>
                <w:lang w:eastAsia="ar-SA"/>
              </w:rPr>
              <w:t>Vial</w:t>
            </w:r>
            <w:r w:rsidRPr="00896813">
              <w:rPr>
                <w:sz w:val="18"/>
                <w:szCs w:val="18"/>
                <w:lang w:eastAsia="ar-SA"/>
              </w:rPr>
              <w:t xml:space="preserve"> integrada y </w:t>
            </w:r>
            <w:r>
              <w:rPr>
                <w:sz w:val="18"/>
                <w:szCs w:val="18"/>
                <w:lang w:eastAsia="ar-SA"/>
              </w:rPr>
              <w:t>aliñada</w:t>
            </w:r>
            <w:r w:rsidRPr="00896813">
              <w:rPr>
                <w:sz w:val="18"/>
                <w:szCs w:val="18"/>
                <w:lang w:eastAsia="ar-SA"/>
              </w:rPr>
              <w:t xml:space="preserve"> al desarrollo del sector turístico</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a</w:t>
            </w:r>
            <w:r w:rsidRPr="00896813">
              <w:rPr>
                <w:sz w:val="18"/>
                <w:szCs w:val="18"/>
              </w:rPr>
              <w:t>decuación de la CASAL a la Ley Federal de Alcantarillado y</w:t>
            </w:r>
            <w:r w:rsidR="009668EF">
              <w:rPr>
                <w:sz w:val="18"/>
                <w:szCs w:val="18"/>
              </w:rPr>
              <w:t xml:space="preserve"> </w:t>
            </w:r>
            <w:r w:rsidRPr="00896813">
              <w:rPr>
                <w:sz w:val="18"/>
                <w:szCs w:val="18"/>
              </w:rPr>
              <w:t>su reglamento.</w:t>
            </w:r>
          </w:p>
        </w:tc>
        <w:tc>
          <w:tcPr>
            <w:tcW w:w="360" w:type="dxa"/>
          </w:tcPr>
          <w:p w:rsidR="000358DE" w:rsidRPr="00896813" w:rsidRDefault="000358DE" w:rsidP="00777485">
            <w:pPr>
              <w:jc w:val="center"/>
              <w:rPr>
                <w:sz w:val="18"/>
                <w:szCs w:val="18"/>
              </w:rPr>
            </w:pPr>
            <w:r w:rsidRPr="00896813">
              <w:rPr>
                <w:sz w:val="18"/>
                <w:szCs w:val="18"/>
              </w:rPr>
              <w:t>X</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rPr>
                <w:sz w:val="18"/>
                <w:szCs w:val="18"/>
              </w:rPr>
            </w:pPr>
            <w:r w:rsidRPr="00896813">
              <w:rPr>
                <w:sz w:val="18"/>
                <w:szCs w:val="18"/>
                <w:lang w:eastAsia="ar-SA"/>
              </w:rPr>
              <w:t>Monitoreo de la ampliación del área de actuación de la CASAL en los municipios localizados en las nuevas á</w:t>
            </w:r>
            <w:r w:rsidRPr="00896813">
              <w:rPr>
                <w:sz w:val="18"/>
                <w:szCs w:val="18"/>
              </w:rPr>
              <w:t>reas turísticas del Estado (excepto Región Metropolitana de Maceió)</w:t>
            </w:r>
            <w:r w:rsidRPr="00896813">
              <w:rPr>
                <w:sz w:val="18"/>
                <w:szCs w:val="18"/>
                <w:lang w:eastAsia="ar-SA"/>
              </w:rPr>
              <w:t>.</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r w:rsidRPr="00896813">
              <w:rPr>
                <w:sz w:val="18"/>
                <w:szCs w:val="18"/>
              </w:rPr>
              <w:t>X</w:t>
            </w: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Monitoreo de la definición de los criterios, alcance y cronograma para elaboración del desarrollo del Plan Estadual de Residuos Sólidos (PERS)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 xml:space="preserve">Monitoreo de la elaboración del Plano Estadual de </w:t>
            </w:r>
            <w:proofErr w:type="spellStart"/>
            <w:r w:rsidRPr="00896813">
              <w:rPr>
                <w:sz w:val="18"/>
                <w:szCs w:val="18"/>
                <w:lang w:eastAsia="ar-SA"/>
              </w:rPr>
              <w:t>Resíduos</w:t>
            </w:r>
            <w:proofErr w:type="spellEnd"/>
            <w:r w:rsidRPr="00896813">
              <w:rPr>
                <w:sz w:val="18"/>
                <w:szCs w:val="18"/>
                <w:lang w:eastAsia="ar-SA"/>
              </w:rPr>
              <w:t xml:space="preserve"> Sólidos (PERS).</w:t>
            </w: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Informe de consultoría</w:t>
            </w:r>
          </w:p>
        </w:tc>
      </w:tr>
      <w:tr w:rsidR="000358DE" w:rsidRPr="00896813" w:rsidTr="00DE1B38">
        <w:tc>
          <w:tcPr>
            <w:tcW w:w="2718" w:type="dxa"/>
          </w:tcPr>
          <w:p w:rsidR="000358DE" w:rsidRPr="00896813" w:rsidRDefault="000358DE" w:rsidP="00777485">
            <w:pPr>
              <w:tabs>
                <w:tab w:val="left" w:pos="72"/>
                <w:tab w:val="left" w:pos="342"/>
              </w:tabs>
              <w:rPr>
                <w:sz w:val="18"/>
                <w:szCs w:val="18"/>
                <w:lang w:eastAsia="ar-SA"/>
              </w:rPr>
            </w:pPr>
            <w:r w:rsidRPr="00896813">
              <w:rPr>
                <w:sz w:val="18"/>
                <w:szCs w:val="18"/>
                <w:lang w:eastAsia="ar-SA"/>
              </w:rPr>
              <w:t xml:space="preserve">Monitoreo de la reglamentación del fondo </w:t>
            </w:r>
            <w:proofErr w:type="spellStart"/>
            <w:r w:rsidRPr="000358DE">
              <w:rPr>
                <w:sz w:val="18"/>
                <w:szCs w:val="18"/>
                <w:lang w:eastAsia="ar-SA"/>
              </w:rPr>
              <w:t>garantidor</w:t>
            </w:r>
            <w:proofErr w:type="spellEnd"/>
            <w:r w:rsidRPr="00896813">
              <w:rPr>
                <w:sz w:val="18"/>
                <w:szCs w:val="18"/>
                <w:lang w:eastAsia="ar-SA"/>
              </w:rPr>
              <w:t xml:space="preserve"> de </w:t>
            </w:r>
            <w:proofErr w:type="spellStart"/>
            <w:r w:rsidRPr="00896813">
              <w:rPr>
                <w:sz w:val="18"/>
                <w:szCs w:val="18"/>
                <w:lang w:eastAsia="ar-SA"/>
              </w:rPr>
              <w:t>PPPs</w:t>
            </w:r>
            <w:proofErr w:type="spellEnd"/>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60" w:type="dxa"/>
          </w:tcPr>
          <w:p w:rsidR="000358DE" w:rsidRPr="00896813" w:rsidRDefault="000358DE" w:rsidP="00777485">
            <w:pPr>
              <w:jc w:val="center"/>
              <w:rPr>
                <w:sz w:val="18"/>
                <w:szCs w:val="18"/>
              </w:rPr>
            </w:pPr>
          </w:p>
        </w:tc>
        <w:tc>
          <w:tcPr>
            <w:tcW w:w="3132" w:type="dxa"/>
          </w:tcPr>
          <w:p w:rsidR="000358DE" w:rsidRPr="00896813" w:rsidRDefault="000358DE" w:rsidP="00777485">
            <w:pPr>
              <w:rPr>
                <w:sz w:val="18"/>
                <w:szCs w:val="18"/>
              </w:rPr>
            </w:pPr>
          </w:p>
        </w:tc>
        <w:tc>
          <w:tcPr>
            <w:tcW w:w="3420" w:type="dxa"/>
          </w:tcPr>
          <w:p w:rsidR="000358DE" w:rsidRPr="00896813" w:rsidRDefault="000358DE" w:rsidP="00777485">
            <w:pPr>
              <w:rPr>
                <w:sz w:val="18"/>
                <w:szCs w:val="18"/>
              </w:rPr>
            </w:pPr>
            <w:r w:rsidRPr="00896813">
              <w:rPr>
                <w:sz w:val="18"/>
                <w:szCs w:val="18"/>
              </w:rPr>
              <w:t>Acto normativo del Poder Ejecutivo del Estado</w:t>
            </w:r>
          </w:p>
        </w:tc>
      </w:tr>
    </w:tbl>
    <w:p w:rsidR="00A02586" w:rsidRDefault="00A02586" w:rsidP="003215D0">
      <w:pPr>
        <w:pStyle w:val="Heading1"/>
        <w:numPr>
          <w:ilvl w:val="0"/>
          <w:numId w:val="0"/>
        </w:numPr>
        <w:ind w:left="288"/>
        <w:jc w:val="left"/>
        <w:rPr>
          <w:lang w:val="es-ES_tradnl"/>
        </w:rPr>
      </w:pPr>
    </w:p>
    <w:p w:rsidR="00072078" w:rsidRPr="00072078" w:rsidRDefault="00A02586" w:rsidP="0058618A">
      <w:pPr>
        <w:ind w:left="-540" w:right="-720"/>
        <w:jc w:val="center"/>
        <w:rPr>
          <w:b/>
          <w:smallCaps/>
          <w:szCs w:val="24"/>
        </w:rPr>
      </w:pPr>
      <w:r>
        <w:br w:type="page"/>
      </w:r>
      <w:r w:rsidR="00072078" w:rsidRPr="00072078">
        <w:rPr>
          <w:b/>
          <w:smallCaps/>
          <w:szCs w:val="24"/>
        </w:rPr>
        <w:lastRenderedPageBreak/>
        <w:t>ANEXO</w:t>
      </w:r>
      <w:r w:rsidR="009668EF">
        <w:rPr>
          <w:b/>
          <w:smallCaps/>
          <w:szCs w:val="24"/>
        </w:rPr>
        <w:t xml:space="preserve"> </w:t>
      </w:r>
      <w:r w:rsidR="00072078" w:rsidRPr="00072078">
        <w:rPr>
          <w:b/>
          <w:smallCaps/>
          <w:szCs w:val="24"/>
        </w:rPr>
        <w:t>2</w:t>
      </w:r>
      <w:r w:rsidR="00072078" w:rsidRPr="00072078">
        <w:rPr>
          <w:b/>
          <w:smallCaps/>
          <w:szCs w:val="24"/>
        </w:rPr>
        <w:br/>
        <w:t xml:space="preserve">Plan de trabajo </w:t>
      </w:r>
      <w:r w:rsidR="00072078">
        <w:rPr>
          <w:b/>
          <w:smallCaps/>
          <w:szCs w:val="24"/>
        </w:rPr>
        <w:t xml:space="preserve">Detallado </w:t>
      </w:r>
      <w:r w:rsidR="00072078" w:rsidRPr="00072078">
        <w:rPr>
          <w:b/>
          <w:smallCaps/>
          <w:szCs w:val="24"/>
        </w:rPr>
        <w:t xml:space="preserve">de </w:t>
      </w:r>
      <w:r w:rsidR="00072078">
        <w:rPr>
          <w:b/>
          <w:smallCaps/>
          <w:szCs w:val="24"/>
        </w:rPr>
        <w:t>Evaluación</w:t>
      </w:r>
      <w:r w:rsidR="009668EF">
        <w:rPr>
          <w:b/>
          <w:smallCaps/>
          <w:szCs w:val="24"/>
        </w:rPr>
        <w:t xml:space="preserve"> </w:t>
      </w:r>
      <w:r w:rsidR="00072078">
        <w:rPr>
          <w:b/>
          <w:smallCaps/>
          <w:szCs w:val="24"/>
        </w:rPr>
        <w:t>de Impactos y Resultados</w:t>
      </w:r>
    </w:p>
    <w:p w:rsidR="00A02586" w:rsidRDefault="00A02586" w:rsidP="0058618A">
      <w:pPr>
        <w:ind w:right="-720"/>
        <w:jc w:val="center"/>
        <w:rPr>
          <w:rFonts w:ascii="Times New Roman Bold" w:hAnsi="Times New Roman Bold"/>
          <w:b/>
          <w:smallCaps/>
          <w:noProof/>
          <w:spacing w:val="0"/>
          <w:sz w:val="28"/>
        </w:rPr>
      </w:pPr>
    </w:p>
    <w:tbl>
      <w:tblPr>
        <w:tblW w:w="10541" w:type="dxa"/>
        <w:tblInd w:w="-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80"/>
        <w:gridCol w:w="2160"/>
        <w:gridCol w:w="1350"/>
        <w:gridCol w:w="1260"/>
        <w:gridCol w:w="1980"/>
        <w:gridCol w:w="2511"/>
      </w:tblGrid>
      <w:tr w:rsidR="00072078" w:rsidRPr="00072078" w:rsidTr="00DE1B38">
        <w:trPr>
          <w:trHeight w:val="690"/>
        </w:trPr>
        <w:tc>
          <w:tcPr>
            <w:tcW w:w="1280"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Indicador de Impacto</w:t>
            </w:r>
            <w:r w:rsidR="004A5E89" w:rsidRPr="0058618A">
              <w:rPr>
                <w:b/>
                <w:sz w:val="18"/>
                <w:szCs w:val="18"/>
              </w:rPr>
              <w:t xml:space="preserve"> y Resultado</w:t>
            </w:r>
          </w:p>
        </w:tc>
        <w:tc>
          <w:tcPr>
            <w:tcW w:w="2160"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Fórmula do indicador</w:t>
            </w:r>
          </w:p>
        </w:tc>
        <w:tc>
          <w:tcPr>
            <w:tcW w:w="1350"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Unidad de medida</w:t>
            </w:r>
          </w:p>
        </w:tc>
        <w:tc>
          <w:tcPr>
            <w:tcW w:w="1260"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Frecuencia de medición</w:t>
            </w:r>
          </w:p>
        </w:tc>
        <w:tc>
          <w:tcPr>
            <w:tcW w:w="1980"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Fuente de verificación</w:t>
            </w:r>
          </w:p>
        </w:tc>
        <w:tc>
          <w:tcPr>
            <w:tcW w:w="2511" w:type="dxa"/>
            <w:shd w:val="clear" w:color="auto" w:fill="D9D9D9" w:themeFill="background1" w:themeFillShade="D9"/>
          </w:tcPr>
          <w:p w:rsidR="00072078" w:rsidRPr="0058618A" w:rsidRDefault="00072078" w:rsidP="00DE1B38">
            <w:pPr>
              <w:jc w:val="center"/>
              <w:rPr>
                <w:b/>
                <w:sz w:val="18"/>
                <w:szCs w:val="18"/>
              </w:rPr>
            </w:pPr>
            <w:r w:rsidRPr="0058618A">
              <w:rPr>
                <w:b/>
                <w:sz w:val="18"/>
                <w:szCs w:val="18"/>
              </w:rPr>
              <w:t>Observaciones</w:t>
            </w:r>
          </w:p>
        </w:tc>
      </w:tr>
      <w:tr w:rsidR="00072078" w:rsidRPr="00072078" w:rsidTr="00DE1B38">
        <w:trPr>
          <w:trHeight w:val="782"/>
        </w:trPr>
        <w:tc>
          <w:tcPr>
            <w:tcW w:w="1280" w:type="dxa"/>
          </w:tcPr>
          <w:p w:rsidR="00072078" w:rsidRPr="00DE1B38" w:rsidRDefault="00072078" w:rsidP="00DE1B38">
            <w:pPr>
              <w:rPr>
                <w:sz w:val="18"/>
                <w:szCs w:val="18"/>
              </w:rPr>
            </w:pPr>
            <w:r w:rsidRPr="00DE1B38">
              <w:rPr>
                <w:sz w:val="18"/>
                <w:szCs w:val="18"/>
              </w:rPr>
              <w:t>Incremento de las inversiones públicas del Estado de Alagoas</w:t>
            </w:r>
          </w:p>
          <w:p w:rsidR="00072078" w:rsidRPr="00DE1B38" w:rsidRDefault="00072078" w:rsidP="00DE1B38">
            <w:pPr>
              <w:rPr>
                <w:sz w:val="18"/>
                <w:szCs w:val="18"/>
              </w:rPr>
            </w:pPr>
          </w:p>
        </w:tc>
        <w:tc>
          <w:tcPr>
            <w:tcW w:w="2160" w:type="dxa"/>
          </w:tcPr>
          <w:p w:rsidR="00072078" w:rsidRPr="00DE1B38" w:rsidRDefault="00072078" w:rsidP="00DE1B38">
            <w:pPr>
              <w:tabs>
                <w:tab w:val="left" w:pos="3870"/>
              </w:tabs>
              <w:rPr>
                <w:sz w:val="18"/>
                <w:szCs w:val="18"/>
              </w:rPr>
            </w:pPr>
            <w:r w:rsidRPr="00DE1B38">
              <w:rPr>
                <w:sz w:val="18"/>
                <w:szCs w:val="18"/>
              </w:rPr>
              <w:t>Valor de las inversiones públicas en R$ corrientes / PIB del Estado de Alagoas R$ corrientes.</w:t>
            </w:r>
          </w:p>
          <w:p w:rsidR="00072078" w:rsidRPr="00DE1B38" w:rsidRDefault="00072078" w:rsidP="00DE1B38">
            <w:pPr>
              <w:rPr>
                <w:sz w:val="18"/>
                <w:szCs w:val="18"/>
              </w:rPr>
            </w:pPr>
            <w:r w:rsidRPr="00DE1B38">
              <w:rPr>
                <w:sz w:val="18"/>
                <w:szCs w:val="18"/>
              </w:rPr>
              <w:t>Inversiones publica = (inversión + inversión financiera), menos transferencias de capital (convenios con recursos fuente 10).</w:t>
            </w:r>
          </w:p>
        </w:tc>
        <w:tc>
          <w:tcPr>
            <w:tcW w:w="1350" w:type="dxa"/>
          </w:tcPr>
          <w:p w:rsidR="00072078" w:rsidRPr="00DE1B38" w:rsidRDefault="00072078" w:rsidP="00DE1B38">
            <w:pPr>
              <w:tabs>
                <w:tab w:val="left" w:pos="72"/>
                <w:tab w:val="left" w:pos="342"/>
              </w:tabs>
              <w:jc w:val="center"/>
              <w:rPr>
                <w:sz w:val="18"/>
                <w:szCs w:val="18"/>
              </w:rPr>
            </w:pPr>
            <w:r w:rsidRPr="00DE1B38">
              <w:rPr>
                <w:sz w:val="18"/>
                <w:szCs w:val="18"/>
              </w:rPr>
              <w:t>%</w:t>
            </w:r>
          </w:p>
        </w:tc>
        <w:tc>
          <w:tcPr>
            <w:tcW w:w="1260" w:type="dxa"/>
          </w:tcPr>
          <w:p w:rsidR="00072078" w:rsidRPr="00DE1B38" w:rsidRDefault="00072078" w:rsidP="00DE1B38">
            <w:pPr>
              <w:tabs>
                <w:tab w:val="left" w:pos="3870"/>
              </w:tabs>
              <w:jc w:val="center"/>
              <w:rPr>
                <w:sz w:val="18"/>
                <w:szCs w:val="18"/>
              </w:rPr>
            </w:pPr>
            <w:r w:rsidRPr="00DE1B38">
              <w:rPr>
                <w:sz w:val="18"/>
                <w:szCs w:val="18"/>
              </w:rPr>
              <w:t>anual</w:t>
            </w:r>
          </w:p>
        </w:tc>
        <w:tc>
          <w:tcPr>
            <w:tcW w:w="1980" w:type="dxa"/>
          </w:tcPr>
          <w:p w:rsidR="00072078" w:rsidRPr="00DE1B38" w:rsidRDefault="00072078" w:rsidP="00DE1B38">
            <w:pPr>
              <w:tabs>
                <w:tab w:val="left" w:pos="3870"/>
              </w:tabs>
              <w:rPr>
                <w:sz w:val="18"/>
                <w:szCs w:val="18"/>
              </w:rPr>
            </w:pPr>
            <w:r w:rsidRPr="00DE1B38">
              <w:rPr>
                <w:sz w:val="18"/>
                <w:szCs w:val="18"/>
              </w:rPr>
              <w:t>Informe de las Finanzas Públicas de la Superintendencia de Administración Financiera de la SEFAZ/AL.</w:t>
            </w:r>
          </w:p>
          <w:p w:rsidR="00072078" w:rsidRPr="00DE1B38" w:rsidRDefault="00072078" w:rsidP="00DE1B38">
            <w:pPr>
              <w:tabs>
                <w:tab w:val="left" w:pos="3870"/>
              </w:tabs>
              <w:rPr>
                <w:sz w:val="18"/>
                <w:szCs w:val="18"/>
              </w:rPr>
            </w:pPr>
            <w:r w:rsidRPr="00DE1B38">
              <w:rPr>
                <w:sz w:val="18"/>
                <w:szCs w:val="18"/>
              </w:rPr>
              <w:t>Proyección del PIB para cada año, Fuente: Alagoas en Dados, SEPLANDE</w:t>
            </w:r>
          </w:p>
        </w:tc>
        <w:tc>
          <w:tcPr>
            <w:tcW w:w="2511" w:type="dxa"/>
          </w:tcPr>
          <w:p w:rsidR="00072078" w:rsidRPr="00DE1B38" w:rsidRDefault="00072078" w:rsidP="00DE1B38">
            <w:pPr>
              <w:tabs>
                <w:tab w:val="left" w:pos="3870"/>
              </w:tabs>
              <w:rPr>
                <w:sz w:val="18"/>
                <w:szCs w:val="18"/>
              </w:rPr>
            </w:pPr>
            <w:r w:rsidRPr="00DE1B38">
              <w:rPr>
                <w:sz w:val="18"/>
                <w:szCs w:val="18"/>
              </w:rPr>
              <w:t>Línea de base: 156 (2011) y 208 (2012) = 182 en promedio. Meta: 480 promedio 2013-2014 R$ millones</w:t>
            </w:r>
            <w:r w:rsidR="00DE1B38">
              <w:rPr>
                <w:sz w:val="18"/>
                <w:szCs w:val="18"/>
              </w:rPr>
              <w:t>.</w:t>
            </w:r>
          </w:p>
        </w:tc>
      </w:tr>
      <w:tr w:rsidR="00072078" w:rsidRPr="00DE1B38" w:rsidTr="00DE1B38">
        <w:trPr>
          <w:trHeight w:val="278"/>
        </w:trPr>
        <w:tc>
          <w:tcPr>
            <w:tcW w:w="1280" w:type="dxa"/>
          </w:tcPr>
          <w:p w:rsidR="00072078" w:rsidRPr="00DE1B38" w:rsidRDefault="00072078" w:rsidP="004A5E89">
            <w:pPr>
              <w:rPr>
                <w:sz w:val="18"/>
                <w:szCs w:val="18"/>
              </w:rPr>
            </w:pPr>
            <w:r w:rsidRPr="00DE1B38">
              <w:rPr>
                <w:sz w:val="18"/>
                <w:szCs w:val="18"/>
              </w:rPr>
              <w:t>Incremento de la inversión en áreas turísticas</w:t>
            </w:r>
          </w:p>
        </w:tc>
        <w:tc>
          <w:tcPr>
            <w:tcW w:w="2160" w:type="dxa"/>
          </w:tcPr>
          <w:p w:rsidR="00072078" w:rsidRPr="00DE1B38" w:rsidRDefault="00072078" w:rsidP="00DE1B38">
            <w:pPr>
              <w:rPr>
                <w:sz w:val="18"/>
                <w:szCs w:val="18"/>
              </w:rPr>
            </w:pPr>
            <w:r w:rsidRPr="00DE1B38">
              <w:rPr>
                <w:sz w:val="18"/>
                <w:szCs w:val="18"/>
              </w:rPr>
              <w:t>Valor de la inversión privada en áreas turísticas (fuera del área metropolitana)</w:t>
            </w:r>
          </w:p>
        </w:tc>
        <w:tc>
          <w:tcPr>
            <w:tcW w:w="1350" w:type="dxa"/>
          </w:tcPr>
          <w:p w:rsidR="00072078" w:rsidRPr="00DE1B38" w:rsidRDefault="00072078" w:rsidP="00DE1B38">
            <w:pPr>
              <w:tabs>
                <w:tab w:val="left" w:pos="72"/>
                <w:tab w:val="left" w:pos="342"/>
              </w:tabs>
              <w:jc w:val="center"/>
              <w:rPr>
                <w:sz w:val="18"/>
                <w:szCs w:val="18"/>
              </w:rPr>
            </w:pPr>
            <w:r w:rsidRPr="00DE1B38">
              <w:rPr>
                <w:sz w:val="18"/>
                <w:szCs w:val="18"/>
              </w:rPr>
              <w:t>Millones de R$</w:t>
            </w:r>
          </w:p>
        </w:tc>
        <w:tc>
          <w:tcPr>
            <w:tcW w:w="1260" w:type="dxa"/>
          </w:tcPr>
          <w:p w:rsidR="00072078" w:rsidRPr="00DE1B38" w:rsidRDefault="00072078" w:rsidP="00DE1B38">
            <w:pPr>
              <w:tabs>
                <w:tab w:val="left" w:pos="3870"/>
              </w:tabs>
              <w:jc w:val="center"/>
              <w:rPr>
                <w:sz w:val="18"/>
                <w:szCs w:val="18"/>
              </w:rPr>
            </w:pPr>
            <w:r w:rsidRPr="00DE1B38">
              <w:rPr>
                <w:sz w:val="18"/>
                <w:szCs w:val="18"/>
              </w:rPr>
              <w:t>anual</w:t>
            </w:r>
          </w:p>
        </w:tc>
        <w:tc>
          <w:tcPr>
            <w:tcW w:w="1980" w:type="dxa"/>
          </w:tcPr>
          <w:p w:rsidR="00072078" w:rsidRPr="00DE1B38" w:rsidRDefault="00072078" w:rsidP="00DE1B38">
            <w:pPr>
              <w:tabs>
                <w:tab w:val="left" w:pos="72"/>
                <w:tab w:val="left" w:pos="342"/>
              </w:tabs>
              <w:rPr>
                <w:sz w:val="18"/>
                <w:szCs w:val="18"/>
              </w:rPr>
            </w:pPr>
            <w:r w:rsidRPr="00DE1B38">
              <w:rPr>
                <w:sz w:val="18"/>
                <w:szCs w:val="18"/>
              </w:rPr>
              <w:t>Informe anual de la Secretaría de Estado de Turismo (SETUR), Superintendencia de Inversiones</w:t>
            </w:r>
          </w:p>
        </w:tc>
        <w:tc>
          <w:tcPr>
            <w:tcW w:w="2511" w:type="dxa"/>
            <w:vAlign w:val="center"/>
          </w:tcPr>
          <w:p w:rsidR="00072078" w:rsidRPr="00DE1B38" w:rsidRDefault="00072078" w:rsidP="00DE1B38">
            <w:pPr>
              <w:tabs>
                <w:tab w:val="left" w:pos="3870"/>
              </w:tabs>
              <w:rPr>
                <w:sz w:val="18"/>
                <w:szCs w:val="18"/>
              </w:rPr>
            </w:pPr>
            <w:r w:rsidRPr="00DE1B38">
              <w:rPr>
                <w:sz w:val="18"/>
                <w:szCs w:val="18"/>
              </w:rPr>
              <w:t>Datos de inversión relativos a hoteles. La meta se ha establecido en base a tendencia logarítmica de crecimiento</w:t>
            </w:r>
            <w:r w:rsidR="009668EF">
              <w:rPr>
                <w:sz w:val="18"/>
                <w:szCs w:val="18"/>
              </w:rPr>
              <w:t xml:space="preserve"> </w:t>
            </w:r>
            <w:r w:rsidRPr="00DE1B38">
              <w:rPr>
                <w:sz w:val="18"/>
                <w:szCs w:val="18"/>
              </w:rPr>
              <w:t xml:space="preserve">de las inversiones y en el marco de la cartera de nuevos proyectos hoteleros manejada por la SETUR fuera del área metropolitana de Maceió. </w:t>
            </w:r>
          </w:p>
          <w:p w:rsidR="00072078" w:rsidRPr="00DE1B38" w:rsidRDefault="00072078" w:rsidP="00DE1B38">
            <w:pPr>
              <w:tabs>
                <w:tab w:val="left" w:pos="3870"/>
              </w:tabs>
              <w:rPr>
                <w:sz w:val="18"/>
                <w:szCs w:val="18"/>
                <w:lang w:val="pt-BR"/>
              </w:rPr>
            </w:pPr>
            <w:proofErr w:type="spellStart"/>
            <w:r w:rsidRPr="00DE1B38">
              <w:rPr>
                <w:sz w:val="18"/>
                <w:szCs w:val="18"/>
                <w:lang w:val="pt-BR"/>
              </w:rPr>
              <w:t>Datos</w:t>
            </w:r>
            <w:proofErr w:type="spellEnd"/>
            <w:r w:rsidRPr="00DE1B38">
              <w:rPr>
                <w:sz w:val="18"/>
                <w:szCs w:val="18"/>
                <w:lang w:val="pt-BR"/>
              </w:rPr>
              <w:t xml:space="preserve"> línea de base </w:t>
            </w:r>
            <w:proofErr w:type="spellStart"/>
            <w:r w:rsidRPr="00DE1B38">
              <w:rPr>
                <w:sz w:val="18"/>
                <w:szCs w:val="18"/>
                <w:lang w:val="pt-BR"/>
              </w:rPr>
              <w:t>corresponden</w:t>
            </w:r>
            <w:proofErr w:type="spellEnd"/>
            <w:r w:rsidRPr="00DE1B38">
              <w:rPr>
                <w:sz w:val="18"/>
                <w:szCs w:val="18"/>
                <w:lang w:val="pt-BR"/>
              </w:rPr>
              <w:t xml:space="preserve"> a </w:t>
            </w:r>
            <w:proofErr w:type="gramStart"/>
            <w:r w:rsidR="00402155" w:rsidRPr="00DE1B38">
              <w:rPr>
                <w:sz w:val="18"/>
                <w:szCs w:val="18"/>
                <w:lang w:val="pt-BR"/>
              </w:rPr>
              <w:t>la</w:t>
            </w:r>
            <w:proofErr w:type="gramEnd"/>
            <w:r w:rsidR="00402155" w:rsidRPr="00DE1B38">
              <w:rPr>
                <w:sz w:val="18"/>
                <w:szCs w:val="18"/>
                <w:lang w:val="pt-BR"/>
              </w:rPr>
              <w:t xml:space="preserve"> </w:t>
            </w:r>
            <w:proofErr w:type="spellStart"/>
            <w:r w:rsidRPr="00DE1B38">
              <w:rPr>
                <w:sz w:val="18"/>
                <w:szCs w:val="18"/>
                <w:lang w:val="pt-BR"/>
              </w:rPr>
              <w:t>inversión</w:t>
            </w:r>
            <w:proofErr w:type="spellEnd"/>
            <w:r w:rsidRPr="00DE1B38">
              <w:rPr>
                <w:sz w:val="18"/>
                <w:szCs w:val="18"/>
                <w:lang w:val="pt-BR"/>
              </w:rPr>
              <w:t xml:space="preserve"> realizada na média entre 2011 (R$ R$1.000.000) e 2012 (R$26.000.000)</w:t>
            </w:r>
          </w:p>
          <w:p w:rsidR="00072078" w:rsidRPr="00DE1B38" w:rsidRDefault="00072078" w:rsidP="00DE1B38">
            <w:pPr>
              <w:rPr>
                <w:sz w:val="18"/>
                <w:szCs w:val="18"/>
                <w:lang w:val="pt-BR"/>
              </w:rPr>
            </w:pPr>
            <w:r w:rsidRPr="00DE1B38">
              <w:rPr>
                <w:sz w:val="18"/>
                <w:szCs w:val="18"/>
                <w:lang w:val="pt-BR"/>
              </w:rPr>
              <w:t xml:space="preserve">Projeção: R$ 95 milhões em 2013; R$30 milhões em 2014; totalizando R$168.800 </w:t>
            </w:r>
            <w:proofErr w:type="gramStart"/>
            <w:r w:rsidRPr="00DE1B38">
              <w:rPr>
                <w:sz w:val="18"/>
                <w:szCs w:val="18"/>
                <w:lang w:val="pt-BR"/>
              </w:rPr>
              <w:t>milhões</w:t>
            </w:r>
            <w:proofErr w:type="gramEnd"/>
          </w:p>
        </w:tc>
      </w:tr>
      <w:tr w:rsidR="00072078" w:rsidRPr="00072078" w:rsidTr="00DE1B38">
        <w:trPr>
          <w:trHeight w:val="782"/>
        </w:trPr>
        <w:tc>
          <w:tcPr>
            <w:tcW w:w="1280" w:type="dxa"/>
          </w:tcPr>
          <w:p w:rsidR="00072078" w:rsidRPr="00DE1B38" w:rsidRDefault="00072078" w:rsidP="004A5E89">
            <w:pPr>
              <w:rPr>
                <w:sz w:val="18"/>
                <w:szCs w:val="18"/>
              </w:rPr>
            </w:pPr>
            <w:r w:rsidRPr="00DE1B38">
              <w:rPr>
                <w:sz w:val="18"/>
                <w:szCs w:val="18"/>
              </w:rPr>
              <w:t>Incremento de la recaudación del ICMS</w:t>
            </w:r>
          </w:p>
        </w:tc>
        <w:tc>
          <w:tcPr>
            <w:tcW w:w="2160" w:type="dxa"/>
          </w:tcPr>
          <w:p w:rsidR="00072078" w:rsidRPr="00DE1B38" w:rsidRDefault="00072078" w:rsidP="004A5E89">
            <w:pPr>
              <w:rPr>
                <w:sz w:val="18"/>
                <w:szCs w:val="18"/>
              </w:rPr>
            </w:pPr>
            <w:r w:rsidRPr="00DE1B38">
              <w:rPr>
                <w:sz w:val="18"/>
                <w:szCs w:val="18"/>
              </w:rPr>
              <w:t>Valor recaudado con ICMS (valores corrientes)</w:t>
            </w:r>
          </w:p>
        </w:tc>
        <w:tc>
          <w:tcPr>
            <w:tcW w:w="1350" w:type="dxa"/>
          </w:tcPr>
          <w:p w:rsidR="00072078" w:rsidRPr="00DE1B38" w:rsidRDefault="00072078" w:rsidP="004A5E89">
            <w:pPr>
              <w:jc w:val="center"/>
              <w:rPr>
                <w:sz w:val="18"/>
                <w:szCs w:val="18"/>
              </w:rPr>
            </w:pPr>
            <w:r w:rsidRPr="00DE1B38">
              <w:rPr>
                <w:sz w:val="18"/>
                <w:szCs w:val="18"/>
              </w:rPr>
              <w:t>Mil Millones de R$</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Informe de las Finanzas Públicas de la Superintendencia de Administración Financiera de la SEFAZ/AL</w:t>
            </w:r>
          </w:p>
        </w:tc>
        <w:tc>
          <w:tcPr>
            <w:tcW w:w="2511" w:type="dxa"/>
            <w:vAlign w:val="center"/>
          </w:tcPr>
          <w:p w:rsidR="00072078" w:rsidRPr="00DE1B38" w:rsidRDefault="00072078" w:rsidP="004A5E89">
            <w:pPr>
              <w:rPr>
                <w:sz w:val="18"/>
                <w:szCs w:val="18"/>
              </w:rPr>
            </w:pPr>
            <w:r w:rsidRPr="00DE1B38">
              <w:rPr>
                <w:sz w:val="18"/>
                <w:szCs w:val="18"/>
              </w:rPr>
              <w:t>Proyección incluye inflación + crecimiento del PIB + esfuerzo fiscal de incremento real de 3% al año.</w:t>
            </w:r>
          </w:p>
        </w:tc>
      </w:tr>
      <w:tr w:rsidR="00072078" w:rsidRPr="00072078" w:rsidTr="00DE1B38">
        <w:tc>
          <w:tcPr>
            <w:tcW w:w="1280" w:type="dxa"/>
          </w:tcPr>
          <w:p w:rsidR="00072078" w:rsidRPr="00DE1B38" w:rsidRDefault="00072078" w:rsidP="004A5E89">
            <w:pPr>
              <w:rPr>
                <w:sz w:val="18"/>
                <w:szCs w:val="18"/>
              </w:rPr>
            </w:pPr>
            <w:r w:rsidRPr="00DE1B38">
              <w:rPr>
                <w:sz w:val="18"/>
                <w:szCs w:val="18"/>
              </w:rPr>
              <w:t>Reducción del Gasto de Costeo en relación al Gasto Total del Estado de Alagoas</w:t>
            </w:r>
          </w:p>
        </w:tc>
        <w:tc>
          <w:tcPr>
            <w:tcW w:w="2160" w:type="dxa"/>
          </w:tcPr>
          <w:p w:rsidR="00072078" w:rsidRPr="00DE1B38" w:rsidRDefault="00072078" w:rsidP="004A5E89">
            <w:pPr>
              <w:rPr>
                <w:sz w:val="18"/>
                <w:szCs w:val="18"/>
              </w:rPr>
            </w:pPr>
            <w:r w:rsidRPr="00DE1B38">
              <w:rPr>
                <w:sz w:val="18"/>
                <w:szCs w:val="18"/>
              </w:rPr>
              <w:t>Gasto Corriente / Gasto Total</w:t>
            </w:r>
          </w:p>
        </w:tc>
        <w:tc>
          <w:tcPr>
            <w:tcW w:w="1350" w:type="dxa"/>
          </w:tcPr>
          <w:p w:rsidR="00072078" w:rsidRPr="00DE1B38" w:rsidRDefault="00072078" w:rsidP="004A5E89">
            <w:pPr>
              <w:jc w:val="center"/>
              <w:rPr>
                <w:sz w:val="18"/>
                <w:szCs w:val="18"/>
              </w:rPr>
            </w:pPr>
            <w:r w:rsidRPr="00DE1B38">
              <w:rPr>
                <w:sz w:val="18"/>
                <w:szCs w:val="18"/>
              </w:rPr>
              <w:t>%</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Informe de las Finanzas Públicas de la Superintendencia de Administración Financiera de la SEFAZ/AL</w:t>
            </w:r>
          </w:p>
        </w:tc>
        <w:tc>
          <w:tcPr>
            <w:tcW w:w="2511" w:type="dxa"/>
          </w:tcPr>
          <w:p w:rsidR="00072078" w:rsidRPr="00DE1B38" w:rsidRDefault="00072078" w:rsidP="004A5E89">
            <w:pPr>
              <w:rPr>
                <w:sz w:val="18"/>
                <w:szCs w:val="18"/>
              </w:rPr>
            </w:pPr>
            <w:r w:rsidRPr="00DE1B38">
              <w:rPr>
                <w:sz w:val="18"/>
                <w:szCs w:val="18"/>
              </w:rPr>
              <w:t>% sobre el Gasto Total de ODC (</w:t>
            </w:r>
            <w:proofErr w:type="spellStart"/>
            <w:r w:rsidRPr="00DE1B38">
              <w:rPr>
                <w:sz w:val="18"/>
                <w:szCs w:val="18"/>
              </w:rPr>
              <w:t>Outras</w:t>
            </w:r>
            <w:proofErr w:type="spellEnd"/>
            <w:r w:rsidRPr="00DE1B38">
              <w:rPr>
                <w:sz w:val="18"/>
                <w:szCs w:val="18"/>
              </w:rPr>
              <w:t xml:space="preserve"> </w:t>
            </w:r>
            <w:proofErr w:type="spellStart"/>
            <w:r w:rsidRPr="00DE1B38">
              <w:rPr>
                <w:sz w:val="18"/>
                <w:szCs w:val="18"/>
              </w:rPr>
              <w:t>Despesas</w:t>
            </w:r>
            <w:proofErr w:type="spellEnd"/>
            <w:r w:rsidRPr="00DE1B38">
              <w:rPr>
                <w:sz w:val="18"/>
                <w:szCs w:val="18"/>
              </w:rPr>
              <w:t xml:space="preserve"> </w:t>
            </w:r>
            <w:proofErr w:type="spellStart"/>
            <w:r w:rsidRPr="00DE1B38">
              <w:rPr>
                <w:sz w:val="18"/>
                <w:szCs w:val="18"/>
              </w:rPr>
              <w:t>Correntes</w:t>
            </w:r>
            <w:proofErr w:type="spellEnd"/>
            <w:r w:rsidRPr="00DE1B38">
              <w:rPr>
                <w:sz w:val="18"/>
                <w:szCs w:val="18"/>
              </w:rPr>
              <w:t>) fue 19,2% (2011) y 19,4% (2012)</w:t>
            </w:r>
          </w:p>
        </w:tc>
      </w:tr>
      <w:tr w:rsidR="00072078" w:rsidRPr="00072078" w:rsidTr="00DE1B38">
        <w:tc>
          <w:tcPr>
            <w:tcW w:w="1280" w:type="dxa"/>
          </w:tcPr>
          <w:p w:rsidR="00072078" w:rsidRPr="00DE1B38" w:rsidRDefault="00072078" w:rsidP="004A5E89">
            <w:pPr>
              <w:rPr>
                <w:sz w:val="18"/>
                <w:szCs w:val="18"/>
              </w:rPr>
            </w:pPr>
            <w:r w:rsidRPr="00DE1B38">
              <w:rPr>
                <w:sz w:val="18"/>
                <w:szCs w:val="18"/>
              </w:rPr>
              <w:t>Mejora de la planificación y ejecución del Presupuesto del Estado</w:t>
            </w:r>
          </w:p>
        </w:tc>
        <w:tc>
          <w:tcPr>
            <w:tcW w:w="2160" w:type="dxa"/>
          </w:tcPr>
          <w:p w:rsidR="00072078" w:rsidRPr="00DE1B38" w:rsidRDefault="00072078" w:rsidP="004A5E89">
            <w:pPr>
              <w:rPr>
                <w:sz w:val="18"/>
                <w:szCs w:val="18"/>
              </w:rPr>
            </w:pPr>
            <w:r w:rsidRPr="00DE1B38">
              <w:rPr>
                <w:sz w:val="18"/>
                <w:szCs w:val="18"/>
              </w:rPr>
              <w:t>((Valor aprobado del Presupuesto - Valor ejecutado del Presupuesto) / Valor aprobado del Presupuesto)</w:t>
            </w:r>
          </w:p>
        </w:tc>
        <w:tc>
          <w:tcPr>
            <w:tcW w:w="1350" w:type="dxa"/>
          </w:tcPr>
          <w:p w:rsidR="00072078" w:rsidRPr="00DE1B38" w:rsidRDefault="00072078" w:rsidP="004A5E89">
            <w:pPr>
              <w:jc w:val="center"/>
              <w:rPr>
                <w:sz w:val="18"/>
                <w:szCs w:val="18"/>
              </w:rPr>
            </w:pPr>
            <w:r w:rsidRPr="00DE1B38">
              <w:rPr>
                <w:sz w:val="18"/>
                <w:szCs w:val="18"/>
              </w:rPr>
              <w:t>%</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Informe anual de ejecución presupuestaria y SIAFEM/AL</w:t>
            </w:r>
          </w:p>
        </w:tc>
        <w:tc>
          <w:tcPr>
            <w:tcW w:w="2511" w:type="dxa"/>
          </w:tcPr>
          <w:p w:rsidR="00072078" w:rsidRPr="00DE1B38" w:rsidRDefault="00072078" w:rsidP="004A5E89">
            <w:pPr>
              <w:rPr>
                <w:sz w:val="18"/>
                <w:szCs w:val="18"/>
              </w:rPr>
            </w:pPr>
            <w:r w:rsidRPr="00DE1B38">
              <w:rPr>
                <w:sz w:val="18"/>
                <w:szCs w:val="18"/>
              </w:rPr>
              <w:t>Este indicador es la base principal del indicador PEFA ID-</w:t>
            </w:r>
            <w:r w:rsidR="004A5E89" w:rsidRPr="00DE1B38">
              <w:rPr>
                <w:sz w:val="18"/>
                <w:szCs w:val="18"/>
              </w:rPr>
              <w:t>2</w:t>
            </w:r>
            <w:r w:rsidRPr="00DE1B38">
              <w:rPr>
                <w:sz w:val="18"/>
                <w:szCs w:val="18"/>
              </w:rPr>
              <w:t>, que mide la desviación entre el Presupuesto Aprobado y el Ejecutado.</w:t>
            </w:r>
          </w:p>
        </w:tc>
      </w:tr>
      <w:tr w:rsidR="00072078" w:rsidRPr="00072078" w:rsidTr="00DE1B38">
        <w:tc>
          <w:tcPr>
            <w:tcW w:w="1280" w:type="dxa"/>
          </w:tcPr>
          <w:p w:rsidR="00072078" w:rsidRPr="00DE1B38" w:rsidRDefault="00072078" w:rsidP="004A5E89">
            <w:pPr>
              <w:rPr>
                <w:sz w:val="18"/>
                <w:szCs w:val="18"/>
              </w:rPr>
            </w:pPr>
            <w:r w:rsidRPr="00DE1B38">
              <w:rPr>
                <w:sz w:val="18"/>
                <w:szCs w:val="18"/>
              </w:rPr>
              <w:t>Mejora de la planificación y ejecución de los proyectos de inversión prioritarios del Gobierno de Alagoas</w:t>
            </w:r>
          </w:p>
        </w:tc>
        <w:tc>
          <w:tcPr>
            <w:tcW w:w="2160" w:type="dxa"/>
            <w:shd w:val="clear" w:color="auto" w:fill="auto"/>
          </w:tcPr>
          <w:p w:rsidR="00072078" w:rsidRPr="00DE1B38" w:rsidRDefault="00072078" w:rsidP="004A5E89">
            <w:pPr>
              <w:rPr>
                <w:sz w:val="18"/>
                <w:szCs w:val="18"/>
              </w:rPr>
            </w:pPr>
            <w:r w:rsidRPr="00DE1B38">
              <w:rPr>
                <w:sz w:val="18"/>
                <w:szCs w:val="18"/>
              </w:rPr>
              <w:t>Valor ejecutado / valor presupuestado</w:t>
            </w:r>
          </w:p>
        </w:tc>
        <w:tc>
          <w:tcPr>
            <w:tcW w:w="1350" w:type="dxa"/>
          </w:tcPr>
          <w:p w:rsidR="00072078" w:rsidRPr="00DE1B38" w:rsidRDefault="00072078" w:rsidP="004A5E89">
            <w:pPr>
              <w:jc w:val="center"/>
              <w:rPr>
                <w:sz w:val="18"/>
                <w:szCs w:val="18"/>
              </w:rPr>
            </w:pP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 xml:space="preserve">Programa Alagoas </w:t>
            </w:r>
            <w:proofErr w:type="spellStart"/>
            <w:r w:rsidRPr="00DE1B38">
              <w:rPr>
                <w:sz w:val="18"/>
                <w:szCs w:val="18"/>
              </w:rPr>
              <w:t>Tem</w:t>
            </w:r>
            <w:proofErr w:type="spellEnd"/>
            <w:r w:rsidRPr="00DE1B38">
              <w:rPr>
                <w:sz w:val="18"/>
                <w:szCs w:val="18"/>
              </w:rPr>
              <w:t xml:space="preserve"> </w:t>
            </w:r>
            <w:proofErr w:type="spellStart"/>
            <w:r w:rsidRPr="00DE1B38">
              <w:rPr>
                <w:sz w:val="18"/>
                <w:szCs w:val="18"/>
              </w:rPr>
              <w:t>Pressa</w:t>
            </w:r>
            <w:proofErr w:type="spellEnd"/>
            <w:r w:rsidRPr="00DE1B38">
              <w:rPr>
                <w:sz w:val="18"/>
                <w:szCs w:val="18"/>
              </w:rPr>
              <w:t xml:space="preserve"> con datos del SIAFEM/AL</w:t>
            </w:r>
          </w:p>
        </w:tc>
        <w:tc>
          <w:tcPr>
            <w:tcW w:w="2511" w:type="dxa"/>
          </w:tcPr>
          <w:p w:rsidR="00072078" w:rsidRPr="00DE1B38" w:rsidRDefault="00072078" w:rsidP="004A5E89">
            <w:pPr>
              <w:rPr>
                <w:sz w:val="18"/>
                <w:szCs w:val="18"/>
              </w:rPr>
            </w:pPr>
            <w:r w:rsidRPr="00DE1B38">
              <w:rPr>
                <w:sz w:val="18"/>
                <w:szCs w:val="18"/>
              </w:rPr>
              <w:t xml:space="preserve">En 2012 fue presupuestado R$ 860 millones para los 26 proyectos prioritarios de </w:t>
            </w:r>
            <w:proofErr w:type="gramStart"/>
            <w:r w:rsidRPr="00DE1B38">
              <w:rPr>
                <w:sz w:val="18"/>
                <w:szCs w:val="18"/>
              </w:rPr>
              <w:t>gobierno monitoreados por la SEPLANDE y comprometidos</w:t>
            </w:r>
            <w:proofErr w:type="gramEnd"/>
            <w:r w:rsidRPr="00DE1B38">
              <w:rPr>
                <w:sz w:val="18"/>
                <w:szCs w:val="18"/>
              </w:rPr>
              <w:t xml:space="preserve"> R$ 557 millones. Para el 2013 fue presupuestado R$ 894 millones. Si bien en 2013 fueron ampliados a 52 </w:t>
            </w:r>
            <w:r w:rsidRPr="00DE1B38">
              <w:rPr>
                <w:sz w:val="18"/>
                <w:szCs w:val="18"/>
              </w:rPr>
              <w:lastRenderedPageBreak/>
              <w:t>proyectos prioritarios, se debe mantener el cálculo para los 26 del 2012 para efectos comparativos.</w:t>
            </w:r>
          </w:p>
          <w:p w:rsidR="004A5E89" w:rsidRPr="00DE1B38" w:rsidRDefault="004A5E89" w:rsidP="004A5E89">
            <w:pPr>
              <w:rPr>
                <w:sz w:val="18"/>
                <w:szCs w:val="18"/>
              </w:rPr>
            </w:pPr>
          </w:p>
        </w:tc>
      </w:tr>
      <w:tr w:rsidR="00072078" w:rsidRPr="00402155" w:rsidTr="00DE1B38">
        <w:tc>
          <w:tcPr>
            <w:tcW w:w="1280" w:type="dxa"/>
          </w:tcPr>
          <w:p w:rsidR="00072078" w:rsidRPr="00DE1B38" w:rsidRDefault="00072078" w:rsidP="004A5E89">
            <w:pPr>
              <w:rPr>
                <w:sz w:val="18"/>
                <w:szCs w:val="18"/>
              </w:rPr>
            </w:pPr>
            <w:r w:rsidRPr="00DE1B38">
              <w:rPr>
                <w:sz w:val="18"/>
                <w:szCs w:val="18"/>
              </w:rPr>
              <w:lastRenderedPageBreak/>
              <w:t>aumento de la capacidad de camas hoteleras en destinos diferentes a la Región Metropolitana de Maceió, como evidencia de una progresiva diversificación de los destinos bajo la visión estratégica del PET</w:t>
            </w:r>
          </w:p>
        </w:tc>
        <w:tc>
          <w:tcPr>
            <w:tcW w:w="2160" w:type="dxa"/>
          </w:tcPr>
          <w:p w:rsidR="00072078" w:rsidRPr="00DE1B38" w:rsidRDefault="00072078" w:rsidP="004A5E89">
            <w:pPr>
              <w:rPr>
                <w:sz w:val="18"/>
                <w:szCs w:val="18"/>
              </w:rPr>
            </w:pPr>
            <w:r w:rsidRPr="00DE1B38">
              <w:rPr>
                <w:sz w:val="18"/>
                <w:szCs w:val="18"/>
              </w:rPr>
              <w:t>número de camas hoteleras</w:t>
            </w:r>
          </w:p>
        </w:tc>
        <w:tc>
          <w:tcPr>
            <w:tcW w:w="1350" w:type="dxa"/>
          </w:tcPr>
          <w:p w:rsidR="00072078" w:rsidRPr="00DE1B38" w:rsidRDefault="00072078" w:rsidP="004A5E89">
            <w:pPr>
              <w:jc w:val="center"/>
              <w:rPr>
                <w:sz w:val="18"/>
                <w:szCs w:val="18"/>
              </w:rPr>
            </w:pPr>
            <w:r w:rsidRPr="00DE1B38">
              <w:rPr>
                <w:sz w:val="18"/>
                <w:szCs w:val="18"/>
              </w:rPr>
              <w:t>camas</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Informe anual de SETUR</w:t>
            </w:r>
          </w:p>
        </w:tc>
        <w:tc>
          <w:tcPr>
            <w:tcW w:w="2511" w:type="dxa"/>
          </w:tcPr>
          <w:p w:rsidR="00072078" w:rsidRPr="00DE1B38" w:rsidRDefault="00402155" w:rsidP="00402155">
            <w:pPr>
              <w:tabs>
                <w:tab w:val="left" w:pos="3870"/>
              </w:tabs>
              <w:rPr>
                <w:sz w:val="18"/>
                <w:szCs w:val="18"/>
              </w:rPr>
            </w:pPr>
            <w:r w:rsidRPr="00DE1B38">
              <w:rPr>
                <w:sz w:val="18"/>
                <w:szCs w:val="18"/>
                <w:lang w:val="es-ES"/>
              </w:rPr>
              <w:t>Previsión de crecimiento del</w:t>
            </w:r>
            <w:r w:rsidR="009668EF">
              <w:rPr>
                <w:sz w:val="18"/>
                <w:szCs w:val="18"/>
                <w:lang w:val="es-ES"/>
              </w:rPr>
              <w:t xml:space="preserve"> </w:t>
            </w:r>
            <w:r w:rsidR="00072078" w:rsidRPr="00DE1B38">
              <w:rPr>
                <w:sz w:val="18"/>
                <w:szCs w:val="18"/>
                <w:lang w:val="es-ES"/>
              </w:rPr>
              <w:t xml:space="preserve">PIB nacional </w:t>
            </w:r>
            <w:r w:rsidRPr="00DE1B38">
              <w:rPr>
                <w:sz w:val="18"/>
                <w:szCs w:val="18"/>
                <w:lang w:val="es-ES"/>
              </w:rPr>
              <w:t>es de 3,0%; para las</w:t>
            </w:r>
            <w:r w:rsidR="009668EF">
              <w:rPr>
                <w:sz w:val="18"/>
                <w:szCs w:val="18"/>
                <w:lang w:val="es-ES"/>
              </w:rPr>
              <w:t xml:space="preserve"> </w:t>
            </w:r>
            <w:r w:rsidR="00072078" w:rsidRPr="00DE1B38">
              <w:rPr>
                <w:sz w:val="18"/>
                <w:szCs w:val="18"/>
                <w:lang w:val="es-ES"/>
              </w:rPr>
              <w:t xml:space="preserve">APL Turismo </w:t>
            </w:r>
            <w:r w:rsidRPr="00DE1B38">
              <w:rPr>
                <w:sz w:val="18"/>
                <w:szCs w:val="18"/>
                <w:lang w:val="es-ES"/>
              </w:rPr>
              <w:t>que están en consolidación se consideró un crecimiento</w:t>
            </w:r>
            <w:r w:rsidR="00072078" w:rsidRPr="00DE1B38">
              <w:rPr>
                <w:sz w:val="18"/>
                <w:szCs w:val="18"/>
                <w:lang w:val="es-ES"/>
              </w:rPr>
              <w:t xml:space="preserve"> </w:t>
            </w:r>
            <w:r w:rsidRPr="00DE1B38">
              <w:rPr>
                <w:sz w:val="18"/>
                <w:szCs w:val="18"/>
                <w:lang w:val="es-ES"/>
              </w:rPr>
              <w:t>porcentual</w:t>
            </w:r>
            <w:r w:rsidR="00072078" w:rsidRPr="00DE1B38">
              <w:rPr>
                <w:sz w:val="18"/>
                <w:szCs w:val="18"/>
                <w:lang w:val="es-ES"/>
              </w:rPr>
              <w:t xml:space="preserve"> de 2%, </w:t>
            </w:r>
            <w:proofErr w:type="spellStart"/>
            <w:r w:rsidRPr="00DE1B38">
              <w:rPr>
                <w:sz w:val="18"/>
                <w:szCs w:val="18"/>
                <w:lang w:val="es-ES"/>
              </w:rPr>
              <w:t>aa</w:t>
            </w:r>
            <w:proofErr w:type="spellEnd"/>
          </w:p>
        </w:tc>
      </w:tr>
      <w:tr w:rsidR="00072078" w:rsidRPr="00072078" w:rsidTr="00DE1B38">
        <w:tc>
          <w:tcPr>
            <w:tcW w:w="1280" w:type="dxa"/>
          </w:tcPr>
          <w:p w:rsidR="00072078" w:rsidRPr="00DE1B38" w:rsidRDefault="00072078" w:rsidP="004A5E89">
            <w:pPr>
              <w:rPr>
                <w:sz w:val="18"/>
                <w:szCs w:val="18"/>
              </w:rPr>
            </w:pPr>
            <w:r w:rsidRPr="00DE1B38">
              <w:rPr>
                <w:sz w:val="18"/>
                <w:szCs w:val="18"/>
              </w:rPr>
              <w:t>Mejora de las condiciones de circulación las vías AL-101/Norte, AL-101/Sul e AL/225 de acceso a las áreas turísticas</w:t>
            </w:r>
          </w:p>
        </w:tc>
        <w:tc>
          <w:tcPr>
            <w:tcW w:w="2160" w:type="dxa"/>
          </w:tcPr>
          <w:p w:rsidR="00072078" w:rsidRPr="00DE1B38" w:rsidRDefault="00072078" w:rsidP="004A5E89">
            <w:pPr>
              <w:rPr>
                <w:sz w:val="18"/>
                <w:szCs w:val="18"/>
              </w:rPr>
            </w:pPr>
            <w:r w:rsidRPr="00DE1B38">
              <w:rPr>
                <w:sz w:val="18"/>
                <w:szCs w:val="18"/>
              </w:rPr>
              <w:t>Km de vías en condiciones buenas y optimas / total de km</w:t>
            </w:r>
          </w:p>
        </w:tc>
        <w:tc>
          <w:tcPr>
            <w:tcW w:w="1350" w:type="dxa"/>
          </w:tcPr>
          <w:p w:rsidR="00072078" w:rsidRPr="00DE1B38" w:rsidRDefault="00072078" w:rsidP="004A5E89">
            <w:pPr>
              <w:jc w:val="center"/>
              <w:rPr>
                <w:sz w:val="18"/>
                <w:szCs w:val="18"/>
              </w:rPr>
            </w:pPr>
            <w:r w:rsidRPr="00DE1B38">
              <w:rPr>
                <w:sz w:val="18"/>
                <w:szCs w:val="18"/>
              </w:rPr>
              <w:t>%</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 xml:space="preserve">Informe de Situación de las Condiciones de las </w:t>
            </w:r>
            <w:r w:rsidR="004A5E89" w:rsidRPr="00DE1B38">
              <w:rPr>
                <w:sz w:val="18"/>
                <w:szCs w:val="18"/>
              </w:rPr>
              <w:t>Vías Estatales</w:t>
            </w:r>
          </w:p>
        </w:tc>
        <w:tc>
          <w:tcPr>
            <w:tcW w:w="2511" w:type="dxa"/>
          </w:tcPr>
          <w:p w:rsidR="00072078" w:rsidRPr="00DE1B38" w:rsidRDefault="00072078" w:rsidP="004A5E89">
            <w:pPr>
              <w:rPr>
                <w:sz w:val="18"/>
                <w:szCs w:val="18"/>
              </w:rPr>
            </w:pPr>
            <w:r w:rsidRPr="00DE1B38">
              <w:rPr>
                <w:sz w:val="18"/>
                <w:szCs w:val="18"/>
              </w:rPr>
              <w:t>Línea de Base (2010) - :Condición de las vías AL-101/Norte:</w:t>
            </w:r>
            <w:r w:rsidR="009668EF">
              <w:rPr>
                <w:sz w:val="18"/>
                <w:szCs w:val="18"/>
              </w:rPr>
              <w:t xml:space="preserve"> </w:t>
            </w:r>
            <w:r w:rsidRPr="00DE1B38">
              <w:rPr>
                <w:sz w:val="18"/>
                <w:szCs w:val="18"/>
              </w:rPr>
              <w:t>31,20% buenas y optimas</w:t>
            </w:r>
          </w:p>
          <w:p w:rsidR="00072078" w:rsidRPr="00DE1B38" w:rsidRDefault="00072078" w:rsidP="004A5E89">
            <w:pPr>
              <w:rPr>
                <w:sz w:val="18"/>
                <w:szCs w:val="18"/>
              </w:rPr>
            </w:pPr>
            <w:r w:rsidRPr="00DE1B38">
              <w:rPr>
                <w:sz w:val="18"/>
                <w:szCs w:val="18"/>
              </w:rPr>
              <w:t xml:space="preserve">- condición de la vía AL-101/Sul: 19,12% buenas y optimas </w:t>
            </w:r>
          </w:p>
          <w:p w:rsidR="00072078" w:rsidRPr="00DE1B38" w:rsidRDefault="00072078" w:rsidP="004A5E89">
            <w:pPr>
              <w:rPr>
                <w:sz w:val="18"/>
                <w:szCs w:val="18"/>
              </w:rPr>
            </w:pPr>
            <w:r w:rsidRPr="00DE1B38">
              <w:rPr>
                <w:sz w:val="18"/>
                <w:szCs w:val="18"/>
              </w:rPr>
              <w:t>- condición de la vía AL-215: 9,58% buenas y optimas</w:t>
            </w:r>
          </w:p>
          <w:p w:rsidR="00072078" w:rsidRPr="00DE1B38" w:rsidRDefault="00072078" w:rsidP="004A5E89">
            <w:pPr>
              <w:tabs>
                <w:tab w:val="left" w:pos="3870"/>
              </w:tabs>
              <w:rPr>
                <w:sz w:val="18"/>
                <w:szCs w:val="18"/>
              </w:rPr>
            </w:pPr>
            <w:r w:rsidRPr="00DE1B38">
              <w:rPr>
                <w:sz w:val="18"/>
                <w:szCs w:val="18"/>
              </w:rPr>
              <w:t xml:space="preserve">Meta (2015): </w:t>
            </w:r>
          </w:p>
          <w:p w:rsidR="00072078" w:rsidRPr="00DE1B38" w:rsidRDefault="00072078" w:rsidP="004A5E89">
            <w:pPr>
              <w:tabs>
                <w:tab w:val="left" w:pos="3870"/>
              </w:tabs>
              <w:rPr>
                <w:sz w:val="18"/>
                <w:szCs w:val="18"/>
              </w:rPr>
            </w:pPr>
            <w:r w:rsidRPr="00DE1B38">
              <w:rPr>
                <w:sz w:val="18"/>
                <w:szCs w:val="18"/>
              </w:rPr>
              <w:t>- condición de las vías AL-101/Norte: 67,20% buenas y optimas</w:t>
            </w:r>
          </w:p>
          <w:p w:rsidR="00072078" w:rsidRPr="00DE1B38" w:rsidRDefault="00072078" w:rsidP="004A5E89">
            <w:pPr>
              <w:tabs>
                <w:tab w:val="left" w:pos="3870"/>
              </w:tabs>
              <w:rPr>
                <w:sz w:val="18"/>
                <w:szCs w:val="18"/>
              </w:rPr>
            </w:pPr>
            <w:r w:rsidRPr="00DE1B38">
              <w:rPr>
                <w:sz w:val="18"/>
                <w:szCs w:val="18"/>
              </w:rPr>
              <w:t>- condición de la</w:t>
            </w:r>
            <w:r w:rsidR="009668EF">
              <w:rPr>
                <w:sz w:val="18"/>
                <w:szCs w:val="18"/>
              </w:rPr>
              <w:t xml:space="preserve"> </w:t>
            </w:r>
            <w:r w:rsidRPr="00DE1B38">
              <w:rPr>
                <w:sz w:val="18"/>
                <w:szCs w:val="18"/>
              </w:rPr>
              <w:t>vía</w:t>
            </w:r>
            <w:r w:rsidR="009668EF">
              <w:rPr>
                <w:sz w:val="18"/>
                <w:szCs w:val="18"/>
              </w:rPr>
              <w:t xml:space="preserve"> </w:t>
            </w:r>
            <w:r w:rsidRPr="00DE1B38">
              <w:rPr>
                <w:sz w:val="18"/>
                <w:szCs w:val="18"/>
              </w:rPr>
              <w:t>AL-101/Sul: 87,52 % buenas y optimas</w:t>
            </w:r>
          </w:p>
          <w:p w:rsidR="00072078" w:rsidRPr="00DE1B38" w:rsidRDefault="00072078" w:rsidP="004A5E89">
            <w:pPr>
              <w:tabs>
                <w:tab w:val="left" w:pos="3870"/>
              </w:tabs>
              <w:rPr>
                <w:sz w:val="18"/>
                <w:szCs w:val="18"/>
              </w:rPr>
            </w:pPr>
            <w:r w:rsidRPr="00DE1B38">
              <w:rPr>
                <w:sz w:val="18"/>
                <w:szCs w:val="18"/>
              </w:rPr>
              <w:t>- condición de la vía AL-215: 90,42% buenas y optimas</w:t>
            </w:r>
          </w:p>
          <w:p w:rsidR="00072078" w:rsidRPr="00DE1B38" w:rsidRDefault="00072078" w:rsidP="004A5E89">
            <w:pPr>
              <w:rPr>
                <w:sz w:val="18"/>
                <w:szCs w:val="18"/>
              </w:rPr>
            </w:pPr>
            <w:r w:rsidRPr="00DE1B38">
              <w:rPr>
                <w:sz w:val="18"/>
                <w:szCs w:val="18"/>
              </w:rPr>
              <w:t>AL-101/Norte</w:t>
            </w:r>
          </w:p>
          <w:p w:rsidR="00072078" w:rsidRPr="00DE1B38" w:rsidRDefault="00072078" w:rsidP="004A5E89">
            <w:pPr>
              <w:rPr>
                <w:sz w:val="18"/>
                <w:szCs w:val="18"/>
              </w:rPr>
            </w:pPr>
            <w:r w:rsidRPr="00DE1B38">
              <w:rPr>
                <w:sz w:val="18"/>
                <w:szCs w:val="18"/>
              </w:rPr>
              <w:t>- Maceió Barra de Santo Antonio: 44,70Km</w:t>
            </w:r>
          </w:p>
          <w:p w:rsidR="00072078" w:rsidRPr="00DE1B38" w:rsidRDefault="00072078" w:rsidP="004A5E89">
            <w:pPr>
              <w:rPr>
                <w:sz w:val="18"/>
                <w:szCs w:val="18"/>
              </w:rPr>
            </w:pPr>
            <w:r w:rsidRPr="00DE1B38">
              <w:rPr>
                <w:sz w:val="18"/>
                <w:szCs w:val="18"/>
              </w:rPr>
              <w:t xml:space="preserve">- Barra de Santo Antonio/ Entrada de </w:t>
            </w:r>
            <w:proofErr w:type="spellStart"/>
            <w:r w:rsidRPr="00DE1B38">
              <w:rPr>
                <w:sz w:val="18"/>
                <w:szCs w:val="18"/>
              </w:rPr>
              <w:t>Sâo</w:t>
            </w:r>
            <w:proofErr w:type="spellEnd"/>
            <w:r w:rsidRPr="00DE1B38">
              <w:rPr>
                <w:sz w:val="18"/>
                <w:szCs w:val="18"/>
              </w:rPr>
              <w:t xml:space="preserve"> Luis de </w:t>
            </w:r>
            <w:proofErr w:type="spellStart"/>
            <w:r w:rsidRPr="00DE1B38">
              <w:rPr>
                <w:sz w:val="18"/>
                <w:szCs w:val="18"/>
              </w:rPr>
              <w:t>Quitunde</w:t>
            </w:r>
            <w:proofErr w:type="spellEnd"/>
            <w:r w:rsidRPr="00DE1B38">
              <w:rPr>
                <w:sz w:val="18"/>
                <w:szCs w:val="18"/>
              </w:rPr>
              <w:t>: 18,52Km</w:t>
            </w:r>
          </w:p>
          <w:p w:rsidR="00072078" w:rsidRPr="00DE1B38" w:rsidRDefault="00072078" w:rsidP="004A5E89">
            <w:pPr>
              <w:rPr>
                <w:sz w:val="18"/>
                <w:szCs w:val="18"/>
              </w:rPr>
            </w:pPr>
            <w:r w:rsidRPr="00DE1B38">
              <w:rPr>
                <w:sz w:val="18"/>
                <w:szCs w:val="18"/>
              </w:rPr>
              <w:t xml:space="preserve">- </w:t>
            </w:r>
            <w:proofErr w:type="spellStart"/>
            <w:r w:rsidRPr="00DE1B38">
              <w:rPr>
                <w:sz w:val="18"/>
                <w:szCs w:val="18"/>
              </w:rPr>
              <w:t>Sâo</w:t>
            </w:r>
            <w:proofErr w:type="spellEnd"/>
            <w:r w:rsidRPr="00DE1B38">
              <w:rPr>
                <w:sz w:val="18"/>
                <w:szCs w:val="18"/>
              </w:rPr>
              <w:t xml:space="preserve"> Luis de </w:t>
            </w:r>
            <w:proofErr w:type="spellStart"/>
            <w:r w:rsidRPr="00DE1B38">
              <w:rPr>
                <w:sz w:val="18"/>
                <w:szCs w:val="18"/>
              </w:rPr>
              <w:t>Quitunde</w:t>
            </w:r>
            <w:proofErr w:type="spellEnd"/>
            <w:r w:rsidRPr="00DE1B38">
              <w:rPr>
                <w:sz w:val="18"/>
                <w:szCs w:val="18"/>
              </w:rPr>
              <w:t>/ Matriz de |Camaragibe: 19,57Km</w:t>
            </w:r>
          </w:p>
          <w:p w:rsidR="00072078" w:rsidRPr="00DE1B38" w:rsidRDefault="00072078" w:rsidP="004A5E89">
            <w:pPr>
              <w:rPr>
                <w:sz w:val="18"/>
                <w:szCs w:val="18"/>
                <w:lang w:val="pt-BR"/>
              </w:rPr>
            </w:pPr>
            <w:r w:rsidRPr="00DE1B38">
              <w:rPr>
                <w:sz w:val="18"/>
                <w:szCs w:val="18"/>
                <w:lang w:val="pt-BR"/>
              </w:rPr>
              <w:t>- Matriz de |Camaragibe / Porto Calvo: 24,56Km</w:t>
            </w:r>
          </w:p>
          <w:p w:rsidR="00072078" w:rsidRPr="00DE1B38" w:rsidRDefault="00072078" w:rsidP="004A5E89">
            <w:pPr>
              <w:rPr>
                <w:sz w:val="18"/>
                <w:szCs w:val="18"/>
                <w:lang w:val="pt-BR"/>
              </w:rPr>
            </w:pPr>
            <w:r w:rsidRPr="00DE1B38">
              <w:rPr>
                <w:sz w:val="18"/>
                <w:szCs w:val="18"/>
                <w:lang w:val="pt-BR"/>
              </w:rPr>
              <w:t>- - AL 215: 7,0Km</w:t>
            </w:r>
            <w:r w:rsidRPr="00DE1B38">
              <w:rPr>
                <w:sz w:val="18"/>
                <w:szCs w:val="18"/>
                <w:lang w:val="pt-BR"/>
              </w:rPr>
              <w:cr/>
              <w:t xml:space="preserve">Porto Calvo a </w:t>
            </w:r>
            <w:proofErr w:type="gramStart"/>
            <w:r w:rsidRPr="00DE1B38">
              <w:rPr>
                <w:sz w:val="18"/>
                <w:szCs w:val="18"/>
                <w:lang w:val="pt-BR"/>
              </w:rPr>
              <w:t>Japaratinga:</w:t>
            </w:r>
            <w:proofErr w:type="gramEnd"/>
            <w:r w:rsidRPr="00DE1B38">
              <w:rPr>
                <w:sz w:val="18"/>
                <w:szCs w:val="18"/>
                <w:lang w:val="pt-BR"/>
              </w:rPr>
              <w:t>19,19Km</w:t>
            </w:r>
          </w:p>
          <w:p w:rsidR="00072078" w:rsidRPr="00DE1B38" w:rsidRDefault="00072078" w:rsidP="004A5E89">
            <w:pPr>
              <w:rPr>
                <w:sz w:val="18"/>
                <w:szCs w:val="18"/>
                <w:lang w:val="pt-BR"/>
              </w:rPr>
            </w:pPr>
            <w:r w:rsidRPr="00DE1B38">
              <w:rPr>
                <w:sz w:val="18"/>
                <w:szCs w:val="18"/>
                <w:lang w:val="pt-BR"/>
              </w:rPr>
              <w:t>Japaratinga/ Maragogi – 9,74Km</w:t>
            </w:r>
          </w:p>
          <w:p w:rsidR="00072078" w:rsidRPr="00DE1B38" w:rsidRDefault="00072078" w:rsidP="004A5E89">
            <w:pPr>
              <w:rPr>
                <w:sz w:val="18"/>
                <w:szCs w:val="18"/>
                <w:lang w:val="pt-BR"/>
              </w:rPr>
            </w:pPr>
            <w:r w:rsidRPr="00DE1B38">
              <w:rPr>
                <w:sz w:val="18"/>
                <w:szCs w:val="18"/>
                <w:lang w:val="pt-BR"/>
              </w:rPr>
              <w:t>- Maragogi/Divisa AL/</w:t>
            </w:r>
            <w:proofErr w:type="gramStart"/>
            <w:r w:rsidRPr="00DE1B38">
              <w:rPr>
                <w:sz w:val="18"/>
                <w:szCs w:val="18"/>
                <w:lang w:val="pt-BR"/>
              </w:rPr>
              <w:t>PE:</w:t>
            </w:r>
            <w:proofErr w:type="gramEnd"/>
            <w:r w:rsidRPr="00DE1B38">
              <w:rPr>
                <w:sz w:val="18"/>
                <w:szCs w:val="18"/>
                <w:lang w:val="pt-BR"/>
              </w:rPr>
              <w:t>14,66Km</w:t>
            </w:r>
          </w:p>
          <w:p w:rsidR="00072078" w:rsidRPr="00DE1B38" w:rsidRDefault="00072078" w:rsidP="004A5E89">
            <w:pPr>
              <w:rPr>
                <w:sz w:val="18"/>
                <w:szCs w:val="18"/>
                <w:lang w:val="pt-BR"/>
              </w:rPr>
            </w:pPr>
            <w:r w:rsidRPr="00DE1B38">
              <w:rPr>
                <w:sz w:val="18"/>
                <w:szCs w:val="18"/>
                <w:lang w:val="pt-BR"/>
              </w:rPr>
              <w:t>TOTAL GERAL AL 101-NORTE: 149,24Km</w:t>
            </w:r>
          </w:p>
          <w:p w:rsidR="00072078" w:rsidRPr="00DE1B38" w:rsidRDefault="00072078" w:rsidP="004A5E89">
            <w:pPr>
              <w:rPr>
                <w:sz w:val="18"/>
                <w:szCs w:val="18"/>
                <w:lang w:val="pt-BR"/>
              </w:rPr>
            </w:pPr>
            <w:r w:rsidRPr="00DE1B38">
              <w:rPr>
                <w:sz w:val="18"/>
                <w:szCs w:val="18"/>
                <w:lang w:val="pt-BR"/>
              </w:rPr>
              <w:t>AL-101/Sul</w:t>
            </w:r>
          </w:p>
          <w:p w:rsidR="00072078" w:rsidRPr="00DE1B38" w:rsidRDefault="00072078" w:rsidP="004A5E89">
            <w:pPr>
              <w:rPr>
                <w:sz w:val="18"/>
                <w:szCs w:val="18"/>
                <w:lang w:val="pt-BR"/>
              </w:rPr>
            </w:pPr>
            <w:r w:rsidRPr="00DE1B38">
              <w:rPr>
                <w:sz w:val="18"/>
                <w:szCs w:val="18"/>
                <w:lang w:val="pt-BR"/>
              </w:rPr>
              <w:t>Maceió/Barra de São Miguel: 25,8Km</w:t>
            </w:r>
          </w:p>
          <w:p w:rsidR="00072078" w:rsidRPr="00DE1B38" w:rsidRDefault="00072078" w:rsidP="004A5E89">
            <w:pPr>
              <w:rPr>
                <w:sz w:val="18"/>
                <w:szCs w:val="18"/>
                <w:lang w:val="pt-BR"/>
              </w:rPr>
            </w:pPr>
            <w:r w:rsidRPr="00DE1B38">
              <w:rPr>
                <w:sz w:val="18"/>
                <w:szCs w:val="18"/>
                <w:lang w:val="pt-BR"/>
              </w:rPr>
              <w:t xml:space="preserve">Barra de São Miguel/ Piaçabuçu: </w:t>
            </w:r>
            <w:r w:rsidRPr="00DE1B38">
              <w:rPr>
                <w:sz w:val="18"/>
                <w:szCs w:val="18"/>
                <w:lang w:val="pt-BR"/>
              </w:rPr>
              <w:lastRenderedPageBreak/>
              <w:t>131,4Km</w:t>
            </w:r>
          </w:p>
          <w:p w:rsidR="00072078" w:rsidRPr="00DE1B38" w:rsidRDefault="00072078" w:rsidP="004A5E89">
            <w:pPr>
              <w:rPr>
                <w:sz w:val="18"/>
                <w:szCs w:val="18"/>
                <w:lang w:val="pt-BR"/>
              </w:rPr>
            </w:pPr>
            <w:r w:rsidRPr="00DE1B38">
              <w:rPr>
                <w:sz w:val="18"/>
                <w:szCs w:val="18"/>
                <w:lang w:val="pt-BR"/>
              </w:rPr>
              <w:t>Piaçabuçu a Penedo: 25,3Km</w:t>
            </w:r>
          </w:p>
          <w:p w:rsidR="00072078" w:rsidRPr="00DE1B38" w:rsidRDefault="00072078" w:rsidP="004A5E89">
            <w:pPr>
              <w:rPr>
                <w:sz w:val="18"/>
                <w:szCs w:val="18"/>
                <w:lang w:val="pt-BR"/>
              </w:rPr>
            </w:pPr>
            <w:r w:rsidRPr="00DE1B38">
              <w:rPr>
                <w:sz w:val="18"/>
                <w:szCs w:val="18"/>
                <w:lang w:val="pt-BR"/>
              </w:rPr>
              <w:t>AL 101-SUL: 182,50Km</w:t>
            </w:r>
          </w:p>
          <w:p w:rsidR="00072078" w:rsidRPr="00DE1B38" w:rsidRDefault="00072078" w:rsidP="004A5E89">
            <w:pPr>
              <w:rPr>
                <w:sz w:val="18"/>
                <w:szCs w:val="18"/>
                <w:lang w:val="pt-BR"/>
              </w:rPr>
            </w:pPr>
            <w:r w:rsidRPr="00DE1B38">
              <w:rPr>
                <w:sz w:val="18"/>
                <w:szCs w:val="18"/>
                <w:lang w:val="pt-BR"/>
              </w:rPr>
              <w:t>AL-215</w:t>
            </w:r>
            <w:r w:rsidR="00402155" w:rsidRPr="00DE1B38">
              <w:rPr>
                <w:sz w:val="18"/>
                <w:szCs w:val="18"/>
                <w:lang w:val="pt-BR"/>
              </w:rPr>
              <w:t xml:space="preserve"> </w:t>
            </w:r>
            <w:r w:rsidRPr="00DE1B38">
              <w:rPr>
                <w:sz w:val="18"/>
                <w:szCs w:val="18"/>
                <w:lang w:val="pt-BR"/>
              </w:rPr>
              <w:t>Marechal Deodoro/</w:t>
            </w:r>
            <w:proofErr w:type="gramStart"/>
            <w:r w:rsidRPr="00DE1B38">
              <w:rPr>
                <w:sz w:val="18"/>
                <w:szCs w:val="18"/>
                <w:lang w:val="pt-BR"/>
              </w:rPr>
              <w:t>Francês:</w:t>
            </w:r>
            <w:proofErr w:type="gramEnd"/>
            <w:r w:rsidRPr="00DE1B38">
              <w:rPr>
                <w:sz w:val="18"/>
                <w:szCs w:val="18"/>
                <w:lang w:val="pt-BR"/>
              </w:rPr>
              <w:t>7,0Km</w:t>
            </w:r>
          </w:p>
          <w:p w:rsidR="00072078" w:rsidRPr="00DE1B38" w:rsidRDefault="00072078" w:rsidP="00402155">
            <w:pPr>
              <w:rPr>
                <w:sz w:val="18"/>
                <w:szCs w:val="18"/>
              </w:rPr>
            </w:pPr>
            <w:r w:rsidRPr="00DE1B38">
              <w:rPr>
                <w:sz w:val="18"/>
                <w:szCs w:val="18"/>
              </w:rPr>
              <w:t>TOTAL GERAL AL 215: 7,0Km</w:t>
            </w:r>
          </w:p>
        </w:tc>
      </w:tr>
      <w:tr w:rsidR="00072078" w:rsidRPr="00072078" w:rsidTr="00DE1B38">
        <w:trPr>
          <w:trHeight w:val="494"/>
        </w:trPr>
        <w:tc>
          <w:tcPr>
            <w:tcW w:w="1280" w:type="dxa"/>
          </w:tcPr>
          <w:p w:rsidR="00072078" w:rsidRPr="00DE1B38" w:rsidRDefault="00072078" w:rsidP="004A5E89">
            <w:pPr>
              <w:rPr>
                <w:sz w:val="18"/>
                <w:szCs w:val="18"/>
              </w:rPr>
            </w:pPr>
            <w:r w:rsidRPr="00DE1B38">
              <w:rPr>
                <w:sz w:val="18"/>
                <w:szCs w:val="18"/>
              </w:rPr>
              <w:lastRenderedPageBreak/>
              <w:t>Reducción del número de accidentes de tránsito en las vías AL-101/Norte, AL-101/Sul e AL/225 de acceso a las vías turísticas</w:t>
            </w:r>
          </w:p>
        </w:tc>
        <w:tc>
          <w:tcPr>
            <w:tcW w:w="2160" w:type="dxa"/>
          </w:tcPr>
          <w:p w:rsidR="00072078" w:rsidRPr="00DE1B38" w:rsidRDefault="00072078" w:rsidP="004A5E89">
            <w:pPr>
              <w:rPr>
                <w:sz w:val="18"/>
                <w:szCs w:val="18"/>
              </w:rPr>
            </w:pPr>
            <w:r w:rsidRPr="00DE1B38">
              <w:rPr>
                <w:sz w:val="18"/>
                <w:szCs w:val="18"/>
              </w:rPr>
              <w:t>Nº de accidentes</w:t>
            </w:r>
          </w:p>
        </w:tc>
        <w:tc>
          <w:tcPr>
            <w:tcW w:w="1350" w:type="dxa"/>
          </w:tcPr>
          <w:p w:rsidR="00072078" w:rsidRPr="00DE1B38" w:rsidRDefault="00072078" w:rsidP="004A5E89">
            <w:pPr>
              <w:jc w:val="center"/>
              <w:rPr>
                <w:sz w:val="18"/>
                <w:szCs w:val="18"/>
              </w:rPr>
            </w:pPr>
            <w:r w:rsidRPr="00DE1B38">
              <w:rPr>
                <w:sz w:val="18"/>
                <w:szCs w:val="18"/>
              </w:rPr>
              <w:t>accidentes</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 xml:space="preserve">Informe de Situación de las Condiciones de las </w:t>
            </w:r>
            <w:r w:rsidR="004A5E89" w:rsidRPr="00DE1B38">
              <w:rPr>
                <w:sz w:val="18"/>
                <w:szCs w:val="18"/>
              </w:rPr>
              <w:t>Vías Estatales</w:t>
            </w:r>
          </w:p>
        </w:tc>
        <w:tc>
          <w:tcPr>
            <w:tcW w:w="2511" w:type="dxa"/>
          </w:tcPr>
          <w:p w:rsidR="00402155" w:rsidRPr="00DE1B38" w:rsidRDefault="00072078" w:rsidP="004A5E89">
            <w:pPr>
              <w:rPr>
                <w:sz w:val="18"/>
                <w:szCs w:val="18"/>
              </w:rPr>
            </w:pPr>
            <w:r w:rsidRPr="00DE1B38">
              <w:rPr>
                <w:sz w:val="18"/>
                <w:szCs w:val="18"/>
              </w:rPr>
              <w:t>Línea de Base (2010): número de accidentes en</w:t>
            </w:r>
            <w:r w:rsidR="009668EF">
              <w:rPr>
                <w:sz w:val="18"/>
                <w:szCs w:val="18"/>
              </w:rPr>
              <w:t xml:space="preserve"> </w:t>
            </w:r>
            <w:r w:rsidRPr="00DE1B38">
              <w:rPr>
                <w:sz w:val="18"/>
                <w:szCs w:val="18"/>
              </w:rPr>
              <w:t>de las vías</w:t>
            </w:r>
            <w:r w:rsidR="009668EF">
              <w:rPr>
                <w:sz w:val="18"/>
                <w:szCs w:val="18"/>
              </w:rPr>
              <w:t xml:space="preserve"> </w:t>
            </w:r>
            <w:r w:rsidRPr="00DE1B38">
              <w:rPr>
                <w:sz w:val="18"/>
                <w:szCs w:val="18"/>
              </w:rPr>
              <w:t>AL-101/Norte, AL-101/Sul e AL/225</w:t>
            </w:r>
          </w:p>
          <w:p w:rsidR="00072078" w:rsidRPr="00DE1B38" w:rsidRDefault="00072078" w:rsidP="004A5E89">
            <w:pPr>
              <w:rPr>
                <w:sz w:val="18"/>
                <w:szCs w:val="18"/>
              </w:rPr>
            </w:pPr>
            <w:r w:rsidRPr="00DE1B38">
              <w:rPr>
                <w:sz w:val="18"/>
                <w:szCs w:val="18"/>
              </w:rPr>
              <w:t>Tr</w:t>
            </w:r>
            <w:r w:rsidR="00402155" w:rsidRPr="00DE1B38">
              <w:rPr>
                <w:sz w:val="18"/>
                <w:szCs w:val="18"/>
              </w:rPr>
              <w:t>amos de la</w:t>
            </w:r>
            <w:r w:rsidR="009668EF">
              <w:rPr>
                <w:sz w:val="18"/>
                <w:szCs w:val="18"/>
              </w:rPr>
              <w:t xml:space="preserve"> </w:t>
            </w:r>
            <w:r w:rsidRPr="00DE1B38">
              <w:rPr>
                <w:sz w:val="18"/>
                <w:szCs w:val="18"/>
              </w:rPr>
              <w:t>AL-101/Norte</w:t>
            </w:r>
          </w:p>
          <w:p w:rsidR="00072078" w:rsidRPr="00DE1B38" w:rsidRDefault="00072078" w:rsidP="004A5E89">
            <w:pPr>
              <w:rPr>
                <w:sz w:val="18"/>
                <w:szCs w:val="18"/>
              </w:rPr>
            </w:pPr>
            <w:r w:rsidRPr="00DE1B38">
              <w:rPr>
                <w:sz w:val="18"/>
                <w:szCs w:val="18"/>
              </w:rPr>
              <w:t>Maceió Barra de Santo Antonio: - 44,70Km</w:t>
            </w:r>
          </w:p>
          <w:p w:rsidR="00072078" w:rsidRPr="00DE1B38" w:rsidRDefault="00072078" w:rsidP="004A5E89">
            <w:pPr>
              <w:rPr>
                <w:sz w:val="18"/>
                <w:szCs w:val="18"/>
              </w:rPr>
            </w:pPr>
            <w:r w:rsidRPr="00DE1B38">
              <w:rPr>
                <w:sz w:val="18"/>
                <w:szCs w:val="18"/>
              </w:rPr>
              <w:t xml:space="preserve">Barra de Santo Antonio/ Entrada de </w:t>
            </w:r>
            <w:proofErr w:type="spellStart"/>
            <w:r w:rsidRPr="00DE1B38">
              <w:rPr>
                <w:sz w:val="18"/>
                <w:szCs w:val="18"/>
              </w:rPr>
              <w:t>Sâo</w:t>
            </w:r>
            <w:proofErr w:type="spellEnd"/>
            <w:r w:rsidRPr="00DE1B38">
              <w:rPr>
                <w:sz w:val="18"/>
                <w:szCs w:val="18"/>
              </w:rPr>
              <w:t xml:space="preserve"> Luis de </w:t>
            </w:r>
            <w:proofErr w:type="spellStart"/>
            <w:r w:rsidRPr="00DE1B38">
              <w:rPr>
                <w:sz w:val="18"/>
                <w:szCs w:val="18"/>
              </w:rPr>
              <w:t>Quitunde</w:t>
            </w:r>
            <w:proofErr w:type="spellEnd"/>
            <w:r w:rsidRPr="00DE1B38">
              <w:rPr>
                <w:sz w:val="18"/>
                <w:szCs w:val="18"/>
              </w:rPr>
              <w:t xml:space="preserve"> – 18,52Km</w:t>
            </w:r>
          </w:p>
          <w:p w:rsidR="00072078" w:rsidRPr="00DE1B38" w:rsidRDefault="00072078" w:rsidP="004A5E89">
            <w:pPr>
              <w:rPr>
                <w:sz w:val="18"/>
                <w:szCs w:val="18"/>
              </w:rPr>
            </w:pPr>
            <w:proofErr w:type="spellStart"/>
            <w:r w:rsidRPr="00DE1B38">
              <w:rPr>
                <w:sz w:val="18"/>
                <w:szCs w:val="18"/>
              </w:rPr>
              <w:t>Sâo</w:t>
            </w:r>
            <w:proofErr w:type="spellEnd"/>
            <w:r w:rsidRPr="00DE1B38">
              <w:rPr>
                <w:sz w:val="18"/>
                <w:szCs w:val="18"/>
              </w:rPr>
              <w:t xml:space="preserve"> Luis de </w:t>
            </w:r>
            <w:proofErr w:type="spellStart"/>
            <w:r w:rsidRPr="00DE1B38">
              <w:rPr>
                <w:sz w:val="18"/>
                <w:szCs w:val="18"/>
              </w:rPr>
              <w:t>Quitunde</w:t>
            </w:r>
            <w:proofErr w:type="spellEnd"/>
            <w:r w:rsidRPr="00DE1B38">
              <w:rPr>
                <w:sz w:val="18"/>
                <w:szCs w:val="18"/>
              </w:rPr>
              <w:t>/ Matriz de |</w:t>
            </w:r>
            <w:proofErr w:type="spellStart"/>
            <w:r w:rsidRPr="00DE1B38">
              <w:rPr>
                <w:sz w:val="18"/>
                <w:szCs w:val="18"/>
              </w:rPr>
              <w:t>Camaragibe</w:t>
            </w:r>
            <w:proofErr w:type="spellEnd"/>
            <w:r w:rsidRPr="00DE1B38">
              <w:rPr>
                <w:sz w:val="18"/>
                <w:szCs w:val="18"/>
              </w:rPr>
              <w:t xml:space="preserve"> – 19,57Km</w:t>
            </w:r>
          </w:p>
          <w:p w:rsidR="00072078" w:rsidRPr="00DE1B38" w:rsidRDefault="00072078" w:rsidP="004A5E89">
            <w:pPr>
              <w:rPr>
                <w:sz w:val="18"/>
                <w:szCs w:val="18"/>
              </w:rPr>
            </w:pPr>
            <w:r w:rsidRPr="00DE1B38">
              <w:rPr>
                <w:sz w:val="18"/>
                <w:szCs w:val="18"/>
              </w:rPr>
              <w:t>Matriz de |Camaragibe / Porto Calvo – 24,56Km</w:t>
            </w:r>
          </w:p>
          <w:p w:rsidR="00072078" w:rsidRPr="00DE1B38" w:rsidRDefault="00072078" w:rsidP="004A5E89">
            <w:pPr>
              <w:rPr>
                <w:sz w:val="18"/>
                <w:szCs w:val="18"/>
                <w:lang w:val="pt-BR"/>
              </w:rPr>
            </w:pPr>
            <w:r w:rsidRPr="00DE1B38">
              <w:rPr>
                <w:sz w:val="18"/>
                <w:szCs w:val="18"/>
                <w:lang w:val="pt-BR"/>
              </w:rPr>
              <w:t>Porto Calvo a Japaratinga – 19,19Km</w:t>
            </w:r>
          </w:p>
          <w:p w:rsidR="00072078" w:rsidRPr="00DE1B38" w:rsidRDefault="00072078" w:rsidP="004A5E89">
            <w:pPr>
              <w:rPr>
                <w:sz w:val="18"/>
                <w:szCs w:val="18"/>
                <w:lang w:val="pt-BR"/>
              </w:rPr>
            </w:pPr>
            <w:r w:rsidRPr="00DE1B38">
              <w:rPr>
                <w:sz w:val="18"/>
                <w:szCs w:val="18"/>
                <w:lang w:val="pt-BR"/>
              </w:rPr>
              <w:t>Japaratinga/ Maragogi – 9,74Km</w:t>
            </w:r>
          </w:p>
          <w:p w:rsidR="00072078" w:rsidRPr="00DE1B38" w:rsidRDefault="00072078" w:rsidP="004A5E89">
            <w:pPr>
              <w:rPr>
                <w:sz w:val="18"/>
                <w:szCs w:val="18"/>
                <w:lang w:val="pt-BR"/>
              </w:rPr>
            </w:pPr>
            <w:r w:rsidRPr="00DE1B38">
              <w:rPr>
                <w:sz w:val="18"/>
                <w:szCs w:val="18"/>
                <w:lang w:val="pt-BR"/>
              </w:rPr>
              <w:t>Maragogi/Divisa AL/PE- 14,66Km</w:t>
            </w:r>
          </w:p>
          <w:p w:rsidR="00072078" w:rsidRPr="00DE1B38" w:rsidRDefault="00072078" w:rsidP="004A5E89">
            <w:pPr>
              <w:rPr>
                <w:sz w:val="18"/>
                <w:szCs w:val="18"/>
                <w:lang w:val="pt-BR"/>
              </w:rPr>
            </w:pPr>
            <w:r w:rsidRPr="00DE1B38">
              <w:rPr>
                <w:sz w:val="18"/>
                <w:szCs w:val="18"/>
                <w:lang w:val="pt-BR"/>
              </w:rPr>
              <w:t>TOTAL GERAL AL 101-NORTE: 149,24Km</w:t>
            </w:r>
          </w:p>
          <w:p w:rsidR="00072078" w:rsidRPr="00DE1B38" w:rsidRDefault="00072078" w:rsidP="004A5E89">
            <w:pPr>
              <w:rPr>
                <w:sz w:val="18"/>
                <w:szCs w:val="18"/>
                <w:lang w:val="pt-BR"/>
              </w:rPr>
            </w:pPr>
          </w:p>
          <w:p w:rsidR="00072078" w:rsidRPr="00DE1B38" w:rsidRDefault="00072078" w:rsidP="004A5E89">
            <w:pPr>
              <w:rPr>
                <w:sz w:val="18"/>
                <w:szCs w:val="18"/>
                <w:lang w:val="pt-BR"/>
              </w:rPr>
            </w:pPr>
            <w:r w:rsidRPr="00DE1B38">
              <w:rPr>
                <w:sz w:val="18"/>
                <w:szCs w:val="18"/>
                <w:lang w:val="pt-BR"/>
              </w:rPr>
              <w:t>Trechos da Rodovia AL-101/Sul</w:t>
            </w:r>
          </w:p>
          <w:p w:rsidR="00072078" w:rsidRPr="00DE1B38" w:rsidRDefault="00072078" w:rsidP="004A5E89">
            <w:pPr>
              <w:rPr>
                <w:sz w:val="18"/>
                <w:szCs w:val="18"/>
                <w:lang w:val="pt-BR"/>
              </w:rPr>
            </w:pPr>
            <w:r w:rsidRPr="00DE1B38">
              <w:rPr>
                <w:sz w:val="18"/>
                <w:szCs w:val="18"/>
                <w:lang w:val="pt-BR"/>
              </w:rPr>
              <w:t>Maceió/Barra de São Miguel – 25,8Km</w:t>
            </w:r>
          </w:p>
          <w:p w:rsidR="00072078" w:rsidRPr="00DE1B38" w:rsidRDefault="00072078" w:rsidP="004A5E89">
            <w:pPr>
              <w:rPr>
                <w:sz w:val="18"/>
                <w:szCs w:val="18"/>
                <w:lang w:val="pt-BR"/>
              </w:rPr>
            </w:pPr>
            <w:r w:rsidRPr="00DE1B38">
              <w:rPr>
                <w:sz w:val="18"/>
                <w:szCs w:val="18"/>
                <w:lang w:val="pt-BR"/>
              </w:rPr>
              <w:t>Barra de São Miguel/ Piaçabuçu – 131,4Km</w:t>
            </w:r>
          </w:p>
          <w:p w:rsidR="00072078" w:rsidRPr="00DE1B38" w:rsidRDefault="00072078" w:rsidP="004A5E89">
            <w:pPr>
              <w:rPr>
                <w:sz w:val="18"/>
                <w:szCs w:val="18"/>
                <w:lang w:val="pt-BR"/>
              </w:rPr>
            </w:pPr>
            <w:r w:rsidRPr="00DE1B38">
              <w:rPr>
                <w:sz w:val="18"/>
                <w:szCs w:val="18"/>
                <w:lang w:val="pt-BR"/>
              </w:rPr>
              <w:t>Piaçabuçu a Penedo – 25,3Km</w:t>
            </w:r>
          </w:p>
          <w:p w:rsidR="00072078" w:rsidRPr="00DE1B38" w:rsidRDefault="00072078" w:rsidP="004A5E89">
            <w:pPr>
              <w:rPr>
                <w:sz w:val="18"/>
                <w:szCs w:val="18"/>
                <w:lang w:val="pt-BR"/>
              </w:rPr>
            </w:pPr>
            <w:r w:rsidRPr="00DE1B38">
              <w:rPr>
                <w:sz w:val="18"/>
                <w:szCs w:val="18"/>
                <w:lang w:val="pt-BR"/>
              </w:rPr>
              <w:t>TOTAL GERAL AL 101-SUL: 182,50Km</w:t>
            </w:r>
          </w:p>
          <w:p w:rsidR="00072078" w:rsidRPr="00DE1B38" w:rsidRDefault="00072078" w:rsidP="004A5E89">
            <w:pPr>
              <w:rPr>
                <w:sz w:val="18"/>
                <w:szCs w:val="18"/>
                <w:lang w:val="pt-BR"/>
              </w:rPr>
            </w:pPr>
          </w:p>
          <w:p w:rsidR="00072078" w:rsidRPr="00DE1B38" w:rsidRDefault="00072078" w:rsidP="004A5E89">
            <w:pPr>
              <w:rPr>
                <w:sz w:val="18"/>
                <w:szCs w:val="18"/>
              </w:rPr>
            </w:pPr>
            <w:r w:rsidRPr="00DE1B38">
              <w:rPr>
                <w:sz w:val="18"/>
                <w:szCs w:val="18"/>
              </w:rPr>
              <w:t>AL-215</w:t>
            </w:r>
          </w:p>
          <w:p w:rsidR="00072078" w:rsidRPr="00DE1B38" w:rsidRDefault="00072078" w:rsidP="004A5E89">
            <w:pPr>
              <w:rPr>
                <w:sz w:val="18"/>
                <w:szCs w:val="18"/>
              </w:rPr>
            </w:pPr>
            <w:r w:rsidRPr="00DE1B38">
              <w:rPr>
                <w:sz w:val="18"/>
                <w:szCs w:val="18"/>
              </w:rPr>
              <w:t>Marechal Deodoro/Francês –7,0Km</w:t>
            </w:r>
          </w:p>
          <w:p w:rsidR="00072078" w:rsidRPr="00DE1B38" w:rsidRDefault="00072078" w:rsidP="00402155">
            <w:pPr>
              <w:rPr>
                <w:sz w:val="18"/>
                <w:szCs w:val="18"/>
              </w:rPr>
            </w:pPr>
            <w:r w:rsidRPr="00DE1B38">
              <w:rPr>
                <w:sz w:val="18"/>
                <w:szCs w:val="18"/>
              </w:rPr>
              <w:t>TOTAL GERAL AL 215: 7,0Km</w:t>
            </w:r>
          </w:p>
        </w:tc>
      </w:tr>
      <w:tr w:rsidR="00072078" w:rsidRPr="00072078" w:rsidTr="00DE1B38">
        <w:trPr>
          <w:trHeight w:val="494"/>
        </w:trPr>
        <w:tc>
          <w:tcPr>
            <w:tcW w:w="1280" w:type="dxa"/>
          </w:tcPr>
          <w:p w:rsidR="00072078" w:rsidRPr="00DE1B38" w:rsidRDefault="00072078" w:rsidP="004A5E89">
            <w:pPr>
              <w:rPr>
                <w:sz w:val="18"/>
                <w:szCs w:val="18"/>
              </w:rPr>
            </w:pPr>
            <w:r w:rsidRPr="00DE1B38">
              <w:rPr>
                <w:sz w:val="18"/>
                <w:szCs w:val="18"/>
              </w:rPr>
              <w:t>Aumento de la cobertura de agua en el ámbito de los municipios operados por CASAL, en especial en los municipios de las nuevas áreas turísticas.</w:t>
            </w:r>
          </w:p>
        </w:tc>
        <w:tc>
          <w:tcPr>
            <w:tcW w:w="2160" w:type="dxa"/>
          </w:tcPr>
          <w:p w:rsidR="00072078" w:rsidRPr="00DE1B38" w:rsidRDefault="00072078" w:rsidP="004A5E89">
            <w:pPr>
              <w:rPr>
                <w:sz w:val="18"/>
                <w:szCs w:val="18"/>
              </w:rPr>
            </w:pPr>
            <w:r w:rsidRPr="00DE1B38">
              <w:rPr>
                <w:sz w:val="18"/>
                <w:szCs w:val="18"/>
              </w:rPr>
              <w:t>población atendida por agua/población total de los municipios turísticos</w:t>
            </w:r>
          </w:p>
        </w:tc>
        <w:tc>
          <w:tcPr>
            <w:tcW w:w="1350" w:type="dxa"/>
          </w:tcPr>
          <w:p w:rsidR="00072078" w:rsidRPr="00DE1B38" w:rsidRDefault="00072078" w:rsidP="004A5E89">
            <w:pPr>
              <w:jc w:val="center"/>
              <w:rPr>
                <w:sz w:val="18"/>
                <w:szCs w:val="18"/>
              </w:rPr>
            </w:pPr>
            <w:r w:rsidRPr="00DE1B38">
              <w:rPr>
                <w:sz w:val="18"/>
                <w:szCs w:val="18"/>
              </w:rPr>
              <w:t>%</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Información CASAL</w:t>
            </w:r>
          </w:p>
        </w:tc>
        <w:tc>
          <w:tcPr>
            <w:tcW w:w="2511" w:type="dxa"/>
          </w:tcPr>
          <w:p w:rsidR="00072078" w:rsidRPr="00DE1B38" w:rsidRDefault="00072078" w:rsidP="004A5E89">
            <w:pPr>
              <w:tabs>
                <w:tab w:val="left" w:pos="3870"/>
              </w:tabs>
              <w:rPr>
                <w:sz w:val="18"/>
                <w:szCs w:val="18"/>
              </w:rPr>
            </w:pPr>
            <w:r w:rsidRPr="00DE1B38">
              <w:rPr>
                <w:sz w:val="18"/>
                <w:szCs w:val="18"/>
              </w:rPr>
              <w:t xml:space="preserve">Línea Base 2010 [Valores SNIS] % calculado como: [Populación atendida / Populación Total del área]. </w:t>
            </w:r>
          </w:p>
        </w:tc>
      </w:tr>
      <w:tr w:rsidR="00072078" w:rsidRPr="00072078" w:rsidTr="00DE1B38">
        <w:tc>
          <w:tcPr>
            <w:tcW w:w="1280" w:type="dxa"/>
          </w:tcPr>
          <w:p w:rsidR="00072078" w:rsidRPr="00DE1B38" w:rsidRDefault="00072078" w:rsidP="004A5E89">
            <w:pPr>
              <w:rPr>
                <w:sz w:val="18"/>
                <w:szCs w:val="18"/>
              </w:rPr>
            </w:pPr>
            <w:r w:rsidRPr="00DE1B38">
              <w:rPr>
                <w:sz w:val="18"/>
                <w:szCs w:val="18"/>
              </w:rPr>
              <w:t xml:space="preserve">Aumento de la cobertura de alcantarillado en el ámbito de los municipios operados por CASAL, en especial en los </w:t>
            </w:r>
            <w:r w:rsidRPr="00DE1B38">
              <w:rPr>
                <w:sz w:val="18"/>
                <w:szCs w:val="18"/>
              </w:rPr>
              <w:lastRenderedPageBreak/>
              <w:t>municipios de las nuevas áreas turísticas.</w:t>
            </w:r>
          </w:p>
        </w:tc>
        <w:tc>
          <w:tcPr>
            <w:tcW w:w="2160" w:type="dxa"/>
          </w:tcPr>
          <w:p w:rsidR="00072078" w:rsidRPr="00DE1B38" w:rsidRDefault="00072078" w:rsidP="004A5E89">
            <w:pPr>
              <w:rPr>
                <w:sz w:val="18"/>
                <w:szCs w:val="18"/>
              </w:rPr>
            </w:pPr>
            <w:r w:rsidRPr="00DE1B38">
              <w:rPr>
                <w:sz w:val="18"/>
                <w:szCs w:val="18"/>
              </w:rPr>
              <w:lastRenderedPageBreak/>
              <w:t>población atendida por</w:t>
            </w:r>
            <w:r w:rsidR="009668EF">
              <w:rPr>
                <w:sz w:val="18"/>
                <w:szCs w:val="18"/>
              </w:rPr>
              <w:t xml:space="preserve"> </w:t>
            </w:r>
            <w:r w:rsidRPr="00DE1B38">
              <w:rPr>
                <w:sz w:val="18"/>
                <w:szCs w:val="18"/>
              </w:rPr>
              <w:t>alcantarillado /población total de los municipios turísticos</w:t>
            </w:r>
          </w:p>
        </w:tc>
        <w:tc>
          <w:tcPr>
            <w:tcW w:w="1350" w:type="dxa"/>
          </w:tcPr>
          <w:p w:rsidR="00072078" w:rsidRPr="00DE1B38" w:rsidRDefault="00072078" w:rsidP="004A5E89">
            <w:pPr>
              <w:jc w:val="center"/>
              <w:rPr>
                <w:sz w:val="18"/>
                <w:szCs w:val="18"/>
              </w:rPr>
            </w:pPr>
            <w:r w:rsidRPr="00DE1B38">
              <w:rPr>
                <w:sz w:val="18"/>
                <w:szCs w:val="18"/>
              </w:rPr>
              <w:t>%</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p>
        </w:tc>
        <w:tc>
          <w:tcPr>
            <w:tcW w:w="2511" w:type="dxa"/>
          </w:tcPr>
          <w:p w:rsidR="00072078" w:rsidRPr="00DE1B38" w:rsidRDefault="00072078" w:rsidP="004A5E89">
            <w:pPr>
              <w:rPr>
                <w:sz w:val="18"/>
                <w:szCs w:val="18"/>
              </w:rPr>
            </w:pPr>
            <w:r w:rsidRPr="00DE1B38">
              <w:rPr>
                <w:sz w:val="18"/>
                <w:szCs w:val="18"/>
              </w:rPr>
              <w:t xml:space="preserve">Línea Base 2010 [Valores SNIS] % calculado como: [Populación atendida / Populación Total del área]. </w:t>
            </w:r>
          </w:p>
        </w:tc>
      </w:tr>
      <w:tr w:rsidR="00072078" w:rsidRPr="00072078" w:rsidTr="00DE1B38">
        <w:tc>
          <w:tcPr>
            <w:tcW w:w="1280" w:type="dxa"/>
          </w:tcPr>
          <w:p w:rsidR="00072078" w:rsidRPr="00DE1B38" w:rsidRDefault="00072078" w:rsidP="004A5E89">
            <w:pPr>
              <w:rPr>
                <w:sz w:val="18"/>
                <w:szCs w:val="18"/>
              </w:rPr>
            </w:pPr>
            <w:r w:rsidRPr="00DE1B38">
              <w:rPr>
                <w:sz w:val="18"/>
                <w:szCs w:val="18"/>
              </w:rPr>
              <w:lastRenderedPageBreak/>
              <w:t xml:space="preserve"> Aumento del número de municipios turísticos con destinación adecuada de residuos sólidos</w:t>
            </w:r>
          </w:p>
        </w:tc>
        <w:tc>
          <w:tcPr>
            <w:tcW w:w="2160" w:type="dxa"/>
          </w:tcPr>
          <w:p w:rsidR="00072078" w:rsidRPr="00DE1B38" w:rsidRDefault="00072078" w:rsidP="004A5E89">
            <w:pPr>
              <w:rPr>
                <w:sz w:val="18"/>
                <w:szCs w:val="18"/>
              </w:rPr>
            </w:pPr>
            <w:r w:rsidRPr="00DE1B38">
              <w:rPr>
                <w:sz w:val="18"/>
                <w:szCs w:val="18"/>
              </w:rPr>
              <w:t xml:space="preserve">Nº de municipios </w:t>
            </w:r>
            <w:proofErr w:type="spellStart"/>
            <w:r w:rsidRPr="00DE1B38">
              <w:rPr>
                <w:sz w:val="18"/>
                <w:szCs w:val="18"/>
              </w:rPr>
              <w:t>municipios</w:t>
            </w:r>
            <w:proofErr w:type="spellEnd"/>
            <w:r w:rsidRPr="00DE1B38">
              <w:rPr>
                <w:sz w:val="18"/>
                <w:szCs w:val="18"/>
              </w:rPr>
              <w:t xml:space="preserve"> turísticos con destinación adecuada de residuos sólidos</w:t>
            </w:r>
          </w:p>
        </w:tc>
        <w:tc>
          <w:tcPr>
            <w:tcW w:w="1350" w:type="dxa"/>
          </w:tcPr>
          <w:p w:rsidR="00072078" w:rsidRPr="00DE1B38" w:rsidRDefault="00072078" w:rsidP="004A5E89">
            <w:pPr>
              <w:jc w:val="center"/>
              <w:rPr>
                <w:sz w:val="18"/>
                <w:szCs w:val="18"/>
              </w:rPr>
            </w:pPr>
            <w:r w:rsidRPr="00DE1B38">
              <w:rPr>
                <w:sz w:val="18"/>
                <w:szCs w:val="18"/>
              </w:rPr>
              <w:t>Municipios</w:t>
            </w:r>
          </w:p>
        </w:tc>
        <w:tc>
          <w:tcPr>
            <w:tcW w:w="1260" w:type="dxa"/>
          </w:tcPr>
          <w:p w:rsidR="00072078" w:rsidRPr="00DE1B38" w:rsidRDefault="00072078" w:rsidP="004A5E89">
            <w:pPr>
              <w:tabs>
                <w:tab w:val="left" w:pos="3870"/>
              </w:tabs>
              <w:jc w:val="center"/>
              <w:rPr>
                <w:sz w:val="18"/>
                <w:szCs w:val="18"/>
              </w:rPr>
            </w:pPr>
            <w:r w:rsidRPr="00DE1B38">
              <w:rPr>
                <w:sz w:val="18"/>
                <w:szCs w:val="18"/>
              </w:rPr>
              <w:t>anual</w:t>
            </w:r>
          </w:p>
        </w:tc>
        <w:tc>
          <w:tcPr>
            <w:tcW w:w="1980" w:type="dxa"/>
          </w:tcPr>
          <w:p w:rsidR="00072078" w:rsidRPr="00DE1B38" w:rsidRDefault="00072078" w:rsidP="004A5E89">
            <w:pPr>
              <w:rPr>
                <w:sz w:val="18"/>
                <w:szCs w:val="18"/>
              </w:rPr>
            </w:pPr>
            <w:r w:rsidRPr="00DE1B38">
              <w:rPr>
                <w:sz w:val="18"/>
                <w:szCs w:val="18"/>
              </w:rPr>
              <w:t>Información SEMARH</w:t>
            </w:r>
          </w:p>
        </w:tc>
        <w:tc>
          <w:tcPr>
            <w:tcW w:w="2511" w:type="dxa"/>
          </w:tcPr>
          <w:p w:rsidR="00072078" w:rsidRPr="00DE1B38" w:rsidRDefault="00072078" w:rsidP="004A5E89">
            <w:pPr>
              <w:pStyle w:val="Header"/>
              <w:tabs>
                <w:tab w:val="left" w:pos="3870"/>
              </w:tabs>
              <w:rPr>
                <w:sz w:val="18"/>
                <w:szCs w:val="18"/>
              </w:rPr>
            </w:pPr>
            <w:r w:rsidRPr="00DE1B38">
              <w:rPr>
                <w:sz w:val="18"/>
                <w:szCs w:val="18"/>
              </w:rPr>
              <w:t xml:space="preserve">Línea Base 2012: 19 municipios del consorcio intermunicipal CIGRES y 1 municipio de </w:t>
            </w:r>
            <w:proofErr w:type="spellStart"/>
            <w:r w:rsidRPr="00DE1B38">
              <w:rPr>
                <w:sz w:val="18"/>
                <w:szCs w:val="18"/>
              </w:rPr>
              <w:t>Maceio</w:t>
            </w:r>
            <w:proofErr w:type="spellEnd"/>
          </w:p>
          <w:p w:rsidR="00072078" w:rsidRPr="00DE1B38" w:rsidRDefault="00072078" w:rsidP="004A5E89">
            <w:pPr>
              <w:pStyle w:val="Header"/>
              <w:tabs>
                <w:tab w:val="left" w:pos="3870"/>
              </w:tabs>
              <w:rPr>
                <w:sz w:val="18"/>
                <w:szCs w:val="18"/>
              </w:rPr>
            </w:pPr>
            <w:r w:rsidRPr="00DE1B38">
              <w:rPr>
                <w:sz w:val="18"/>
                <w:szCs w:val="18"/>
              </w:rPr>
              <w:t>Meta Final 2015: 16 municipios adicionales del consorcio intermunicipal CONISUL.</w:t>
            </w:r>
          </w:p>
          <w:p w:rsidR="00072078" w:rsidRPr="00DE1B38" w:rsidRDefault="00072078" w:rsidP="004A5E89">
            <w:pPr>
              <w:pStyle w:val="Header"/>
              <w:tabs>
                <w:tab w:val="left" w:pos="3870"/>
              </w:tabs>
              <w:rPr>
                <w:sz w:val="18"/>
                <w:szCs w:val="18"/>
              </w:rPr>
            </w:pPr>
            <w:r w:rsidRPr="00DE1B38">
              <w:rPr>
                <w:sz w:val="18"/>
                <w:szCs w:val="18"/>
              </w:rPr>
              <w:t>Meta 2015 corresponde a 55% de la populación del Estado.</w:t>
            </w:r>
          </w:p>
        </w:tc>
      </w:tr>
    </w:tbl>
    <w:p w:rsidR="001B5186" w:rsidRDefault="001B5186" w:rsidP="00DE1B38">
      <w:pPr>
        <w:jc w:val="both"/>
        <w:rPr>
          <w:szCs w:val="24"/>
        </w:rPr>
      </w:pPr>
    </w:p>
    <w:sectPr w:rsidR="001B5186" w:rsidSect="0058618A">
      <w:headerReference w:type="default" r:id="rId11"/>
      <w:pgSz w:w="12240" w:h="15840"/>
      <w:pgMar w:top="1440" w:right="153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B38" w:rsidRDefault="00DE1B38" w:rsidP="001B5186">
      <w:r>
        <w:separator/>
      </w:r>
    </w:p>
  </w:endnote>
  <w:endnote w:type="continuationSeparator" w:id="0">
    <w:p w:rsidR="00DE1B38" w:rsidRDefault="00DE1B38"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B38" w:rsidRDefault="00DE1B38" w:rsidP="001B5186">
      <w:r>
        <w:separator/>
      </w:r>
    </w:p>
  </w:footnote>
  <w:footnote w:type="continuationSeparator" w:id="0">
    <w:p w:rsidR="00DE1B38" w:rsidRDefault="00DE1B38" w:rsidP="001B5186">
      <w:r>
        <w:continuationSeparator/>
      </w:r>
    </w:p>
  </w:footnote>
  <w:footnote w:id="1">
    <w:p w:rsidR="00DE1B38" w:rsidRDefault="00DE1B38" w:rsidP="00B44A6A">
      <w:pPr>
        <w:pStyle w:val="FootnoteText"/>
      </w:pPr>
      <w:r w:rsidRPr="008D64FF">
        <w:rPr>
          <w:rStyle w:val="FootnoteReference"/>
        </w:rPr>
        <w:footnoteRef/>
      </w:r>
      <w:r w:rsidRPr="008D64FF">
        <w:t xml:space="preserve"> </w:t>
      </w:r>
      <w:r>
        <w:t xml:space="preserve">Secretaria de Planificación y Desarrollo Económico (SEPLANDE) </w:t>
      </w:r>
      <w:r w:rsidRPr="008D64FF">
        <w:rPr>
          <w:lang w:val="es-ES"/>
        </w:rPr>
        <w:t>Secretaria de Turism</w:t>
      </w:r>
      <w:r>
        <w:rPr>
          <w:lang w:val="es-ES"/>
        </w:rPr>
        <w:t xml:space="preserve">o (SETUR); Secretaria de Infraestructura (SEINFRA); DER/Al; CASAL.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967186"/>
      <w:docPartObj>
        <w:docPartGallery w:val="Page Numbers (Top of Page)"/>
        <w:docPartUnique/>
      </w:docPartObj>
    </w:sdtPr>
    <w:sdtContent>
      <w:p w:rsidR="00DE1B38" w:rsidRDefault="00DE1B38">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21</w:t>
        </w:r>
        <w:r>
          <w:rPr>
            <w:b/>
            <w:bCs/>
            <w:sz w:val="24"/>
            <w:szCs w:val="24"/>
          </w:rPr>
          <w:fldChar w:fldCharType="end"/>
        </w:r>
      </w:p>
    </w:sdtContent>
  </w:sdt>
  <w:p w:rsidR="00DE1B38" w:rsidRDefault="00DE1B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rPr>
        <w:sz w:val="22"/>
        <w:szCs w:val="22"/>
      </w:rPr>
    </w:sdtEndPr>
    <w:sdtContent>
      <w:p w:rsidR="00DE1B38" w:rsidRPr="00DE1B38" w:rsidRDefault="00DE1B38" w:rsidP="00DE1B38">
        <w:pPr>
          <w:pStyle w:val="Header"/>
          <w:jc w:val="right"/>
          <w:rPr>
            <w:sz w:val="22"/>
            <w:szCs w:val="22"/>
          </w:rPr>
        </w:pPr>
        <w:r w:rsidRPr="00DE1B38">
          <w:rPr>
            <w:sz w:val="22"/>
            <w:szCs w:val="22"/>
          </w:rPr>
          <w:t xml:space="preserve">Página </w:t>
        </w:r>
        <w:r w:rsidRPr="00DE1B38">
          <w:rPr>
            <w:bCs/>
            <w:sz w:val="22"/>
            <w:szCs w:val="22"/>
          </w:rPr>
          <w:fldChar w:fldCharType="begin"/>
        </w:r>
        <w:r w:rsidRPr="00DE1B38">
          <w:rPr>
            <w:bCs/>
            <w:sz w:val="22"/>
            <w:szCs w:val="22"/>
          </w:rPr>
          <w:instrText xml:space="preserve"> PAGE </w:instrText>
        </w:r>
        <w:r w:rsidRPr="00DE1B38">
          <w:rPr>
            <w:bCs/>
            <w:sz w:val="22"/>
            <w:szCs w:val="22"/>
          </w:rPr>
          <w:fldChar w:fldCharType="separate"/>
        </w:r>
        <w:r w:rsidR="009668EF">
          <w:rPr>
            <w:bCs/>
            <w:noProof/>
            <w:sz w:val="22"/>
            <w:szCs w:val="22"/>
          </w:rPr>
          <w:t>17</w:t>
        </w:r>
        <w:r w:rsidRPr="00DE1B38">
          <w:rPr>
            <w:bCs/>
            <w:sz w:val="22"/>
            <w:szCs w:val="22"/>
          </w:rPr>
          <w:fldChar w:fldCharType="end"/>
        </w:r>
        <w:r w:rsidRPr="00DE1B38">
          <w:rPr>
            <w:bCs/>
            <w:sz w:val="22"/>
            <w:szCs w:val="22"/>
          </w:rPr>
          <w:t xml:space="preserve"> de </w:t>
        </w:r>
        <w:r w:rsidRPr="00DE1B38">
          <w:rPr>
            <w:bCs/>
            <w:sz w:val="22"/>
            <w:szCs w:val="22"/>
          </w:rPr>
          <w:fldChar w:fldCharType="begin"/>
        </w:r>
        <w:r w:rsidRPr="00DE1B38">
          <w:rPr>
            <w:bCs/>
            <w:sz w:val="22"/>
            <w:szCs w:val="22"/>
          </w:rPr>
          <w:instrText xml:space="preserve"> NUMPAGES  </w:instrText>
        </w:r>
        <w:r w:rsidRPr="00DE1B38">
          <w:rPr>
            <w:bCs/>
            <w:sz w:val="22"/>
            <w:szCs w:val="22"/>
          </w:rPr>
          <w:fldChar w:fldCharType="separate"/>
        </w:r>
        <w:r w:rsidR="009668EF">
          <w:rPr>
            <w:bCs/>
            <w:noProof/>
            <w:sz w:val="22"/>
            <w:szCs w:val="22"/>
          </w:rPr>
          <w:t>18</w:t>
        </w:r>
        <w:r w:rsidRPr="00DE1B38">
          <w:rPr>
            <w:bCs/>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557B5"/>
    <w:multiLevelType w:val="multilevel"/>
    <w:tmpl w:val="9D26282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15B733B6"/>
    <w:multiLevelType w:val="hybridMultilevel"/>
    <w:tmpl w:val="FC76F31E"/>
    <w:lvl w:ilvl="0" w:tplc="7946D0BE">
      <w:start w:val="1"/>
      <w:numFmt w:val="decimal"/>
      <w:lvlText w:val="%1."/>
      <w:lvlJc w:val="left"/>
      <w:pPr>
        <w:tabs>
          <w:tab w:val="num" w:pos="1429"/>
        </w:tabs>
        <w:ind w:left="1429" w:hanging="360"/>
      </w:pPr>
    </w:lvl>
    <w:lvl w:ilvl="1" w:tplc="A0DED1B0" w:tentative="1">
      <w:start w:val="1"/>
      <w:numFmt w:val="lowerLetter"/>
      <w:lvlText w:val="%2."/>
      <w:lvlJc w:val="left"/>
      <w:pPr>
        <w:tabs>
          <w:tab w:val="num" w:pos="2149"/>
        </w:tabs>
        <w:ind w:left="2149" w:hanging="360"/>
      </w:pPr>
    </w:lvl>
    <w:lvl w:ilvl="2" w:tplc="D578F724" w:tentative="1">
      <w:start w:val="1"/>
      <w:numFmt w:val="lowerRoman"/>
      <w:lvlText w:val="%3."/>
      <w:lvlJc w:val="right"/>
      <w:pPr>
        <w:tabs>
          <w:tab w:val="num" w:pos="2869"/>
        </w:tabs>
        <w:ind w:left="2869" w:hanging="180"/>
      </w:pPr>
    </w:lvl>
    <w:lvl w:ilvl="3" w:tplc="DC8EB3F6" w:tentative="1">
      <w:start w:val="1"/>
      <w:numFmt w:val="decimal"/>
      <w:lvlText w:val="%4."/>
      <w:lvlJc w:val="left"/>
      <w:pPr>
        <w:tabs>
          <w:tab w:val="num" w:pos="3589"/>
        </w:tabs>
        <w:ind w:left="3589" w:hanging="360"/>
      </w:pPr>
    </w:lvl>
    <w:lvl w:ilvl="4" w:tplc="63344010" w:tentative="1">
      <w:start w:val="1"/>
      <w:numFmt w:val="lowerLetter"/>
      <w:lvlText w:val="%5."/>
      <w:lvlJc w:val="left"/>
      <w:pPr>
        <w:tabs>
          <w:tab w:val="num" w:pos="4309"/>
        </w:tabs>
        <w:ind w:left="4309" w:hanging="360"/>
      </w:pPr>
    </w:lvl>
    <w:lvl w:ilvl="5" w:tplc="005E7B1E" w:tentative="1">
      <w:start w:val="1"/>
      <w:numFmt w:val="lowerRoman"/>
      <w:lvlText w:val="%6."/>
      <w:lvlJc w:val="right"/>
      <w:pPr>
        <w:tabs>
          <w:tab w:val="num" w:pos="5029"/>
        </w:tabs>
        <w:ind w:left="5029" w:hanging="180"/>
      </w:pPr>
    </w:lvl>
    <w:lvl w:ilvl="6" w:tplc="C8D4EDD0" w:tentative="1">
      <w:start w:val="1"/>
      <w:numFmt w:val="decimal"/>
      <w:lvlText w:val="%7."/>
      <w:lvlJc w:val="left"/>
      <w:pPr>
        <w:tabs>
          <w:tab w:val="num" w:pos="5749"/>
        </w:tabs>
        <w:ind w:left="5749" w:hanging="360"/>
      </w:pPr>
    </w:lvl>
    <w:lvl w:ilvl="7" w:tplc="DDDCFE6E" w:tentative="1">
      <w:start w:val="1"/>
      <w:numFmt w:val="lowerLetter"/>
      <w:lvlText w:val="%8."/>
      <w:lvlJc w:val="left"/>
      <w:pPr>
        <w:tabs>
          <w:tab w:val="num" w:pos="6469"/>
        </w:tabs>
        <w:ind w:left="6469" w:hanging="360"/>
      </w:pPr>
    </w:lvl>
    <w:lvl w:ilvl="8" w:tplc="5FFA5C02" w:tentative="1">
      <w:start w:val="1"/>
      <w:numFmt w:val="lowerRoman"/>
      <w:lvlText w:val="%9."/>
      <w:lvlJc w:val="right"/>
      <w:pPr>
        <w:tabs>
          <w:tab w:val="num" w:pos="7189"/>
        </w:tabs>
        <w:ind w:left="7189" w:hanging="180"/>
      </w:pPr>
    </w:lvl>
  </w:abstractNum>
  <w:abstractNum w:abstractNumId="2">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3">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96A2B78"/>
    <w:multiLevelType w:val="multilevel"/>
    <w:tmpl w:val="035678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CC1BEE"/>
    <w:multiLevelType w:val="hybridMultilevel"/>
    <w:tmpl w:val="10143EE4"/>
    <w:lvl w:ilvl="0" w:tplc="5EFECF86">
      <w:start w:val="1"/>
      <w:numFmt w:val="decimal"/>
      <w:lvlText w:val="%1."/>
      <w:lvlJc w:val="left"/>
      <w:pPr>
        <w:ind w:left="720" w:hanging="360"/>
      </w:pPr>
      <w:rPr>
        <w:b w:val="0"/>
      </w:rPr>
    </w:lvl>
    <w:lvl w:ilvl="1" w:tplc="CBB0C864" w:tentative="1">
      <w:start w:val="1"/>
      <w:numFmt w:val="lowerLetter"/>
      <w:lvlText w:val="%2."/>
      <w:lvlJc w:val="left"/>
      <w:pPr>
        <w:ind w:left="1440" w:hanging="360"/>
      </w:pPr>
    </w:lvl>
    <w:lvl w:ilvl="2" w:tplc="3BACC050" w:tentative="1">
      <w:start w:val="1"/>
      <w:numFmt w:val="lowerRoman"/>
      <w:lvlText w:val="%3."/>
      <w:lvlJc w:val="right"/>
      <w:pPr>
        <w:ind w:left="2160" w:hanging="180"/>
      </w:pPr>
    </w:lvl>
    <w:lvl w:ilvl="3" w:tplc="35C4F878" w:tentative="1">
      <w:start w:val="1"/>
      <w:numFmt w:val="decimal"/>
      <w:lvlText w:val="%4."/>
      <w:lvlJc w:val="left"/>
      <w:pPr>
        <w:ind w:left="2880" w:hanging="360"/>
      </w:pPr>
    </w:lvl>
    <w:lvl w:ilvl="4" w:tplc="9EC801CA" w:tentative="1">
      <w:start w:val="1"/>
      <w:numFmt w:val="lowerLetter"/>
      <w:lvlText w:val="%5."/>
      <w:lvlJc w:val="left"/>
      <w:pPr>
        <w:ind w:left="3600" w:hanging="360"/>
      </w:pPr>
    </w:lvl>
    <w:lvl w:ilvl="5" w:tplc="FC96C772" w:tentative="1">
      <w:start w:val="1"/>
      <w:numFmt w:val="lowerRoman"/>
      <w:lvlText w:val="%6."/>
      <w:lvlJc w:val="right"/>
      <w:pPr>
        <w:ind w:left="4320" w:hanging="180"/>
      </w:pPr>
    </w:lvl>
    <w:lvl w:ilvl="6" w:tplc="F978F894" w:tentative="1">
      <w:start w:val="1"/>
      <w:numFmt w:val="decimal"/>
      <w:lvlText w:val="%7."/>
      <w:lvlJc w:val="left"/>
      <w:pPr>
        <w:ind w:left="5040" w:hanging="360"/>
      </w:pPr>
    </w:lvl>
    <w:lvl w:ilvl="7" w:tplc="E0ACE7BA" w:tentative="1">
      <w:start w:val="1"/>
      <w:numFmt w:val="lowerLetter"/>
      <w:lvlText w:val="%8."/>
      <w:lvlJc w:val="left"/>
      <w:pPr>
        <w:ind w:left="5760" w:hanging="360"/>
      </w:pPr>
    </w:lvl>
    <w:lvl w:ilvl="8" w:tplc="711830C8" w:tentative="1">
      <w:start w:val="1"/>
      <w:numFmt w:val="lowerRoman"/>
      <w:lvlText w:val="%9."/>
      <w:lvlJc w:val="right"/>
      <w:pPr>
        <w:ind w:left="6480" w:hanging="180"/>
      </w:pPr>
    </w:lvl>
  </w:abstractNum>
  <w:abstractNum w:abstractNumId="6">
    <w:nsid w:val="246C0457"/>
    <w:multiLevelType w:val="hybridMultilevel"/>
    <w:tmpl w:val="0AF80D2E"/>
    <w:lvl w:ilvl="0" w:tplc="44803E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BD7AD4"/>
    <w:multiLevelType w:val="hybridMultilevel"/>
    <w:tmpl w:val="E2A20A08"/>
    <w:lvl w:ilvl="0" w:tplc="040A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0">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1">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2">
    <w:nsid w:val="3A20124C"/>
    <w:multiLevelType w:val="hybridMultilevel"/>
    <w:tmpl w:val="5A9CAB6A"/>
    <w:lvl w:ilvl="0" w:tplc="DEF642E8">
      <w:start w:val="1"/>
      <w:numFmt w:val="bullet"/>
      <w:lvlText w:val=""/>
      <w:lvlJc w:val="left"/>
      <w:pPr>
        <w:tabs>
          <w:tab w:val="num" w:pos="1429"/>
        </w:tabs>
        <w:ind w:left="1429" w:hanging="360"/>
      </w:pPr>
      <w:rPr>
        <w:rFonts w:ascii="Symbol" w:hAnsi="Symbol" w:hint="default"/>
      </w:rPr>
    </w:lvl>
    <w:lvl w:ilvl="1" w:tplc="29FE4DB6" w:tentative="1">
      <w:start w:val="1"/>
      <w:numFmt w:val="bullet"/>
      <w:lvlText w:val="o"/>
      <w:lvlJc w:val="left"/>
      <w:pPr>
        <w:tabs>
          <w:tab w:val="num" w:pos="2149"/>
        </w:tabs>
        <w:ind w:left="2149" w:hanging="360"/>
      </w:pPr>
      <w:rPr>
        <w:rFonts w:ascii="Courier New" w:hAnsi="Courier New" w:cs="Courier New" w:hint="default"/>
      </w:rPr>
    </w:lvl>
    <w:lvl w:ilvl="2" w:tplc="8D0A4AFC" w:tentative="1">
      <w:start w:val="1"/>
      <w:numFmt w:val="bullet"/>
      <w:lvlText w:val=""/>
      <w:lvlJc w:val="left"/>
      <w:pPr>
        <w:tabs>
          <w:tab w:val="num" w:pos="2869"/>
        </w:tabs>
        <w:ind w:left="2869" w:hanging="360"/>
      </w:pPr>
      <w:rPr>
        <w:rFonts w:ascii="Wingdings" w:hAnsi="Wingdings" w:hint="default"/>
      </w:rPr>
    </w:lvl>
    <w:lvl w:ilvl="3" w:tplc="26AACA62" w:tentative="1">
      <w:start w:val="1"/>
      <w:numFmt w:val="bullet"/>
      <w:lvlText w:val=""/>
      <w:lvlJc w:val="left"/>
      <w:pPr>
        <w:tabs>
          <w:tab w:val="num" w:pos="3589"/>
        </w:tabs>
        <w:ind w:left="3589" w:hanging="360"/>
      </w:pPr>
      <w:rPr>
        <w:rFonts w:ascii="Symbol" w:hAnsi="Symbol" w:hint="default"/>
      </w:rPr>
    </w:lvl>
    <w:lvl w:ilvl="4" w:tplc="C5141668" w:tentative="1">
      <w:start w:val="1"/>
      <w:numFmt w:val="bullet"/>
      <w:lvlText w:val="o"/>
      <w:lvlJc w:val="left"/>
      <w:pPr>
        <w:tabs>
          <w:tab w:val="num" w:pos="4309"/>
        </w:tabs>
        <w:ind w:left="4309" w:hanging="360"/>
      </w:pPr>
      <w:rPr>
        <w:rFonts w:ascii="Courier New" w:hAnsi="Courier New" w:cs="Courier New" w:hint="default"/>
      </w:rPr>
    </w:lvl>
    <w:lvl w:ilvl="5" w:tplc="F344F95A" w:tentative="1">
      <w:start w:val="1"/>
      <w:numFmt w:val="bullet"/>
      <w:lvlText w:val=""/>
      <w:lvlJc w:val="left"/>
      <w:pPr>
        <w:tabs>
          <w:tab w:val="num" w:pos="5029"/>
        </w:tabs>
        <w:ind w:left="5029" w:hanging="360"/>
      </w:pPr>
      <w:rPr>
        <w:rFonts w:ascii="Wingdings" w:hAnsi="Wingdings" w:hint="default"/>
      </w:rPr>
    </w:lvl>
    <w:lvl w:ilvl="6" w:tplc="9FF05C7E" w:tentative="1">
      <w:start w:val="1"/>
      <w:numFmt w:val="bullet"/>
      <w:lvlText w:val=""/>
      <w:lvlJc w:val="left"/>
      <w:pPr>
        <w:tabs>
          <w:tab w:val="num" w:pos="5749"/>
        </w:tabs>
        <w:ind w:left="5749" w:hanging="360"/>
      </w:pPr>
      <w:rPr>
        <w:rFonts w:ascii="Symbol" w:hAnsi="Symbol" w:hint="default"/>
      </w:rPr>
    </w:lvl>
    <w:lvl w:ilvl="7" w:tplc="C302D8FA" w:tentative="1">
      <w:start w:val="1"/>
      <w:numFmt w:val="bullet"/>
      <w:lvlText w:val="o"/>
      <w:lvlJc w:val="left"/>
      <w:pPr>
        <w:tabs>
          <w:tab w:val="num" w:pos="6469"/>
        </w:tabs>
        <w:ind w:left="6469" w:hanging="360"/>
      </w:pPr>
      <w:rPr>
        <w:rFonts w:ascii="Courier New" w:hAnsi="Courier New" w:cs="Courier New" w:hint="default"/>
      </w:rPr>
    </w:lvl>
    <w:lvl w:ilvl="8" w:tplc="7A06D7BC" w:tentative="1">
      <w:start w:val="1"/>
      <w:numFmt w:val="bullet"/>
      <w:lvlText w:val=""/>
      <w:lvlJc w:val="left"/>
      <w:pPr>
        <w:tabs>
          <w:tab w:val="num" w:pos="7189"/>
        </w:tabs>
        <w:ind w:left="7189" w:hanging="360"/>
      </w:pPr>
      <w:rPr>
        <w:rFonts w:ascii="Wingdings" w:hAnsi="Wingdings" w:hint="default"/>
      </w:rPr>
    </w:lvl>
  </w:abstractNum>
  <w:abstractNum w:abstractNumId="13">
    <w:nsid w:val="3ABD33C7"/>
    <w:multiLevelType w:val="hybridMultilevel"/>
    <w:tmpl w:val="20A6E65A"/>
    <w:lvl w:ilvl="0" w:tplc="D70A145C">
      <w:start w:val="1"/>
      <w:numFmt w:val="lowerLetter"/>
      <w:lvlText w:val="%1."/>
      <w:lvlJc w:val="left"/>
      <w:pPr>
        <w:ind w:left="720" w:hanging="360"/>
      </w:pPr>
      <w:rPr>
        <w:rFonts w:hint="default"/>
      </w:rPr>
    </w:lvl>
    <w:lvl w:ilvl="1" w:tplc="51A0B692">
      <w:start w:val="1"/>
      <w:numFmt w:val="lowerLetter"/>
      <w:lvlText w:val="%2."/>
      <w:lvlJc w:val="left"/>
      <w:pPr>
        <w:ind w:left="1440" w:hanging="360"/>
      </w:pPr>
    </w:lvl>
    <w:lvl w:ilvl="2" w:tplc="9E52586C" w:tentative="1">
      <w:start w:val="1"/>
      <w:numFmt w:val="lowerRoman"/>
      <w:lvlText w:val="%3."/>
      <w:lvlJc w:val="right"/>
      <w:pPr>
        <w:ind w:left="2160" w:hanging="180"/>
      </w:pPr>
    </w:lvl>
    <w:lvl w:ilvl="3" w:tplc="80BC239E" w:tentative="1">
      <w:start w:val="1"/>
      <w:numFmt w:val="decimal"/>
      <w:lvlText w:val="%4."/>
      <w:lvlJc w:val="left"/>
      <w:pPr>
        <w:ind w:left="2880" w:hanging="360"/>
      </w:pPr>
    </w:lvl>
    <w:lvl w:ilvl="4" w:tplc="E0605D3E" w:tentative="1">
      <w:start w:val="1"/>
      <w:numFmt w:val="lowerLetter"/>
      <w:lvlText w:val="%5."/>
      <w:lvlJc w:val="left"/>
      <w:pPr>
        <w:ind w:left="3600" w:hanging="360"/>
      </w:pPr>
    </w:lvl>
    <w:lvl w:ilvl="5" w:tplc="9A92555E" w:tentative="1">
      <w:start w:val="1"/>
      <w:numFmt w:val="lowerRoman"/>
      <w:lvlText w:val="%6."/>
      <w:lvlJc w:val="right"/>
      <w:pPr>
        <w:ind w:left="4320" w:hanging="180"/>
      </w:pPr>
    </w:lvl>
    <w:lvl w:ilvl="6" w:tplc="48EA9B8A" w:tentative="1">
      <w:start w:val="1"/>
      <w:numFmt w:val="decimal"/>
      <w:lvlText w:val="%7."/>
      <w:lvlJc w:val="left"/>
      <w:pPr>
        <w:ind w:left="5040" w:hanging="360"/>
      </w:pPr>
    </w:lvl>
    <w:lvl w:ilvl="7" w:tplc="88B03DBA" w:tentative="1">
      <w:start w:val="1"/>
      <w:numFmt w:val="lowerLetter"/>
      <w:lvlText w:val="%8."/>
      <w:lvlJc w:val="left"/>
      <w:pPr>
        <w:ind w:left="5760" w:hanging="360"/>
      </w:pPr>
    </w:lvl>
    <w:lvl w:ilvl="8" w:tplc="5158F9BA" w:tentative="1">
      <w:start w:val="1"/>
      <w:numFmt w:val="lowerRoman"/>
      <w:lvlText w:val="%9."/>
      <w:lvlJc w:val="right"/>
      <w:pPr>
        <w:ind w:left="6480" w:hanging="180"/>
      </w:pPr>
    </w:lvl>
  </w:abstractNum>
  <w:abstractNum w:abstractNumId="14">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5">
    <w:nsid w:val="429A60E9"/>
    <w:multiLevelType w:val="hybridMultilevel"/>
    <w:tmpl w:val="580C18D8"/>
    <w:lvl w:ilvl="0" w:tplc="040A0001">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6">
    <w:nsid w:val="471951B1"/>
    <w:multiLevelType w:val="multilevel"/>
    <w:tmpl w:val="037C2B46"/>
    <w:lvl w:ilvl="0">
      <w:start w:val="1"/>
      <w:numFmt w:val="decimal"/>
      <w:lvlText w:val="%1."/>
      <w:lvlJc w:val="left"/>
      <w:pPr>
        <w:tabs>
          <w:tab w:val="num" w:pos="1066"/>
        </w:tabs>
        <w:ind w:left="1066" w:hanging="360"/>
      </w:pPr>
      <w:rPr>
        <w:rFonts w:hint="default"/>
      </w:rPr>
    </w:lvl>
    <w:lvl w:ilvl="1">
      <w:start w:val="1"/>
      <w:numFmt w:val="decimal"/>
      <w:isLgl/>
      <w:lvlText w:val="%1.%2."/>
      <w:lvlJc w:val="left"/>
      <w:pPr>
        <w:ind w:left="1066" w:hanging="360"/>
      </w:pPr>
      <w:rPr>
        <w:rFonts w:hint="default"/>
      </w:rPr>
    </w:lvl>
    <w:lvl w:ilvl="2">
      <w:start w:val="1"/>
      <w:numFmt w:val="decimal"/>
      <w:isLgl/>
      <w:lvlText w:val="%1.%2.%3."/>
      <w:lvlJc w:val="left"/>
      <w:pPr>
        <w:ind w:left="1426" w:hanging="720"/>
      </w:pPr>
      <w:rPr>
        <w:rFonts w:hint="default"/>
      </w:rPr>
    </w:lvl>
    <w:lvl w:ilvl="3">
      <w:start w:val="1"/>
      <w:numFmt w:val="decimal"/>
      <w:isLgl/>
      <w:lvlText w:val="%1.%2.%3.%4."/>
      <w:lvlJc w:val="left"/>
      <w:pPr>
        <w:ind w:left="1426" w:hanging="720"/>
      </w:pPr>
      <w:rPr>
        <w:rFonts w:hint="default"/>
      </w:rPr>
    </w:lvl>
    <w:lvl w:ilvl="4">
      <w:start w:val="1"/>
      <w:numFmt w:val="decimal"/>
      <w:isLgl/>
      <w:lvlText w:val="%1.%2.%3.%4.%5."/>
      <w:lvlJc w:val="left"/>
      <w:pPr>
        <w:ind w:left="1786" w:hanging="1080"/>
      </w:pPr>
      <w:rPr>
        <w:rFonts w:hint="default"/>
      </w:rPr>
    </w:lvl>
    <w:lvl w:ilvl="5">
      <w:start w:val="1"/>
      <w:numFmt w:val="decimal"/>
      <w:isLgl/>
      <w:lvlText w:val="%1.%2.%3.%4.%5.%6."/>
      <w:lvlJc w:val="left"/>
      <w:pPr>
        <w:ind w:left="1786" w:hanging="1080"/>
      </w:pPr>
      <w:rPr>
        <w:rFonts w:hint="default"/>
      </w:rPr>
    </w:lvl>
    <w:lvl w:ilvl="6">
      <w:start w:val="1"/>
      <w:numFmt w:val="decimal"/>
      <w:isLgl/>
      <w:lvlText w:val="%1.%2.%3.%4.%5.%6.%7."/>
      <w:lvlJc w:val="left"/>
      <w:pPr>
        <w:ind w:left="2146" w:hanging="1440"/>
      </w:pPr>
      <w:rPr>
        <w:rFonts w:hint="default"/>
      </w:rPr>
    </w:lvl>
    <w:lvl w:ilvl="7">
      <w:start w:val="1"/>
      <w:numFmt w:val="decimal"/>
      <w:isLgl/>
      <w:lvlText w:val="%1.%2.%3.%4.%5.%6.%7.%8."/>
      <w:lvlJc w:val="left"/>
      <w:pPr>
        <w:ind w:left="2146" w:hanging="1440"/>
      </w:pPr>
      <w:rPr>
        <w:rFonts w:hint="default"/>
      </w:rPr>
    </w:lvl>
    <w:lvl w:ilvl="8">
      <w:start w:val="1"/>
      <w:numFmt w:val="decimal"/>
      <w:isLgl/>
      <w:lvlText w:val="%1.%2.%3.%4.%5.%6.%7.%8.%9."/>
      <w:lvlJc w:val="left"/>
      <w:pPr>
        <w:ind w:left="2506" w:hanging="1800"/>
      </w:pPr>
      <w:rPr>
        <w:rFonts w:hint="default"/>
      </w:rPr>
    </w:lvl>
  </w:abstractNum>
  <w:abstractNum w:abstractNumId="17">
    <w:nsid w:val="473E550F"/>
    <w:multiLevelType w:val="hybridMultilevel"/>
    <w:tmpl w:val="CF36CBE2"/>
    <w:lvl w:ilvl="0" w:tplc="52F4EC78">
      <w:start w:val="2"/>
      <w:numFmt w:val="bullet"/>
      <w:lvlText w:val=""/>
      <w:lvlJc w:val="left"/>
      <w:pPr>
        <w:ind w:left="585" w:hanging="360"/>
      </w:pPr>
      <w:rPr>
        <w:rFonts w:ascii="Symbol" w:eastAsia="Calibri" w:hAnsi="Symbol" w:cs="Times New Roman" w:hint="default"/>
      </w:rPr>
    </w:lvl>
    <w:lvl w:ilvl="1" w:tplc="7172878A" w:tentative="1">
      <w:start w:val="1"/>
      <w:numFmt w:val="bullet"/>
      <w:lvlText w:val="o"/>
      <w:lvlJc w:val="left"/>
      <w:pPr>
        <w:ind w:left="1305" w:hanging="360"/>
      </w:pPr>
      <w:rPr>
        <w:rFonts w:ascii="Courier New" w:hAnsi="Courier New" w:cs="Courier New" w:hint="default"/>
      </w:rPr>
    </w:lvl>
    <w:lvl w:ilvl="2" w:tplc="585AF626" w:tentative="1">
      <w:start w:val="1"/>
      <w:numFmt w:val="bullet"/>
      <w:lvlText w:val=""/>
      <w:lvlJc w:val="left"/>
      <w:pPr>
        <w:ind w:left="2025" w:hanging="360"/>
      </w:pPr>
      <w:rPr>
        <w:rFonts w:ascii="Wingdings" w:hAnsi="Wingdings" w:hint="default"/>
      </w:rPr>
    </w:lvl>
    <w:lvl w:ilvl="3" w:tplc="CE205074" w:tentative="1">
      <w:start w:val="1"/>
      <w:numFmt w:val="bullet"/>
      <w:lvlText w:val=""/>
      <w:lvlJc w:val="left"/>
      <w:pPr>
        <w:ind w:left="2745" w:hanging="360"/>
      </w:pPr>
      <w:rPr>
        <w:rFonts w:ascii="Symbol" w:hAnsi="Symbol" w:hint="default"/>
      </w:rPr>
    </w:lvl>
    <w:lvl w:ilvl="4" w:tplc="C09CB75A" w:tentative="1">
      <w:start w:val="1"/>
      <w:numFmt w:val="bullet"/>
      <w:lvlText w:val="o"/>
      <w:lvlJc w:val="left"/>
      <w:pPr>
        <w:ind w:left="3465" w:hanging="360"/>
      </w:pPr>
      <w:rPr>
        <w:rFonts w:ascii="Courier New" w:hAnsi="Courier New" w:cs="Courier New" w:hint="default"/>
      </w:rPr>
    </w:lvl>
    <w:lvl w:ilvl="5" w:tplc="AF20CA60" w:tentative="1">
      <w:start w:val="1"/>
      <w:numFmt w:val="bullet"/>
      <w:lvlText w:val=""/>
      <w:lvlJc w:val="left"/>
      <w:pPr>
        <w:ind w:left="4185" w:hanging="360"/>
      </w:pPr>
      <w:rPr>
        <w:rFonts w:ascii="Wingdings" w:hAnsi="Wingdings" w:hint="default"/>
      </w:rPr>
    </w:lvl>
    <w:lvl w:ilvl="6" w:tplc="79E6E3B0" w:tentative="1">
      <w:start w:val="1"/>
      <w:numFmt w:val="bullet"/>
      <w:lvlText w:val=""/>
      <w:lvlJc w:val="left"/>
      <w:pPr>
        <w:ind w:left="4905" w:hanging="360"/>
      </w:pPr>
      <w:rPr>
        <w:rFonts w:ascii="Symbol" w:hAnsi="Symbol" w:hint="default"/>
      </w:rPr>
    </w:lvl>
    <w:lvl w:ilvl="7" w:tplc="93AC9562" w:tentative="1">
      <w:start w:val="1"/>
      <w:numFmt w:val="bullet"/>
      <w:lvlText w:val="o"/>
      <w:lvlJc w:val="left"/>
      <w:pPr>
        <w:ind w:left="5625" w:hanging="360"/>
      </w:pPr>
      <w:rPr>
        <w:rFonts w:ascii="Courier New" w:hAnsi="Courier New" w:cs="Courier New" w:hint="default"/>
      </w:rPr>
    </w:lvl>
    <w:lvl w:ilvl="8" w:tplc="69B0FF76" w:tentative="1">
      <w:start w:val="1"/>
      <w:numFmt w:val="bullet"/>
      <w:lvlText w:val=""/>
      <w:lvlJc w:val="left"/>
      <w:pPr>
        <w:ind w:left="6345" w:hanging="360"/>
      </w:pPr>
      <w:rPr>
        <w:rFonts w:ascii="Wingdings" w:hAnsi="Wingdings" w:hint="default"/>
      </w:rPr>
    </w:lvl>
  </w:abstractNum>
  <w:abstractNum w:abstractNumId="18">
    <w:nsid w:val="47C75DB8"/>
    <w:multiLevelType w:val="hybridMultilevel"/>
    <w:tmpl w:val="F9222D3E"/>
    <w:lvl w:ilvl="0" w:tplc="375E64BE">
      <w:start w:val="1"/>
      <w:numFmt w:val="decimal"/>
      <w:lvlText w:val="%1-"/>
      <w:lvlJc w:val="left"/>
      <w:pPr>
        <w:ind w:left="720" w:hanging="360"/>
      </w:pPr>
      <w:rPr>
        <w:rFonts w:cs="Times New Roman" w:hint="default"/>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19">
    <w:nsid w:val="47FB3E9A"/>
    <w:multiLevelType w:val="hybridMultilevel"/>
    <w:tmpl w:val="2A961EE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9A7602"/>
    <w:multiLevelType w:val="hybridMultilevel"/>
    <w:tmpl w:val="9A380202"/>
    <w:lvl w:ilvl="0" w:tplc="EB4C5E3A">
      <w:start w:val="1"/>
      <w:numFmt w:val="upperRoman"/>
      <w:lvlText w:val="%1."/>
      <w:lvlJc w:val="left"/>
      <w:pPr>
        <w:ind w:left="1080" w:hanging="720"/>
      </w:pPr>
      <w:rPr>
        <w:rFonts w:hint="default"/>
      </w:rPr>
    </w:lvl>
    <w:lvl w:ilvl="1" w:tplc="452CF3D0">
      <w:start w:val="1"/>
      <w:numFmt w:val="lowerLetter"/>
      <w:lvlText w:val="%2."/>
      <w:lvlJc w:val="left"/>
      <w:pPr>
        <w:ind w:left="1440" w:hanging="360"/>
      </w:pPr>
    </w:lvl>
    <w:lvl w:ilvl="2" w:tplc="05A83A4C">
      <w:start w:val="1"/>
      <w:numFmt w:val="lowerRoman"/>
      <w:lvlText w:val="%3)"/>
      <w:lvlJc w:val="left"/>
      <w:pPr>
        <w:ind w:left="2700" w:hanging="720"/>
      </w:pPr>
      <w:rPr>
        <w:rFonts w:hint="default"/>
      </w:rPr>
    </w:lvl>
    <w:lvl w:ilvl="3" w:tplc="E192615E" w:tentative="1">
      <w:start w:val="1"/>
      <w:numFmt w:val="decimal"/>
      <w:lvlText w:val="%4."/>
      <w:lvlJc w:val="left"/>
      <w:pPr>
        <w:ind w:left="2880" w:hanging="360"/>
      </w:pPr>
    </w:lvl>
    <w:lvl w:ilvl="4" w:tplc="A718B354" w:tentative="1">
      <w:start w:val="1"/>
      <w:numFmt w:val="lowerLetter"/>
      <w:lvlText w:val="%5."/>
      <w:lvlJc w:val="left"/>
      <w:pPr>
        <w:ind w:left="3600" w:hanging="360"/>
      </w:pPr>
    </w:lvl>
    <w:lvl w:ilvl="5" w:tplc="47FE6356" w:tentative="1">
      <w:start w:val="1"/>
      <w:numFmt w:val="lowerRoman"/>
      <w:lvlText w:val="%6."/>
      <w:lvlJc w:val="right"/>
      <w:pPr>
        <w:ind w:left="4320" w:hanging="180"/>
      </w:pPr>
    </w:lvl>
    <w:lvl w:ilvl="6" w:tplc="3DD227C8" w:tentative="1">
      <w:start w:val="1"/>
      <w:numFmt w:val="decimal"/>
      <w:lvlText w:val="%7."/>
      <w:lvlJc w:val="left"/>
      <w:pPr>
        <w:ind w:left="5040" w:hanging="360"/>
      </w:pPr>
    </w:lvl>
    <w:lvl w:ilvl="7" w:tplc="960604F0" w:tentative="1">
      <w:start w:val="1"/>
      <w:numFmt w:val="lowerLetter"/>
      <w:lvlText w:val="%8."/>
      <w:lvlJc w:val="left"/>
      <w:pPr>
        <w:ind w:left="5760" w:hanging="360"/>
      </w:pPr>
    </w:lvl>
    <w:lvl w:ilvl="8" w:tplc="D20CC76C" w:tentative="1">
      <w:start w:val="1"/>
      <w:numFmt w:val="lowerRoman"/>
      <w:lvlText w:val="%9."/>
      <w:lvlJc w:val="right"/>
      <w:pPr>
        <w:ind w:left="6480" w:hanging="180"/>
      </w:pPr>
    </w:lvl>
  </w:abstractNum>
  <w:abstractNum w:abstractNumId="21">
    <w:nsid w:val="609923C8"/>
    <w:multiLevelType w:val="multilevel"/>
    <w:tmpl w:val="8386323A"/>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nsid w:val="64031F00"/>
    <w:multiLevelType w:val="hybridMultilevel"/>
    <w:tmpl w:val="E8E08084"/>
    <w:lvl w:ilvl="0" w:tplc="0A7EF8B8">
      <w:start w:val="1"/>
      <w:numFmt w:val="bullet"/>
      <w:lvlText w:val=""/>
      <w:lvlJc w:val="left"/>
      <w:pPr>
        <w:tabs>
          <w:tab w:val="num" w:pos="792"/>
        </w:tabs>
        <w:ind w:left="792" w:hanging="360"/>
      </w:pPr>
      <w:rPr>
        <w:rFonts w:ascii="Symbol" w:hAnsi="Symbol" w:hint="default"/>
      </w:rPr>
    </w:lvl>
    <w:lvl w:ilvl="1" w:tplc="71261864" w:tentative="1">
      <w:start w:val="1"/>
      <w:numFmt w:val="bullet"/>
      <w:lvlText w:val="o"/>
      <w:lvlJc w:val="left"/>
      <w:pPr>
        <w:tabs>
          <w:tab w:val="num" w:pos="1512"/>
        </w:tabs>
        <w:ind w:left="1512" w:hanging="360"/>
      </w:pPr>
      <w:rPr>
        <w:rFonts w:ascii="Courier New" w:hAnsi="Courier New" w:hint="default"/>
      </w:rPr>
    </w:lvl>
    <w:lvl w:ilvl="2" w:tplc="3892B2FA" w:tentative="1">
      <w:start w:val="1"/>
      <w:numFmt w:val="bullet"/>
      <w:lvlText w:val=""/>
      <w:lvlJc w:val="left"/>
      <w:pPr>
        <w:tabs>
          <w:tab w:val="num" w:pos="2232"/>
        </w:tabs>
        <w:ind w:left="2232" w:hanging="360"/>
      </w:pPr>
      <w:rPr>
        <w:rFonts w:ascii="Wingdings" w:hAnsi="Wingdings" w:hint="default"/>
      </w:rPr>
    </w:lvl>
    <w:lvl w:ilvl="3" w:tplc="94CE0B10" w:tentative="1">
      <w:start w:val="1"/>
      <w:numFmt w:val="bullet"/>
      <w:lvlText w:val=""/>
      <w:lvlJc w:val="left"/>
      <w:pPr>
        <w:tabs>
          <w:tab w:val="num" w:pos="2952"/>
        </w:tabs>
        <w:ind w:left="2952" w:hanging="360"/>
      </w:pPr>
      <w:rPr>
        <w:rFonts w:ascii="Symbol" w:hAnsi="Symbol" w:hint="default"/>
      </w:rPr>
    </w:lvl>
    <w:lvl w:ilvl="4" w:tplc="D48C9B04" w:tentative="1">
      <w:start w:val="1"/>
      <w:numFmt w:val="bullet"/>
      <w:lvlText w:val="o"/>
      <w:lvlJc w:val="left"/>
      <w:pPr>
        <w:tabs>
          <w:tab w:val="num" w:pos="3672"/>
        </w:tabs>
        <w:ind w:left="3672" w:hanging="360"/>
      </w:pPr>
      <w:rPr>
        <w:rFonts w:ascii="Courier New" w:hAnsi="Courier New" w:hint="default"/>
      </w:rPr>
    </w:lvl>
    <w:lvl w:ilvl="5" w:tplc="8054BEA6" w:tentative="1">
      <w:start w:val="1"/>
      <w:numFmt w:val="bullet"/>
      <w:lvlText w:val=""/>
      <w:lvlJc w:val="left"/>
      <w:pPr>
        <w:tabs>
          <w:tab w:val="num" w:pos="4392"/>
        </w:tabs>
        <w:ind w:left="4392" w:hanging="360"/>
      </w:pPr>
      <w:rPr>
        <w:rFonts w:ascii="Wingdings" w:hAnsi="Wingdings" w:hint="default"/>
      </w:rPr>
    </w:lvl>
    <w:lvl w:ilvl="6" w:tplc="967A3520" w:tentative="1">
      <w:start w:val="1"/>
      <w:numFmt w:val="bullet"/>
      <w:lvlText w:val=""/>
      <w:lvlJc w:val="left"/>
      <w:pPr>
        <w:tabs>
          <w:tab w:val="num" w:pos="5112"/>
        </w:tabs>
        <w:ind w:left="5112" w:hanging="360"/>
      </w:pPr>
      <w:rPr>
        <w:rFonts w:ascii="Symbol" w:hAnsi="Symbol" w:hint="default"/>
      </w:rPr>
    </w:lvl>
    <w:lvl w:ilvl="7" w:tplc="7EFAD18A" w:tentative="1">
      <w:start w:val="1"/>
      <w:numFmt w:val="bullet"/>
      <w:lvlText w:val="o"/>
      <w:lvlJc w:val="left"/>
      <w:pPr>
        <w:tabs>
          <w:tab w:val="num" w:pos="5832"/>
        </w:tabs>
        <w:ind w:left="5832" w:hanging="360"/>
      </w:pPr>
      <w:rPr>
        <w:rFonts w:ascii="Courier New" w:hAnsi="Courier New" w:hint="default"/>
      </w:rPr>
    </w:lvl>
    <w:lvl w:ilvl="8" w:tplc="430A34E4" w:tentative="1">
      <w:start w:val="1"/>
      <w:numFmt w:val="bullet"/>
      <w:lvlText w:val=""/>
      <w:lvlJc w:val="left"/>
      <w:pPr>
        <w:tabs>
          <w:tab w:val="num" w:pos="6552"/>
        </w:tabs>
        <w:ind w:left="6552" w:hanging="360"/>
      </w:pPr>
      <w:rPr>
        <w:rFonts w:ascii="Wingdings" w:hAnsi="Wingdings" w:hint="default"/>
      </w:rPr>
    </w:lvl>
  </w:abstractNum>
  <w:abstractNum w:abstractNumId="23">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5">
    <w:nsid w:val="6BDE73DC"/>
    <w:multiLevelType w:val="hybridMultilevel"/>
    <w:tmpl w:val="46602C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55117D"/>
    <w:multiLevelType w:val="hybridMultilevel"/>
    <w:tmpl w:val="1F3460F4"/>
    <w:lvl w:ilvl="0" w:tplc="04090001">
      <w:start w:val="1"/>
      <w:numFmt w:val="lowerLetter"/>
      <w:lvlText w:val="%1."/>
      <w:lvlJc w:val="left"/>
      <w:pPr>
        <w:ind w:left="2160" w:hanging="360"/>
      </w:pPr>
      <w:rPr>
        <w:rFonts w:hint="default"/>
      </w:rPr>
    </w:lvl>
    <w:lvl w:ilvl="1" w:tplc="04090003" w:tentative="1">
      <w:start w:val="1"/>
      <w:numFmt w:val="lowerLetter"/>
      <w:lvlText w:val="%2."/>
      <w:lvlJc w:val="left"/>
      <w:pPr>
        <w:ind w:left="2880" w:hanging="360"/>
      </w:pPr>
    </w:lvl>
    <w:lvl w:ilvl="2" w:tplc="04090005" w:tentative="1">
      <w:start w:val="1"/>
      <w:numFmt w:val="lowerRoman"/>
      <w:lvlText w:val="%3."/>
      <w:lvlJc w:val="right"/>
      <w:pPr>
        <w:ind w:left="3600" w:hanging="180"/>
      </w:pPr>
    </w:lvl>
    <w:lvl w:ilvl="3" w:tplc="04090001" w:tentative="1">
      <w:start w:val="1"/>
      <w:numFmt w:val="decimal"/>
      <w:lvlText w:val="%4."/>
      <w:lvlJc w:val="left"/>
      <w:pPr>
        <w:ind w:left="4320" w:hanging="360"/>
      </w:pPr>
    </w:lvl>
    <w:lvl w:ilvl="4" w:tplc="04090003" w:tentative="1">
      <w:start w:val="1"/>
      <w:numFmt w:val="lowerLetter"/>
      <w:lvlText w:val="%5."/>
      <w:lvlJc w:val="left"/>
      <w:pPr>
        <w:ind w:left="5040" w:hanging="360"/>
      </w:pPr>
    </w:lvl>
    <w:lvl w:ilvl="5" w:tplc="04090005" w:tentative="1">
      <w:start w:val="1"/>
      <w:numFmt w:val="lowerRoman"/>
      <w:lvlText w:val="%6."/>
      <w:lvlJc w:val="right"/>
      <w:pPr>
        <w:ind w:left="5760" w:hanging="180"/>
      </w:pPr>
    </w:lvl>
    <w:lvl w:ilvl="6" w:tplc="04090001" w:tentative="1">
      <w:start w:val="1"/>
      <w:numFmt w:val="decimal"/>
      <w:lvlText w:val="%7."/>
      <w:lvlJc w:val="left"/>
      <w:pPr>
        <w:ind w:left="6480" w:hanging="360"/>
      </w:pPr>
    </w:lvl>
    <w:lvl w:ilvl="7" w:tplc="04090003" w:tentative="1">
      <w:start w:val="1"/>
      <w:numFmt w:val="lowerLetter"/>
      <w:lvlText w:val="%8."/>
      <w:lvlJc w:val="left"/>
      <w:pPr>
        <w:ind w:left="7200" w:hanging="360"/>
      </w:pPr>
    </w:lvl>
    <w:lvl w:ilvl="8" w:tplc="04090005" w:tentative="1">
      <w:start w:val="1"/>
      <w:numFmt w:val="lowerRoman"/>
      <w:lvlText w:val="%9."/>
      <w:lvlJc w:val="right"/>
      <w:pPr>
        <w:ind w:left="7920" w:hanging="180"/>
      </w:pPr>
    </w:lvl>
  </w:abstractNum>
  <w:abstractNum w:abstractNumId="27">
    <w:nsid w:val="78A70092"/>
    <w:multiLevelType w:val="hybridMultilevel"/>
    <w:tmpl w:val="1846949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3"/>
  </w:num>
  <w:num w:numId="3">
    <w:abstractNumId w:val="24"/>
  </w:num>
  <w:num w:numId="4">
    <w:abstractNumId w:val="9"/>
  </w:num>
  <w:num w:numId="5">
    <w:abstractNumId w:val="14"/>
  </w:num>
  <w:num w:numId="6">
    <w:abstractNumId w:val="8"/>
  </w:num>
  <w:num w:numId="7">
    <w:abstractNumId w:val="21"/>
  </w:num>
  <w:num w:numId="8">
    <w:abstractNumId w:val="23"/>
  </w:num>
  <w:num w:numId="9">
    <w:abstractNumId w:val="2"/>
  </w:num>
  <w:num w:numId="10">
    <w:abstractNumId w:val="11"/>
  </w:num>
  <w:num w:numId="11">
    <w:abstractNumId w:val="15"/>
  </w:num>
  <w:num w:numId="12">
    <w:abstractNumId w:val="13"/>
  </w:num>
  <w:num w:numId="13">
    <w:abstractNumId w:val="16"/>
  </w:num>
  <w:num w:numId="14">
    <w:abstractNumId w:val="1"/>
  </w:num>
  <w:num w:numId="15">
    <w:abstractNumId w:val="17"/>
  </w:num>
  <w:num w:numId="16">
    <w:abstractNumId w:val="5"/>
  </w:num>
  <w:num w:numId="17">
    <w:abstractNumId w:val="26"/>
  </w:num>
  <w:num w:numId="18">
    <w:abstractNumId w:val="21"/>
  </w:num>
  <w:num w:numId="19">
    <w:abstractNumId w:val="21"/>
  </w:num>
  <w:num w:numId="20">
    <w:abstractNumId w:val="12"/>
  </w:num>
  <w:num w:numId="21">
    <w:abstractNumId w:val="21"/>
  </w:num>
  <w:num w:numId="22">
    <w:abstractNumId w:val="21"/>
  </w:num>
  <w:num w:numId="23">
    <w:abstractNumId w:val="22"/>
  </w:num>
  <w:num w:numId="24">
    <w:abstractNumId w:val="10"/>
  </w:num>
  <w:num w:numId="25">
    <w:abstractNumId w:val="4"/>
  </w:num>
  <w:num w:numId="26">
    <w:abstractNumId w:val="7"/>
  </w:num>
  <w:num w:numId="27">
    <w:abstractNumId w:val="6"/>
  </w:num>
  <w:num w:numId="28">
    <w:abstractNumId w:val="25"/>
  </w:num>
  <w:num w:numId="29">
    <w:abstractNumId w:val="27"/>
  </w:num>
  <w:num w:numId="30">
    <w:abstractNumId w:val="19"/>
  </w:num>
  <w:num w:numId="31">
    <w:abstractNumId w:val="21"/>
  </w:num>
  <w:num w:numId="32">
    <w:abstractNumId w:val="21"/>
  </w:num>
  <w:num w:numId="33">
    <w:abstractNumId w:val="0"/>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660F"/>
    <w:rsid w:val="000226DD"/>
    <w:rsid w:val="00031CBC"/>
    <w:rsid w:val="000358DE"/>
    <w:rsid w:val="00045384"/>
    <w:rsid w:val="00053333"/>
    <w:rsid w:val="00070411"/>
    <w:rsid w:val="00072078"/>
    <w:rsid w:val="00073FDC"/>
    <w:rsid w:val="0008544A"/>
    <w:rsid w:val="000912B3"/>
    <w:rsid w:val="000D3573"/>
    <w:rsid w:val="000D5D08"/>
    <w:rsid w:val="000D7301"/>
    <w:rsid w:val="000F4EDD"/>
    <w:rsid w:val="000F5821"/>
    <w:rsid w:val="000F6166"/>
    <w:rsid w:val="000F61A7"/>
    <w:rsid w:val="00102E31"/>
    <w:rsid w:val="00105AFA"/>
    <w:rsid w:val="001104E3"/>
    <w:rsid w:val="00113298"/>
    <w:rsid w:val="00113E0A"/>
    <w:rsid w:val="0012129F"/>
    <w:rsid w:val="00130ABB"/>
    <w:rsid w:val="00132CA1"/>
    <w:rsid w:val="00151704"/>
    <w:rsid w:val="001774B8"/>
    <w:rsid w:val="00185739"/>
    <w:rsid w:val="0019767B"/>
    <w:rsid w:val="001B2F1E"/>
    <w:rsid w:val="001B5186"/>
    <w:rsid w:val="001C1C05"/>
    <w:rsid w:val="001C63E2"/>
    <w:rsid w:val="001D2278"/>
    <w:rsid w:val="001D5479"/>
    <w:rsid w:val="001F1ECE"/>
    <w:rsid w:val="001F5F3F"/>
    <w:rsid w:val="0021460F"/>
    <w:rsid w:val="002147DA"/>
    <w:rsid w:val="00231333"/>
    <w:rsid w:val="00231975"/>
    <w:rsid w:val="00232D7A"/>
    <w:rsid w:val="00252D78"/>
    <w:rsid w:val="002625E9"/>
    <w:rsid w:val="00265C50"/>
    <w:rsid w:val="00286C85"/>
    <w:rsid w:val="0028764B"/>
    <w:rsid w:val="002C3A07"/>
    <w:rsid w:val="002C7793"/>
    <w:rsid w:val="002D1DD8"/>
    <w:rsid w:val="002E1E8F"/>
    <w:rsid w:val="002E6440"/>
    <w:rsid w:val="002F3BF2"/>
    <w:rsid w:val="002F796B"/>
    <w:rsid w:val="00315D75"/>
    <w:rsid w:val="00316ADF"/>
    <w:rsid w:val="003215D0"/>
    <w:rsid w:val="00321DC8"/>
    <w:rsid w:val="0032768C"/>
    <w:rsid w:val="00332D8A"/>
    <w:rsid w:val="0034409A"/>
    <w:rsid w:val="00354F9C"/>
    <w:rsid w:val="003663B2"/>
    <w:rsid w:val="00373382"/>
    <w:rsid w:val="00380BFA"/>
    <w:rsid w:val="003823C8"/>
    <w:rsid w:val="00387144"/>
    <w:rsid w:val="00396FA9"/>
    <w:rsid w:val="003A10EE"/>
    <w:rsid w:val="003B4203"/>
    <w:rsid w:val="003B6D39"/>
    <w:rsid w:val="003C3E18"/>
    <w:rsid w:val="003D703B"/>
    <w:rsid w:val="003D7E41"/>
    <w:rsid w:val="003F62BE"/>
    <w:rsid w:val="00402155"/>
    <w:rsid w:val="00407056"/>
    <w:rsid w:val="00410AE1"/>
    <w:rsid w:val="00413D24"/>
    <w:rsid w:val="004158EF"/>
    <w:rsid w:val="00416DC2"/>
    <w:rsid w:val="00425B28"/>
    <w:rsid w:val="00436A99"/>
    <w:rsid w:val="0044223B"/>
    <w:rsid w:val="0045473B"/>
    <w:rsid w:val="00466603"/>
    <w:rsid w:val="004723D9"/>
    <w:rsid w:val="00473964"/>
    <w:rsid w:val="00477FDB"/>
    <w:rsid w:val="004807C7"/>
    <w:rsid w:val="00490C07"/>
    <w:rsid w:val="00496CC1"/>
    <w:rsid w:val="004A07B9"/>
    <w:rsid w:val="004A4C98"/>
    <w:rsid w:val="004A5E89"/>
    <w:rsid w:val="004C5A25"/>
    <w:rsid w:val="004E4D87"/>
    <w:rsid w:val="004F6AF8"/>
    <w:rsid w:val="005258AC"/>
    <w:rsid w:val="0053706F"/>
    <w:rsid w:val="0055596E"/>
    <w:rsid w:val="0055718E"/>
    <w:rsid w:val="00563031"/>
    <w:rsid w:val="00581967"/>
    <w:rsid w:val="0058618A"/>
    <w:rsid w:val="005948F1"/>
    <w:rsid w:val="005B02A4"/>
    <w:rsid w:val="00601C52"/>
    <w:rsid w:val="00624B18"/>
    <w:rsid w:val="006445D1"/>
    <w:rsid w:val="006519FF"/>
    <w:rsid w:val="00660A2D"/>
    <w:rsid w:val="00673A5F"/>
    <w:rsid w:val="00682E18"/>
    <w:rsid w:val="0068693F"/>
    <w:rsid w:val="00691A13"/>
    <w:rsid w:val="00693244"/>
    <w:rsid w:val="006A7184"/>
    <w:rsid w:val="006B3BC4"/>
    <w:rsid w:val="006C238E"/>
    <w:rsid w:val="006D3152"/>
    <w:rsid w:val="006D3BB9"/>
    <w:rsid w:val="006E2771"/>
    <w:rsid w:val="006F434E"/>
    <w:rsid w:val="0070507C"/>
    <w:rsid w:val="00711F34"/>
    <w:rsid w:val="00714482"/>
    <w:rsid w:val="00721AD6"/>
    <w:rsid w:val="007417F6"/>
    <w:rsid w:val="00742839"/>
    <w:rsid w:val="007442E3"/>
    <w:rsid w:val="00756383"/>
    <w:rsid w:val="0076005C"/>
    <w:rsid w:val="0077157D"/>
    <w:rsid w:val="00777485"/>
    <w:rsid w:val="007818AC"/>
    <w:rsid w:val="00791DE0"/>
    <w:rsid w:val="00795BA5"/>
    <w:rsid w:val="007A3111"/>
    <w:rsid w:val="007D32A0"/>
    <w:rsid w:val="007D5E51"/>
    <w:rsid w:val="007F2657"/>
    <w:rsid w:val="007F7BD7"/>
    <w:rsid w:val="00806EC5"/>
    <w:rsid w:val="0082229C"/>
    <w:rsid w:val="00827E0E"/>
    <w:rsid w:val="008325F9"/>
    <w:rsid w:val="0083545A"/>
    <w:rsid w:val="00835C70"/>
    <w:rsid w:val="00842BE9"/>
    <w:rsid w:val="00860ED0"/>
    <w:rsid w:val="008661D0"/>
    <w:rsid w:val="00870418"/>
    <w:rsid w:val="00877C7E"/>
    <w:rsid w:val="008C4EE9"/>
    <w:rsid w:val="008D0E30"/>
    <w:rsid w:val="008D6278"/>
    <w:rsid w:val="008F2A68"/>
    <w:rsid w:val="008F2D25"/>
    <w:rsid w:val="00902AE1"/>
    <w:rsid w:val="00915BCF"/>
    <w:rsid w:val="00930663"/>
    <w:rsid w:val="009377BF"/>
    <w:rsid w:val="00941ABA"/>
    <w:rsid w:val="00941C07"/>
    <w:rsid w:val="00946E54"/>
    <w:rsid w:val="009668EF"/>
    <w:rsid w:val="00974D52"/>
    <w:rsid w:val="00974F94"/>
    <w:rsid w:val="00976804"/>
    <w:rsid w:val="009843DE"/>
    <w:rsid w:val="009879DE"/>
    <w:rsid w:val="00993C74"/>
    <w:rsid w:val="009966F6"/>
    <w:rsid w:val="009A6AD9"/>
    <w:rsid w:val="009B3EA9"/>
    <w:rsid w:val="009C4D95"/>
    <w:rsid w:val="009C72A9"/>
    <w:rsid w:val="009D5D7C"/>
    <w:rsid w:val="009E6E4B"/>
    <w:rsid w:val="009F55E7"/>
    <w:rsid w:val="00A02586"/>
    <w:rsid w:val="00A030AF"/>
    <w:rsid w:val="00A030D9"/>
    <w:rsid w:val="00A0314E"/>
    <w:rsid w:val="00A05F1B"/>
    <w:rsid w:val="00A10ECC"/>
    <w:rsid w:val="00A11AB9"/>
    <w:rsid w:val="00A358CC"/>
    <w:rsid w:val="00A40E31"/>
    <w:rsid w:val="00A42247"/>
    <w:rsid w:val="00A43DD3"/>
    <w:rsid w:val="00A557E1"/>
    <w:rsid w:val="00A611FD"/>
    <w:rsid w:val="00A6381D"/>
    <w:rsid w:val="00A64A54"/>
    <w:rsid w:val="00A703A7"/>
    <w:rsid w:val="00A7231C"/>
    <w:rsid w:val="00A737C1"/>
    <w:rsid w:val="00A755A4"/>
    <w:rsid w:val="00A900CD"/>
    <w:rsid w:val="00A92F1A"/>
    <w:rsid w:val="00A95B48"/>
    <w:rsid w:val="00A964F3"/>
    <w:rsid w:val="00AA0198"/>
    <w:rsid w:val="00AA2EE9"/>
    <w:rsid w:val="00AA6062"/>
    <w:rsid w:val="00AB6521"/>
    <w:rsid w:val="00AC200F"/>
    <w:rsid w:val="00AD59CA"/>
    <w:rsid w:val="00AE2522"/>
    <w:rsid w:val="00AE2ACB"/>
    <w:rsid w:val="00AF12E0"/>
    <w:rsid w:val="00B0298C"/>
    <w:rsid w:val="00B05551"/>
    <w:rsid w:val="00B10EA6"/>
    <w:rsid w:val="00B13061"/>
    <w:rsid w:val="00B344F2"/>
    <w:rsid w:val="00B44A6A"/>
    <w:rsid w:val="00B53984"/>
    <w:rsid w:val="00B6102E"/>
    <w:rsid w:val="00B637C7"/>
    <w:rsid w:val="00B64F18"/>
    <w:rsid w:val="00B675BB"/>
    <w:rsid w:val="00B75CED"/>
    <w:rsid w:val="00B87A39"/>
    <w:rsid w:val="00BA0FEF"/>
    <w:rsid w:val="00BB42A7"/>
    <w:rsid w:val="00BB77B5"/>
    <w:rsid w:val="00BD1870"/>
    <w:rsid w:val="00BD6C4D"/>
    <w:rsid w:val="00BE7769"/>
    <w:rsid w:val="00BF4A43"/>
    <w:rsid w:val="00C01FCB"/>
    <w:rsid w:val="00C11C20"/>
    <w:rsid w:val="00C1605C"/>
    <w:rsid w:val="00C2372F"/>
    <w:rsid w:val="00C32A84"/>
    <w:rsid w:val="00C469A0"/>
    <w:rsid w:val="00C47571"/>
    <w:rsid w:val="00C53634"/>
    <w:rsid w:val="00C659CF"/>
    <w:rsid w:val="00C87272"/>
    <w:rsid w:val="00C9083E"/>
    <w:rsid w:val="00C9549C"/>
    <w:rsid w:val="00CA7EE8"/>
    <w:rsid w:val="00CB18D7"/>
    <w:rsid w:val="00CD7C01"/>
    <w:rsid w:val="00CE3A73"/>
    <w:rsid w:val="00CE50D3"/>
    <w:rsid w:val="00CE6C25"/>
    <w:rsid w:val="00CF2736"/>
    <w:rsid w:val="00D0116D"/>
    <w:rsid w:val="00D01472"/>
    <w:rsid w:val="00D0206D"/>
    <w:rsid w:val="00D1073A"/>
    <w:rsid w:val="00D11988"/>
    <w:rsid w:val="00D12B65"/>
    <w:rsid w:val="00D27C22"/>
    <w:rsid w:val="00D57849"/>
    <w:rsid w:val="00D64948"/>
    <w:rsid w:val="00D66269"/>
    <w:rsid w:val="00D91F1F"/>
    <w:rsid w:val="00D9342A"/>
    <w:rsid w:val="00DA38ED"/>
    <w:rsid w:val="00DA737F"/>
    <w:rsid w:val="00DB1838"/>
    <w:rsid w:val="00DB4C6E"/>
    <w:rsid w:val="00DC3483"/>
    <w:rsid w:val="00DD0E1F"/>
    <w:rsid w:val="00DD1AAA"/>
    <w:rsid w:val="00DD2D6F"/>
    <w:rsid w:val="00DE008C"/>
    <w:rsid w:val="00DE1B38"/>
    <w:rsid w:val="00DF0A77"/>
    <w:rsid w:val="00DF2698"/>
    <w:rsid w:val="00E012C6"/>
    <w:rsid w:val="00E24361"/>
    <w:rsid w:val="00E345F0"/>
    <w:rsid w:val="00E36AB2"/>
    <w:rsid w:val="00E37FED"/>
    <w:rsid w:val="00E47B5D"/>
    <w:rsid w:val="00E56448"/>
    <w:rsid w:val="00E66610"/>
    <w:rsid w:val="00E677B2"/>
    <w:rsid w:val="00E70556"/>
    <w:rsid w:val="00E73E36"/>
    <w:rsid w:val="00E807D8"/>
    <w:rsid w:val="00E81B37"/>
    <w:rsid w:val="00E81D7B"/>
    <w:rsid w:val="00E93D41"/>
    <w:rsid w:val="00EC28D6"/>
    <w:rsid w:val="00ED2245"/>
    <w:rsid w:val="00ED744C"/>
    <w:rsid w:val="00EE2AA0"/>
    <w:rsid w:val="00EE2EB8"/>
    <w:rsid w:val="00EE43D8"/>
    <w:rsid w:val="00EE6363"/>
    <w:rsid w:val="00EF32D6"/>
    <w:rsid w:val="00F165B9"/>
    <w:rsid w:val="00F208AC"/>
    <w:rsid w:val="00F2225A"/>
    <w:rsid w:val="00F274C8"/>
    <w:rsid w:val="00F42D0A"/>
    <w:rsid w:val="00F5024C"/>
    <w:rsid w:val="00F57299"/>
    <w:rsid w:val="00F8384A"/>
    <w:rsid w:val="00F92728"/>
    <w:rsid w:val="00F93B78"/>
    <w:rsid w:val="00F96F8A"/>
    <w:rsid w:val="00F97240"/>
    <w:rsid w:val="00FA0FB5"/>
    <w:rsid w:val="00FA2C2C"/>
    <w:rsid w:val="00FA68CA"/>
    <w:rsid w:val="00FB7196"/>
    <w:rsid w:val="00FD3912"/>
    <w:rsid w:val="00FE4754"/>
    <w:rsid w:val="00FF0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No Spacing" w:qFormat="1"/>
    <w:lsdException w:name="List Paragraph" w:uiPriority="99"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
    <w:basedOn w:val="DefaultParagraphFont"/>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styleId="ListParagraph">
    <w:name w:val="List Paragraph"/>
    <w:basedOn w:val="Normal"/>
    <w:uiPriority w:val="99"/>
    <w:qFormat/>
    <w:rsid w:val="00A030D9"/>
    <w:pPr>
      <w:spacing w:after="200" w:line="276" w:lineRule="auto"/>
      <w:ind w:left="720"/>
      <w:contextualSpacing/>
    </w:pPr>
    <w:rPr>
      <w:rFonts w:asciiTheme="minorHAnsi" w:eastAsiaTheme="minorHAnsi" w:hAnsiTheme="minorHAnsi" w:cstheme="minorBid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uiPriority w:val="99"/>
    <w:rsid w:val="00F93B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Top of Form" w:uiPriority="99"/>
    <w:lsdException w:name="HTML Bottom of Form" w:uiPriority="99"/>
    <w:lsdException w:name="Table Grid" w:uiPriority="59"/>
    <w:lsdException w:name="No Spacing" w:qFormat="1"/>
    <w:lsdException w:name="List Paragraph" w:uiPriority="99"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7"/>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5"/>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6"/>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7"/>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7"/>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
    <w:basedOn w:val="DefaultParagraphFont"/>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after="240"/>
      <w:ind w:left="0" w:firstLine="288"/>
      <w:jc w:val="center"/>
    </w:pPr>
    <w:rPr>
      <w:rFonts w:eastAsia="Calibri"/>
      <w:b/>
      <w:smallCaps/>
      <w:spacing w:val="0"/>
      <w:szCs w:val="22"/>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rPr>
  </w:style>
  <w:style w:type="character" w:customStyle="1" w:styleId="Heading8Char">
    <w:name w:val="Heading 8 Char"/>
    <w:link w:val="Heading8"/>
    <w:rsid w:val="00816867"/>
    <w:rPr>
      <w:rFonts w:eastAsia="Times New Roman"/>
      <w:i/>
      <w:iCs/>
      <w:sz w:val="24"/>
      <w:szCs w:val="24"/>
      <w:lang w:val="es-ES_tradnl"/>
    </w:rPr>
  </w:style>
  <w:style w:type="character" w:customStyle="1" w:styleId="Heading9Char">
    <w:name w:val="Heading 9 Char"/>
    <w:link w:val="Heading9"/>
    <w:rsid w:val="00816867"/>
    <w:rPr>
      <w:rFonts w:ascii="Cambria" w:eastAsia="Times New Roman" w:hAnsi="Cambria"/>
      <w:sz w:val="22"/>
      <w:szCs w:val="22"/>
      <w:lang w:val="es-ES_tradnl"/>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basedOn w:val="DefaultParagraphFont"/>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7"/>
      </w:numPr>
      <w:spacing w:before="120"/>
      <w:jc w:val="both"/>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8"/>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9"/>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10"/>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rsid w:val="00B87A39"/>
    <w:pPr>
      <w:tabs>
        <w:tab w:val="left" w:pos="1627"/>
        <w:tab w:val="right" w:leader="dot" w:pos="8630"/>
      </w:tabs>
      <w:ind w:left="1713" w:hanging="547"/>
    </w:pPr>
    <w:rPr>
      <w:noProof/>
    </w:rPr>
  </w:style>
  <w:style w:type="paragraph" w:styleId="ListParagraph">
    <w:name w:val="List Paragraph"/>
    <w:basedOn w:val="Normal"/>
    <w:uiPriority w:val="99"/>
    <w:qFormat/>
    <w:rsid w:val="00A030D9"/>
    <w:pPr>
      <w:spacing w:after="200" w:line="276" w:lineRule="auto"/>
      <w:ind w:left="720"/>
      <w:contextualSpacing/>
    </w:pPr>
    <w:rPr>
      <w:rFonts w:asciiTheme="minorHAnsi" w:eastAsiaTheme="minorHAnsi" w:hAnsiTheme="minorHAnsi" w:cstheme="minorBid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uiPriority w:val="99"/>
    <w:rsid w:val="00F93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mit.edu/~jhainm/synthpage.html" TargetMode="External"/><Relationship Id="rId19" Type="http://schemas.openxmlformats.org/officeDocument/2006/relationships/customXml" Target="../customXml/item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F52CA6511E8F4FBD2B9D10187177C8" ma:contentTypeVersion="3519" ma:contentTypeDescription="The base project type from which other project content types inherit their information." ma:contentTypeScope="" ma:versionID="f18288db888d5433f3940aac41193759">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R0002799387</Record_x0020_Number>
    <Key_x0020_Document xmlns="cdc7663a-08f0-4737-9e8c-148ce897a09c">false</Key_x0020_Document>
    <Division_x0020_or_x0020_Unit xmlns="cdc7663a-08f0-4737-9e8c-148ce897a09c">INE/TSP</Division_x0020_or_x0020_Unit>
    <IDBDocs_x0020_Number xmlns="cdc7663a-08f0-4737-9e8c-148ce897a09c">37720850</IDBDocs_x0020_Number>
    <Document_x0020_Author xmlns="cdc7663a-08f0-4737-9e8c-148ce897a09c">Lenci Pousada, Vera Lucia</Document_x0020_Author>
    <Operation_x0020_Type xmlns="cdc7663a-08f0-4737-9e8c-148ce897a09c" xsi:nil="true"/>
    <TaxCatchAll xmlns="cdc7663a-08f0-4737-9e8c-148ce897a09c">
      <Value>13</Value>
      <Value>30</Value>
      <Value>1</Value>
    </TaxCatchAll>
    <Fiscal_x0020_Year_x0020_IDB xmlns="cdc7663a-08f0-4737-9e8c-148ce897a09c">2013</Fiscal_x0020_Year_x0020_IDB>
    <Project_x0020_Number xmlns="cdc7663a-08f0-4737-9e8c-148ce897a09c">BR-L1374</Project_x0020_Number>
    <Package_x0020_Code xmlns="cdc7663a-08f0-4737-9e8c-148ce897a09c" xsi:nil="true"/>
    <Migration_x0020_Info xmlns="cdc7663a-08f0-4737-9e8c-148ce897a09c">MS WORDLPLoan ProposalOPOperations Policy Committee0NSouth AmericaPO-BR-L1374-Anl1087602513</Migration_x0020_Info>
    <Approval_x0020_Number xmlns="cdc7663a-08f0-4737-9e8c-148ce897a09c" xsi:nil="true"/>
    <Business_x0020_Area xmlns="cdc7663a-08f0-4737-9e8c-148ce897a09c" xsi:nil="true"/>
    <SISCOR_x0020_Number xmlns="cdc7663a-08f0-4737-9e8c-148ce897a09c" xsi:nil="true"/>
    <Identifier xmlns="cdc7663a-08f0-4737-9e8c-148ce897a09c">Caterina Vecco x.2460 TECFILE</Identifier>
    <Document_x0020_Language_x0020_IDB xmlns="cdc7663a-08f0-4737-9e8c-148ce897a09c">Spanish</Document_x0020_Language_x0020_IDB>
    <Phase xmlns="cdc7663a-08f0-4737-9e8c-148ce897a09c" xsi:nil="true"/>
    <Other_x0020_Autho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EZSHARE-1185062258-94</_dlc_DocId>
    <From_x003a_ xmlns="cdc7663a-08f0-4737-9e8c-148ce897a09c" xsi:nil="true"/>
    <To_x003a_ xmlns="cdc7663a-08f0-4737-9e8c-148ce897a09c" xsi:nil="true"/>
    <_dlc_DocIdUrl xmlns="cdc7663a-08f0-4737-9e8c-148ce897a09c">
      <Url>https://idbg.sharepoint.com/teams/EZ-BR-LON/BR-L1374/_layouts/15/DocIdRedir.aspx?ID=EZSHARE-1185062258-94</Url>
      <Description>EZSHARE-1185062258-94</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0D1AF7B9-25BF-4CE3-8F58-689F4E8AAC80}"/>
</file>

<file path=customXml/itemProps10.xml><?xml version="1.0" encoding="utf-8"?>
<ds:datastoreItem xmlns:ds="http://schemas.openxmlformats.org/officeDocument/2006/customXml" ds:itemID="{54F9062A-596A-4D59-977B-AAB3728F68EB}"/>
</file>

<file path=customXml/itemProps11.xml><?xml version="1.0" encoding="utf-8"?>
<ds:datastoreItem xmlns:ds="http://schemas.openxmlformats.org/officeDocument/2006/customXml" ds:itemID="{2ABA385B-606B-441E-9640-B2A4449E3164}"/>
</file>

<file path=customXml/itemProps12.xml><?xml version="1.0" encoding="utf-8"?>
<ds:datastoreItem xmlns:ds="http://schemas.openxmlformats.org/officeDocument/2006/customXml" ds:itemID="{9E79DB81-EF59-4686-BEDC-B25BBE9F5436}"/>
</file>

<file path=customXml/itemProps2.xml><?xml version="1.0" encoding="utf-8"?>
<ds:datastoreItem xmlns:ds="http://schemas.openxmlformats.org/officeDocument/2006/customXml" ds:itemID="{E02D91E4-D302-4970-85C6-39AF145B0852}"/>
</file>

<file path=customXml/itemProps3.xml><?xml version="1.0" encoding="utf-8"?>
<ds:datastoreItem xmlns:ds="http://schemas.openxmlformats.org/officeDocument/2006/customXml" ds:itemID="{959FDA22-001A-413A-A78C-F5522100EA25}"/>
</file>

<file path=customXml/itemProps4.xml><?xml version="1.0" encoding="utf-8"?>
<ds:datastoreItem xmlns:ds="http://schemas.openxmlformats.org/officeDocument/2006/customXml" ds:itemID="{24FD73A4-EA57-45CF-9603-145D4D0E22FE}"/>
</file>

<file path=customXml/itemProps5.xml><?xml version="1.0" encoding="utf-8"?>
<ds:datastoreItem xmlns:ds="http://schemas.openxmlformats.org/officeDocument/2006/customXml" ds:itemID="{067BA2C4-2E8B-406B-99AA-3E5B9286BC4E}"/>
</file>

<file path=customXml/itemProps6.xml><?xml version="1.0" encoding="utf-8"?>
<ds:datastoreItem xmlns:ds="http://schemas.openxmlformats.org/officeDocument/2006/customXml" ds:itemID="{9B10AACB-821D-489F-99A9-55FE1927C786}"/>
</file>

<file path=customXml/itemProps7.xml><?xml version="1.0" encoding="utf-8"?>
<ds:datastoreItem xmlns:ds="http://schemas.openxmlformats.org/officeDocument/2006/customXml" ds:itemID="{4855256F-9553-4B46-A917-7E6B21D67292}"/>
</file>

<file path=customXml/itemProps8.xml><?xml version="1.0" encoding="utf-8"?>
<ds:datastoreItem xmlns:ds="http://schemas.openxmlformats.org/officeDocument/2006/customXml" ds:itemID="{0CD320FC-B8ED-472D-B349-1F9DF0DCB050}"/>
</file>

<file path=customXml/itemProps9.xml><?xml version="1.0" encoding="utf-8"?>
<ds:datastoreItem xmlns:ds="http://schemas.openxmlformats.org/officeDocument/2006/customXml" ds:itemID="{FAF6D7FC-73A6-45EB-946A-E435D2692FD7}"/>
</file>

<file path=docProps/app.xml><?xml version="1.0" encoding="utf-8"?>
<Properties xmlns="http://schemas.openxmlformats.org/officeDocument/2006/extended-properties" xmlns:vt="http://schemas.openxmlformats.org/officeDocument/2006/docPropsVTypes">
  <Template>Normal.dotm</Template>
  <TotalTime>16</TotalTime>
  <Pages>18</Pages>
  <Words>6012</Words>
  <Characters>34271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1_ Plan de Monitoreo y Evaluación _ POD</dc:title>
  <dc:creator>shakirahc</dc:creator>
  <cp:lastModifiedBy>Inter-American Development Bank</cp:lastModifiedBy>
  <cp:revision>5</cp:revision>
  <cp:lastPrinted>2011-06-08T16:36:00Z</cp:lastPrinted>
  <dcterms:created xsi:type="dcterms:W3CDTF">2013-04-23T21:26:00Z</dcterms:created>
  <dcterms:modified xsi:type="dcterms:W3CDTF">2013-04-24T19:47:00Z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0x010100ACF722E9F6B0B149B0CD8BE2560A667200A5F52CA6511E8F4FBD2B9D10187177C8</vt:lpwstr>
  </property>
  <property fmtid="{D5CDD505-2E9C-101B-9397-08002B2CF9AE}" pid="9" name="TaxKeywordTaxHTField">
    <vt:lpwstr/>
  </property>
  <property fmtid="{D5CDD505-2E9C-101B-9397-08002B2CF9AE}" pid="10" name="Series Operations IDB">
    <vt:lpwstr>28;#Loan Proposal|6ee86b6f-6e46-485b-8bfb-87a1f44622ac</vt:lpwstr>
  </property>
  <property fmtid="{D5CDD505-2E9C-101B-9397-08002B2CF9AE}" pid="11" name="Sub-Sector">
    <vt:lpwstr/>
  </property>
  <property fmtid="{D5CDD505-2E9C-101B-9397-08002B2CF9AE}" pid="12" name="Country">
    <vt:lpwstr>30;#Brazil|7deb27ec-6837-4974-9aa8-6cfbac841ef8</vt:lpwstr>
  </property>
  <property fmtid="{D5CDD505-2E9C-101B-9397-08002B2CF9AE}" pid="13" name="Fund IDB">
    <vt:lpwstr/>
  </property>
  <property fmtid="{D5CDD505-2E9C-101B-9397-08002B2CF9AE}" pid="14" name="Series_x0020_Operations_x0020_IDB">
    <vt:lpwstr>28;#Loan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1;#Project Preparation, Planning and Design|29ca0c72-1fc4-435f-a09c-28585cb5eac9</vt:lpwstr>
  </property>
  <property fmtid="{D5CDD505-2E9C-101B-9397-08002B2CF9AE}" pid="20" name="Disclosure Activity">
    <vt:lpwstr>Loan Proposal</vt:lpwstr>
  </property>
  <property fmtid="{D5CDD505-2E9C-101B-9397-08002B2CF9AE}" pid="24" name="Webtopic">
    <vt:lpwstr>Highways and Roads;Transportation</vt:lpwstr>
  </property>
  <property fmtid="{D5CDD505-2E9C-101B-9397-08002B2CF9AE}" pid="26" name="Disclosed">
    <vt:bool>true</vt:bool>
  </property>
  <property fmtid="{D5CDD505-2E9C-101B-9397-08002B2CF9AE}" pid="29" name="_dlc_DocIdItemGuid">
    <vt:lpwstr>c943fd54-d63b-4fc2-a9d1-68776cf36ca8</vt:lpwstr>
  </property>
</Properties>
</file>