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5447" w:rsidRPr="00593BD3" w:rsidRDefault="00335447" w:rsidP="00335447">
      <w:pPr>
        <w:spacing w:line="276" w:lineRule="auto"/>
        <w:jc w:val="center"/>
        <w:rPr>
          <w:rFonts w:ascii="Arial" w:hAnsi="Arial" w:cs="Arial"/>
          <w:b/>
          <w:sz w:val="20"/>
        </w:rPr>
      </w:pPr>
      <w:r w:rsidRPr="00593BD3">
        <w:rPr>
          <w:rFonts w:ascii="Arial" w:hAnsi="Arial" w:cs="Arial"/>
          <w:b/>
          <w:sz w:val="20"/>
        </w:rPr>
        <w:t>PROJECT FIDUCIARY AGREEMENTS AND REQUIREMENTS</w:t>
      </w:r>
    </w:p>
    <w:p w:rsidR="00335447" w:rsidRPr="00593BD3" w:rsidRDefault="00335447" w:rsidP="007B1D55">
      <w:pPr>
        <w:spacing w:line="276" w:lineRule="auto"/>
        <w:rPr>
          <w:rFonts w:ascii="Arial" w:hAnsi="Arial" w:cs="Arial"/>
          <w:b/>
          <w:sz w:val="20"/>
        </w:rPr>
      </w:pPr>
    </w:p>
    <w:p w:rsidR="006217C5" w:rsidRPr="00593BD3" w:rsidRDefault="00335447" w:rsidP="00335447">
      <w:pPr>
        <w:spacing w:line="276" w:lineRule="auto"/>
        <w:rPr>
          <w:rFonts w:ascii="Arial" w:hAnsi="Arial" w:cs="Arial"/>
          <w:sz w:val="20"/>
        </w:rPr>
      </w:pPr>
      <w:r w:rsidRPr="00593BD3">
        <w:rPr>
          <w:rFonts w:ascii="Arial" w:hAnsi="Arial" w:cs="Arial"/>
          <w:b/>
          <w:sz w:val="20"/>
        </w:rPr>
        <w:t>COUNTRY:</w:t>
      </w:r>
      <w:r w:rsidRPr="00593BD3">
        <w:rPr>
          <w:rFonts w:ascii="Arial" w:hAnsi="Arial" w:cs="Arial"/>
          <w:sz w:val="20"/>
        </w:rPr>
        <w:t xml:space="preserve"> Guyana</w:t>
      </w:r>
    </w:p>
    <w:p w:rsidR="006217C5" w:rsidRPr="00593BD3" w:rsidRDefault="00335447" w:rsidP="006217C5">
      <w:pPr>
        <w:spacing w:line="276" w:lineRule="auto"/>
        <w:rPr>
          <w:rFonts w:ascii="Arial" w:hAnsi="Arial" w:cs="Arial"/>
          <w:b/>
          <w:sz w:val="20"/>
        </w:rPr>
      </w:pPr>
      <w:r w:rsidRPr="00593BD3">
        <w:rPr>
          <w:rFonts w:ascii="Arial" w:hAnsi="Arial" w:cs="Arial"/>
          <w:b/>
          <w:sz w:val="20"/>
        </w:rPr>
        <w:t>PROJECT Nº</w:t>
      </w:r>
      <w:r w:rsidR="00473043">
        <w:rPr>
          <w:rFonts w:ascii="Arial" w:hAnsi="Arial" w:cs="Arial"/>
          <w:b/>
          <w:sz w:val="20"/>
        </w:rPr>
        <w:t>:</w:t>
      </w:r>
      <w:r w:rsidRPr="00593BD3">
        <w:rPr>
          <w:rFonts w:ascii="Arial" w:hAnsi="Arial" w:cs="Arial"/>
          <w:sz w:val="20"/>
        </w:rPr>
        <w:t xml:space="preserve"> GY-L10</w:t>
      </w:r>
      <w:r w:rsidR="00A62191" w:rsidRPr="00593BD3">
        <w:rPr>
          <w:rFonts w:ascii="Arial" w:hAnsi="Arial" w:cs="Arial"/>
          <w:sz w:val="20"/>
        </w:rPr>
        <w:t>5</w:t>
      </w:r>
      <w:r w:rsidR="003B7A68" w:rsidRPr="00593BD3">
        <w:rPr>
          <w:rFonts w:ascii="Arial" w:hAnsi="Arial" w:cs="Arial"/>
          <w:sz w:val="20"/>
        </w:rPr>
        <w:t>8</w:t>
      </w:r>
    </w:p>
    <w:p w:rsidR="006217C5" w:rsidRPr="00593BD3" w:rsidRDefault="00335447" w:rsidP="006217C5">
      <w:pPr>
        <w:spacing w:line="276" w:lineRule="auto"/>
        <w:rPr>
          <w:rFonts w:ascii="Arial" w:hAnsi="Arial" w:cs="Arial"/>
          <w:b/>
          <w:sz w:val="20"/>
        </w:rPr>
      </w:pPr>
      <w:r w:rsidRPr="00593BD3">
        <w:rPr>
          <w:rFonts w:ascii="Arial" w:hAnsi="Arial" w:cs="Arial"/>
          <w:b/>
          <w:sz w:val="20"/>
        </w:rPr>
        <w:t>NAME:</w:t>
      </w:r>
      <w:r w:rsidRPr="00593BD3">
        <w:rPr>
          <w:rFonts w:ascii="Arial" w:hAnsi="Arial" w:cs="Arial"/>
          <w:sz w:val="20"/>
        </w:rPr>
        <w:t xml:space="preserve"> </w:t>
      </w:r>
      <w:r w:rsidR="00A62191" w:rsidRPr="00593BD3">
        <w:rPr>
          <w:rFonts w:ascii="Arial" w:hAnsi="Arial" w:cs="Arial"/>
          <w:sz w:val="20"/>
        </w:rPr>
        <w:t>Support to Improve Maternal and Child Health</w:t>
      </w:r>
    </w:p>
    <w:p w:rsidR="00335447" w:rsidRPr="00593BD3" w:rsidRDefault="00335447" w:rsidP="006217C5">
      <w:pPr>
        <w:spacing w:line="276" w:lineRule="auto"/>
        <w:rPr>
          <w:rFonts w:ascii="Arial" w:hAnsi="Arial" w:cs="Arial"/>
          <w:smallCaps/>
          <w:sz w:val="20"/>
        </w:rPr>
      </w:pPr>
      <w:r w:rsidRPr="00593BD3">
        <w:rPr>
          <w:rFonts w:ascii="Arial" w:hAnsi="Arial" w:cs="Arial"/>
          <w:b/>
          <w:sz w:val="20"/>
        </w:rPr>
        <w:t>EXECUTING AGENC</w:t>
      </w:r>
      <w:r w:rsidR="004C4BF6" w:rsidRPr="00593BD3">
        <w:rPr>
          <w:rFonts w:ascii="Arial" w:hAnsi="Arial" w:cs="Arial"/>
          <w:b/>
          <w:sz w:val="20"/>
        </w:rPr>
        <w:t>Y</w:t>
      </w:r>
      <w:r w:rsidRPr="00554DE0">
        <w:rPr>
          <w:rFonts w:ascii="Arial" w:hAnsi="Arial" w:cs="Arial"/>
          <w:b/>
          <w:sz w:val="20"/>
        </w:rPr>
        <w:t>:</w:t>
      </w:r>
      <w:r w:rsidRPr="00593BD3">
        <w:rPr>
          <w:rFonts w:ascii="Arial" w:hAnsi="Arial" w:cs="Arial"/>
          <w:sz w:val="20"/>
        </w:rPr>
        <w:t xml:space="preserve"> </w:t>
      </w:r>
      <w:r w:rsidR="003B7A68" w:rsidRPr="00593BD3">
        <w:rPr>
          <w:rFonts w:ascii="Arial" w:hAnsi="Arial" w:cs="Arial"/>
          <w:smallCaps/>
          <w:sz w:val="20"/>
        </w:rPr>
        <w:t xml:space="preserve">Ministry of </w:t>
      </w:r>
      <w:r w:rsidR="009F4FF3">
        <w:rPr>
          <w:rFonts w:ascii="Arial" w:hAnsi="Arial" w:cs="Arial"/>
          <w:smallCaps/>
          <w:sz w:val="20"/>
        </w:rPr>
        <w:t xml:space="preserve">Public </w:t>
      </w:r>
      <w:r w:rsidR="00A62191" w:rsidRPr="00593BD3">
        <w:rPr>
          <w:rFonts w:ascii="Arial" w:hAnsi="Arial" w:cs="Arial"/>
          <w:smallCaps/>
          <w:sz w:val="20"/>
        </w:rPr>
        <w:t>Health</w:t>
      </w:r>
    </w:p>
    <w:p w:rsidR="00C1078C" w:rsidRPr="00593BD3" w:rsidRDefault="00C1078C" w:rsidP="006217C5">
      <w:pPr>
        <w:spacing w:line="276" w:lineRule="auto"/>
        <w:rPr>
          <w:rFonts w:ascii="Arial" w:hAnsi="Arial" w:cs="Arial"/>
          <w:b/>
          <w:sz w:val="20"/>
        </w:rPr>
      </w:pPr>
    </w:p>
    <w:p w:rsidR="00E558D0" w:rsidRPr="00593BD3" w:rsidRDefault="00335447" w:rsidP="00593BD3">
      <w:pPr>
        <w:numPr>
          <w:ilvl w:val="0"/>
          <w:numId w:val="1"/>
        </w:numPr>
        <w:tabs>
          <w:tab w:val="left" w:pos="720"/>
        </w:tabs>
        <w:suppressAutoHyphens w:val="0"/>
        <w:autoSpaceDE w:val="0"/>
        <w:adjustRightInd w:val="0"/>
        <w:spacing w:before="120"/>
        <w:ind w:left="720" w:hanging="720"/>
        <w:textAlignment w:val="auto"/>
        <w:rPr>
          <w:rFonts w:ascii="Arial" w:hAnsi="Arial" w:cs="Arial"/>
          <w:b/>
          <w:sz w:val="20"/>
        </w:rPr>
      </w:pPr>
      <w:r w:rsidRPr="00593BD3">
        <w:rPr>
          <w:rFonts w:ascii="Arial" w:hAnsi="Arial" w:cs="Arial"/>
          <w:b/>
          <w:sz w:val="20"/>
        </w:rPr>
        <w:t>EXECUTIVE SUMMARY</w:t>
      </w:r>
    </w:p>
    <w:p w:rsidR="003473BE" w:rsidRPr="006B77BE" w:rsidRDefault="00CB1DB8" w:rsidP="00D33E08">
      <w:pPr>
        <w:pStyle w:val="ListParagraph"/>
        <w:numPr>
          <w:ilvl w:val="1"/>
          <w:numId w:val="26"/>
        </w:numPr>
        <w:tabs>
          <w:tab w:val="left" w:pos="720"/>
        </w:tabs>
        <w:suppressAutoHyphens w:val="0"/>
        <w:autoSpaceDE w:val="0"/>
        <w:adjustRightInd w:val="0"/>
        <w:spacing w:before="120" w:after="120"/>
        <w:ind w:left="540" w:hanging="540"/>
        <w:jc w:val="both"/>
        <w:textAlignment w:val="auto"/>
        <w:rPr>
          <w:rFonts w:ascii="Arial" w:hAnsi="Arial" w:cs="Arial"/>
          <w:sz w:val="20"/>
        </w:rPr>
      </w:pPr>
      <w:r>
        <w:rPr>
          <w:rFonts w:ascii="Arial" w:hAnsi="Arial" w:cs="Arial"/>
          <w:sz w:val="20"/>
        </w:rPr>
        <w:t>The general objective of the p</w:t>
      </w:r>
      <w:r w:rsidR="00335447" w:rsidRPr="00593BD3">
        <w:rPr>
          <w:rFonts w:ascii="Arial" w:hAnsi="Arial" w:cs="Arial"/>
          <w:sz w:val="20"/>
        </w:rPr>
        <w:t xml:space="preserve">rogram is to </w:t>
      </w:r>
      <w:r w:rsidR="00A62191" w:rsidRPr="00593BD3">
        <w:rPr>
          <w:rFonts w:ascii="Arial" w:hAnsi="Arial" w:cs="Arial"/>
          <w:sz w:val="20"/>
        </w:rPr>
        <w:t xml:space="preserve">contribute to the reduction of maternal, perinatal </w:t>
      </w:r>
      <w:r w:rsidR="00295FEB" w:rsidRPr="00593BD3">
        <w:rPr>
          <w:rFonts w:ascii="Arial" w:hAnsi="Arial" w:cs="Arial"/>
          <w:sz w:val="20"/>
        </w:rPr>
        <w:t xml:space="preserve">and neonatal deaths in Guyana. </w:t>
      </w:r>
      <w:r w:rsidR="006C7604" w:rsidRPr="00593BD3">
        <w:rPr>
          <w:rFonts w:ascii="Arial" w:hAnsi="Arial" w:cs="Arial"/>
          <w:sz w:val="20"/>
        </w:rPr>
        <w:t>The total estimated budget is US$</w:t>
      </w:r>
      <w:r w:rsidR="001B6D59" w:rsidRPr="00593BD3">
        <w:rPr>
          <w:rFonts w:ascii="Arial" w:hAnsi="Arial" w:cs="Arial"/>
          <w:sz w:val="20"/>
        </w:rPr>
        <w:t>8</w:t>
      </w:r>
      <w:r w:rsidR="003B7A68" w:rsidRPr="00593BD3">
        <w:rPr>
          <w:rFonts w:ascii="Arial" w:hAnsi="Arial" w:cs="Arial"/>
          <w:sz w:val="20"/>
        </w:rPr>
        <w:t>,</w:t>
      </w:r>
      <w:r w:rsidR="00A62191" w:rsidRPr="00593BD3">
        <w:rPr>
          <w:rFonts w:ascii="Arial" w:hAnsi="Arial" w:cs="Arial"/>
          <w:sz w:val="20"/>
        </w:rPr>
        <w:t>0</w:t>
      </w:r>
      <w:r w:rsidR="003B7A68" w:rsidRPr="00593BD3">
        <w:rPr>
          <w:rFonts w:ascii="Arial" w:hAnsi="Arial" w:cs="Arial"/>
          <w:sz w:val="20"/>
        </w:rPr>
        <w:t xml:space="preserve">00,000, </w:t>
      </w:r>
      <w:r w:rsidR="003B7A68" w:rsidRPr="009420A7">
        <w:rPr>
          <w:rFonts w:ascii="Arial" w:hAnsi="Arial" w:cs="Arial"/>
          <w:sz w:val="20"/>
        </w:rPr>
        <w:t xml:space="preserve">all of which will be financed </w:t>
      </w:r>
      <w:r w:rsidR="005B1847" w:rsidRPr="009420A7">
        <w:rPr>
          <w:rFonts w:ascii="Arial" w:hAnsi="Arial" w:cs="Arial"/>
          <w:sz w:val="20"/>
        </w:rPr>
        <w:t xml:space="preserve">of </w:t>
      </w:r>
      <w:r w:rsidR="003B7A68" w:rsidRPr="009420A7">
        <w:rPr>
          <w:rFonts w:ascii="Arial" w:hAnsi="Arial" w:cs="Arial"/>
          <w:sz w:val="20"/>
        </w:rPr>
        <w:t>the IDB</w:t>
      </w:r>
      <w:r w:rsidR="006C7604" w:rsidRPr="009420A7">
        <w:rPr>
          <w:rFonts w:ascii="Arial" w:hAnsi="Arial" w:cs="Arial"/>
          <w:sz w:val="20"/>
        </w:rPr>
        <w:t xml:space="preserve"> from the OC</w:t>
      </w:r>
      <w:r w:rsidR="003B7A68" w:rsidRPr="009420A7">
        <w:rPr>
          <w:rFonts w:ascii="Arial" w:hAnsi="Arial" w:cs="Arial"/>
          <w:sz w:val="20"/>
        </w:rPr>
        <w:t>/FSO</w:t>
      </w:r>
      <w:r w:rsidR="006C7604" w:rsidRPr="009420A7">
        <w:rPr>
          <w:rFonts w:ascii="Arial" w:hAnsi="Arial" w:cs="Arial"/>
          <w:sz w:val="20"/>
        </w:rPr>
        <w:t xml:space="preserve"> resources</w:t>
      </w:r>
      <w:r w:rsidR="005B1847" w:rsidRPr="006B77BE">
        <w:rPr>
          <w:rFonts w:ascii="Arial" w:hAnsi="Arial" w:cs="Arial"/>
          <w:sz w:val="20"/>
        </w:rPr>
        <w:t>.</w:t>
      </w:r>
    </w:p>
    <w:p w:rsidR="003473BE" w:rsidRPr="00593BD3" w:rsidRDefault="003473BE" w:rsidP="003473BE">
      <w:pPr>
        <w:pStyle w:val="ListParagraph"/>
        <w:tabs>
          <w:tab w:val="left" w:pos="720"/>
        </w:tabs>
        <w:suppressAutoHyphens w:val="0"/>
        <w:autoSpaceDE w:val="0"/>
        <w:adjustRightInd w:val="0"/>
        <w:spacing w:before="120" w:after="120"/>
        <w:ind w:left="360"/>
        <w:jc w:val="both"/>
        <w:textAlignment w:val="auto"/>
        <w:rPr>
          <w:rFonts w:ascii="Arial" w:hAnsi="Arial" w:cs="Arial"/>
          <w:sz w:val="20"/>
        </w:rPr>
      </w:pPr>
    </w:p>
    <w:p w:rsidR="003473BE" w:rsidRPr="00593BD3" w:rsidRDefault="00B175FA" w:rsidP="00D33E08">
      <w:pPr>
        <w:pStyle w:val="ListParagraph"/>
        <w:numPr>
          <w:ilvl w:val="1"/>
          <w:numId w:val="26"/>
        </w:numPr>
        <w:tabs>
          <w:tab w:val="left" w:pos="720"/>
        </w:tabs>
        <w:suppressAutoHyphens w:val="0"/>
        <w:autoSpaceDE w:val="0"/>
        <w:adjustRightInd w:val="0"/>
        <w:spacing w:before="120" w:after="120"/>
        <w:ind w:left="540" w:hanging="540"/>
        <w:jc w:val="both"/>
        <w:textAlignment w:val="auto"/>
        <w:rPr>
          <w:rFonts w:ascii="Arial" w:hAnsi="Arial" w:cs="Arial"/>
          <w:sz w:val="20"/>
        </w:rPr>
      </w:pPr>
      <w:r>
        <w:rPr>
          <w:rFonts w:ascii="Arial" w:hAnsi="Arial" w:cs="Arial"/>
          <w:sz w:val="20"/>
        </w:rPr>
        <w:t>The Executing A</w:t>
      </w:r>
      <w:r w:rsidR="00335447" w:rsidRPr="00593BD3">
        <w:rPr>
          <w:rFonts w:ascii="Arial" w:hAnsi="Arial" w:cs="Arial"/>
          <w:sz w:val="20"/>
        </w:rPr>
        <w:t>gency</w:t>
      </w:r>
      <w:r>
        <w:rPr>
          <w:rFonts w:ascii="Arial" w:hAnsi="Arial" w:cs="Arial"/>
          <w:sz w:val="20"/>
        </w:rPr>
        <w:t xml:space="preserve"> (EA)</w:t>
      </w:r>
      <w:r w:rsidR="00270380" w:rsidRPr="00593BD3">
        <w:rPr>
          <w:rFonts w:ascii="Arial" w:hAnsi="Arial" w:cs="Arial"/>
          <w:sz w:val="20"/>
        </w:rPr>
        <w:t xml:space="preserve"> </w:t>
      </w:r>
      <w:r w:rsidR="00335447" w:rsidRPr="00593BD3">
        <w:rPr>
          <w:rFonts w:ascii="Arial" w:hAnsi="Arial" w:cs="Arial"/>
          <w:sz w:val="20"/>
        </w:rPr>
        <w:t xml:space="preserve">is </w:t>
      </w:r>
      <w:r w:rsidR="00F21821" w:rsidRPr="00593BD3">
        <w:rPr>
          <w:rFonts w:ascii="Arial" w:hAnsi="Arial" w:cs="Arial"/>
          <w:sz w:val="20"/>
        </w:rPr>
        <w:t xml:space="preserve">the </w:t>
      </w:r>
      <w:r w:rsidR="00A62191" w:rsidRPr="00593BD3">
        <w:rPr>
          <w:rFonts w:ascii="Arial" w:hAnsi="Arial" w:cs="Arial"/>
          <w:sz w:val="20"/>
        </w:rPr>
        <w:t xml:space="preserve">Ministry of </w:t>
      </w:r>
      <w:r w:rsidR="00FE7033" w:rsidRPr="00593BD3">
        <w:rPr>
          <w:rFonts w:ascii="Arial" w:hAnsi="Arial" w:cs="Arial"/>
          <w:sz w:val="20"/>
        </w:rPr>
        <w:t xml:space="preserve">Public </w:t>
      </w:r>
      <w:r w:rsidR="00A62191" w:rsidRPr="00593BD3">
        <w:rPr>
          <w:rFonts w:ascii="Arial" w:hAnsi="Arial" w:cs="Arial"/>
          <w:sz w:val="20"/>
        </w:rPr>
        <w:t>Health</w:t>
      </w:r>
      <w:r w:rsidR="00F21821" w:rsidRPr="00593BD3">
        <w:rPr>
          <w:rFonts w:ascii="Arial" w:hAnsi="Arial" w:cs="Arial"/>
          <w:sz w:val="20"/>
        </w:rPr>
        <w:t xml:space="preserve"> (</w:t>
      </w:r>
      <w:r w:rsidR="006217C5" w:rsidRPr="00593BD3">
        <w:rPr>
          <w:rFonts w:ascii="Arial" w:hAnsi="Arial" w:cs="Arial"/>
          <w:sz w:val="20"/>
        </w:rPr>
        <w:t xml:space="preserve">hereafter </w:t>
      </w:r>
      <w:r w:rsidR="00A62191" w:rsidRPr="00593BD3">
        <w:rPr>
          <w:rFonts w:ascii="Arial" w:hAnsi="Arial" w:cs="Arial"/>
          <w:sz w:val="20"/>
        </w:rPr>
        <w:t>Mo</w:t>
      </w:r>
      <w:r w:rsidR="00FE7033" w:rsidRPr="00593BD3">
        <w:rPr>
          <w:rFonts w:ascii="Arial" w:hAnsi="Arial" w:cs="Arial"/>
          <w:sz w:val="20"/>
        </w:rPr>
        <w:t>P</w:t>
      </w:r>
      <w:r w:rsidR="00A62191" w:rsidRPr="00593BD3">
        <w:rPr>
          <w:rFonts w:ascii="Arial" w:hAnsi="Arial" w:cs="Arial"/>
          <w:sz w:val="20"/>
        </w:rPr>
        <w:t>H)</w:t>
      </w:r>
      <w:r w:rsidR="005C241E" w:rsidRPr="00593BD3">
        <w:rPr>
          <w:rFonts w:ascii="Arial" w:hAnsi="Arial" w:cs="Arial"/>
          <w:sz w:val="20"/>
        </w:rPr>
        <w:t>.</w:t>
      </w:r>
      <w:r w:rsidR="00A62191" w:rsidRPr="00593BD3">
        <w:rPr>
          <w:rFonts w:ascii="Arial" w:hAnsi="Arial" w:cs="Arial"/>
          <w:sz w:val="20"/>
        </w:rPr>
        <w:t xml:space="preserve"> Mo</w:t>
      </w:r>
      <w:r w:rsidR="00FE7033" w:rsidRPr="00593BD3">
        <w:rPr>
          <w:rFonts w:ascii="Arial" w:hAnsi="Arial" w:cs="Arial"/>
          <w:sz w:val="20"/>
        </w:rPr>
        <w:t>P</w:t>
      </w:r>
      <w:r w:rsidR="00A62191" w:rsidRPr="00593BD3">
        <w:rPr>
          <w:rFonts w:ascii="Arial" w:hAnsi="Arial" w:cs="Arial"/>
          <w:sz w:val="20"/>
        </w:rPr>
        <w:t xml:space="preserve">H </w:t>
      </w:r>
      <w:r w:rsidR="00DD312D" w:rsidRPr="00593BD3">
        <w:rPr>
          <w:rFonts w:ascii="Arial" w:hAnsi="Arial" w:cs="Arial"/>
          <w:sz w:val="20"/>
        </w:rPr>
        <w:t xml:space="preserve">executed </w:t>
      </w:r>
      <w:r w:rsidR="006E1AE9" w:rsidRPr="00593BD3">
        <w:rPr>
          <w:rFonts w:ascii="Arial" w:hAnsi="Arial" w:cs="Arial"/>
          <w:sz w:val="20"/>
        </w:rPr>
        <w:t>three</w:t>
      </w:r>
      <w:r w:rsidR="00DD312D" w:rsidRPr="00593BD3">
        <w:rPr>
          <w:rFonts w:ascii="Arial" w:hAnsi="Arial" w:cs="Arial"/>
          <w:sz w:val="20"/>
        </w:rPr>
        <w:t xml:space="preserve"> Bank financed Loan</w:t>
      </w:r>
      <w:r w:rsidR="00A550F9" w:rsidRPr="00593BD3">
        <w:rPr>
          <w:rFonts w:ascii="Arial" w:hAnsi="Arial" w:cs="Arial"/>
          <w:sz w:val="20"/>
        </w:rPr>
        <w:t xml:space="preserve"> –</w:t>
      </w:r>
      <w:r w:rsidR="005C241E" w:rsidRPr="00593BD3">
        <w:rPr>
          <w:rFonts w:ascii="Arial" w:hAnsi="Arial" w:cs="Arial"/>
          <w:sz w:val="20"/>
        </w:rPr>
        <w:t xml:space="preserve"> </w:t>
      </w:r>
      <w:r w:rsidR="00A550F9" w:rsidRPr="00593BD3">
        <w:rPr>
          <w:rFonts w:ascii="Arial" w:hAnsi="Arial" w:cs="Arial"/>
          <w:i/>
          <w:sz w:val="20"/>
        </w:rPr>
        <w:t xml:space="preserve">Health </w:t>
      </w:r>
      <w:r w:rsidR="002F3A89" w:rsidRPr="00593BD3">
        <w:rPr>
          <w:rFonts w:ascii="Arial" w:hAnsi="Arial" w:cs="Arial"/>
          <w:i/>
          <w:sz w:val="20"/>
        </w:rPr>
        <w:t>Sector</w:t>
      </w:r>
      <w:r w:rsidR="00A550F9" w:rsidRPr="00593BD3">
        <w:rPr>
          <w:rFonts w:ascii="Arial" w:hAnsi="Arial" w:cs="Arial"/>
          <w:i/>
          <w:sz w:val="20"/>
        </w:rPr>
        <w:t xml:space="preserve"> Program</w:t>
      </w:r>
      <w:r w:rsidR="00A550F9" w:rsidRPr="00593BD3">
        <w:rPr>
          <w:rFonts w:ascii="Arial" w:hAnsi="Arial" w:cs="Arial"/>
          <w:sz w:val="20"/>
        </w:rPr>
        <w:t xml:space="preserve"> </w:t>
      </w:r>
      <w:r w:rsidR="005C241E" w:rsidRPr="00593BD3">
        <w:rPr>
          <w:rFonts w:ascii="Arial" w:hAnsi="Arial" w:cs="Arial"/>
          <w:sz w:val="20"/>
        </w:rPr>
        <w:t>1548/SF-GY,</w:t>
      </w:r>
      <w:r w:rsidR="00A550F9" w:rsidRPr="00593BD3">
        <w:rPr>
          <w:rFonts w:ascii="Arial" w:hAnsi="Arial" w:cs="Arial"/>
          <w:sz w:val="20"/>
        </w:rPr>
        <w:t xml:space="preserve"> </w:t>
      </w:r>
      <w:r w:rsidR="00A550F9" w:rsidRPr="00593BD3">
        <w:rPr>
          <w:rFonts w:ascii="Arial" w:hAnsi="Arial" w:cs="Arial"/>
          <w:i/>
          <w:sz w:val="20"/>
        </w:rPr>
        <w:t>Basic Nutrition Program</w:t>
      </w:r>
      <w:r w:rsidR="00A550F9" w:rsidRPr="00593BD3">
        <w:rPr>
          <w:rFonts w:ascii="Arial" w:hAnsi="Arial" w:cs="Arial"/>
          <w:sz w:val="20"/>
        </w:rPr>
        <w:t xml:space="preserve"> </w:t>
      </w:r>
      <w:r w:rsidR="00DF39F2" w:rsidRPr="00593BD3">
        <w:rPr>
          <w:rFonts w:ascii="Arial" w:hAnsi="Arial" w:cs="Arial"/>
          <w:sz w:val="20"/>
        </w:rPr>
        <w:t>1120/SF-GY</w:t>
      </w:r>
      <w:r w:rsidR="00A550F9" w:rsidRPr="00593BD3">
        <w:rPr>
          <w:rFonts w:ascii="Arial" w:hAnsi="Arial" w:cs="Arial"/>
          <w:sz w:val="20"/>
        </w:rPr>
        <w:t xml:space="preserve"> and the </w:t>
      </w:r>
      <w:r w:rsidR="00A550F9" w:rsidRPr="00593BD3">
        <w:rPr>
          <w:rFonts w:ascii="Arial" w:hAnsi="Arial" w:cs="Arial"/>
          <w:i/>
          <w:sz w:val="20"/>
        </w:rPr>
        <w:t>Expansion and Integration of Basic Nutrition</w:t>
      </w:r>
      <w:r w:rsidR="00A550F9" w:rsidRPr="00593BD3">
        <w:rPr>
          <w:rFonts w:ascii="Arial" w:hAnsi="Arial" w:cs="Arial"/>
          <w:sz w:val="20"/>
        </w:rPr>
        <w:t xml:space="preserve"> </w:t>
      </w:r>
      <w:r w:rsidR="006D05AD" w:rsidRPr="00593BD3">
        <w:rPr>
          <w:rFonts w:ascii="Arial" w:hAnsi="Arial" w:cs="Arial"/>
          <w:sz w:val="20"/>
        </w:rPr>
        <w:t>2270/BL-GY which was re</w:t>
      </w:r>
      <w:r w:rsidR="00295FEB" w:rsidRPr="00593BD3">
        <w:rPr>
          <w:rFonts w:ascii="Arial" w:hAnsi="Arial" w:cs="Arial"/>
          <w:sz w:val="20"/>
        </w:rPr>
        <w:t>formulated in December of 2015.</w:t>
      </w:r>
      <w:r w:rsidR="00DD312D" w:rsidRPr="00593BD3">
        <w:rPr>
          <w:rFonts w:ascii="Arial" w:hAnsi="Arial" w:cs="Arial"/>
          <w:sz w:val="20"/>
        </w:rPr>
        <w:t xml:space="preserve"> The fiduciary aspects of the execution mechanism for the present Loan are analyzed accordingly.</w:t>
      </w:r>
    </w:p>
    <w:p w:rsidR="003473BE" w:rsidRPr="00593BD3" w:rsidRDefault="003473BE" w:rsidP="003473BE">
      <w:pPr>
        <w:pStyle w:val="ListParagraph"/>
        <w:rPr>
          <w:rFonts w:ascii="Arial" w:hAnsi="Arial" w:cs="Arial"/>
          <w:sz w:val="20"/>
        </w:rPr>
      </w:pPr>
    </w:p>
    <w:p w:rsidR="003473BE" w:rsidRPr="00593BD3" w:rsidRDefault="00DD312D" w:rsidP="00D33E08">
      <w:pPr>
        <w:pStyle w:val="ListParagraph"/>
        <w:numPr>
          <w:ilvl w:val="1"/>
          <w:numId w:val="26"/>
        </w:numPr>
        <w:tabs>
          <w:tab w:val="left" w:pos="720"/>
        </w:tabs>
        <w:suppressAutoHyphens w:val="0"/>
        <w:autoSpaceDE w:val="0"/>
        <w:adjustRightInd w:val="0"/>
        <w:spacing w:before="120" w:after="120"/>
        <w:ind w:left="540" w:hanging="540"/>
        <w:jc w:val="both"/>
        <w:textAlignment w:val="auto"/>
        <w:rPr>
          <w:rFonts w:ascii="Arial" w:hAnsi="Arial" w:cs="Arial"/>
          <w:sz w:val="20"/>
        </w:rPr>
      </w:pPr>
      <w:r w:rsidRPr="00593BD3">
        <w:rPr>
          <w:rFonts w:ascii="Arial" w:hAnsi="Arial" w:cs="Arial"/>
          <w:sz w:val="20"/>
        </w:rPr>
        <w:t>A</w:t>
      </w:r>
      <w:r w:rsidR="005C241E" w:rsidRPr="00593BD3">
        <w:rPr>
          <w:rFonts w:ascii="Arial" w:hAnsi="Arial" w:cs="Arial"/>
          <w:sz w:val="20"/>
        </w:rPr>
        <w:t xml:space="preserve">n </w:t>
      </w:r>
      <w:r w:rsidR="00197F7E" w:rsidRPr="00593BD3">
        <w:rPr>
          <w:rFonts w:ascii="Arial" w:hAnsi="Arial" w:cs="Arial"/>
          <w:sz w:val="20"/>
        </w:rPr>
        <w:t>institutional</w:t>
      </w:r>
      <w:r w:rsidR="005C241E" w:rsidRPr="00593BD3">
        <w:rPr>
          <w:rFonts w:ascii="Arial" w:hAnsi="Arial" w:cs="Arial"/>
          <w:sz w:val="20"/>
        </w:rPr>
        <w:t xml:space="preserve"> </w:t>
      </w:r>
      <w:r w:rsidRPr="00593BD3">
        <w:rPr>
          <w:rFonts w:ascii="Arial" w:hAnsi="Arial" w:cs="Arial"/>
          <w:sz w:val="20"/>
        </w:rPr>
        <w:t xml:space="preserve">capacity assessment </w:t>
      </w:r>
      <w:r w:rsidR="005C241E" w:rsidRPr="00593BD3">
        <w:rPr>
          <w:rFonts w:ascii="Arial" w:hAnsi="Arial" w:cs="Arial"/>
          <w:sz w:val="20"/>
        </w:rPr>
        <w:t>of Mo</w:t>
      </w:r>
      <w:r w:rsidR="009F4FF3">
        <w:rPr>
          <w:rFonts w:ascii="Arial" w:hAnsi="Arial" w:cs="Arial"/>
          <w:sz w:val="20"/>
        </w:rPr>
        <w:t>P</w:t>
      </w:r>
      <w:r w:rsidR="005C241E" w:rsidRPr="00593BD3">
        <w:rPr>
          <w:rFonts w:ascii="Arial" w:hAnsi="Arial" w:cs="Arial"/>
          <w:sz w:val="20"/>
        </w:rPr>
        <w:t>H</w:t>
      </w:r>
      <w:r w:rsidRPr="00593BD3">
        <w:rPr>
          <w:rFonts w:ascii="Arial" w:hAnsi="Arial" w:cs="Arial"/>
          <w:sz w:val="20"/>
        </w:rPr>
        <w:t xml:space="preserve"> was conducted</w:t>
      </w:r>
      <w:r w:rsidR="007162D1" w:rsidRPr="00593BD3">
        <w:rPr>
          <w:rFonts w:ascii="Arial" w:hAnsi="Arial" w:cs="Arial"/>
          <w:sz w:val="20"/>
        </w:rPr>
        <w:t xml:space="preserve"> in June 2016</w:t>
      </w:r>
      <w:r w:rsidR="005C241E" w:rsidRPr="00593BD3">
        <w:rPr>
          <w:rFonts w:ascii="Arial" w:hAnsi="Arial" w:cs="Arial"/>
          <w:sz w:val="20"/>
        </w:rPr>
        <w:t xml:space="preserve"> using the Institutional Capacity Assessment System (ICAS) methodology</w:t>
      </w:r>
      <w:r w:rsidRPr="00593BD3">
        <w:rPr>
          <w:rFonts w:ascii="Arial" w:hAnsi="Arial" w:cs="Arial"/>
          <w:sz w:val="20"/>
        </w:rPr>
        <w:t xml:space="preserve">. </w:t>
      </w:r>
      <w:r w:rsidR="009F7563" w:rsidRPr="00593BD3">
        <w:rPr>
          <w:rFonts w:ascii="Arial" w:hAnsi="Arial" w:cs="Arial"/>
          <w:sz w:val="20"/>
        </w:rPr>
        <w:t xml:space="preserve">The </w:t>
      </w:r>
      <w:r w:rsidR="005C241E" w:rsidRPr="00593BD3">
        <w:rPr>
          <w:rFonts w:ascii="Arial" w:hAnsi="Arial" w:cs="Arial"/>
          <w:sz w:val="20"/>
        </w:rPr>
        <w:t xml:space="preserve">ICAS </w:t>
      </w:r>
      <w:r w:rsidR="009F7563" w:rsidRPr="00593BD3">
        <w:rPr>
          <w:rFonts w:ascii="Arial" w:hAnsi="Arial" w:cs="Arial"/>
          <w:sz w:val="20"/>
        </w:rPr>
        <w:t>assessment concluded</w:t>
      </w:r>
      <w:r w:rsidR="006217C5" w:rsidRPr="00593BD3">
        <w:rPr>
          <w:rFonts w:ascii="Arial" w:hAnsi="Arial" w:cs="Arial"/>
          <w:sz w:val="20"/>
        </w:rPr>
        <w:t xml:space="preserve"> </w:t>
      </w:r>
      <w:r w:rsidRPr="00593BD3">
        <w:rPr>
          <w:rFonts w:ascii="Arial" w:hAnsi="Arial" w:cs="Arial"/>
          <w:sz w:val="20"/>
        </w:rPr>
        <w:t xml:space="preserve">that </w:t>
      </w:r>
      <w:r w:rsidR="006217C5" w:rsidRPr="00593BD3">
        <w:rPr>
          <w:rFonts w:ascii="Arial" w:hAnsi="Arial" w:cs="Arial"/>
          <w:sz w:val="20"/>
        </w:rPr>
        <w:t>the fiduciary risk</w:t>
      </w:r>
      <w:r w:rsidR="009F7563" w:rsidRPr="00593BD3">
        <w:rPr>
          <w:rFonts w:ascii="Arial" w:hAnsi="Arial" w:cs="Arial"/>
          <w:sz w:val="20"/>
        </w:rPr>
        <w:t xml:space="preserve"> </w:t>
      </w:r>
      <w:r w:rsidRPr="00593BD3">
        <w:rPr>
          <w:rFonts w:ascii="Arial" w:hAnsi="Arial" w:cs="Arial"/>
          <w:sz w:val="20"/>
        </w:rPr>
        <w:t>i</w:t>
      </w:r>
      <w:r w:rsidR="009F7563" w:rsidRPr="00593BD3">
        <w:rPr>
          <w:rFonts w:ascii="Arial" w:hAnsi="Arial" w:cs="Arial"/>
          <w:sz w:val="20"/>
        </w:rPr>
        <w:t>s</w:t>
      </w:r>
      <w:r w:rsidRPr="00593BD3">
        <w:rPr>
          <w:rFonts w:ascii="Arial" w:hAnsi="Arial" w:cs="Arial"/>
          <w:sz w:val="20"/>
        </w:rPr>
        <w:t xml:space="preserve"> considered as</w:t>
      </w:r>
      <w:r w:rsidR="009F7563" w:rsidRPr="00593BD3">
        <w:rPr>
          <w:rFonts w:ascii="Arial" w:hAnsi="Arial" w:cs="Arial"/>
          <w:sz w:val="20"/>
        </w:rPr>
        <w:t xml:space="preserve"> </w:t>
      </w:r>
      <w:r w:rsidR="006217C5" w:rsidRPr="00593BD3">
        <w:rPr>
          <w:rFonts w:ascii="Arial" w:hAnsi="Arial" w:cs="Arial"/>
          <w:sz w:val="20"/>
        </w:rPr>
        <w:t xml:space="preserve">medium. A </w:t>
      </w:r>
      <w:r w:rsidR="009F7563" w:rsidRPr="00593BD3">
        <w:rPr>
          <w:rFonts w:ascii="Arial" w:hAnsi="Arial" w:cs="Arial"/>
          <w:sz w:val="20"/>
        </w:rPr>
        <w:t>re-</w:t>
      </w:r>
      <w:r w:rsidR="00EB2774" w:rsidRPr="00593BD3">
        <w:rPr>
          <w:rFonts w:ascii="Arial" w:hAnsi="Arial" w:cs="Arial"/>
          <w:sz w:val="20"/>
        </w:rPr>
        <w:t>evaluation</w:t>
      </w:r>
      <w:r w:rsidR="009F7563" w:rsidRPr="00593BD3">
        <w:rPr>
          <w:rFonts w:ascii="Arial" w:hAnsi="Arial" w:cs="Arial"/>
          <w:sz w:val="20"/>
        </w:rPr>
        <w:t xml:space="preserve"> of the fiduciary risks will be conducted during execution as part of the </w:t>
      </w:r>
      <w:r w:rsidRPr="00593BD3">
        <w:rPr>
          <w:rFonts w:ascii="Arial" w:hAnsi="Arial" w:cs="Arial"/>
          <w:sz w:val="20"/>
        </w:rPr>
        <w:t xml:space="preserve">regular </w:t>
      </w:r>
      <w:r w:rsidR="009F7563" w:rsidRPr="00593BD3">
        <w:rPr>
          <w:rFonts w:ascii="Arial" w:hAnsi="Arial" w:cs="Arial"/>
          <w:sz w:val="20"/>
        </w:rPr>
        <w:t>fiduciary supervision</w:t>
      </w:r>
      <w:r w:rsidR="0096149B" w:rsidRPr="00593BD3">
        <w:rPr>
          <w:rFonts w:ascii="Arial" w:hAnsi="Arial" w:cs="Arial"/>
          <w:sz w:val="20"/>
        </w:rPr>
        <w:t xml:space="preserve"> to ensure efficient support to project execution.</w:t>
      </w:r>
    </w:p>
    <w:p w:rsidR="003473BE" w:rsidRPr="00593BD3" w:rsidRDefault="003473BE" w:rsidP="003473BE">
      <w:pPr>
        <w:pStyle w:val="ListParagraph"/>
        <w:rPr>
          <w:rFonts w:ascii="Arial" w:hAnsi="Arial" w:cs="Arial"/>
          <w:b/>
          <w:sz w:val="20"/>
        </w:rPr>
      </w:pPr>
    </w:p>
    <w:p w:rsidR="003473BE" w:rsidRPr="00593BD3" w:rsidRDefault="00D431A7" w:rsidP="00D33E08">
      <w:pPr>
        <w:pStyle w:val="ListParagraph"/>
        <w:numPr>
          <w:ilvl w:val="1"/>
          <w:numId w:val="26"/>
        </w:numPr>
        <w:tabs>
          <w:tab w:val="left" w:pos="720"/>
        </w:tabs>
        <w:suppressAutoHyphens w:val="0"/>
        <w:autoSpaceDE w:val="0"/>
        <w:adjustRightInd w:val="0"/>
        <w:spacing w:before="120" w:after="120"/>
        <w:ind w:left="540" w:hanging="540"/>
        <w:jc w:val="both"/>
        <w:textAlignment w:val="auto"/>
        <w:rPr>
          <w:rFonts w:ascii="Arial" w:hAnsi="Arial" w:cs="Arial"/>
          <w:sz w:val="20"/>
        </w:rPr>
      </w:pPr>
      <w:r w:rsidRPr="00593BD3">
        <w:rPr>
          <w:rFonts w:ascii="Arial" w:hAnsi="Arial" w:cs="Arial"/>
          <w:b/>
          <w:sz w:val="20"/>
        </w:rPr>
        <w:t xml:space="preserve">Fiduciary Context of the country. </w:t>
      </w:r>
      <w:r w:rsidRPr="00593BD3">
        <w:rPr>
          <w:rFonts w:ascii="Arial" w:hAnsi="Arial" w:cs="Arial"/>
          <w:sz w:val="20"/>
        </w:rPr>
        <w:t xml:space="preserve">An </w:t>
      </w:r>
      <w:r w:rsidR="00B9468C">
        <w:rPr>
          <w:rFonts w:ascii="Arial" w:hAnsi="Arial" w:cs="Arial"/>
          <w:sz w:val="20"/>
        </w:rPr>
        <w:t>Integrated Fiduciary Assessment</w:t>
      </w:r>
      <w:r w:rsidRPr="00593BD3">
        <w:rPr>
          <w:rFonts w:ascii="Arial" w:hAnsi="Arial" w:cs="Arial"/>
          <w:sz w:val="20"/>
        </w:rPr>
        <w:t xml:space="preserve"> (IFA) was conducted in 2012</w:t>
      </w:r>
      <w:r w:rsidR="00053A86" w:rsidRPr="00593BD3">
        <w:rPr>
          <w:rFonts w:ascii="Arial" w:hAnsi="Arial" w:cs="Arial"/>
          <w:sz w:val="20"/>
        </w:rPr>
        <w:t>/2013</w:t>
      </w:r>
      <w:r w:rsidR="00B9468C">
        <w:rPr>
          <w:rFonts w:ascii="Arial" w:hAnsi="Arial" w:cs="Arial"/>
          <w:sz w:val="20"/>
        </w:rPr>
        <w:t>. It</w:t>
      </w:r>
      <w:r w:rsidRPr="00593BD3">
        <w:rPr>
          <w:rFonts w:ascii="Arial" w:hAnsi="Arial" w:cs="Arial"/>
          <w:sz w:val="20"/>
        </w:rPr>
        <w:t xml:space="preserve"> provided an update to the 2007 combined </w:t>
      </w:r>
      <w:r w:rsidR="00CE0ACC" w:rsidRPr="00593BD3">
        <w:rPr>
          <w:rFonts w:ascii="Arial" w:hAnsi="Arial" w:cs="Arial"/>
          <w:sz w:val="20"/>
        </w:rPr>
        <w:t xml:space="preserve">Public Expenditure and Financial Assessment (PEFA) performance measurement framework </w:t>
      </w:r>
      <w:r w:rsidRPr="00593BD3">
        <w:rPr>
          <w:rFonts w:ascii="Arial" w:hAnsi="Arial" w:cs="Arial"/>
          <w:sz w:val="20"/>
        </w:rPr>
        <w:t>and OECD-DAC procurement assessment. The results of the 2012</w:t>
      </w:r>
      <w:r w:rsidR="00053A86" w:rsidRPr="00593BD3">
        <w:rPr>
          <w:rFonts w:ascii="Arial" w:hAnsi="Arial" w:cs="Arial"/>
          <w:sz w:val="20"/>
        </w:rPr>
        <w:t>/2013</w:t>
      </w:r>
      <w:r w:rsidRPr="00593BD3">
        <w:rPr>
          <w:rFonts w:ascii="Arial" w:hAnsi="Arial" w:cs="Arial"/>
          <w:sz w:val="20"/>
        </w:rPr>
        <w:t xml:space="preserve"> IFA</w:t>
      </w:r>
      <w:r w:rsidR="005B1847">
        <w:rPr>
          <w:rFonts w:ascii="Arial" w:hAnsi="Arial" w:cs="Arial"/>
          <w:sz w:val="20"/>
        </w:rPr>
        <w:t xml:space="preserve"> and the</w:t>
      </w:r>
      <w:r w:rsidRPr="00593BD3">
        <w:rPr>
          <w:rFonts w:ascii="Arial" w:hAnsi="Arial" w:cs="Arial"/>
          <w:sz w:val="20"/>
        </w:rPr>
        <w:t xml:space="preserve"> 2007 PEFA, concluded that Guyana’s overall budget planning, accounting and reporting systems worked well; IFMAS (</w:t>
      </w:r>
      <w:r w:rsidR="005B1847" w:rsidRPr="00593BD3">
        <w:rPr>
          <w:rFonts w:ascii="Arial" w:hAnsi="Arial" w:cs="Arial"/>
          <w:sz w:val="20"/>
        </w:rPr>
        <w:t>Integrated Financial Management Accounting System</w:t>
      </w:r>
      <w:r w:rsidR="005B1847">
        <w:rPr>
          <w:rFonts w:ascii="Arial" w:hAnsi="Arial" w:cs="Arial"/>
          <w:sz w:val="20"/>
        </w:rPr>
        <w:t>)</w:t>
      </w:r>
      <w:r w:rsidRPr="00593BD3">
        <w:rPr>
          <w:rFonts w:ascii="Arial" w:hAnsi="Arial" w:cs="Arial"/>
          <w:sz w:val="20"/>
        </w:rPr>
        <w:t xml:space="preserve">) operated consistently and reliably providing updated information about all elements of budget execution, and budget planning and reporting was being done in accordance with </w:t>
      </w:r>
      <w:r w:rsidR="00270380" w:rsidRPr="00593BD3">
        <w:rPr>
          <w:rFonts w:ascii="Arial" w:hAnsi="Arial" w:cs="Arial"/>
          <w:sz w:val="20"/>
        </w:rPr>
        <w:t xml:space="preserve">the </w:t>
      </w:r>
      <w:r w:rsidRPr="00593BD3">
        <w:rPr>
          <w:rFonts w:ascii="Arial" w:hAnsi="Arial" w:cs="Arial"/>
          <w:sz w:val="20"/>
        </w:rPr>
        <w:t xml:space="preserve">cash </w:t>
      </w:r>
      <w:r w:rsidR="00053A86" w:rsidRPr="00593BD3">
        <w:rPr>
          <w:rFonts w:ascii="Arial" w:hAnsi="Arial" w:cs="Arial"/>
          <w:sz w:val="20"/>
        </w:rPr>
        <w:t xml:space="preserve">basis of </w:t>
      </w:r>
      <w:r w:rsidRPr="00593BD3">
        <w:rPr>
          <w:rFonts w:ascii="Arial" w:hAnsi="Arial" w:cs="Arial"/>
          <w:sz w:val="20"/>
        </w:rPr>
        <w:t>accounting</w:t>
      </w:r>
      <w:r w:rsidR="00270380" w:rsidRPr="00593BD3">
        <w:rPr>
          <w:rFonts w:ascii="Arial" w:hAnsi="Arial" w:cs="Arial"/>
          <w:sz w:val="20"/>
        </w:rPr>
        <w:t xml:space="preserve"> and its</w:t>
      </w:r>
      <w:r w:rsidRPr="00593BD3">
        <w:rPr>
          <w:rFonts w:ascii="Arial" w:hAnsi="Arial" w:cs="Arial"/>
          <w:sz w:val="20"/>
        </w:rPr>
        <w:t xml:space="preserve"> standard</w:t>
      </w:r>
      <w:r w:rsidR="00053A86" w:rsidRPr="00593BD3">
        <w:rPr>
          <w:rFonts w:ascii="Arial" w:hAnsi="Arial" w:cs="Arial"/>
          <w:sz w:val="20"/>
        </w:rPr>
        <w:t>s</w:t>
      </w:r>
      <w:r w:rsidRPr="00593BD3">
        <w:rPr>
          <w:rFonts w:ascii="Arial" w:hAnsi="Arial" w:cs="Arial"/>
          <w:sz w:val="20"/>
        </w:rPr>
        <w:t>. The Public Financial Management (PFM) indicator scores from the 2012</w:t>
      </w:r>
      <w:r w:rsidR="00053A86" w:rsidRPr="00593BD3">
        <w:rPr>
          <w:rFonts w:ascii="Arial" w:hAnsi="Arial" w:cs="Arial"/>
          <w:sz w:val="20"/>
        </w:rPr>
        <w:t>/2013</w:t>
      </w:r>
      <w:r w:rsidRPr="00593BD3">
        <w:rPr>
          <w:rFonts w:ascii="Arial" w:hAnsi="Arial" w:cs="Arial"/>
          <w:sz w:val="20"/>
        </w:rPr>
        <w:t>, continued to show encouraging results with slight improvements in areas such as Strengthened External Audit Function, Budget Preparation Proces</w:t>
      </w:r>
      <w:r w:rsidR="00F74429">
        <w:rPr>
          <w:rFonts w:ascii="Arial" w:hAnsi="Arial" w:cs="Arial"/>
          <w:sz w:val="20"/>
        </w:rPr>
        <w:t xml:space="preserve">s, Revenue Administration etc. </w:t>
      </w:r>
      <w:r w:rsidRPr="00593BD3">
        <w:rPr>
          <w:rFonts w:ascii="Arial" w:hAnsi="Arial" w:cs="Arial"/>
          <w:sz w:val="20"/>
        </w:rPr>
        <w:t>Notwithstanding, the IFA highlighted that attention needed to be paid to the internal control environment, Internal Audit, Payroll Control and Pr</w:t>
      </w:r>
      <w:r w:rsidR="00F74429">
        <w:rPr>
          <w:rFonts w:ascii="Arial" w:hAnsi="Arial" w:cs="Arial"/>
          <w:sz w:val="20"/>
        </w:rPr>
        <w:t>ocurement Control among others.</w:t>
      </w:r>
      <w:r w:rsidRPr="00593BD3">
        <w:rPr>
          <w:rFonts w:ascii="Arial" w:hAnsi="Arial" w:cs="Arial"/>
          <w:sz w:val="20"/>
        </w:rPr>
        <w:t xml:space="preserve"> To date, </w:t>
      </w:r>
      <w:r w:rsidR="00FB5D45" w:rsidRPr="00593BD3">
        <w:rPr>
          <w:rFonts w:ascii="Arial" w:hAnsi="Arial" w:cs="Arial"/>
          <w:sz w:val="20"/>
        </w:rPr>
        <w:t>confirmations from the Borrower on the results of the 2012/2013 IFA as well as 2007 PEFA remain</w:t>
      </w:r>
      <w:r w:rsidRPr="00593BD3">
        <w:rPr>
          <w:rFonts w:ascii="Arial" w:hAnsi="Arial" w:cs="Arial"/>
          <w:sz w:val="20"/>
        </w:rPr>
        <w:t xml:space="preserve"> outstanding. The Bank’s Guide for the Use of Country Systems (GUS) Assessment was also conducted in </w:t>
      </w:r>
      <w:r w:rsidR="00053A86" w:rsidRPr="00593BD3">
        <w:rPr>
          <w:rFonts w:ascii="Arial" w:hAnsi="Arial" w:cs="Arial"/>
          <w:sz w:val="20"/>
        </w:rPr>
        <w:t>2013</w:t>
      </w:r>
      <w:r w:rsidRPr="00593BD3">
        <w:rPr>
          <w:rFonts w:ascii="Arial" w:hAnsi="Arial" w:cs="Arial"/>
          <w:sz w:val="20"/>
        </w:rPr>
        <w:t>;</w:t>
      </w:r>
      <w:r w:rsidR="005B1847">
        <w:rPr>
          <w:rFonts w:ascii="Arial" w:hAnsi="Arial" w:cs="Arial"/>
          <w:sz w:val="20"/>
        </w:rPr>
        <w:t xml:space="preserve"> it is also awaiting Government’s validation</w:t>
      </w:r>
      <w:r w:rsidRPr="00593BD3">
        <w:rPr>
          <w:rFonts w:ascii="Arial" w:hAnsi="Arial" w:cs="Arial"/>
          <w:sz w:val="20"/>
        </w:rPr>
        <w:t>. The Auditor General’s Office (</w:t>
      </w:r>
      <w:r w:rsidR="00FB5D45" w:rsidRPr="00593BD3">
        <w:rPr>
          <w:rFonts w:ascii="Arial" w:hAnsi="Arial" w:cs="Arial"/>
          <w:sz w:val="20"/>
        </w:rPr>
        <w:t>AOG</w:t>
      </w:r>
      <w:r w:rsidRPr="00593BD3">
        <w:rPr>
          <w:rFonts w:ascii="Arial" w:hAnsi="Arial" w:cs="Arial"/>
          <w:sz w:val="20"/>
        </w:rPr>
        <w:t>) is currently</w:t>
      </w:r>
      <w:r w:rsidR="00CD2167">
        <w:rPr>
          <w:rFonts w:ascii="Arial" w:hAnsi="Arial" w:cs="Arial"/>
          <w:sz w:val="20"/>
        </w:rPr>
        <w:t xml:space="preserve"> eligible to audit all Bank</w:t>
      </w:r>
      <w:r w:rsidR="00CD2167">
        <w:rPr>
          <w:rFonts w:ascii="Arial" w:hAnsi="Arial" w:cs="Arial"/>
          <w:sz w:val="20"/>
        </w:rPr>
        <w:noBreakHyphen/>
      </w:r>
      <w:r w:rsidRPr="00593BD3">
        <w:rPr>
          <w:rFonts w:ascii="Arial" w:hAnsi="Arial" w:cs="Arial"/>
          <w:sz w:val="20"/>
        </w:rPr>
        <w:t xml:space="preserve">financed TCs and loan operations deemed to be of low </w:t>
      </w:r>
      <w:r w:rsidR="00F74429">
        <w:rPr>
          <w:rFonts w:ascii="Arial" w:hAnsi="Arial" w:cs="Arial"/>
          <w:sz w:val="20"/>
        </w:rPr>
        <w:t xml:space="preserve">or medium complexity and risk. </w:t>
      </w:r>
      <w:r w:rsidRPr="00593BD3">
        <w:rPr>
          <w:rFonts w:ascii="Arial" w:hAnsi="Arial" w:cs="Arial"/>
          <w:sz w:val="20"/>
        </w:rPr>
        <w:t xml:space="preserve">This was based on an assessment of the capacity of the </w:t>
      </w:r>
      <w:r w:rsidR="00FB5D45" w:rsidRPr="00593BD3">
        <w:rPr>
          <w:rFonts w:ascii="Arial" w:hAnsi="Arial" w:cs="Arial"/>
          <w:sz w:val="20"/>
        </w:rPr>
        <w:t>AOG</w:t>
      </w:r>
      <w:r w:rsidRPr="00593BD3">
        <w:rPr>
          <w:rFonts w:ascii="Arial" w:hAnsi="Arial" w:cs="Arial"/>
          <w:sz w:val="20"/>
        </w:rPr>
        <w:t xml:space="preserve"> undertaken by the Bank in 2011 and the continued institutional strengthening support given by the Bank to the </w:t>
      </w:r>
      <w:r w:rsidR="00FB5D45" w:rsidRPr="00593BD3">
        <w:rPr>
          <w:rFonts w:ascii="Arial" w:hAnsi="Arial" w:cs="Arial"/>
          <w:sz w:val="20"/>
        </w:rPr>
        <w:t>AOG</w:t>
      </w:r>
      <w:r w:rsidRPr="00593BD3">
        <w:rPr>
          <w:rFonts w:ascii="Arial" w:hAnsi="Arial" w:cs="Arial"/>
          <w:sz w:val="20"/>
        </w:rPr>
        <w:t xml:space="preserve">. </w:t>
      </w:r>
      <w:r w:rsidR="005F674E" w:rsidRPr="00593BD3">
        <w:rPr>
          <w:rFonts w:ascii="Arial" w:hAnsi="Arial" w:cs="Arial"/>
          <w:sz w:val="20"/>
        </w:rPr>
        <w:t xml:space="preserve">For this operation, the Bank is recommending: </w:t>
      </w:r>
      <w:r w:rsidR="00D33E08">
        <w:rPr>
          <w:rFonts w:ascii="Arial" w:hAnsi="Arial" w:cs="Arial"/>
          <w:sz w:val="20"/>
        </w:rPr>
        <w:t>(</w:t>
      </w:r>
      <w:r w:rsidR="005F674E" w:rsidRPr="00593BD3">
        <w:rPr>
          <w:rFonts w:ascii="Arial" w:hAnsi="Arial" w:cs="Arial"/>
          <w:sz w:val="20"/>
        </w:rPr>
        <w:t>i) the use of the national accounting system, IFMAS,</w:t>
      </w:r>
      <w:r w:rsidR="005F674E" w:rsidRPr="00593BD3" w:rsidDel="00D31672">
        <w:rPr>
          <w:rFonts w:ascii="Arial" w:hAnsi="Arial" w:cs="Arial"/>
          <w:sz w:val="20"/>
        </w:rPr>
        <w:t xml:space="preserve"> </w:t>
      </w:r>
      <w:r w:rsidR="005F674E" w:rsidRPr="00593BD3">
        <w:rPr>
          <w:rFonts w:ascii="Arial" w:hAnsi="Arial" w:cs="Arial"/>
          <w:sz w:val="20"/>
        </w:rPr>
        <w:t>or any other system acceptable to the Bank, for the financia</w:t>
      </w:r>
      <w:r w:rsidR="00473043">
        <w:rPr>
          <w:rFonts w:ascii="Arial" w:hAnsi="Arial" w:cs="Arial"/>
          <w:sz w:val="20"/>
        </w:rPr>
        <w:t>l administration of the project;</w:t>
      </w:r>
      <w:r w:rsidR="005F674E" w:rsidRPr="00593BD3">
        <w:rPr>
          <w:rFonts w:ascii="Arial" w:hAnsi="Arial" w:cs="Arial"/>
          <w:sz w:val="20"/>
        </w:rPr>
        <w:t xml:space="preserve"> and </w:t>
      </w:r>
      <w:r w:rsidR="00D33E08">
        <w:rPr>
          <w:rFonts w:ascii="Arial" w:hAnsi="Arial" w:cs="Arial"/>
          <w:sz w:val="20"/>
        </w:rPr>
        <w:t>(</w:t>
      </w:r>
      <w:r w:rsidR="005F674E" w:rsidRPr="00593BD3">
        <w:rPr>
          <w:rFonts w:ascii="Arial" w:hAnsi="Arial" w:cs="Arial"/>
          <w:sz w:val="20"/>
        </w:rPr>
        <w:t>ii) for external control, a firm of independent public accountants acceptable to the Bank or the Auditor General of Guyana.</w:t>
      </w:r>
    </w:p>
    <w:p w:rsidR="003473BE" w:rsidRPr="00593BD3" w:rsidRDefault="003473BE" w:rsidP="003473BE">
      <w:pPr>
        <w:pStyle w:val="ListParagraph"/>
        <w:rPr>
          <w:rFonts w:ascii="Arial" w:hAnsi="Arial" w:cs="Arial"/>
          <w:sz w:val="20"/>
        </w:rPr>
      </w:pPr>
    </w:p>
    <w:p w:rsidR="00541613" w:rsidRPr="00593BD3" w:rsidRDefault="00E12716" w:rsidP="00D33E08">
      <w:pPr>
        <w:pStyle w:val="ListParagraph"/>
        <w:numPr>
          <w:ilvl w:val="1"/>
          <w:numId w:val="26"/>
        </w:numPr>
        <w:tabs>
          <w:tab w:val="left" w:pos="720"/>
        </w:tabs>
        <w:suppressAutoHyphens w:val="0"/>
        <w:autoSpaceDE w:val="0"/>
        <w:adjustRightInd w:val="0"/>
        <w:spacing w:before="120" w:after="120"/>
        <w:ind w:left="540" w:hanging="540"/>
        <w:jc w:val="both"/>
        <w:textAlignment w:val="auto"/>
        <w:rPr>
          <w:rFonts w:ascii="Arial" w:hAnsi="Arial" w:cs="Arial"/>
          <w:sz w:val="20"/>
        </w:rPr>
      </w:pPr>
      <w:r w:rsidRPr="00593BD3">
        <w:rPr>
          <w:rFonts w:ascii="Arial" w:hAnsi="Arial" w:cs="Arial"/>
          <w:sz w:val="20"/>
        </w:rPr>
        <w:t>With regards to procurement</w:t>
      </w:r>
      <w:r w:rsidR="0096149B" w:rsidRPr="00593BD3">
        <w:rPr>
          <w:rFonts w:ascii="Arial" w:hAnsi="Arial" w:cs="Arial"/>
          <w:sz w:val="20"/>
        </w:rPr>
        <w:t xml:space="preserve">, </w:t>
      </w:r>
      <w:r w:rsidR="005F674E" w:rsidRPr="00593BD3">
        <w:rPr>
          <w:rFonts w:ascii="Arial" w:hAnsi="Arial" w:cs="Arial"/>
          <w:sz w:val="20"/>
        </w:rPr>
        <w:t xml:space="preserve">assessments of the national system </w:t>
      </w:r>
      <w:r w:rsidR="00A3123A" w:rsidRPr="00593BD3">
        <w:rPr>
          <w:rFonts w:ascii="Arial" w:hAnsi="Arial" w:cs="Arial"/>
          <w:sz w:val="20"/>
        </w:rPr>
        <w:t xml:space="preserve">(MAPS) </w:t>
      </w:r>
      <w:r w:rsidR="005F674E" w:rsidRPr="00593BD3">
        <w:rPr>
          <w:rFonts w:ascii="Arial" w:hAnsi="Arial" w:cs="Arial"/>
          <w:sz w:val="20"/>
        </w:rPr>
        <w:t xml:space="preserve">have been performed in 2007 and 2013. The results are not yet endorsed by </w:t>
      </w:r>
      <w:r w:rsidR="00CE0ACC" w:rsidRPr="00593BD3">
        <w:rPr>
          <w:rFonts w:ascii="Arial" w:hAnsi="Arial" w:cs="Arial"/>
          <w:sz w:val="20"/>
        </w:rPr>
        <w:t>the Government of Guyana (GoG)</w:t>
      </w:r>
      <w:r w:rsidR="005F674E" w:rsidRPr="00593BD3">
        <w:rPr>
          <w:rFonts w:ascii="Arial" w:hAnsi="Arial" w:cs="Arial"/>
          <w:sz w:val="20"/>
        </w:rPr>
        <w:t xml:space="preserve">. </w:t>
      </w:r>
      <w:r w:rsidR="0096149B" w:rsidRPr="00593BD3">
        <w:rPr>
          <w:rFonts w:ascii="Arial" w:hAnsi="Arial" w:cs="Arial"/>
          <w:sz w:val="20"/>
        </w:rPr>
        <w:t>Guyana has a dedicated legislation that governs public proc</w:t>
      </w:r>
      <w:r w:rsidR="008C0AA8" w:rsidRPr="00593BD3">
        <w:rPr>
          <w:rFonts w:ascii="Arial" w:hAnsi="Arial" w:cs="Arial"/>
          <w:sz w:val="20"/>
        </w:rPr>
        <w:t xml:space="preserve">urement, namely the </w:t>
      </w:r>
      <w:r w:rsidR="008C0AA8" w:rsidRPr="00593BD3">
        <w:rPr>
          <w:rFonts w:ascii="Arial" w:hAnsi="Arial" w:cs="Arial"/>
          <w:i/>
          <w:sz w:val="20"/>
        </w:rPr>
        <w:t>Procurement Act of 2003</w:t>
      </w:r>
      <w:r w:rsidR="008C0AA8" w:rsidRPr="00593BD3">
        <w:rPr>
          <w:rFonts w:ascii="Arial" w:hAnsi="Arial" w:cs="Arial"/>
          <w:sz w:val="20"/>
        </w:rPr>
        <w:t xml:space="preserve"> and its associated regulation</w:t>
      </w:r>
      <w:r w:rsidRPr="00593BD3">
        <w:rPr>
          <w:rFonts w:ascii="Arial" w:hAnsi="Arial" w:cs="Arial"/>
          <w:sz w:val="20"/>
        </w:rPr>
        <w:t>s</w:t>
      </w:r>
      <w:r w:rsidR="008C0AA8" w:rsidRPr="00593BD3">
        <w:rPr>
          <w:rFonts w:ascii="Arial" w:hAnsi="Arial" w:cs="Arial"/>
          <w:sz w:val="20"/>
        </w:rPr>
        <w:t>.</w:t>
      </w:r>
      <w:r w:rsidRPr="00593BD3">
        <w:rPr>
          <w:rFonts w:ascii="Arial" w:hAnsi="Arial" w:cs="Arial"/>
          <w:sz w:val="20"/>
        </w:rPr>
        <w:t xml:space="preserve"> </w:t>
      </w:r>
      <w:r w:rsidR="005B1847">
        <w:rPr>
          <w:rFonts w:ascii="Arial" w:hAnsi="Arial" w:cs="Arial"/>
          <w:sz w:val="20"/>
        </w:rPr>
        <w:t>It established t</w:t>
      </w:r>
      <w:r w:rsidR="0096149B" w:rsidRPr="00593BD3">
        <w:rPr>
          <w:rFonts w:ascii="Arial" w:hAnsi="Arial" w:cs="Arial"/>
          <w:sz w:val="20"/>
        </w:rPr>
        <w:t>he National Procurement and Tender Administration Board (NPTAB</w:t>
      </w:r>
      <w:r w:rsidR="005B1847">
        <w:rPr>
          <w:rFonts w:ascii="Arial" w:hAnsi="Arial" w:cs="Arial"/>
          <w:sz w:val="20"/>
        </w:rPr>
        <w:t>) which</w:t>
      </w:r>
      <w:r w:rsidR="0096149B" w:rsidRPr="00593BD3">
        <w:rPr>
          <w:rFonts w:ascii="Arial" w:hAnsi="Arial" w:cs="Arial"/>
          <w:sz w:val="20"/>
        </w:rPr>
        <w:t xml:space="preserve"> is responsible for exercising jurisdiction over the country’s tender processes, reporting to the Ministry of </w:t>
      </w:r>
      <w:r w:rsidR="0096149B" w:rsidRPr="00593BD3">
        <w:rPr>
          <w:rFonts w:ascii="Arial" w:hAnsi="Arial" w:cs="Arial"/>
          <w:sz w:val="20"/>
        </w:rPr>
        <w:lastRenderedPageBreak/>
        <w:t xml:space="preserve">Finance with policy making, advisory oversight, and monitoring and information functions. </w:t>
      </w:r>
      <w:r w:rsidR="008C0AA8" w:rsidRPr="00593BD3">
        <w:rPr>
          <w:rFonts w:ascii="Arial" w:hAnsi="Arial" w:cs="Arial"/>
          <w:sz w:val="20"/>
        </w:rPr>
        <w:t>In accordance with the existing legal framework, the NPTAB is a temporary entity while awaiting the creation of</w:t>
      </w:r>
      <w:r w:rsidR="0096149B" w:rsidRPr="00593BD3">
        <w:rPr>
          <w:rFonts w:ascii="Arial" w:hAnsi="Arial" w:cs="Arial"/>
          <w:sz w:val="20"/>
        </w:rPr>
        <w:t xml:space="preserve"> the Publ</w:t>
      </w:r>
      <w:r w:rsidR="008C0AA8" w:rsidRPr="00593BD3">
        <w:rPr>
          <w:rFonts w:ascii="Arial" w:hAnsi="Arial" w:cs="Arial"/>
          <w:sz w:val="20"/>
        </w:rPr>
        <w:t xml:space="preserve">ic Procurement Commission (PPC). The PPC is </w:t>
      </w:r>
      <w:r w:rsidR="005B1847">
        <w:rPr>
          <w:rFonts w:ascii="Arial" w:hAnsi="Arial" w:cs="Arial"/>
          <w:sz w:val="20"/>
        </w:rPr>
        <w:t>foreseen in the Consitution.and. I</w:t>
      </w:r>
      <w:r w:rsidR="0096149B" w:rsidRPr="00593BD3">
        <w:rPr>
          <w:rFonts w:ascii="Arial" w:hAnsi="Arial" w:cs="Arial"/>
          <w:sz w:val="20"/>
        </w:rPr>
        <w:t>ts members are appointed by the President and ap</w:t>
      </w:r>
      <w:r w:rsidR="008C0AA8" w:rsidRPr="00593BD3">
        <w:rPr>
          <w:rFonts w:ascii="Arial" w:hAnsi="Arial" w:cs="Arial"/>
          <w:sz w:val="20"/>
        </w:rPr>
        <w:t>proved by the National Assembly</w:t>
      </w:r>
      <w:r w:rsidRPr="00593BD3">
        <w:rPr>
          <w:rFonts w:ascii="Arial" w:hAnsi="Arial" w:cs="Arial"/>
          <w:sz w:val="20"/>
        </w:rPr>
        <w:t>.</w:t>
      </w:r>
      <w:r w:rsidR="003473BE" w:rsidRPr="00593BD3">
        <w:rPr>
          <w:rFonts w:ascii="Arial" w:hAnsi="Arial" w:cs="Arial"/>
          <w:sz w:val="20"/>
        </w:rPr>
        <w:t xml:space="preserve"> </w:t>
      </w:r>
      <w:r w:rsidR="00CB1DB8">
        <w:rPr>
          <w:rFonts w:ascii="Arial" w:hAnsi="Arial" w:cs="Arial"/>
          <w:sz w:val="20"/>
        </w:rPr>
        <w:t>The </w:t>
      </w:r>
      <w:r w:rsidR="00227875" w:rsidRPr="00593BD3">
        <w:rPr>
          <w:rFonts w:ascii="Arial" w:hAnsi="Arial" w:cs="Arial"/>
          <w:sz w:val="20"/>
        </w:rPr>
        <w:t xml:space="preserve">country is in the process of strengthening its centralized website for publication of opportunities for requests for proposals, but to date, it is not regularly used across procurement entities or by the independent public corporations. Additionally, efforts are </w:t>
      </w:r>
      <w:r w:rsidR="005B1847">
        <w:rPr>
          <w:rFonts w:ascii="Arial" w:hAnsi="Arial" w:cs="Arial"/>
          <w:sz w:val="20"/>
        </w:rPr>
        <w:t>placed to</w:t>
      </w:r>
      <w:r w:rsidR="00227875" w:rsidRPr="00593BD3">
        <w:rPr>
          <w:rFonts w:ascii="Arial" w:hAnsi="Arial" w:cs="Arial"/>
          <w:sz w:val="20"/>
        </w:rPr>
        <w:t xml:space="preserve"> strengthen capacity to retain records of procurement processes and related information, as well as a registry for protests, suspension and debarment</w:t>
      </w:r>
      <w:r w:rsidR="00EC010C" w:rsidRPr="00593BD3">
        <w:rPr>
          <w:rFonts w:ascii="Arial" w:hAnsi="Arial" w:cs="Arial"/>
          <w:sz w:val="20"/>
        </w:rPr>
        <w:t xml:space="preserve"> and</w:t>
      </w:r>
      <w:r w:rsidR="00227875" w:rsidRPr="00593BD3">
        <w:rPr>
          <w:rFonts w:ascii="Arial" w:hAnsi="Arial" w:cs="Arial"/>
          <w:sz w:val="20"/>
        </w:rPr>
        <w:t xml:space="preserve"> contractors’ performance. Statistics on public procurement awards is also an area of focus for GoG.</w:t>
      </w:r>
      <w:r w:rsidR="00EC010C" w:rsidRPr="00593BD3">
        <w:rPr>
          <w:rFonts w:ascii="Arial" w:hAnsi="Arial" w:cs="Arial"/>
          <w:sz w:val="20"/>
        </w:rPr>
        <w:t xml:space="preserve"> </w:t>
      </w:r>
      <w:r w:rsidR="00227875" w:rsidRPr="00593BD3">
        <w:rPr>
          <w:rFonts w:ascii="Arial" w:hAnsi="Arial" w:cs="Arial"/>
          <w:sz w:val="20"/>
        </w:rPr>
        <w:t>Notwithstanding</w:t>
      </w:r>
      <w:r w:rsidRPr="00593BD3">
        <w:rPr>
          <w:rFonts w:ascii="Arial" w:hAnsi="Arial" w:cs="Arial"/>
          <w:sz w:val="20"/>
        </w:rPr>
        <w:t>,</w:t>
      </w:r>
      <w:r w:rsidR="009E125A" w:rsidRPr="00593BD3">
        <w:rPr>
          <w:rFonts w:ascii="Arial" w:hAnsi="Arial" w:cs="Arial"/>
          <w:sz w:val="20"/>
        </w:rPr>
        <w:t xml:space="preserve"> to date,</w:t>
      </w:r>
      <w:r w:rsidRPr="00593BD3">
        <w:rPr>
          <w:rFonts w:ascii="Arial" w:hAnsi="Arial" w:cs="Arial"/>
          <w:sz w:val="20"/>
        </w:rPr>
        <w:t xml:space="preserve"> the Country Procurement System </w:t>
      </w:r>
      <w:r w:rsidR="009E125A" w:rsidRPr="00593BD3">
        <w:rPr>
          <w:rFonts w:ascii="Arial" w:hAnsi="Arial" w:cs="Arial"/>
          <w:sz w:val="20"/>
        </w:rPr>
        <w:t xml:space="preserve">has not been approved and hence </w:t>
      </w:r>
      <w:r w:rsidR="00EC010C" w:rsidRPr="00593BD3">
        <w:rPr>
          <w:rFonts w:ascii="Arial" w:hAnsi="Arial" w:cs="Arial"/>
          <w:sz w:val="20"/>
        </w:rPr>
        <w:t>will not be used under the present Loan</w:t>
      </w:r>
      <w:r w:rsidR="009E125A" w:rsidRPr="00593BD3">
        <w:rPr>
          <w:rFonts w:ascii="Arial" w:hAnsi="Arial" w:cs="Arial"/>
          <w:sz w:val="20"/>
        </w:rPr>
        <w:t xml:space="preserve">. Consequently, </w:t>
      </w:r>
      <w:r w:rsidRPr="00593BD3">
        <w:rPr>
          <w:rFonts w:ascii="Arial" w:hAnsi="Arial" w:cs="Arial"/>
          <w:sz w:val="20"/>
        </w:rPr>
        <w:t>t</w:t>
      </w:r>
      <w:r w:rsidR="0096149B" w:rsidRPr="00593BD3">
        <w:rPr>
          <w:rFonts w:ascii="Arial" w:hAnsi="Arial" w:cs="Arial"/>
          <w:sz w:val="20"/>
        </w:rPr>
        <w:t xml:space="preserve">he Bank requires the use of its Procurement Policies GN-2349-9 and GN-2350-9 for </w:t>
      </w:r>
      <w:r w:rsidRPr="00593BD3">
        <w:rPr>
          <w:rFonts w:ascii="Arial" w:hAnsi="Arial" w:cs="Arial"/>
          <w:sz w:val="20"/>
        </w:rPr>
        <w:t xml:space="preserve">all </w:t>
      </w:r>
      <w:r w:rsidR="0096149B" w:rsidRPr="00593BD3">
        <w:rPr>
          <w:rFonts w:ascii="Arial" w:hAnsi="Arial" w:cs="Arial"/>
          <w:sz w:val="20"/>
        </w:rPr>
        <w:t xml:space="preserve">projects approved </w:t>
      </w:r>
      <w:r w:rsidR="005B1847">
        <w:rPr>
          <w:rFonts w:ascii="Arial" w:hAnsi="Arial" w:cs="Arial"/>
          <w:sz w:val="20"/>
        </w:rPr>
        <w:t>after</w:t>
      </w:r>
      <w:r w:rsidR="002D1499">
        <w:rPr>
          <w:rFonts w:ascii="Arial" w:hAnsi="Arial" w:cs="Arial"/>
          <w:sz w:val="20"/>
        </w:rPr>
        <w:t xml:space="preserve"> </w:t>
      </w:r>
      <w:r w:rsidR="0096149B" w:rsidRPr="00593BD3">
        <w:rPr>
          <w:rFonts w:ascii="Arial" w:hAnsi="Arial" w:cs="Arial"/>
          <w:sz w:val="20"/>
        </w:rPr>
        <w:t>2011</w:t>
      </w:r>
      <w:r w:rsidRPr="00593BD3">
        <w:rPr>
          <w:rFonts w:ascii="Arial" w:hAnsi="Arial" w:cs="Arial"/>
          <w:sz w:val="20"/>
        </w:rPr>
        <w:t>.</w:t>
      </w:r>
      <w:r w:rsidR="005F674E" w:rsidRPr="00593BD3">
        <w:rPr>
          <w:rFonts w:ascii="Arial" w:hAnsi="Arial" w:cs="Arial"/>
          <w:sz w:val="20"/>
        </w:rPr>
        <w:t xml:space="preserve"> </w:t>
      </w:r>
      <w:r w:rsidR="005B1847">
        <w:rPr>
          <w:rFonts w:ascii="Arial" w:hAnsi="Arial" w:cs="Arial"/>
          <w:sz w:val="20"/>
        </w:rPr>
        <w:t>T</w:t>
      </w:r>
      <w:r w:rsidR="005F674E" w:rsidRPr="00593BD3">
        <w:rPr>
          <w:rFonts w:ascii="Arial" w:hAnsi="Arial" w:cs="Arial"/>
          <w:sz w:val="20"/>
        </w:rPr>
        <w:t xml:space="preserve">he Bank </w:t>
      </w:r>
      <w:r w:rsidR="00EC010C" w:rsidRPr="00593BD3">
        <w:rPr>
          <w:rFonts w:ascii="Arial" w:hAnsi="Arial" w:cs="Arial"/>
          <w:sz w:val="20"/>
        </w:rPr>
        <w:t>will</w:t>
      </w:r>
      <w:r w:rsidR="005F674E" w:rsidRPr="00593BD3">
        <w:rPr>
          <w:rFonts w:ascii="Arial" w:hAnsi="Arial" w:cs="Arial"/>
          <w:sz w:val="20"/>
        </w:rPr>
        <w:t xml:space="preserve"> bring adequate support to the procurement function to ensure </w:t>
      </w:r>
      <w:r w:rsidR="005B1847">
        <w:rPr>
          <w:rFonts w:ascii="Arial" w:hAnsi="Arial" w:cs="Arial"/>
          <w:sz w:val="20"/>
        </w:rPr>
        <w:t xml:space="preserve">efficiency of the </w:t>
      </w:r>
      <w:r w:rsidR="005F674E" w:rsidRPr="00593BD3">
        <w:rPr>
          <w:rFonts w:ascii="Arial" w:hAnsi="Arial" w:cs="Arial"/>
          <w:sz w:val="20"/>
        </w:rPr>
        <w:t xml:space="preserve">procurement activities </w:t>
      </w:r>
      <w:r w:rsidR="005B1847">
        <w:rPr>
          <w:rFonts w:ascii="Arial" w:hAnsi="Arial" w:cs="Arial"/>
          <w:sz w:val="20"/>
        </w:rPr>
        <w:t>and to provide</w:t>
      </w:r>
      <w:r w:rsidR="005F674E" w:rsidRPr="00593BD3">
        <w:rPr>
          <w:rFonts w:ascii="Arial" w:hAnsi="Arial" w:cs="Arial"/>
          <w:sz w:val="20"/>
        </w:rPr>
        <w:t xml:space="preserve"> support </w:t>
      </w:r>
      <w:r w:rsidR="005B1847">
        <w:rPr>
          <w:rFonts w:ascii="Arial" w:hAnsi="Arial" w:cs="Arial"/>
          <w:sz w:val="20"/>
        </w:rPr>
        <w:t xml:space="preserve">to </w:t>
      </w:r>
      <w:r w:rsidR="005F674E" w:rsidRPr="00593BD3">
        <w:rPr>
          <w:rFonts w:ascii="Arial" w:hAnsi="Arial" w:cs="Arial"/>
          <w:sz w:val="20"/>
        </w:rPr>
        <w:t>the pro</w:t>
      </w:r>
      <w:r w:rsidR="004915C4">
        <w:rPr>
          <w:rFonts w:ascii="Arial" w:hAnsi="Arial" w:cs="Arial"/>
          <w:sz w:val="20"/>
        </w:rPr>
        <w:t xml:space="preserve">mpt execution of the operation </w:t>
      </w:r>
      <w:r w:rsidR="005F674E" w:rsidRPr="00593BD3">
        <w:rPr>
          <w:rFonts w:ascii="Arial" w:hAnsi="Arial" w:cs="Arial"/>
          <w:sz w:val="20"/>
        </w:rPr>
        <w:t>in accordance with the Bank’s rules and procedures.</w:t>
      </w:r>
    </w:p>
    <w:p w:rsidR="009B7FA4" w:rsidRPr="00593BD3" w:rsidRDefault="009B7FA4" w:rsidP="009B7FA4">
      <w:pPr>
        <w:pStyle w:val="ListParagraph"/>
        <w:tabs>
          <w:tab w:val="left" w:pos="720"/>
        </w:tabs>
        <w:suppressAutoHyphens w:val="0"/>
        <w:autoSpaceDE w:val="0"/>
        <w:adjustRightInd w:val="0"/>
        <w:spacing w:before="120" w:after="120"/>
        <w:ind w:left="360"/>
        <w:jc w:val="both"/>
        <w:textAlignment w:val="auto"/>
        <w:rPr>
          <w:rFonts w:ascii="Arial" w:hAnsi="Arial" w:cs="Arial"/>
          <w:sz w:val="20"/>
        </w:rPr>
      </w:pPr>
    </w:p>
    <w:p w:rsidR="00335447" w:rsidRPr="00593BD3" w:rsidRDefault="00335447" w:rsidP="00E656ED">
      <w:pPr>
        <w:numPr>
          <w:ilvl w:val="0"/>
          <w:numId w:val="1"/>
        </w:numPr>
        <w:suppressAutoHyphens w:val="0"/>
        <w:autoSpaceDE w:val="0"/>
        <w:adjustRightInd w:val="0"/>
        <w:snapToGrid w:val="0"/>
        <w:spacing w:before="120" w:after="120"/>
        <w:textAlignment w:val="auto"/>
        <w:rPr>
          <w:rFonts w:ascii="Arial" w:hAnsi="Arial" w:cs="Arial"/>
          <w:b/>
          <w:sz w:val="20"/>
        </w:rPr>
      </w:pPr>
      <w:r w:rsidRPr="00593BD3">
        <w:rPr>
          <w:rFonts w:ascii="Arial" w:hAnsi="Arial" w:cs="Arial"/>
          <w:b/>
          <w:sz w:val="20"/>
        </w:rPr>
        <w:t>FIDUCIARY CONTEXT OF THE EXECUTING AGENCY</w:t>
      </w:r>
    </w:p>
    <w:p w:rsidR="00E20230" w:rsidRPr="0027784A" w:rsidRDefault="00037A27" w:rsidP="0027784A">
      <w:pPr>
        <w:numPr>
          <w:ilvl w:val="1"/>
          <w:numId w:val="17"/>
        </w:numPr>
        <w:suppressAutoHyphens w:val="0"/>
        <w:autoSpaceDN/>
        <w:snapToGrid w:val="0"/>
        <w:spacing w:after="120"/>
        <w:ind w:left="540" w:hanging="540"/>
        <w:jc w:val="both"/>
        <w:textAlignment w:val="auto"/>
        <w:rPr>
          <w:rFonts w:ascii="Arial" w:hAnsi="Arial" w:cs="Arial"/>
          <w:sz w:val="20"/>
        </w:rPr>
      </w:pPr>
      <w:r w:rsidRPr="0027784A">
        <w:rPr>
          <w:rFonts w:ascii="Arial" w:hAnsi="Arial" w:cs="Arial"/>
          <w:sz w:val="20"/>
        </w:rPr>
        <w:t>The Maternal and Child Health (MCH) Unit of the MoPH headed by the MCH Officer, will</w:t>
      </w:r>
      <w:r w:rsidR="00B9468C" w:rsidRPr="0027784A">
        <w:rPr>
          <w:rFonts w:ascii="Arial" w:hAnsi="Arial" w:cs="Arial"/>
          <w:sz w:val="20"/>
        </w:rPr>
        <w:t xml:space="preserve"> be responsible for the execution of the Loan and for carrying out all related fiduciary activities. </w:t>
      </w:r>
      <w:r w:rsidR="00E20230" w:rsidRPr="0027784A">
        <w:rPr>
          <w:rFonts w:ascii="Arial" w:hAnsi="Arial" w:cs="Arial"/>
          <w:sz w:val="20"/>
        </w:rPr>
        <w:t xml:space="preserve">In accordance with </w:t>
      </w:r>
      <w:r w:rsidR="00D12FCA">
        <w:rPr>
          <w:rFonts w:ascii="Arial" w:hAnsi="Arial" w:cs="Arial"/>
          <w:sz w:val="20"/>
        </w:rPr>
        <w:t>the existing structure at the Mo</w:t>
      </w:r>
      <w:r w:rsidR="00E20230" w:rsidRPr="0027784A">
        <w:rPr>
          <w:rFonts w:ascii="Arial" w:hAnsi="Arial" w:cs="Arial"/>
          <w:sz w:val="20"/>
        </w:rPr>
        <w:t xml:space="preserve">PH, the </w:t>
      </w:r>
      <w:r w:rsidR="002D1499">
        <w:rPr>
          <w:rFonts w:ascii="Arial" w:hAnsi="Arial" w:cs="Arial"/>
          <w:sz w:val="20"/>
        </w:rPr>
        <w:t>MCH</w:t>
      </w:r>
      <w:r w:rsidR="00E20230" w:rsidRPr="0027784A">
        <w:rPr>
          <w:rFonts w:ascii="Arial" w:hAnsi="Arial" w:cs="Arial"/>
          <w:sz w:val="20"/>
        </w:rPr>
        <w:t xml:space="preserve"> Unit of the Family Health Department will discharge its duties </w:t>
      </w:r>
      <w:r w:rsidR="000600AC">
        <w:rPr>
          <w:rFonts w:ascii="Arial" w:hAnsi="Arial" w:cs="Arial"/>
          <w:sz w:val="20"/>
        </w:rPr>
        <w:t xml:space="preserve">in </w:t>
      </w:r>
      <w:r w:rsidR="00E20230" w:rsidRPr="0027784A">
        <w:rPr>
          <w:rFonts w:ascii="Arial" w:hAnsi="Arial" w:cs="Arial"/>
          <w:sz w:val="20"/>
        </w:rPr>
        <w:t>coordination with the Office of the Permanent Secretary and the Office of the Chief Medical Officer”</w:t>
      </w:r>
      <w:r w:rsidR="00E20230" w:rsidRPr="0027784A">
        <w:rPr>
          <w:rStyle w:val="FootnoteReference"/>
          <w:rFonts w:ascii="Arial" w:hAnsi="Arial" w:cs="Arial"/>
          <w:sz w:val="20"/>
        </w:rPr>
        <w:footnoteReference w:id="2"/>
      </w:r>
      <w:r w:rsidR="00E20230" w:rsidRPr="0027784A">
        <w:rPr>
          <w:rFonts w:ascii="Arial" w:hAnsi="Arial" w:cs="Arial"/>
          <w:sz w:val="20"/>
        </w:rPr>
        <w:t>. As per ICAS findings, the Office of the Permanent Secretary ensures “proper allocation of organizational, personnel and financial resources towards the attainment of the Ministry’s strategic and operational goals and broad sector objectives”[2]. All administrative responsibilities which include the fiduciary duties are placed under the direct responsibility of the Office of the Permanent Secretary. However, the Chief Medical Officer provides “technical leadership and guidance for the implementation of sector specific programs and actions”[3], hence creating a</w:t>
      </w:r>
      <w:r w:rsidR="009F1449" w:rsidRPr="0027784A">
        <w:rPr>
          <w:rFonts w:ascii="Arial" w:hAnsi="Arial" w:cs="Arial"/>
          <w:sz w:val="20"/>
        </w:rPr>
        <w:t xml:space="preserve"> need for a dual reporting line</w:t>
      </w:r>
      <w:r w:rsidR="00E20230" w:rsidRPr="0027784A">
        <w:rPr>
          <w:rFonts w:ascii="Arial" w:hAnsi="Arial" w:cs="Arial"/>
          <w:sz w:val="20"/>
        </w:rPr>
        <w:t xml:space="preserve"> to coordinate activities involving planning, execution and monitoring and evaluation of the fiduciary activities. This will have to be clearly described in the Operations Manual.</w:t>
      </w:r>
      <w:r w:rsidR="009F1449" w:rsidRPr="0027784A">
        <w:rPr>
          <w:rFonts w:ascii="Arial" w:hAnsi="Arial" w:cs="Arial"/>
          <w:sz w:val="20"/>
        </w:rPr>
        <w:t xml:space="preserve"> To strengthen the execution capacity of the MCH Unit, loan resources will fund the dedicated human resources who will discharge all expected fiduciary duties for the duration of the Loan. Staff to be recruited will include a Financial Officer</w:t>
      </w:r>
      <w:r w:rsidR="000600AC">
        <w:rPr>
          <w:rFonts w:ascii="Arial" w:hAnsi="Arial" w:cs="Arial"/>
          <w:sz w:val="20"/>
        </w:rPr>
        <w:t xml:space="preserve"> and</w:t>
      </w:r>
      <w:r w:rsidR="009F1449" w:rsidRPr="0027784A">
        <w:rPr>
          <w:rFonts w:ascii="Arial" w:hAnsi="Arial" w:cs="Arial"/>
          <w:sz w:val="20"/>
        </w:rPr>
        <w:t xml:space="preserve"> a Procur</w:t>
      </w:r>
      <w:r w:rsidR="00A722E7">
        <w:rPr>
          <w:rFonts w:ascii="Arial" w:hAnsi="Arial" w:cs="Arial"/>
          <w:sz w:val="20"/>
        </w:rPr>
        <w:t xml:space="preserve">ement Officer. </w:t>
      </w:r>
      <w:r w:rsidR="009F1449" w:rsidRPr="0027784A">
        <w:rPr>
          <w:rFonts w:ascii="Arial" w:hAnsi="Arial" w:cs="Arial"/>
          <w:sz w:val="20"/>
        </w:rPr>
        <w:t>Their recruitment will be a condition prior to first disbursement.</w:t>
      </w:r>
    </w:p>
    <w:p w:rsidR="006E1AE9" w:rsidRPr="00593BD3" w:rsidRDefault="00FF66A5" w:rsidP="00FF66A5">
      <w:pPr>
        <w:numPr>
          <w:ilvl w:val="1"/>
          <w:numId w:val="17"/>
        </w:numPr>
        <w:suppressAutoHyphens w:val="0"/>
        <w:autoSpaceDN/>
        <w:snapToGrid w:val="0"/>
        <w:spacing w:after="120"/>
        <w:ind w:left="540" w:hanging="540"/>
        <w:jc w:val="both"/>
        <w:textAlignment w:val="auto"/>
        <w:rPr>
          <w:rFonts w:ascii="Arial" w:hAnsi="Arial" w:cs="Arial"/>
          <w:sz w:val="20"/>
        </w:rPr>
      </w:pPr>
      <w:r>
        <w:rPr>
          <w:rFonts w:ascii="Arial" w:hAnsi="Arial" w:cs="Arial"/>
          <w:sz w:val="20"/>
        </w:rPr>
        <w:t>Mo</w:t>
      </w:r>
      <w:r w:rsidR="004B3378" w:rsidRPr="00593BD3">
        <w:rPr>
          <w:rFonts w:ascii="Arial" w:hAnsi="Arial" w:cs="Arial"/>
          <w:sz w:val="20"/>
        </w:rPr>
        <w:t>P</w:t>
      </w:r>
      <w:r w:rsidR="006E1AE9" w:rsidRPr="00593BD3">
        <w:rPr>
          <w:rFonts w:ascii="Arial" w:hAnsi="Arial" w:cs="Arial"/>
          <w:sz w:val="20"/>
        </w:rPr>
        <w:t>H</w:t>
      </w:r>
      <w:r w:rsidR="000600AC">
        <w:rPr>
          <w:rFonts w:ascii="Arial" w:hAnsi="Arial" w:cs="Arial"/>
          <w:sz w:val="20"/>
        </w:rPr>
        <w:t xml:space="preserve"> </w:t>
      </w:r>
      <w:r w:rsidR="006E1AE9" w:rsidRPr="00593BD3">
        <w:rPr>
          <w:rFonts w:ascii="Arial" w:hAnsi="Arial" w:cs="Arial"/>
          <w:sz w:val="20"/>
        </w:rPr>
        <w:t>uses the</w:t>
      </w:r>
      <w:r w:rsidR="000600AC">
        <w:rPr>
          <w:rFonts w:ascii="Arial" w:hAnsi="Arial" w:cs="Arial"/>
          <w:sz w:val="20"/>
        </w:rPr>
        <w:t xml:space="preserve"> country’s IFMAS</w:t>
      </w:r>
      <w:r w:rsidR="006E1AE9" w:rsidRPr="00593BD3">
        <w:rPr>
          <w:rFonts w:ascii="Arial" w:hAnsi="Arial" w:cs="Arial"/>
          <w:sz w:val="20"/>
        </w:rPr>
        <w:t>. IFMAS was succe</w:t>
      </w:r>
      <w:r w:rsidR="00CD2167">
        <w:rPr>
          <w:rFonts w:ascii="Arial" w:hAnsi="Arial" w:cs="Arial"/>
          <w:sz w:val="20"/>
        </w:rPr>
        <w:t>ssfully piloted on previous IDB</w:t>
      </w:r>
      <w:r w:rsidR="00CD2167">
        <w:rPr>
          <w:rFonts w:ascii="Arial" w:hAnsi="Arial" w:cs="Arial"/>
          <w:sz w:val="20"/>
        </w:rPr>
        <w:noBreakHyphen/>
      </w:r>
      <w:r w:rsidR="006E1AE9" w:rsidRPr="00593BD3">
        <w:rPr>
          <w:rFonts w:ascii="Arial" w:hAnsi="Arial" w:cs="Arial"/>
          <w:sz w:val="20"/>
        </w:rPr>
        <w:t>financed loans</w:t>
      </w:r>
      <w:r w:rsidR="006227EB" w:rsidRPr="00593BD3">
        <w:rPr>
          <w:rFonts w:ascii="Arial" w:hAnsi="Arial" w:cs="Arial"/>
          <w:sz w:val="20"/>
        </w:rPr>
        <w:t>;</w:t>
      </w:r>
      <w:r w:rsidR="006E1AE9" w:rsidRPr="00593BD3">
        <w:rPr>
          <w:rFonts w:ascii="Arial" w:hAnsi="Arial" w:cs="Arial"/>
          <w:sz w:val="20"/>
        </w:rPr>
        <w:t xml:space="preserve"> and an operations manual for </w:t>
      </w:r>
      <w:r w:rsidR="000600AC">
        <w:rPr>
          <w:rFonts w:ascii="Arial" w:hAnsi="Arial" w:cs="Arial"/>
          <w:sz w:val="20"/>
        </w:rPr>
        <w:t>B</w:t>
      </w:r>
      <w:r w:rsidR="006E1AE9" w:rsidRPr="00593BD3">
        <w:rPr>
          <w:rFonts w:ascii="Arial" w:hAnsi="Arial" w:cs="Arial"/>
          <w:sz w:val="20"/>
        </w:rPr>
        <w:t>ank funded operations using IFMAS as its accounting system was developed by the Ministry of Finance. It is recommended that this program use IFMAS for the financial ma</w:t>
      </w:r>
      <w:r w:rsidR="00554DE0">
        <w:rPr>
          <w:rFonts w:ascii="Arial" w:hAnsi="Arial" w:cs="Arial"/>
          <w:sz w:val="20"/>
        </w:rPr>
        <w:t>nagement and accounting of the p</w:t>
      </w:r>
      <w:r w:rsidR="006E1AE9" w:rsidRPr="00593BD3">
        <w:rPr>
          <w:rFonts w:ascii="Arial" w:hAnsi="Arial" w:cs="Arial"/>
          <w:sz w:val="20"/>
        </w:rPr>
        <w:t>rogram.</w:t>
      </w:r>
    </w:p>
    <w:p w:rsidR="006340D1" w:rsidRPr="00593BD3" w:rsidRDefault="006340D1" w:rsidP="00FF66A5">
      <w:pPr>
        <w:numPr>
          <w:ilvl w:val="1"/>
          <w:numId w:val="17"/>
        </w:numPr>
        <w:suppressAutoHyphens w:val="0"/>
        <w:autoSpaceDN/>
        <w:snapToGrid w:val="0"/>
        <w:spacing w:after="120"/>
        <w:ind w:left="540" w:hanging="540"/>
        <w:jc w:val="both"/>
        <w:textAlignment w:val="auto"/>
        <w:rPr>
          <w:rFonts w:ascii="Arial" w:hAnsi="Arial" w:cs="Arial"/>
          <w:sz w:val="20"/>
        </w:rPr>
      </w:pPr>
      <w:r w:rsidRPr="00593BD3">
        <w:rPr>
          <w:rFonts w:ascii="Arial" w:hAnsi="Arial" w:cs="Arial"/>
          <w:sz w:val="20"/>
        </w:rPr>
        <w:t xml:space="preserve">As far as the procurement function is concerned, </w:t>
      </w:r>
      <w:r w:rsidR="00195062" w:rsidRPr="00593BD3">
        <w:rPr>
          <w:rFonts w:ascii="Arial" w:hAnsi="Arial" w:cs="Arial"/>
          <w:sz w:val="20"/>
        </w:rPr>
        <w:t>f</w:t>
      </w:r>
      <w:r w:rsidR="00AD7704" w:rsidRPr="00593BD3">
        <w:rPr>
          <w:rFonts w:ascii="Arial" w:hAnsi="Arial" w:cs="Arial"/>
          <w:sz w:val="20"/>
        </w:rPr>
        <w:t>indings of the ICAS indicate that, under the organizational</w:t>
      </w:r>
      <w:r w:rsidR="00D12FCA">
        <w:rPr>
          <w:rFonts w:ascii="Arial" w:hAnsi="Arial" w:cs="Arial"/>
          <w:sz w:val="20"/>
        </w:rPr>
        <w:t xml:space="preserve"> scheme currently in force at Mo</w:t>
      </w:r>
      <w:r w:rsidR="006227EB" w:rsidRPr="00593BD3">
        <w:rPr>
          <w:rFonts w:ascii="Arial" w:hAnsi="Arial" w:cs="Arial"/>
          <w:sz w:val="20"/>
        </w:rPr>
        <w:t>P</w:t>
      </w:r>
      <w:r w:rsidR="00AD7704" w:rsidRPr="00593BD3">
        <w:rPr>
          <w:rFonts w:ascii="Arial" w:hAnsi="Arial" w:cs="Arial"/>
          <w:sz w:val="20"/>
        </w:rPr>
        <w:t xml:space="preserve">H, procurement activities are </w:t>
      </w:r>
      <w:r w:rsidR="00195062" w:rsidRPr="00593BD3">
        <w:rPr>
          <w:rFonts w:ascii="Arial" w:hAnsi="Arial" w:cs="Arial"/>
          <w:sz w:val="20"/>
        </w:rPr>
        <w:t>conducted by</w:t>
      </w:r>
      <w:r w:rsidR="00AD7704" w:rsidRPr="00593BD3">
        <w:rPr>
          <w:rFonts w:ascii="Arial" w:hAnsi="Arial" w:cs="Arial"/>
          <w:sz w:val="20"/>
        </w:rPr>
        <w:t xml:space="preserve"> the Materials Management Unit (MMU), placed under the Office of the Permanent Secretary. The </w:t>
      </w:r>
      <w:r w:rsidR="006227EB" w:rsidRPr="00593BD3">
        <w:rPr>
          <w:rFonts w:ascii="Arial" w:hAnsi="Arial" w:cs="Arial"/>
          <w:sz w:val="20"/>
        </w:rPr>
        <w:t xml:space="preserve">MMU </w:t>
      </w:r>
      <w:r w:rsidR="007842DB" w:rsidRPr="00593BD3">
        <w:rPr>
          <w:rFonts w:ascii="Arial" w:hAnsi="Arial" w:cs="Arial"/>
          <w:sz w:val="20"/>
        </w:rPr>
        <w:t>has</w:t>
      </w:r>
      <w:r w:rsidR="00AD7704" w:rsidRPr="00593BD3">
        <w:rPr>
          <w:rFonts w:ascii="Arial" w:hAnsi="Arial" w:cs="Arial"/>
          <w:sz w:val="20"/>
        </w:rPr>
        <w:t xml:space="preserve"> a total of 15 staff members</w:t>
      </w:r>
      <w:r w:rsidR="00195062" w:rsidRPr="00593BD3">
        <w:rPr>
          <w:rFonts w:ascii="Arial" w:hAnsi="Arial" w:cs="Arial"/>
          <w:sz w:val="20"/>
        </w:rPr>
        <w:t>,</w:t>
      </w:r>
      <w:r w:rsidR="00D20E3E" w:rsidRPr="00593BD3">
        <w:rPr>
          <w:rFonts w:ascii="Arial" w:hAnsi="Arial" w:cs="Arial"/>
          <w:sz w:val="20"/>
        </w:rPr>
        <w:t xml:space="preserve"> </w:t>
      </w:r>
      <w:r w:rsidR="00195062" w:rsidRPr="00593BD3">
        <w:rPr>
          <w:rFonts w:ascii="Arial" w:hAnsi="Arial" w:cs="Arial"/>
          <w:sz w:val="20"/>
        </w:rPr>
        <w:t>10 of whom are responsible for the purchase of medical equipment and pharmaceuticals</w:t>
      </w:r>
      <w:r w:rsidR="00A3123A" w:rsidRPr="00593BD3">
        <w:rPr>
          <w:rFonts w:ascii="Arial" w:hAnsi="Arial" w:cs="Arial"/>
          <w:sz w:val="20"/>
        </w:rPr>
        <w:t>,</w:t>
      </w:r>
      <w:r w:rsidR="00195062" w:rsidRPr="00593BD3">
        <w:rPr>
          <w:rFonts w:ascii="Arial" w:hAnsi="Arial" w:cs="Arial"/>
          <w:sz w:val="20"/>
        </w:rPr>
        <w:t xml:space="preserve"> </w:t>
      </w:r>
      <w:r w:rsidR="007842DB" w:rsidRPr="00593BD3">
        <w:rPr>
          <w:rFonts w:ascii="Arial" w:hAnsi="Arial" w:cs="Arial"/>
          <w:sz w:val="20"/>
        </w:rPr>
        <w:t xml:space="preserve">while the remaining </w:t>
      </w:r>
      <w:r w:rsidR="00CB1DB8">
        <w:rPr>
          <w:rFonts w:ascii="Arial" w:hAnsi="Arial" w:cs="Arial"/>
          <w:sz w:val="20"/>
        </w:rPr>
        <w:t>five</w:t>
      </w:r>
      <w:r w:rsidR="007842DB" w:rsidRPr="00593BD3">
        <w:rPr>
          <w:rFonts w:ascii="Arial" w:hAnsi="Arial" w:cs="Arial"/>
          <w:sz w:val="20"/>
        </w:rPr>
        <w:t xml:space="preserve"> are responsible for the </w:t>
      </w:r>
      <w:r w:rsidR="00A3123A" w:rsidRPr="00593BD3">
        <w:rPr>
          <w:rFonts w:ascii="Arial" w:hAnsi="Arial" w:cs="Arial"/>
          <w:sz w:val="20"/>
        </w:rPr>
        <w:t xml:space="preserve">other purchases. At present, the initial procurement plan for the Loan includes purchases </w:t>
      </w:r>
      <w:r w:rsidR="000600AC">
        <w:rPr>
          <w:rFonts w:ascii="Arial" w:hAnsi="Arial" w:cs="Arial"/>
          <w:sz w:val="20"/>
        </w:rPr>
        <w:t>of medical equipment</w:t>
      </w:r>
      <w:r w:rsidR="00A3123A" w:rsidRPr="00593BD3">
        <w:rPr>
          <w:rFonts w:ascii="Arial" w:hAnsi="Arial" w:cs="Arial"/>
          <w:sz w:val="20"/>
        </w:rPr>
        <w:t xml:space="preserve">. </w:t>
      </w:r>
      <w:r w:rsidR="009F1449">
        <w:rPr>
          <w:rFonts w:ascii="Arial" w:hAnsi="Arial" w:cs="Arial"/>
          <w:sz w:val="20"/>
        </w:rPr>
        <w:t>A</w:t>
      </w:r>
      <w:r w:rsidR="00A3123A" w:rsidRPr="00593BD3">
        <w:rPr>
          <w:rFonts w:ascii="Arial" w:hAnsi="Arial" w:cs="Arial"/>
          <w:sz w:val="20"/>
        </w:rPr>
        <w:t xml:space="preserve">s mentioned in Section 2.1 above, this Loan will be implemented </w:t>
      </w:r>
      <w:r w:rsidR="00037A27">
        <w:rPr>
          <w:rFonts w:ascii="Arial" w:hAnsi="Arial" w:cs="Arial"/>
          <w:sz w:val="20"/>
        </w:rPr>
        <w:t>by the MCH Unit</w:t>
      </w:r>
      <w:r w:rsidR="009F1449">
        <w:rPr>
          <w:rFonts w:ascii="Arial" w:hAnsi="Arial" w:cs="Arial"/>
          <w:sz w:val="20"/>
        </w:rPr>
        <w:t>, and in particular the dedicated personnel within the MCH Unit</w:t>
      </w:r>
      <w:r w:rsidR="00037A27">
        <w:rPr>
          <w:rFonts w:ascii="Arial" w:hAnsi="Arial" w:cs="Arial"/>
          <w:sz w:val="20"/>
        </w:rPr>
        <w:t xml:space="preserve"> wh</w:t>
      </w:r>
      <w:r w:rsidR="009F1449">
        <w:rPr>
          <w:rFonts w:ascii="Arial" w:hAnsi="Arial" w:cs="Arial"/>
          <w:sz w:val="20"/>
        </w:rPr>
        <w:t>o</w:t>
      </w:r>
      <w:r w:rsidR="00A3123A" w:rsidRPr="00593BD3">
        <w:rPr>
          <w:rFonts w:ascii="Arial" w:hAnsi="Arial" w:cs="Arial"/>
          <w:sz w:val="20"/>
        </w:rPr>
        <w:t xml:space="preserve"> will be in charge of all procurement activities under the present Loan. </w:t>
      </w:r>
      <w:r w:rsidR="009F1449">
        <w:rPr>
          <w:rFonts w:ascii="Arial" w:hAnsi="Arial" w:cs="Arial"/>
          <w:sz w:val="20"/>
        </w:rPr>
        <w:t>This personnel is yet to be recruited</w:t>
      </w:r>
      <w:r w:rsidR="00CE5AAD">
        <w:rPr>
          <w:rFonts w:ascii="Arial" w:hAnsi="Arial" w:cs="Arial"/>
          <w:sz w:val="20"/>
        </w:rPr>
        <w:t xml:space="preserve">. Once in place, the personnel </w:t>
      </w:r>
      <w:r w:rsidR="00A3123A" w:rsidRPr="00593BD3">
        <w:rPr>
          <w:rFonts w:ascii="Arial" w:hAnsi="Arial" w:cs="Arial"/>
          <w:sz w:val="20"/>
        </w:rPr>
        <w:t xml:space="preserve">will </w:t>
      </w:r>
      <w:r w:rsidR="00037A27">
        <w:rPr>
          <w:rFonts w:ascii="Arial" w:hAnsi="Arial" w:cs="Arial"/>
          <w:sz w:val="20"/>
        </w:rPr>
        <w:t xml:space="preserve">coordinate with the Office of the Permanent Secretary and the Office of the Chief Medical Officer </w:t>
      </w:r>
      <w:r w:rsidR="00CE5AAD">
        <w:rPr>
          <w:rFonts w:ascii="Arial" w:hAnsi="Arial" w:cs="Arial"/>
          <w:sz w:val="20"/>
        </w:rPr>
        <w:t xml:space="preserve">and other applicable </w:t>
      </w:r>
      <w:r w:rsidR="00CE5AAD">
        <w:rPr>
          <w:rFonts w:ascii="Arial" w:hAnsi="Arial" w:cs="Arial"/>
          <w:sz w:val="20"/>
        </w:rPr>
        <w:lastRenderedPageBreak/>
        <w:t xml:space="preserve">lines of authorities </w:t>
      </w:r>
      <w:r w:rsidR="00A3123A" w:rsidRPr="00593BD3">
        <w:rPr>
          <w:rFonts w:ascii="Arial" w:hAnsi="Arial" w:cs="Arial"/>
          <w:sz w:val="20"/>
        </w:rPr>
        <w:t xml:space="preserve">to ensure that the technical specifications </w:t>
      </w:r>
      <w:r w:rsidR="00CE5AAD">
        <w:rPr>
          <w:rFonts w:ascii="Arial" w:hAnsi="Arial" w:cs="Arial"/>
          <w:sz w:val="20"/>
        </w:rPr>
        <w:t>and the</w:t>
      </w:r>
      <w:r w:rsidR="00A3123A" w:rsidRPr="00593BD3">
        <w:rPr>
          <w:rFonts w:ascii="Arial" w:hAnsi="Arial" w:cs="Arial"/>
          <w:sz w:val="20"/>
        </w:rPr>
        <w:t xml:space="preserve"> terms of references are in accordance with the norms in force at the </w:t>
      </w:r>
      <w:r w:rsidR="00473043">
        <w:rPr>
          <w:rFonts w:ascii="Arial" w:hAnsi="Arial" w:cs="Arial"/>
          <w:sz w:val="20"/>
        </w:rPr>
        <w:t>MoPH</w:t>
      </w:r>
      <w:r w:rsidR="00A3123A" w:rsidRPr="00593BD3">
        <w:rPr>
          <w:rFonts w:ascii="Arial" w:hAnsi="Arial" w:cs="Arial"/>
          <w:sz w:val="20"/>
        </w:rPr>
        <w:t xml:space="preserve">. Training to the new </w:t>
      </w:r>
      <w:r w:rsidR="00166EBE">
        <w:rPr>
          <w:rFonts w:ascii="Arial" w:hAnsi="Arial" w:cs="Arial"/>
          <w:sz w:val="20"/>
        </w:rPr>
        <w:t xml:space="preserve">staff </w:t>
      </w:r>
      <w:r w:rsidR="00A3123A" w:rsidRPr="00593BD3">
        <w:rPr>
          <w:rFonts w:ascii="Arial" w:hAnsi="Arial" w:cs="Arial"/>
          <w:sz w:val="20"/>
        </w:rPr>
        <w:t>will be provided to ensure that procurement duties are discharged in the most efficient manner and in keeping with the Bank’s Procurement Policies.</w:t>
      </w:r>
    </w:p>
    <w:p w:rsidR="00335447" w:rsidRPr="00593BD3" w:rsidRDefault="00335447" w:rsidP="00E656ED">
      <w:pPr>
        <w:numPr>
          <w:ilvl w:val="0"/>
          <w:numId w:val="1"/>
        </w:numPr>
        <w:suppressAutoHyphens w:val="0"/>
        <w:autoSpaceDE w:val="0"/>
        <w:autoSpaceDN/>
        <w:adjustRightInd w:val="0"/>
        <w:snapToGrid w:val="0"/>
        <w:spacing w:before="160" w:after="120"/>
        <w:textAlignment w:val="auto"/>
        <w:rPr>
          <w:rFonts w:ascii="Arial" w:hAnsi="Arial" w:cs="Arial"/>
          <w:b/>
          <w:sz w:val="20"/>
        </w:rPr>
      </w:pPr>
      <w:r w:rsidRPr="00593BD3">
        <w:rPr>
          <w:rFonts w:ascii="Arial" w:hAnsi="Arial" w:cs="Arial"/>
          <w:b/>
          <w:sz w:val="20"/>
        </w:rPr>
        <w:t>FIDUCIARY RISK EVALUATION AND MITIGATION ACTIONS</w:t>
      </w:r>
    </w:p>
    <w:p w:rsidR="009649B9" w:rsidRPr="00593BD3" w:rsidRDefault="00335447" w:rsidP="00A46DED">
      <w:pPr>
        <w:pStyle w:val="ListParagraph"/>
        <w:numPr>
          <w:ilvl w:val="1"/>
          <w:numId w:val="21"/>
        </w:numPr>
        <w:suppressAutoHyphens w:val="0"/>
        <w:autoSpaceDN/>
        <w:snapToGrid w:val="0"/>
        <w:spacing w:after="120"/>
        <w:ind w:left="540" w:hanging="540"/>
        <w:contextualSpacing w:val="0"/>
        <w:jc w:val="both"/>
        <w:textAlignment w:val="auto"/>
        <w:rPr>
          <w:rFonts w:ascii="Arial" w:hAnsi="Arial" w:cs="Arial"/>
          <w:sz w:val="20"/>
        </w:rPr>
      </w:pPr>
      <w:r w:rsidRPr="00593BD3">
        <w:rPr>
          <w:rFonts w:ascii="Arial" w:hAnsi="Arial" w:cs="Arial"/>
          <w:sz w:val="20"/>
        </w:rPr>
        <w:t>The Project Team</w:t>
      </w:r>
      <w:r w:rsidR="00FF0263">
        <w:rPr>
          <w:rFonts w:ascii="Arial" w:hAnsi="Arial" w:cs="Arial"/>
          <w:sz w:val="20"/>
        </w:rPr>
        <w:t xml:space="preserve"> and </w:t>
      </w:r>
      <w:r w:rsidR="001E7A00" w:rsidRPr="00593BD3">
        <w:rPr>
          <w:rFonts w:ascii="Arial" w:hAnsi="Arial" w:cs="Arial"/>
          <w:sz w:val="20"/>
        </w:rPr>
        <w:t xml:space="preserve">the MoPH </w:t>
      </w:r>
      <w:r w:rsidRPr="00593BD3">
        <w:rPr>
          <w:rFonts w:ascii="Arial" w:hAnsi="Arial" w:cs="Arial"/>
          <w:sz w:val="20"/>
        </w:rPr>
        <w:t xml:space="preserve">developed a </w:t>
      </w:r>
      <w:r w:rsidR="00786069" w:rsidRPr="00593BD3">
        <w:rPr>
          <w:rFonts w:ascii="Arial" w:hAnsi="Arial" w:cs="Arial"/>
          <w:sz w:val="20"/>
        </w:rPr>
        <w:t xml:space="preserve">preliminary </w:t>
      </w:r>
      <w:r w:rsidRPr="00593BD3">
        <w:rPr>
          <w:rFonts w:ascii="Arial" w:hAnsi="Arial" w:cs="Arial"/>
          <w:sz w:val="20"/>
        </w:rPr>
        <w:t xml:space="preserve">Risk Mitigation Matrix </w:t>
      </w:r>
      <w:r w:rsidR="00016746" w:rsidRPr="00593BD3">
        <w:rPr>
          <w:rFonts w:ascii="Arial" w:hAnsi="Arial" w:cs="Arial"/>
          <w:sz w:val="20"/>
        </w:rPr>
        <w:t>included in the package of project documents</w:t>
      </w:r>
      <w:r w:rsidR="00FF0263">
        <w:rPr>
          <w:rFonts w:ascii="Arial" w:hAnsi="Arial" w:cs="Arial"/>
          <w:sz w:val="20"/>
        </w:rPr>
        <w:t>.</w:t>
      </w:r>
      <w:r w:rsidR="00016746" w:rsidRPr="00593BD3">
        <w:rPr>
          <w:rFonts w:ascii="Arial" w:hAnsi="Arial" w:cs="Arial"/>
          <w:sz w:val="20"/>
        </w:rPr>
        <w:t xml:space="preserve"> </w:t>
      </w:r>
      <w:r w:rsidR="00FF0263">
        <w:rPr>
          <w:rFonts w:ascii="Arial" w:hAnsi="Arial" w:cs="Arial"/>
          <w:sz w:val="20"/>
        </w:rPr>
        <w:t xml:space="preserve">Yearly assessments will be conducted to </w:t>
      </w:r>
      <w:r w:rsidRPr="00593BD3">
        <w:rPr>
          <w:rFonts w:ascii="Arial" w:hAnsi="Arial" w:cs="Arial"/>
          <w:sz w:val="20"/>
        </w:rPr>
        <w:t>introduce additional mitigating actions</w:t>
      </w:r>
      <w:r w:rsidR="00FF0263">
        <w:rPr>
          <w:rFonts w:ascii="Arial" w:hAnsi="Arial" w:cs="Arial"/>
          <w:sz w:val="20"/>
        </w:rPr>
        <w:t xml:space="preserve"> </w:t>
      </w:r>
      <w:r w:rsidRPr="00593BD3">
        <w:rPr>
          <w:rFonts w:ascii="Arial" w:hAnsi="Arial" w:cs="Arial"/>
          <w:sz w:val="20"/>
        </w:rPr>
        <w:t>as a result of such reviews</w:t>
      </w:r>
      <w:r w:rsidR="00016746" w:rsidRPr="00593BD3">
        <w:rPr>
          <w:rFonts w:ascii="Arial" w:hAnsi="Arial" w:cs="Arial"/>
          <w:sz w:val="20"/>
        </w:rPr>
        <w:t xml:space="preserve"> and as deemed necessary</w:t>
      </w:r>
      <w:r w:rsidRPr="00593BD3">
        <w:rPr>
          <w:rFonts w:ascii="Arial" w:hAnsi="Arial" w:cs="Arial"/>
          <w:sz w:val="20"/>
        </w:rPr>
        <w:t>.</w:t>
      </w:r>
    </w:p>
    <w:p w:rsidR="00295FEB" w:rsidRPr="00593BD3" w:rsidRDefault="00FF0263" w:rsidP="00A46DED">
      <w:pPr>
        <w:pStyle w:val="ListParagraph"/>
        <w:numPr>
          <w:ilvl w:val="1"/>
          <w:numId w:val="21"/>
        </w:numPr>
        <w:suppressAutoHyphens w:val="0"/>
        <w:autoSpaceDN/>
        <w:snapToGrid w:val="0"/>
        <w:spacing w:after="120"/>
        <w:ind w:left="540" w:hanging="540"/>
        <w:contextualSpacing w:val="0"/>
        <w:jc w:val="both"/>
        <w:textAlignment w:val="auto"/>
        <w:rPr>
          <w:rFonts w:ascii="Arial" w:hAnsi="Arial" w:cs="Arial"/>
          <w:sz w:val="20"/>
        </w:rPr>
      </w:pPr>
      <w:r>
        <w:rPr>
          <w:rFonts w:ascii="Arial" w:hAnsi="Arial" w:cs="Arial"/>
          <w:sz w:val="20"/>
        </w:rPr>
        <w:t>T</w:t>
      </w:r>
      <w:r w:rsidR="002A6CE2" w:rsidRPr="00593BD3">
        <w:rPr>
          <w:rFonts w:ascii="Arial" w:hAnsi="Arial" w:cs="Arial"/>
          <w:sz w:val="20"/>
        </w:rPr>
        <w:t xml:space="preserve">he Loan will be executed </w:t>
      </w:r>
      <w:r w:rsidR="00166EBE">
        <w:rPr>
          <w:rFonts w:ascii="Arial" w:hAnsi="Arial" w:cs="Arial"/>
          <w:sz w:val="20"/>
        </w:rPr>
        <w:t xml:space="preserve">by </w:t>
      </w:r>
      <w:r w:rsidR="00CE5AAD">
        <w:rPr>
          <w:rFonts w:ascii="Arial" w:hAnsi="Arial" w:cs="Arial"/>
          <w:sz w:val="20"/>
        </w:rPr>
        <w:t>the dedicated personnel e</w:t>
      </w:r>
      <w:r w:rsidR="002D1499">
        <w:rPr>
          <w:rFonts w:ascii="Arial" w:hAnsi="Arial" w:cs="Arial"/>
          <w:sz w:val="20"/>
        </w:rPr>
        <w:t>mbedded within the MCH of the Mo</w:t>
      </w:r>
      <w:r w:rsidR="00CE5AAD">
        <w:rPr>
          <w:rFonts w:ascii="Arial" w:hAnsi="Arial" w:cs="Arial"/>
          <w:sz w:val="20"/>
        </w:rPr>
        <w:t xml:space="preserve">PH. </w:t>
      </w:r>
      <w:r w:rsidR="002A6CE2" w:rsidRPr="00593BD3">
        <w:rPr>
          <w:rFonts w:ascii="Arial" w:hAnsi="Arial" w:cs="Arial"/>
          <w:sz w:val="20"/>
        </w:rPr>
        <w:t xml:space="preserve">Consequently, it is reasonable to expect </w:t>
      </w:r>
      <w:r w:rsidR="00162A00" w:rsidRPr="00593BD3">
        <w:rPr>
          <w:rFonts w:ascii="Arial" w:hAnsi="Arial" w:cs="Arial"/>
          <w:sz w:val="20"/>
        </w:rPr>
        <w:t xml:space="preserve">challenges in </w:t>
      </w:r>
      <w:r w:rsidR="002A6CE2" w:rsidRPr="00593BD3">
        <w:rPr>
          <w:rFonts w:ascii="Arial" w:hAnsi="Arial" w:cs="Arial"/>
          <w:sz w:val="20"/>
        </w:rPr>
        <w:t xml:space="preserve">the </w:t>
      </w:r>
      <w:r w:rsidR="00162A00" w:rsidRPr="00593BD3">
        <w:rPr>
          <w:rFonts w:ascii="Arial" w:hAnsi="Arial" w:cs="Arial"/>
          <w:sz w:val="20"/>
        </w:rPr>
        <w:t>executi</w:t>
      </w:r>
      <w:r w:rsidR="002A6CE2" w:rsidRPr="00593BD3">
        <w:rPr>
          <w:rFonts w:ascii="Arial" w:hAnsi="Arial" w:cs="Arial"/>
          <w:sz w:val="20"/>
        </w:rPr>
        <w:t>on of</w:t>
      </w:r>
      <w:r w:rsidR="0006226D" w:rsidRPr="00593BD3">
        <w:rPr>
          <w:rFonts w:ascii="Arial" w:hAnsi="Arial" w:cs="Arial"/>
          <w:sz w:val="20"/>
        </w:rPr>
        <w:t xml:space="preserve"> the expected activities </w:t>
      </w:r>
      <w:r w:rsidR="00162A00" w:rsidRPr="00593BD3">
        <w:rPr>
          <w:rFonts w:ascii="Arial" w:hAnsi="Arial" w:cs="Arial"/>
          <w:sz w:val="20"/>
        </w:rPr>
        <w:t xml:space="preserve">due to human resource capacity and constraints. </w:t>
      </w:r>
      <w:r w:rsidR="002A6CE2" w:rsidRPr="00593BD3">
        <w:rPr>
          <w:rFonts w:ascii="Arial" w:hAnsi="Arial" w:cs="Arial"/>
          <w:sz w:val="20"/>
        </w:rPr>
        <w:t>A</w:t>
      </w:r>
      <w:r w:rsidR="00162A00" w:rsidRPr="00593BD3">
        <w:rPr>
          <w:rFonts w:ascii="Arial" w:hAnsi="Arial" w:cs="Arial"/>
          <w:sz w:val="20"/>
        </w:rPr>
        <w:t xml:space="preserve"> </w:t>
      </w:r>
      <w:r w:rsidR="00197F7E" w:rsidRPr="00593BD3">
        <w:rPr>
          <w:rFonts w:ascii="Arial" w:hAnsi="Arial" w:cs="Arial"/>
          <w:sz w:val="20"/>
        </w:rPr>
        <w:t>dedicated</w:t>
      </w:r>
      <w:r w:rsidR="00162A00" w:rsidRPr="00593BD3">
        <w:rPr>
          <w:rFonts w:ascii="Arial" w:hAnsi="Arial" w:cs="Arial"/>
          <w:sz w:val="20"/>
        </w:rPr>
        <w:t xml:space="preserve"> Financial </w:t>
      </w:r>
      <w:r w:rsidR="002A6CE2" w:rsidRPr="00593BD3">
        <w:rPr>
          <w:rFonts w:ascii="Arial" w:hAnsi="Arial" w:cs="Arial"/>
          <w:sz w:val="20"/>
        </w:rPr>
        <w:t>Officer and Procurement Officer</w:t>
      </w:r>
      <w:r w:rsidR="00162A00" w:rsidRPr="00593BD3">
        <w:rPr>
          <w:rFonts w:ascii="Arial" w:hAnsi="Arial" w:cs="Arial"/>
          <w:sz w:val="20"/>
        </w:rPr>
        <w:t xml:space="preserve"> </w:t>
      </w:r>
      <w:r w:rsidR="00A722E7">
        <w:rPr>
          <w:rFonts w:ascii="Arial" w:hAnsi="Arial" w:cs="Arial"/>
          <w:sz w:val="20"/>
        </w:rPr>
        <w:t xml:space="preserve">assigned to MCH Unit </w:t>
      </w:r>
      <w:r w:rsidR="002A6CE2" w:rsidRPr="00593BD3">
        <w:rPr>
          <w:rFonts w:ascii="Arial" w:hAnsi="Arial" w:cs="Arial"/>
          <w:sz w:val="20"/>
        </w:rPr>
        <w:t xml:space="preserve">are considered </w:t>
      </w:r>
      <w:r w:rsidR="00162A00" w:rsidRPr="00593BD3">
        <w:rPr>
          <w:rFonts w:ascii="Arial" w:hAnsi="Arial" w:cs="Arial"/>
          <w:sz w:val="20"/>
        </w:rPr>
        <w:t>essential</w:t>
      </w:r>
      <w:r w:rsidR="002A6CE2" w:rsidRPr="00593BD3">
        <w:rPr>
          <w:rFonts w:ascii="Arial" w:hAnsi="Arial" w:cs="Arial"/>
          <w:sz w:val="20"/>
        </w:rPr>
        <w:t xml:space="preserve"> elements</w:t>
      </w:r>
      <w:r w:rsidR="00162A00" w:rsidRPr="00593BD3">
        <w:rPr>
          <w:rFonts w:ascii="Arial" w:hAnsi="Arial" w:cs="Arial"/>
          <w:sz w:val="20"/>
        </w:rPr>
        <w:t xml:space="preserve"> for the </w:t>
      </w:r>
      <w:r w:rsidR="002A6CE2" w:rsidRPr="00593BD3">
        <w:rPr>
          <w:rFonts w:ascii="Arial" w:hAnsi="Arial" w:cs="Arial"/>
          <w:sz w:val="20"/>
        </w:rPr>
        <w:t xml:space="preserve">execution of the fiduciary activities under this Loan and to ensure the </w:t>
      </w:r>
      <w:r w:rsidR="00162A00" w:rsidRPr="00593BD3">
        <w:rPr>
          <w:rFonts w:ascii="Arial" w:hAnsi="Arial" w:cs="Arial"/>
          <w:sz w:val="20"/>
        </w:rPr>
        <w:t>maintenance of a strong system of internal reporting and control</w:t>
      </w:r>
      <w:r w:rsidR="002A6CE2" w:rsidRPr="00593BD3">
        <w:rPr>
          <w:rFonts w:ascii="Arial" w:hAnsi="Arial" w:cs="Arial"/>
          <w:sz w:val="20"/>
        </w:rPr>
        <w:t xml:space="preserve"> mechanism</w:t>
      </w:r>
      <w:r w:rsidR="00923B95" w:rsidRPr="00593BD3">
        <w:rPr>
          <w:rFonts w:ascii="Arial" w:hAnsi="Arial" w:cs="Arial"/>
          <w:sz w:val="20"/>
        </w:rPr>
        <w:t xml:space="preserve">. </w:t>
      </w:r>
      <w:r w:rsidR="002A6CE2" w:rsidRPr="00593BD3">
        <w:rPr>
          <w:rFonts w:ascii="Arial" w:hAnsi="Arial" w:cs="Arial"/>
          <w:sz w:val="20"/>
        </w:rPr>
        <w:t xml:space="preserve">As a mitigation measure, the newly recruited </w:t>
      </w:r>
      <w:r w:rsidR="003A0123" w:rsidRPr="00593BD3">
        <w:rPr>
          <w:rFonts w:ascii="Arial" w:hAnsi="Arial" w:cs="Arial"/>
          <w:sz w:val="20"/>
        </w:rPr>
        <w:t>F</w:t>
      </w:r>
      <w:r w:rsidR="002A6CE2" w:rsidRPr="00593BD3">
        <w:rPr>
          <w:rFonts w:ascii="Arial" w:hAnsi="Arial" w:cs="Arial"/>
          <w:sz w:val="20"/>
        </w:rPr>
        <w:t xml:space="preserve">inancial </w:t>
      </w:r>
      <w:r w:rsidR="002D316C">
        <w:rPr>
          <w:rFonts w:ascii="Arial" w:hAnsi="Arial" w:cs="Arial"/>
          <w:sz w:val="20"/>
        </w:rPr>
        <w:t xml:space="preserve">and Procurement </w:t>
      </w:r>
      <w:r w:rsidR="003A0123" w:rsidRPr="00593BD3">
        <w:rPr>
          <w:rFonts w:ascii="Arial" w:hAnsi="Arial" w:cs="Arial"/>
          <w:sz w:val="20"/>
        </w:rPr>
        <w:t>O</w:t>
      </w:r>
      <w:r w:rsidR="002A6CE2" w:rsidRPr="00593BD3">
        <w:rPr>
          <w:rFonts w:ascii="Arial" w:hAnsi="Arial" w:cs="Arial"/>
          <w:sz w:val="20"/>
        </w:rPr>
        <w:t>fficer</w:t>
      </w:r>
      <w:r w:rsidR="002D316C">
        <w:rPr>
          <w:rFonts w:ascii="Arial" w:hAnsi="Arial" w:cs="Arial"/>
          <w:sz w:val="20"/>
        </w:rPr>
        <w:t>s</w:t>
      </w:r>
      <w:r w:rsidR="002A6CE2" w:rsidRPr="00593BD3">
        <w:rPr>
          <w:rFonts w:ascii="Arial" w:hAnsi="Arial" w:cs="Arial"/>
          <w:sz w:val="20"/>
        </w:rPr>
        <w:t xml:space="preserve"> will be trained in Bank’s </w:t>
      </w:r>
      <w:r w:rsidR="0007017A" w:rsidRPr="00593BD3">
        <w:rPr>
          <w:rFonts w:ascii="Arial" w:hAnsi="Arial" w:cs="Arial"/>
          <w:sz w:val="20"/>
        </w:rPr>
        <w:t>rules and procedures.</w:t>
      </w:r>
    </w:p>
    <w:p w:rsidR="00C1078C" w:rsidRPr="00593BD3" w:rsidRDefault="00295FEB" w:rsidP="00A46DED">
      <w:pPr>
        <w:pStyle w:val="ListParagraph"/>
        <w:numPr>
          <w:ilvl w:val="1"/>
          <w:numId w:val="21"/>
        </w:numPr>
        <w:suppressAutoHyphens w:val="0"/>
        <w:autoSpaceDN/>
        <w:snapToGrid w:val="0"/>
        <w:spacing w:after="120"/>
        <w:ind w:left="540" w:hanging="540"/>
        <w:contextualSpacing w:val="0"/>
        <w:jc w:val="both"/>
        <w:textAlignment w:val="auto"/>
        <w:rPr>
          <w:rFonts w:ascii="Arial" w:hAnsi="Arial" w:cs="Arial"/>
          <w:sz w:val="20"/>
        </w:rPr>
      </w:pPr>
      <w:r w:rsidRPr="00593BD3">
        <w:rPr>
          <w:rFonts w:ascii="Arial" w:hAnsi="Arial" w:cs="Arial"/>
          <w:sz w:val="20"/>
        </w:rPr>
        <w:t>Taking into consideration the ICAS assessment, the financial management arrangements revealed medium financial management risk.</w:t>
      </w:r>
    </w:p>
    <w:p w:rsidR="00335447" w:rsidRPr="00593BD3" w:rsidRDefault="0007017A" w:rsidP="00A46DED">
      <w:pPr>
        <w:pStyle w:val="ListParagraph"/>
        <w:numPr>
          <w:ilvl w:val="1"/>
          <w:numId w:val="21"/>
        </w:numPr>
        <w:suppressAutoHyphens w:val="0"/>
        <w:autoSpaceDN/>
        <w:snapToGrid w:val="0"/>
        <w:spacing w:after="120"/>
        <w:ind w:left="540" w:hanging="540"/>
        <w:contextualSpacing w:val="0"/>
        <w:jc w:val="both"/>
        <w:textAlignment w:val="auto"/>
        <w:rPr>
          <w:rFonts w:ascii="Arial" w:hAnsi="Arial" w:cs="Arial"/>
          <w:sz w:val="20"/>
        </w:rPr>
      </w:pPr>
      <w:r w:rsidRPr="00593BD3">
        <w:rPr>
          <w:rFonts w:ascii="Arial" w:hAnsi="Arial" w:cs="Arial"/>
          <w:sz w:val="20"/>
        </w:rPr>
        <w:t>With regards to procurement activities</w:t>
      </w:r>
      <w:r w:rsidR="00033130" w:rsidRPr="00593BD3">
        <w:rPr>
          <w:rFonts w:ascii="Arial" w:hAnsi="Arial" w:cs="Arial"/>
          <w:sz w:val="20"/>
        </w:rPr>
        <w:t xml:space="preserve">, </w:t>
      </w:r>
      <w:r w:rsidR="00BA5F78" w:rsidRPr="00593BD3">
        <w:rPr>
          <w:rFonts w:ascii="Arial" w:hAnsi="Arial" w:cs="Arial"/>
          <w:sz w:val="20"/>
        </w:rPr>
        <w:t>the ICAS</w:t>
      </w:r>
      <w:r w:rsidR="00033130" w:rsidRPr="00593BD3">
        <w:rPr>
          <w:rFonts w:ascii="Arial" w:hAnsi="Arial" w:cs="Arial"/>
          <w:sz w:val="20"/>
        </w:rPr>
        <w:t xml:space="preserve"> </w:t>
      </w:r>
      <w:r w:rsidR="00A3123A" w:rsidRPr="00593BD3">
        <w:rPr>
          <w:rFonts w:ascii="Arial" w:hAnsi="Arial" w:cs="Arial"/>
          <w:sz w:val="20"/>
        </w:rPr>
        <w:t>identified</w:t>
      </w:r>
      <w:r w:rsidR="00033130" w:rsidRPr="00593BD3">
        <w:rPr>
          <w:rFonts w:ascii="Arial" w:hAnsi="Arial" w:cs="Arial"/>
          <w:sz w:val="20"/>
        </w:rPr>
        <w:t xml:space="preserve"> </w:t>
      </w:r>
      <w:r w:rsidR="00295FEB" w:rsidRPr="00593BD3">
        <w:rPr>
          <w:rFonts w:ascii="Arial" w:hAnsi="Arial" w:cs="Arial"/>
          <w:sz w:val="20"/>
        </w:rPr>
        <w:t>a medium risk</w:t>
      </w:r>
      <w:r w:rsidR="00CE0ACC" w:rsidRPr="00593BD3">
        <w:rPr>
          <w:rFonts w:ascii="Arial" w:hAnsi="Arial" w:cs="Arial"/>
          <w:sz w:val="20"/>
        </w:rPr>
        <w:t xml:space="preserve"> in terms </w:t>
      </w:r>
      <w:r w:rsidR="00A3123A" w:rsidRPr="00593BD3">
        <w:rPr>
          <w:rFonts w:ascii="Arial" w:hAnsi="Arial" w:cs="Arial"/>
          <w:sz w:val="20"/>
        </w:rPr>
        <w:t xml:space="preserve">of </w:t>
      </w:r>
      <w:r w:rsidR="00CE0ACC" w:rsidRPr="00593BD3">
        <w:rPr>
          <w:rFonts w:ascii="Arial" w:hAnsi="Arial" w:cs="Arial"/>
          <w:sz w:val="20"/>
        </w:rPr>
        <w:t>organizational structure.</w:t>
      </w:r>
      <w:r w:rsidR="00295FEB" w:rsidRPr="00593BD3">
        <w:rPr>
          <w:rFonts w:ascii="Arial" w:hAnsi="Arial" w:cs="Arial"/>
          <w:sz w:val="20"/>
        </w:rPr>
        <w:t xml:space="preserve"> It also noted </w:t>
      </w:r>
      <w:r w:rsidR="00033130" w:rsidRPr="00593BD3">
        <w:rPr>
          <w:rFonts w:ascii="Arial" w:hAnsi="Arial" w:cs="Arial"/>
          <w:sz w:val="20"/>
        </w:rPr>
        <w:t xml:space="preserve">that </w:t>
      </w:r>
      <w:r w:rsidR="00BA5F78" w:rsidRPr="00593BD3">
        <w:rPr>
          <w:rFonts w:ascii="Arial" w:hAnsi="Arial" w:cs="Arial"/>
          <w:sz w:val="20"/>
        </w:rPr>
        <w:t>the MMU discharge</w:t>
      </w:r>
      <w:r w:rsidR="00E13485" w:rsidRPr="00593BD3">
        <w:rPr>
          <w:rFonts w:ascii="Arial" w:hAnsi="Arial" w:cs="Arial"/>
          <w:sz w:val="20"/>
        </w:rPr>
        <w:t>s</w:t>
      </w:r>
      <w:r w:rsidR="00033130" w:rsidRPr="00593BD3">
        <w:rPr>
          <w:rFonts w:ascii="Arial" w:hAnsi="Arial" w:cs="Arial"/>
          <w:sz w:val="20"/>
        </w:rPr>
        <w:t xml:space="preserve"> its procurement duties in accordance with the Procurement Act of 2003. The </w:t>
      </w:r>
      <w:r w:rsidR="00CE5AAD">
        <w:rPr>
          <w:rFonts w:ascii="Arial" w:hAnsi="Arial" w:cs="Arial"/>
          <w:sz w:val="20"/>
        </w:rPr>
        <w:t xml:space="preserve">personnel who will be in charge of the project’s execution </w:t>
      </w:r>
      <w:r w:rsidR="00033130" w:rsidRPr="00593BD3">
        <w:rPr>
          <w:rFonts w:ascii="Arial" w:hAnsi="Arial" w:cs="Arial"/>
          <w:sz w:val="20"/>
        </w:rPr>
        <w:t xml:space="preserve">will have to discharge its duties in accordance with the Bank Policies. This will require coordination which will be </w:t>
      </w:r>
      <w:r w:rsidR="00832477" w:rsidRPr="00593BD3">
        <w:rPr>
          <w:rFonts w:ascii="Arial" w:hAnsi="Arial" w:cs="Arial"/>
          <w:sz w:val="20"/>
        </w:rPr>
        <w:t>set out in</w:t>
      </w:r>
      <w:r w:rsidR="00033130" w:rsidRPr="00593BD3">
        <w:rPr>
          <w:rFonts w:ascii="Arial" w:hAnsi="Arial" w:cs="Arial"/>
          <w:sz w:val="20"/>
        </w:rPr>
        <w:t xml:space="preserve"> the Operation’s Manual. The latter will be considered a condition prior to eligibility and should include, among others: (i) norms tailored to the characteristics and administrative practices of the M</w:t>
      </w:r>
      <w:r w:rsidR="00D12FCA">
        <w:rPr>
          <w:rFonts w:ascii="Arial" w:hAnsi="Arial" w:cs="Arial"/>
          <w:sz w:val="20"/>
        </w:rPr>
        <w:t>o</w:t>
      </w:r>
      <w:r w:rsidR="00832477" w:rsidRPr="00593BD3">
        <w:rPr>
          <w:rFonts w:ascii="Arial" w:hAnsi="Arial" w:cs="Arial"/>
          <w:sz w:val="20"/>
        </w:rPr>
        <w:t>P</w:t>
      </w:r>
      <w:r w:rsidR="00033130" w:rsidRPr="00593BD3">
        <w:rPr>
          <w:rFonts w:ascii="Arial" w:hAnsi="Arial" w:cs="Arial"/>
          <w:sz w:val="20"/>
        </w:rPr>
        <w:t xml:space="preserve">H and in accordance with the </w:t>
      </w:r>
      <w:r w:rsidR="00832477" w:rsidRPr="00593BD3">
        <w:rPr>
          <w:rFonts w:ascii="Arial" w:hAnsi="Arial" w:cs="Arial"/>
          <w:sz w:val="20"/>
        </w:rPr>
        <w:t>B</w:t>
      </w:r>
      <w:r w:rsidR="00CB1DB8">
        <w:rPr>
          <w:rFonts w:ascii="Arial" w:hAnsi="Arial" w:cs="Arial"/>
          <w:sz w:val="20"/>
        </w:rPr>
        <w:t>ank’s policies; (ii) </w:t>
      </w:r>
      <w:r w:rsidR="00033130" w:rsidRPr="00593BD3">
        <w:rPr>
          <w:rFonts w:ascii="Arial" w:hAnsi="Arial" w:cs="Arial"/>
          <w:sz w:val="20"/>
        </w:rPr>
        <w:t>identification of workflows and corresponding purchasing and contracting modalities addressing also issues of planning and levels of delegation of aut</w:t>
      </w:r>
      <w:r w:rsidR="009649B9" w:rsidRPr="00593BD3">
        <w:rPr>
          <w:rFonts w:ascii="Arial" w:hAnsi="Arial" w:cs="Arial"/>
          <w:sz w:val="20"/>
        </w:rPr>
        <w:t>h</w:t>
      </w:r>
      <w:r w:rsidR="00033130" w:rsidRPr="00593BD3">
        <w:rPr>
          <w:rFonts w:ascii="Arial" w:hAnsi="Arial" w:cs="Arial"/>
          <w:sz w:val="20"/>
        </w:rPr>
        <w:t>ority; (iii) definition of a filing system designed to ensure that all procurement related files will remai</w:t>
      </w:r>
      <w:r w:rsidR="002D1499">
        <w:rPr>
          <w:rFonts w:ascii="Arial" w:hAnsi="Arial" w:cs="Arial"/>
          <w:sz w:val="20"/>
        </w:rPr>
        <w:t>n fully accessible for seven</w:t>
      </w:r>
      <w:r w:rsidR="004915C4">
        <w:rPr>
          <w:rFonts w:ascii="Arial" w:hAnsi="Arial" w:cs="Arial"/>
          <w:sz w:val="20"/>
        </w:rPr>
        <w:t xml:space="preserve"> years in accordance with</w:t>
      </w:r>
      <w:r w:rsidR="00033130" w:rsidRPr="00593BD3">
        <w:rPr>
          <w:rFonts w:ascii="Arial" w:hAnsi="Arial" w:cs="Arial"/>
          <w:sz w:val="20"/>
        </w:rPr>
        <w:t xml:space="preserve"> Bank’s policies. </w:t>
      </w:r>
      <w:r w:rsidR="00A3123A" w:rsidRPr="00593BD3">
        <w:rPr>
          <w:rFonts w:ascii="Arial" w:hAnsi="Arial" w:cs="Arial"/>
          <w:sz w:val="20"/>
        </w:rPr>
        <w:t xml:space="preserve">Additionally, given the nature of the expected procurement activities under this Loan as described in the attached procurement plan, the risk is identified as being medium provided that technical specifications and terms of references are </w:t>
      </w:r>
      <w:r w:rsidR="00D12FCA">
        <w:rPr>
          <w:rFonts w:ascii="Arial" w:hAnsi="Arial" w:cs="Arial"/>
          <w:sz w:val="20"/>
        </w:rPr>
        <w:t>in line with the Mo</w:t>
      </w:r>
      <w:r w:rsidR="00B00F7D" w:rsidRPr="00593BD3">
        <w:rPr>
          <w:rFonts w:ascii="Arial" w:hAnsi="Arial" w:cs="Arial"/>
          <w:sz w:val="20"/>
        </w:rPr>
        <w:t>PH’s requirements</w:t>
      </w:r>
      <w:r w:rsidR="00166EBE">
        <w:rPr>
          <w:rFonts w:ascii="Arial" w:hAnsi="Arial" w:cs="Arial"/>
          <w:sz w:val="20"/>
        </w:rPr>
        <w:t xml:space="preserve"> and the requirements of the Loan Agreement</w:t>
      </w:r>
      <w:r w:rsidR="002D1499">
        <w:rPr>
          <w:rFonts w:ascii="Arial" w:hAnsi="Arial" w:cs="Arial"/>
          <w:sz w:val="20"/>
        </w:rPr>
        <w:t>.</w:t>
      </w:r>
    </w:p>
    <w:p w:rsidR="00335447" w:rsidRPr="00593BD3" w:rsidRDefault="00335447" w:rsidP="00E656ED">
      <w:pPr>
        <w:numPr>
          <w:ilvl w:val="0"/>
          <w:numId w:val="1"/>
        </w:numPr>
        <w:suppressAutoHyphens w:val="0"/>
        <w:autoSpaceDE w:val="0"/>
        <w:adjustRightInd w:val="0"/>
        <w:snapToGrid w:val="0"/>
        <w:spacing w:before="120" w:after="120"/>
        <w:textAlignment w:val="auto"/>
        <w:rPr>
          <w:rFonts w:ascii="Arial" w:hAnsi="Arial" w:cs="Arial"/>
          <w:b/>
          <w:sz w:val="20"/>
        </w:rPr>
      </w:pPr>
      <w:r w:rsidRPr="00593BD3">
        <w:rPr>
          <w:rFonts w:ascii="Arial" w:hAnsi="Arial" w:cs="Arial"/>
          <w:b/>
          <w:sz w:val="20"/>
        </w:rPr>
        <w:t>SPECIAL CONDITIONS OF CONTRACT TO BE ADHERED TO</w:t>
      </w:r>
    </w:p>
    <w:p w:rsidR="00B9468C" w:rsidRPr="0027784A" w:rsidRDefault="00B9468C" w:rsidP="0027784A">
      <w:pPr>
        <w:numPr>
          <w:ilvl w:val="1"/>
          <w:numId w:val="12"/>
        </w:numPr>
        <w:tabs>
          <w:tab w:val="left" w:pos="270"/>
        </w:tabs>
        <w:suppressAutoHyphens w:val="0"/>
        <w:autoSpaceDN/>
        <w:snapToGrid w:val="0"/>
        <w:spacing w:after="120"/>
        <w:ind w:left="540" w:hanging="540"/>
        <w:jc w:val="both"/>
        <w:textAlignment w:val="auto"/>
        <w:rPr>
          <w:rFonts w:ascii="Arial" w:hAnsi="Arial" w:cs="Arial"/>
          <w:sz w:val="20"/>
        </w:rPr>
      </w:pPr>
      <w:r w:rsidRPr="0027784A">
        <w:rPr>
          <w:rFonts w:ascii="Arial" w:hAnsi="Arial" w:cs="Arial"/>
          <w:b/>
          <w:sz w:val="20"/>
        </w:rPr>
        <w:t>Conditions prior to first disbursement:</w:t>
      </w:r>
      <w:r w:rsidRPr="0027784A">
        <w:rPr>
          <w:rFonts w:ascii="Arial" w:hAnsi="Arial" w:cs="Arial"/>
          <w:sz w:val="20"/>
        </w:rPr>
        <w:t xml:space="preserve"> The presentation of evidence that MoPH has </w:t>
      </w:r>
      <w:r w:rsidR="00346DFF">
        <w:rPr>
          <w:rFonts w:ascii="Arial" w:hAnsi="Arial" w:cs="Arial"/>
          <w:sz w:val="20"/>
        </w:rPr>
        <w:t>recru</w:t>
      </w:r>
      <w:r w:rsidR="00F52311">
        <w:rPr>
          <w:rFonts w:ascii="Arial" w:hAnsi="Arial" w:cs="Arial"/>
          <w:sz w:val="20"/>
        </w:rPr>
        <w:t>i</w:t>
      </w:r>
      <w:r w:rsidR="00346DFF">
        <w:rPr>
          <w:rFonts w:ascii="Arial" w:hAnsi="Arial" w:cs="Arial"/>
          <w:sz w:val="20"/>
        </w:rPr>
        <w:t xml:space="preserve">ted a designated </w:t>
      </w:r>
      <w:r w:rsidRPr="0027784A">
        <w:rPr>
          <w:rFonts w:ascii="Arial" w:hAnsi="Arial" w:cs="Arial"/>
          <w:sz w:val="20"/>
        </w:rPr>
        <w:t>Financial Officer for the program. Another condition prior will include the recruitment of a Procurement Officer. The last condition prior will be the validation of an Operation’s Manual which will capture all the necessary fiduciary arrangements, as well as all item</w:t>
      </w:r>
      <w:r w:rsidR="00A722E7">
        <w:rPr>
          <w:rFonts w:ascii="Arial" w:hAnsi="Arial" w:cs="Arial"/>
          <w:sz w:val="20"/>
        </w:rPr>
        <w:t>s as expected in such document.</w:t>
      </w:r>
    </w:p>
    <w:p w:rsidR="0065637C" w:rsidRPr="00593BD3" w:rsidRDefault="0065637C" w:rsidP="00A46DED">
      <w:pPr>
        <w:numPr>
          <w:ilvl w:val="1"/>
          <w:numId w:val="12"/>
        </w:numPr>
        <w:suppressAutoHyphens w:val="0"/>
        <w:autoSpaceDN/>
        <w:snapToGrid w:val="0"/>
        <w:spacing w:after="120"/>
        <w:ind w:left="540" w:hanging="540"/>
        <w:jc w:val="both"/>
        <w:textAlignment w:val="auto"/>
        <w:rPr>
          <w:rFonts w:ascii="Arial" w:hAnsi="Arial" w:cs="Arial"/>
          <w:sz w:val="20"/>
        </w:rPr>
      </w:pPr>
      <w:r w:rsidRPr="00593BD3">
        <w:rPr>
          <w:rFonts w:ascii="Arial" w:hAnsi="Arial" w:cs="Arial"/>
          <w:b/>
          <w:sz w:val="20"/>
        </w:rPr>
        <w:t xml:space="preserve">Type of </w:t>
      </w:r>
      <w:r w:rsidR="006E1AE9" w:rsidRPr="00593BD3">
        <w:rPr>
          <w:rFonts w:ascii="Arial" w:hAnsi="Arial" w:cs="Arial"/>
          <w:b/>
          <w:sz w:val="20"/>
        </w:rPr>
        <w:t xml:space="preserve">exchange rate </w:t>
      </w:r>
      <w:r w:rsidR="00CB1DB8">
        <w:rPr>
          <w:rFonts w:ascii="Arial" w:hAnsi="Arial" w:cs="Arial"/>
          <w:b/>
          <w:sz w:val="20"/>
        </w:rPr>
        <w:t>to be used by EA.</w:t>
      </w:r>
      <w:r w:rsidRPr="00593BD3">
        <w:rPr>
          <w:rFonts w:ascii="Arial" w:hAnsi="Arial" w:cs="Arial"/>
          <w:sz w:val="20"/>
        </w:rPr>
        <w:t xml:space="preserve"> </w:t>
      </w:r>
      <w:r w:rsidR="00875E16" w:rsidRPr="00593BD3">
        <w:rPr>
          <w:rFonts w:ascii="Arial" w:hAnsi="Arial" w:cs="Arial"/>
          <w:sz w:val="20"/>
        </w:rPr>
        <w:t>T</w:t>
      </w:r>
      <w:r w:rsidRPr="00593BD3">
        <w:rPr>
          <w:rFonts w:ascii="Arial" w:hAnsi="Arial" w:cs="Arial"/>
          <w:sz w:val="20"/>
        </w:rPr>
        <w:t>he type of funds to be used are established in the following manner: (i) Reimbursement of actual expenses: the effective rate of exchange on the date of payment of each expenditure, as published by the Central Bank of Guyana; (ii) Reporting on accounts (Advance of Funds): the effective rate of exchange used in the conversion of the currency of the operation to the local currency</w:t>
      </w:r>
      <w:r w:rsidR="006E1AE9" w:rsidRPr="00593BD3">
        <w:rPr>
          <w:rFonts w:ascii="Arial" w:hAnsi="Arial" w:cs="Arial"/>
          <w:sz w:val="20"/>
        </w:rPr>
        <w:t>.</w:t>
      </w:r>
      <w:r w:rsidR="00CB47BB" w:rsidRPr="00593BD3">
        <w:rPr>
          <w:rFonts w:ascii="Arial" w:hAnsi="Arial" w:cs="Arial"/>
          <w:sz w:val="20"/>
        </w:rPr>
        <w:t xml:space="preserve"> </w:t>
      </w:r>
      <w:r w:rsidRPr="00593BD3">
        <w:rPr>
          <w:rFonts w:ascii="Arial" w:hAnsi="Arial" w:cs="Arial"/>
          <w:sz w:val="20"/>
        </w:rPr>
        <w:t>In cases of reimbursement of a guarantee of letter of credit, the equivalent of the currency of the operation will be fixed in accordance with the amount effectively disbursed by the IDB</w:t>
      </w:r>
      <w:r w:rsidR="004B396A" w:rsidRPr="00593BD3">
        <w:rPr>
          <w:rFonts w:ascii="Arial" w:hAnsi="Arial" w:cs="Arial"/>
          <w:sz w:val="20"/>
        </w:rPr>
        <w:t>.</w:t>
      </w:r>
    </w:p>
    <w:p w:rsidR="00335447" w:rsidRPr="00593BD3" w:rsidRDefault="00335447" w:rsidP="00E656ED">
      <w:pPr>
        <w:pStyle w:val="ListParagraph"/>
        <w:numPr>
          <w:ilvl w:val="0"/>
          <w:numId w:val="1"/>
        </w:numPr>
        <w:suppressAutoHyphens w:val="0"/>
        <w:autoSpaceDN/>
        <w:snapToGrid w:val="0"/>
        <w:spacing w:after="120"/>
        <w:contextualSpacing w:val="0"/>
        <w:textAlignment w:val="auto"/>
        <w:rPr>
          <w:rFonts w:ascii="Arial" w:hAnsi="Arial" w:cs="Arial"/>
          <w:b/>
          <w:sz w:val="20"/>
        </w:rPr>
      </w:pPr>
      <w:r w:rsidRPr="00593BD3">
        <w:rPr>
          <w:rFonts w:ascii="Arial" w:hAnsi="Arial" w:cs="Arial"/>
          <w:b/>
          <w:sz w:val="20"/>
        </w:rPr>
        <w:t>FINANCIAL MANAGEMENT</w:t>
      </w:r>
    </w:p>
    <w:p w:rsidR="0065637C" w:rsidRPr="00593BD3" w:rsidRDefault="006B0C09" w:rsidP="00A46DED">
      <w:pPr>
        <w:numPr>
          <w:ilvl w:val="1"/>
          <w:numId w:val="22"/>
        </w:numPr>
        <w:suppressAutoHyphens w:val="0"/>
        <w:autoSpaceDN/>
        <w:snapToGrid w:val="0"/>
        <w:spacing w:after="120"/>
        <w:ind w:left="540" w:hanging="540"/>
        <w:jc w:val="both"/>
        <w:textAlignment w:val="auto"/>
        <w:rPr>
          <w:rFonts w:ascii="Arial" w:hAnsi="Arial" w:cs="Arial"/>
          <w:sz w:val="20"/>
        </w:rPr>
      </w:pPr>
      <w:r w:rsidRPr="00593BD3">
        <w:rPr>
          <w:rFonts w:ascii="Arial" w:hAnsi="Arial" w:cs="Arial"/>
          <w:b/>
          <w:sz w:val="20"/>
        </w:rPr>
        <w:t>Financial Statements and Reports, audited or unaudited</w:t>
      </w:r>
      <w:r w:rsidR="00CB1DB8">
        <w:rPr>
          <w:rFonts w:ascii="Arial" w:hAnsi="Arial" w:cs="Arial"/>
          <w:b/>
          <w:sz w:val="20"/>
        </w:rPr>
        <w:t>.</w:t>
      </w:r>
      <w:r w:rsidRPr="00593BD3">
        <w:rPr>
          <w:rFonts w:ascii="Arial" w:hAnsi="Arial" w:cs="Arial"/>
          <w:b/>
          <w:sz w:val="20"/>
        </w:rPr>
        <w:t xml:space="preserve"> </w:t>
      </w:r>
      <w:r w:rsidR="0065637C" w:rsidRPr="00593BD3">
        <w:rPr>
          <w:rFonts w:ascii="Arial" w:hAnsi="Arial" w:cs="Arial"/>
          <w:sz w:val="20"/>
        </w:rPr>
        <w:t xml:space="preserve">(i) semi-annual financial reports of the program are to be included in the semi-annual progress report which will be submitted by the </w:t>
      </w:r>
      <w:r w:rsidR="008E62F9" w:rsidRPr="00593BD3">
        <w:rPr>
          <w:rFonts w:ascii="Arial" w:hAnsi="Arial" w:cs="Arial"/>
          <w:sz w:val="20"/>
        </w:rPr>
        <w:t>Mo</w:t>
      </w:r>
      <w:r w:rsidR="00E13485" w:rsidRPr="00593BD3">
        <w:rPr>
          <w:rFonts w:ascii="Arial" w:hAnsi="Arial" w:cs="Arial"/>
          <w:sz w:val="20"/>
        </w:rPr>
        <w:t>P</w:t>
      </w:r>
      <w:r w:rsidR="008E62F9" w:rsidRPr="00593BD3">
        <w:rPr>
          <w:rFonts w:ascii="Arial" w:hAnsi="Arial" w:cs="Arial"/>
          <w:sz w:val="20"/>
        </w:rPr>
        <w:t>H</w:t>
      </w:r>
      <w:r w:rsidR="00241D78" w:rsidRPr="00593BD3">
        <w:rPr>
          <w:rFonts w:ascii="Arial" w:hAnsi="Arial" w:cs="Arial"/>
          <w:sz w:val="20"/>
        </w:rPr>
        <w:t xml:space="preserve"> </w:t>
      </w:r>
      <w:r w:rsidR="0065637C" w:rsidRPr="00593BD3">
        <w:rPr>
          <w:rFonts w:ascii="Arial" w:hAnsi="Arial" w:cs="Arial"/>
          <w:sz w:val="20"/>
        </w:rPr>
        <w:t xml:space="preserve">to the Bank; (ii) annual financial statements of the project, audited by the Auditor General of Guyana are to be submitted to the Bank within 120 days at the </w:t>
      </w:r>
      <w:r w:rsidR="0065637C" w:rsidRPr="00593BD3">
        <w:rPr>
          <w:rFonts w:ascii="Arial" w:hAnsi="Arial" w:cs="Arial"/>
          <w:sz w:val="20"/>
        </w:rPr>
        <w:lastRenderedPageBreak/>
        <w:t>end of each fiscal year, beginning with the fiscal year in which the first project expenditures are incurred</w:t>
      </w:r>
      <w:r w:rsidR="00554DE0">
        <w:rPr>
          <w:rFonts w:ascii="Arial" w:hAnsi="Arial" w:cs="Arial"/>
          <w:sz w:val="20"/>
        </w:rPr>
        <w:t>;</w:t>
      </w:r>
      <w:r w:rsidR="00241D78" w:rsidRPr="00593BD3">
        <w:rPr>
          <w:rFonts w:ascii="Arial" w:hAnsi="Arial" w:cs="Arial"/>
          <w:sz w:val="20"/>
        </w:rPr>
        <w:t xml:space="preserve"> and</w:t>
      </w:r>
      <w:r w:rsidR="0065637C" w:rsidRPr="00593BD3">
        <w:rPr>
          <w:rFonts w:ascii="Arial" w:hAnsi="Arial" w:cs="Arial"/>
          <w:sz w:val="20"/>
        </w:rPr>
        <w:t xml:space="preserve"> (iii) a final financial audit report of the program is to be submitted by </w:t>
      </w:r>
      <w:r w:rsidR="00554DE0">
        <w:rPr>
          <w:rFonts w:ascii="Arial" w:hAnsi="Arial" w:cs="Arial"/>
          <w:sz w:val="20"/>
        </w:rPr>
        <w:t>Mo</w:t>
      </w:r>
      <w:r w:rsidR="009F4FF3">
        <w:rPr>
          <w:rFonts w:ascii="Arial" w:hAnsi="Arial" w:cs="Arial"/>
          <w:sz w:val="20"/>
        </w:rPr>
        <w:t>P</w:t>
      </w:r>
      <w:r w:rsidR="008E62F9" w:rsidRPr="00593BD3">
        <w:rPr>
          <w:rFonts w:ascii="Arial" w:hAnsi="Arial" w:cs="Arial"/>
          <w:sz w:val="20"/>
        </w:rPr>
        <w:t>H</w:t>
      </w:r>
      <w:r w:rsidR="002567C0" w:rsidRPr="00593BD3">
        <w:rPr>
          <w:rFonts w:ascii="Arial" w:hAnsi="Arial" w:cs="Arial"/>
          <w:sz w:val="20"/>
        </w:rPr>
        <w:t xml:space="preserve"> </w:t>
      </w:r>
      <w:r w:rsidR="0065637C" w:rsidRPr="00593BD3">
        <w:rPr>
          <w:rFonts w:ascii="Arial" w:hAnsi="Arial" w:cs="Arial"/>
          <w:sz w:val="20"/>
        </w:rPr>
        <w:t>within 120 days after the date of the last disbursement</w:t>
      </w:r>
      <w:r w:rsidR="0083610B" w:rsidRPr="00593BD3">
        <w:rPr>
          <w:rFonts w:ascii="Arial" w:hAnsi="Arial" w:cs="Arial"/>
          <w:sz w:val="20"/>
        </w:rPr>
        <w:t>.</w:t>
      </w:r>
    </w:p>
    <w:p w:rsidR="0083610B" w:rsidRPr="00593BD3" w:rsidRDefault="0083610B" w:rsidP="00A46DED">
      <w:pPr>
        <w:numPr>
          <w:ilvl w:val="1"/>
          <w:numId w:val="22"/>
        </w:numPr>
        <w:suppressAutoHyphens w:val="0"/>
        <w:autoSpaceDN/>
        <w:snapToGrid w:val="0"/>
        <w:spacing w:after="120"/>
        <w:ind w:left="540" w:hanging="540"/>
        <w:jc w:val="both"/>
        <w:textAlignment w:val="auto"/>
        <w:rPr>
          <w:rFonts w:ascii="Arial" w:hAnsi="Arial" w:cs="Arial"/>
          <w:sz w:val="20"/>
        </w:rPr>
      </w:pPr>
      <w:r w:rsidRPr="00593BD3">
        <w:rPr>
          <w:rFonts w:ascii="Arial" w:hAnsi="Arial" w:cs="Arial"/>
          <w:b/>
          <w:sz w:val="20"/>
        </w:rPr>
        <w:t>Programming and Budget:</w:t>
      </w:r>
      <w:r w:rsidRPr="00593BD3">
        <w:rPr>
          <w:rFonts w:ascii="Arial" w:hAnsi="Arial" w:cs="Arial"/>
          <w:sz w:val="20"/>
        </w:rPr>
        <w:t xml:space="preserve"> The Borrower has committed to allocate, for each fiscal year of project execution, adequate fiscal space to guarantee the unfettered execution of the project; as determined by normal operative instruments such as the Annual Operating Plan and the PP.</w:t>
      </w:r>
    </w:p>
    <w:p w:rsidR="005404D2" w:rsidRPr="00593BD3" w:rsidRDefault="00335447" w:rsidP="00A46DED">
      <w:pPr>
        <w:numPr>
          <w:ilvl w:val="1"/>
          <w:numId w:val="22"/>
        </w:numPr>
        <w:suppressAutoHyphens w:val="0"/>
        <w:autoSpaceDN/>
        <w:snapToGrid w:val="0"/>
        <w:spacing w:after="120"/>
        <w:ind w:left="540" w:hanging="540"/>
        <w:jc w:val="both"/>
        <w:textAlignment w:val="auto"/>
        <w:rPr>
          <w:rFonts w:ascii="Arial" w:hAnsi="Arial" w:cs="Arial"/>
          <w:sz w:val="20"/>
        </w:rPr>
      </w:pPr>
      <w:r w:rsidRPr="00593BD3">
        <w:rPr>
          <w:rFonts w:ascii="Arial" w:hAnsi="Arial" w:cs="Arial"/>
          <w:b/>
          <w:sz w:val="20"/>
        </w:rPr>
        <w:t>Accounting and Information Systems</w:t>
      </w:r>
      <w:r w:rsidR="00CB1DB8">
        <w:rPr>
          <w:rFonts w:ascii="Arial" w:hAnsi="Arial" w:cs="Arial"/>
          <w:b/>
          <w:sz w:val="20"/>
        </w:rPr>
        <w:t>.</w:t>
      </w:r>
      <w:r w:rsidRPr="00593BD3">
        <w:rPr>
          <w:rFonts w:ascii="Arial" w:hAnsi="Arial" w:cs="Arial"/>
          <w:sz w:val="20"/>
        </w:rPr>
        <w:t xml:space="preserve"> </w:t>
      </w:r>
      <w:r w:rsidR="00265FD7" w:rsidRPr="00593BD3">
        <w:rPr>
          <w:rFonts w:ascii="Arial" w:hAnsi="Arial" w:cs="Arial"/>
          <w:sz w:val="20"/>
        </w:rPr>
        <w:t xml:space="preserve">It is expected that </w:t>
      </w:r>
      <w:r w:rsidR="00241D78" w:rsidRPr="00593BD3">
        <w:rPr>
          <w:rFonts w:ascii="Arial" w:hAnsi="Arial" w:cs="Arial"/>
          <w:sz w:val="20"/>
        </w:rPr>
        <w:t xml:space="preserve">IFMAS </w:t>
      </w:r>
      <w:r w:rsidR="006D2115" w:rsidRPr="00593BD3">
        <w:rPr>
          <w:rFonts w:ascii="Arial" w:hAnsi="Arial" w:cs="Arial"/>
          <w:sz w:val="20"/>
        </w:rPr>
        <w:t>accounting system will facilitate the recording and classification of all financial transactions</w:t>
      </w:r>
      <w:r w:rsidR="005404D2" w:rsidRPr="00593BD3">
        <w:rPr>
          <w:rFonts w:ascii="Arial" w:hAnsi="Arial" w:cs="Arial"/>
          <w:sz w:val="20"/>
        </w:rPr>
        <w:t>.</w:t>
      </w:r>
    </w:p>
    <w:p w:rsidR="0083610B" w:rsidRPr="00593BD3" w:rsidRDefault="0083610B" w:rsidP="00A46DED">
      <w:pPr>
        <w:numPr>
          <w:ilvl w:val="1"/>
          <w:numId w:val="22"/>
        </w:numPr>
        <w:suppressAutoHyphens w:val="0"/>
        <w:autoSpaceDN/>
        <w:snapToGrid w:val="0"/>
        <w:spacing w:after="120"/>
        <w:ind w:left="540" w:hanging="540"/>
        <w:jc w:val="both"/>
        <w:textAlignment w:val="auto"/>
        <w:rPr>
          <w:rFonts w:ascii="Arial" w:hAnsi="Arial" w:cs="Arial"/>
          <w:sz w:val="20"/>
        </w:rPr>
      </w:pPr>
      <w:r w:rsidRPr="00593BD3">
        <w:rPr>
          <w:rFonts w:ascii="Arial" w:hAnsi="Arial" w:cs="Arial"/>
          <w:b/>
          <w:sz w:val="20"/>
        </w:rPr>
        <w:t>Disbursements and Cash Flow</w:t>
      </w:r>
      <w:r w:rsidR="00CB1DB8">
        <w:rPr>
          <w:rFonts w:ascii="Arial" w:hAnsi="Arial" w:cs="Arial"/>
          <w:b/>
          <w:sz w:val="20"/>
        </w:rPr>
        <w:t>.</w:t>
      </w:r>
      <w:r w:rsidR="00F74429">
        <w:rPr>
          <w:rFonts w:ascii="Arial" w:hAnsi="Arial" w:cs="Arial"/>
          <w:sz w:val="20"/>
        </w:rPr>
        <w:t xml:space="preserve"> </w:t>
      </w:r>
      <w:r w:rsidRPr="00593BD3">
        <w:rPr>
          <w:rFonts w:ascii="Arial" w:hAnsi="Arial" w:cs="Arial"/>
          <w:sz w:val="20"/>
        </w:rPr>
        <w:t>The Bank will supervise the creation of an Advance of Funds, using the Advance of Funds methodology.</w:t>
      </w:r>
      <w:r w:rsidR="00F74429">
        <w:rPr>
          <w:rFonts w:ascii="Arial" w:hAnsi="Arial" w:cs="Arial"/>
          <w:sz w:val="20"/>
        </w:rPr>
        <w:t xml:space="preserve"> </w:t>
      </w:r>
      <w:r w:rsidRPr="00593BD3">
        <w:rPr>
          <w:rFonts w:ascii="Arial" w:hAnsi="Arial" w:cs="Arial"/>
          <w:sz w:val="20"/>
        </w:rPr>
        <w:t xml:space="preserve">Whenever resources from the financing are requested through an Advance of Funds, </w:t>
      </w:r>
      <w:r w:rsidR="005404D2" w:rsidRPr="00593BD3">
        <w:rPr>
          <w:rFonts w:ascii="Arial" w:hAnsi="Arial" w:cs="Arial"/>
          <w:sz w:val="20"/>
        </w:rPr>
        <w:t xml:space="preserve">it </w:t>
      </w:r>
      <w:r w:rsidRPr="00593BD3">
        <w:rPr>
          <w:rFonts w:ascii="Arial" w:hAnsi="Arial" w:cs="Arial"/>
          <w:sz w:val="20"/>
        </w:rPr>
        <w:t xml:space="preserve">will be deposited into a Special Account, </w:t>
      </w:r>
      <w:r w:rsidR="008E62F9" w:rsidRPr="00593BD3">
        <w:rPr>
          <w:rFonts w:ascii="Arial" w:hAnsi="Arial" w:cs="Arial"/>
          <w:sz w:val="20"/>
        </w:rPr>
        <w:t xml:space="preserve">denominated in US$, </w:t>
      </w:r>
      <w:r w:rsidRPr="00593BD3">
        <w:rPr>
          <w:rFonts w:ascii="Arial" w:hAnsi="Arial" w:cs="Arial"/>
          <w:sz w:val="20"/>
        </w:rPr>
        <w:t>established exclusively for the Project at the Central Bank of Guyana.</w:t>
      </w:r>
      <w:r w:rsidR="005404D2" w:rsidRPr="00593BD3">
        <w:rPr>
          <w:rFonts w:ascii="Arial" w:hAnsi="Arial" w:cs="Arial"/>
          <w:sz w:val="20"/>
        </w:rPr>
        <w:t xml:space="preserve"> </w:t>
      </w:r>
      <w:r w:rsidRPr="00593BD3">
        <w:rPr>
          <w:rFonts w:ascii="Arial" w:hAnsi="Arial" w:cs="Arial"/>
          <w:sz w:val="20"/>
        </w:rPr>
        <w:t xml:space="preserve">Required resources from this Special Account </w:t>
      </w:r>
      <w:r w:rsidR="008E62F9" w:rsidRPr="00593BD3">
        <w:rPr>
          <w:rFonts w:ascii="Arial" w:hAnsi="Arial" w:cs="Arial"/>
          <w:sz w:val="20"/>
        </w:rPr>
        <w:t xml:space="preserve">will </w:t>
      </w:r>
      <w:r w:rsidRPr="00593BD3">
        <w:rPr>
          <w:rFonts w:ascii="Arial" w:hAnsi="Arial" w:cs="Arial"/>
          <w:sz w:val="20"/>
        </w:rPr>
        <w:t>be transferred to another bank account, denominated in Guyana Dollars to be utilized for payment of expenditures in local currency.</w:t>
      </w:r>
    </w:p>
    <w:p w:rsidR="0083610B" w:rsidRPr="00593BD3" w:rsidRDefault="005404D2" w:rsidP="00A46DED">
      <w:pPr>
        <w:numPr>
          <w:ilvl w:val="1"/>
          <w:numId w:val="22"/>
        </w:numPr>
        <w:suppressAutoHyphens w:val="0"/>
        <w:autoSpaceDN/>
        <w:snapToGrid w:val="0"/>
        <w:spacing w:after="120"/>
        <w:ind w:left="540" w:hanging="540"/>
        <w:jc w:val="both"/>
        <w:textAlignment w:val="auto"/>
        <w:rPr>
          <w:rFonts w:ascii="Arial" w:hAnsi="Arial" w:cs="Arial"/>
          <w:sz w:val="20"/>
        </w:rPr>
      </w:pPr>
      <w:r w:rsidRPr="00593BD3">
        <w:rPr>
          <w:rFonts w:ascii="Arial" w:hAnsi="Arial" w:cs="Arial"/>
          <w:sz w:val="20"/>
        </w:rPr>
        <w:t>T</w:t>
      </w:r>
      <w:r w:rsidR="0083610B" w:rsidRPr="00593BD3">
        <w:rPr>
          <w:rFonts w:ascii="Arial" w:hAnsi="Arial" w:cs="Arial"/>
          <w:sz w:val="20"/>
        </w:rPr>
        <w:t xml:space="preserve">he project will provide adequate justification of the existing Advance of Funds balance, whenever </w:t>
      </w:r>
      <w:r w:rsidR="00241D78" w:rsidRPr="00593BD3">
        <w:rPr>
          <w:rFonts w:ascii="Arial" w:hAnsi="Arial" w:cs="Arial"/>
          <w:b/>
          <w:sz w:val="20"/>
        </w:rPr>
        <w:t>80</w:t>
      </w:r>
      <w:r w:rsidR="0083610B" w:rsidRPr="00593BD3">
        <w:rPr>
          <w:rFonts w:ascii="Arial" w:hAnsi="Arial" w:cs="Arial"/>
          <w:b/>
          <w:sz w:val="20"/>
        </w:rPr>
        <w:t>%</w:t>
      </w:r>
      <w:r w:rsidR="0083610B" w:rsidRPr="00593BD3">
        <w:rPr>
          <w:rFonts w:ascii="Arial" w:hAnsi="Arial" w:cs="Arial"/>
          <w:sz w:val="20"/>
        </w:rPr>
        <w:t xml:space="preserve"> of said balance has been spent. Advances will normally cover a period not exceeding 180 days and no less than 90 days. In order to request disbursements from the Bank, the EA will present the following forms and supporting documents:</w:t>
      </w:r>
    </w:p>
    <w:tbl>
      <w:tblPr>
        <w:tblW w:w="4583" w:type="pct"/>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90"/>
        <w:gridCol w:w="3240"/>
        <w:gridCol w:w="2987"/>
      </w:tblGrid>
      <w:tr w:rsidR="00D15790" w:rsidRPr="004D0D23" w:rsidTr="00554DE0">
        <w:trPr>
          <w:trHeight w:val="377"/>
        </w:trPr>
        <w:tc>
          <w:tcPr>
            <w:tcW w:w="1164" w:type="pct"/>
            <w:shd w:val="clear" w:color="auto" w:fill="D9D9D9" w:themeFill="background1" w:themeFillShade="D9"/>
            <w:vAlign w:val="center"/>
          </w:tcPr>
          <w:p w:rsidR="0083610B" w:rsidRPr="004D0D23" w:rsidRDefault="0083610B" w:rsidP="00554DE0">
            <w:pPr>
              <w:jc w:val="center"/>
              <w:rPr>
                <w:rFonts w:ascii="Arial" w:hAnsi="Arial" w:cs="Arial"/>
                <w:sz w:val="16"/>
                <w:szCs w:val="16"/>
              </w:rPr>
            </w:pPr>
            <w:r w:rsidRPr="004D0D23">
              <w:rPr>
                <w:rFonts w:ascii="Arial" w:hAnsi="Arial" w:cs="Arial"/>
                <w:b/>
                <w:sz w:val="16"/>
                <w:szCs w:val="16"/>
              </w:rPr>
              <w:t>Type of Disbursement</w:t>
            </w:r>
          </w:p>
        </w:tc>
        <w:tc>
          <w:tcPr>
            <w:tcW w:w="1996" w:type="pct"/>
            <w:shd w:val="clear" w:color="auto" w:fill="D9D9D9" w:themeFill="background1" w:themeFillShade="D9"/>
            <w:vAlign w:val="center"/>
          </w:tcPr>
          <w:p w:rsidR="0083610B" w:rsidRPr="004D0D23" w:rsidRDefault="0083610B" w:rsidP="00554DE0">
            <w:pPr>
              <w:jc w:val="center"/>
              <w:rPr>
                <w:rFonts w:ascii="Arial" w:hAnsi="Arial" w:cs="Arial"/>
                <w:sz w:val="16"/>
                <w:szCs w:val="16"/>
              </w:rPr>
            </w:pPr>
            <w:r w:rsidRPr="004D0D23">
              <w:rPr>
                <w:rFonts w:ascii="Arial" w:hAnsi="Arial" w:cs="Arial"/>
                <w:b/>
                <w:sz w:val="16"/>
                <w:szCs w:val="16"/>
              </w:rPr>
              <w:t>Mandatory Forms</w:t>
            </w:r>
          </w:p>
        </w:tc>
        <w:tc>
          <w:tcPr>
            <w:tcW w:w="1840" w:type="pct"/>
            <w:shd w:val="clear" w:color="auto" w:fill="D9D9D9" w:themeFill="background1" w:themeFillShade="D9"/>
            <w:vAlign w:val="center"/>
          </w:tcPr>
          <w:p w:rsidR="0083610B" w:rsidRPr="004D0D23" w:rsidRDefault="0083610B" w:rsidP="00554DE0">
            <w:pPr>
              <w:jc w:val="center"/>
              <w:rPr>
                <w:rFonts w:ascii="Arial" w:hAnsi="Arial" w:cs="Arial"/>
                <w:sz w:val="16"/>
                <w:szCs w:val="16"/>
              </w:rPr>
            </w:pPr>
            <w:r w:rsidRPr="004D0D23">
              <w:rPr>
                <w:rFonts w:ascii="Arial" w:hAnsi="Arial" w:cs="Arial"/>
                <w:b/>
                <w:sz w:val="16"/>
                <w:szCs w:val="16"/>
              </w:rPr>
              <w:t>Optional forms/ information that can be requested by the IDB</w:t>
            </w:r>
          </w:p>
        </w:tc>
      </w:tr>
      <w:tr w:rsidR="00D15790" w:rsidRPr="004D0D23" w:rsidTr="00CD4E91">
        <w:tc>
          <w:tcPr>
            <w:tcW w:w="1164" w:type="pct"/>
          </w:tcPr>
          <w:p w:rsidR="0083610B" w:rsidRPr="004D0D23" w:rsidRDefault="0083610B" w:rsidP="00567F2A">
            <w:pPr>
              <w:rPr>
                <w:rFonts w:ascii="Arial" w:hAnsi="Arial" w:cs="Arial"/>
                <w:sz w:val="16"/>
                <w:szCs w:val="16"/>
              </w:rPr>
            </w:pPr>
            <w:r w:rsidRPr="004D0D23">
              <w:rPr>
                <w:rFonts w:ascii="Arial" w:hAnsi="Arial" w:cs="Arial"/>
                <w:sz w:val="16"/>
                <w:szCs w:val="16"/>
              </w:rPr>
              <w:t>Advance</w:t>
            </w:r>
          </w:p>
        </w:tc>
        <w:tc>
          <w:tcPr>
            <w:tcW w:w="1996" w:type="pct"/>
          </w:tcPr>
          <w:p w:rsidR="0083610B" w:rsidRPr="004D0D23" w:rsidRDefault="0083610B" w:rsidP="00567F2A">
            <w:pPr>
              <w:rPr>
                <w:rFonts w:ascii="Arial" w:hAnsi="Arial" w:cs="Arial"/>
                <w:sz w:val="16"/>
                <w:szCs w:val="16"/>
              </w:rPr>
            </w:pPr>
            <w:r w:rsidRPr="004D0D23">
              <w:rPr>
                <w:rFonts w:ascii="Arial" w:hAnsi="Arial" w:cs="Arial"/>
                <w:sz w:val="16"/>
                <w:szCs w:val="16"/>
              </w:rPr>
              <w:t>Disbursement Request/Financial Plan</w:t>
            </w:r>
          </w:p>
        </w:tc>
        <w:tc>
          <w:tcPr>
            <w:tcW w:w="1840" w:type="pct"/>
          </w:tcPr>
          <w:p w:rsidR="0083610B" w:rsidRPr="004D0D23" w:rsidRDefault="0083610B" w:rsidP="00567F2A">
            <w:pPr>
              <w:rPr>
                <w:rFonts w:ascii="Arial" w:hAnsi="Arial" w:cs="Arial"/>
                <w:sz w:val="16"/>
                <w:szCs w:val="16"/>
              </w:rPr>
            </w:pPr>
            <w:r w:rsidRPr="004D0D23">
              <w:rPr>
                <w:rFonts w:ascii="Arial" w:hAnsi="Arial" w:cs="Arial"/>
                <w:sz w:val="16"/>
                <w:szCs w:val="16"/>
              </w:rPr>
              <w:t>List of Commitments</w:t>
            </w:r>
          </w:p>
          <w:p w:rsidR="0083610B" w:rsidRPr="004D0D23" w:rsidRDefault="0083610B" w:rsidP="00567F2A">
            <w:pPr>
              <w:rPr>
                <w:rFonts w:ascii="Arial" w:hAnsi="Arial" w:cs="Arial"/>
                <w:sz w:val="16"/>
                <w:szCs w:val="16"/>
              </w:rPr>
            </w:pPr>
            <w:r w:rsidRPr="004D0D23">
              <w:rPr>
                <w:rFonts w:ascii="Arial" w:hAnsi="Arial" w:cs="Arial"/>
                <w:sz w:val="16"/>
                <w:szCs w:val="16"/>
              </w:rPr>
              <w:t>Physical/Financial Progress Reports</w:t>
            </w:r>
          </w:p>
        </w:tc>
      </w:tr>
      <w:tr w:rsidR="00D15790" w:rsidRPr="004D0D23" w:rsidTr="00CD4E91">
        <w:tc>
          <w:tcPr>
            <w:tcW w:w="1164" w:type="pct"/>
          </w:tcPr>
          <w:p w:rsidR="0083610B" w:rsidRPr="004D0D23" w:rsidRDefault="0083610B" w:rsidP="00567F2A">
            <w:pPr>
              <w:rPr>
                <w:rFonts w:ascii="Arial" w:hAnsi="Arial" w:cs="Arial"/>
                <w:sz w:val="16"/>
                <w:szCs w:val="16"/>
              </w:rPr>
            </w:pPr>
            <w:r w:rsidRPr="004D0D23">
              <w:rPr>
                <w:rFonts w:ascii="Arial" w:hAnsi="Arial" w:cs="Arial"/>
                <w:sz w:val="16"/>
                <w:szCs w:val="16"/>
              </w:rPr>
              <w:t>Reimbursements of Payments Made</w:t>
            </w:r>
          </w:p>
        </w:tc>
        <w:tc>
          <w:tcPr>
            <w:tcW w:w="1996" w:type="pct"/>
          </w:tcPr>
          <w:p w:rsidR="0083610B" w:rsidRPr="004D0D23" w:rsidRDefault="0083610B" w:rsidP="00567F2A">
            <w:pPr>
              <w:rPr>
                <w:rFonts w:ascii="Arial" w:hAnsi="Arial" w:cs="Arial"/>
                <w:sz w:val="16"/>
                <w:szCs w:val="16"/>
              </w:rPr>
            </w:pPr>
            <w:r w:rsidRPr="004D0D23">
              <w:rPr>
                <w:rFonts w:ascii="Arial" w:hAnsi="Arial" w:cs="Arial"/>
                <w:sz w:val="16"/>
                <w:szCs w:val="16"/>
              </w:rPr>
              <w:t>Disbursement Request/Project Execution Status/Statement of Expenses</w:t>
            </w:r>
          </w:p>
        </w:tc>
        <w:tc>
          <w:tcPr>
            <w:tcW w:w="1840" w:type="pct"/>
          </w:tcPr>
          <w:p w:rsidR="0083610B" w:rsidRPr="004D0D23" w:rsidRDefault="0083610B" w:rsidP="00567F2A">
            <w:pPr>
              <w:rPr>
                <w:rFonts w:ascii="Arial" w:hAnsi="Arial" w:cs="Arial"/>
                <w:sz w:val="16"/>
                <w:szCs w:val="16"/>
              </w:rPr>
            </w:pPr>
            <w:r w:rsidRPr="004D0D23">
              <w:rPr>
                <w:rFonts w:ascii="Arial" w:hAnsi="Arial" w:cs="Arial"/>
                <w:sz w:val="16"/>
                <w:szCs w:val="16"/>
              </w:rPr>
              <w:t>List of Commitments</w:t>
            </w:r>
          </w:p>
          <w:p w:rsidR="0083610B" w:rsidRPr="004D0D23" w:rsidRDefault="0083610B" w:rsidP="00567F2A">
            <w:pPr>
              <w:rPr>
                <w:rFonts w:ascii="Arial" w:hAnsi="Arial" w:cs="Arial"/>
                <w:sz w:val="16"/>
                <w:szCs w:val="16"/>
              </w:rPr>
            </w:pPr>
            <w:r w:rsidRPr="004D0D23">
              <w:rPr>
                <w:rFonts w:ascii="Arial" w:hAnsi="Arial" w:cs="Arial"/>
                <w:sz w:val="16"/>
                <w:szCs w:val="16"/>
              </w:rPr>
              <w:t>Physical/Financial Progress Reports</w:t>
            </w:r>
          </w:p>
        </w:tc>
      </w:tr>
      <w:tr w:rsidR="0083610B" w:rsidRPr="004D0D23" w:rsidTr="00CD4E91">
        <w:tc>
          <w:tcPr>
            <w:tcW w:w="1164" w:type="pct"/>
            <w:tcBorders>
              <w:top w:val="single" w:sz="4" w:space="0" w:color="000000"/>
              <w:left w:val="single" w:sz="4" w:space="0" w:color="000000"/>
              <w:bottom w:val="single" w:sz="4" w:space="0" w:color="000000"/>
              <w:right w:val="single" w:sz="4" w:space="0" w:color="000000"/>
            </w:tcBorders>
          </w:tcPr>
          <w:p w:rsidR="0083610B" w:rsidRPr="004D0D23" w:rsidRDefault="0083610B" w:rsidP="00567F2A">
            <w:pPr>
              <w:rPr>
                <w:rFonts w:ascii="Arial" w:hAnsi="Arial" w:cs="Arial"/>
                <w:sz w:val="16"/>
                <w:szCs w:val="16"/>
              </w:rPr>
            </w:pPr>
            <w:r w:rsidRPr="004D0D23">
              <w:rPr>
                <w:rFonts w:ascii="Arial" w:hAnsi="Arial" w:cs="Arial"/>
                <w:sz w:val="16"/>
                <w:szCs w:val="16"/>
              </w:rPr>
              <w:t>Direct Payment to Supplier</w:t>
            </w:r>
          </w:p>
        </w:tc>
        <w:tc>
          <w:tcPr>
            <w:tcW w:w="1996" w:type="pct"/>
            <w:tcBorders>
              <w:top w:val="single" w:sz="4" w:space="0" w:color="000000"/>
              <w:left w:val="single" w:sz="4" w:space="0" w:color="000000"/>
              <w:bottom w:val="single" w:sz="4" w:space="0" w:color="000000"/>
              <w:right w:val="single" w:sz="4" w:space="0" w:color="000000"/>
            </w:tcBorders>
          </w:tcPr>
          <w:p w:rsidR="0083610B" w:rsidRPr="004D0D23" w:rsidRDefault="0083610B">
            <w:pPr>
              <w:rPr>
                <w:rFonts w:ascii="Arial" w:hAnsi="Arial" w:cs="Arial"/>
                <w:sz w:val="16"/>
                <w:szCs w:val="16"/>
              </w:rPr>
            </w:pPr>
            <w:r w:rsidRPr="004D0D23">
              <w:rPr>
                <w:rFonts w:ascii="Arial" w:hAnsi="Arial" w:cs="Arial"/>
                <w:sz w:val="16"/>
                <w:szCs w:val="16"/>
              </w:rPr>
              <w:t>Disbursement Request</w:t>
            </w:r>
            <w:r w:rsidR="005404D2" w:rsidRPr="004D0D23">
              <w:rPr>
                <w:rFonts w:ascii="Arial" w:hAnsi="Arial" w:cs="Arial"/>
                <w:sz w:val="16"/>
                <w:szCs w:val="16"/>
              </w:rPr>
              <w:t>/Statement of Expenses/</w:t>
            </w:r>
            <w:r w:rsidRPr="004D0D23">
              <w:rPr>
                <w:rFonts w:ascii="Arial" w:hAnsi="Arial" w:cs="Arial"/>
                <w:sz w:val="16"/>
                <w:szCs w:val="16"/>
              </w:rPr>
              <w:t>Acceptable Supporting Documentation</w:t>
            </w:r>
          </w:p>
        </w:tc>
        <w:tc>
          <w:tcPr>
            <w:tcW w:w="1840" w:type="pct"/>
            <w:tcBorders>
              <w:top w:val="single" w:sz="4" w:space="0" w:color="000000"/>
              <w:left w:val="single" w:sz="4" w:space="0" w:color="000000"/>
              <w:bottom w:val="single" w:sz="4" w:space="0" w:color="000000"/>
              <w:right w:val="single" w:sz="4" w:space="0" w:color="000000"/>
            </w:tcBorders>
          </w:tcPr>
          <w:p w:rsidR="0083610B" w:rsidRPr="004D0D23" w:rsidRDefault="0083610B" w:rsidP="00567F2A">
            <w:pPr>
              <w:rPr>
                <w:rFonts w:ascii="Arial" w:hAnsi="Arial" w:cs="Arial"/>
                <w:sz w:val="16"/>
                <w:szCs w:val="16"/>
              </w:rPr>
            </w:pPr>
            <w:r w:rsidRPr="004D0D23">
              <w:rPr>
                <w:rFonts w:ascii="Arial" w:hAnsi="Arial" w:cs="Arial"/>
                <w:sz w:val="16"/>
                <w:szCs w:val="16"/>
              </w:rPr>
              <w:t>List of Commitments</w:t>
            </w:r>
          </w:p>
          <w:p w:rsidR="0083610B" w:rsidRPr="004D0D23" w:rsidRDefault="0083610B" w:rsidP="00567F2A">
            <w:pPr>
              <w:rPr>
                <w:rFonts w:ascii="Arial" w:hAnsi="Arial" w:cs="Arial"/>
                <w:sz w:val="16"/>
                <w:szCs w:val="16"/>
              </w:rPr>
            </w:pPr>
            <w:r w:rsidRPr="004D0D23">
              <w:rPr>
                <w:rFonts w:ascii="Arial" w:hAnsi="Arial" w:cs="Arial"/>
                <w:sz w:val="16"/>
                <w:szCs w:val="16"/>
              </w:rPr>
              <w:t>Physical/Financial Progress Reports</w:t>
            </w:r>
          </w:p>
        </w:tc>
      </w:tr>
    </w:tbl>
    <w:p w:rsidR="0083610B" w:rsidRPr="004D0D23" w:rsidRDefault="0083610B" w:rsidP="007612C5">
      <w:pPr>
        <w:pStyle w:val="ListParagraph"/>
        <w:suppressAutoHyphens w:val="0"/>
        <w:autoSpaceDN/>
        <w:ind w:left="792" w:hanging="792"/>
        <w:jc w:val="both"/>
        <w:textAlignment w:val="auto"/>
        <w:rPr>
          <w:rFonts w:ascii="Arial" w:hAnsi="Arial" w:cs="Arial"/>
          <w:szCs w:val="24"/>
        </w:rPr>
      </w:pPr>
    </w:p>
    <w:p w:rsidR="0083610B" w:rsidRPr="00593BD3" w:rsidRDefault="0083610B" w:rsidP="00A46DED">
      <w:pPr>
        <w:numPr>
          <w:ilvl w:val="1"/>
          <w:numId w:val="22"/>
        </w:numPr>
        <w:suppressAutoHyphens w:val="0"/>
        <w:autoSpaceDN/>
        <w:snapToGrid w:val="0"/>
        <w:spacing w:after="120"/>
        <w:ind w:left="540" w:hanging="540"/>
        <w:jc w:val="both"/>
        <w:textAlignment w:val="auto"/>
        <w:rPr>
          <w:rFonts w:ascii="Arial" w:hAnsi="Arial" w:cs="Arial"/>
          <w:sz w:val="20"/>
        </w:rPr>
      </w:pPr>
      <w:r w:rsidRPr="00593BD3">
        <w:rPr>
          <w:rFonts w:ascii="Arial" w:hAnsi="Arial" w:cs="Arial"/>
          <w:sz w:val="20"/>
        </w:rPr>
        <w:t xml:space="preserve">Generally, supporting documentation for Justification of Advances and Reimbursement of Payments Made will be kept at the office of the EA. Disbursements’ supporting documents may be reviewed by the Bank on an ex-post basis. </w:t>
      </w:r>
    </w:p>
    <w:p w:rsidR="0083610B" w:rsidRPr="00593BD3" w:rsidRDefault="0083610B" w:rsidP="00A46DED">
      <w:pPr>
        <w:numPr>
          <w:ilvl w:val="1"/>
          <w:numId w:val="22"/>
        </w:numPr>
        <w:suppressAutoHyphens w:val="0"/>
        <w:autoSpaceDN/>
        <w:snapToGrid w:val="0"/>
        <w:spacing w:after="120"/>
        <w:ind w:left="540" w:hanging="540"/>
        <w:jc w:val="both"/>
        <w:textAlignment w:val="auto"/>
        <w:rPr>
          <w:rFonts w:ascii="Arial" w:hAnsi="Arial" w:cs="Arial"/>
          <w:sz w:val="20"/>
        </w:rPr>
      </w:pPr>
      <w:r w:rsidRPr="00593BD3">
        <w:rPr>
          <w:rFonts w:ascii="Arial" w:hAnsi="Arial" w:cs="Arial"/>
          <w:b/>
          <w:sz w:val="20"/>
        </w:rPr>
        <w:t>Internal Control and Internal Audit:</w:t>
      </w:r>
      <w:r w:rsidRPr="00593BD3">
        <w:rPr>
          <w:rFonts w:ascii="Arial" w:hAnsi="Arial" w:cs="Arial"/>
          <w:sz w:val="20"/>
        </w:rPr>
        <w:t xml:space="preserve"> The management of the project will assume the responsibility for designing and implementing a sound system of internal controls for the project.</w:t>
      </w:r>
    </w:p>
    <w:p w:rsidR="0083610B" w:rsidRPr="00593BD3" w:rsidRDefault="0083610B" w:rsidP="00A46DED">
      <w:pPr>
        <w:numPr>
          <w:ilvl w:val="1"/>
          <w:numId w:val="22"/>
        </w:numPr>
        <w:suppressAutoHyphens w:val="0"/>
        <w:autoSpaceDN/>
        <w:snapToGrid w:val="0"/>
        <w:spacing w:after="120"/>
        <w:ind w:left="540" w:hanging="540"/>
        <w:jc w:val="both"/>
        <w:textAlignment w:val="auto"/>
        <w:rPr>
          <w:rFonts w:ascii="Arial" w:hAnsi="Arial" w:cs="Arial"/>
          <w:sz w:val="20"/>
        </w:rPr>
      </w:pPr>
      <w:r w:rsidRPr="00593BD3">
        <w:rPr>
          <w:rFonts w:ascii="Arial" w:hAnsi="Arial" w:cs="Arial"/>
          <w:b/>
          <w:sz w:val="20"/>
        </w:rPr>
        <w:t>External Control and Reports</w:t>
      </w:r>
      <w:r w:rsidR="00CB1DB8">
        <w:rPr>
          <w:rFonts w:ascii="Arial" w:hAnsi="Arial" w:cs="Arial"/>
          <w:b/>
          <w:sz w:val="20"/>
        </w:rPr>
        <w:t>.</w:t>
      </w:r>
      <w:r w:rsidRPr="00593BD3">
        <w:rPr>
          <w:rFonts w:ascii="Arial" w:hAnsi="Arial" w:cs="Arial"/>
          <w:sz w:val="20"/>
        </w:rPr>
        <w:t xml:space="preserve"> For each fiscal year during project execution, </w:t>
      </w:r>
      <w:r w:rsidR="00197F7E" w:rsidRPr="00593BD3">
        <w:rPr>
          <w:rFonts w:ascii="Arial" w:hAnsi="Arial" w:cs="Arial"/>
          <w:sz w:val="20"/>
        </w:rPr>
        <w:t>Mo</w:t>
      </w:r>
      <w:r w:rsidR="009F4FF3">
        <w:rPr>
          <w:rFonts w:ascii="Arial" w:hAnsi="Arial" w:cs="Arial"/>
          <w:sz w:val="20"/>
        </w:rPr>
        <w:t>P</w:t>
      </w:r>
      <w:r w:rsidR="00197F7E" w:rsidRPr="00593BD3">
        <w:rPr>
          <w:rFonts w:ascii="Arial" w:hAnsi="Arial" w:cs="Arial"/>
          <w:sz w:val="20"/>
        </w:rPr>
        <w:t>H will</w:t>
      </w:r>
      <w:r w:rsidRPr="00593BD3">
        <w:rPr>
          <w:rFonts w:ascii="Arial" w:hAnsi="Arial" w:cs="Arial"/>
          <w:sz w:val="20"/>
        </w:rPr>
        <w:t xml:space="preserve"> be responsible to produce semi-annual financial reports for the project, annual Audited Financial </w:t>
      </w:r>
      <w:r w:rsidR="00241D78" w:rsidRPr="00593BD3">
        <w:rPr>
          <w:rFonts w:ascii="Arial" w:hAnsi="Arial" w:cs="Arial"/>
          <w:sz w:val="20"/>
        </w:rPr>
        <w:t xml:space="preserve">Reports </w:t>
      </w:r>
      <w:r w:rsidRPr="00593BD3">
        <w:rPr>
          <w:rFonts w:ascii="Arial" w:hAnsi="Arial" w:cs="Arial"/>
          <w:sz w:val="20"/>
        </w:rPr>
        <w:t xml:space="preserve">of the Program and one final Audited Financial </w:t>
      </w:r>
      <w:r w:rsidR="00241D78" w:rsidRPr="00593BD3">
        <w:rPr>
          <w:rFonts w:ascii="Arial" w:hAnsi="Arial" w:cs="Arial"/>
          <w:sz w:val="20"/>
        </w:rPr>
        <w:t xml:space="preserve">Report </w:t>
      </w:r>
      <w:r w:rsidRPr="00593BD3">
        <w:rPr>
          <w:rFonts w:ascii="Arial" w:hAnsi="Arial" w:cs="Arial"/>
          <w:sz w:val="20"/>
        </w:rPr>
        <w:t>at the end of the Program, audited</w:t>
      </w:r>
      <w:r w:rsidR="0036630A" w:rsidRPr="00593BD3">
        <w:rPr>
          <w:rFonts w:ascii="Arial" w:hAnsi="Arial" w:cs="Arial"/>
          <w:sz w:val="20"/>
        </w:rPr>
        <w:t xml:space="preserve"> either</w:t>
      </w:r>
      <w:r w:rsidRPr="00593BD3">
        <w:rPr>
          <w:rFonts w:ascii="Arial" w:hAnsi="Arial" w:cs="Arial"/>
          <w:sz w:val="20"/>
        </w:rPr>
        <w:t xml:space="preserve"> by the Auditor General of Guyana or by a firm of independent public accountants acceptable to the Bank.</w:t>
      </w:r>
    </w:p>
    <w:p w:rsidR="00B00F7D" w:rsidRPr="00593BD3" w:rsidRDefault="00CB1DB8" w:rsidP="00A46DED">
      <w:pPr>
        <w:numPr>
          <w:ilvl w:val="1"/>
          <w:numId w:val="22"/>
        </w:numPr>
        <w:suppressAutoHyphens w:val="0"/>
        <w:autoSpaceDN/>
        <w:snapToGrid w:val="0"/>
        <w:spacing w:after="120"/>
        <w:ind w:left="540" w:hanging="540"/>
        <w:jc w:val="both"/>
        <w:textAlignment w:val="auto"/>
        <w:rPr>
          <w:rFonts w:ascii="Arial" w:hAnsi="Arial" w:cs="Arial"/>
          <w:sz w:val="20"/>
        </w:rPr>
      </w:pPr>
      <w:r>
        <w:rPr>
          <w:rFonts w:ascii="Arial" w:hAnsi="Arial" w:cs="Arial"/>
          <w:b/>
          <w:sz w:val="20"/>
        </w:rPr>
        <w:t>Financial Supervision Plan.</w:t>
      </w:r>
      <w:r w:rsidR="0083610B" w:rsidRPr="00593BD3">
        <w:rPr>
          <w:rFonts w:ascii="Arial" w:hAnsi="Arial" w:cs="Arial"/>
          <w:sz w:val="20"/>
        </w:rPr>
        <w:t xml:space="preserve"> Financial Supervision will be developed based on the initial and subsequent risk assessments carried out for the project. Inspection visits will be performed based on </w:t>
      </w:r>
      <w:r w:rsidR="008E62F9" w:rsidRPr="00593BD3">
        <w:rPr>
          <w:rFonts w:ascii="Arial" w:hAnsi="Arial" w:cs="Arial"/>
          <w:sz w:val="20"/>
        </w:rPr>
        <w:t xml:space="preserve">the </w:t>
      </w:r>
      <w:r w:rsidR="0083610B" w:rsidRPr="00593BD3">
        <w:rPr>
          <w:rFonts w:ascii="Arial" w:hAnsi="Arial" w:cs="Arial"/>
          <w:sz w:val="20"/>
        </w:rPr>
        <w:t xml:space="preserve">risk assessed, covering the following: (a) </w:t>
      </w:r>
      <w:r w:rsidR="0036630A" w:rsidRPr="00593BD3">
        <w:rPr>
          <w:rFonts w:ascii="Arial" w:hAnsi="Arial" w:cs="Arial"/>
          <w:sz w:val="20"/>
        </w:rPr>
        <w:t>r</w:t>
      </w:r>
      <w:r w:rsidR="0083610B" w:rsidRPr="00593BD3">
        <w:rPr>
          <w:rFonts w:ascii="Arial" w:hAnsi="Arial" w:cs="Arial"/>
          <w:sz w:val="20"/>
        </w:rPr>
        <w:t xml:space="preserve">eview of the </w:t>
      </w:r>
      <w:r w:rsidR="0036630A" w:rsidRPr="00593BD3">
        <w:rPr>
          <w:rFonts w:ascii="Arial" w:hAnsi="Arial" w:cs="Arial"/>
          <w:sz w:val="20"/>
        </w:rPr>
        <w:t>bank r</w:t>
      </w:r>
      <w:r w:rsidR="0083610B" w:rsidRPr="00593BD3">
        <w:rPr>
          <w:rFonts w:ascii="Arial" w:hAnsi="Arial" w:cs="Arial"/>
          <w:sz w:val="20"/>
        </w:rPr>
        <w:t>econciliation and supporting documentation for A</w:t>
      </w:r>
      <w:r w:rsidR="007612C5">
        <w:rPr>
          <w:rFonts w:ascii="Arial" w:hAnsi="Arial" w:cs="Arial"/>
          <w:sz w:val="20"/>
        </w:rPr>
        <w:t>dvances and Justifications; (b) </w:t>
      </w:r>
      <w:r w:rsidR="0036630A" w:rsidRPr="00593BD3">
        <w:rPr>
          <w:rFonts w:ascii="Arial" w:hAnsi="Arial" w:cs="Arial"/>
          <w:sz w:val="20"/>
        </w:rPr>
        <w:t>c</w:t>
      </w:r>
      <w:r w:rsidR="0083610B" w:rsidRPr="00593BD3">
        <w:rPr>
          <w:rFonts w:ascii="Arial" w:hAnsi="Arial" w:cs="Arial"/>
          <w:sz w:val="20"/>
        </w:rPr>
        <w:t xml:space="preserve">ompliance with procedures; (c) </w:t>
      </w:r>
      <w:r w:rsidR="0036630A" w:rsidRPr="00593BD3">
        <w:rPr>
          <w:rFonts w:ascii="Arial" w:hAnsi="Arial" w:cs="Arial"/>
          <w:sz w:val="20"/>
        </w:rPr>
        <w:t>r</w:t>
      </w:r>
      <w:r w:rsidR="0083610B" w:rsidRPr="00593BD3">
        <w:rPr>
          <w:rFonts w:ascii="Arial" w:hAnsi="Arial" w:cs="Arial"/>
          <w:sz w:val="20"/>
        </w:rPr>
        <w:t>eview of compliance</w:t>
      </w:r>
      <w:r w:rsidR="00554DE0">
        <w:rPr>
          <w:rFonts w:ascii="Arial" w:hAnsi="Arial" w:cs="Arial"/>
          <w:sz w:val="20"/>
        </w:rPr>
        <w:t xml:space="preserve"> with the lending criteria; (d) </w:t>
      </w:r>
      <w:r w:rsidR="0036630A" w:rsidRPr="00593BD3">
        <w:rPr>
          <w:rFonts w:ascii="Arial" w:hAnsi="Arial" w:cs="Arial"/>
          <w:sz w:val="20"/>
        </w:rPr>
        <w:t>e</w:t>
      </w:r>
      <w:r w:rsidR="0083610B" w:rsidRPr="00593BD3">
        <w:rPr>
          <w:rFonts w:ascii="Arial" w:hAnsi="Arial" w:cs="Arial"/>
          <w:sz w:val="20"/>
        </w:rPr>
        <w:t>x</w:t>
      </w:r>
      <w:r w:rsidR="00554DE0">
        <w:rPr>
          <w:rFonts w:ascii="Arial" w:hAnsi="Arial" w:cs="Arial"/>
          <w:sz w:val="20"/>
        </w:rPr>
        <w:noBreakHyphen/>
      </w:r>
      <w:r w:rsidR="0036630A" w:rsidRPr="00593BD3">
        <w:rPr>
          <w:rFonts w:ascii="Arial" w:hAnsi="Arial" w:cs="Arial"/>
          <w:sz w:val="20"/>
        </w:rPr>
        <w:t>p</w:t>
      </w:r>
      <w:r w:rsidR="0083610B" w:rsidRPr="00593BD3">
        <w:rPr>
          <w:rFonts w:ascii="Arial" w:hAnsi="Arial" w:cs="Arial"/>
          <w:sz w:val="20"/>
        </w:rPr>
        <w:t xml:space="preserve">ost </w:t>
      </w:r>
      <w:r w:rsidR="0036630A" w:rsidRPr="00593BD3">
        <w:rPr>
          <w:rFonts w:ascii="Arial" w:hAnsi="Arial" w:cs="Arial"/>
          <w:sz w:val="20"/>
        </w:rPr>
        <w:t>r</w:t>
      </w:r>
      <w:r w:rsidR="0083610B" w:rsidRPr="00593BD3">
        <w:rPr>
          <w:rFonts w:ascii="Arial" w:hAnsi="Arial" w:cs="Arial"/>
          <w:sz w:val="20"/>
        </w:rPr>
        <w:t xml:space="preserve">eview of </w:t>
      </w:r>
      <w:r w:rsidR="0036630A" w:rsidRPr="00593BD3">
        <w:rPr>
          <w:rFonts w:ascii="Arial" w:hAnsi="Arial" w:cs="Arial"/>
          <w:sz w:val="20"/>
        </w:rPr>
        <w:t>d</w:t>
      </w:r>
      <w:r w:rsidR="0083610B" w:rsidRPr="00593BD3">
        <w:rPr>
          <w:rFonts w:ascii="Arial" w:hAnsi="Arial" w:cs="Arial"/>
          <w:sz w:val="20"/>
        </w:rPr>
        <w:t>isbursements.</w:t>
      </w:r>
    </w:p>
    <w:p w:rsidR="0083610B" w:rsidRPr="00593BD3" w:rsidRDefault="0083610B" w:rsidP="00A46DED">
      <w:pPr>
        <w:numPr>
          <w:ilvl w:val="1"/>
          <w:numId w:val="22"/>
        </w:numPr>
        <w:suppressAutoHyphens w:val="0"/>
        <w:autoSpaceDN/>
        <w:snapToGrid w:val="0"/>
        <w:spacing w:after="120"/>
        <w:ind w:left="540" w:hanging="540"/>
        <w:jc w:val="both"/>
        <w:textAlignment w:val="auto"/>
        <w:rPr>
          <w:rFonts w:ascii="Arial" w:hAnsi="Arial" w:cs="Arial"/>
          <w:sz w:val="20"/>
        </w:rPr>
      </w:pPr>
      <w:r w:rsidRPr="00593BD3">
        <w:rPr>
          <w:rFonts w:ascii="Arial" w:hAnsi="Arial" w:cs="Arial"/>
          <w:b/>
          <w:sz w:val="20"/>
        </w:rPr>
        <w:t>Execution Mechanism</w:t>
      </w:r>
      <w:r w:rsidR="00CB1DB8">
        <w:rPr>
          <w:rFonts w:ascii="Arial" w:hAnsi="Arial" w:cs="Arial"/>
          <w:b/>
          <w:sz w:val="20"/>
        </w:rPr>
        <w:t>.</w:t>
      </w:r>
      <w:r w:rsidRPr="00593BD3">
        <w:rPr>
          <w:rFonts w:ascii="Arial" w:hAnsi="Arial" w:cs="Arial"/>
          <w:sz w:val="20"/>
        </w:rPr>
        <w:t xml:space="preserve"> </w:t>
      </w:r>
      <w:r w:rsidR="008E62F9" w:rsidRPr="00593BD3">
        <w:rPr>
          <w:rFonts w:ascii="Arial" w:hAnsi="Arial" w:cs="Arial"/>
          <w:sz w:val="20"/>
        </w:rPr>
        <w:t>M</w:t>
      </w:r>
      <w:r w:rsidR="00E13485" w:rsidRPr="00593BD3">
        <w:rPr>
          <w:rFonts w:ascii="Arial" w:hAnsi="Arial" w:cs="Arial"/>
          <w:sz w:val="20"/>
        </w:rPr>
        <w:t>o</w:t>
      </w:r>
      <w:r w:rsidR="00DD4FED" w:rsidRPr="00593BD3">
        <w:rPr>
          <w:rFonts w:ascii="Arial" w:hAnsi="Arial" w:cs="Arial"/>
          <w:sz w:val="20"/>
        </w:rPr>
        <w:t>P</w:t>
      </w:r>
      <w:r w:rsidR="008E62F9" w:rsidRPr="00593BD3">
        <w:rPr>
          <w:rFonts w:ascii="Arial" w:hAnsi="Arial" w:cs="Arial"/>
          <w:sz w:val="20"/>
        </w:rPr>
        <w:t>H</w:t>
      </w:r>
      <w:r w:rsidR="00241D78" w:rsidRPr="00593BD3">
        <w:rPr>
          <w:rFonts w:ascii="Arial" w:hAnsi="Arial" w:cs="Arial"/>
          <w:sz w:val="20"/>
        </w:rPr>
        <w:t xml:space="preserve"> </w:t>
      </w:r>
      <w:r w:rsidRPr="00593BD3">
        <w:rPr>
          <w:rFonts w:ascii="Arial" w:hAnsi="Arial" w:cs="Arial"/>
          <w:sz w:val="20"/>
        </w:rPr>
        <w:t>will be the EA and will be responsible for</w:t>
      </w:r>
      <w:r w:rsidR="0036630A" w:rsidRPr="00593BD3">
        <w:rPr>
          <w:rFonts w:ascii="Arial" w:hAnsi="Arial" w:cs="Arial"/>
          <w:sz w:val="20"/>
        </w:rPr>
        <w:t xml:space="preserve"> the financial </w:t>
      </w:r>
      <w:r w:rsidR="00F74429">
        <w:rPr>
          <w:rFonts w:ascii="Arial" w:hAnsi="Arial" w:cs="Arial"/>
          <w:sz w:val="20"/>
        </w:rPr>
        <w:t xml:space="preserve">administration of the program. </w:t>
      </w:r>
      <w:r w:rsidR="0036630A" w:rsidRPr="00593BD3">
        <w:rPr>
          <w:rFonts w:ascii="Arial" w:hAnsi="Arial" w:cs="Arial"/>
          <w:sz w:val="20"/>
        </w:rPr>
        <w:t>Mo</w:t>
      </w:r>
      <w:r w:rsidR="00DD4FED" w:rsidRPr="00593BD3">
        <w:rPr>
          <w:rFonts w:ascii="Arial" w:hAnsi="Arial" w:cs="Arial"/>
          <w:sz w:val="20"/>
        </w:rPr>
        <w:t>P</w:t>
      </w:r>
      <w:r w:rsidR="0036630A" w:rsidRPr="00593BD3">
        <w:rPr>
          <w:rFonts w:ascii="Arial" w:hAnsi="Arial" w:cs="Arial"/>
          <w:sz w:val="20"/>
        </w:rPr>
        <w:t>H</w:t>
      </w:r>
      <w:r w:rsidR="00DD4FED" w:rsidRPr="00593BD3">
        <w:rPr>
          <w:rFonts w:ascii="Arial" w:hAnsi="Arial" w:cs="Arial"/>
          <w:sz w:val="20"/>
        </w:rPr>
        <w:t>’s</w:t>
      </w:r>
      <w:r w:rsidR="0036630A" w:rsidRPr="00593BD3">
        <w:rPr>
          <w:rFonts w:ascii="Arial" w:hAnsi="Arial" w:cs="Arial"/>
          <w:sz w:val="20"/>
        </w:rPr>
        <w:t xml:space="preserve"> </w:t>
      </w:r>
      <w:r w:rsidR="00197F7E" w:rsidRPr="00593BD3">
        <w:rPr>
          <w:rFonts w:ascii="Arial" w:hAnsi="Arial" w:cs="Arial"/>
          <w:sz w:val="20"/>
        </w:rPr>
        <w:t>responsibility</w:t>
      </w:r>
      <w:r w:rsidR="0036630A" w:rsidRPr="00593BD3">
        <w:rPr>
          <w:rFonts w:ascii="Arial" w:hAnsi="Arial" w:cs="Arial"/>
          <w:sz w:val="20"/>
        </w:rPr>
        <w:t xml:space="preserve"> will include</w:t>
      </w:r>
      <w:r w:rsidRPr="00593BD3">
        <w:rPr>
          <w:rFonts w:ascii="Arial" w:hAnsi="Arial" w:cs="Arial"/>
          <w:sz w:val="20"/>
        </w:rPr>
        <w:t xml:space="preserve">: (i) preparation of required project reports; (ii) monitoring product, output and outcomes achievement using established indicators; (iii) preparation and </w:t>
      </w:r>
      <w:r w:rsidR="0036630A" w:rsidRPr="00593BD3">
        <w:rPr>
          <w:rFonts w:ascii="Arial" w:hAnsi="Arial" w:cs="Arial"/>
          <w:sz w:val="20"/>
        </w:rPr>
        <w:t xml:space="preserve">submission of </w:t>
      </w:r>
      <w:r w:rsidRPr="00593BD3">
        <w:rPr>
          <w:rFonts w:ascii="Arial" w:hAnsi="Arial" w:cs="Arial"/>
          <w:sz w:val="20"/>
        </w:rPr>
        <w:t>disbursement request</w:t>
      </w:r>
      <w:r w:rsidR="0036630A" w:rsidRPr="00593BD3">
        <w:rPr>
          <w:rFonts w:ascii="Arial" w:hAnsi="Arial" w:cs="Arial"/>
          <w:sz w:val="20"/>
        </w:rPr>
        <w:t>s</w:t>
      </w:r>
      <w:r w:rsidRPr="00593BD3">
        <w:rPr>
          <w:rFonts w:ascii="Arial" w:hAnsi="Arial" w:cs="Arial"/>
          <w:sz w:val="20"/>
        </w:rPr>
        <w:t xml:space="preserve"> to the Bank and justification of expenses; (iv) preparation of financial </w:t>
      </w:r>
      <w:r w:rsidR="0036630A" w:rsidRPr="00593BD3">
        <w:rPr>
          <w:rFonts w:ascii="Arial" w:hAnsi="Arial" w:cs="Arial"/>
          <w:sz w:val="20"/>
        </w:rPr>
        <w:t>reports</w:t>
      </w:r>
      <w:r w:rsidRPr="00593BD3">
        <w:rPr>
          <w:rFonts w:ascii="Arial" w:hAnsi="Arial" w:cs="Arial"/>
          <w:sz w:val="20"/>
        </w:rPr>
        <w:t>; (v) ensure compliance with all aspects of the Operating Manual; and (vi) maintain adequate documentation filing system.</w:t>
      </w:r>
    </w:p>
    <w:p w:rsidR="00D41518" w:rsidRPr="00593BD3" w:rsidRDefault="00D41518" w:rsidP="002D1499">
      <w:pPr>
        <w:keepNext/>
        <w:numPr>
          <w:ilvl w:val="0"/>
          <w:numId w:val="1"/>
        </w:numPr>
        <w:suppressAutoHyphens w:val="0"/>
        <w:autoSpaceDE w:val="0"/>
        <w:adjustRightInd w:val="0"/>
        <w:spacing w:after="120"/>
        <w:textAlignment w:val="auto"/>
        <w:rPr>
          <w:rFonts w:ascii="Arial" w:hAnsi="Arial" w:cs="Arial"/>
          <w:b/>
          <w:sz w:val="20"/>
        </w:rPr>
      </w:pPr>
      <w:r w:rsidRPr="00593BD3">
        <w:rPr>
          <w:rFonts w:ascii="Arial" w:hAnsi="Arial" w:cs="Arial"/>
          <w:b/>
          <w:sz w:val="20"/>
        </w:rPr>
        <w:lastRenderedPageBreak/>
        <w:t>REQUIREMENTS AND AGREEMENTS FOR EXECUTION OF PROCUREMENT</w:t>
      </w:r>
    </w:p>
    <w:p w:rsidR="00D41518" w:rsidRPr="00593BD3" w:rsidRDefault="00D41518" w:rsidP="002D1499">
      <w:pPr>
        <w:pStyle w:val="ListParagraph"/>
        <w:keepNext/>
        <w:suppressAutoHyphens w:val="0"/>
        <w:autoSpaceDN/>
        <w:spacing w:after="240"/>
        <w:ind w:left="360"/>
        <w:jc w:val="both"/>
        <w:textAlignment w:val="auto"/>
        <w:rPr>
          <w:rFonts w:ascii="Arial" w:hAnsi="Arial" w:cs="Arial"/>
          <w:vanish/>
          <w:sz w:val="20"/>
        </w:rPr>
      </w:pPr>
    </w:p>
    <w:p w:rsidR="00D41518" w:rsidRPr="00593BD3" w:rsidRDefault="00D41518" w:rsidP="002D1499">
      <w:pPr>
        <w:pStyle w:val="ListParagraph"/>
        <w:keepNext/>
        <w:numPr>
          <w:ilvl w:val="1"/>
          <w:numId w:val="15"/>
        </w:numPr>
        <w:suppressAutoHyphens w:val="0"/>
        <w:autoSpaceDN/>
        <w:snapToGrid w:val="0"/>
        <w:spacing w:after="120"/>
        <w:ind w:left="540" w:hanging="540"/>
        <w:contextualSpacing w:val="0"/>
        <w:jc w:val="both"/>
        <w:textAlignment w:val="auto"/>
        <w:rPr>
          <w:rFonts w:ascii="Arial" w:hAnsi="Arial" w:cs="Arial"/>
          <w:sz w:val="20"/>
        </w:rPr>
      </w:pPr>
      <w:r w:rsidRPr="00593BD3">
        <w:rPr>
          <w:rFonts w:ascii="Arial" w:hAnsi="Arial" w:cs="Arial"/>
          <w:b/>
          <w:sz w:val="20"/>
        </w:rPr>
        <w:t>Procurement Execution</w:t>
      </w:r>
      <w:r w:rsidR="00CB1DB8">
        <w:rPr>
          <w:rFonts w:ascii="Arial" w:hAnsi="Arial" w:cs="Arial"/>
          <w:b/>
          <w:sz w:val="20"/>
        </w:rPr>
        <w:t>.</w:t>
      </w:r>
      <w:r w:rsidRPr="00593BD3">
        <w:rPr>
          <w:rFonts w:ascii="Arial" w:hAnsi="Arial" w:cs="Arial"/>
          <w:sz w:val="20"/>
        </w:rPr>
        <w:t xml:space="preserve"> Procurements for </w:t>
      </w:r>
      <w:r w:rsidR="004915C4">
        <w:rPr>
          <w:rFonts w:ascii="Arial" w:hAnsi="Arial" w:cs="Arial"/>
          <w:sz w:val="20"/>
        </w:rPr>
        <w:t>this</w:t>
      </w:r>
      <w:r w:rsidRPr="00593BD3">
        <w:rPr>
          <w:rFonts w:ascii="Arial" w:hAnsi="Arial" w:cs="Arial"/>
          <w:sz w:val="20"/>
        </w:rPr>
        <w:t xml:space="preserve"> project will be carried out in accordance with the Policies for the Procurement of Works and Goods Financed by the Inter-American Development Bank (GN-2349-9), of March 2011; and the Policies for the Selection and Contracting of Consultants Financed by the Inter-Ame</w:t>
      </w:r>
      <w:r w:rsidR="004915C4">
        <w:rPr>
          <w:rFonts w:ascii="Arial" w:hAnsi="Arial" w:cs="Arial"/>
          <w:sz w:val="20"/>
        </w:rPr>
        <w:t>rican Development Bank (GN</w:t>
      </w:r>
      <w:r w:rsidR="004915C4">
        <w:rPr>
          <w:rFonts w:ascii="Arial" w:hAnsi="Arial" w:cs="Arial"/>
          <w:sz w:val="20"/>
        </w:rPr>
        <w:noBreakHyphen/>
        <w:t>2350</w:t>
      </w:r>
      <w:r w:rsidR="004915C4">
        <w:rPr>
          <w:rFonts w:ascii="Arial" w:hAnsi="Arial" w:cs="Arial"/>
          <w:sz w:val="20"/>
        </w:rPr>
        <w:noBreakHyphen/>
      </w:r>
      <w:r w:rsidRPr="00593BD3">
        <w:rPr>
          <w:rFonts w:ascii="Arial" w:hAnsi="Arial" w:cs="Arial"/>
          <w:sz w:val="20"/>
        </w:rPr>
        <w:t xml:space="preserve">9), of March 2011, and with the provisions established in the </w:t>
      </w:r>
      <w:r w:rsidR="00CD4E91" w:rsidRPr="00593BD3">
        <w:rPr>
          <w:rFonts w:ascii="Arial" w:hAnsi="Arial" w:cs="Arial"/>
          <w:sz w:val="20"/>
        </w:rPr>
        <w:t>L</w:t>
      </w:r>
      <w:r w:rsidRPr="00593BD3">
        <w:rPr>
          <w:rFonts w:ascii="Arial" w:hAnsi="Arial" w:cs="Arial"/>
          <w:sz w:val="20"/>
        </w:rPr>
        <w:t>oan contract. In addition, for all projects, the Borrower is required to prepare and submit to the Bank</w:t>
      </w:r>
      <w:r w:rsidR="00DD4FED" w:rsidRPr="00593BD3">
        <w:rPr>
          <w:rFonts w:ascii="Arial" w:hAnsi="Arial" w:cs="Arial"/>
          <w:sz w:val="20"/>
        </w:rPr>
        <w:t>,</w:t>
      </w:r>
      <w:r w:rsidRPr="00593BD3">
        <w:rPr>
          <w:rFonts w:ascii="Arial" w:hAnsi="Arial" w:cs="Arial"/>
          <w:sz w:val="20"/>
        </w:rPr>
        <w:t xml:space="preserve"> a draft General Procurement Notice as well as an initial procurement plan which will be updated in accordance with the applicable sections of the Policies and the Loan Agreement.</w:t>
      </w:r>
    </w:p>
    <w:p w:rsidR="00D41518" w:rsidRPr="00593BD3" w:rsidRDefault="00D41518" w:rsidP="007612C5">
      <w:pPr>
        <w:pStyle w:val="ListParagraph"/>
        <w:numPr>
          <w:ilvl w:val="1"/>
          <w:numId w:val="15"/>
        </w:numPr>
        <w:suppressAutoHyphens w:val="0"/>
        <w:autoSpaceDN/>
        <w:snapToGrid w:val="0"/>
        <w:spacing w:after="120"/>
        <w:ind w:left="540" w:hanging="540"/>
        <w:contextualSpacing w:val="0"/>
        <w:jc w:val="both"/>
        <w:textAlignment w:val="auto"/>
        <w:rPr>
          <w:rFonts w:ascii="Arial" w:hAnsi="Arial" w:cs="Arial"/>
          <w:sz w:val="20"/>
        </w:rPr>
      </w:pPr>
      <w:r w:rsidRPr="00593BD3">
        <w:rPr>
          <w:rFonts w:ascii="Arial" w:hAnsi="Arial" w:cs="Arial"/>
          <w:b/>
          <w:sz w:val="20"/>
        </w:rPr>
        <w:t>Exception to Bank Procurement Policies</w:t>
      </w:r>
      <w:r w:rsidR="00CB1DB8">
        <w:rPr>
          <w:rFonts w:ascii="Arial" w:hAnsi="Arial" w:cs="Arial"/>
          <w:b/>
          <w:sz w:val="20"/>
        </w:rPr>
        <w:t>.</w:t>
      </w:r>
      <w:r w:rsidRPr="00593BD3">
        <w:rPr>
          <w:rFonts w:ascii="Arial" w:hAnsi="Arial" w:cs="Arial"/>
          <w:sz w:val="20"/>
        </w:rPr>
        <w:t xml:space="preserve"> </w:t>
      </w:r>
      <w:r w:rsidR="00FF0263">
        <w:rPr>
          <w:rFonts w:ascii="Arial" w:hAnsi="Arial" w:cs="Arial"/>
          <w:sz w:val="20"/>
        </w:rPr>
        <w:t>None are requested for this Loan.</w:t>
      </w:r>
    </w:p>
    <w:p w:rsidR="00D41518" w:rsidRPr="00593BD3" w:rsidRDefault="00D41518" w:rsidP="007612C5">
      <w:pPr>
        <w:pStyle w:val="ListParagraph"/>
        <w:numPr>
          <w:ilvl w:val="1"/>
          <w:numId w:val="15"/>
        </w:numPr>
        <w:suppressAutoHyphens w:val="0"/>
        <w:autoSpaceDN/>
        <w:snapToGrid w:val="0"/>
        <w:spacing w:after="120"/>
        <w:ind w:left="540" w:hanging="540"/>
        <w:contextualSpacing w:val="0"/>
        <w:jc w:val="both"/>
        <w:textAlignment w:val="auto"/>
        <w:rPr>
          <w:rFonts w:ascii="Arial" w:hAnsi="Arial" w:cs="Arial"/>
          <w:sz w:val="20"/>
        </w:rPr>
      </w:pPr>
      <w:r w:rsidRPr="00593BD3">
        <w:rPr>
          <w:rFonts w:ascii="Arial" w:hAnsi="Arial" w:cs="Arial"/>
          <w:b/>
          <w:sz w:val="20"/>
        </w:rPr>
        <w:t>Procurement of Goods, Works, and Non-Consulting Services</w:t>
      </w:r>
      <w:r w:rsidR="00CB1DB8">
        <w:rPr>
          <w:rFonts w:ascii="Arial" w:hAnsi="Arial" w:cs="Arial"/>
          <w:b/>
          <w:sz w:val="20"/>
        </w:rPr>
        <w:t>.</w:t>
      </w:r>
      <w:r w:rsidRPr="00593BD3">
        <w:rPr>
          <w:rFonts w:ascii="Arial" w:hAnsi="Arial" w:cs="Arial"/>
          <w:sz w:val="20"/>
        </w:rPr>
        <w:t xml:space="preserve"> </w:t>
      </w:r>
      <w:r w:rsidR="00CD4E91" w:rsidRPr="00593BD3">
        <w:rPr>
          <w:rFonts w:ascii="Arial" w:hAnsi="Arial" w:cs="Arial"/>
          <w:sz w:val="20"/>
        </w:rPr>
        <w:t>In accordance with Section 1.2 of GN-2349-9, “the responsibility for the implementation of the project, and therefore for the award and administration of contracts under the project, rests with the Borrower”</w:t>
      </w:r>
      <w:r w:rsidRPr="00593BD3">
        <w:rPr>
          <w:rFonts w:ascii="Arial" w:hAnsi="Arial" w:cs="Arial"/>
          <w:sz w:val="20"/>
        </w:rPr>
        <w:t>.</w:t>
      </w:r>
      <w:r w:rsidR="00CD4E91" w:rsidRPr="00593BD3">
        <w:rPr>
          <w:rFonts w:ascii="Arial" w:hAnsi="Arial" w:cs="Arial"/>
          <w:sz w:val="20"/>
        </w:rPr>
        <w:t xml:space="preserve"> In accordance with the findings of the ICAS for this Loan and given the level of risk as identified above, all procurement activities will be carried out under ex-ante supervision as described in the following section of the present Annex III.</w:t>
      </w:r>
      <w:r w:rsidRPr="00593BD3">
        <w:rPr>
          <w:rFonts w:ascii="Arial" w:hAnsi="Arial" w:cs="Arial"/>
          <w:sz w:val="20"/>
        </w:rPr>
        <w:t xml:space="preserve"> </w:t>
      </w:r>
    </w:p>
    <w:p w:rsidR="00D41518" w:rsidRPr="00593BD3" w:rsidRDefault="00D41518" w:rsidP="007612C5">
      <w:pPr>
        <w:pStyle w:val="ListParagraph"/>
        <w:numPr>
          <w:ilvl w:val="1"/>
          <w:numId w:val="15"/>
        </w:numPr>
        <w:suppressAutoHyphens w:val="0"/>
        <w:autoSpaceDN/>
        <w:snapToGrid w:val="0"/>
        <w:spacing w:after="120"/>
        <w:ind w:left="540" w:hanging="540"/>
        <w:contextualSpacing w:val="0"/>
        <w:jc w:val="both"/>
        <w:textAlignment w:val="auto"/>
        <w:rPr>
          <w:rFonts w:ascii="Arial" w:hAnsi="Arial" w:cs="Arial"/>
          <w:sz w:val="20"/>
        </w:rPr>
      </w:pPr>
      <w:r w:rsidRPr="00593BD3">
        <w:rPr>
          <w:rFonts w:ascii="Arial" w:hAnsi="Arial" w:cs="Arial"/>
          <w:b/>
          <w:sz w:val="20"/>
        </w:rPr>
        <w:t>Procurement of Consulting Services</w:t>
      </w:r>
      <w:r w:rsidR="00CB1DB8">
        <w:rPr>
          <w:rFonts w:ascii="Arial" w:hAnsi="Arial" w:cs="Arial"/>
          <w:b/>
          <w:sz w:val="20"/>
        </w:rPr>
        <w:t>.</w:t>
      </w:r>
      <w:r w:rsidRPr="00593BD3">
        <w:rPr>
          <w:rFonts w:ascii="Arial" w:hAnsi="Arial" w:cs="Arial"/>
          <w:sz w:val="20"/>
        </w:rPr>
        <w:t xml:space="preserve"> </w:t>
      </w:r>
      <w:r w:rsidR="00CD4E91" w:rsidRPr="00593BD3">
        <w:rPr>
          <w:rFonts w:ascii="Arial" w:hAnsi="Arial" w:cs="Arial"/>
          <w:sz w:val="20"/>
        </w:rPr>
        <w:t>In accordance with Section 1.4 of GN-2350-9</w:t>
      </w:r>
      <w:r w:rsidR="00E4721B">
        <w:rPr>
          <w:rFonts w:ascii="Arial" w:hAnsi="Arial" w:cs="Arial"/>
          <w:sz w:val="20"/>
        </w:rPr>
        <w:t>. “The </w:t>
      </w:r>
      <w:r w:rsidR="00CD4E91" w:rsidRPr="00593BD3">
        <w:rPr>
          <w:rFonts w:ascii="Arial" w:hAnsi="Arial" w:cs="Arial"/>
          <w:sz w:val="20"/>
        </w:rPr>
        <w:t xml:space="preserve">Borrower is responsible for preparing and implementing the project, and therefore for selecting the consultant, and awarding and subsequently </w:t>
      </w:r>
      <w:r w:rsidR="00265C0B">
        <w:rPr>
          <w:rFonts w:ascii="Arial" w:hAnsi="Arial" w:cs="Arial"/>
          <w:sz w:val="20"/>
        </w:rPr>
        <w:t>administering the contract.” As </w:t>
      </w:r>
      <w:r w:rsidR="00CD4E91" w:rsidRPr="00593BD3">
        <w:rPr>
          <w:rFonts w:ascii="Arial" w:hAnsi="Arial" w:cs="Arial"/>
          <w:sz w:val="20"/>
        </w:rPr>
        <w:t>such, t</w:t>
      </w:r>
      <w:r w:rsidRPr="00593BD3">
        <w:rPr>
          <w:rFonts w:ascii="Arial" w:hAnsi="Arial" w:cs="Arial"/>
          <w:sz w:val="20"/>
        </w:rPr>
        <w:t xml:space="preserve">he Borrower is responsible for preparing and implementing </w:t>
      </w:r>
      <w:r w:rsidR="00CD4E91" w:rsidRPr="00593BD3">
        <w:rPr>
          <w:rFonts w:ascii="Arial" w:hAnsi="Arial" w:cs="Arial"/>
          <w:sz w:val="20"/>
        </w:rPr>
        <w:t>the scheduled activities</w:t>
      </w:r>
      <w:r w:rsidRPr="00593BD3">
        <w:rPr>
          <w:rFonts w:ascii="Arial" w:hAnsi="Arial" w:cs="Arial"/>
          <w:sz w:val="20"/>
        </w:rPr>
        <w:t>, and therefore for preparing the TORs, short lists, selecting the consultants, awarding</w:t>
      </w:r>
      <w:r w:rsidR="00440D8B" w:rsidRPr="00593BD3">
        <w:rPr>
          <w:rFonts w:ascii="Arial" w:hAnsi="Arial" w:cs="Arial"/>
          <w:sz w:val="20"/>
        </w:rPr>
        <w:t xml:space="preserve"> the contract</w:t>
      </w:r>
      <w:r w:rsidRPr="00593BD3">
        <w:rPr>
          <w:rFonts w:ascii="Arial" w:hAnsi="Arial" w:cs="Arial"/>
          <w:sz w:val="20"/>
        </w:rPr>
        <w:t xml:space="preserve"> and subsequently administering </w:t>
      </w:r>
      <w:r w:rsidR="00440D8B" w:rsidRPr="00593BD3">
        <w:rPr>
          <w:rFonts w:ascii="Arial" w:hAnsi="Arial" w:cs="Arial"/>
          <w:sz w:val="20"/>
        </w:rPr>
        <w:t>it</w:t>
      </w:r>
      <w:r w:rsidRPr="00593BD3">
        <w:rPr>
          <w:rFonts w:ascii="Arial" w:hAnsi="Arial" w:cs="Arial"/>
          <w:sz w:val="20"/>
        </w:rPr>
        <w:t xml:space="preserve">. </w:t>
      </w:r>
      <w:r w:rsidR="00440D8B" w:rsidRPr="00593BD3">
        <w:rPr>
          <w:rFonts w:ascii="Arial" w:hAnsi="Arial" w:cs="Arial"/>
          <w:sz w:val="20"/>
        </w:rPr>
        <w:t>In accordance with the findings of the ICAS for this Loan and given the level of risk as identified above, all procurement activities will be carried out under ex-ante supervision as described in the following se</w:t>
      </w:r>
      <w:r w:rsidR="00E4721B">
        <w:rPr>
          <w:rFonts w:ascii="Arial" w:hAnsi="Arial" w:cs="Arial"/>
          <w:sz w:val="20"/>
        </w:rPr>
        <w:t>ction of the present Annex III.</w:t>
      </w:r>
    </w:p>
    <w:p w:rsidR="00D41518" w:rsidRPr="00593BD3" w:rsidRDefault="00D41518" w:rsidP="007612C5">
      <w:pPr>
        <w:pStyle w:val="ListParagraph"/>
        <w:numPr>
          <w:ilvl w:val="1"/>
          <w:numId w:val="15"/>
        </w:numPr>
        <w:suppressAutoHyphens w:val="0"/>
        <w:autoSpaceDN/>
        <w:snapToGrid w:val="0"/>
        <w:spacing w:after="120"/>
        <w:ind w:left="540" w:hanging="540"/>
        <w:contextualSpacing w:val="0"/>
        <w:jc w:val="both"/>
        <w:textAlignment w:val="auto"/>
        <w:rPr>
          <w:rFonts w:ascii="Arial" w:hAnsi="Arial" w:cs="Arial"/>
          <w:sz w:val="20"/>
        </w:rPr>
      </w:pPr>
      <w:r w:rsidRPr="00593BD3">
        <w:rPr>
          <w:rFonts w:ascii="Arial" w:hAnsi="Arial" w:cs="Arial"/>
          <w:b/>
          <w:sz w:val="20"/>
        </w:rPr>
        <w:t>Sole Source Selection and/or Direct Contracting</w:t>
      </w:r>
      <w:r w:rsidR="00CB1DB8">
        <w:rPr>
          <w:rFonts w:ascii="Arial" w:hAnsi="Arial" w:cs="Arial"/>
          <w:b/>
          <w:sz w:val="20"/>
        </w:rPr>
        <w:t>.</w:t>
      </w:r>
      <w:r w:rsidRPr="00593BD3">
        <w:rPr>
          <w:rFonts w:ascii="Arial" w:hAnsi="Arial" w:cs="Arial"/>
          <w:sz w:val="20"/>
        </w:rPr>
        <w:t xml:space="preserve"> </w:t>
      </w:r>
      <w:r w:rsidR="00FF0263">
        <w:rPr>
          <w:rFonts w:ascii="Arial" w:hAnsi="Arial" w:cs="Arial"/>
          <w:sz w:val="20"/>
        </w:rPr>
        <w:t>None foreseen under this Loan.</w:t>
      </w:r>
    </w:p>
    <w:p w:rsidR="00D41518" w:rsidRPr="00593BD3" w:rsidRDefault="00D41518" w:rsidP="007612C5">
      <w:pPr>
        <w:pStyle w:val="ListParagraph"/>
        <w:numPr>
          <w:ilvl w:val="1"/>
          <w:numId w:val="15"/>
        </w:numPr>
        <w:suppressAutoHyphens w:val="0"/>
        <w:autoSpaceDN/>
        <w:snapToGrid w:val="0"/>
        <w:spacing w:after="120"/>
        <w:ind w:left="540" w:hanging="540"/>
        <w:contextualSpacing w:val="0"/>
        <w:jc w:val="both"/>
        <w:textAlignment w:val="auto"/>
        <w:rPr>
          <w:rFonts w:ascii="Arial" w:hAnsi="Arial" w:cs="Arial"/>
          <w:sz w:val="20"/>
        </w:rPr>
      </w:pPr>
      <w:r w:rsidRPr="00593BD3">
        <w:rPr>
          <w:rFonts w:ascii="Arial" w:hAnsi="Arial" w:cs="Arial"/>
          <w:b/>
          <w:sz w:val="20"/>
        </w:rPr>
        <w:t>Selection of Individual Consultants</w:t>
      </w:r>
      <w:r w:rsidR="00CB1DB8">
        <w:rPr>
          <w:rFonts w:ascii="Arial" w:hAnsi="Arial" w:cs="Arial"/>
          <w:b/>
          <w:sz w:val="20"/>
        </w:rPr>
        <w:t>.</w:t>
      </w:r>
      <w:r w:rsidRPr="00593BD3">
        <w:rPr>
          <w:rFonts w:ascii="Arial" w:hAnsi="Arial" w:cs="Arial"/>
          <w:sz w:val="20"/>
        </w:rPr>
        <w:t xml:space="preserve"> Individual consultants are employed in accordance with Section V (Selection of Individual Consultants) of GN-2350-</w:t>
      </w:r>
      <w:r w:rsidR="00440D8B" w:rsidRPr="00593BD3">
        <w:rPr>
          <w:rFonts w:ascii="Arial" w:hAnsi="Arial" w:cs="Arial"/>
          <w:sz w:val="20"/>
        </w:rPr>
        <w:t>9.</w:t>
      </w:r>
    </w:p>
    <w:p w:rsidR="00D41518" w:rsidRPr="00593BD3" w:rsidRDefault="00D41518" w:rsidP="007612C5">
      <w:pPr>
        <w:pStyle w:val="ListParagraph"/>
        <w:numPr>
          <w:ilvl w:val="1"/>
          <w:numId w:val="15"/>
        </w:numPr>
        <w:suppressAutoHyphens w:val="0"/>
        <w:autoSpaceDN/>
        <w:snapToGrid w:val="0"/>
        <w:spacing w:after="120"/>
        <w:ind w:left="540" w:hanging="540"/>
        <w:contextualSpacing w:val="0"/>
        <w:jc w:val="both"/>
        <w:textAlignment w:val="auto"/>
        <w:rPr>
          <w:rFonts w:ascii="Arial" w:hAnsi="Arial" w:cs="Arial"/>
          <w:sz w:val="20"/>
        </w:rPr>
      </w:pPr>
      <w:r w:rsidRPr="00593BD3">
        <w:rPr>
          <w:rFonts w:ascii="Arial" w:hAnsi="Arial" w:cs="Arial"/>
          <w:b/>
          <w:sz w:val="20"/>
        </w:rPr>
        <w:t>Recurring Expenses</w:t>
      </w:r>
      <w:r w:rsidR="00CB1DB8">
        <w:rPr>
          <w:rFonts w:ascii="Arial" w:hAnsi="Arial" w:cs="Arial"/>
          <w:b/>
          <w:sz w:val="20"/>
        </w:rPr>
        <w:t>.</w:t>
      </w:r>
      <w:r w:rsidRPr="00593BD3">
        <w:rPr>
          <w:rFonts w:ascii="Arial" w:hAnsi="Arial" w:cs="Arial"/>
          <w:sz w:val="20"/>
        </w:rPr>
        <w:t xml:space="preserve"> Include payment of utilities and other office operating expenses of the </w:t>
      </w:r>
      <w:r w:rsidR="00DD4FED" w:rsidRPr="00593BD3">
        <w:rPr>
          <w:rFonts w:ascii="Arial" w:hAnsi="Arial" w:cs="Arial"/>
          <w:sz w:val="20"/>
        </w:rPr>
        <w:t>Executing Unit</w:t>
      </w:r>
      <w:r w:rsidRPr="00593BD3">
        <w:rPr>
          <w:rFonts w:ascii="Arial" w:hAnsi="Arial" w:cs="Arial"/>
          <w:sz w:val="20"/>
        </w:rPr>
        <w:t>, if any.</w:t>
      </w:r>
    </w:p>
    <w:p w:rsidR="00D41518" w:rsidRPr="00593BD3" w:rsidRDefault="00D41518" w:rsidP="007612C5">
      <w:pPr>
        <w:pStyle w:val="ListParagraph"/>
        <w:numPr>
          <w:ilvl w:val="1"/>
          <w:numId w:val="15"/>
        </w:numPr>
        <w:suppressAutoHyphens w:val="0"/>
        <w:autoSpaceDN/>
        <w:snapToGrid w:val="0"/>
        <w:spacing w:after="120"/>
        <w:ind w:left="540" w:hanging="540"/>
        <w:contextualSpacing w:val="0"/>
        <w:jc w:val="both"/>
        <w:textAlignment w:val="auto"/>
        <w:rPr>
          <w:rFonts w:ascii="Arial" w:hAnsi="Arial" w:cs="Arial"/>
          <w:sz w:val="20"/>
        </w:rPr>
      </w:pPr>
      <w:r w:rsidRPr="00593BD3">
        <w:rPr>
          <w:rFonts w:ascii="Arial" w:hAnsi="Arial" w:cs="Arial"/>
          <w:b/>
          <w:sz w:val="20"/>
        </w:rPr>
        <w:t>Advance Co</w:t>
      </w:r>
      <w:r w:rsidR="00CB1DB8">
        <w:rPr>
          <w:rFonts w:ascii="Arial" w:hAnsi="Arial" w:cs="Arial"/>
          <w:b/>
          <w:sz w:val="20"/>
        </w:rPr>
        <w:t>ntracting/Retroactive Financing.</w:t>
      </w:r>
      <w:r w:rsidRPr="00593BD3">
        <w:rPr>
          <w:rFonts w:ascii="Arial" w:hAnsi="Arial" w:cs="Arial"/>
          <w:b/>
          <w:sz w:val="20"/>
        </w:rPr>
        <w:t xml:space="preserve"> </w:t>
      </w:r>
      <w:r w:rsidRPr="00593BD3">
        <w:rPr>
          <w:rFonts w:ascii="Arial" w:hAnsi="Arial" w:cs="Arial"/>
          <w:sz w:val="20"/>
        </w:rPr>
        <w:t xml:space="preserve">No advance contracting is foreseen under the present operation. </w:t>
      </w:r>
    </w:p>
    <w:p w:rsidR="00D41518" w:rsidRPr="00593BD3" w:rsidRDefault="00D41518" w:rsidP="007612C5">
      <w:pPr>
        <w:pStyle w:val="ListParagraph"/>
        <w:numPr>
          <w:ilvl w:val="1"/>
          <w:numId w:val="15"/>
        </w:numPr>
        <w:suppressAutoHyphens w:val="0"/>
        <w:autoSpaceDN/>
        <w:snapToGrid w:val="0"/>
        <w:spacing w:after="120"/>
        <w:ind w:left="540" w:hanging="540"/>
        <w:contextualSpacing w:val="0"/>
        <w:jc w:val="both"/>
        <w:textAlignment w:val="auto"/>
        <w:rPr>
          <w:rFonts w:ascii="Arial" w:hAnsi="Arial" w:cs="Arial"/>
          <w:sz w:val="20"/>
        </w:rPr>
      </w:pPr>
      <w:r w:rsidRPr="00593BD3">
        <w:rPr>
          <w:rFonts w:ascii="Arial" w:hAnsi="Arial" w:cs="Arial"/>
          <w:b/>
          <w:sz w:val="20"/>
        </w:rPr>
        <w:t>Domestic Preference</w:t>
      </w:r>
      <w:r w:rsidR="00CB1DB8">
        <w:rPr>
          <w:rFonts w:ascii="Arial" w:hAnsi="Arial" w:cs="Arial"/>
          <w:b/>
          <w:sz w:val="20"/>
        </w:rPr>
        <w:t>.</w:t>
      </w:r>
      <w:r w:rsidRPr="00593BD3">
        <w:rPr>
          <w:rFonts w:ascii="Arial" w:hAnsi="Arial" w:cs="Arial"/>
          <w:sz w:val="20"/>
        </w:rPr>
        <w:t xml:space="preserve"> </w:t>
      </w:r>
      <w:r w:rsidR="00440D8B" w:rsidRPr="00593BD3">
        <w:rPr>
          <w:rFonts w:ascii="Arial" w:hAnsi="Arial" w:cs="Arial"/>
          <w:sz w:val="20"/>
        </w:rPr>
        <w:t>Domestic Preference is not requested under this Loan.</w:t>
      </w:r>
    </w:p>
    <w:p w:rsidR="00D41518" w:rsidRPr="00E4721B" w:rsidRDefault="00D41518" w:rsidP="007612C5">
      <w:pPr>
        <w:pStyle w:val="ListParagraph"/>
        <w:numPr>
          <w:ilvl w:val="1"/>
          <w:numId w:val="15"/>
        </w:numPr>
        <w:suppressAutoHyphens w:val="0"/>
        <w:autoSpaceDN/>
        <w:snapToGrid w:val="0"/>
        <w:spacing w:after="120"/>
        <w:ind w:left="540" w:hanging="540"/>
        <w:contextualSpacing w:val="0"/>
        <w:jc w:val="both"/>
        <w:textAlignment w:val="auto"/>
        <w:rPr>
          <w:rStyle w:val="Hyperlink"/>
          <w:rFonts w:ascii="Arial" w:hAnsi="Arial" w:cs="Arial"/>
          <w:color w:val="auto"/>
          <w:sz w:val="20"/>
          <w:u w:val="none"/>
        </w:rPr>
      </w:pPr>
      <w:r w:rsidRPr="00593BD3">
        <w:rPr>
          <w:rFonts w:ascii="Arial" w:hAnsi="Arial" w:cs="Arial"/>
          <w:b/>
          <w:sz w:val="20"/>
        </w:rPr>
        <w:t>Country Threshold</w:t>
      </w:r>
      <w:r w:rsidR="00CB1DB8">
        <w:rPr>
          <w:rFonts w:ascii="Arial" w:hAnsi="Arial" w:cs="Arial"/>
          <w:b/>
          <w:sz w:val="20"/>
        </w:rPr>
        <w:t>.</w:t>
      </w:r>
      <w:r w:rsidRPr="00593BD3">
        <w:rPr>
          <w:rFonts w:ascii="Arial" w:hAnsi="Arial" w:cs="Arial"/>
          <w:sz w:val="20"/>
        </w:rPr>
        <w:t xml:space="preserve"> Table (US$ Thousands) </w:t>
      </w:r>
      <w:hyperlink r:id="rId9" w:history="1">
        <w:r w:rsidRPr="00593BD3">
          <w:rPr>
            <w:rStyle w:val="Hyperlink"/>
            <w:rFonts w:ascii="Arial" w:hAnsi="Arial" w:cs="Arial"/>
            <w:color w:val="auto"/>
            <w:sz w:val="20"/>
          </w:rPr>
          <w:t>www.iadb.org/procurement</w:t>
        </w:r>
      </w:hyperlink>
    </w:p>
    <w:p w:rsidR="00E4721B" w:rsidRPr="00593BD3" w:rsidRDefault="00E4721B" w:rsidP="00E4721B">
      <w:pPr>
        <w:pStyle w:val="ListParagraph"/>
        <w:suppressAutoHyphens w:val="0"/>
        <w:autoSpaceDN/>
        <w:snapToGrid w:val="0"/>
        <w:spacing w:after="120"/>
        <w:ind w:left="540"/>
        <w:contextualSpacing w:val="0"/>
        <w:jc w:val="both"/>
        <w:textAlignment w:val="auto"/>
        <w:rPr>
          <w:rFonts w:ascii="Arial" w:hAnsi="Arial" w:cs="Arial"/>
          <w:sz w:val="20"/>
        </w:rPr>
      </w:pPr>
    </w:p>
    <w:tbl>
      <w:tblPr>
        <w:tblStyle w:val="TableGrid"/>
        <w:tblW w:w="8280" w:type="dxa"/>
        <w:tblInd w:w="648" w:type="dxa"/>
        <w:tblLayout w:type="fixed"/>
        <w:tblLook w:val="04A0" w:firstRow="1" w:lastRow="0" w:firstColumn="1" w:lastColumn="0" w:noHBand="0" w:noVBand="1"/>
      </w:tblPr>
      <w:tblGrid>
        <w:gridCol w:w="1170"/>
        <w:gridCol w:w="1170"/>
        <w:gridCol w:w="270"/>
        <w:gridCol w:w="1440"/>
        <w:gridCol w:w="1620"/>
        <w:gridCol w:w="270"/>
        <w:gridCol w:w="2340"/>
      </w:tblGrid>
      <w:tr w:rsidR="00D15790" w:rsidRPr="00593BD3" w:rsidTr="00593BD3">
        <w:trPr>
          <w:trHeight w:val="575"/>
        </w:trPr>
        <w:tc>
          <w:tcPr>
            <w:tcW w:w="2340" w:type="dxa"/>
            <w:gridSpan w:val="2"/>
            <w:shd w:val="clear" w:color="auto" w:fill="BFBFBF" w:themeFill="background1" w:themeFillShade="BF"/>
            <w:vAlign w:val="center"/>
          </w:tcPr>
          <w:p w:rsidR="00D41518" w:rsidRPr="00593BD3" w:rsidRDefault="00D41518" w:rsidP="00593BD3">
            <w:pPr>
              <w:suppressAutoHyphens w:val="0"/>
              <w:autoSpaceDN/>
              <w:jc w:val="center"/>
              <w:textAlignment w:val="auto"/>
              <w:rPr>
                <w:rFonts w:ascii="Arial" w:eastAsia="Calibri" w:hAnsi="Arial" w:cs="Arial"/>
                <w:sz w:val="16"/>
                <w:szCs w:val="16"/>
              </w:rPr>
            </w:pPr>
            <w:r w:rsidRPr="00593BD3">
              <w:rPr>
                <w:rFonts w:ascii="Arial" w:eastAsia="Calibri" w:hAnsi="Arial" w:cs="Arial"/>
                <w:sz w:val="16"/>
                <w:szCs w:val="16"/>
              </w:rPr>
              <w:t>International Competitive Bidding Threshold*</w:t>
            </w:r>
          </w:p>
        </w:tc>
        <w:tc>
          <w:tcPr>
            <w:tcW w:w="270" w:type="dxa"/>
            <w:vMerge w:val="restart"/>
            <w:shd w:val="clear" w:color="auto" w:fill="auto"/>
            <w:vAlign w:val="center"/>
          </w:tcPr>
          <w:p w:rsidR="00D41518" w:rsidRPr="00593BD3" w:rsidRDefault="00D41518" w:rsidP="00593BD3">
            <w:pPr>
              <w:suppressAutoHyphens w:val="0"/>
              <w:autoSpaceDN/>
              <w:ind w:left="630" w:hanging="630"/>
              <w:jc w:val="center"/>
              <w:textAlignment w:val="auto"/>
              <w:rPr>
                <w:rFonts w:ascii="Arial" w:eastAsia="Calibri" w:hAnsi="Arial" w:cs="Arial"/>
                <w:sz w:val="16"/>
                <w:szCs w:val="16"/>
              </w:rPr>
            </w:pPr>
          </w:p>
        </w:tc>
        <w:tc>
          <w:tcPr>
            <w:tcW w:w="3060" w:type="dxa"/>
            <w:gridSpan w:val="2"/>
            <w:shd w:val="clear" w:color="auto" w:fill="BFBFBF" w:themeFill="background1" w:themeFillShade="BF"/>
            <w:vAlign w:val="center"/>
          </w:tcPr>
          <w:p w:rsidR="00D41518" w:rsidRPr="00593BD3" w:rsidRDefault="00D41518" w:rsidP="00593BD3">
            <w:pPr>
              <w:suppressAutoHyphens w:val="0"/>
              <w:autoSpaceDN/>
              <w:jc w:val="center"/>
              <w:textAlignment w:val="auto"/>
              <w:rPr>
                <w:rFonts w:ascii="Arial" w:eastAsia="Calibri" w:hAnsi="Arial" w:cs="Arial"/>
                <w:sz w:val="16"/>
                <w:szCs w:val="16"/>
              </w:rPr>
            </w:pPr>
            <w:r w:rsidRPr="00593BD3">
              <w:rPr>
                <w:rFonts w:ascii="Arial" w:eastAsia="Calibri" w:hAnsi="Arial" w:cs="Arial"/>
                <w:sz w:val="16"/>
                <w:szCs w:val="16"/>
              </w:rPr>
              <w:t>National Competitive Bidding Range ** (complex works and non-common goods)</w:t>
            </w:r>
          </w:p>
        </w:tc>
        <w:tc>
          <w:tcPr>
            <w:tcW w:w="270" w:type="dxa"/>
            <w:vMerge w:val="restart"/>
            <w:shd w:val="clear" w:color="auto" w:fill="auto"/>
            <w:vAlign w:val="center"/>
          </w:tcPr>
          <w:p w:rsidR="00D41518" w:rsidRPr="00593BD3" w:rsidRDefault="00D41518" w:rsidP="00593BD3">
            <w:pPr>
              <w:suppressAutoHyphens w:val="0"/>
              <w:autoSpaceDN/>
              <w:ind w:left="630" w:hanging="630"/>
              <w:jc w:val="center"/>
              <w:textAlignment w:val="auto"/>
              <w:rPr>
                <w:rFonts w:ascii="Arial" w:eastAsia="Calibri" w:hAnsi="Arial" w:cs="Arial"/>
                <w:sz w:val="16"/>
                <w:szCs w:val="16"/>
              </w:rPr>
            </w:pPr>
          </w:p>
        </w:tc>
        <w:tc>
          <w:tcPr>
            <w:tcW w:w="2340" w:type="dxa"/>
            <w:shd w:val="clear" w:color="auto" w:fill="BFBFBF" w:themeFill="background1" w:themeFillShade="BF"/>
            <w:vAlign w:val="center"/>
          </w:tcPr>
          <w:p w:rsidR="00D41518" w:rsidRPr="00593BD3" w:rsidRDefault="00D41518" w:rsidP="00593BD3">
            <w:pPr>
              <w:suppressAutoHyphens w:val="0"/>
              <w:autoSpaceDN/>
              <w:jc w:val="center"/>
              <w:textAlignment w:val="auto"/>
              <w:rPr>
                <w:rFonts w:ascii="Arial" w:eastAsia="Calibri" w:hAnsi="Arial" w:cs="Arial"/>
                <w:sz w:val="16"/>
                <w:szCs w:val="16"/>
              </w:rPr>
            </w:pPr>
            <w:r w:rsidRPr="00593BD3">
              <w:rPr>
                <w:rFonts w:ascii="Arial" w:eastAsia="Calibri" w:hAnsi="Arial" w:cs="Arial"/>
                <w:sz w:val="16"/>
                <w:szCs w:val="16"/>
              </w:rPr>
              <w:t>Consulting Services</w:t>
            </w:r>
          </w:p>
        </w:tc>
      </w:tr>
      <w:tr w:rsidR="00D15790" w:rsidRPr="00593BD3" w:rsidTr="00FB5D45">
        <w:trPr>
          <w:trHeight w:val="323"/>
        </w:trPr>
        <w:tc>
          <w:tcPr>
            <w:tcW w:w="1170" w:type="dxa"/>
            <w:shd w:val="clear" w:color="auto" w:fill="D9D9D9" w:themeFill="background1" w:themeFillShade="D9"/>
          </w:tcPr>
          <w:p w:rsidR="00D41518" w:rsidRPr="00593BD3" w:rsidRDefault="00D41518" w:rsidP="00CD4E91">
            <w:pPr>
              <w:suppressAutoHyphens w:val="0"/>
              <w:autoSpaceDN/>
              <w:ind w:left="630" w:hanging="630"/>
              <w:jc w:val="center"/>
              <w:textAlignment w:val="auto"/>
              <w:rPr>
                <w:rFonts w:ascii="Arial" w:eastAsia="Calibri" w:hAnsi="Arial" w:cs="Arial"/>
                <w:b/>
                <w:sz w:val="16"/>
                <w:szCs w:val="16"/>
              </w:rPr>
            </w:pPr>
            <w:r w:rsidRPr="00593BD3">
              <w:rPr>
                <w:rFonts w:ascii="Arial" w:eastAsia="Calibri" w:hAnsi="Arial" w:cs="Arial"/>
                <w:b/>
                <w:sz w:val="16"/>
                <w:szCs w:val="16"/>
              </w:rPr>
              <w:t>Works</w:t>
            </w:r>
          </w:p>
        </w:tc>
        <w:tc>
          <w:tcPr>
            <w:tcW w:w="1170" w:type="dxa"/>
            <w:shd w:val="clear" w:color="auto" w:fill="D9D9D9" w:themeFill="background1" w:themeFillShade="D9"/>
          </w:tcPr>
          <w:p w:rsidR="00D41518" w:rsidRPr="00593BD3" w:rsidRDefault="00D41518" w:rsidP="00CD4E91">
            <w:pPr>
              <w:suppressAutoHyphens w:val="0"/>
              <w:autoSpaceDN/>
              <w:ind w:left="630" w:hanging="630"/>
              <w:jc w:val="center"/>
              <w:textAlignment w:val="auto"/>
              <w:rPr>
                <w:rFonts w:ascii="Arial" w:eastAsia="Calibri" w:hAnsi="Arial" w:cs="Arial"/>
                <w:b/>
                <w:sz w:val="16"/>
                <w:szCs w:val="16"/>
              </w:rPr>
            </w:pPr>
            <w:r w:rsidRPr="00593BD3">
              <w:rPr>
                <w:rFonts w:ascii="Arial" w:eastAsia="Calibri" w:hAnsi="Arial" w:cs="Arial"/>
                <w:b/>
                <w:sz w:val="16"/>
                <w:szCs w:val="16"/>
              </w:rPr>
              <w:t>Goods</w:t>
            </w:r>
          </w:p>
        </w:tc>
        <w:tc>
          <w:tcPr>
            <w:tcW w:w="270" w:type="dxa"/>
            <w:vMerge/>
            <w:shd w:val="clear" w:color="auto" w:fill="auto"/>
          </w:tcPr>
          <w:p w:rsidR="00D41518" w:rsidRPr="00593BD3" w:rsidRDefault="00D41518" w:rsidP="00CD4E91">
            <w:pPr>
              <w:suppressAutoHyphens w:val="0"/>
              <w:autoSpaceDN/>
              <w:ind w:left="630" w:hanging="630"/>
              <w:textAlignment w:val="auto"/>
              <w:rPr>
                <w:rFonts w:ascii="Arial" w:eastAsia="Calibri" w:hAnsi="Arial" w:cs="Arial"/>
                <w:sz w:val="16"/>
                <w:szCs w:val="16"/>
              </w:rPr>
            </w:pPr>
          </w:p>
        </w:tc>
        <w:tc>
          <w:tcPr>
            <w:tcW w:w="1440" w:type="dxa"/>
            <w:shd w:val="clear" w:color="auto" w:fill="D9D9D9" w:themeFill="background1" w:themeFillShade="D9"/>
          </w:tcPr>
          <w:p w:rsidR="00D41518" w:rsidRPr="00593BD3" w:rsidRDefault="00D41518" w:rsidP="00CD4E91">
            <w:pPr>
              <w:suppressAutoHyphens w:val="0"/>
              <w:autoSpaceDN/>
              <w:ind w:left="630" w:hanging="630"/>
              <w:jc w:val="center"/>
              <w:textAlignment w:val="auto"/>
              <w:rPr>
                <w:rFonts w:ascii="Arial" w:eastAsia="Calibri" w:hAnsi="Arial" w:cs="Arial"/>
                <w:b/>
                <w:sz w:val="16"/>
                <w:szCs w:val="16"/>
              </w:rPr>
            </w:pPr>
            <w:r w:rsidRPr="00593BD3">
              <w:rPr>
                <w:rFonts w:ascii="Arial" w:eastAsia="Calibri" w:hAnsi="Arial" w:cs="Arial"/>
                <w:b/>
                <w:sz w:val="16"/>
                <w:szCs w:val="16"/>
              </w:rPr>
              <w:t>Works</w:t>
            </w:r>
          </w:p>
        </w:tc>
        <w:tc>
          <w:tcPr>
            <w:tcW w:w="1620" w:type="dxa"/>
            <w:shd w:val="clear" w:color="auto" w:fill="D9D9D9" w:themeFill="background1" w:themeFillShade="D9"/>
          </w:tcPr>
          <w:p w:rsidR="00D41518" w:rsidRPr="00593BD3" w:rsidRDefault="00D41518" w:rsidP="00CD4E91">
            <w:pPr>
              <w:suppressAutoHyphens w:val="0"/>
              <w:autoSpaceDN/>
              <w:ind w:left="630" w:hanging="630"/>
              <w:jc w:val="center"/>
              <w:textAlignment w:val="auto"/>
              <w:rPr>
                <w:rFonts w:ascii="Arial" w:eastAsia="Calibri" w:hAnsi="Arial" w:cs="Arial"/>
                <w:b/>
                <w:sz w:val="16"/>
                <w:szCs w:val="16"/>
              </w:rPr>
            </w:pPr>
            <w:r w:rsidRPr="00593BD3">
              <w:rPr>
                <w:rFonts w:ascii="Arial" w:eastAsia="Calibri" w:hAnsi="Arial" w:cs="Arial"/>
                <w:b/>
                <w:sz w:val="16"/>
                <w:szCs w:val="16"/>
              </w:rPr>
              <w:t>Goods</w:t>
            </w:r>
          </w:p>
        </w:tc>
        <w:tc>
          <w:tcPr>
            <w:tcW w:w="270" w:type="dxa"/>
            <w:vMerge/>
            <w:shd w:val="clear" w:color="auto" w:fill="auto"/>
          </w:tcPr>
          <w:p w:rsidR="00D41518" w:rsidRPr="00593BD3" w:rsidRDefault="00D41518" w:rsidP="00CD4E91">
            <w:pPr>
              <w:suppressAutoHyphens w:val="0"/>
              <w:autoSpaceDN/>
              <w:ind w:left="630" w:hanging="630"/>
              <w:textAlignment w:val="auto"/>
              <w:rPr>
                <w:rFonts w:ascii="Arial" w:eastAsia="Calibri" w:hAnsi="Arial" w:cs="Arial"/>
                <w:sz w:val="16"/>
                <w:szCs w:val="16"/>
              </w:rPr>
            </w:pPr>
          </w:p>
        </w:tc>
        <w:tc>
          <w:tcPr>
            <w:tcW w:w="2340" w:type="dxa"/>
            <w:shd w:val="clear" w:color="auto" w:fill="D9D9D9" w:themeFill="background1" w:themeFillShade="D9"/>
          </w:tcPr>
          <w:p w:rsidR="00D41518" w:rsidRPr="00593BD3" w:rsidRDefault="00D41518" w:rsidP="00CD4E91">
            <w:pPr>
              <w:suppressAutoHyphens w:val="0"/>
              <w:autoSpaceDN/>
              <w:textAlignment w:val="auto"/>
              <w:rPr>
                <w:rFonts w:ascii="Arial" w:eastAsia="Calibri" w:hAnsi="Arial" w:cs="Arial"/>
                <w:b/>
                <w:sz w:val="16"/>
                <w:szCs w:val="16"/>
              </w:rPr>
            </w:pPr>
            <w:r w:rsidRPr="00593BD3">
              <w:rPr>
                <w:rFonts w:ascii="Arial" w:eastAsia="Calibri" w:hAnsi="Arial" w:cs="Arial"/>
                <w:b/>
                <w:sz w:val="16"/>
                <w:szCs w:val="16"/>
              </w:rPr>
              <w:t>International Short List</w:t>
            </w:r>
          </w:p>
        </w:tc>
      </w:tr>
      <w:tr w:rsidR="00D15790" w:rsidRPr="00593BD3" w:rsidTr="00335CE4">
        <w:tc>
          <w:tcPr>
            <w:tcW w:w="1170" w:type="dxa"/>
          </w:tcPr>
          <w:p w:rsidR="00D41518" w:rsidRPr="00593BD3" w:rsidRDefault="00D41518" w:rsidP="00CD4E91">
            <w:pPr>
              <w:suppressAutoHyphens w:val="0"/>
              <w:autoSpaceDN/>
              <w:textAlignment w:val="auto"/>
              <w:rPr>
                <w:rFonts w:ascii="Arial" w:eastAsia="Calibri" w:hAnsi="Arial" w:cs="Arial"/>
                <w:sz w:val="16"/>
                <w:szCs w:val="16"/>
              </w:rPr>
            </w:pPr>
            <w:r w:rsidRPr="00593BD3">
              <w:rPr>
                <w:rFonts w:ascii="Arial" w:eastAsia="Calibri" w:hAnsi="Arial" w:cs="Arial"/>
                <w:sz w:val="16"/>
                <w:szCs w:val="16"/>
              </w:rPr>
              <w:t>&gt;1,000,000</w:t>
            </w:r>
          </w:p>
        </w:tc>
        <w:tc>
          <w:tcPr>
            <w:tcW w:w="1170" w:type="dxa"/>
          </w:tcPr>
          <w:p w:rsidR="00D41518" w:rsidRPr="00593BD3" w:rsidRDefault="00D41518" w:rsidP="00CD4E91">
            <w:pPr>
              <w:suppressAutoHyphens w:val="0"/>
              <w:autoSpaceDN/>
              <w:ind w:left="630" w:hanging="630"/>
              <w:textAlignment w:val="auto"/>
              <w:rPr>
                <w:rFonts w:ascii="Arial" w:eastAsia="Calibri" w:hAnsi="Arial" w:cs="Arial"/>
                <w:sz w:val="16"/>
                <w:szCs w:val="16"/>
              </w:rPr>
            </w:pPr>
            <w:r w:rsidRPr="00593BD3">
              <w:rPr>
                <w:rFonts w:ascii="Arial" w:eastAsia="Calibri" w:hAnsi="Arial" w:cs="Arial"/>
                <w:sz w:val="16"/>
                <w:szCs w:val="16"/>
              </w:rPr>
              <w:t>&gt;100,000</w:t>
            </w:r>
          </w:p>
        </w:tc>
        <w:tc>
          <w:tcPr>
            <w:tcW w:w="270" w:type="dxa"/>
            <w:vMerge/>
            <w:shd w:val="clear" w:color="auto" w:fill="auto"/>
          </w:tcPr>
          <w:p w:rsidR="00D41518" w:rsidRPr="00593BD3" w:rsidRDefault="00D41518" w:rsidP="00CD4E91">
            <w:pPr>
              <w:suppressAutoHyphens w:val="0"/>
              <w:autoSpaceDN/>
              <w:ind w:left="630" w:hanging="630"/>
              <w:textAlignment w:val="auto"/>
              <w:rPr>
                <w:rFonts w:ascii="Arial" w:eastAsia="Calibri" w:hAnsi="Arial" w:cs="Arial"/>
                <w:sz w:val="16"/>
                <w:szCs w:val="16"/>
              </w:rPr>
            </w:pPr>
          </w:p>
        </w:tc>
        <w:tc>
          <w:tcPr>
            <w:tcW w:w="1440" w:type="dxa"/>
          </w:tcPr>
          <w:p w:rsidR="00D41518" w:rsidRPr="00593BD3" w:rsidRDefault="00440D8B" w:rsidP="00CD4E91">
            <w:pPr>
              <w:suppressAutoHyphens w:val="0"/>
              <w:autoSpaceDN/>
              <w:ind w:hanging="2"/>
              <w:jc w:val="center"/>
              <w:textAlignment w:val="auto"/>
              <w:rPr>
                <w:rFonts w:ascii="Arial" w:eastAsia="Calibri" w:hAnsi="Arial" w:cs="Arial"/>
                <w:sz w:val="16"/>
                <w:szCs w:val="16"/>
              </w:rPr>
            </w:pPr>
            <w:r w:rsidRPr="00593BD3">
              <w:rPr>
                <w:rFonts w:ascii="Arial" w:eastAsia="Calibri" w:hAnsi="Arial" w:cs="Arial"/>
                <w:sz w:val="16"/>
                <w:szCs w:val="16"/>
              </w:rPr>
              <w:t>&lt;</w:t>
            </w:r>
            <w:r w:rsidR="00D41518" w:rsidRPr="00593BD3">
              <w:rPr>
                <w:rFonts w:ascii="Arial" w:eastAsia="Calibri" w:hAnsi="Arial" w:cs="Arial"/>
                <w:sz w:val="16"/>
                <w:szCs w:val="16"/>
              </w:rPr>
              <w:t>1,000,000</w:t>
            </w:r>
          </w:p>
        </w:tc>
        <w:tc>
          <w:tcPr>
            <w:tcW w:w="1620" w:type="dxa"/>
          </w:tcPr>
          <w:p w:rsidR="00D41518" w:rsidRPr="00593BD3" w:rsidRDefault="00440D8B" w:rsidP="00CD4E91">
            <w:pPr>
              <w:suppressAutoHyphens w:val="0"/>
              <w:autoSpaceDN/>
              <w:ind w:left="630" w:hanging="630"/>
              <w:jc w:val="center"/>
              <w:textAlignment w:val="auto"/>
              <w:rPr>
                <w:rFonts w:ascii="Arial" w:eastAsia="Calibri" w:hAnsi="Arial" w:cs="Arial"/>
                <w:sz w:val="16"/>
                <w:szCs w:val="16"/>
              </w:rPr>
            </w:pPr>
            <w:r w:rsidRPr="00593BD3">
              <w:rPr>
                <w:rFonts w:ascii="Arial" w:eastAsia="Calibri" w:hAnsi="Arial" w:cs="Arial"/>
                <w:sz w:val="16"/>
                <w:szCs w:val="16"/>
              </w:rPr>
              <w:t>&lt;</w:t>
            </w:r>
            <w:r w:rsidR="00D41518" w:rsidRPr="00593BD3">
              <w:rPr>
                <w:rFonts w:ascii="Arial" w:eastAsia="Calibri" w:hAnsi="Arial" w:cs="Arial"/>
                <w:sz w:val="16"/>
                <w:szCs w:val="16"/>
              </w:rPr>
              <w:t>100,000</w:t>
            </w:r>
          </w:p>
        </w:tc>
        <w:tc>
          <w:tcPr>
            <w:tcW w:w="270" w:type="dxa"/>
            <w:vMerge/>
            <w:shd w:val="clear" w:color="auto" w:fill="auto"/>
          </w:tcPr>
          <w:p w:rsidR="00D41518" w:rsidRPr="00593BD3" w:rsidRDefault="00D41518" w:rsidP="00CD4E91">
            <w:pPr>
              <w:suppressAutoHyphens w:val="0"/>
              <w:autoSpaceDN/>
              <w:ind w:left="630" w:hanging="630"/>
              <w:textAlignment w:val="auto"/>
              <w:rPr>
                <w:rFonts w:ascii="Arial" w:eastAsia="Calibri" w:hAnsi="Arial" w:cs="Arial"/>
                <w:sz w:val="16"/>
                <w:szCs w:val="16"/>
              </w:rPr>
            </w:pPr>
          </w:p>
        </w:tc>
        <w:tc>
          <w:tcPr>
            <w:tcW w:w="2340" w:type="dxa"/>
          </w:tcPr>
          <w:p w:rsidR="00D41518" w:rsidRPr="00593BD3" w:rsidRDefault="00D41518" w:rsidP="00CD4E91">
            <w:pPr>
              <w:suppressAutoHyphens w:val="0"/>
              <w:autoSpaceDN/>
              <w:ind w:left="630" w:hanging="630"/>
              <w:textAlignment w:val="auto"/>
              <w:rPr>
                <w:rFonts w:ascii="Arial" w:eastAsia="Calibri" w:hAnsi="Arial" w:cs="Arial"/>
                <w:sz w:val="16"/>
                <w:szCs w:val="16"/>
              </w:rPr>
            </w:pPr>
            <w:r w:rsidRPr="00593BD3">
              <w:rPr>
                <w:rFonts w:ascii="Arial" w:eastAsia="Calibri" w:hAnsi="Arial" w:cs="Arial"/>
                <w:sz w:val="16"/>
                <w:szCs w:val="16"/>
              </w:rPr>
              <w:t>&gt;100,000</w:t>
            </w:r>
          </w:p>
        </w:tc>
      </w:tr>
    </w:tbl>
    <w:p w:rsidR="00D41518" w:rsidRDefault="00D41518" w:rsidP="00D41518">
      <w:pPr>
        <w:suppressAutoHyphens w:val="0"/>
        <w:autoSpaceDN/>
        <w:ind w:left="630"/>
        <w:textAlignment w:val="auto"/>
        <w:rPr>
          <w:rFonts w:ascii="Arial" w:eastAsia="Calibri" w:hAnsi="Arial" w:cs="Arial"/>
          <w:i/>
          <w:sz w:val="18"/>
          <w:szCs w:val="18"/>
        </w:rPr>
      </w:pPr>
      <w:r w:rsidRPr="00E656ED">
        <w:rPr>
          <w:rFonts w:ascii="Arial" w:eastAsia="Calibri" w:hAnsi="Arial" w:cs="Arial"/>
          <w:i/>
          <w:sz w:val="18"/>
          <w:szCs w:val="18"/>
        </w:rPr>
        <w:t>* When procuring simple works and common goods and their amount is under the International Competitive Bidding thresholds, Shopping may be used.</w:t>
      </w:r>
      <w:r w:rsidR="00265C0B">
        <w:rPr>
          <w:rFonts w:ascii="Arial" w:eastAsia="Calibri" w:hAnsi="Arial" w:cs="Arial"/>
          <w:i/>
          <w:sz w:val="18"/>
          <w:szCs w:val="18"/>
        </w:rPr>
        <w:t xml:space="preserve"> </w:t>
      </w:r>
    </w:p>
    <w:p w:rsidR="00265C0B" w:rsidRDefault="00265C0B" w:rsidP="00D41518">
      <w:pPr>
        <w:suppressAutoHyphens w:val="0"/>
        <w:autoSpaceDN/>
        <w:ind w:left="630"/>
        <w:textAlignment w:val="auto"/>
        <w:rPr>
          <w:rFonts w:ascii="Arial" w:eastAsia="Calibri" w:hAnsi="Arial" w:cs="Arial"/>
          <w:i/>
          <w:sz w:val="18"/>
          <w:szCs w:val="18"/>
        </w:rPr>
      </w:pPr>
    </w:p>
    <w:p w:rsidR="00535F77" w:rsidRDefault="00535F77">
      <w:pPr>
        <w:suppressAutoHyphens w:val="0"/>
        <w:autoSpaceDN/>
        <w:spacing w:after="200" w:line="276" w:lineRule="auto"/>
        <w:textAlignment w:val="auto"/>
        <w:rPr>
          <w:rFonts w:ascii="Arial" w:eastAsia="Calibri" w:hAnsi="Arial" w:cs="Arial"/>
          <w:i/>
          <w:sz w:val="18"/>
          <w:szCs w:val="18"/>
        </w:rPr>
      </w:pPr>
      <w:r>
        <w:rPr>
          <w:rFonts w:ascii="Arial" w:eastAsia="Calibri" w:hAnsi="Arial" w:cs="Arial"/>
          <w:i/>
          <w:sz w:val="18"/>
          <w:szCs w:val="18"/>
        </w:rPr>
        <w:br w:type="page"/>
      </w:r>
    </w:p>
    <w:tbl>
      <w:tblPr>
        <w:tblpPr w:leftFromText="180" w:rightFromText="180" w:vertAnchor="text" w:horzAnchor="margin" w:tblpY="-44"/>
        <w:tblW w:w="5000" w:type="pct"/>
        <w:tblLook w:val="04A0" w:firstRow="1" w:lastRow="0" w:firstColumn="1" w:lastColumn="0" w:noHBand="0" w:noVBand="1"/>
      </w:tblPr>
      <w:tblGrid>
        <w:gridCol w:w="477"/>
        <w:gridCol w:w="1188"/>
        <w:gridCol w:w="25"/>
        <w:gridCol w:w="4481"/>
        <w:gridCol w:w="974"/>
        <w:gridCol w:w="795"/>
        <w:gridCol w:w="916"/>
      </w:tblGrid>
      <w:tr w:rsidR="00535F77" w:rsidRPr="00FD0CB7" w:rsidTr="00CD2167">
        <w:trPr>
          <w:trHeight w:val="440"/>
        </w:trPr>
        <w:tc>
          <w:tcPr>
            <w:tcW w:w="269" w:type="pct"/>
            <w:tcBorders>
              <w:top w:val="single" w:sz="4" w:space="0" w:color="auto"/>
              <w:left w:val="single" w:sz="8" w:space="0" w:color="auto"/>
              <w:bottom w:val="single" w:sz="4" w:space="0" w:color="000000"/>
              <w:right w:val="single" w:sz="4" w:space="0" w:color="auto"/>
            </w:tcBorders>
            <w:shd w:val="clear" w:color="auto" w:fill="C4D79B"/>
            <w:vAlign w:val="center"/>
            <w:hideMark/>
          </w:tcPr>
          <w:p w:rsidR="00535F77" w:rsidRPr="00593BD3" w:rsidRDefault="00535F77" w:rsidP="00CD2167">
            <w:pPr>
              <w:keepNext/>
              <w:keepLines/>
              <w:suppressAutoHyphens w:val="0"/>
              <w:jc w:val="center"/>
              <w:rPr>
                <w:rFonts w:ascii="Arial" w:hAnsi="Arial" w:cs="Arial"/>
                <w:b/>
                <w:bCs/>
                <w:sz w:val="16"/>
                <w:szCs w:val="16"/>
              </w:rPr>
            </w:pPr>
            <w:r w:rsidRPr="00593BD3">
              <w:rPr>
                <w:rFonts w:ascii="Arial" w:hAnsi="Arial" w:cs="Arial"/>
                <w:b/>
                <w:bCs/>
                <w:sz w:val="16"/>
                <w:szCs w:val="16"/>
              </w:rPr>
              <w:lastRenderedPageBreak/>
              <w:t>No.</w:t>
            </w:r>
          </w:p>
        </w:tc>
        <w:tc>
          <w:tcPr>
            <w:tcW w:w="685" w:type="pct"/>
            <w:gridSpan w:val="2"/>
            <w:tcBorders>
              <w:top w:val="single" w:sz="4" w:space="0" w:color="auto"/>
              <w:left w:val="single" w:sz="4" w:space="0" w:color="auto"/>
              <w:bottom w:val="single" w:sz="4" w:space="0" w:color="000000"/>
              <w:right w:val="single" w:sz="4" w:space="0" w:color="auto"/>
            </w:tcBorders>
            <w:shd w:val="clear" w:color="auto" w:fill="C4D79B"/>
            <w:vAlign w:val="center"/>
            <w:hideMark/>
          </w:tcPr>
          <w:p w:rsidR="00535F77" w:rsidRPr="00593BD3" w:rsidRDefault="00535F77" w:rsidP="00CD2167">
            <w:pPr>
              <w:keepNext/>
              <w:keepLines/>
              <w:suppressAutoHyphens w:val="0"/>
              <w:jc w:val="center"/>
              <w:rPr>
                <w:rFonts w:ascii="Arial" w:hAnsi="Arial" w:cs="Arial"/>
                <w:b/>
                <w:bCs/>
                <w:sz w:val="16"/>
                <w:szCs w:val="16"/>
              </w:rPr>
            </w:pPr>
            <w:r w:rsidRPr="00593BD3">
              <w:rPr>
                <w:rFonts w:ascii="Arial" w:hAnsi="Arial" w:cs="Arial"/>
                <w:b/>
                <w:bCs/>
                <w:sz w:val="16"/>
                <w:szCs w:val="16"/>
              </w:rPr>
              <w:t>PEP identification</w:t>
            </w:r>
          </w:p>
        </w:tc>
        <w:tc>
          <w:tcPr>
            <w:tcW w:w="2529" w:type="pct"/>
            <w:tcBorders>
              <w:top w:val="single" w:sz="4" w:space="0" w:color="auto"/>
              <w:left w:val="single" w:sz="4" w:space="0" w:color="auto"/>
              <w:bottom w:val="single" w:sz="4" w:space="0" w:color="000000"/>
              <w:right w:val="single" w:sz="4" w:space="0" w:color="auto"/>
            </w:tcBorders>
            <w:shd w:val="clear" w:color="auto" w:fill="C4D79B"/>
            <w:vAlign w:val="center"/>
            <w:hideMark/>
          </w:tcPr>
          <w:p w:rsidR="00535F77" w:rsidRPr="00593BD3" w:rsidRDefault="00535F77" w:rsidP="00CD2167">
            <w:pPr>
              <w:keepNext/>
              <w:keepLines/>
              <w:suppressAutoHyphens w:val="0"/>
              <w:jc w:val="center"/>
              <w:rPr>
                <w:rFonts w:ascii="Arial" w:hAnsi="Arial" w:cs="Arial"/>
                <w:b/>
                <w:bCs/>
                <w:sz w:val="16"/>
                <w:szCs w:val="16"/>
              </w:rPr>
            </w:pPr>
            <w:r w:rsidRPr="00593BD3">
              <w:rPr>
                <w:rFonts w:ascii="Arial" w:hAnsi="Arial" w:cs="Arial"/>
                <w:b/>
                <w:bCs/>
                <w:sz w:val="16"/>
                <w:szCs w:val="16"/>
              </w:rPr>
              <w:t>Category and Description of Procurement Contract</w:t>
            </w:r>
          </w:p>
        </w:tc>
        <w:tc>
          <w:tcPr>
            <w:tcW w:w="999" w:type="pct"/>
            <w:gridSpan w:val="2"/>
            <w:tcBorders>
              <w:top w:val="single" w:sz="4" w:space="0" w:color="auto"/>
              <w:left w:val="single" w:sz="4" w:space="0" w:color="auto"/>
              <w:bottom w:val="single" w:sz="4" w:space="0" w:color="000000"/>
              <w:right w:val="single" w:sz="4" w:space="0" w:color="auto"/>
            </w:tcBorders>
            <w:shd w:val="clear" w:color="auto" w:fill="C4D79B"/>
            <w:vAlign w:val="center"/>
            <w:hideMark/>
          </w:tcPr>
          <w:p w:rsidR="00535F77" w:rsidRPr="00593BD3" w:rsidRDefault="00535F77" w:rsidP="00CD2167">
            <w:pPr>
              <w:keepNext/>
              <w:keepLines/>
              <w:suppressAutoHyphens w:val="0"/>
              <w:jc w:val="center"/>
              <w:rPr>
                <w:rFonts w:ascii="Arial" w:hAnsi="Arial" w:cs="Arial"/>
                <w:b/>
                <w:bCs/>
                <w:sz w:val="16"/>
                <w:szCs w:val="16"/>
              </w:rPr>
            </w:pPr>
            <w:bookmarkStart w:id="0" w:name="RANGE!H3"/>
            <w:r w:rsidRPr="00593BD3">
              <w:rPr>
                <w:rFonts w:ascii="Arial" w:hAnsi="Arial" w:cs="Arial"/>
                <w:b/>
                <w:bCs/>
                <w:sz w:val="16"/>
                <w:szCs w:val="16"/>
              </w:rPr>
              <w:t>Method of Procurement</w:t>
            </w:r>
            <w:bookmarkEnd w:id="0"/>
          </w:p>
        </w:tc>
        <w:tc>
          <w:tcPr>
            <w:tcW w:w="518" w:type="pct"/>
            <w:tcBorders>
              <w:top w:val="single" w:sz="4" w:space="0" w:color="auto"/>
              <w:left w:val="single" w:sz="4" w:space="0" w:color="auto"/>
              <w:bottom w:val="single" w:sz="4" w:space="0" w:color="000000"/>
              <w:right w:val="single" w:sz="8" w:space="0" w:color="auto"/>
            </w:tcBorders>
            <w:shd w:val="clear" w:color="auto" w:fill="C4D79B"/>
            <w:vAlign w:val="center"/>
            <w:hideMark/>
          </w:tcPr>
          <w:p w:rsidR="00535F77" w:rsidRPr="00593BD3" w:rsidRDefault="00535F77" w:rsidP="00CD2167">
            <w:pPr>
              <w:keepNext/>
              <w:keepLines/>
              <w:suppressAutoHyphens w:val="0"/>
              <w:jc w:val="center"/>
              <w:rPr>
                <w:rFonts w:ascii="Arial" w:hAnsi="Arial" w:cs="Arial"/>
                <w:b/>
                <w:bCs/>
                <w:sz w:val="16"/>
                <w:szCs w:val="16"/>
                <w:lang w:val="fr-FR"/>
              </w:rPr>
            </w:pPr>
            <w:r w:rsidRPr="00593BD3">
              <w:rPr>
                <w:rFonts w:ascii="Arial" w:hAnsi="Arial" w:cs="Arial"/>
                <w:b/>
                <w:bCs/>
                <w:sz w:val="16"/>
                <w:szCs w:val="16"/>
                <w:lang w:val="fr-FR"/>
              </w:rPr>
              <w:t xml:space="preserve">Review </w:t>
            </w:r>
          </w:p>
        </w:tc>
      </w:tr>
      <w:tr w:rsidR="00535F77" w:rsidRPr="00593BD3" w:rsidTr="00CD2167">
        <w:trPr>
          <w:trHeight w:val="315"/>
        </w:trPr>
        <w:tc>
          <w:tcPr>
            <w:tcW w:w="3484" w:type="pct"/>
            <w:gridSpan w:val="4"/>
            <w:tcBorders>
              <w:top w:val="single" w:sz="4" w:space="0" w:color="auto"/>
              <w:left w:val="single" w:sz="8" w:space="0" w:color="auto"/>
              <w:bottom w:val="nil"/>
              <w:right w:val="single" w:sz="4" w:space="0" w:color="auto"/>
            </w:tcBorders>
            <w:shd w:val="clear" w:color="auto" w:fill="9BBB59"/>
            <w:vAlign w:val="center"/>
            <w:hideMark/>
          </w:tcPr>
          <w:p w:rsidR="00535F77" w:rsidRPr="00593BD3" w:rsidRDefault="00535F77" w:rsidP="00CD2167">
            <w:pPr>
              <w:keepNext/>
              <w:keepLines/>
              <w:suppressAutoHyphens w:val="0"/>
              <w:rPr>
                <w:rFonts w:ascii="Arial" w:hAnsi="Arial" w:cs="Arial"/>
                <w:b/>
                <w:bCs/>
                <w:color w:val="000000"/>
                <w:sz w:val="16"/>
                <w:szCs w:val="16"/>
              </w:rPr>
            </w:pPr>
            <w:r w:rsidRPr="00593BD3">
              <w:rPr>
                <w:rFonts w:ascii="Arial" w:hAnsi="Arial" w:cs="Arial"/>
                <w:b/>
                <w:bCs/>
                <w:color w:val="000000"/>
                <w:sz w:val="16"/>
                <w:szCs w:val="16"/>
              </w:rPr>
              <w:t>WORKS</w:t>
            </w:r>
          </w:p>
        </w:tc>
        <w:tc>
          <w:tcPr>
            <w:tcW w:w="550" w:type="pct"/>
            <w:tcBorders>
              <w:top w:val="single" w:sz="8" w:space="0" w:color="000000"/>
              <w:left w:val="single" w:sz="8" w:space="0" w:color="000000"/>
              <w:bottom w:val="nil"/>
              <w:right w:val="single" w:sz="8" w:space="0" w:color="000000"/>
            </w:tcBorders>
            <w:hideMark/>
          </w:tcPr>
          <w:p w:rsidR="00535F77" w:rsidRPr="00593BD3" w:rsidRDefault="00535F77" w:rsidP="00CD2167">
            <w:pPr>
              <w:keepNext/>
              <w:keepLines/>
              <w:suppressAutoHyphens w:val="0"/>
              <w:autoSpaceDN/>
              <w:rPr>
                <w:rFonts w:ascii="Arial" w:eastAsiaTheme="minorHAnsi" w:hAnsi="Arial" w:cs="Arial"/>
                <w:sz w:val="16"/>
                <w:szCs w:val="16"/>
              </w:rPr>
            </w:pPr>
          </w:p>
        </w:tc>
        <w:tc>
          <w:tcPr>
            <w:tcW w:w="449" w:type="pct"/>
            <w:tcBorders>
              <w:top w:val="single" w:sz="8" w:space="0" w:color="000000"/>
              <w:left w:val="nil"/>
              <w:bottom w:val="nil"/>
              <w:right w:val="single" w:sz="8" w:space="0" w:color="000000"/>
            </w:tcBorders>
            <w:hideMark/>
          </w:tcPr>
          <w:p w:rsidR="00535F77" w:rsidRPr="00593BD3" w:rsidRDefault="00535F77" w:rsidP="00CD2167">
            <w:pPr>
              <w:keepNext/>
              <w:keepLines/>
              <w:suppressAutoHyphens w:val="0"/>
              <w:rPr>
                <w:rFonts w:ascii="Arial" w:hAnsi="Arial" w:cs="Arial"/>
                <w:b/>
                <w:bCs/>
                <w:color w:val="000000"/>
                <w:sz w:val="16"/>
                <w:szCs w:val="16"/>
              </w:rPr>
            </w:pPr>
            <w:r w:rsidRPr="00593BD3">
              <w:rPr>
                <w:rFonts w:ascii="Arial" w:hAnsi="Arial" w:cs="Arial"/>
                <w:b/>
                <w:bCs/>
                <w:color w:val="000000"/>
                <w:sz w:val="16"/>
                <w:szCs w:val="16"/>
              </w:rPr>
              <w:t> </w:t>
            </w:r>
          </w:p>
        </w:tc>
        <w:tc>
          <w:tcPr>
            <w:tcW w:w="518" w:type="pct"/>
            <w:tcBorders>
              <w:top w:val="single" w:sz="8" w:space="0" w:color="000000"/>
              <w:left w:val="nil"/>
              <w:bottom w:val="nil"/>
              <w:right w:val="single" w:sz="8" w:space="0" w:color="auto"/>
            </w:tcBorders>
            <w:hideMark/>
          </w:tcPr>
          <w:p w:rsidR="00535F77" w:rsidRPr="00593BD3" w:rsidRDefault="00535F77" w:rsidP="00CD2167">
            <w:pPr>
              <w:keepNext/>
              <w:keepLines/>
              <w:suppressAutoHyphens w:val="0"/>
              <w:rPr>
                <w:rFonts w:ascii="Arial" w:hAnsi="Arial" w:cs="Arial"/>
                <w:b/>
                <w:bCs/>
                <w:color w:val="000000"/>
                <w:sz w:val="16"/>
                <w:szCs w:val="16"/>
              </w:rPr>
            </w:pPr>
            <w:r w:rsidRPr="00593BD3">
              <w:rPr>
                <w:rFonts w:ascii="Arial" w:hAnsi="Arial" w:cs="Arial"/>
                <w:b/>
                <w:bCs/>
                <w:color w:val="000000"/>
                <w:sz w:val="16"/>
                <w:szCs w:val="16"/>
              </w:rPr>
              <w:t> </w:t>
            </w:r>
          </w:p>
        </w:tc>
      </w:tr>
      <w:tr w:rsidR="00535F77" w:rsidRPr="00593BD3" w:rsidTr="00535F77">
        <w:trPr>
          <w:trHeight w:val="282"/>
        </w:trPr>
        <w:tc>
          <w:tcPr>
            <w:tcW w:w="269" w:type="pct"/>
            <w:tcBorders>
              <w:top w:val="single" w:sz="8" w:space="0" w:color="auto"/>
              <w:left w:val="single" w:sz="8" w:space="0" w:color="auto"/>
              <w:bottom w:val="single" w:sz="8" w:space="0" w:color="auto"/>
              <w:right w:val="single" w:sz="8" w:space="0" w:color="auto"/>
            </w:tcBorders>
            <w:vAlign w:val="center"/>
            <w:hideMark/>
          </w:tcPr>
          <w:p w:rsidR="00535F77" w:rsidRPr="00593BD3" w:rsidRDefault="00535F77" w:rsidP="00CD2167">
            <w:pPr>
              <w:keepNext/>
              <w:keepLines/>
              <w:suppressAutoHyphens w:val="0"/>
              <w:jc w:val="center"/>
              <w:rPr>
                <w:rFonts w:ascii="Arial" w:hAnsi="Arial" w:cs="Arial"/>
                <w:color w:val="000000"/>
                <w:sz w:val="16"/>
                <w:szCs w:val="16"/>
              </w:rPr>
            </w:pPr>
            <w:r w:rsidRPr="00593BD3">
              <w:rPr>
                <w:rFonts w:ascii="Arial" w:hAnsi="Arial" w:cs="Arial"/>
                <w:color w:val="000000"/>
                <w:sz w:val="16"/>
                <w:szCs w:val="16"/>
              </w:rPr>
              <w:t>1</w:t>
            </w:r>
          </w:p>
        </w:tc>
        <w:tc>
          <w:tcPr>
            <w:tcW w:w="685" w:type="pct"/>
            <w:gridSpan w:val="2"/>
            <w:tcBorders>
              <w:top w:val="single" w:sz="8" w:space="0" w:color="auto"/>
              <w:left w:val="nil"/>
              <w:bottom w:val="single" w:sz="8" w:space="0" w:color="auto"/>
              <w:right w:val="single" w:sz="8" w:space="0" w:color="auto"/>
            </w:tcBorders>
            <w:vAlign w:val="center"/>
            <w:hideMark/>
          </w:tcPr>
          <w:p w:rsidR="00535F77" w:rsidRPr="00593BD3" w:rsidRDefault="00535F77" w:rsidP="00CD2167">
            <w:pPr>
              <w:keepNext/>
              <w:keepLines/>
              <w:suppressAutoHyphens w:val="0"/>
              <w:jc w:val="center"/>
              <w:rPr>
                <w:rFonts w:ascii="Arial" w:hAnsi="Arial" w:cs="Arial"/>
                <w:color w:val="000000"/>
                <w:sz w:val="16"/>
                <w:szCs w:val="16"/>
              </w:rPr>
            </w:pPr>
            <w:r w:rsidRPr="00593BD3">
              <w:rPr>
                <w:rFonts w:ascii="Arial" w:hAnsi="Arial" w:cs="Arial"/>
                <w:color w:val="000000"/>
                <w:sz w:val="16"/>
                <w:szCs w:val="16"/>
              </w:rPr>
              <w:t>2.2.2</w:t>
            </w:r>
          </w:p>
        </w:tc>
        <w:tc>
          <w:tcPr>
            <w:tcW w:w="2529" w:type="pct"/>
            <w:tcBorders>
              <w:top w:val="single" w:sz="8" w:space="0" w:color="auto"/>
              <w:left w:val="nil"/>
              <w:bottom w:val="single" w:sz="8" w:space="0" w:color="auto"/>
              <w:right w:val="single" w:sz="8" w:space="0" w:color="auto"/>
            </w:tcBorders>
            <w:vAlign w:val="center"/>
            <w:hideMark/>
          </w:tcPr>
          <w:p w:rsidR="00535F77" w:rsidRPr="00593BD3" w:rsidRDefault="00535F77" w:rsidP="00CD2167">
            <w:pPr>
              <w:keepNext/>
              <w:keepLines/>
              <w:suppressAutoHyphens w:val="0"/>
              <w:rPr>
                <w:rFonts w:ascii="Arial" w:hAnsi="Arial" w:cs="Arial"/>
                <w:sz w:val="16"/>
                <w:szCs w:val="16"/>
              </w:rPr>
            </w:pPr>
            <w:r w:rsidRPr="00593BD3">
              <w:rPr>
                <w:rFonts w:ascii="Arial" w:hAnsi="Arial" w:cs="Arial"/>
                <w:sz w:val="16"/>
                <w:szCs w:val="16"/>
              </w:rPr>
              <w:t>Remodeling of Nicholson Hospital</w:t>
            </w:r>
          </w:p>
        </w:tc>
        <w:tc>
          <w:tcPr>
            <w:tcW w:w="550" w:type="pct"/>
            <w:tcBorders>
              <w:top w:val="single" w:sz="8" w:space="0" w:color="auto"/>
              <w:left w:val="nil"/>
              <w:bottom w:val="single" w:sz="8" w:space="0" w:color="auto"/>
              <w:right w:val="single" w:sz="8" w:space="0" w:color="auto"/>
            </w:tcBorders>
            <w:noWrap/>
            <w:vAlign w:val="center"/>
            <w:hideMark/>
          </w:tcPr>
          <w:p w:rsidR="00535F77" w:rsidRPr="00593BD3" w:rsidRDefault="00535F77" w:rsidP="00CD2167">
            <w:pPr>
              <w:keepNext/>
              <w:keepLines/>
              <w:suppressAutoHyphens w:val="0"/>
              <w:jc w:val="right"/>
              <w:rPr>
                <w:rFonts w:ascii="Arial" w:hAnsi="Arial" w:cs="Arial"/>
                <w:color w:val="000000"/>
                <w:sz w:val="16"/>
                <w:szCs w:val="16"/>
              </w:rPr>
            </w:pPr>
            <w:r>
              <w:rPr>
                <w:rFonts w:ascii="Arial" w:hAnsi="Arial" w:cs="Arial"/>
                <w:color w:val="000000"/>
                <w:sz w:val="16"/>
                <w:szCs w:val="16"/>
              </w:rPr>
              <w:t xml:space="preserve"> $</w:t>
            </w:r>
            <w:r w:rsidRPr="00593BD3">
              <w:rPr>
                <w:rFonts w:ascii="Arial" w:hAnsi="Arial" w:cs="Arial"/>
                <w:color w:val="000000"/>
                <w:sz w:val="16"/>
                <w:szCs w:val="16"/>
              </w:rPr>
              <w:t xml:space="preserve">500.00 </w:t>
            </w:r>
          </w:p>
        </w:tc>
        <w:tc>
          <w:tcPr>
            <w:tcW w:w="449" w:type="pct"/>
            <w:tcBorders>
              <w:top w:val="single" w:sz="8" w:space="0" w:color="auto"/>
              <w:left w:val="nil"/>
              <w:bottom w:val="single" w:sz="8" w:space="0" w:color="auto"/>
              <w:right w:val="single" w:sz="8" w:space="0" w:color="auto"/>
            </w:tcBorders>
            <w:vAlign w:val="center"/>
            <w:hideMark/>
          </w:tcPr>
          <w:p w:rsidR="00535F77" w:rsidRPr="00B9468C" w:rsidRDefault="00535F77" w:rsidP="00CD2167">
            <w:pPr>
              <w:keepNext/>
              <w:keepLines/>
              <w:suppressAutoHyphens w:val="0"/>
              <w:jc w:val="center"/>
              <w:rPr>
                <w:rFonts w:ascii="Arial" w:hAnsi="Arial" w:cs="Arial"/>
                <w:sz w:val="16"/>
                <w:szCs w:val="16"/>
              </w:rPr>
            </w:pPr>
            <w:r w:rsidRPr="00B9468C">
              <w:rPr>
                <w:rFonts w:ascii="Arial" w:hAnsi="Arial" w:cs="Arial"/>
                <w:sz w:val="16"/>
                <w:szCs w:val="16"/>
              </w:rPr>
              <w:t>NCB</w:t>
            </w:r>
          </w:p>
        </w:tc>
        <w:tc>
          <w:tcPr>
            <w:tcW w:w="518" w:type="pct"/>
            <w:tcBorders>
              <w:top w:val="single" w:sz="8" w:space="0" w:color="auto"/>
              <w:left w:val="nil"/>
              <w:bottom w:val="single" w:sz="8" w:space="0" w:color="auto"/>
              <w:right w:val="single" w:sz="8" w:space="0" w:color="auto"/>
            </w:tcBorders>
            <w:vAlign w:val="center"/>
            <w:hideMark/>
          </w:tcPr>
          <w:p w:rsidR="00535F77" w:rsidRPr="00593BD3" w:rsidRDefault="00535F77" w:rsidP="00CD2167">
            <w:pPr>
              <w:keepNext/>
              <w:keepLines/>
              <w:suppressAutoHyphens w:val="0"/>
              <w:jc w:val="center"/>
              <w:rPr>
                <w:rFonts w:ascii="Arial" w:hAnsi="Arial" w:cs="Arial"/>
                <w:color w:val="000000"/>
                <w:sz w:val="16"/>
                <w:szCs w:val="16"/>
              </w:rPr>
            </w:pPr>
            <w:r w:rsidRPr="00593BD3">
              <w:rPr>
                <w:rFonts w:ascii="Arial" w:hAnsi="Arial" w:cs="Arial"/>
                <w:color w:val="000000"/>
                <w:sz w:val="16"/>
                <w:szCs w:val="16"/>
              </w:rPr>
              <w:t>ex-ante</w:t>
            </w:r>
          </w:p>
        </w:tc>
      </w:tr>
      <w:tr w:rsidR="00535F77" w:rsidRPr="00593BD3" w:rsidTr="00CD2167">
        <w:trPr>
          <w:trHeight w:val="246"/>
        </w:trPr>
        <w:tc>
          <w:tcPr>
            <w:tcW w:w="3484" w:type="pct"/>
            <w:gridSpan w:val="4"/>
            <w:tcBorders>
              <w:top w:val="single" w:sz="4" w:space="0" w:color="auto"/>
              <w:left w:val="single" w:sz="8" w:space="0" w:color="auto"/>
              <w:bottom w:val="nil"/>
              <w:right w:val="single" w:sz="4" w:space="0" w:color="auto"/>
            </w:tcBorders>
            <w:shd w:val="clear" w:color="auto" w:fill="9BBB59"/>
            <w:vAlign w:val="center"/>
            <w:hideMark/>
          </w:tcPr>
          <w:p w:rsidR="00535F77" w:rsidRPr="00593BD3" w:rsidRDefault="00535F77" w:rsidP="00CD2167">
            <w:pPr>
              <w:keepNext/>
              <w:keepLines/>
              <w:suppressAutoHyphens w:val="0"/>
              <w:rPr>
                <w:rFonts w:ascii="Arial" w:hAnsi="Arial" w:cs="Arial"/>
                <w:b/>
                <w:bCs/>
                <w:color w:val="000000"/>
                <w:sz w:val="16"/>
                <w:szCs w:val="16"/>
              </w:rPr>
            </w:pPr>
            <w:r w:rsidRPr="00593BD3">
              <w:rPr>
                <w:rFonts w:ascii="Arial" w:hAnsi="Arial" w:cs="Arial"/>
                <w:b/>
                <w:bCs/>
                <w:color w:val="000000"/>
                <w:sz w:val="16"/>
                <w:szCs w:val="16"/>
              </w:rPr>
              <w:t>GOODS</w:t>
            </w:r>
          </w:p>
        </w:tc>
        <w:tc>
          <w:tcPr>
            <w:tcW w:w="550" w:type="pct"/>
            <w:tcBorders>
              <w:top w:val="single" w:sz="8" w:space="0" w:color="000000"/>
              <w:left w:val="single" w:sz="8" w:space="0" w:color="000000"/>
              <w:bottom w:val="nil"/>
              <w:right w:val="single" w:sz="8" w:space="0" w:color="000000"/>
            </w:tcBorders>
            <w:hideMark/>
          </w:tcPr>
          <w:p w:rsidR="00535F77" w:rsidRPr="00593BD3" w:rsidRDefault="00535F77" w:rsidP="00CD2167">
            <w:pPr>
              <w:keepNext/>
              <w:keepLines/>
              <w:suppressAutoHyphens w:val="0"/>
              <w:autoSpaceDN/>
              <w:jc w:val="right"/>
              <w:rPr>
                <w:rFonts w:ascii="Arial" w:eastAsiaTheme="minorHAnsi" w:hAnsi="Arial" w:cs="Arial"/>
                <w:sz w:val="16"/>
                <w:szCs w:val="16"/>
              </w:rPr>
            </w:pPr>
          </w:p>
        </w:tc>
        <w:tc>
          <w:tcPr>
            <w:tcW w:w="449" w:type="pct"/>
            <w:tcBorders>
              <w:top w:val="single" w:sz="8" w:space="0" w:color="000000"/>
              <w:left w:val="nil"/>
              <w:bottom w:val="nil"/>
              <w:right w:val="single" w:sz="8" w:space="0" w:color="000000"/>
            </w:tcBorders>
            <w:hideMark/>
          </w:tcPr>
          <w:p w:rsidR="00535F77" w:rsidRPr="00B9468C" w:rsidRDefault="00535F77" w:rsidP="00CD2167">
            <w:pPr>
              <w:keepNext/>
              <w:keepLines/>
              <w:suppressAutoHyphens w:val="0"/>
              <w:rPr>
                <w:rFonts w:ascii="Arial" w:hAnsi="Arial" w:cs="Arial"/>
                <w:b/>
                <w:bCs/>
                <w:sz w:val="16"/>
                <w:szCs w:val="16"/>
              </w:rPr>
            </w:pPr>
            <w:r w:rsidRPr="00B9468C">
              <w:rPr>
                <w:rFonts w:ascii="Arial" w:hAnsi="Arial" w:cs="Arial"/>
                <w:b/>
                <w:bCs/>
                <w:sz w:val="16"/>
                <w:szCs w:val="16"/>
              </w:rPr>
              <w:t> </w:t>
            </w:r>
          </w:p>
        </w:tc>
        <w:tc>
          <w:tcPr>
            <w:tcW w:w="518" w:type="pct"/>
            <w:tcBorders>
              <w:top w:val="single" w:sz="8" w:space="0" w:color="000000"/>
              <w:left w:val="nil"/>
              <w:bottom w:val="nil"/>
              <w:right w:val="single" w:sz="8" w:space="0" w:color="auto"/>
            </w:tcBorders>
            <w:hideMark/>
          </w:tcPr>
          <w:p w:rsidR="00535F77" w:rsidRPr="00593BD3" w:rsidRDefault="00535F77" w:rsidP="00CD2167">
            <w:pPr>
              <w:keepNext/>
              <w:keepLines/>
              <w:suppressAutoHyphens w:val="0"/>
              <w:rPr>
                <w:rFonts w:ascii="Arial" w:hAnsi="Arial" w:cs="Arial"/>
                <w:b/>
                <w:bCs/>
                <w:color w:val="000000"/>
                <w:sz w:val="16"/>
                <w:szCs w:val="16"/>
              </w:rPr>
            </w:pPr>
            <w:r w:rsidRPr="00593BD3">
              <w:rPr>
                <w:rFonts w:ascii="Arial" w:hAnsi="Arial" w:cs="Arial"/>
                <w:b/>
                <w:bCs/>
                <w:color w:val="000000"/>
                <w:sz w:val="16"/>
                <w:szCs w:val="16"/>
              </w:rPr>
              <w:t> </w:t>
            </w:r>
          </w:p>
        </w:tc>
      </w:tr>
      <w:tr w:rsidR="00535F77" w:rsidRPr="00593BD3" w:rsidTr="00535F77">
        <w:trPr>
          <w:trHeight w:val="600"/>
        </w:trPr>
        <w:tc>
          <w:tcPr>
            <w:tcW w:w="269" w:type="pct"/>
            <w:tcBorders>
              <w:top w:val="single" w:sz="8" w:space="0" w:color="auto"/>
              <w:left w:val="single" w:sz="8" w:space="0" w:color="auto"/>
              <w:bottom w:val="single" w:sz="8" w:space="0" w:color="auto"/>
              <w:right w:val="single" w:sz="8" w:space="0" w:color="auto"/>
            </w:tcBorders>
            <w:vAlign w:val="center"/>
            <w:hideMark/>
          </w:tcPr>
          <w:p w:rsidR="00535F77" w:rsidRPr="00593BD3" w:rsidRDefault="00535F77" w:rsidP="00CD2167">
            <w:pPr>
              <w:keepNext/>
              <w:keepLines/>
              <w:suppressAutoHyphens w:val="0"/>
              <w:jc w:val="center"/>
              <w:rPr>
                <w:rFonts w:ascii="Arial" w:hAnsi="Arial" w:cs="Arial"/>
                <w:color w:val="000000"/>
                <w:sz w:val="16"/>
                <w:szCs w:val="16"/>
              </w:rPr>
            </w:pPr>
            <w:r w:rsidRPr="00593BD3">
              <w:rPr>
                <w:rFonts w:ascii="Arial" w:hAnsi="Arial" w:cs="Arial"/>
                <w:color w:val="000000"/>
                <w:sz w:val="16"/>
                <w:szCs w:val="16"/>
              </w:rPr>
              <w:t> 1</w:t>
            </w:r>
          </w:p>
        </w:tc>
        <w:tc>
          <w:tcPr>
            <w:tcW w:w="671" w:type="pct"/>
            <w:tcBorders>
              <w:top w:val="single" w:sz="8" w:space="0" w:color="auto"/>
              <w:left w:val="nil"/>
              <w:bottom w:val="single" w:sz="8" w:space="0" w:color="auto"/>
              <w:right w:val="single" w:sz="8" w:space="0" w:color="auto"/>
            </w:tcBorders>
            <w:vAlign w:val="center"/>
            <w:hideMark/>
          </w:tcPr>
          <w:p w:rsidR="00535F77" w:rsidRPr="00593BD3" w:rsidRDefault="00535F77" w:rsidP="00CD2167">
            <w:pPr>
              <w:keepNext/>
              <w:keepLines/>
              <w:suppressAutoHyphens w:val="0"/>
              <w:jc w:val="center"/>
              <w:rPr>
                <w:rFonts w:ascii="Arial" w:hAnsi="Arial" w:cs="Arial"/>
                <w:color w:val="000000"/>
                <w:sz w:val="16"/>
                <w:szCs w:val="16"/>
              </w:rPr>
            </w:pPr>
            <w:r w:rsidRPr="00593BD3">
              <w:rPr>
                <w:rFonts w:ascii="Arial" w:hAnsi="Arial" w:cs="Arial"/>
                <w:color w:val="000000"/>
                <w:sz w:val="16"/>
                <w:szCs w:val="16"/>
              </w:rPr>
              <w:t>2.2.1</w:t>
            </w:r>
          </w:p>
        </w:tc>
        <w:tc>
          <w:tcPr>
            <w:tcW w:w="2543" w:type="pct"/>
            <w:gridSpan w:val="2"/>
            <w:tcBorders>
              <w:top w:val="single" w:sz="8" w:space="0" w:color="auto"/>
              <w:left w:val="nil"/>
              <w:bottom w:val="single" w:sz="8" w:space="0" w:color="auto"/>
              <w:right w:val="single" w:sz="8" w:space="0" w:color="auto"/>
            </w:tcBorders>
            <w:vAlign w:val="center"/>
            <w:hideMark/>
          </w:tcPr>
          <w:p w:rsidR="00535F77" w:rsidRPr="00593BD3" w:rsidRDefault="00535F77" w:rsidP="00CD2167">
            <w:pPr>
              <w:keepNext/>
              <w:keepLines/>
              <w:suppressAutoHyphens w:val="0"/>
              <w:rPr>
                <w:rFonts w:ascii="Arial" w:hAnsi="Arial" w:cs="Arial"/>
                <w:color w:val="000000"/>
                <w:sz w:val="16"/>
                <w:szCs w:val="16"/>
              </w:rPr>
            </w:pPr>
            <w:r w:rsidRPr="00593BD3">
              <w:rPr>
                <w:rFonts w:ascii="Arial" w:hAnsi="Arial" w:cs="Arial"/>
                <w:color w:val="000000"/>
                <w:sz w:val="16"/>
                <w:szCs w:val="16"/>
              </w:rPr>
              <w:t>Medical equipment for the new building of Georgetown Ho</w:t>
            </w:r>
            <w:r>
              <w:rPr>
                <w:rFonts w:ascii="Arial" w:hAnsi="Arial" w:cs="Arial"/>
                <w:color w:val="000000"/>
                <w:sz w:val="16"/>
                <w:szCs w:val="16"/>
              </w:rPr>
              <w:t xml:space="preserve">spital, the Nicholson Hospital </w:t>
            </w:r>
            <w:r w:rsidRPr="00593BD3">
              <w:rPr>
                <w:rFonts w:ascii="Arial" w:hAnsi="Arial" w:cs="Arial"/>
                <w:color w:val="000000"/>
                <w:sz w:val="16"/>
                <w:szCs w:val="16"/>
              </w:rPr>
              <w:t>and other health facilities in the sphere of influence of the project (ICB in several lots)</w:t>
            </w:r>
          </w:p>
        </w:tc>
        <w:tc>
          <w:tcPr>
            <w:tcW w:w="550" w:type="pct"/>
            <w:tcBorders>
              <w:top w:val="single" w:sz="8" w:space="0" w:color="auto"/>
              <w:left w:val="nil"/>
              <w:bottom w:val="single" w:sz="8" w:space="0" w:color="auto"/>
              <w:right w:val="single" w:sz="8" w:space="0" w:color="auto"/>
            </w:tcBorders>
            <w:shd w:val="clear" w:color="auto" w:fill="FFFFFF"/>
            <w:noWrap/>
            <w:vAlign w:val="center"/>
            <w:hideMark/>
          </w:tcPr>
          <w:p w:rsidR="00535F77" w:rsidRPr="00593BD3" w:rsidRDefault="00535F77" w:rsidP="00CD2167">
            <w:pPr>
              <w:keepNext/>
              <w:keepLines/>
              <w:suppressAutoHyphens w:val="0"/>
              <w:jc w:val="right"/>
              <w:rPr>
                <w:rFonts w:ascii="Arial" w:hAnsi="Arial" w:cs="Arial"/>
                <w:color w:val="000000"/>
                <w:sz w:val="16"/>
                <w:szCs w:val="16"/>
              </w:rPr>
            </w:pPr>
            <w:r>
              <w:rPr>
                <w:rFonts w:ascii="Arial" w:hAnsi="Arial" w:cs="Arial"/>
                <w:color w:val="000000"/>
                <w:sz w:val="16"/>
                <w:szCs w:val="16"/>
              </w:rPr>
              <w:t xml:space="preserve"> $</w:t>
            </w:r>
            <w:r w:rsidRPr="00593BD3">
              <w:rPr>
                <w:rFonts w:ascii="Arial" w:hAnsi="Arial" w:cs="Arial"/>
                <w:color w:val="000000"/>
                <w:sz w:val="16"/>
                <w:szCs w:val="16"/>
              </w:rPr>
              <w:t>2,</w:t>
            </w:r>
            <w:r>
              <w:rPr>
                <w:rFonts w:ascii="Arial" w:hAnsi="Arial" w:cs="Arial"/>
                <w:color w:val="000000"/>
                <w:sz w:val="16"/>
                <w:szCs w:val="16"/>
              </w:rPr>
              <w:t>2</w:t>
            </w:r>
            <w:r w:rsidRPr="00593BD3">
              <w:rPr>
                <w:rFonts w:ascii="Arial" w:hAnsi="Arial" w:cs="Arial"/>
                <w:color w:val="000000"/>
                <w:sz w:val="16"/>
                <w:szCs w:val="16"/>
              </w:rPr>
              <w:t xml:space="preserve">25.00 </w:t>
            </w:r>
          </w:p>
        </w:tc>
        <w:tc>
          <w:tcPr>
            <w:tcW w:w="449" w:type="pct"/>
            <w:tcBorders>
              <w:top w:val="single" w:sz="8" w:space="0" w:color="auto"/>
              <w:left w:val="nil"/>
              <w:bottom w:val="single" w:sz="8" w:space="0" w:color="auto"/>
              <w:right w:val="single" w:sz="8" w:space="0" w:color="auto"/>
            </w:tcBorders>
            <w:vAlign w:val="center"/>
            <w:hideMark/>
          </w:tcPr>
          <w:p w:rsidR="00535F77" w:rsidRPr="00B9468C" w:rsidRDefault="00535F77" w:rsidP="00CD2167">
            <w:pPr>
              <w:keepNext/>
              <w:keepLines/>
              <w:suppressAutoHyphens w:val="0"/>
              <w:jc w:val="center"/>
              <w:rPr>
                <w:rFonts w:ascii="Arial" w:hAnsi="Arial" w:cs="Arial"/>
                <w:sz w:val="16"/>
                <w:szCs w:val="16"/>
              </w:rPr>
            </w:pPr>
            <w:r w:rsidRPr="00B9468C">
              <w:rPr>
                <w:rFonts w:ascii="Arial" w:hAnsi="Arial" w:cs="Arial"/>
                <w:sz w:val="16"/>
                <w:szCs w:val="16"/>
              </w:rPr>
              <w:t>ICB</w:t>
            </w:r>
          </w:p>
        </w:tc>
        <w:tc>
          <w:tcPr>
            <w:tcW w:w="518" w:type="pct"/>
            <w:tcBorders>
              <w:top w:val="single" w:sz="8" w:space="0" w:color="auto"/>
              <w:left w:val="nil"/>
              <w:bottom w:val="single" w:sz="8" w:space="0" w:color="auto"/>
              <w:right w:val="single" w:sz="8" w:space="0" w:color="auto"/>
            </w:tcBorders>
            <w:vAlign w:val="center"/>
            <w:hideMark/>
          </w:tcPr>
          <w:p w:rsidR="00535F77" w:rsidRPr="00593BD3" w:rsidRDefault="00535F77" w:rsidP="00CD2167">
            <w:pPr>
              <w:keepNext/>
              <w:keepLines/>
              <w:suppressAutoHyphens w:val="0"/>
              <w:jc w:val="center"/>
              <w:rPr>
                <w:rFonts w:ascii="Arial" w:hAnsi="Arial" w:cs="Arial"/>
                <w:color w:val="000000"/>
                <w:sz w:val="16"/>
                <w:szCs w:val="16"/>
              </w:rPr>
            </w:pPr>
            <w:r w:rsidRPr="00593BD3">
              <w:rPr>
                <w:rFonts w:ascii="Arial" w:hAnsi="Arial" w:cs="Arial"/>
                <w:color w:val="000000"/>
                <w:sz w:val="16"/>
                <w:szCs w:val="16"/>
              </w:rPr>
              <w:t>ex-ante</w:t>
            </w:r>
          </w:p>
        </w:tc>
      </w:tr>
      <w:tr w:rsidR="00535F77" w:rsidRPr="00593BD3" w:rsidTr="00535F77">
        <w:trPr>
          <w:trHeight w:val="282"/>
        </w:trPr>
        <w:tc>
          <w:tcPr>
            <w:tcW w:w="269" w:type="pct"/>
            <w:tcBorders>
              <w:top w:val="single" w:sz="8" w:space="0" w:color="auto"/>
              <w:left w:val="single" w:sz="8" w:space="0" w:color="auto"/>
              <w:bottom w:val="single" w:sz="8" w:space="0" w:color="auto"/>
              <w:right w:val="single" w:sz="8" w:space="0" w:color="auto"/>
            </w:tcBorders>
            <w:vAlign w:val="center"/>
            <w:hideMark/>
          </w:tcPr>
          <w:p w:rsidR="00535F77" w:rsidRPr="00593BD3" w:rsidRDefault="00535F77" w:rsidP="00CD2167">
            <w:pPr>
              <w:keepNext/>
              <w:keepLines/>
              <w:suppressAutoHyphens w:val="0"/>
              <w:jc w:val="center"/>
              <w:rPr>
                <w:rFonts w:ascii="Arial" w:hAnsi="Arial" w:cs="Arial"/>
                <w:color w:val="000000"/>
                <w:sz w:val="16"/>
                <w:szCs w:val="16"/>
              </w:rPr>
            </w:pPr>
            <w:r w:rsidRPr="00593BD3">
              <w:rPr>
                <w:rFonts w:ascii="Arial" w:hAnsi="Arial" w:cs="Arial"/>
                <w:color w:val="000000"/>
                <w:sz w:val="16"/>
                <w:szCs w:val="16"/>
              </w:rPr>
              <w:t>2</w:t>
            </w:r>
          </w:p>
        </w:tc>
        <w:tc>
          <w:tcPr>
            <w:tcW w:w="671" w:type="pct"/>
            <w:tcBorders>
              <w:top w:val="single" w:sz="8" w:space="0" w:color="auto"/>
              <w:left w:val="nil"/>
              <w:bottom w:val="single" w:sz="8" w:space="0" w:color="auto"/>
              <w:right w:val="single" w:sz="8" w:space="0" w:color="auto"/>
            </w:tcBorders>
            <w:vAlign w:val="center"/>
            <w:hideMark/>
          </w:tcPr>
          <w:p w:rsidR="00535F77" w:rsidRPr="00593BD3" w:rsidRDefault="00535F77" w:rsidP="00CD2167">
            <w:pPr>
              <w:keepNext/>
              <w:keepLines/>
              <w:suppressAutoHyphens w:val="0"/>
              <w:jc w:val="center"/>
              <w:rPr>
                <w:rFonts w:ascii="Arial" w:hAnsi="Arial" w:cs="Arial"/>
                <w:color w:val="000000"/>
                <w:sz w:val="16"/>
                <w:szCs w:val="16"/>
              </w:rPr>
            </w:pPr>
            <w:r w:rsidRPr="00593BD3">
              <w:rPr>
                <w:rFonts w:ascii="Arial" w:hAnsi="Arial" w:cs="Arial"/>
                <w:color w:val="000000"/>
                <w:sz w:val="16"/>
                <w:szCs w:val="16"/>
              </w:rPr>
              <w:t>1.2.6.1.5</w:t>
            </w:r>
          </w:p>
        </w:tc>
        <w:tc>
          <w:tcPr>
            <w:tcW w:w="2543" w:type="pct"/>
            <w:gridSpan w:val="2"/>
            <w:tcBorders>
              <w:top w:val="single" w:sz="8" w:space="0" w:color="auto"/>
              <w:left w:val="nil"/>
              <w:bottom w:val="single" w:sz="8" w:space="0" w:color="auto"/>
              <w:right w:val="single" w:sz="8" w:space="0" w:color="auto"/>
            </w:tcBorders>
            <w:vAlign w:val="center"/>
            <w:hideMark/>
          </w:tcPr>
          <w:p w:rsidR="00535F77" w:rsidRPr="00593BD3" w:rsidRDefault="00535F77" w:rsidP="00CD2167">
            <w:pPr>
              <w:keepNext/>
              <w:keepLines/>
              <w:suppressAutoHyphens w:val="0"/>
              <w:rPr>
                <w:rFonts w:ascii="Arial" w:hAnsi="Arial" w:cs="Arial"/>
                <w:color w:val="000000"/>
                <w:sz w:val="16"/>
                <w:szCs w:val="16"/>
              </w:rPr>
            </w:pPr>
            <w:r w:rsidRPr="00593BD3">
              <w:rPr>
                <w:rFonts w:ascii="Arial" w:hAnsi="Arial" w:cs="Arial"/>
                <w:color w:val="000000"/>
                <w:sz w:val="16"/>
                <w:szCs w:val="16"/>
              </w:rPr>
              <w:t>Hardware and software purchased and distributed</w:t>
            </w:r>
            <w:r>
              <w:rPr>
                <w:rFonts w:ascii="Arial" w:hAnsi="Arial" w:cs="Arial"/>
                <w:color w:val="000000"/>
                <w:sz w:val="16"/>
                <w:szCs w:val="16"/>
              </w:rPr>
              <w:t xml:space="preserve"> (several processes)</w:t>
            </w:r>
          </w:p>
        </w:tc>
        <w:tc>
          <w:tcPr>
            <w:tcW w:w="550" w:type="pct"/>
            <w:tcBorders>
              <w:top w:val="single" w:sz="8" w:space="0" w:color="auto"/>
              <w:left w:val="nil"/>
              <w:bottom w:val="single" w:sz="8" w:space="0" w:color="auto"/>
              <w:right w:val="single" w:sz="8" w:space="0" w:color="auto"/>
            </w:tcBorders>
            <w:shd w:val="clear" w:color="auto" w:fill="FFFFFF"/>
            <w:noWrap/>
            <w:vAlign w:val="center"/>
            <w:hideMark/>
          </w:tcPr>
          <w:p w:rsidR="00535F77" w:rsidRPr="00593BD3" w:rsidRDefault="00535F77" w:rsidP="00CD2167">
            <w:pPr>
              <w:keepNext/>
              <w:keepLines/>
              <w:suppressAutoHyphens w:val="0"/>
              <w:jc w:val="right"/>
              <w:rPr>
                <w:rFonts w:ascii="Arial" w:hAnsi="Arial" w:cs="Arial"/>
                <w:color w:val="000000"/>
                <w:sz w:val="16"/>
                <w:szCs w:val="16"/>
              </w:rPr>
            </w:pPr>
            <w:r w:rsidRPr="00593BD3">
              <w:rPr>
                <w:rFonts w:ascii="Arial" w:hAnsi="Arial" w:cs="Arial"/>
                <w:color w:val="000000"/>
                <w:sz w:val="16"/>
                <w:szCs w:val="16"/>
              </w:rPr>
              <w:t>$200.00</w:t>
            </w:r>
          </w:p>
        </w:tc>
        <w:tc>
          <w:tcPr>
            <w:tcW w:w="449" w:type="pct"/>
            <w:tcBorders>
              <w:top w:val="single" w:sz="8" w:space="0" w:color="auto"/>
              <w:left w:val="nil"/>
              <w:bottom w:val="single" w:sz="8" w:space="0" w:color="auto"/>
              <w:right w:val="single" w:sz="8" w:space="0" w:color="auto"/>
            </w:tcBorders>
            <w:vAlign w:val="center"/>
            <w:hideMark/>
          </w:tcPr>
          <w:p w:rsidR="00535F77" w:rsidRPr="00B9468C" w:rsidRDefault="00535F77" w:rsidP="00CD2167">
            <w:pPr>
              <w:keepNext/>
              <w:keepLines/>
              <w:suppressAutoHyphens w:val="0"/>
              <w:jc w:val="center"/>
              <w:rPr>
                <w:rFonts w:ascii="Arial" w:hAnsi="Arial" w:cs="Arial"/>
                <w:sz w:val="16"/>
                <w:szCs w:val="16"/>
              </w:rPr>
            </w:pPr>
            <w:r w:rsidRPr="00B9468C">
              <w:rPr>
                <w:rFonts w:ascii="Arial" w:hAnsi="Arial" w:cs="Arial"/>
                <w:sz w:val="16"/>
                <w:szCs w:val="16"/>
              </w:rPr>
              <w:t>NCB</w:t>
            </w:r>
          </w:p>
        </w:tc>
        <w:tc>
          <w:tcPr>
            <w:tcW w:w="518" w:type="pct"/>
            <w:tcBorders>
              <w:top w:val="single" w:sz="8" w:space="0" w:color="auto"/>
              <w:left w:val="nil"/>
              <w:bottom w:val="single" w:sz="8" w:space="0" w:color="auto"/>
              <w:right w:val="single" w:sz="8" w:space="0" w:color="auto"/>
            </w:tcBorders>
            <w:vAlign w:val="center"/>
          </w:tcPr>
          <w:p w:rsidR="00535F77" w:rsidRPr="00593BD3" w:rsidRDefault="00535F77" w:rsidP="00CD2167">
            <w:pPr>
              <w:keepNext/>
              <w:keepLines/>
              <w:suppressAutoHyphens w:val="0"/>
              <w:jc w:val="center"/>
              <w:rPr>
                <w:rFonts w:ascii="Arial" w:hAnsi="Arial" w:cs="Arial"/>
                <w:color w:val="000000"/>
                <w:sz w:val="16"/>
                <w:szCs w:val="16"/>
              </w:rPr>
            </w:pPr>
            <w:r>
              <w:rPr>
                <w:rFonts w:ascii="Arial" w:hAnsi="Arial" w:cs="Arial"/>
                <w:color w:val="000000"/>
                <w:sz w:val="16"/>
                <w:szCs w:val="16"/>
              </w:rPr>
              <w:t>ex-ante</w:t>
            </w:r>
          </w:p>
        </w:tc>
      </w:tr>
      <w:tr w:rsidR="00535F77" w:rsidRPr="00593BD3" w:rsidTr="00CD2167">
        <w:trPr>
          <w:trHeight w:val="264"/>
        </w:trPr>
        <w:tc>
          <w:tcPr>
            <w:tcW w:w="3484" w:type="pct"/>
            <w:gridSpan w:val="4"/>
            <w:tcBorders>
              <w:top w:val="single" w:sz="4" w:space="0" w:color="auto"/>
              <w:left w:val="single" w:sz="8" w:space="0" w:color="auto"/>
              <w:bottom w:val="nil"/>
              <w:right w:val="single" w:sz="4" w:space="0" w:color="auto"/>
            </w:tcBorders>
            <w:shd w:val="clear" w:color="auto" w:fill="9BBB59"/>
            <w:vAlign w:val="center"/>
            <w:hideMark/>
          </w:tcPr>
          <w:p w:rsidR="00535F77" w:rsidRPr="00593BD3" w:rsidRDefault="00535F77" w:rsidP="00CD2167">
            <w:pPr>
              <w:keepNext/>
              <w:keepLines/>
              <w:suppressAutoHyphens w:val="0"/>
              <w:rPr>
                <w:rFonts w:ascii="Arial" w:hAnsi="Arial" w:cs="Arial"/>
                <w:b/>
                <w:bCs/>
                <w:color w:val="000000"/>
                <w:sz w:val="16"/>
                <w:szCs w:val="16"/>
              </w:rPr>
            </w:pPr>
            <w:r w:rsidRPr="00593BD3">
              <w:rPr>
                <w:rFonts w:ascii="Arial" w:hAnsi="Arial" w:cs="Arial"/>
                <w:b/>
                <w:bCs/>
                <w:color w:val="000000"/>
                <w:sz w:val="16"/>
                <w:szCs w:val="16"/>
              </w:rPr>
              <w:t>NON-CONSULTING SERVICES</w:t>
            </w:r>
          </w:p>
        </w:tc>
        <w:tc>
          <w:tcPr>
            <w:tcW w:w="550" w:type="pct"/>
            <w:tcBorders>
              <w:top w:val="single" w:sz="8" w:space="0" w:color="000000"/>
              <w:left w:val="single" w:sz="8" w:space="0" w:color="000000"/>
              <w:bottom w:val="nil"/>
              <w:right w:val="single" w:sz="8" w:space="0" w:color="000000"/>
            </w:tcBorders>
            <w:hideMark/>
          </w:tcPr>
          <w:p w:rsidR="00535F77" w:rsidRPr="00593BD3" w:rsidRDefault="00535F77" w:rsidP="00CD2167">
            <w:pPr>
              <w:keepNext/>
              <w:keepLines/>
              <w:suppressAutoHyphens w:val="0"/>
              <w:autoSpaceDN/>
              <w:jc w:val="right"/>
              <w:rPr>
                <w:rFonts w:ascii="Arial" w:eastAsiaTheme="minorHAnsi" w:hAnsi="Arial" w:cs="Arial"/>
                <w:sz w:val="16"/>
                <w:szCs w:val="16"/>
              </w:rPr>
            </w:pPr>
          </w:p>
        </w:tc>
        <w:tc>
          <w:tcPr>
            <w:tcW w:w="449" w:type="pct"/>
            <w:tcBorders>
              <w:top w:val="single" w:sz="8" w:space="0" w:color="000000"/>
              <w:left w:val="nil"/>
              <w:bottom w:val="nil"/>
              <w:right w:val="single" w:sz="8" w:space="0" w:color="000000"/>
            </w:tcBorders>
            <w:hideMark/>
          </w:tcPr>
          <w:p w:rsidR="00535F77" w:rsidRPr="00B9468C" w:rsidRDefault="00535F77" w:rsidP="00CD2167">
            <w:pPr>
              <w:keepNext/>
              <w:keepLines/>
              <w:suppressAutoHyphens w:val="0"/>
              <w:rPr>
                <w:rFonts w:ascii="Arial" w:hAnsi="Arial" w:cs="Arial"/>
                <w:b/>
                <w:bCs/>
                <w:sz w:val="16"/>
                <w:szCs w:val="16"/>
              </w:rPr>
            </w:pPr>
            <w:r w:rsidRPr="00B9468C">
              <w:rPr>
                <w:rFonts w:ascii="Arial" w:hAnsi="Arial" w:cs="Arial"/>
                <w:b/>
                <w:bCs/>
                <w:sz w:val="16"/>
                <w:szCs w:val="16"/>
              </w:rPr>
              <w:t> </w:t>
            </w:r>
          </w:p>
        </w:tc>
        <w:tc>
          <w:tcPr>
            <w:tcW w:w="518" w:type="pct"/>
            <w:tcBorders>
              <w:top w:val="single" w:sz="8" w:space="0" w:color="000000"/>
              <w:left w:val="nil"/>
              <w:bottom w:val="nil"/>
              <w:right w:val="single" w:sz="8" w:space="0" w:color="auto"/>
            </w:tcBorders>
            <w:hideMark/>
          </w:tcPr>
          <w:p w:rsidR="00535F77" w:rsidRPr="00593BD3" w:rsidRDefault="00535F77" w:rsidP="00CD2167">
            <w:pPr>
              <w:keepNext/>
              <w:keepLines/>
              <w:suppressAutoHyphens w:val="0"/>
              <w:rPr>
                <w:rFonts w:ascii="Arial" w:hAnsi="Arial" w:cs="Arial"/>
                <w:b/>
                <w:bCs/>
                <w:color w:val="000000"/>
                <w:sz w:val="16"/>
                <w:szCs w:val="16"/>
              </w:rPr>
            </w:pPr>
            <w:r w:rsidRPr="00593BD3">
              <w:rPr>
                <w:rFonts w:ascii="Arial" w:hAnsi="Arial" w:cs="Arial"/>
                <w:b/>
                <w:bCs/>
                <w:color w:val="000000"/>
                <w:sz w:val="16"/>
                <w:szCs w:val="16"/>
              </w:rPr>
              <w:t> </w:t>
            </w:r>
          </w:p>
        </w:tc>
      </w:tr>
      <w:tr w:rsidR="00535F77" w:rsidRPr="00593BD3" w:rsidTr="00535F77">
        <w:trPr>
          <w:trHeight w:val="516"/>
        </w:trPr>
        <w:tc>
          <w:tcPr>
            <w:tcW w:w="269" w:type="pct"/>
            <w:tcBorders>
              <w:top w:val="single" w:sz="8" w:space="0" w:color="auto"/>
              <w:left w:val="single" w:sz="8" w:space="0" w:color="auto"/>
              <w:bottom w:val="single" w:sz="8" w:space="0" w:color="auto"/>
              <w:right w:val="single" w:sz="8" w:space="0" w:color="auto"/>
            </w:tcBorders>
            <w:vAlign w:val="center"/>
            <w:hideMark/>
          </w:tcPr>
          <w:p w:rsidR="00535F77" w:rsidRPr="00593BD3" w:rsidRDefault="00535F77" w:rsidP="00CD2167">
            <w:pPr>
              <w:keepNext/>
              <w:keepLines/>
              <w:suppressAutoHyphens w:val="0"/>
              <w:jc w:val="center"/>
              <w:rPr>
                <w:rFonts w:ascii="Arial" w:hAnsi="Arial" w:cs="Arial"/>
                <w:color w:val="000000"/>
                <w:sz w:val="16"/>
                <w:szCs w:val="16"/>
              </w:rPr>
            </w:pPr>
            <w:r w:rsidRPr="00593BD3">
              <w:rPr>
                <w:rFonts w:ascii="Arial" w:hAnsi="Arial" w:cs="Arial"/>
                <w:color w:val="000000"/>
                <w:sz w:val="16"/>
                <w:szCs w:val="16"/>
              </w:rPr>
              <w:t>1</w:t>
            </w:r>
          </w:p>
        </w:tc>
        <w:tc>
          <w:tcPr>
            <w:tcW w:w="685" w:type="pct"/>
            <w:gridSpan w:val="2"/>
            <w:tcBorders>
              <w:top w:val="single" w:sz="8" w:space="0" w:color="auto"/>
              <w:left w:val="nil"/>
              <w:bottom w:val="single" w:sz="8" w:space="0" w:color="auto"/>
              <w:right w:val="single" w:sz="8" w:space="0" w:color="auto"/>
            </w:tcBorders>
            <w:vAlign w:val="center"/>
            <w:hideMark/>
          </w:tcPr>
          <w:p w:rsidR="00535F77" w:rsidRPr="00593BD3" w:rsidRDefault="00535F77" w:rsidP="00CD2167">
            <w:pPr>
              <w:keepNext/>
              <w:keepLines/>
              <w:suppressAutoHyphens w:val="0"/>
              <w:jc w:val="center"/>
              <w:rPr>
                <w:rFonts w:ascii="Arial" w:hAnsi="Arial" w:cs="Arial"/>
                <w:color w:val="000000"/>
                <w:sz w:val="16"/>
                <w:szCs w:val="16"/>
              </w:rPr>
            </w:pPr>
            <w:r w:rsidRPr="00593BD3">
              <w:rPr>
                <w:rFonts w:ascii="Arial" w:hAnsi="Arial" w:cs="Arial"/>
                <w:color w:val="000000"/>
                <w:sz w:val="16"/>
                <w:szCs w:val="16"/>
              </w:rPr>
              <w:t>1.1.3.1</w:t>
            </w:r>
          </w:p>
        </w:tc>
        <w:tc>
          <w:tcPr>
            <w:tcW w:w="2529" w:type="pct"/>
            <w:tcBorders>
              <w:top w:val="single" w:sz="8" w:space="0" w:color="auto"/>
              <w:left w:val="nil"/>
              <w:bottom w:val="single" w:sz="8" w:space="0" w:color="auto"/>
              <w:right w:val="single" w:sz="8" w:space="0" w:color="auto"/>
            </w:tcBorders>
            <w:vAlign w:val="center"/>
            <w:hideMark/>
          </w:tcPr>
          <w:p w:rsidR="00535F77" w:rsidRPr="00593BD3" w:rsidRDefault="00535F77" w:rsidP="00CD2167">
            <w:pPr>
              <w:keepNext/>
              <w:keepLines/>
              <w:suppressAutoHyphens w:val="0"/>
              <w:rPr>
                <w:rFonts w:ascii="Arial" w:hAnsi="Arial" w:cs="Arial"/>
                <w:sz w:val="16"/>
                <w:szCs w:val="16"/>
              </w:rPr>
            </w:pPr>
            <w:r>
              <w:rPr>
                <w:rFonts w:ascii="Arial" w:hAnsi="Arial" w:cs="Arial"/>
                <w:sz w:val="16"/>
                <w:szCs w:val="16"/>
              </w:rPr>
              <w:t xml:space="preserve">Materials for communication </w:t>
            </w:r>
            <w:r w:rsidRPr="00593BD3">
              <w:rPr>
                <w:rFonts w:ascii="Arial" w:hAnsi="Arial" w:cs="Arial"/>
                <w:sz w:val="16"/>
                <w:szCs w:val="16"/>
              </w:rPr>
              <w:t>for behavior change strategy printed and distributed to 225 communities</w:t>
            </w:r>
            <w:r>
              <w:rPr>
                <w:rFonts w:ascii="Arial" w:hAnsi="Arial" w:cs="Arial"/>
                <w:sz w:val="16"/>
                <w:szCs w:val="16"/>
              </w:rPr>
              <w:t xml:space="preserve"> (several </w:t>
            </w:r>
            <w:bookmarkStart w:id="1" w:name="_GoBack"/>
            <w:bookmarkEnd w:id="1"/>
            <w:r>
              <w:rPr>
                <w:rFonts w:ascii="Arial" w:hAnsi="Arial" w:cs="Arial"/>
                <w:sz w:val="16"/>
                <w:szCs w:val="16"/>
              </w:rPr>
              <w:t>processes)</w:t>
            </w:r>
          </w:p>
        </w:tc>
        <w:tc>
          <w:tcPr>
            <w:tcW w:w="550" w:type="pct"/>
            <w:tcBorders>
              <w:top w:val="single" w:sz="8" w:space="0" w:color="auto"/>
              <w:left w:val="nil"/>
              <w:bottom w:val="single" w:sz="8" w:space="0" w:color="auto"/>
              <w:right w:val="single" w:sz="8" w:space="0" w:color="auto"/>
            </w:tcBorders>
            <w:noWrap/>
            <w:vAlign w:val="center"/>
            <w:hideMark/>
          </w:tcPr>
          <w:p w:rsidR="00535F77" w:rsidRPr="00593BD3" w:rsidRDefault="00535F77" w:rsidP="00CD2167">
            <w:pPr>
              <w:keepNext/>
              <w:keepLines/>
              <w:suppressAutoHyphens w:val="0"/>
              <w:jc w:val="right"/>
              <w:rPr>
                <w:rFonts w:ascii="Arial" w:hAnsi="Arial" w:cs="Arial"/>
                <w:color w:val="000000"/>
                <w:sz w:val="16"/>
                <w:szCs w:val="16"/>
              </w:rPr>
            </w:pPr>
            <w:r>
              <w:rPr>
                <w:rFonts w:ascii="Arial" w:hAnsi="Arial" w:cs="Arial"/>
                <w:color w:val="000000"/>
                <w:sz w:val="16"/>
                <w:szCs w:val="16"/>
              </w:rPr>
              <w:t xml:space="preserve"> $</w:t>
            </w:r>
            <w:r w:rsidRPr="00593BD3">
              <w:rPr>
                <w:rFonts w:ascii="Arial" w:hAnsi="Arial" w:cs="Arial"/>
                <w:color w:val="000000"/>
                <w:sz w:val="16"/>
                <w:szCs w:val="16"/>
              </w:rPr>
              <w:t xml:space="preserve">125.00 </w:t>
            </w:r>
          </w:p>
        </w:tc>
        <w:tc>
          <w:tcPr>
            <w:tcW w:w="449" w:type="pct"/>
            <w:tcBorders>
              <w:top w:val="single" w:sz="8" w:space="0" w:color="auto"/>
              <w:left w:val="nil"/>
              <w:bottom w:val="single" w:sz="8" w:space="0" w:color="auto"/>
              <w:right w:val="single" w:sz="8" w:space="0" w:color="auto"/>
            </w:tcBorders>
            <w:vAlign w:val="center"/>
            <w:hideMark/>
          </w:tcPr>
          <w:p w:rsidR="00535F77" w:rsidRPr="00B9468C" w:rsidRDefault="00535F77" w:rsidP="00CD2167">
            <w:pPr>
              <w:keepNext/>
              <w:keepLines/>
              <w:suppressAutoHyphens w:val="0"/>
              <w:jc w:val="center"/>
              <w:rPr>
                <w:rFonts w:ascii="Arial" w:hAnsi="Arial" w:cs="Arial"/>
                <w:sz w:val="16"/>
                <w:szCs w:val="16"/>
              </w:rPr>
            </w:pPr>
            <w:r w:rsidRPr="00B9468C">
              <w:rPr>
                <w:rFonts w:ascii="Arial" w:hAnsi="Arial" w:cs="Arial"/>
                <w:sz w:val="16"/>
                <w:szCs w:val="16"/>
              </w:rPr>
              <w:t>NCB</w:t>
            </w:r>
          </w:p>
        </w:tc>
        <w:tc>
          <w:tcPr>
            <w:tcW w:w="518" w:type="pct"/>
            <w:tcBorders>
              <w:top w:val="single" w:sz="8" w:space="0" w:color="auto"/>
              <w:left w:val="nil"/>
              <w:bottom w:val="single" w:sz="8" w:space="0" w:color="auto"/>
              <w:right w:val="single" w:sz="8" w:space="0" w:color="auto"/>
            </w:tcBorders>
            <w:vAlign w:val="center"/>
            <w:hideMark/>
          </w:tcPr>
          <w:p w:rsidR="00535F77" w:rsidRPr="00593BD3" w:rsidRDefault="00535F77" w:rsidP="00CD2167">
            <w:pPr>
              <w:keepNext/>
              <w:keepLines/>
              <w:suppressAutoHyphens w:val="0"/>
              <w:jc w:val="center"/>
              <w:rPr>
                <w:rFonts w:ascii="Arial" w:hAnsi="Arial" w:cs="Arial"/>
                <w:color w:val="000000"/>
                <w:sz w:val="16"/>
                <w:szCs w:val="16"/>
              </w:rPr>
            </w:pPr>
            <w:r w:rsidRPr="00593BD3">
              <w:rPr>
                <w:rFonts w:ascii="Arial" w:hAnsi="Arial" w:cs="Arial"/>
                <w:color w:val="000000"/>
                <w:sz w:val="16"/>
                <w:szCs w:val="16"/>
              </w:rPr>
              <w:t>ex-ante</w:t>
            </w:r>
          </w:p>
        </w:tc>
      </w:tr>
      <w:tr w:rsidR="00535F77" w:rsidRPr="00593BD3" w:rsidTr="00535F77">
        <w:trPr>
          <w:trHeight w:val="417"/>
        </w:trPr>
        <w:tc>
          <w:tcPr>
            <w:tcW w:w="269" w:type="pct"/>
            <w:tcBorders>
              <w:top w:val="single" w:sz="8" w:space="0" w:color="auto"/>
              <w:left w:val="single" w:sz="8" w:space="0" w:color="auto"/>
              <w:bottom w:val="single" w:sz="8" w:space="0" w:color="auto"/>
              <w:right w:val="single" w:sz="8" w:space="0" w:color="auto"/>
            </w:tcBorders>
            <w:vAlign w:val="center"/>
            <w:hideMark/>
          </w:tcPr>
          <w:p w:rsidR="00535F77" w:rsidRPr="00593BD3" w:rsidRDefault="00535F77" w:rsidP="00CD2167">
            <w:pPr>
              <w:keepNext/>
              <w:keepLines/>
              <w:suppressAutoHyphens w:val="0"/>
              <w:jc w:val="center"/>
              <w:rPr>
                <w:rFonts w:ascii="Arial" w:hAnsi="Arial" w:cs="Arial"/>
                <w:color w:val="000000"/>
                <w:sz w:val="16"/>
                <w:szCs w:val="16"/>
              </w:rPr>
            </w:pPr>
            <w:r w:rsidRPr="00593BD3">
              <w:rPr>
                <w:rFonts w:ascii="Arial" w:hAnsi="Arial" w:cs="Arial"/>
                <w:color w:val="000000"/>
                <w:sz w:val="16"/>
                <w:szCs w:val="16"/>
              </w:rPr>
              <w:t>2</w:t>
            </w:r>
          </w:p>
        </w:tc>
        <w:tc>
          <w:tcPr>
            <w:tcW w:w="685" w:type="pct"/>
            <w:gridSpan w:val="2"/>
            <w:tcBorders>
              <w:top w:val="single" w:sz="8" w:space="0" w:color="auto"/>
              <w:left w:val="nil"/>
              <w:bottom w:val="single" w:sz="8" w:space="0" w:color="auto"/>
              <w:right w:val="single" w:sz="8" w:space="0" w:color="auto"/>
            </w:tcBorders>
            <w:vAlign w:val="center"/>
            <w:hideMark/>
          </w:tcPr>
          <w:p w:rsidR="00535F77" w:rsidRPr="00593BD3" w:rsidRDefault="00535F77" w:rsidP="00CD2167">
            <w:pPr>
              <w:keepNext/>
              <w:keepLines/>
              <w:suppressAutoHyphens w:val="0"/>
              <w:jc w:val="center"/>
              <w:rPr>
                <w:rFonts w:ascii="Arial" w:hAnsi="Arial" w:cs="Arial"/>
                <w:color w:val="000000"/>
                <w:sz w:val="16"/>
                <w:szCs w:val="16"/>
              </w:rPr>
            </w:pPr>
            <w:r w:rsidRPr="00593BD3">
              <w:rPr>
                <w:rFonts w:ascii="Arial" w:hAnsi="Arial" w:cs="Arial"/>
                <w:color w:val="000000"/>
                <w:sz w:val="16"/>
                <w:szCs w:val="16"/>
              </w:rPr>
              <w:t>1.1.3.1</w:t>
            </w:r>
          </w:p>
        </w:tc>
        <w:tc>
          <w:tcPr>
            <w:tcW w:w="2529" w:type="pct"/>
            <w:tcBorders>
              <w:top w:val="single" w:sz="8" w:space="0" w:color="auto"/>
              <w:left w:val="nil"/>
              <w:bottom w:val="single" w:sz="8" w:space="0" w:color="auto"/>
              <w:right w:val="single" w:sz="8" w:space="0" w:color="auto"/>
            </w:tcBorders>
            <w:vAlign w:val="center"/>
            <w:hideMark/>
          </w:tcPr>
          <w:p w:rsidR="00535F77" w:rsidRPr="00593BD3" w:rsidRDefault="00535F77" w:rsidP="00CD2167">
            <w:pPr>
              <w:keepNext/>
              <w:keepLines/>
              <w:suppressAutoHyphens w:val="0"/>
              <w:rPr>
                <w:rFonts w:ascii="Arial" w:hAnsi="Arial" w:cs="Arial"/>
                <w:sz w:val="16"/>
                <w:szCs w:val="16"/>
              </w:rPr>
            </w:pPr>
            <w:r w:rsidRPr="00593BD3">
              <w:rPr>
                <w:rFonts w:ascii="Arial" w:hAnsi="Arial" w:cs="Arial"/>
                <w:sz w:val="16"/>
                <w:szCs w:val="16"/>
              </w:rPr>
              <w:t>Communication campaign implementing in 225 communities</w:t>
            </w:r>
            <w:r>
              <w:rPr>
                <w:rFonts w:ascii="Arial" w:hAnsi="Arial" w:cs="Arial"/>
                <w:sz w:val="16"/>
                <w:szCs w:val="16"/>
              </w:rPr>
              <w:t xml:space="preserve"> (several processes)</w:t>
            </w:r>
          </w:p>
        </w:tc>
        <w:tc>
          <w:tcPr>
            <w:tcW w:w="550" w:type="pct"/>
            <w:tcBorders>
              <w:top w:val="single" w:sz="8" w:space="0" w:color="auto"/>
              <w:left w:val="nil"/>
              <w:bottom w:val="single" w:sz="8" w:space="0" w:color="auto"/>
              <w:right w:val="single" w:sz="8" w:space="0" w:color="auto"/>
            </w:tcBorders>
            <w:noWrap/>
            <w:vAlign w:val="center"/>
            <w:hideMark/>
          </w:tcPr>
          <w:p w:rsidR="00535F77" w:rsidRPr="00593BD3" w:rsidRDefault="00535F77" w:rsidP="00CD2167">
            <w:pPr>
              <w:keepNext/>
              <w:keepLines/>
              <w:suppressAutoHyphens w:val="0"/>
              <w:jc w:val="right"/>
              <w:rPr>
                <w:rFonts w:ascii="Arial" w:hAnsi="Arial" w:cs="Arial"/>
                <w:color w:val="000000"/>
                <w:sz w:val="16"/>
                <w:szCs w:val="16"/>
              </w:rPr>
            </w:pPr>
            <w:r w:rsidRPr="00593BD3">
              <w:rPr>
                <w:rFonts w:ascii="Arial" w:hAnsi="Arial" w:cs="Arial"/>
                <w:color w:val="000000"/>
                <w:sz w:val="16"/>
                <w:szCs w:val="16"/>
              </w:rPr>
              <w:t>$125.00</w:t>
            </w:r>
          </w:p>
        </w:tc>
        <w:tc>
          <w:tcPr>
            <w:tcW w:w="449" w:type="pct"/>
            <w:tcBorders>
              <w:top w:val="single" w:sz="8" w:space="0" w:color="auto"/>
              <w:left w:val="nil"/>
              <w:bottom w:val="single" w:sz="8" w:space="0" w:color="auto"/>
              <w:right w:val="single" w:sz="8" w:space="0" w:color="auto"/>
            </w:tcBorders>
            <w:vAlign w:val="center"/>
            <w:hideMark/>
          </w:tcPr>
          <w:p w:rsidR="00535F77" w:rsidRPr="0027784A" w:rsidRDefault="00535F77" w:rsidP="00CD2167">
            <w:pPr>
              <w:keepNext/>
              <w:keepLines/>
              <w:suppressAutoHyphens w:val="0"/>
              <w:jc w:val="center"/>
              <w:rPr>
                <w:rFonts w:ascii="Arial" w:hAnsi="Arial" w:cs="Arial"/>
                <w:sz w:val="16"/>
                <w:szCs w:val="16"/>
              </w:rPr>
            </w:pPr>
            <w:r w:rsidRPr="0027784A">
              <w:rPr>
                <w:rFonts w:ascii="Arial" w:hAnsi="Arial" w:cs="Arial"/>
                <w:sz w:val="16"/>
                <w:szCs w:val="16"/>
              </w:rPr>
              <w:t>NCB</w:t>
            </w:r>
          </w:p>
        </w:tc>
        <w:tc>
          <w:tcPr>
            <w:tcW w:w="518" w:type="pct"/>
            <w:tcBorders>
              <w:top w:val="single" w:sz="8" w:space="0" w:color="auto"/>
              <w:left w:val="nil"/>
              <w:bottom w:val="single" w:sz="8" w:space="0" w:color="auto"/>
              <w:right w:val="single" w:sz="8" w:space="0" w:color="auto"/>
            </w:tcBorders>
            <w:vAlign w:val="center"/>
          </w:tcPr>
          <w:p w:rsidR="00535F77" w:rsidRPr="00593BD3" w:rsidRDefault="00535F77" w:rsidP="00CD2167">
            <w:pPr>
              <w:keepNext/>
              <w:keepLines/>
              <w:suppressAutoHyphens w:val="0"/>
              <w:jc w:val="center"/>
              <w:rPr>
                <w:rFonts w:ascii="Arial" w:hAnsi="Arial" w:cs="Arial"/>
                <w:color w:val="000000"/>
                <w:sz w:val="16"/>
                <w:szCs w:val="16"/>
              </w:rPr>
            </w:pPr>
            <w:r>
              <w:rPr>
                <w:rFonts w:ascii="Arial" w:hAnsi="Arial" w:cs="Arial"/>
                <w:color w:val="000000"/>
                <w:sz w:val="16"/>
                <w:szCs w:val="16"/>
              </w:rPr>
              <w:t>ex-ante</w:t>
            </w:r>
          </w:p>
        </w:tc>
      </w:tr>
      <w:tr w:rsidR="00535F77" w:rsidRPr="00593BD3" w:rsidTr="00CD2167">
        <w:trPr>
          <w:trHeight w:val="291"/>
        </w:trPr>
        <w:tc>
          <w:tcPr>
            <w:tcW w:w="3484" w:type="pct"/>
            <w:gridSpan w:val="4"/>
            <w:tcBorders>
              <w:top w:val="single" w:sz="4" w:space="0" w:color="auto"/>
              <w:left w:val="single" w:sz="8" w:space="0" w:color="auto"/>
              <w:bottom w:val="nil"/>
              <w:right w:val="single" w:sz="4" w:space="0" w:color="auto"/>
            </w:tcBorders>
            <w:shd w:val="clear" w:color="auto" w:fill="9BBB59"/>
            <w:vAlign w:val="center"/>
            <w:hideMark/>
          </w:tcPr>
          <w:p w:rsidR="00535F77" w:rsidRPr="00593BD3" w:rsidRDefault="00535F77" w:rsidP="00CD2167">
            <w:pPr>
              <w:keepNext/>
              <w:keepLines/>
              <w:suppressAutoHyphens w:val="0"/>
              <w:rPr>
                <w:rFonts w:ascii="Arial" w:hAnsi="Arial" w:cs="Arial"/>
                <w:b/>
                <w:bCs/>
                <w:color w:val="000000"/>
                <w:sz w:val="16"/>
                <w:szCs w:val="16"/>
              </w:rPr>
            </w:pPr>
            <w:r w:rsidRPr="00593BD3">
              <w:rPr>
                <w:rFonts w:ascii="Arial" w:hAnsi="Arial" w:cs="Arial"/>
                <w:b/>
                <w:bCs/>
                <w:color w:val="000000"/>
                <w:sz w:val="16"/>
                <w:szCs w:val="16"/>
              </w:rPr>
              <w:t>CONSULTING SERVICES</w:t>
            </w:r>
          </w:p>
        </w:tc>
        <w:tc>
          <w:tcPr>
            <w:tcW w:w="550" w:type="pct"/>
            <w:tcBorders>
              <w:top w:val="single" w:sz="8" w:space="0" w:color="000000"/>
              <w:left w:val="single" w:sz="8" w:space="0" w:color="000000"/>
              <w:bottom w:val="nil"/>
              <w:right w:val="single" w:sz="8" w:space="0" w:color="000000"/>
            </w:tcBorders>
            <w:hideMark/>
          </w:tcPr>
          <w:p w:rsidR="00535F77" w:rsidRPr="00593BD3" w:rsidRDefault="00535F77" w:rsidP="00CD2167">
            <w:pPr>
              <w:keepNext/>
              <w:keepLines/>
              <w:suppressAutoHyphens w:val="0"/>
              <w:autoSpaceDN/>
              <w:jc w:val="right"/>
              <w:rPr>
                <w:rFonts w:ascii="Arial" w:eastAsiaTheme="minorHAnsi" w:hAnsi="Arial" w:cs="Arial"/>
                <w:sz w:val="16"/>
                <w:szCs w:val="16"/>
              </w:rPr>
            </w:pPr>
          </w:p>
        </w:tc>
        <w:tc>
          <w:tcPr>
            <w:tcW w:w="449" w:type="pct"/>
            <w:tcBorders>
              <w:top w:val="single" w:sz="8" w:space="0" w:color="000000"/>
              <w:left w:val="nil"/>
              <w:bottom w:val="nil"/>
              <w:right w:val="single" w:sz="8" w:space="0" w:color="000000"/>
            </w:tcBorders>
            <w:hideMark/>
          </w:tcPr>
          <w:p w:rsidR="00535F77" w:rsidRPr="0027784A" w:rsidRDefault="00535F77" w:rsidP="00CD2167">
            <w:pPr>
              <w:keepNext/>
              <w:keepLines/>
              <w:suppressAutoHyphens w:val="0"/>
              <w:rPr>
                <w:rFonts w:ascii="Arial" w:hAnsi="Arial" w:cs="Arial"/>
                <w:b/>
                <w:bCs/>
                <w:sz w:val="16"/>
                <w:szCs w:val="16"/>
              </w:rPr>
            </w:pPr>
            <w:r w:rsidRPr="0027784A">
              <w:rPr>
                <w:rFonts w:ascii="Arial" w:hAnsi="Arial" w:cs="Arial"/>
                <w:b/>
                <w:bCs/>
                <w:sz w:val="16"/>
                <w:szCs w:val="16"/>
              </w:rPr>
              <w:t> </w:t>
            </w:r>
          </w:p>
        </w:tc>
        <w:tc>
          <w:tcPr>
            <w:tcW w:w="518" w:type="pct"/>
            <w:tcBorders>
              <w:top w:val="single" w:sz="8" w:space="0" w:color="000000"/>
              <w:left w:val="nil"/>
              <w:bottom w:val="nil"/>
              <w:right w:val="single" w:sz="8" w:space="0" w:color="auto"/>
            </w:tcBorders>
            <w:hideMark/>
          </w:tcPr>
          <w:p w:rsidR="00535F77" w:rsidRPr="00593BD3" w:rsidRDefault="00535F77" w:rsidP="00CD2167">
            <w:pPr>
              <w:keepNext/>
              <w:keepLines/>
              <w:suppressAutoHyphens w:val="0"/>
              <w:rPr>
                <w:rFonts w:ascii="Arial" w:hAnsi="Arial" w:cs="Arial"/>
                <w:b/>
                <w:bCs/>
                <w:color w:val="000000"/>
                <w:sz w:val="16"/>
                <w:szCs w:val="16"/>
              </w:rPr>
            </w:pPr>
            <w:r w:rsidRPr="00593BD3">
              <w:rPr>
                <w:rFonts w:ascii="Arial" w:hAnsi="Arial" w:cs="Arial"/>
                <w:b/>
                <w:bCs/>
                <w:color w:val="000000"/>
                <w:sz w:val="16"/>
                <w:szCs w:val="16"/>
              </w:rPr>
              <w:t> </w:t>
            </w:r>
          </w:p>
        </w:tc>
      </w:tr>
      <w:tr w:rsidR="00535F77" w:rsidRPr="00593BD3" w:rsidTr="00535F77">
        <w:trPr>
          <w:trHeight w:val="600"/>
        </w:trPr>
        <w:tc>
          <w:tcPr>
            <w:tcW w:w="269" w:type="pct"/>
            <w:tcBorders>
              <w:top w:val="single" w:sz="8" w:space="0" w:color="auto"/>
              <w:left w:val="single" w:sz="8" w:space="0" w:color="auto"/>
              <w:bottom w:val="single" w:sz="8" w:space="0" w:color="auto"/>
              <w:right w:val="single" w:sz="8" w:space="0" w:color="auto"/>
            </w:tcBorders>
            <w:vAlign w:val="center"/>
            <w:hideMark/>
          </w:tcPr>
          <w:p w:rsidR="00535F77" w:rsidRPr="00593BD3" w:rsidRDefault="00535F77" w:rsidP="00CD2167">
            <w:pPr>
              <w:keepNext/>
              <w:keepLines/>
              <w:suppressAutoHyphens w:val="0"/>
              <w:jc w:val="center"/>
              <w:rPr>
                <w:rFonts w:ascii="Arial" w:hAnsi="Arial" w:cs="Arial"/>
                <w:color w:val="000000"/>
                <w:sz w:val="16"/>
                <w:szCs w:val="16"/>
              </w:rPr>
            </w:pPr>
            <w:r w:rsidRPr="00593BD3">
              <w:rPr>
                <w:rFonts w:ascii="Arial" w:hAnsi="Arial" w:cs="Arial"/>
                <w:color w:val="000000"/>
                <w:sz w:val="16"/>
                <w:szCs w:val="16"/>
              </w:rPr>
              <w:t>1</w:t>
            </w:r>
          </w:p>
        </w:tc>
        <w:tc>
          <w:tcPr>
            <w:tcW w:w="685" w:type="pct"/>
            <w:gridSpan w:val="2"/>
            <w:tcBorders>
              <w:top w:val="single" w:sz="8" w:space="0" w:color="auto"/>
              <w:left w:val="nil"/>
              <w:bottom w:val="single" w:sz="8" w:space="0" w:color="auto"/>
              <w:right w:val="single" w:sz="8" w:space="0" w:color="auto"/>
            </w:tcBorders>
            <w:vAlign w:val="center"/>
            <w:hideMark/>
          </w:tcPr>
          <w:p w:rsidR="00535F77" w:rsidRPr="00593BD3" w:rsidRDefault="00535F77" w:rsidP="00CD2167">
            <w:pPr>
              <w:keepNext/>
              <w:keepLines/>
              <w:suppressAutoHyphens w:val="0"/>
              <w:jc w:val="center"/>
              <w:rPr>
                <w:rFonts w:ascii="Arial" w:hAnsi="Arial" w:cs="Arial"/>
                <w:color w:val="000000"/>
                <w:sz w:val="16"/>
                <w:szCs w:val="16"/>
              </w:rPr>
            </w:pPr>
            <w:r>
              <w:rPr>
                <w:rFonts w:ascii="Arial" w:hAnsi="Arial" w:cs="Arial"/>
                <w:color w:val="000000"/>
                <w:sz w:val="16"/>
                <w:szCs w:val="16"/>
              </w:rPr>
              <w:t>1.1.1</w:t>
            </w:r>
            <w:r w:rsidRPr="00593BD3">
              <w:rPr>
                <w:rFonts w:ascii="Arial" w:hAnsi="Arial" w:cs="Arial"/>
                <w:color w:val="000000"/>
                <w:sz w:val="16"/>
                <w:szCs w:val="16"/>
              </w:rPr>
              <w:t>.1</w:t>
            </w:r>
          </w:p>
        </w:tc>
        <w:tc>
          <w:tcPr>
            <w:tcW w:w="2529" w:type="pct"/>
            <w:tcBorders>
              <w:top w:val="single" w:sz="8" w:space="0" w:color="auto"/>
              <w:left w:val="nil"/>
              <w:bottom w:val="single" w:sz="8" w:space="0" w:color="auto"/>
              <w:right w:val="single" w:sz="8" w:space="0" w:color="auto"/>
            </w:tcBorders>
            <w:vAlign w:val="center"/>
            <w:hideMark/>
          </w:tcPr>
          <w:p w:rsidR="00535F77" w:rsidRPr="00593BD3" w:rsidRDefault="00535F77" w:rsidP="00CD2167">
            <w:pPr>
              <w:keepNext/>
              <w:keepLines/>
              <w:suppressAutoHyphens w:val="0"/>
              <w:rPr>
                <w:rFonts w:ascii="Arial" w:hAnsi="Arial" w:cs="Arial"/>
                <w:sz w:val="16"/>
                <w:szCs w:val="16"/>
              </w:rPr>
            </w:pPr>
            <w:r w:rsidRPr="00236694">
              <w:rPr>
                <w:rFonts w:ascii="Arial" w:hAnsi="Arial" w:cs="Arial"/>
                <w:sz w:val="16"/>
                <w:szCs w:val="16"/>
              </w:rPr>
              <w:t>Technical assistance to design and support</w:t>
            </w:r>
            <w:r>
              <w:rPr>
                <w:rFonts w:ascii="Arial" w:hAnsi="Arial" w:cs="Arial"/>
                <w:sz w:val="16"/>
                <w:szCs w:val="16"/>
              </w:rPr>
              <w:t xml:space="preserve"> the</w:t>
            </w:r>
            <w:r w:rsidRPr="00236694">
              <w:rPr>
                <w:rFonts w:ascii="Arial" w:hAnsi="Arial" w:cs="Arial"/>
                <w:sz w:val="16"/>
                <w:szCs w:val="16"/>
              </w:rPr>
              <w:t xml:space="preserve"> implementation of interventions to strengthen reproductive, maternal, and neonatal health services and develop capacities and competencies at the central and local levels</w:t>
            </w:r>
          </w:p>
        </w:tc>
        <w:tc>
          <w:tcPr>
            <w:tcW w:w="550" w:type="pct"/>
            <w:tcBorders>
              <w:top w:val="single" w:sz="8" w:space="0" w:color="auto"/>
              <w:left w:val="nil"/>
              <w:bottom w:val="single" w:sz="8" w:space="0" w:color="auto"/>
              <w:right w:val="single" w:sz="8" w:space="0" w:color="auto"/>
            </w:tcBorders>
            <w:noWrap/>
            <w:vAlign w:val="center"/>
            <w:hideMark/>
          </w:tcPr>
          <w:p w:rsidR="00535F77" w:rsidRPr="00593BD3" w:rsidRDefault="00535F77" w:rsidP="00CD2167">
            <w:pPr>
              <w:keepNext/>
              <w:keepLines/>
              <w:suppressAutoHyphens w:val="0"/>
              <w:jc w:val="right"/>
              <w:rPr>
                <w:rFonts w:ascii="Arial" w:hAnsi="Arial" w:cs="Arial"/>
                <w:color w:val="000000"/>
                <w:sz w:val="16"/>
                <w:szCs w:val="16"/>
              </w:rPr>
            </w:pPr>
            <w:r>
              <w:rPr>
                <w:rFonts w:ascii="Arial" w:hAnsi="Arial" w:cs="Arial"/>
                <w:color w:val="000000"/>
                <w:sz w:val="16"/>
                <w:szCs w:val="16"/>
              </w:rPr>
              <w:t xml:space="preserve"> $1.670</w:t>
            </w:r>
            <w:r w:rsidRPr="00593BD3">
              <w:rPr>
                <w:rFonts w:ascii="Arial" w:hAnsi="Arial" w:cs="Arial"/>
                <w:color w:val="000000"/>
                <w:sz w:val="16"/>
                <w:szCs w:val="16"/>
              </w:rPr>
              <w:t xml:space="preserve">.00 </w:t>
            </w:r>
          </w:p>
        </w:tc>
        <w:tc>
          <w:tcPr>
            <w:tcW w:w="449" w:type="pct"/>
            <w:tcBorders>
              <w:top w:val="single" w:sz="8" w:space="0" w:color="auto"/>
              <w:left w:val="nil"/>
              <w:bottom w:val="single" w:sz="8" w:space="0" w:color="auto"/>
              <w:right w:val="single" w:sz="8" w:space="0" w:color="auto"/>
            </w:tcBorders>
            <w:vAlign w:val="center"/>
            <w:hideMark/>
          </w:tcPr>
          <w:p w:rsidR="00535F77" w:rsidRPr="0027784A" w:rsidRDefault="00535F77" w:rsidP="00CD2167">
            <w:pPr>
              <w:keepNext/>
              <w:keepLines/>
              <w:suppressAutoHyphens w:val="0"/>
              <w:jc w:val="center"/>
              <w:rPr>
                <w:rFonts w:ascii="Arial" w:hAnsi="Arial" w:cs="Arial"/>
                <w:sz w:val="16"/>
                <w:szCs w:val="16"/>
              </w:rPr>
            </w:pPr>
            <w:r w:rsidRPr="00B9468C">
              <w:rPr>
                <w:rFonts w:ascii="Arial" w:hAnsi="Arial" w:cs="Arial"/>
                <w:sz w:val="16"/>
                <w:szCs w:val="16"/>
              </w:rPr>
              <w:t>QCBS</w:t>
            </w:r>
          </w:p>
        </w:tc>
        <w:tc>
          <w:tcPr>
            <w:tcW w:w="518" w:type="pct"/>
            <w:tcBorders>
              <w:top w:val="single" w:sz="8" w:space="0" w:color="auto"/>
              <w:left w:val="nil"/>
              <w:bottom w:val="single" w:sz="8" w:space="0" w:color="auto"/>
              <w:right w:val="single" w:sz="8" w:space="0" w:color="auto"/>
            </w:tcBorders>
            <w:vAlign w:val="center"/>
            <w:hideMark/>
          </w:tcPr>
          <w:p w:rsidR="00535F77" w:rsidRPr="00593BD3" w:rsidRDefault="00535F77" w:rsidP="00CD2167">
            <w:pPr>
              <w:keepNext/>
              <w:keepLines/>
              <w:suppressAutoHyphens w:val="0"/>
              <w:jc w:val="center"/>
              <w:rPr>
                <w:rFonts w:ascii="Arial" w:hAnsi="Arial" w:cs="Arial"/>
                <w:color w:val="000000"/>
                <w:sz w:val="16"/>
                <w:szCs w:val="16"/>
              </w:rPr>
            </w:pPr>
            <w:r w:rsidRPr="00593BD3">
              <w:rPr>
                <w:rFonts w:ascii="Arial" w:hAnsi="Arial" w:cs="Arial"/>
                <w:color w:val="000000"/>
                <w:sz w:val="16"/>
                <w:szCs w:val="16"/>
              </w:rPr>
              <w:t>ex-ante</w:t>
            </w:r>
          </w:p>
        </w:tc>
      </w:tr>
    </w:tbl>
    <w:p w:rsidR="00CB1DB8" w:rsidRDefault="00535F77" w:rsidP="00CB1DB8">
      <w:pPr>
        <w:pStyle w:val="ListParagraph"/>
        <w:suppressAutoHyphens w:val="0"/>
        <w:autoSpaceDN/>
        <w:snapToGrid w:val="0"/>
        <w:ind w:left="547"/>
        <w:contextualSpacing w:val="0"/>
        <w:jc w:val="both"/>
        <w:textAlignment w:val="auto"/>
        <w:rPr>
          <w:rFonts w:ascii="Arial" w:eastAsia="Calibri" w:hAnsi="Arial" w:cs="Arial"/>
          <w:i/>
          <w:sz w:val="18"/>
          <w:szCs w:val="18"/>
        </w:rPr>
      </w:pPr>
      <w:r w:rsidRPr="00E656ED">
        <w:rPr>
          <w:rFonts w:ascii="Arial" w:eastAsia="Calibri" w:hAnsi="Arial" w:cs="Arial"/>
          <w:i/>
          <w:sz w:val="18"/>
          <w:szCs w:val="18"/>
        </w:rPr>
        <w:t>** When procuring non-complex works or common goods with amounts under the NCB range, Shopping shall be used.</w:t>
      </w:r>
    </w:p>
    <w:p w:rsidR="00535F77" w:rsidRPr="00CB1DB8" w:rsidRDefault="00535F77" w:rsidP="00CB1DB8">
      <w:pPr>
        <w:pStyle w:val="ListParagraph"/>
        <w:suppressAutoHyphens w:val="0"/>
        <w:autoSpaceDN/>
        <w:snapToGrid w:val="0"/>
        <w:ind w:left="547"/>
        <w:contextualSpacing w:val="0"/>
        <w:jc w:val="both"/>
        <w:textAlignment w:val="auto"/>
        <w:rPr>
          <w:rFonts w:ascii="Arial" w:hAnsi="Arial" w:cs="Arial"/>
          <w:sz w:val="20"/>
        </w:rPr>
      </w:pPr>
    </w:p>
    <w:p w:rsidR="00D41518" w:rsidRPr="00E656ED" w:rsidRDefault="00CB1DB8" w:rsidP="007612C5">
      <w:pPr>
        <w:pStyle w:val="ListParagraph"/>
        <w:numPr>
          <w:ilvl w:val="1"/>
          <w:numId w:val="15"/>
        </w:numPr>
        <w:suppressAutoHyphens w:val="0"/>
        <w:autoSpaceDN/>
        <w:snapToGrid w:val="0"/>
        <w:spacing w:after="120"/>
        <w:ind w:left="540" w:hanging="540"/>
        <w:contextualSpacing w:val="0"/>
        <w:jc w:val="both"/>
        <w:textAlignment w:val="auto"/>
        <w:rPr>
          <w:rFonts w:ascii="Arial" w:hAnsi="Arial" w:cs="Arial"/>
          <w:sz w:val="20"/>
        </w:rPr>
      </w:pPr>
      <w:r>
        <w:rPr>
          <w:rFonts w:ascii="Arial" w:hAnsi="Arial" w:cs="Arial"/>
          <w:b/>
          <w:sz w:val="20"/>
        </w:rPr>
        <w:t>Procurement Plan.</w:t>
      </w:r>
      <w:r w:rsidR="00D41518" w:rsidRPr="00E656ED">
        <w:rPr>
          <w:rFonts w:ascii="Arial" w:hAnsi="Arial" w:cs="Arial"/>
          <w:b/>
          <w:sz w:val="20"/>
        </w:rPr>
        <w:t xml:space="preserve"> </w:t>
      </w:r>
      <w:r w:rsidR="00D41518" w:rsidRPr="00E656ED">
        <w:rPr>
          <w:rFonts w:ascii="Arial" w:hAnsi="Arial" w:cs="Arial"/>
          <w:sz w:val="20"/>
        </w:rPr>
        <w:t>The P</w:t>
      </w:r>
      <w:r w:rsidR="005E2A9D" w:rsidRPr="00E656ED">
        <w:rPr>
          <w:rFonts w:ascii="Arial" w:hAnsi="Arial" w:cs="Arial"/>
          <w:sz w:val="20"/>
        </w:rPr>
        <w:t xml:space="preserve">rocurement </w:t>
      </w:r>
      <w:r w:rsidR="00D41518" w:rsidRPr="00E656ED">
        <w:rPr>
          <w:rFonts w:ascii="Arial" w:hAnsi="Arial" w:cs="Arial"/>
          <w:sz w:val="20"/>
        </w:rPr>
        <w:t>P</w:t>
      </w:r>
      <w:r w:rsidR="005E2A9D" w:rsidRPr="00E656ED">
        <w:rPr>
          <w:rFonts w:ascii="Arial" w:hAnsi="Arial" w:cs="Arial"/>
          <w:sz w:val="20"/>
        </w:rPr>
        <w:t>lan</w:t>
      </w:r>
      <w:r w:rsidR="00D41518" w:rsidRPr="00E656ED">
        <w:rPr>
          <w:rFonts w:ascii="Arial" w:hAnsi="Arial" w:cs="Arial"/>
          <w:sz w:val="20"/>
        </w:rPr>
        <w:t xml:space="preserve"> for the operation covering the first 18 months of project execution can be accessed through the following </w:t>
      </w:r>
      <w:hyperlink r:id="rId10" w:history="1">
        <w:r w:rsidR="00D41518" w:rsidRPr="00C83B6F">
          <w:rPr>
            <w:rStyle w:val="Hyperlink"/>
            <w:rFonts w:ascii="Arial" w:hAnsi="Arial" w:cs="Arial"/>
            <w:color w:val="auto"/>
            <w:sz w:val="20"/>
          </w:rPr>
          <w:t>electronic link.</w:t>
        </w:r>
      </w:hyperlink>
      <w:r w:rsidR="00D41518" w:rsidRPr="00E656ED">
        <w:rPr>
          <w:rFonts w:ascii="Arial" w:hAnsi="Arial" w:cs="Arial"/>
          <w:sz w:val="20"/>
        </w:rPr>
        <w:t xml:space="preserve"> </w:t>
      </w:r>
      <w:r w:rsidR="001F6CEF" w:rsidRPr="00E656ED">
        <w:rPr>
          <w:rFonts w:ascii="Arial" w:hAnsi="Arial" w:cs="Arial"/>
          <w:sz w:val="20"/>
        </w:rPr>
        <w:t>The on-line Electronic Procurement Execution System (known by its Spanish acronym as SEPA) will be used for the publication and updates of the P</w:t>
      </w:r>
      <w:r w:rsidR="005E2A9D" w:rsidRPr="00E656ED">
        <w:rPr>
          <w:rFonts w:ascii="Arial" w:hAnsi="Arial" w:cs="Arial"/>
          <w:sz w:val="20"/>
        </w:rPr>
        <w:t xml:space="preserve">rocurement </w:t>
      </w:r>
      <w:r w:rsidR="001F6CEF" w:rsidRPr="00E656ED">
        <w:rPr>
          <w:rFonts w:ascii="Arial" w:hAnsi="Arial" w:cs="Arial"/>
          <w:sz w:val="20"/>
        </w:rPr>
        <w:t>P</w:t>
      </w:r>
      <w:r w:rsidR="005E2A9D" w:rsidRPr="00E656ED">
        <w:rPr>
          <w:rFonts w:ascii="Arial" w:hAnsi="Arial" w:cs="Arial"/>
          <w:sz w:val="20"/>
        </w:rPr>
        <w:t>lan</w:t>
      </w:r>
      <w:r w:rsidR="0055068A" w:rsidRPr="00E656ED">
        <w:rPr>
          <w:rFonts w:ascii="Arial" w:hAnsi="Arial" w:cs="Arial"/>
          <w:sz w:val="20"/>
        </w:rPr>
        <w:t xml:space="preserve"> during execution</w:t>
      </w:r>
      <w:r w:rsidR="001F6CEF" w:rsidRPr="00E656ED">
        <w:rPr>
          <w:rFonts w:ascii="Arial" w:hAnsi="Arial" w:cs="Arial"/>
          <w:sz w:val="20"/>
        </w:rPr>
        <w:t xml:space="preserve">. It is expected that the EA will use the SEPA program for management of its procurement activities. </w:t>
      </w:r>
      <w:r w:rsidR="00D41518" w:rsidRPr="00E656ED">
        <w:rPr>
          <w:rFonts w:ascii="Arial" w:hAnsi="Arial" w:cs="Arial"/>
          <w:sz w:val="20"/>
        </w:rPr>
        <w:t>The P</w:t>
      </w:r>
      <w:r w:rsidR="005E2A9D" w:rsidRPr="00E656ED">
        <w:rPr>
          <w:rFonts w:ascii="Arial" w:hAnsi="Arial" w:cs="Arial"/>
          <w:sz w:val="20"/>
        </w:rPr>
        <w:t xml:space="preserve">rocurement </w:t>
      </w:r>
      <w:r w:rsidR="00D41518" w:rsidRPr="00E656ED">
        <w:rPr>
          <w:rFonts w:ascii="Arial" w:hAnsi="Arial" w:cs="Arial"/>
          <w:sz w:val="20"/>
        </w:rPr>
        <w:t>P</w:t>
      </w:r>
      <w:r w:rsidR="005E2A9D" w:rsidRPr="00E656ED">
        <w:rPr>
          <w:rFonts w:ascii="Arial" w:hAnsi="Arial" w:cs="Arial"/>
          <w:sz w:val="20"/>
        </w:rPr>
        <w:t>lan</w:t>
      </w:r>
      <w:r w:rsidR="00D41518" w:rsidRPr="00E656ED">
        <w:rPr>
          <w:rFonts w:ascii="Arial" w:hAnsi="Arial" w:cs="Arial"/>
          <w:sz w:val="20"/>
        </w:rPr>
        <w:t xml:space="preserve"> will be updated annually or whenever necessary, or as required by the Bank (</w:t>
      </w:r>
      <w:hyperlink r:id="rId11" w:history="1">
        <w:r w:rsidR="00D41518" w:rsidRPr="00E656ED">
          <w:rPr>
            <w:rFonts w:ascii="Arial" w:hAnsi="Arial" w:cs="Arial"/>
            <w:sz w:val="20"/>
          </w:rPr>
          <w:t>www.iadb.org/procurement</w:t>
        </w:r>
      </w:hyperlink>
      <w:r w:rsidR="00D41518" w:rsidRPr="00E656ED">
        <w:rPr>
          <w:rFonts w:ascii="Arial" w:hAnsi="Arial" w:cs="Arial"/>
          <w:sz w:val="20"/>
        </w:rPr>
        <w:t xml:space="preserve">; </w:t>
      </w:r>
      <w:hyperlink r:id="rId12" w:history="1">
        <w:r w:rsidR="00D41518" w:rsidRPr="00E656ED">
          <w:rPr>
            <w:rStyle w:val="Hyperlink"/>
            <w:rFonts w:ascii="Arial" w:hAnsi="Arial" w:cs="Arial"/>
            <w:color w:val="auto"/>
            <w:sz w:val="20"/>
          </w:rPr>
          <w:t>http://www.iniciativasepa.org/bid/sitio/guyana/index-_ing.htm</w:t>
        </w:r>
      </w:hyperlink>
      <w:r w:rsidR="00D41518" w:rsidRPr="00E656ED">
        <w:rPr>
          <w:rFonts w:ascii="Arial" w:hAnsi="Arial" w:cs="Arial"/>
          <w:sz w:val="20"/>
        </w:rPr>
        <w:t>). The initial procurement plan for the operation lists all procurement activities foreseen under this operation. The table below includes the list of the main procurement activities for this Loan.</w:t>
      </w:r>
    </w:p>
    <w:p w:rsidR="00D41518" w:rsidRPr="00E656ED" w:rsidRDefault="00D41518" w:rsidP="00D41518">
      <w:pPr>
        <w:suppressAutoHyphens w:val="0"/>
        <w:autoSpaceDE w:val="0"/>
        <w:adjustRightInd w:val="0"/>
        <w:spacing w:before="120" w:after="120"/>
        <w:jc w:val="both"/>
        <w:textAlignment w:val="auto"/>
        <w:rPr>
          <w:rFonts w:ascii="Arial" w:hAnsi="Arial" w:cs="Arial"/>
          <w:i/>
          <w:sz w:val="20"/>
        </w:rPr>
      </w:pPr>
      <w:r w:rsidRPr="00E656ED">
        <w:rPr>
          <w:rFonts w:ascii="Arial" w:hAnsi="Arial" w:cs="Arial"/>
          <w:b/>
          <w:sz w:val="20"/>
        </w:rPr>
        <w:t xml:space="preserve">Main Procurement Activities: </w:t>
      </w:r>
    </w:p>
    <w:p w:rsidR="0016243E" w:rsidRPr="00E656ED" w:rsidRDefault="00CB1DB8" w:rsidP="007612C5">
      <w:pPr>
        <w:pStyle w:val="ListParagraph"/>
        <w:numPr>
          <w:ilvl w:val="1"/>
          <w:numId w:val="15"/>
        </w:numPr>
        <w:suppressAutoHyphens w:val="0"/>
        <w:autoSpaceDN/>
        <w:snapToGrid w:val="0"/>
        <w:spacing w:after="120"/>
        <w:ind w:left="540" w:hanging="540"/>
        <w:contextualSpacing w:val="0"/>
        <w:jc w:val="both"/>
        <w:textAlignment w:val="auto"/>
        <w:rPr>
          <w:rFonts w:ascii="Arial" w:hAnsi="Arial" w:cs="Arial"/>
          <w:sz w:val="20"/>
        </w:rPr>
      </w:pPr>
      <w:r>
        <w:rPr>
          <w:rFonts w:ascii="Arial" w:hAnsi="Arial" w:cs="Arial"/>
          <w:b/>
          <w:sz w:val="20"/>
        </w:rPr>
        <w:t>Supervision.</w:t>
      </w:r>
      <w:r w:rsidR="00D41518" w:rsidRPr="00E656ED">
        <w:rPr>
          <w:rFonts w:ascii="Arial" w:hAnsi="Arial" w:cs="Arial"/>
          <w:sz w:val="20"/>
        </w:rPr>
        <w:t xml:space="preserve"> The supervision modalities for this operation are tailored to keep with the most efficient execution mechanism while ensuring compliance with the applicable procurement rules and procedures. Under </w:t>
      </w:r>
      <w:r w:rsidR="000749F7">
        <w:rPr>
          <w:rFonts w:ascii="Arial" w:hAnsi="Arial" w:cs="Arial"/>
          <w:sz w:val="20"/>
        </w:rPr>
        <w:t>this</w:t>
      </w:r>
      <w:r w:rsidR="00D41518" w:rsidRPr="00E656ED">
        <w:rPr>
          <w:rFonts w:ascii="Arial" w:hAnsi="Arial" w:cs="Arial"/>
          <w:sz w:val="20"/>
        </w:rPr>
        <w:t xml:space="preserve"> Loan, procurement activities (i) are not </w:t>
      </w:r>
      <w:r w:rsidR="005E2A9D" w:rsidRPr="00E656ED">
        <w:rPr>
          <w:rFonts w:ascii="Arial" w:hAnsi="Arial" w:cs="Arial"/>
          <w:sz w:val="20"/>
        </w:rPr>
        <w:t xml:space="preserve">expected to be </w:t>
      </w:r>
      <w:r w:rsidR="00D41518" w:rsidRPr="00E656ED">
        <w:rPr>
          <w:rFonts w:ascii="Arial" w:hAnsi="Arial" w:cs="Arial"/>
          <w:sz w:val="20"/>
        </w:rPr>
        <w:t>complex in nature</w:t>
      </w:r>
      <w:r w:rsidR="005E2A9D" w:rsidRPr="00E656ED">
        <w:rPr>
          <w:rFonts w:ascii="Arial" w:hAnsi="Arial" w:cs="Arial"/>
          <w:sz w:val="20"/>
        </w:rPr>
        <w:t xml:space="preserve">, </w:t>
      </w:r>
      <w:r w:rsidR="005E2A9D" w:rsidRPr="009420A7">
        <w:rPr>
          <w:rFonts w:ascii="Arial" w:hAnsi="Arial" w:cs="Arial"/>
          <w:sz w:val="20"/>
        </w:rPr>
        <w:t>nor will they involve the acquisition of medical of therapeutic equipment</w:t>
      </w:r>
      <w:r w:rsidR="00D41518" w:rsidRPr="009A0F45">
        <w:rPr>
          <w:rFonts w:ascii="Arial" w:hAnsi="Arial" w:cs="Arial"/>
          <w:sz w:val="20"/>
        </w:rPr>
        <w:t xml:space="preserve">; </w:t>
      </w:r>
      <w:r w:rsidR="005E2A9D" w:rsidRPr="009A0F45">
        <w:rPr>
          <w:rFonts w:ascii="Arial" w:hAnsi="Arial" w:cs="Arial"/>
          <w:sz w:val="20"/>
        </w:rPr>
        <w:t>(ii)</w:t>
      </w:r>
      <w:r w:rsidR="00D41518" w:rsidRPr="009A0F45">
        <w:rPr>
          <w:rFonts w:ascii="Arial" w:hAnsi="Arial" w:cs="Arial"/>
          <w:sz w:val="20"/>
        </w:rPr>
        <w:t xml:space="preserve"> will be subject</w:t>
      </w:r>
      <w:r w:rsidR="00D41518" w:rsidRPr="00E656ED">
        <w:rPr>
          <w:rFonts w:ascii="Arial" w:hAnsi="Arial" w:cs="Arial"/>
          <w:sz w:val="20"/>
        </w:rPr>
        <w:t xml:space="preserve"> to ex-</w:t>
      </w:r>
      <w:r w:rsidR="005E2A9D" w:rsidRPr="00E656ED">
        <w:rPr>
          <w:rFonts w:ascii="Arial" w:hAnsi="Arial" w:cs="Arial"/>
          <w:sz w:val="20"/>
        </w:rPr>
        <w:t xml:space="preserve">ante </w:t>
      </w:r>
      <w:r w:rsidR="00D41518" w:rsidRPr="00E656ED">
        <w:rPr>
          <w:rFonts w:ascii="Arial" w:hAnsi="Arial" w:cs="Arial"/>
          <w:sz w:val="20"/>
        </w:rPr>
        <w:t xml:space="preserve">review </w:t>
      </w:r>
      <w:r w:rsidR="005E2A9D" w:rsidRPr="00E656ED">
        <w:rPr>
          <w:rFonts w:ascii="Arial" w:hAnsi="Arial" w:cs="Arial"/>
          <w:sz w:val="20"/>
        </w:rPr>
        <w:t>given the level of risk as identified above;</w:t>
      </w:r>
      <w:r w:rsidR="001364CE" w:rsidRPr="00E656ED">
        <w:rPr>
          <w:rFonts w:ascii="Arial" w:hAnsi="Arial" w:cs="Arial"/>
          <w:sz w:val="20"/>
        </w:rPr>
        <w:t xml:space="preserve"> (iii</w:t>
      </w:r>
      <w:r w:rsidR="005E2A9D" w:rsidRPr="00E656ED">
        <w:rPr>
          <w:rFonts w:ascii="Arial" w:hAnsi="Arial" w:cs="Arial"/>
          <w:sz w:val="20"/>
        </w:rPr>
        <w:t xml:space="preserve">) will be </w:t>
      </w:r>
      <w:r w:rsidR="00D41518" w:rsidRPr="00E656ED">
        <w:rPr>
          <w:rFonts w:ascii="Arial" w:hAnsi="Arial" w:cs="Arial"/>
          <w:sz w:val="20"/>
        </w:rPr>
        <w:t xml:space="preserve">explicitly listed in the approved and updated procurement plan in </w:t>
      </w:r>
      <w:r w:rsidR="005E2A9D" w:rsidRPr="00E656ED">
        <w:rPr>
          <w:rFonts w:ascii="Arial" w:hAnsi="Arial" w:cs="Arial"/>
          <w:sz w:val="20"/>
        </w:rPr>
        <w:t>SEPA; (</w:t>
      </w:r>
      <w:r w:rsidR="001364CE" w:rsidRPr="00E656ED">
        <w:rPr>
          <w:rFonts w:ascii="Arial" w:hAnsi="Arial" w:cs="Arial"/>
          <w:sz w:val="20"/>
        </w:rPr>
        <w:t>i</w:t>
      </w:r>
      <w:r w:rsidR="005E2A9D" w:rsidRPr="00E656ED">
        <w:rPr>
          <w:rFonts w:ascii="Arial" w:hAnsi="Arial" w:cs="Arial"/>
          <w:sz w:val="20"/>
        </w:rPr>
        <w:t>v</w:t>
      </w:r>
      <w:r w:rsidR="00D41518" w:rsidRPr="00E656ED">
        <w:rPr>
          <w:rFonts w:ascii="Arial" w:hAnsi="Arial" w:cs="Arial"/>
          <w:sz w:val="20"/>
        </w:rPr>
        <w:t xml:space="preserve">) </w:t>
      </w:r>
      <w:r w:rsidR="005E2A9D" w:rsidRPr="00E656ED">
        <w:rPr>
          <w:rFonts w:ascii="Arial" w:hAnsi="Arial" w:cs="Arial"/>
          <w:sz w:val="20"/>
        </w:rPr>
        <w:t xml:space="preserve">will be launched once </w:t>
      </w:r>
      <w:r w:rsidR="00D41518" w:rsidRPr="00E656ED">
        <w:rPr>
          <w:rFonts w:ascii="Arial" w:hAnsi="Arial" w:cs="Arial"/>
          <w:sz w:val="20"/>
        </w:rPr>
        <w:t>all technical specifications and/or terms of reference are validated by the</w:t>
      </w:r>
      <w:r w:rsidR="005E2A9D" w:rsidRPr="00E656ED">
        <w:rPr>
          <w:rFonts w:ascii="Arial" w:hAnsi="Arial" w:cs="Arial"/>
          <w:sz w:val="20"/>
        </w:rPr>
        <w:t xml:space="preserve"> Bank’s </w:t>
      </w:r>
      <w:r w:rsidR="00D41518" w:rsidRPr="00E656ED">
        <w:rPr>
          <w:rFonts w:ascii="Arial" w:hAnsi="Arial" w:cs="Arial"/>
          <w:sz w:val="20"/>
        </w:rPr>
        <w:t>Sector Specialist</w:t>
      </w:r>
      <w:r w:rsidR="005E2A9D" w:rsidRPr="00E656ED">
        <w:rPr>
          <w:rFonts w:ascii="Arial" w:hAnsi="Arial" w:cs="Arial"/>
          <w:sz w:val="20"/>
        </w:rPr>
        <w:t xml:space="preserve">; </w:t>
      </w:r>
      <w:r w:rsidR="00554DE0">
        <w:rPr>
          <w:rFonts w:ascii="Arial" w:hAnsi="Arial" w:cs="Arial"/>
          <w:sz w:val="20"/>
        </w:rPr>
        <w:t xml:space="preserve">and </w:t>
      </w:r>
      <w:r w:rsidR="0016243E" w:rsidRPr="00E656ED">
        <w:rPr>
          <w:rFonts w:ascii="Arial" w:hAnsi="Arial" w:cs="Arial"/>
          <w:sz w:val="20"/>
        </w:rPr>
        <w:t>(</w:t>
      </w:r>
      <w:r w:rsidR="00D41518" w:rsidRPr="00E656ED">
        <w:rPr>
          <w:rFonts w:ascii="Arial" w:hAnsi="Arial" w:cs="Arial"/>
          <w:sz w:val="20"/>
        </w:rPr>
        <w:t xml:space="preserve">v) </w:t>
      </w:r>
      <w:r w:rsidR="005E2A9D" w:rsidRPr="00E656ED">
        <w:rPr>
          <w:rFonts w:ascii="Arial" w:hAnsi="Arial" w:cs="Arial"/>
          <w:sz w:val="20"/>
        </w:rPr>
        <w:t>will be documented in accordance with the general filing guidelines that will be provided as part of the inception training of the fiduciary staff and in accordance with the applicable Bank Policies</w:t>
      </w:r>
      <w:r w:rsidR="0016243E" w:rsidRPr="00E656ED">
        <w:rPr>
          <w:rFonts w:ascii="Arial" w:hAnsi="Arial" w:cs="Arial"/>
          <w:sz w:val="20"/>
        </w:rPr>
        <w:t>.</w:t>
      </w:r>
    </w:p>
    <w:p w:rsidR="00D41518" w:rsidRPr="00E656ED" w:rsidRDefault="0016243E" w:rsidP="007612C5">
      <w:pPr>
        <w:pStyle w:val="ListParagraph"/>
        <w:numPr>
          <w:ilvl w:val="1"/>
          <w:numId w:val="15"/>
        </w:numPr>
        <w:suppressAutoHyphens w:val="0"/>
        <w:autoSpaceDN/>
        <w:snapToGrid w:val="0"/>
        <w:spacing w:after="120"/>
        <w:ind w:left="540" w:hanging="540"/>
        <w:contextualSpacing w:val="0"/>
        <w:jc w:val="both"/>
        <w:textAlignment w:val="auto"/>
        <w:rPr>
          <w:rFonts w:ascii="Arial" w:hAnsi="Arial" w:cs="Arial"/>
          <w:sz w:val="20"/>
        </w:rPr>
      </w:pPr>
      <w:r w:rsidRPr="00E656ED">
        <w:rPr>
          <w:rFonts w:ascii="Arial" w:hAnsi="Arial" w:cs="Arial"/>
          <w:sz w:val="20"/>
        </w:rPr>
        <w:t>A</w:t>
      </w:r>
      <w:r w:rsidR="00D41518" w:rsidRPr="00E656ED">
        <w:rPr>
          <w:rFonts w:ascii="Arial" w:hAnsi="Arial" w:cs="Arial"/>
          <w:sz w:val="20"/>
        </w:rPr>
        <w:t xml:space="preserve">ll modifications to the present arrangement are subject to a prior written agreement between the </w:t>
      </w:r>
      <w:r w:rsidR="006C1FBD">
        <w:rPr>
          <w:rFonts w:ascii="Arial" w:hAnsi="Arial" w:cs="Arial"/>
          <w:sz w:val="20"/>
        </w:rPr>
        <w:t>EA</w:t>
      </w:r>
      <w:r w:rsidR="00D41518" w:rsidRPr="00E656ED">
        <w:rPr>
          <w:rFonts w:ascii="Arial" w:hAnsi="Arial" w:cs="Arial"/>
          <w:sz w:val="20"/>
        </w:rPr>
        <w:t xml:space="preserve"> and the Bank. The evaluation of</w:t>
      </w:r>
      <w:r w:rsidR="00A26EA1" w:rsidRPr="00E656ED">
        <w:rPr>
          <w:rFonts w:ascii="Arial" w:hAnsi="Arial" w:cs="Arial"/>
          <w:sz w:val="20"/>
        </w:rPr>
        <w:t xml:space="preserve"> capacity and</w:t>
      </w:r>
      <w:r w:rsidR="00D41518" w:rsidRPr="00E656ED">
        <w:rPr>
          <w:rFonts w:ascii="Arial" w:hAnsi="Arial" w:cs="Arial"/>
          <w:sz w:val="20"/>
        </w:rPr>
        <w:t xml:space="preserve"> the level of risk may vary during the project’s execution depending on the findings of the regular supervision activities that will be conducted during the project’s lifespan.</w:t>
      </w:r>
      <w:r w:rsidRPr="00E656ED">
        <w:rPr>
          <w:rFonts w:ascii="Arial" w:hAnsi="Arial" w:cs="Arial"/>
          <w:sz w:val="20"/>
        </w:rPr>
        <w:t xml:space="preserve"> As such, supervision modalities may vary as capacity increases.</w:t>
      </w:r>
    </w:p>
    <w:p w:rsidR="00520CFE" w:rsidRPr="00E656ED" w:rsidRDefault="00CB1DB8" w:rsidP="00CD2167">
      <w:pPr>
        <w:pStyle w:val="ListParagraph"/>
        <w:numPr>
          <w:ilvl w:val="1"/>
          <w:numId w:val="15"/>
        </w:numPr>
        <w:suppressAutoHyphens w:val="0"/>
        <w:autoSpaceDN/>
        <w:snapToGrid w:val="0"/>
        <w:ind w:left="547" w:hanging="547"/>
        <w:contextualSpacing w:val="0"/>
        <w:jc w:val="both"/>
        <w:textAlignment w:val="auto"/>
        <w:rPr>
          <w:rFonts w:ascii="Arial" w:hAnsi="Arial" w:cs="Arial"/>
          <w:sz w:val="20"/>
        </w:rPr>
      </w:pPr>
      <w:r>
        <w:rPr>
          <w:rFonts w:ascii="Arial" w:hAnsi="Arial" w:cs="Arial"/>
          <w:b/>
          <w:sz w:val="20"/>
        </w:rPr>
        <w:t>Records and Files.</w:t>
      </w:r>
      <w:r w:rsidR="00D41518" w:rsidRPr="00E656ED">
        <w:rPr>
          <w:rFonts w:ascii="Arial" w:hAnsi="Arial" w:cs="Arial"/>
          <w:sz w:val="20"/>
        </w:rPr>
        <w:t xml:space="preserve"> </w:t>
      </w:r>
      <w:r w:rsidR="003E6133" w:rsidRPr="00E656ED">
        <w:rPr>
          <w:rFonts w:ascii="Arial" w:hAnsi="Arial" w:cs="Arial"/>
          <w:sz w:val="20"/>
        </w:rPr>
        <w:t>All records and files will be maintained by the EA, according to accepted best practices</w:t>
      </w:r>
      <w:r w:rsidR="0016243E" w:rsidRPr="00E656ED">
        <w:rPr>
          <w:rFonts w:ascii="Arial" w:hAnsi="Arial" w:cs="Arial"/>
          <w:sz w:val="20"/>
        </w:rPr>
        <w:t xml:space="preserve"> and to the general guidelines that will be provided by the Bank at the initial training of the fiduciary staff. All re</w:t>
      </w:r>
      <w:r w:rsidR="002D1499">
        <w:rPr>
          <w:rFonts w:ascii="Arial" w:hAnsi="Arial" w:cs="Arial"/>
          <w:sz w:val="20"/>
        </w:rPr>
        <w:t xml:space="preserve">cords must be kept for seven </w:t>
      </w:r>
      <w:r w:rsidR="003E6133" w:rsidRPr="00E656ED">
        <w:rPr>
          <w:rFonts w:ascii="Arial" w:hAnsi="Arial" w:cs="Arial"/>
          <w:sz w:val="20"/>
        </w:rPr>
        <w:t xml:space="preserve">years beyond the </w:t>
      </w:r>
      <w:r w:rsidR="003E6133" w:rsidRPr="00E656ED">
        <w:rPr>
          <w:rFonts w:ascii="Arial" w:hAnsi="Arial" w:cs="Arial"/>
          <w:sz w:val="20"/>
        </w:rPr>
        <w:lastRenderedPageBreak/>
        <w:t xml:space="preserve">end of the operation’s execution period. </w:t>
      </w:r>
      <w:r w:rsidR="00D41518" w:rsidRPr="00E656ED">
        <w:rPr>
          <w:rFonts w:ascii="Arial" w:hAnsi="Arial" w:cs="Arial"/>
          <w:sz w:val="20"/>
        </w:rPr>
        <w:t>It is also recommended, and yet not mandatory, that the Executing Agencies developed electronic filing t</w:t>
      </w:r>
      <w:r w:rsidR="00E656ED">
        <w:rPr>
          <w:rFonts w:ascii="Arial" w:hAnsi="Arial" w:cs="Arial"/>
          <w:sz w:val="20"/>
        </w:rPr>
        <w:t>o avoid losing all paper files.</w:t>
      </w:r>
    </w:p>
    <w:sectPr w:rsidR="00520CFE" w:rsidRPr="00E656ED" w:rsidSect="00D44EC8">
      <w:headerReference w:type="even" r:id="rId13"/>
      <w:headerReference w:type="default" r:id="rId14"/>
      <w:pgSz w:w="12240" w:h="15840"/>
      <w:pgMar w:top="1440" w:right="1800" w:bottom="1260" w:left="1800" w:header="54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6B04" w:rsidRDefault="00316B04" w:rsidP="00335447">
      <w:r>
        <w:separator/>
      </w:r>
    </w:p>
  </w:endnote>
  <w:endnote w:type="continuationSeparator" w:id="0">
    <w:p w:rsidR="00316B04" w:rsidRDefault="00316B04" w:rsidP="00335447">
      <w:r>
        <w:continuationSeparator/>
      </w:r>
    </w:p>
  </w:endnote>
  <w:endnote w:type="continuationNotice" w:id="1">
    <w:p w:rsidR="00316B04" w:rsidRDefault="00316B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6B04" w:rsidRDefault="00316B04" w:rsidP="00335447">
      <w:r>
        <w:separator/>
      </w:r>
    </w:p>
  </w:footnote>
  <w:footnote w:type="continuationSeparator" w:id="0">
    <w:p w:rsidR="00316B04" w:rsidRDefault="00316B04" w:rsidP="00335447">
      <w:r>
        <w:continuationSeparator/>
      </w:r>
    </w:p>
  </w:footnote>
  <w:footnote w:type="continuationNotice" w:id="1">
    <w:p w:rsidR="00316B04" w:rsidRDefault="00316B04"/>
  </w:footnote>
  <w:footnote w:id="2">
    <w:p w:rsidR="00E20230" w:rsidRPr="00C83B6F" w:rsidRDefault="00E20230" w:rsidP="00E20230">
      <w:pPr>
        <w:pStyle w:val="FootnoteText"/>
        <w:rPr>
          <w:rFonts w:ascii="Arial" w:hAnsi="Arial" w:cs="Arial"/>
          <w:sz w:val="18"/>
          <w:szCs w:val="18"/>
        </w:rPr>
      </w:pPr>
      <w:r w:rsidRPr="00C83B6F">
        <w:rPr>
          <w:rStyle w:val="FootnoteReference"/>
          <w:rFonts w:ascii="Arial" w:hAnsi="Arial" w:cs="Arial"/>
          <w:sz w:val="18"/>
          <w:szCs w:val="18"/>
        </w:rPr>
        <w:footnoteRef/>
      </w:r>
      <w:r w:rsidRPr="00C83B6F">
        <w:rPr>
          <w:rFonts w:ascii="Arial" w:hAnsi="Arial" w:cs="Arial"/>
          <w:sz w:val="18"/>
          <w:szCs w:val="18"/>
        </w:rPr>
        <w:t xml:space="preserve"> </w:t>
      </w:r>
      <w:r w:rsidR="00C83B6F">
        <w:rPr>
          <w:rFonts w:ascii="Arial" w:hAnsi="Arial" w:cs="Arial"/>
          <w:sz w:val="18"/>
          <w:szCs w:val="18"/>
        </w:rPr>
        <w:tab/>
      </w:r>
      <w:r w:rsidRPr="00C83B6F">
        <w:rPr>
          <w:rFonts w:ascii="Arial" w:hAnsi="Arial" w:cs="Arial"/>
          <w:sz w:val="18"/>
          <w:szCs w:val="18"/>
        </w:rPr>
        <w:t xml:space="preserve">Support to improve </w:t>
      </w:r>
      <w:r w:rsidR="004E62EC">
        <w:rPr>
          <w:rFonts w:ascii="Arial" w:hAnsi="Arial" w:cs="Arial"/>
          <w:sz w:val="18"/>
          <w:szCs w:val="18"/>
        </w:rPr>
        <w:t>MCH</w:t>
      </w:r>
      <w:r w:rsidRPr="00C83B6F">
        <w:rPr>
          <w:rFonts w:ascii="Arial" w:hAnsi="Arial" w:cs="Arial"/>
          <w:sz w:val="18"/>
          <w:szCs w:val="18"/>
        </w:rPr>
        <w:t xml:space="preserve"> – GY-L1058; Institutional Evaluation; Andres Garrett, Institutional and Financial Consultant, June 2016</w:t>
      </w:r>
      <w:r w:rsidR="00C83B6F">
        <w:rPr>
          <w:rFonts w:ascii="Arial" w:hAnsi="Arial" w:cs="Arial"/>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4EC8" w:rsidRPr="004D0D23" w:rsidRDefault="00D44EC8" w:rsidP="00D44EC8">
    <w:pPr>
      <w:pStyle w:val="Header"/>
      <w:jc w:val="right"/>
      <w:rPr>
        <w:rFonts w:ascii="Arial" w:hAnsi="Arial" w:cs="Arial"/>
        <w:sz w:val="18"/>
        <w:szCs w:val="18"/>
      </w:rPr>
    </w:pPr>
  </w:p>
  <w:p w:rsidR="00D44EC8" w:rsidRDefault="00D44EC8" w:rsidP="00D44EC8">
    <w:pPr>
      <w:pStyle w:val="Header"/>
      <w:rPr>
        <w:rFonts w:ascii="Arial" w:hAnsi="Arial" w:cs="Arial"/>
        <w:sz w:val="18"/>
        <w:szCs w:val="18"/>
      </w:rPr>
    </w:pPr>
    <w:r w:rsidRPr="004D0D23">
      <w:rPr>
        <w:rFonts w:ascii="Arial" w:hAnsi="Arial" w:cs="Arial"/>
        <w:sz w:val="18"/>
        <w:szCs w:val="18"/>
      </w:rPr>
      <w:t>Annex III – GY-L1058</w:t>
    </w:r>
  </w:p>
  <w:p w:rsidR="00D44EC8" w:rsidRDefault="00D44EC8" w:rsidP="00D44EC8">
    <w:pPr>
      <w:pStyle w:val="Header"/>
    </w:pPr>
    <w:r w:rsidRPr="004D0D23">
      <w:rPr>
        <w:rFonts w:ascii="Arial" w:hAnsi="Arial" w:cs="Arial"/>
        <w:sz w:val="18"/>
        <w:szCs w:val="18"/>
      </w:rPr>
      <w:t xml:space="preserve">Page </w:t>
    </w:r>
    <w:r w:rsidRPr="004D0D23">
      <w:rPr>
        <w:rFonts w:ascii="Arial" w:hAnsi="Arial" w:cs="Arial"/>
        <w:sz w:val="18"/>
        <w:szCs w:val="18"/>
      </w:rPr>
      <w:fldChar w:fldCharType="begin"/>
    </w:r>
    <w:r w:rsidRPr="004D0D23">
      <w:rPr>
        <w:rFonts w:ascii="Arial" w:hAnsi="Arial" w:cs="Arial"/>
        <w:sz w:val="18"/>
        <w:szCs w:val="18"/>
      </w:rPr>
      <w:instrText xml:space="preserve"> PAGE  </w:instrText>
    </w:r>
    <w:r w:rsidRPr="004D0D23">
      <w:rPr>
        <w:rFonts w:ascii="Arial" w:hAnsi="Arial" w:cs="Arial"/>
        <w:sz w:val="18"/>
        <w:szCs w:val="18"/>
      </w:rPr>
      <w:fldChar w:fldCharType="separate"/>
    </w:r>
    <w:r w:rsidR="00CD2167">
      <w:rPr>
        <w:rFonts w:ascii="Arial" w:hAnsi="Arial" w:cs="Arial"/>
        <w:noProof/>
        <w:sz w:val="18"/>
        <w:szCs w:val="18"/>
      </w:rPr>
      <w:t>6</w:t>
    </w:r>
    <w:r w:rsidRPr="004D0D23">
      <w:rPr>
        <w:rFonts w:ascii="Arial" w:hAnsi="Arial" w:cs="Arial"/>
        <w:sz w:val="18"/>
        <w:szCs w:val="18"/>
      </w:rPr>
      <w:fldChar w:fldCharType="end"/>
    </w:r>
    <w:r w:rsidRPr="004D0D23">
      <w:rPr>
        <w:rFonts w:ascii="Arial" w:hAnsi="Arial" w:cs="Arial"/>
        <w:sz w:val="18"/>
        <w:szCs w:val="18"/>
      </w:rPr>
      <w:t xml:space="preserve"> of </w:t>
    </w:r>
    <w:r w:rsidRPr="004D0D23">
      <w:rPr>
        <w:rFonts w:ascii="Arial" w:hAnsi="Arial" w:cs="Arial"/>
        <w:sz w:val="18"/>
        <w:szCs w:val="18"/>
      </w:rPr>
      <w:fldChar w:fldCharType="begin"/>
    </w:r>
    <w:r w:rsidRPr="004D0D23">
      <w:rPr>
        <w:rFonts w:ascii="Arial" w:hAnsi="Arial" w:cs="Arial"/>
        <w:sz w:val="18"/>
        <w:szCs w:val="18"/>
      </w:rPr>
      <w:instrText xml:space="preserve"> SECTIONPAGES  </w:instrText>
    </w:r>
    <w:r w:rsidRPr="004D0D23">
      <w:rPr>
        <w:rFonts w:ascii="Arial" w:hAnsi="Arial" w:cs="Arial"/>
        <w:sz w:val="18"/>
        <w:szCs w:val="18"/>
      </w:rPr>
      <w:fldChar w:fldCharType="separate"/>
    </w:r>
    <w:r w:rsidR="00CD2167">
      <w:rPr>
        <w:rFonts w:ascii="Arial" w:hAnsi="Arial" w:cs="Arial"/>
        <w:noProof/>
        <w:sz w:val="18"/>
        <w:szCs w:val="18"/>
      </w:rPr>
      <w:t>6</w:t>
    </w:r>
    <w:r w:rsidRPr="004D0D23">
      <w:rPr>
        <w:rFonts w:ascii="Arial" w:hAnsi="Arial" w:cs="Arial"/>
        <w:noProof/>
        <w:sz w:val="18"/>
        <w:szCs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E91" w:rsidRPr="004D0D23" w:rsidRDefault="00CD4E91" w:rsidP="00A62191">
    <w:pPr>
      <w:pStyle w:val="Header"/>
      <w:jc w:val="right"/>
      <w:rPr>
        <w:rFonts w:ascii="Arial" w:hAnsi="Arial" w:cs="Arial"/>
        <w:sz w:val="18"/>
        <w:szCs w:val="18"/>
      </w:rPr>
    </w:pPr>
    <w:r w:rsidRPr="004D0D23">
      <w:rPr>
        <w:rFonts w:ascii="Arial" w:hAnsi="Arial" w:cs="Arial"/>
        <w:sz w:val="18"/>
        <w:szCs w:val="18"/>
      </w:rPr>
      <w:t>Annex III – GY-L1058</w:t>
    </w:r>
  </w:p>
  <w:p w:rsidR="00CD4E91" w:rsidRPr="004D0D23" w:rsidRDefault="00CD4E91" w:rsidP="00C512E2">
    <w:pPr>
      <w:pStyle w:val="Header"/>
      <w:tabs>
        <w:tab w:val="center" w:pos="4320"/>
        <w:tab w:val="right" w:pos="8640"/>
      </w:tabs>
      <w:jc w:val="right"/>
      <w:rPr>
        <w:rFonts w:ascii="Arial" w:hAnsi="Arial" w:cs="Arial"/>
        <w:sz w:val="18"/>
        <w:szCs w:val="18"/>
      </w:rPr>
    </w:pPr>
    <w:r w:rsidRPr="004D0D23">
      <w:rPr>
        <w:rFonts w:ascii="Arial" w:hAnsi="Arial" w:cs="Arial"/>
        <w:sz w:val="18"/>
        <w:szCs w:val="18"/>
      </w:rPr>
      <w:t xml:space="preserve">Page </w:t>
    </w:r>
    <w:r w:rsidRPr="004D0D23">
      <w:rPr>
        <w:rFonts w:ascii="Arial" w:hAnsi="Arial" w:cs="Arial"/>
        <w:sz w:val="18"/>
        <w:szCs w:val="18"/>
      </w:rPr>
      <w:fldChar w:fldCharType="begin"/>
    </w:r>
    <w:r w:rsidRPr="004D0D23">
      <w:rPr>
        <w:rFonts w:ascii="Arial" w:hAnsi="Arial" w:cs="Arial"/>
        <w:sz w:val="18"/>
        <w:szCs w:val="18"/>
      </w:rPr>
      <w:instrText xml:space="preserve"> PAGE  </w:instrText>
    </w:r>
    <w:r w:rsidRPr="004D0D23">
      <w:rPr>
        <w:rFonts w:ascii="Arial" w:hAnsi="Arial" w:cs="Arial"/>
        <w:sz w:val="18"/>
        <w:szCs w:val="18"/>
      </w:rPr>
      <w:fldChar w:fldCharType="separate"/>
    </w:r>
    <w:r w:rsidR="00CD2167">
      <w:rPr>
        <w:rFonts w:ascii="Arial" w:hAnsi="Arial" w:cs="Arial"/>
        <w:noProof/>
        <w:sz w:val="18"/>
        <w:szCs w:val="18"/>
      </w:rPr>
      <w:t>5</w:t>
    </w:r>
    <w:r w:rsidRPr="004D0D23">
      <w:rPr>
        <w:rFonts w:ascii="Arial" w:hAnsi="Arial" w:cs="Arial"/>
        <w:sz w:val="18"/>
        <w:szCs w:val="18"/>
      </w:rPr>
      <w:fldChar w:fldCharType="end"/>
    </w:r>
    <w:r w:rsidRPr="004D0D23">
      <w:rPr>
        <w:rFonts w:ascii="Arial" w:hAnsi="Arial" w:cs="Arial"/>
        <w:sz w:val="18"/>
        <w:szCs w:val="18"/>
      </w:rPr>
      <w:t xml:space="preserve"> of </w:t>
    </w:r>
    <w:r w:rsidR="00AE6068" w:rsidRPr="004D0D23">
      <w:rPr>
        <w:rFonts w:ascii="Arial" w:hAnsi="Arial" w:cs="Arial"/>
        <w:sz w:val="18"/>
        <w:szCs w:val="18"/>
      </w:rPr>
      <w:fldChar w:fldCharType="begin"/>
    </w:r>
    <w:r w:rsidR="00AE6068" w:rsidRPr="004D0D23">
      <w:rPr>
        <w:rFonts w:ascii="Arial" w:hAnsi="Arial" w:cs="Arial"/>
        <w:sz w:val="18"/>
        <w:szCs w:val="18"/>
      </w:rPr>
      <w:instrText xml:space="preserve"> SECTIONPAGES  </w:instrText>
    </w:r>
    <w:r w:rsidR="00AE6068" w:rsidRPr="004D0D23">
      <w:rPr>
        <w:rFonts w:ascii="Arial" w:hAnsi="Arial" w:cs="Arial"/>
        <w:sz w:val="18"/>
        <w:szCs w:val="18"/>
      </w:rPr>
      <w:fldChar w:fldCharType="separate"/>
    </w:r>
    <w:r w:rsidR="00CD2167">
      <w:rPr>
        <w:rFonts w:ascii="Arial" w:hAnsi="Arial" w:cs="Arial"/>
        <w:noProof/>
        <w:sz w:val="18"/>
        <w:szCs w:val="18"/>
      </w:rPr>
      <w:t>6</w:t>
    </w:r>
    <w:r w:rsidR="00AE6068" w:rsidRPr="004D0D23">
      <w:rPr>
        <w:rFonts w:ascii="Arial" w:hAnsi="Arial" w:cs="Arial"/>
        <w:noProof/>
        <w:sz w:val="18"/>
        <w:szCs w:val="18"/>
      </w:rPr>
      <w:fldChar w:fldCharType="end"/>
    </w:r>
  </w:p>
  <w:p w:rsidR="00CD4E91" w:rsidRPr="004D0D23" w:rsidRDefault="00CD4E91">
    <w:pPr>
      <w:pStyle w:val="Header"/>
      <w:rPr>
        <w:rFonts w:ascii="Arial" w:hAnsi="Arial" w:cs="Arial"/>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A2B35"/>
    <w:multiLevelType w:val="multilevel"/>
    <w:tmpl w:val="A7FA976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rFonts w:ascii="Arial" w:hAnsi="Arial" w:cs="Arial" w:hint="default"/>
        <w:sz w:val="22"/>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
    <w:nsid w:val="1FF535D4"/>
    <w:multiLevelType w:val="hybridMultilevel"/>
    <w:tmpl w:val="75302ACA"/>
    <w:lvl w:ilvl="0" w:tplc="5CC2EFD4">
      <w:start w:val="16"/>
      <w:numFmt w:val="decimal"/>
      <w:lvlText w:val="%1."/>
      <w:lvlJc w:val="left"/>
      <w:pPr>
        <w:ind w:left="720" w:hanging="360"/>
      </w:pPr>
      <w:rPr>
        <w:rFonts w:ascii="Times New Roman" w:eastAsia="Times New Roman" w:hAnsi="Times New Roman" w:cs="Times New Roman"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7DA14CF"/>
    <w:multiLevelType w:val="multilevel"/>
    <w:tmpl w:val="71A65796"/>
    <w:lvl w:ilvl="0">
      <w:start w:val="1"/>
      <w:numFmt w:val="decimal"/>
      <w:lvlText w:val="%1."/>
      <w:lvlJc w:val="left"/>
      <w:pPr>
        <w:ind w:left="360" w:hanging="360"/>
      </w:pPr>
      <w:rPr>
        <w:rFonts w:hint="default"/>
      </w:rPr>
    </w:lvl>
    <w:lvl w:ilvl="1">
      <w:start w:val="1"/>
      <w:numFmt w:val="decimal"/>
      <w:lvlText w:val="6.%2"/>
      <w:lvlJc w:val="left"/>
      <w:pPr>
        <w:ind w:left="792" w:hanging="432"/>
      </w:pPr>
      <w:rPr>
        <w:rFonts w:ascii="Arial" w:hAnsi="Arial" w:cs="Arial"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2A617A03"/>
    <w:multiLevelType w:val="multilevel"/>
    <w:tmpl w:val="20F22E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CD1102D"/>
    <w:multiLevelType w:val="multilevel"/>
    <w:tmpl w:val="040EF660"/>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EC56C31"/>
    <w:multiLevelType w:val="multilevel"/>
    <w:tmpl w:val="B028986E"/>
    <w:lvl w:ilvl="0">
      <w:start w:val="1"/>
      <w:numFmt w:val="decimal"/>
      <w:lvlText w:val="%1."/>
      <w:lvlJc w:val="left"/>
      <w:pPr>
        <w:ind w:left="360" w:hanging="360"/>
      </w:pPr>
      <w:rPr>
        <w:rFonts w:hint="default"/>
      </w:rPr>
    </w:lvl>
    <w:lvl w:ilvl="1">
      <w:start w:val="1"/>
      <w:numFmt w:val="decimal"/>
      <w:lvlText w:val="3.%2."/>
      <w:lvlJc w:val="left"/>
      <w:pPr>
        <w:ind w:left="61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31B108AA"/>
    <w:multiLevelType w:val="multilevel"/>
    <w:tmpl w:val="A26233B6"/>
    <w:lvl w:ilvl="0">
      <w:start w:val="1"/>
      <w:numFmt w:val="decimal"/>
      <w:lvlText w:val="%1."/>
      <w:lvlJc w:val="left"/>
      <w:pPr>
        <w:ind w:left="360" w:hanging="360"/>
      </w:pPr>
      <w:rPr>
        <w:rFonts w:hint="default"/>
      </w:rPr>
    </w:lvl>
    <w:lvl w:ilvl="1">
      <w:start w:val="1"/>
      <w:numFmt w:val="decimal"/>
      <w:lvlText w:val="2.%2."/>
      <w:lvlJc w:val="left"/>
      <w:pPr>
        <w:ind w:left="106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3A15B07"/>
    <w:multiLevelType w:val="hybridMultilevel"/>
    <w:tmpl w:val="ECBC8644"/>
    <w:lvl w:ilvl="0" w:tplc="94805B70">
      <w:start w:val="44"/>
      <w:numFmt w:val="decimal"/>
      <w:lvlText w:val="%1."/>
      <w:lvlJc w:val="left"/>
      <w:pPr>
        <w:ind w:left="720" w:hanging="360"/>
      </w:pPr>
      <w:rPr>
        <w:rFonts w:ascii="Times New Roman" w:eastAsia="Times New Roman" w:hAnsi="Times New Roman" w:cs="Times New Roman"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8B072CA"/>
    <w:multiLevelType w:val="hybridMultilevel"/>
    <w:tmpl w:val="F38AA0A0"/>
    <w:lvl w:ilvl="0" w:tplc="7E72727C">
      <w:start w:val="46"/>
      <w:numFmt w:val="decimal"/>
      <w:lvlText w:val="%1."/>
      <w:lvlJc w:val="left"/>
      <w:pPr>
        <w:ind w:left="720" w:hanging="360"/>
      </w:pPr>
      <w:rPr>
        <w:rFonts w:ascii="Times New Roman" w:eastAsia="Times New Roman" w:hAnsi="Times New Roman" w:cs="Times New Roman"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5064AE8"/>
    <w:multiLevelType w:val="hybridMultilevel"/>
    <w:tmpl w:val="5C42DD16"/>
    <w:lvl w:ilvl="0" w:tplc="0D3AA8AE">
      <w:start w:val="28"/>
      <w:numFmt w:val="decimal"/>
      <w:lvlText w:val="%1."/>
      <w:lvlJc w:val="left"/>
      <w:pPr>
        <w:ind w:left="720" w:hanging="360"/>
      </w:pPr>
      <w:rPr>
        <w:rFonts w:ascii="Times New Roman" w:eastAsia="Times New Roman" w:hAnsi="Times New Roman" w:cs="Times New Roman"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5D65361"/>
    <w:multiLevelType w:val="multilevel"/>
    <w:tmpl w:val="508A4E26"/>
    <w:lvl w:ilvl="0">
      <w:start w:val="1"/>
      <w:numFmt w:val="decimal"/>
      <w:lvlText w:val="1.%1"/>
      <w:lvlJc w:val="left"/>
      <w:pPr>
        <w:ind w:left="360" w:hanging="360"/>
      </w:pPr>
      <w:rPr>
        <w:rFonts w:hint="default"/>
        <w:b w:val="0"/>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499475BB"/>
    <w:multiLevelType w:val="hybridMultilevel"/>
    <w:tmpl w:val="4DE0E78E"/>
    <w:lvl w:ilvl="0" w:tplc="595EF3CA">
      <w:start w:val="1"/>
      <w:numFmt w:val="decimal"/>
      <w:lvlText w:val="3.%1"/>
      <w:lvlJc w:val="left"/>
      <w:pPr>
        <w:ind w:left="720" w:hanging="360"/>
      </w:pPr>
      <w:rPr>
        <w:rFonts w:hint="default"/>
      </w:rPr>
    </w:lvl>
    <w:lvl w:ilvl="1" w:tplc="34505384">
      <w:start w:val="1"/>
      <w:numFmt w:val="lowerLetter"/>
      <w:lvlText w:val="%2."/>
      <w:lvlJc w:val="left"/>
      <w:pPr>
        <w:ind w:left="1440" w:hanging="360"/>
      </w:pPr>
    </w:lvl>
    <w:lvl w:ilvl="2" w:tplc="4BB26916" w:tentative="1">
      <w:start w:val="1"/>
      <w:numFmt w:val="lowerRoman"/>
      <w:lvlText w:val="%3."/>
      <w:lvlJc w:val="right"/>
      <w:pPr>
        <w:ind w:left="2160" w:hanging="180"/>
      </w:pPr>
    </w:lvl>
    <w:lvl w:ilvl="3" w:tplc="0F78EA02" w:tentative="1">
      <w:start w:val="1"/>
      <w:numFmt w:val="decimal"/>
      <w:lvlText w:val="%4."/>
      <w:lvlJc w:val="left"/>
      <w:pPr>
        <w:ind w:left="2880" w:hanging="360"/>
      </w:pPr>
    </w:lvl>
    <w:lvl w:ilvl="4" w:tplc="01F6AB56" w:tentative="1">
      <w:start w:val="1"/>
      <w:numFmt w:val="lowerLetter"/>
      <w:lvlText w:val="%5."/>
      <w:lvlJc w:val="left"/>
      <w:pPr>
        <w:ind w:left="3600" w:hanging="360"/>
      </w:pPr>
    </w:lvl>
    <w:lvl w:ilvl="5" w:tplc="B6A8D918" w:tentative="1">
      <w:start w:val="1"/>
      <w:numFmt w:val="lowerRoman"/>
      <w:lvlText w:val="%6."/>
      <w:lvlJc w:val="right"/>
      <w:pPr>
        <w:ind w:left="4320" w:hanging="180"/>
      </w:pPr>
    </w:lvl>
    <w:lvl w:ilvl="6" w:tplc="FCEEB96C" w:tentative="1">
      <w:start w:val="1"/>
      <w:numFmt w:val="decimal"/>
      <w:lvlText w:val="%7."/>
      <w:lvlJc w:val="left"/>
      <w:pPr>
        <w:ind w:left="5040" w:hanging="360"/>
      </w:pPr>
    </w:lvl>
    <w:lvl w:ilvl="7" w:tplc="1B5604AC" w:tentative="1">
      <w:start w:val="1"/>
      <w:numFmt w:val="lowerLetter"/>
      <w:lvlText w:val="%8."/>
      <w:lvlJc w:val="left"/>
      <w:pPr>
        <w:ind w:left="5760" w:hanging="360"/>
      </w:pPr>
    </w:lvl>
    <w:lvl w:ilvl="8" w:tplc="B1185B50" w:tentative="1">
      <w:start w:val="1"/>
      <w:numFmt w:val="lowerRoman"/>
      <w:lvlText w:val="%9."/>
      <w:lvlJc w:val="right"/>
      <w:pPr>
        <w:ind w:left="6480" w:hanging="180"/>
      </w:pPr>
    </w:lvl>
  </w:abstractNum>
  <w:abstractNum w:abstractNumId="12">
    <w:nsid w:val="4FD90C5B"/>
    <w:multiLevelType w:val="hybridMultilevel"/>
    <w:tmpl w:val="62A6E9E2"/>
    <w:lvl w:ilvl="0" w:tplc="FBAC9F4C">
      <w:start w:val="9"/>
      <w:numFmt w:val="decimal"/>
      <w:lvlText w:val="%1."/>
      <w:lvlJc w:val="left"/>
      <w:pPr>
        <w:ind w:left="1440" w:hanging="360"/>
      </w:pPr>
      <w:rPr>
        <w:rFonts w:ascii="Times New Roman" w:eastAsia="Times New Roman" w:hAnsi="Times New Roman" w:cs="Times New Roman" w:hint="default"/>
        <w:b w:val="0"/>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5564133F"/>
    <w:multiLevelType w:val="multilevel"/>
    <w:tmpl w:val="97B69AB2"/>
    <w:lvl w:ilvl="0">
      <w:start w:val="1"/>
      <w:numFmt w:val="decimal"/>
      <w:lvlText w:val="%1."/>
      <w:lvlJc w:val="left"/>
      <w:pPr>
        <w:ind w:left="360" w:hanging="360"/>
      </w:pPr>
      <w:rPr>
        <w:rFonts w:hint="default"/>
        <w:b w:val="0"/>
        <w:i w:val="0"/>
      </w:rPr>
    </w:lvl>
    <w:lvl w:ilvl="1">
      <w:start w:val="1"/>
      <w:numFmt w:val="none"/>
      <w:lvlText w:val="5.3"/>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557541AB"/>
    <w:multiLevelType w:val="hybridMultilevel"/>
    <w:tmpl w:val="0F1C2A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E122FCC"/>
    <w:multiLevelType w:val="multilevel"/>
    <w:tmpl w:val="3C8E9EC0"/>
    <w:lvl w:ilvl="0">
      <w:start w:val="1"/>
      <w:numFmt w:val="decimal"/>
      <w:lvlText w:val="%1."/>
      <w:lvlJc w:val="left"/>
      <w:pPr>
        <w:ind w:left="360" w:hanging="360"/>
      </w:pPr>
      <w:rPr>
        <w:rFonts w:hint="default"/>
        <w:b w:val="0"/>
        <w:i w:val="0"/>
      </w:rPr>
    </w:lvl>
    <w:lvl w:ilvl="1">
      <w:start w:val="8"/>
      <w:numFmt w:val="decimal"/>
      <w:lvlText w:val="5.%2"/>
      <w:lvlJc w:val="left"/>
      <w:pPr>
        <w:ind w:left="792" w:hanging="432"/>
      </w:pPr>
      <w:rPr>
        <w:rFonts w:hint="default"/>
      </w:rPr>
    </w:lvl>
    <w:lvl w:ilvl="2">
      <w:start w:val="1"/>
      <w:numFmt w:val="decimal"/>
      <w:lvlText w:val="5%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5F411BFB"/>
    <w:multiLevelType w:val="multilevel"/>
    <w:tmpl w:val="EDF207A6"/>
    <w:lvl w:ilvl="0">
      <w:start w:val="1"/>
      <w:numFmt w:val="decimal"/>
      <w:lvlText w:val="%1."/>
      <w:lvlJc w:val="left"/>
      <w:pPr>
        <w:ind w:left="360" w:hanging="360"/>
      </w:pPr>
      <w:rPr>
        <w:rFonts w:hint="default"/>
        <w:b w:val="0"/>
        <w:i w:val="0"/>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61681803"/>
    <w:multiLevelType w:val="hybridMultilevel"/>
    <w:tmpl w:val="7BC815C2"/>
    <w:lvl w:ilvl="0" w:tplc="FBAC9F4C">
      <w:start w:val="8"/>
      <w:numFmt w:val="decimal"/>
      <w:lvlText w:val="%1."/>
      <w:lvlJc w:val="left"/>
      <w:pPr>
        <w:ind w:left="720" w:hanging="360"/>
      </w:pPr>
      <w:rPr>
        <w:rFonts w:ascii="Times New Roman" w:eastAsia="Times New Roman" w:hAnsi="Times New Roman" w:cs="Times New Roman"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445046C"/>
    <w:multiLevelType w:val="multilevel"/>
    <w:tmpl w:val="A1E2EDDA"/>
    <w:lvl w:ilvl="0">
      <w:start w:val="1"/>
      <w:numFmt w:val="decimal"/>
      <w:lvlText w:val="%1."/>
      <w:lvlJc w:val="left"/>
      <w:pPr>
        <w:ind w:left="360" w:hanging="360"/>
      </w:pPr>
      <w:rPr>
        <w:rFonts w:hint="default"/>
        <w:b w:val="0"/>
        <w:i w:val="0"/>
      </w:rPr>
    </w:lvl>
    <w:lvl w:ilvl="1">
      <w:start w:val="1"/>
      <w:numFmt w:val="decimal"/>
      <w:lvlText w:val="5.%2"/>
      <w:lvlJc w:val="left"/>
      <w:pPr>
        <w:ind w:left="792" w:hanging="432"/>
      </w:pPr>
      <w:rPr>
        <w:rFonts w:hint="default"/>
      </w:rPr>
    </w:lvl>
    <w:lvl w:ilvl="2">
      <w:start w:val="1"/>
      <w:numFmt w:val="decimal"/>
      <w:lvlText w:val="5%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669233BF"/>
    <w:multiLevelType w:val="multilevel"/>
    <w:tmpl w:val="DFFA1B1E"/>
    <w:lvl w:ilvl="0">
      <w:start w:val="1"/>
      <w:numFmt w:val="decimal"/>
      <w:lvlText w:val="%1."/>
      <w:lvlJc w:val="left"/>
      <w:pPr>
        <w:ind w:left="360" w:hanging="360"/>
      </w:pPr>
      <w:rPr>
        <w:rFonts w:hint="default"/>
        <w:b w:val="0"/>
        <w:i w:val="0"/>
      </w:rPr>
    </w:lvl>
    <w:lvl w:ilvl="1">
      <w:start w:val="10"/>
      <w:numFmt w:val="decimal"/>
      <w:lvlText w:val="5.%2"/>
      <w:lvlJc w:val="left"/>
      <w:pPr>
        <w:ind w:left="792" w:hanging="432"/>
      </w:pPr>
      <w:rPr>
        <w:rFonts w:hint="default"/>
      </w:rPr>
    </w:lvl>
    <w:lvl w:ilvl="2">
      <w:start w:val="1"/>
      <w:numFmt w:val="decimal"/>
      <w:lvlText w:val="5%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684975BF"/>
    <w:multiLevelType w:val="hybridMultilevel"/>
    <w:tmpl w:val="CAF26164"/>
    <w:lvl w:ilvl="0" w:tplc="1E1EAB50">
      <w:start w:val="15"/>
      <w:numFmt w:val="decimal"/>
      <w:lvlText w:val="%1."/>
      <w:lvlJc w:val="left"/>
      <w:pPr>
        <w:ind w:left="720" w:hanging="360"/>
      </w:pPr>
      <w:rPr>
        <w:rFonts w:ascii="Times New Roman" w:eastAsia="Times New Roman" w:hAnsi="Times New Roman" w:cs="Times New Roman"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1E52759"/>
    <w:multiLevelType w:val="hybridMultilevel"/>
    <w:tmpl w:val="7A88200C"/>
    <w:lvl w:ilvl="0" w:tplc="B3ECE4F4">
      <w:start w:val="9"/>
      <w:numFmt w:val="decimal"/>
      <w:lvlText w:val="%1."/>
      <w:lvlJc w:val="left"/>
      <w:pPr>
        <w:ind w:left="720" w:hanging="360"/>
      </w:pPr>
      <w:rPr>
        <w:rFonts w:ascii="Times New Roman" w:eastAsia="Times New Roman" w:hAnsi="Times New Roman" w:cs="Times New Roman"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A683235"/>
    <w:multiLevelType w:val="hybridMultilevel"/>
    <w:tmpl w:val="43CAECAE"/>
    <w:lvl w:ilvl="0" w:tplc="0276EB4C">
      <w:start w:val="1"/>
      <w:numFmt w:val="decimal"/>
      <w:lvlText w:val="%1."/>
      <w:lvlJc w:val="left"/>
      <w:pPr>
        <w:ind w:left="720" w:hanging="360"/>
      </w:pPr>
      <w:rPr>
        <w:rFonts w:ascii="Times New Roman" w:eastAsia="Times New Roman" w:hAnsi="Times New Roman" w:cs="Times New Roman"/>
        <w:b w:val="0"/>
        <w:i w:val="0"/>
      </w:rPr>
    </w:lvl>
    <w:lvl w:ilvl="1" w:tplc="240A0019">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23">
    <w:nsid w:val="7A72415D"/>
    <w:multiLevelType w:val="multilevel"/>
    <w:tmpl w:val="52781B58"/>
    <w:lvl w:ilvl="0">
      <w:start w:val="4"/>
      <w:numFmt w:val="decimal"/>
      <w:lvlText w:val="1.%1"/>
      <w:lvlJc w:val="left"/>
      <w:pPr>
        <w:ind w:left="360" w:hanging="360"/>
      </w:pPr>
      <w:rPr>
        <w:rFonts w:hint="default"/>
        <w:b w:val="0"/>
        <w:i w:val="0"/>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7A7E05D0"/>
    <w:multiLevelType w:val="hybridMultilevel"/>
    <w:tmpl w:val="1B5C03E6"/>
    <w:lvl w:ilvl="0" w:tplc="04090001">
      <w:start w:val="1"/>
      <w:numFmt w:val="upperRoman"/>
      <w:lvlText w:val="%1."/>
      <w:lvlJc w:val="center"/>
      <w:pPr>
        <w:ind w:left="360" w:hanging="360"/>
      </w:pPr>
      <w:rPr>
        <w:rFonts w:cs="Times New Roman" w:hint="default"/>
      </w:rPr>
    </w:lvl>
    <w:lvl w:ilvl="1" w:tplc="04090003">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num w:numId="1">
    <w:abstractNumId w:val="24"/>
  </w:num>
  <w:num w:numId="2">
    <w:abstractNumId w:val="10"/>
  </w:num>
  <w:num w:numId="3">
    <w:abstractNumId w:val="9"/>
  </w:num>
  <w:num w:numId="4">
    <w:abstractNumId w:val="22"/>
  </w:num>
  <w:num w:numId="5">
    <w:abstractNumId w:val="21"/>
  </w:num>
  <w:num w:numId="6">
    <w:abstractNumId w:val="20"/>
  </w:num>
  <w:num w:numId="7">
    <w:abstractNumId w:val="20"/>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1"/>
  </w:num>
  <w:num w:numId="10">
    <w:abstractNumId w:val="12"/>
  </w:num>
  <w:num w:numId="11">
    <w:abstractNumId w:val="8"/>
  </w:num>
  <w:num w:numId="12">
    <w:abstractNumId w:val="16"/>
  </w:num>
  <w:num w:numId="13">
    <w:abstractNumId w:val="13"/>
  </w:num>
  <w:num w:numId="14">
    <w:abstractNumId w:val="7"/>
  </w:num>
  <w:num w:numId="15">
    <w:abstractNumId w:val="2"/>
  </w:num>
  <w:num w:numId="16">
    <w:abstractNumId w:val="23"/>
  </w:num>
  <w:num w:numId="17">
    <w:abstractNumId w:val="6"/>
  </w:num>
  <w:num w:numId="18">
    <w:abstractNumId w:val="11"/>
  </w:num>
  <w:num w:numId="19">
    <w:abstractNumId w:val="4"/>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8"/>
  </w:num>
  <w:num w:numId="23">
    <w:abstractNumId w:val="19"/>
  </w:num>
  <w:num w:numId="24">
    <w:abstractNumId w:val="14"/>
  </w:num>
  <w:num w:numId="25">
    <w:abstractNumId w:val="15"/>
  </w:num>
  <w:num w:numId="26">
    <w:abstractNumId w:val="3"/>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evenAndOddHeaders/>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447"/>
    <w:rsid w:val="00004D9E"/>
    <w:rsid w:val="000104A6"/>
    <w:rsid w:val="000160C8"/>
    <w:rsid w:val="00016746"/>
    <w:rsid w:val="00033130"/>
    <w:rsid w:val="00037A27"/>
    <w:rsid w:val="000409B4"/>
    <w:rsid w:val="0004144E"/>
    <w:rsid w:val="00053A86"/>
    <w:rsid w:val="000600AC"/>
    <w:rsid w:val="0006226D"/>
    <w:rsid w:val="0007017A"/>
    <w:rsid w:val="0007356B"/>
    <w:rsid w:val="000749F7"/>
    <w:rsid w:val="00074AD8"/>
    <w:rsid w:val="000A42B7"/>
    <w:rsid w:val="000A6ADC"/>
    <w:rsid w:val="000C0B32"/>
    <w:rsid w:val="000C5DB8"/>
    <w:rsid w:val="00104CC3"/>
    <w:rsid w:val="001364CE"/>
    <w:rsid w:val="00140F76"/>
    <w:rsid w:val="00142A14"/>
    <w:rsid w:val="00143D3E"/>
    <w:rsid w:val="00150194"/>
    <w:rsid w:val="0016243E"/>
    <w:rsid w:val="00162A00"/>
    <w:rsid w:val="00166EBE"/>
    <w:rsid w:val="0017573F"/>
    <w:rsid w:val="00177E9A"/>
    <w:rsid w:val="00195062"/>
    <w:rsid w:val="00197F7E"/>
    <w:rsid w:val="001A6271"/>
    <w:rsid w:val="001B6D59"/>
    <w:rsid w:val="001C57A4"/>
    <w:rsid w:val="001D715D"/>
    <w:rsid w:val="001E50DE"/>
    <w:rsid w:val="001E7A00"/>
    <w:rsid w:val="001E7CA0"/>
    <w:rsid w:val="001F6CEF"/>
    <w:rsid w:val="002066D0"/>
    <w:rsid w:val="00206F00"/>
    <w:rsid w:val="0020712C"/>
    <w:rsid w:val="00227875"/>
    <w:rsid w:val="00232DE6"/>
    <w:rsid w:val="00236694"/>
    <w:rsid w:val="00241D78"/>
    <w:rsid w:val="00250EC6"/>
    <w:rsid w:val="00251010"/>
    <w:rsid w:val="002567C0"/>
    <w:rsid w:val="00265C0B"/>
    <w:rsid w:val="00265FD7"/>
    <w:rsid w:val="00270380"/>
    <w:rsid w:val="00270A11"/>
    <w:rsid w:val="0027784A"/>
    <w:rsid w:val="00281639"/>
    <w:rsid w:val="00295FEB"/>
    <w:rsid w:val="002A6CE2"/>
    <w:rsid w:val="002B684E"/>
    <w:rsid w:val="002C2B29"/>
    <w:rsid w:val="002D1499"/>
    <w:rsid w:val="002D316C"/>
    <w:rsid w:val="002F3A89"/>
    <w:rsid w:val="003055B4"/>
    <w:rsid w:val="00316B04"/>
    <w:rsid w:val="00320853"/>
    <w:rsid w:val="00321731"/>
    <w:rsid w:val="00335447"/>
    <w:rsid w:val="00335CE4"/>
    <w:rsid w:val="00336D5D"/>
    <w:rsid w:val="003406DF"/>
    <w:rsid w:val="00340F5D"/>
    <w:rsid w:val="00346DFF"/>
    <w:rsid w:val="003473BE"/>
    <w:rsid w:val="003567A4"/>
    <w:rsid w:val="0036630A"/>
    <w:rsid w:val="003707DC"/>
    <w:rsid w:val="00380F81"/>
    <w:rsid w:val="00387D07"/>
    <w:rsid w:val="003A0123"/>
    <w:rsid w:val="003B7A68"/>
    <w:rsid w:val="003C63F8"/>
    <w:rsid w:val="003D55B4"/>
    <w:rsid w:val="003D7EC6"/>
    <w:rsid w:val="003E1E31"/>
    <w:rsid w:val="003E44A3"/>
    <w:rsid w:val="003E6133"/>
    <w:rsid w:val="003F2685"/>
    <w:rsid w:val="003F4831"/>
    <w:rsid w:val="003F5CB9"/>
    <w:rsid w:val="004119A2"/>
    <w:rsid w:val="00413DC7"/>
    <w:rsid w:val="00427301"/>
    <w:rsid w:val="00427A39"/>
    <w:rsid w:val="00433130"/>
    <w:rsid w:val="00440D8B"/>
    <w:rsid w:val="004571B3"/>
    <w:rsid w:val="00473043"/>
    <w:rsid w:val="00473823"/>
    <w:rsid w:val="00473E1B"/>
    <w:rsid w:val="0048030D"/>
    <w:rsid w:val="00480622"/>
    <w:rsid w:val="0048078F"/>
    <w:rsid w:val="00480AD2"/>
    <w:rsid w:val="004915C4"/>
    <w:rsid w:val="004A48BC"/>
    <w:rsid w:val="004B3378"/>
    <w:rsid w:val="004B396A"/>
    <w:rsid w:val="004C4BF6"/>
    <w:rsid w:val="004D0D23"/>
    <w:rsid w:val="004E3EC6"/>
    <w:rsid w:val="004E4579"/>
    <w:rsid w:val="004E46FA"/>
    <w:rsid w:val="004E62EC"/>
    <w:rsid w:val="004F067F"/>
    <w:rsid w:val="005004C7"/>
    <w:rsid w:val="0050300E"/>
    <w:rsid w:val="00520CFE"/>
    <w:rsid w:val="00526C40"/>
    <w:rsid w:val="00535E63"/>
    <w:rsid w:val="00535F77"/>
    <w:rsid w:val="005404D2"/>
    <w:rsid w:val="0054130F"/>
    <w:rsid w:val="00541613"/>
    <w:rsid w:val="00542373"/>
    <w:rsid w:val="00543443"/>
    <w:rsid w:val="00543A07"/>
    <w:rsid w:val="00543C7E"/>
    <w:rsid w:val="00546BC0"/>
    <w:rsid w:val="0055068A"/>
    <w:rsid w:val="00554DE0"/>
    <w:rsid w:val="005650B0"/>
    <w:rsid w:val="00567F2A"/>
    <w:rsid w:val="00571B85"/>
    <w:rsid w:val="00586D33"/>
    <w:rsid w:val="00593BD3"/>
    <w:rsid w:val="005943F6"/>
    <w:rsid w:val="005A0F94"/>
    <w:rsid w:val="005A140A"/>
    <w:rsid w:val="005B1847"/>
    <w:rsid w:val="005C17B4"/>
    <w:rsid w:val="005C241E"/>
    <w:rsid w:val="005D58A4"/>
    <w:rsid w:val="005E2A9D"/>
    <w:rsid w:val="005E54CE"/>
    <w:rsid w:val="005F674E"/>
    <w:rsid w:val="006217C5"/>
    <w:rsid w:val="006227EB"/>
    <w:rsid w:val="00631049"/>
    <w:rsid w:val="006340D1"/>
    <w:rsid w:val="006411E1"/>
    <w:rsid w:val="0065637C"/>
    <w:rsid w:val="006572EC"/>
    <w:rsid w:val="00660D90"/>
    <w:rsid w:val="006714EE"/>
    <w:rsid w:val="00673772"/>
    <w:rsid w:val="006802AE"/>
    <w:rsid w:val="006835EB"/>
    <w:rsid w:val="006B0C09"/>
    <w:rsid w:val="006B6C85"/>
    <w:rsid w:val="006B77BE"/>
    <w:rsid w:val="006C1FBD"/>
    <w:rsid w:val="006C7604"/>
    <w:rsid w:val="006D05AD"/>
    <w:rsid w:val="006D2115"/>
    <w:rsid w:val="006D3D56"/>
    <w:rsid w:val="006E1AE9"/>
    <w:rsid w:val="007018E1"/>
    <w:rsid w:val="0070753B"/>
    <w:rsid w:val="007162D1"/>
    <w:rsid w:val="00736EFC"/>
    <w:rsid w:val="00750002"/>
    <w:rsid w:val="007612C5"/>
    <w:rsid w:val="00767271"/>
    <w:rsid w:val="00782349"/>
    <w:rsid w:val="007842DB"/>
    <w:rsid w:val="00786069"/>
    <w:rsid w:val="007971BB"/>
    <w:rsid w:val="007A67AC"/>
    <w:rsid w:val="007B1D55"/>
    <w:rsid w:val="007B7A1A"/>
    <w:rsid w:val="007D76E6"/>
    <w:rsid w:val="007E42B1"/>
    <w:rsid w:val="007E4C2E"/>
    <w:rsid w:val="007E72FB"/>
    <w:rsid w:val="007F054E"/>
    <w:rsid w:val="007F25C0"/>
    <w:rsid w:val="0081234D"/>
    <w:rsid w:val="008166AD"/>
    <w:rsid w:val="00817196"/>
    <w:rsid w:val="00825194"/>
    <w:rsid w:val="00832477"/>
    <w:rsid w:val="0083610B"/>
    <w:rsid w:val="00837F5E"/>
    <w:rsid w:val="00856E9F"/>
    <w:rsid w:val="008625DC"/>
    <w:rsid w:val="00866A15"/>
    <w:rsid w:val="00875E16"/>
    <w:rsid w:val="008A459F"/>
    <w:rsid w:val="008B5EF1"/>
    <w:rsid w:val="008C0AA8"/>
    <w:rsid w:val="008C5816"/>
    <w:rsid w:val="008C6766"/>
    <w:rsid w:val="008E0D9F"/>
    <w:rsid w:val="008E43C4"/>
    <w:rsid w:val="008E5025"/>
    <w:rsid w:val="008E62F9"/>
    <w:rsid w:val="008F378B"/>
    <w:rsid w:val="008F5A49"/>
    <w:rsid w:val="00906E1B"/>
    <w:rsid w:val="00911003"/>
    <w:rsid w:val="00923963"/>
    <w:rsid w:val="00923B95"/>
    <w:rsid w:val="00930786"/>
    <w:rsid w:val="00941BB8"/>
    <w:rsid w:val="009420A7"/>
    <w:rsid w:val="009454A6"/>
    <w:rsid w:val="009511DD"/>
    <w:rsid w:val="00955117"/>
    <w:rsid w:val="0096149B"/>
    <w:rsid w:val="009649B9"/>
    <w:rsid w:val="0098407A"/>
    <w:rsid w:val="009A0BB1"/>
    <w:rsid w:val="009A0F45"/>
    <w:rsid w:val="009A430C"/>
    <w:rsid w:val="009B2770"/>
    <w:rsid w:val="009B7FA4"/>
    <w:rsid w:val="009E125A"/>
    <w:rsid w:val="009E62CC"/>
    <w:rsid w:val="009F1449"/>
    <w:rsid w:val="009F4FF3"/>
    <w:rsid w:val="009F7563"/>
    <w:rsid w:val="00A01E75"/>
    <w:rsid w:val="00A10801"/>
    <w:rsid w:val="00A26EA1"/>
    <w:rsid w:val="00A3123A"/>
    <w:rsid w:val="00A46DED"/>
    <w:rsid w:val="00A550F9"/>
    <w:rsid w:val="00A62191"/>
    <w:rsid w:val="00A71E7A"/>
    <w:rsid w:val="00A722E7"/>
    <w:rsid w:val="00A7397D"/>
    <w:rsid w:val="00A75F1B"/>
    <w:rsid w:val="00A9792E"/>
    <w:rsid w:val="00AA7466"/>
    <w:rsid w:val="00AB0B3F"/>
    <w:rsid w:val="00AC2FB5"/>
    <w:rsid w:val="00AC59F4"/>
    <w:rsid w:val="00AD7704"/>
    <w:rsid w:val="00AE6068"/>
    <w:rsid w:val="00AE7EC8"/>
    <w:rsid w:val="00AF3C09"/>
    <w:rsid w:val="00B00F7D"/>
    <w:rsid w:val="00B14E72"/>
    <w:rsid w:val="00B175FA"/>
    <w:rsid w:val="00B17984"/>
    <w:rsid w:val="00B202FB"/>
    <w:rsid w:val="00B27EB3"/>
    <w:rsid w:val="00B50E9E"/>
    <w:rsid w:val="00B55CA7"/>
    <w:rsid w:val="00B56EE1"/>
    <w:rsid w:val="00B67122"/>
    <w:rsid w:val="00B671D7"/>
    <w:rsid w:val="00B73251"/>
    <w:rsid w:val="00B9468C"/>
    <w:rsid w:val="00B96927"/>
    <w:rsid w:val="00B97D05"/>
    <w:rsid w:val="00BA5F78"/>
    <w:rsid w:val="00BB3030"/>
    <w:rsid w:val="00BB3E4D"/>
    <w:rsid w:val="00BC5503"/>
    <w:rsid w:val="00BD2012"/>
    <w:rsid w:val="00BF0568"/>
    <w:rsid w:val="00BF0BA9"/>
    <w:rsid w:val="00BF5627"/>
    <w:rsid w:val="00C1078C"/>
    <w:rsid w:val="00C512E2"/>
    <w:rsid w:val="00C83B6F"/>
    <w:rsid w:val="00CA6758"/>
    <w:rsid w:val="00CB1DB8"/>
    <w:rsid w:val="00CB47BB"/>
    <w:rsid w:val="00CC2D08"/>
    <w:rsid w:val="00CD17F5"/>
    <w:rsid w:val="00CD212A"/>
    <w:rsid w:val="00CD2167"/>
    <w:rsid w:val="00CD24F1"/>
    <w:rsid w:val="00CD371E"/>
    <w:rsid w:val="00CD4E91"/>
    <w:rsid w:val="00CE0ACC"/>
    <w:rsid w:val="00CE5AAD"/>
    <w:rsid w:val="00D044FA"/>
    <w:rsid w:val="00D12FCA"/>
    <w:rsid w:val="00D15790"/>
    <w:rsid w:val="00D20E3E"/>
    <w:rsid w:val="00D231B0"/>
    <w:rsid w:val="00D24E6D"/>
    <w:rsid w:val="00D31672"/>
    <w:rsid w:val="00D31825"/>
    <w:rsid w:val="00D33E08"/>
    <w:rsid w:val="00D34CAE"/>
    <w:rsid w:val="00D41297"/>
    <w:rsid w:val="00D41518"/>
    <w:rsid w:val="00D431A7"/>
    <w:rsid w:val="00D44EC8"/>
    <w:rsid w:val="00D66977"/>
    <w:rsid w:val="00D702C8"/>
    <w:rsid w:val="00DA7B96"/>
    <w:rsid w:val="00DD312D"/>
    <w:rsid w:val="00DD4FED"/>
    <w:rsid w:val="00DD7DA7"/>
    <w:rsid w:val="00DF39F2"/>
    <w:rsid w:val="00E12716"/>
    <w:rsid w:val="00E131AF"/>
    <w:rsid w:val="00E13485"/>
    <w:rsid w:val="00E20230"/>
    <w:rsid w:val="00E3033C"/>
    <w:rsid w:val="00E30452"/>
    <w:rsid w:val="00E33D52"/>
    <w:rsid w:val="00E34D55"/>
    <w:rsid w:val="00E37A88"/>
    <w:rsid w:val="00E4721B"/>
    <w:rsid w:val="00E558D0"/>
    <w:rsid w:val="00E60F66"/>
    <w:rsid w:val="00E6316C"/>
    <w:rsid w:val="00E656ED"/>
    <w:rsid w:val="00E67BE8"/>
    <w:rsid w:val="00E70557"/>
    <w:rsid w:val="00E772A0"/>
    <w:rsid w:val="00E92316"/>
    <w:rsid w:val="00E92A78"/>
    <w:rsid w:val="00E933E0"/>
    <w:rsid w:val="00E95AAA"/>
    <w:rsid w:val="00EA7C8D"/>
    <w:rsid w:val="00EB108E"/>
    <w:rsid w:val="00EB2774"/>
    <w:rsid w:val="00EC010C"/>
    <w:rsid w:val="00EC10D5"/>
    <w:rsid w:val="00EE5B35"/>
    <w:rsid w:val="00EF342A"/>
    <w:rsid w:val="00F021E1"/>
    <w:rsid w:val="00F20B04"/>
    <w:rsid w:val="00F21821"/>
    <w:rsid w:val="00F2410F"/>
    <w:rsid w:val="00F34F6C"/>
    <w:rsid w:val="00F3788B"/>
    <w:rsid w:val="00F457AA"/>
    <w:rsid w:val="00F477F1"/>
    <w:rsid w:val="00F521F9"/>
    <w:rsid w:val="00F52311"/>
    <w:rsid w:val="00F62A25"/>
    <w:rsid w:val="00F630D7"/>
    <w:rsid w:val="00F74429"/>
    <w:rsid w:val="00F81D17"/>
    <w:rsid w:val="00F82EA4"/>
    <w:rsid w:val="00FA305D"/>
    <w:rsid w:val="00FB2003"/>
    <w:rsid w:val="00FB5D45"/>
    <w:rsid w:val="00FC3224"/>
    <w:rsid w:val="00FD0CB7"/>
    <w:rsid w:val="00FE5DED"/>
    <w:rsid w:val="00FE7033"/>
    <w:rsid w:val="00FF0263"/>
    <w:rsid w:val="00FF50F4"/>
    <w:rsid w:val="00FF66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35447"/>
    <w:pPr>
      <w:suppressAutoHyphens/>
      <w:autoSpaceDN w:val="0"/>
      <w:spacing w:after="0" w:line="240" w:lineRule="auto"/>
      <w:textAlignment w:val="baseline"/>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Texto de rodapé,nota_rodapé,nota de rodapé,Geneva 9,Font: Geneva 9,Boston 10,f,footnote,single space,FOOTNOTES,footnote text,Footnote Text Char Char,ft,F,Style 25"/>
    <w:basedOn w:val="Normal"/>
    <w:link w:val="FootnoteTextChar"/>
    <w:uiPriority w:val="99"/>
    <w:rsid w:val="00335447"/>
    <w:pPr>
      <w:keepNext/>
      <w:keepLines/>
      <w:suppressAutoHyphens w:val="0"/>
      <w:spacing w:after="120"/>
      <w:ind w:left="288" w:hanging="288"/>
      <w:jc w:val="both"/>
    </w:pPr>
    <w:rPr>
      <w:spacing w:val="-3"/>
      <w:sz w:val="20"/>
    </w:rPr>
  </w:style>
  <w:style w:type="character" w:customStyle="1" w:styleId="FootnoteTextChar">
    <w:name w:val="Footnote Text Char"/>
    <w:aliases w:val="fn Char,Texto de rodapé Char,nota_rodapé Char,nota de rodapé Char,Geneva 9 Char,Font: Geneva 9 Char,Boston 10 Char,f Char,footnote Char,single space Char,FOOTNOTES Char,footnote text Char,Footnote Text Char Char Char,ft Char,F Char"/>
    <w:basedOn w:val="DefaultParagraphFont"/>
    <w:link w:val="FootnoteText"/>
    <w:uiPriority w:val="99"/>
    <w:rsid w:val="00335447"/>
    <w:rPr>
      <w:rFonts w:ascii="Times New Roman" w:eastAsia="Times New Roman" w:hAnsi="Times New Roman" w:cs="Times New Roman"/>
      <w:spacing w:val="-3"/>
      <w:sz w:val="20"/>
      <w:szCs w:val="20"/>
    </w:rPr>
  </w:style>
  <w:style w:type="character" w:styleId="Hyperlink">
    <w:name w:val="Hyperlink"/>
    <w:basedOn w:val="DefaultParagraphFont"/>
    <w:rsid w:val="00335447"/>
    <w:rPr>
      <w:color w:val="0000FF"/>
      <w:u w:val="single"/>
    </w:rPr>
  </w:style>
  <w:style w:type="character" w:styleId="FootnoteReference">
    <w:name w:val="footnote reference"/>
    <w:aliases w:val="FC"/>
    <w:basedOn w:val="DefaultParagraphFont"/>
    <w:uiPriority w:val="99"/>
    <w:rsid w:val="00335447"/>
    <w:rPr>
      <w:position w:val="0"/>
      <w:vertAlign w:val="superscript"/>
    </w:rPr>
  </w:style>
  <w:style w:type="paragraph" w:styleId="ListParagraph">
    <w:name w:val="List Paragraph"/>
    <w:basedOn w:val="Normal"/>
    <w:uiPriority w:val="34"/>
    <w:qFormat/>
    <w:rsid w:val="00335447"/>
    <w:pPr>
      <w:ind w:left="720"/>
      <w:contextualSpacing/>
    </w:pPr>
  </w:style>
  <w:style w:type="table" w:styleId="TableGrid">
    <w:name w:val="Table Grid"/>
    <w:basedOn w:val="TableNormal"/>
    <w:uiPriority w:val="59"/>
    <w:rsid w:val="003354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33130"/>
    <w:rPr>
      <w:rFonts w:ascii="Tahoma" w:hAnsi="Tahoma" w:cs="Tahoma"/>
      <w:sz w:val="16"/>
      <w:szCs w:val="16"/>
    </w:rPr>
  </w:style>
  <w:style w:type="character" w:customStyle="1" w:styleId="BalloonTextChar">
    <w:name w:val="Balloon Text Char"/>
    <w:basedOn w:val="DefaultParagraphFont"/>
    <w:link w:val="BalloonText"/>
    <w:uiPriority w:val="99"/>
    <w:semiHidden/>
    <w:rsid w:val="00433130"/>
    <w:rPr>
      <w:rFonts w:ascii="Tahoma" w:eastAsia="Times New Roman" w:hAnsi="Tahoma" w:cs="Tahoma"/>
      <w:sz w:val="16"/>
      <w:szCs w:val="16"/>
    </w:rPr>
  </w:style>
  <w:style w:type="paragraph" w:styleId="Header">
    <w:name w:val="header"/>
    <w:basedOn w:val="Normal"/>
    <w:link w:val="HeaderChar"/>
    <w:uiPriority w:val="99"/>
    <w:unhideWhenUsed/>
    <w:rsid w:val="00C512E2"/>
    <w:pPr>
      <w:tabs>
        <w:tab w:val="center" w:pos="4680"/>
        <w:tab w:val="right" w:pos="9360"/>
      </w:tabs>
    </w:pPr>
  </w:style>
  <w:style w:type="character" w:customStyle="1" w:styleId="HeaderChar">
    <w:name w:val="Header Char"/>
    <w:basedOn w:val="DefaultParagraphFont"/>
    <w:link w:val="Header"/>
    <w:uiPriority w:val="99"/>
    <w:rsid w:val="00C512E2"/>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C512E2"/>
    <w:pPr>
      <w:tabs>
        <w:tab w:val="center" w:pos="4680"/>
        <w:tab w:val="right" w:pos="9360"/>
      </w:tabs>
    </w:pPr>
  </w:style>
  <w:style w:type="character" w:customStyle="1" w:styleId="FooterChar">
    <w:name w:val="Footer Char"/>
    <w:basedOn w:val="DefaultParagraphFont"/>
    <w:link w:val="Footer"/>
    <w:uiPriority w:val="99"/>
    <w:rsid w:val="00C512E2"/>
    <w:rPr>
      <w:rFonts w:ascii="Times New Roman" w:eastAsia="Times New Roman" w:hAnsi="Times New Roman" w:cs="Times New Roman"/>
      <w:sz w:val="24"/>
      <w:szCs w:val="20"/>
    </w:rPr>
  </w:style>
  <w:style w:type="character" w:styleId="FollowedHyperlink">
    <w:name w:val="FollowedHyperlink"/>
    <w:basedOn w:val="DefaultParagraphFont"/>
    <w:uiPriority w:val="99"/>
    <w:semiHidden/>
    <w:unhideWhenUsed/>
    <w:rsid w:val="0081234D"/>
    <w:rPr>
      <w:color w:val="800080" w:themeColor="followedHyperlink"/>
      <w:u w:val="single"/>
    </w:rPr>
  </w:style>
  <w:style w:type="paragraph" w:styleId="Revision">
    <w:name w:val="Revision"/>
    <w:hidden/>
    <w:uiPriority w:val="99"/>
    <w:semiHidden/>
    <w:rsid w:val="00E33D52"/>
    <w:pPr>
      <w:spacing w:after="0" w:line="240" w:lineRule="auto"/>
    </w:pPr>
    <w:rPr>
      <w:rFonts w:ascii="Times New Roman" w:eastAsia="Times New Roman" w:hAnsi="Times New Roman" w:cs="Times New Roman"/>
      <w:sz w:val="24"/>
      <w:szCs w:val="20"/>
    </w:rPr>
  </w:style>
  <w:style w:type="character" w:styleId="CommentReference">
    <w:name w:val="annotation reference"/>
    <w:basedOn w:val="DefaultParagraphFont"/>
    <w:uiPriority w:val="99"/>
    <w:semiHidden/>
    <w:unhideWhenUsed/>
    <w:rsid w:val="003F4831"/>
    <w:rPr>
      <w:sz w:val="16"/>
      <w:szCs w:val="16"/>
    </w:rPr>
  </w:style>
  <w:style w:type="paragraph" w:styleId="CommentText">
    <w:name w:val="annotation text"/>
    <w:basedOn w:val="Normal"/>
    <w:link w:val="CommentTextChar"/>
    <w:uiPriority w:val="99"/>
    <w:semiHidden/>
    <w:unhideWhenUsed/>
    <w:rsid w:val="003F4831"/>
    <w:rPr>
      <w:sz w:val="20"/>
    </w:rPr>
  </w:style>
  <w:style w:type="character" w:customStyle="1" w:styleId="CommentTextChar">
    <w:name w:val="Comment Text Char"/>
    <w:basedOn w:val="DefaultParagraphFont"/>
    <w:link w:val="CommentText"/>
    <w:uiPriority w:val="99"/>
    <w:semiHidden/>
    <w:rsid w:val="003F483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F4831"/>
    <w:rPr>
      <w:b/>
      <w:bCs/>
    </w:rPr>
  </w:style>
  <w:style w:type="character" w:customStyle="1" w:styleId="CommentSubjectChar">
    <w:name w:val="Comment Subject Char"/>
    <w:basedOn w:val="CommentTextChar"/>
    <w:link w:val="CommentSubject"/>
    <w:uiPriority w:val="99"/>
    <w:semiHidden/>
    <w:rsid w:val="003F4831"/>
    <w:rPr>
      <w:rFonts w:ascii="Times New Roman" w:eastAsia="Times New Roman" w:hAnsi="Times New Roman" w:cs="Times New Roman"/>
      <w:b/>
      <w:bCs/>
      <w:sz w:val="20"/>
      <w:szCs w:val="20"/>
    </w:rPr>
  </w:style>
  <w:style w:type="paragraph" w:customStyle="1" w:styleId="Chapter">
    <w:name w:val="Chapter"/>
    <w:basedOn w:val="Normal"/>
    <w:next w:val="Normal"/>
    <w:rsid w:val="007018E1"/>
    <w:pPr>
      <w:keepNext/>
      <w:numPr>
        <w:numId w:val="27"/>
      </w:numPr>
      <w:tabs>
        <w:tab w:val="clear" w:pos="1800"/>
        <w:tab w:val="num" w:pos="648"/>
        <w:tab w:val="left" w:pos="1440"/>
      </w:tabs>
      <w:suppressAutoHyphens w:val="0"/>
      <w:autoSpaceDN/>
      <w:spacing w:before="240" w:after="240"/>
      <w:ind w:left="0"/>
      <w:jc w:val="center"/>
      <w:textAlignment w:val="auto"/>
    </w:pPr>
    <w:rPr>
      <w:b/>
      <w:smallCaps/>
      <w:lang w:val="es-ES_tradnl"/>
    </w:rPr>
  </w:style>
  <w:style w:type="paragraph" w:customStyle="1" w:styleId="Paragraph">
    <w:name w:val="Paragraph"/>
    <w:aliases w:val="paragraph,p,PARAGRAPH,PG,pa,at,paragraph+1"/>
    <w:basedOn w:val="BodyTextIndent"/>
    <w:link w:val="ParagraphChar"/>
    <w:rsid w:val="007018E1"/>
    <w:pPr>
      <w:numPr>
        <w:ilvl w:val="1"/>
        <w:numId w:val="27"/>
      </w:numPr>
      <w:tabs>
        <w:tab w:val="clear" w:pos="2448"/>
        <w:tab w:val="num" w:pos="720"/>
      </w:tabs>
      <w:suppressAutoHyphens w:val="0"/>
      <w:autoSpaceDN/>
      <w:spacing w:before="120"/>
      <w:ind w:left="720" w:hanging="720"/>
      <w:jc w:val="both"/>
      <w:textAlignment w:val="auto"/>
      <w:outlineLvl w:val="1"/>
    </w:pPr>
    <w:rPr>
      <w:lang w:val="es-ES_tradnl"/>
    </w:rPr>
  </w:style>
  <w:style w:type="paragraph" w:customStyle="1" w:styleId="subpar">
    <w:name w:val="subpar"/>
    <w:basedOn w:val="BodyTextIndent3"/>
    <w:rsid w:val="007018E1"/>
    <w:pPr>
      <w:numPr>
        <w:ilvl w:val="2"/>
        <w:numId w:val="27"/>
      </w:numPr>
      <w:tabs>
        <w:tab w:val="clear" w:pos="2304"/>
        <w:tab w:val="num" w:pos="1152"/>
      </w:tabs>
      <w:suppressAutoHyphens w:val="0"/>
      <w:autoSpaceDN/>
      <w:spacing w:before="120"/>
      <w:ind w:left="1152"/>
      <w:jc w:val="both"/>
      <w:textAlignment w:val="auto"/>
      <w:outlineLvl w:val="2"/>
    </w:pPr>
    <w:rPr>
      <w:sz w:val="24"/>
      <w:szCs w:val="20"/>
      <w:lang w:val="es-ES_tradnl"/>
    </w:rPr>
  </w:style>
  <w:style w:type="paragraph" w:customStyle="1" w:styleId="SubSubPar">
    <w:name w:val="SubSubPar"/>
    <w:basedOn w:val="subpar"/>
    <w:rsid w:val="007018E1"/>
    <w:pPr>
      <w:numPr>
        <w:ilvl w:val="3"/>
      </w:numPr>
      <w:tabs>
        <w:tab w:val="clear" w:pos="2736"/>
        <w:tab w:val="left" w:pos="0"/>
        <w:tab w:val="num" w:pos="1296"/>
      </w:tabs>
      <w:ind w:left="1296"/>
    </w:pPr>
  </w:style>
  <w:style w:type="character" w:customStyle="1" w:styleId="ParagraphChar">
    <w:name w:val="Paragraph Char"/>
    <w:link w:val="Paragraph"/>
    <w:locked/>
    <w:rsid w:val="007018E1"/>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semiHidden/>
    <w:unhideWhenUsed/>
    <w:rsid w:val="007018E1"/>
    <w:pPr>
      <w:spacing w:after="120"/>
      <w:ind w:left="360"/>
    </w:pPr>
  </w:style>
  <w:style w:type="character" w:customStyle="1" w:styleId="BodyTextIndentChar">
    <w:name w:val="Body Text Indent Char"/>
    <w:basedOn w:val="DefaultParagraphFont"/>
    <w:link w:val="BodyTextIndent"/>
    <w:uiPriority w:val="99"/>
    <w:semiHidden/>
    <w:rsid w:val="007018E1"/>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7018E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018E1"/>
    <w:rPr>
      <w:rFonts w:ascii="Times New Roman" w:eastAsia="Times New Roman" w:hAnsi="Times New Roman" w:cs="Times New Roman"/>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35447"/>
    <w:pPr>
      <w:suppressAutoHyphens/>
      <w:autoSpaceDN w:val="0"/>
      <w:spacing w:after="0" w:line="240" w:lineRule="auto"/>
      <w:textAlignment w:val="baseline"/>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Texto de rodapé,nota_rodapé,nota de rodapé,Geneva 9,Font: Geneva 9,Boston 10,f,footnote,single space,FOOTNOTES,footnote text,Footnote Text Char Char,ft,F,Style 25"/>
    <w:basedOn w:val="Normal"/>
    <w:link w:val="FootnoteTextChar"/>
    <w:uiPriority w:val="99"/>
    <w:rsid w:val="00335447"/>
    <w:pPr>
      <w:keepNext/>
      <w:keepLines/>
      <w:suppressAutoHyphens w:val="0"/>
      <w:spacing w:after="120"/>
      <w:ind w:left="288" w:hanging="288"/>
      <w:jc w:val="both"/>
    </w:pPr>
    <w:rPr>
      <w:spacing w:val="-3"/>
      <w:sz w:val="20"/>
    </w:rPr>
  </w:style>
  <w:style w:type="character" w:customStyle="1" w:styleId="FootnoteTextChar">
    <w:name w:val="Footnote Text Char"/>
    <w:aliases w:val="fn Char,Texto de rodapé Char,nota_rodapé Char,nota de rodapé Char,Geneva 9 Char,Font: Geneva 9 Char,Boston 10 Char,f Char,footnote Char,single space Char,FOOTNOTES Char,footnote text Char,Footnote Text Char Char Char,ft Char,F Char"/>
    <w:basedOn w:val="DefaultParagraphFont"/>
    <w:link w:val="FootnoteText"/>
    <w:uiPriority w:val="99"/>
    <w:rsid w:val="00335447"/>
    <w:rPr>
      <w:rFonts w:ascii="Times New Roman" w:eastAsia="Times New Roman" w:hAnsi="Times New Roman" w:cs="Times New Roman"/>
      <w:spacing w:val="-3"/>
      <w:sz w:val="20"/>
      <w:szCs w:val="20"/>
    </w:rPr>
  </w:style>
  <w:style w:type="character" w:styleId="Hyperlink">
    <w:name w:val="Hyperlink"/>
    <w:basedOn w:val="DefaultParagraphFont"/>
    <w:rsid w:val="00335447"/>
    <w:rPr>
      <w:color w:val="0000FF"/>
      <w:u w:val="single"/>
    </w:rPr>
  </w:style>
  <w:style w:type="character" w:styleId="FootnoteReference">
    <w:name w:val="footnote reference"/>
    <w:aliases w:val="FC"/>
    <w:basedOn w:val="DefaultParagraphFont"/>
    <w:uiPriority w:val="99"/>
    <w:rsid w:val="00335447"/>
    <w:rPr>
      <w:position w:val="0"/>
      <w:vertAlign w:val="superscript"/>
    </w:rPr>
  </w:style>
  <w:style w:type="paragraph" w:styleId="ListParagraph">
    <w:name w:val="List Paragraph"/>
    <w:basedOn w:val="Normal"/>
    <w:uiPriority w:val="34"/>
    <w:qFormat/>
    <w:rsid w:val="00335447"/>
    <w:pPr>
      <w:ind w:left="720"/>
      <w:contextualSpacing/>
    </w:pPr>
  </w:style>
  <w:style w:type="table" w:styleId="TableGrid">
    <w:name w:val="Table Grid"/>
    <w:basedOn w:val="TableNormal"/>
    <w:uiPriority w:val="59"/>
    <w:rsid w:val="003354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33130"/>
    <w:rPr>
      <w:rFonts w:ascii="Tahoma" w:hAnsi="Tahoma" w:cs="Tahoma"/>
      <w:sz w:val="16"/>
      <w:szCs w:val="16"/>
    </w:rPr>
  </w:style>
  <w:style w:type="character" w:customStyle="1" w:styleId="BalloonTextChar">
    <w:name w:val="Balloon Text Char"/>
    <w:basedOn w:val="DefaultParagraphFont"/>
    <w:link w:val="BalloonText"/>
    <w:uiPriority w:val="99"/>
    <w:semiHidden/>
    <w:rsid w:val="00433130"/>
    <w:rPr>
      <w:rFonts w:ascii="Tahoma" w:eastAsia="Times New Roman" w:hAnsi="Tahoma" w:cs="Tahoma"/>
      <w:sz w:val="16"/>
      <w:szCs w:val="16"/>
    </w:rPr>
  </w:style>
  <w:style w:type="paragraph" w:styleId="Header">
    <w:name w:val="header"/>
    <w:basedOn w:val="Normal"/>
    <w:link w:val="HeaderChar"/>
    <w:uiPriority w:val="99"/>
    <w:unhideWhenUsed/>
    <w:rsid w:val="00C512E2"/>
    <w:pPr>
      <w:tabs>
        <w:tab w:val="center" w:pos="4680"/>
        <w:tab w:val="right" w:pos="9360"/>
      </w:tabs>
    </w:pPr>
  </w:style>
  <w:style w:type="character" w:customStyle="1" w:styleId="HeaderChar">
    <w:name w:val="Header Char"/>
    <w:basedOn w:val="DefaultParagraphFont"/>
    <w:link w:val="Header"/>
    <w:uiPriority w:val="99"/>
    <w:rsid w:val="00C512E2"/>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C512E2"/>
    <w:pPr>
      <w:tabs>
        <w:tab w:val="center" w:pos="4680"/>
        <w:tab w:val="right" w:pos="9360"/>
      </w:tabs>
    </w:pPr>
  </w:style>
  <w:style w:type="character" w:customStyle="1" w:styleId="FooterChar">
    <w:name w:val="Footer Char"/>
    <w:basedOn w:val="DefaultParagraphFont"/>
    <w:link w:val="Footer"/>
    <w:uiPriority w:val="99"/>
    <w:rsid w:val="00C512E2"/>
    <w:rPr>
      <w:rFonts w:ascii="Times New Roman" w:eastAsia="Times New Roman" w:hAnsi="Times New Roman" w:cs="Times New Roman"/>
      <w:sz w:val="24"/>
      <w:szCs w:val="20"/>
    </w:rPr>
  </w:style>
  <w:style w:type="character" w:styleId="FollowedHyperlink">
    <w:name w:val="FollowedHyperlink"/>
    <w:basedOn w:val="DefaultParagraphFont"/>
    <w:uiPriority w:val="99"/>
    <w:semiHidden/>
    <w:unhideWhenUsed/>
    <w:rsid w:val="0081234D"/>
    <w:rPr>
      <w:color w:val="800080" w:themeColor="followedHyperlink"/>
      <w:u w:val="single"/>
    </w:rPr>
  </w:style>
  <w:style w:type="paragraph" w:styleId="Revision">
    <w:name w:val="Revision"/>
    <w:hidden/>
    <w:uiPriority w:val="99"/>
    <w:semiHidden/>
    <w:rsid w:val="00E33D52"/>
    <w:pPr>
      <w:spacing w:after="0" w:line="240" w:lineRule="auto"/>
    </w:pPr>
    <w:rPr>
      <w:rFonts w:ascii="Times New Roman" w:eastAsia="Times New Roman" w:hAnsi="Times New Roman" w:cs="Times New Roman"/>
      <w:sz w:val="24"/>
      <w:szCs w:val="20"/>
    </w:rPr>
  </w:style>
  <w:style w:type="character" w:styleId="CommentReference">
    <w:name w:val="annotation reference"/>
    <w:basedOn w:val="DefaultParagraphFont"/>
    <w:uiPriority w:val="99"/>
    <w:semiHidden/>
    <w:unhideWhenUsed/>
    <w:rsid w:val="003F4831"/>
    <w:rPr>
      <w:sz w:val="16"/>
      <w:szCs w:val="16"/>
    </w:rPr>
  </w:style>
  <w:style w:type="paragraph" w:styleId="CommentText">
    <w:name w:val="annotation text"/>
    <w:basedOn w:val="Normal"/>
    <w:link w:val="CommentTextChar"/>
    <w:uiPriority w:val="99"/>
    <w:semiHidden/>
    <w:unhideWhenUsed/>
    <w:rsid w:val="003F4831"/>
    <w:rPr>
      <w:sz w:val="20"/>
    </w:rPr>
  </w:style>
  <w:style w:type="character" w:customStyle="1" w:styleId="CommentTextChar">
    <w:name w:val="Comment Text Char"/>
    <w:basedOn w:val="DefaultParagraphFont"/>
    <w:link w:val="CommentText"/>
    <w:uiPriority w:val="99"/>
    <w:semiHidden/>
    <w:rsid w:val="003F483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F4831"/>
    <w:rPr>
      <w:b/>
      <w:bCs/>
    </w:rPr>
  </w:style>
  <w:style w:type="character" w:customStyle="1" w:styleId="CommentSubjectChar">
    <w:name w:val="Comment Subject Char"/>
    <w:basedOn w:val="CommentTextChar"/>
    <w:link w:val="CommentSubject"/>
    <w:uiPriority w:val="99"/>
    <w:semiHidden/>
    <w:rsid w:val="003F4831"/>
    <w:rPr>
      <w:rFonts w:ascii="Times New Roman" w:eastAsia="Times New Roman" w:hAnsi="Times New Roman" w:cs="Times New Roman"/>
      <w:b/>
      <w:bCs/>
      <w:sz w:val="20"/>
      <w:szCs w:val="20"/>
    </w:rPr>
  </w:style>
  <w:style w:type="paragraph" w:customStyle="1" w:styleId="Chapter">
    <w:name w:val="Chapter"/>
    <w:basedOn w:val="Normal"/>
    <w:next w:val="Normal"/>
    <w:rsid w:val="007018E1"/>
    <w:pPr>
      <w:keepNext/>
      <w:numPr>
        <w:numId w:val="27"/>
      </w:numPr>
      <w:tabs>
        <w:tab w:val="clear" w:pos="1800"/>
        <w:tab w:val="num" w:pos="648"/>
        <w:tab w:val="left" w:pos="1440"/>
      </w:tabs>
      <w:suppressAutoHyphens w:val="0"/>
      <w:autoSpaceDN/>
      <w:spacing w:before="240" w:after="240"/>
      <w:ind w:left="0"/>
      <w:jc w:val="center"/>
      <w:textAlignment w:val="auto"/>
    </w:pPr>
    <w:rPr>
      <w:b/>
      <w:smallCaps/>
      <w:lang w:val="es-ES_tradnl"/>
    </w:rPr>
  </w:style>
  <w:style w:type="paragraph" w:customStyle="1" w:styleId="Paragraph">
    <w:name w:val="Paragraph"/>
    <w:aliases w:val="paragraph,p,PARAGRAPH,PG,pa,at,paragraph+1"/>
    <w:basedOn w:val="BodyTextIndent"/>
    <w:link w:val="ParagraphChar"/>
    <w:rsid w:val="007018E1"/>
    <w:pPr>
      <w:numPr>
        <w:ilvl w:val="1"/>
        <w:numId w:val="27"/>
      </w:numPr>
      <w:tabs>
        <w:tab w:val="clear" w:pos="2448"/>
        <w:tab w:val="num" w:pos="720"/>
      </w:tabs>
      <w:suppressAutoHyphens w:val="0"/>
      <w:autoSpaceDN/>
      <w:spacing w:before="120"/>
      <w:ind w:left="720" w:hanging="720"/>
      <w:jc w:val="both"/>
      <w:textAlignment w:val="auto"/>
      <w:outlineLvl w:val="1"/>
    </w:pPr>
    <w:rPr>
      <w:lang w:val="es-ES_tradnl"/>
    </w:rPr>
  </w:style>
  <w:style w:type="paragraph" w:customStyle="1" w:styleId="subpar">
    <w:name w:val="subpar"/>
    <w:basedOn w:val="BodyTextIndent3"/>
    <w:rsid w:val="007018E1"/>
    <w:pPr>
      <w:numPr>
        <w:ilvl w:val="2"/>
        <w:numId w:val="27"/>
      </w:numPr>
      <w:tabs>
        <w:tab w:val="clear" w:pos="2304"/>
        <w:tab w:val="num" w:pos="1152"/>
      </w:tabs>
      <w:suppressAutoHyphens w:val="0"/>
      <w:autoSpaceDN/>
      <w:spacing w:before="120"/>
      <w:ind w:left="1152"/>
      <w:jc w:val="both"/>
      <w:textAlignment w:val="auto"/>
      <w:outlineLvl w:val="2"/>
    </w:pPr>
    <w:rPr>
      <w:sz w:val="24"/>
      <w:szCs w:val="20"/>
      <w:lang w:val="es-ES_tradnl"/>
    </w:rPr>
  </w:style>
  <w:style w:type="paragraph" w:customStyle="1" w:styleId="SubSubPar">
    <w:name w:val="SubSubPar"/>
    <w:basedOn w:val="subpar"/>
    <w:rsid w:val="007018E1"/>
    <w:pPr>
      <w:numPr>
        <w:ilvl w:val="3"/>
      </w:numPr>
      <w:tabs>
        <w:tab w:val="clear" w:pos="2736"/>
        <w:tab w:val="left" w:pos="0"/>
        <w:tab w:val="num" w:pos="1296"/>
      </w:tabs>
      <w:ind w:left="1296"/>
    </w:pPr>
  </w:style>
  <w:style w:type="character" w:customStyle="1" w:styleId="ParagraphChar">
    <w:name w:val="Paragraph Char"/>
    <w:link w:val="Paragraph"/>
    <w:locked/>
    <w:rsid w:val="007018E1"/>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semiHidden/>
    <w:unhideWhenUsed/>
    <w:rsid w:val="007018E1"/>
    <w:pPr>
      <w:spacing w:after="120"/>
      <w:ind w:left="360"/>
    </w:pPr>
  </w:style>
  <w:style w:type="character" w:customStyle="1" w:styleId="BodyTextIndentChar">
    <w:name w:val="Body Text Indent Char"/>
    <w:basedOn w:val="DefaultParagraphFont"/>
    <w:link w:val="BodyTextIndent"/>
    <w:uiPriority w:val="99"/>
    <w:semiHidden/>
    <w:rsid w:val="007018E1"/>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7018E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018E1"/>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8699951">
      <w:bodyDiv w:val="1"/>
      <w:marLeft w:val="0"/>
      <w:marRight w:val="0"/>
      <w:marTop w:val="0"/>
      <w:marBottom w:val="0"/>
      <w:divBdr>
        <w:top w:val="none" w:sz="0" w:space="0" w:color="auto"/>
        <w:left w:val="none" w:sz="0" w:space="0" w:color="auto"/>
        <w:bottom w:val="none" w:sz="0" w:space="0" w:color="auto"/>
        <w:right w:val="none" w:sz="0" w:space="0" w:color="auto"/>
      </w:divBdr>
    </w:div>
    <w:div w:id="884222460">
      <w:bodyDiv w:val="1"/>
      <w:marLeft w:val="0"/>
      <w:marRight w:val="0"/>
      <w:marTop w:val="0"/>
      <w:marBottom w:val="0"/>
      <w:divBdr>
        <w:top w:val="none" w:sz="0" w:space="0" w:color="auto"/>
        <w:left w:val="none" w:sz="0" w:space="0" w:color="auto"/>
        <w:bottom w:val="none" w:sz="0" w:space="0" w:color="auto"/>
        <w:right w:val="none" w:sz="0" w:space="0" w:color="auto"/>
      </w:divBdr>
    </w:div>
    <w:div w:id="1025131712">
      <w:bodyDiv w:val="1"/>
      <w:marLeft w:val="0"/>
      <w:marRight w:val="0"/>
      <w:marTop w:val="0"/>
      <w:marBottom w:val="0"/>
      <w:divBdr>
        <w:top w:val="none" w:sz="0" w:space="0" w:color="auto"/>
        <w:left w:val="none" w:sz="0" w:space="0" w:color="auto"/>
        <w:bottom w:val="none" w:sz="0" w:space="0" w:color="auto"/>
        <w:right w:val="none" w:sz="0" w:space="0" w:color="auto"/>
      </w:divBdr>
    </w:div>
    <w:div w:id="1832285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hyperlink" Target="http://www.iniciativasepa.org/bid/sitio/guyana/index_ing.htm" TargetMode="Externa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adb.org/procurement"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idbdocs.iadb.org/WSdocs/getDocument.aspx?DOCNUM=40456552" TargetMode="Externa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yperlink" Target="http://www.iadb.org/procurement"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831934BA7055B842A6C6A308214BC43C" ma:contentTypeVersion="0" ma:contentTypeDescription="A content type to manage public (operations) IDB documents" ma:contentTypeScope="" ma:versionID="7b26e940cccf19c6852fade9ec0bc306">
  <xsd:schema xmlns:xsd="http://www.w3.org/2001/XMLSchema" xmlns:xs="http://www.w3.org/2001/XMLSchema" xmlns:p="http://schemas.microsoft.com/office/2006/metadata/properties" xmlns:ns2="9c571b2f-e523-4ab2-ba2e-09e151a03ef4" targetNamespace="http://schemas.microsoft.com/office/2006/metadata/properties" ma:root="true" ma:fieldsID="bed0c60aee55836dee446e400aadbc6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6b746e2-960d-40fc-9055-2aaee7227fec}" ma:internalName="TaxCatchAll" ma:showField="CatchAllData" ma:web="ca17b81a-716b-4c53-9a6c-46fd54eb1c9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6b746e2-960d-40fc-9055-2aaee7227fec}" ma:internalName="TaxCatchAllLabel" ma:readOnly="true" ma:showField="CatchAllDataLabel" ma:web="ca17b81a-716b-4c53-9a6c-46fd54eb1c9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SCL/SPH</Division_x0020_or_x0020_Unit>
    <Other_x0020_Author xmlns="9c571b2f-e523-4ab2-ba2e-09e151a03ef4" xsi:nil="true"/>
    <Region xmlns="9c571b2f-e523-4ab2-ba2e-09e151a03ef4" xsi:nil="true"/>
    <IDBDocs_x0020_Number xmlns="9c571b2f-e523-4ab2-ba2e-09e151a03ef4">40689752</IDBDocs_x0020_Number>
    <Document_x0020_Author xmlns="9c571b2f-e523-4ab2-ba2e-09e151a03ef4">Distrutti, Marcella</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GY-L1058</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Proposal&lt;/USER_STAGE&gt;&lt;PD_OBJ_TYPE&gt;0&lt;/PD_OBJ_TYPE&gt;&lt;DTAPPROVAL&gt;Oct 26 2016 12:00AM&lt;/DTAPPROVAL&gt;&lt;MAKERECORD&gt;N&lt;/MAKERECORD&gt;&lt;/Data&gt;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IJ-FMJ</Webtopic>
    <Identifier xmlns="9c571b2f-e523-4ab2-ba2e-09e151a03ef4">PR-4427 ANNEX</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A3AF3B24-B926-4D88-A60F-54269C59CA93}"/>
</file>

<file path=customXml/itemProps2.xml><?xml version="1.0" encoding="utf-8"?>
<ds:datastoreItem xmlns:ds="http://schemas.openxmlformats.org/officeDocument/2006/customXml" ds:itemID="{69C83B66-264F-49B9-94EB-C901AF8E3387}"/>
</file>

<file path=customXml/itemProps3.xml><?xml version="1.0" encoding="utf-8"?>
<ds:datastoreItem xmlns:ds="http://schemas.openxmlformats.org/officeDocument/2006/customXml" ds:itemID="{AAD36EAF-3962-4A87-A430-490BD2B0542F}"/>
</file>

<file path=customXml/itemProps4.xml><?xml version="1.0" encoding="utf-8"?>
<ds:datastoreItem xmlns:ds="http://schemas.openxmlformats.org/officeDocument/2006/customXml" ds:itemID="{C7FE3E9B-1713-4A56-A221-A74126F74CB7}"/>
</file>

<file path=customXml/itemProps5.xml><?xml version="1.0" encoding="utf-8"?>
<ds:datastoreItem xmlns:ds="http://schemas.openxmlformats.org/officeDocument/2006/customXml" ds:itemID="{771CBF08-FFB3-4B31-AE06-27082CDA3699}"/>
</file>

<file path=customXml/itemProps6.xml><?xml version="1.0" encoding="utf-8"?>
<ds:datastoreItem xmlns:ds="http://schemas.openxmlformats.org/officeDocument/2006/customXml" ds:itemID="{768E50DA-796D-4F05-B21F-685A244367EE}"/>
</file>

<file path=docProps/app.xml><?xml version="1.0" encoding="utf-8"?>
<Properties xmlns="http://schemas.openxmlformats.org/officeDocument/2006/extended-properties" xmlns:vt="http://schemas.openxmlformats.org/officeDocument/2006/docPropsVTypes">
  <Template>Normal.dotm</Template>
  <TotalTime>5</TotalTime>
  <Pages>6</Pages>
  <Words>3446</Words>
  <Characters>19646</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23046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III - Board</dc:title>
  <dc:creator>Inter-American Development Bank</dc:creator>
  <cp:lastModifiedBy>Inter-American Development Bank</cp:lastModifiedBy>
  <cp:revision>4</cp:revision>
  <cp:lastPrinted>2016-10-03T17:29:00Z</cp:lastPrinted>
  <dcterms:created xsi:type="dcterms:W3CDTF">2016-10-03T17:34:00Z</dcterms:created>
  <dcterms:modified xsi:type="dcterms:W3CDTF">2016-10-03T17:38:00Z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0x01010046CF21643EE8D14686A648AA6DAD089200831934BA7055B842A6C6A308214BC43C</vt:lpwstr>
  </property>
  <property fmtid="{D5CDD505-2E9C-101B-9397-08002B2CF9AE}" pid="5" name="TaxKeywordTaxHTField">
    <vt:lpwstr/>
  </property>
  <property fmtid="{D5CDD505-2E9C-101B-9397-08002B2CF9AE}" pid="6" name="Series Operations IDB">
    <vt:lpwstr>4;#Unclassified|a6dff32e-d477-44cd-a56b-85efe9e0a56c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5;#IDBDocs|cca77002-e150-4b2d-ab1f-1d7a7cdcae16</vt:lpwstr>
  </property>
</Properties>
</file>