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1A171" w14:textId="77777777" w:rsidR="00C419B8" w:rsidRPr="001C59A0" w:rsidRDefault="00C419B8" w:rsidP="00C419B8">
      <w:pPr>
        <w:pStyle w:val="Title"/>
        <w:keepNext/>
        <w:rPr>
          <w:rFonts w:ascii="Arial" w:hAnsi="Arial" w:cs="Arial"/>
          <w:smallCaps/>
          <w:sz w:val="20"/>
        </w:rPr>
      </w:pPr>
      <w:r w:rsidRPr="001C59A0">
        <w:rPr>
          <w:rFonts w:ascii="Arial" w:hAnsi="Arial" w:cs="Arial"/>
          <w:smallCaps/>
          <w:sz w:val="20"/>
        </w:rPr>
        <w:t>Documento del Banco Interamericano de Desarrollo</w:t>
      </w:r>
    </w:p>
    <w:p w14:paraId="27AB1424" w14:textId="77777777" w:rsidR="00C419B8" w:rsidRPr="001C59A0" w:rsidRDefault="00C419B8" w:rsidP="00C419B8">
      <w:pPr>
        <w:keepNext/>
        <w:jc w:val="center"/>
        <w:outlineLvl w:val="0"/>
        <w:rPr>
          <w:rFonts w:ascii="Arial" w:hAnsi="Arial" w:cs="Arial"/>
          <w:lang w:val="es-ES"/>
        </w:rPr>
      </w:pPr>
    </w:p>
    <w:p w14:paraId="6930635F" w14:textId="77777777" w:rsidR="00C419B8" w:rsidRPr="001C59A0" w:rsidRDefault="00C419B8" w:rsidP="00C419B8">
      <w:pPr>
        <w:keepNext/>
        <w:jc w:val="center"/>
        <w:rPr>
          <w:rFonts w:ascii="Arial" w:hAnsi="Arial" w:cs="Arial"/>
          <w:lang w:val="es-ES"/>
        </w:rPr>
      </w:pPr>
    </w:p>
    <w:p w14:paraId="0061197E" w14:textId="77777777" w:rsidR="00C419B8" w:rsidRPr="001C59A0" w:rsidRDefault="00C419B8" w:rsidP="00C419B8">
      <w:pPr>
        <w:keepNext/>
        <w:jc w:val="center"/>
        <w:rPr>
          <w:rFonts w:ascii="Arial" w:hAnsi="Arial" w:cs="Arial"/>
          <w:lang w:val="es-ES"/>
        </w:rPr>
      </w:pPr>
    </w:p>
    <w:p w14:paraId="281BB26B" w14:textId="77777777" w:rsidR="00C419B8" w:rsidRPr="001C59A0" w:rsidRDefault="00C419B8" w:rsidP="00C419B8">
      <w:pPr>
        <w:keepNext/>
        <w:jc w:val="center"/>
        <w:rPr>
          <w:rFonts w:ascii="Arial" w:hAnsi="Arial" w:cs="Arial"/>
          <w:lang w:val="es-ES"/>
        </w:rPr>
      </w:pPr>
    </w:p>
    <w:p w14:paraId="49987CD4" w14:textId="77777777" w:rsidR="00C419B8" w:rsidRPr="001C59A0" w:rsidRDefault="00C419B8" w:rsidP="00C419B8">
      <w:pPr>
        <w:keepNext/>
        <w:jc w:val="center"/>
        <w:rPr>
          <w:rFonts w:ascii="Arial" w:hAnsi="Arial" w:cs="Arial"/>
          <w:lang w:val="es-ES"/>
        </w:rPr>
      </w:pPr>
    </w:p>
    <w:p w14:paraId="79F99D97" w14:textId="77777777" w:rsidR="00C419B8" w:rsidRPr="001C59A0" w:rsidRDefault="00C419B8" w:rsidP="00C419B8">
      <w:pPr>
        <w:keepNext/>
        <w:jc w:val="center"/>
        <w:rPr>
          <w:rFonts w:ascii="Arial" w:hAnsi="Arial" w:cs="Arial"/>
          <w:lang w:val="es-ES"/>
        </w:rPr>
      </w:pPr>
    </w:p>
    <w:p w14:paraId="781F9C1E" w14:textId="77777777" w:rsidR="00C419B8" w:rsidRPr="001C59A0" w:rsidRDefault="00C419B8" w:rsidP="00C419B8">
      <w:pPr>
        <w:keepNext/>
        <w:jc w:val="center"/>
        <w:rPr>
          <w:rFonts w:ascii="Arial" w:hAnsi="Arial" w:cs="Arial"/>
          <w:lang w:val="es-ES"/>
        </w:rPr>
      </w:pPr>
    </w:p>
    <w:p w14:paraId="03773F59" w14:textId="3B1A2486" w:rsidR="00A46B68" w:rsidRDefault="00A46B68" w:rsidP="00A46B68">
      <w:pPr>
        <w:tabs>
          <w:tab w:val="left" w:pos="1440"/>
          <w:tab w:val="left" w:pos="3060"/>
        </w:tabs>
        <w:jc w:val="center"/>
        <w:rPr>
          <w:rFonts w:ascii="Arial" w:hAnsi="Arial" w:cs="Arial"/>
          <w:b/>
          <w:smallCaps/>
          <w:sz w:val="28"/>
          <w:szCs w:val="28"/>
          <w:lang w:val="es-ES_tradnl"/>
        </w:rPr>
      </w:pPr>
      <w:r w:rsidRPr="00A46B68">
        <w:rPr>
          <w:rFonts w:ascii="Arial" w:hAnsi="Arial" w:cs="Arial"/>
          <w:b/>
          <w:smallCaps/>
          <w:sz w:val="28"/>
          <w:szCs w:val="28"/>
          <w:lang w:val="es-ES_tradnl"/>
        </w:rPr>
        <w:t>HONDURAS</w:t>
      </w:r>
      <w:r w:rsidRPr="00A46B68">
        <w:rPr>
          <w:rFonts w:ascii="Arial" w:hAnsi="Arial" w:cs="Arial"/>
          <w:b/>
          <w:smallCaps/>
          <w:sz w:val="28"/>
          <w:szCs w:val="28"/>
          <w:lang w:val="es-ES_tradnl"/>
        </w:rPr>
        <w:cr/>
      </w:r>
    </w:p>
    <w:p w14:paraId="74F80849" w14:textId="77777777" w:rsidR="00A46B68" w:rsidRPr="00A46B68" w:rsidRDefault="00A46B68" w:rsidP="00A46B68">
      <w:pPr>
        <w:tabs>
          <w:tab w:val="left" w:pos="1440"/>
          <w:tab w:val="left" w:pos="3060"/>
        </w:tabs>
        <w:jc w:val="center"/>
        <w:rPr>
          <w:rFonts w:ascii="Arial" w:hAnsi="Arial" w:cs="Arial"/>
          <w:b/>
          <w:smallCaps/>
          <w:sz w:val="28"/>
          <w:szCs w:val="28"/>
          <w:lang w:val="es-ES_tradnl"/>
        </w:rPr>
      </w:pPr>
    </w:p>
    <w:p w14:paraId="10C5E89D" w14:textId="6A62D007" w:rsidR="00A46B68" w:rsidRDefault="00A46B68" w:rsidP="00A46B68">
      <w:pPr>
        <w:tabs>
          <w:tab w:val="left" w:pos="1440"/>
          <w:tab w:val="left" w:pos="3060"/>
        </w:tabs>
        <w:jc w:val="center"/>
        <w:rPr>
          <w:rFonts w:ascii="Arial" w:hAnsi="Arial" w:cs="Arial"/>
          <w:b/>
          <w:smallCaps/>
          <w:sz w:val="28"/>
          <w:szCs w:val="28"/>
          <w:lang w:val="es-ES_tradnl"/>
        </w:rPr>
      </w:pPr>
      <w:r w:rsidRPr="00A46B68">
        <w:rPr>
          <w:rFonts w:ascii="Arial" w:hAnsi="Arial" w:cs="Arial"/>
          <w:b/>
          <w:smallCaps/>
          <w:sz w:val="28"/>
          <w:szCs w:val="28"/>
          <w:lang w:val="es-ES_tradnl"/>
        </w:rPr>
        <w:t>APOYO PROGRAMÁTICO A REFORMAS DEL SECTOR ELÉCTRICO. TERCER PRÉSTAMO</w:t>
      </w:r>
      <w:r w:rsidRPr="00A46B68">
        <w:rPr>
          <w:rFonts w:ascii="Arial" w:hAnsi="Arial" w:cs="Arial"/>
          <w:b/>
          <w:smallCaps/>
          <w:sz w:val="28"/>
          <w:szCs w:val="28"/>
          <w:lang w:val="es-ES_tradnl"/>
        </w:rPr>
        <w:cr/>
      </w:r>
    </w:p>
    <w:p w14:paraId="6BD391F4" w14:textId="77777777" w:rsidR="00A46B68" w:rsidRPr="00A46B68" w:rsidRDefault="00A46B68" w:rsidP="00A46B68">
      <w:pPr>
        <w:tabs>
          <w:tab w:val="left" w:pos="1440"/>
          <w:tab w:val="left" w:pos="3060"/>
        </w:tabs>
        <w:jc w:val="center"/>
        <w:rPr>
          <w:rFonts w:ascii="Arial" w:hAnsi="Arial" w:cs="Arial"/>
          <w:b/>
          <w:smallCaps/>
          <w:sz w:val="28"/>
          <w:szCs w:val="28"/>
          <w:lang w:val="es-ES_tradnl"/>
        </w:rPr>
      </w:pPr>
    </w:p>
    <w:p w14:paraId="5DEDEAA8" w14:textId="0CE13EC8" w:rsidR="00C419B8" w:rsidRPr="001C59A0" w:rsidRDefault="00A46B68" w:rsidP="00C419B8">
      <w:pPr>
        <w:tabs>
          <w:tab w:val="left" w:pos="1440"/>
          <w:tab w:val="left" w:pos="3060"/>
        </w:tabs>
        <w:jc w:val="center"/>
        <w:rPr>
          <w:rFonts w:ascii="Arial" w:hAnsi="Arial" w:cs="Arial"/>
          <w:smallCaps/>
          <w:szCs w:val="22"/>
          <w:lang w:val="es-ES"/>
        </w:rPr>
      </w:pPr>
      <w:r w:rsidRPr="00A46B68">
        <w:rPr>
          <w:rFonts w:ascii="Arial" w:hAnsi="Arial" w:cs="Arial"/>
          <w:b/>
          <w:smallCaps/>
          <w:sz w:val="28"/>
          <w:szCs w:val="28"/>
          <w:lang w:val="es-ES_tradnl"/>
        </w:rPr>
        <w:t>(HO-L1189)</w:t>
      </w:r>
      <w:r w:rsidRPr="00A46B68">
        <w:rPr>
          <w:rFonts w:ascii="Arial" w:hAnsi="Arial" w:cs="Arial"/>
          <w:b/>
          <w:smallCaps/>
          <w:sz w:val="28"/>
          <w:szCs w:val="28"/>
          <w:lang w:val="es-ES_tradnl"/>
        </w:rPr>
        <w:cr/>
      </w:r>
    </w:p>
    <w:p w14:paraId="0B500E45" w14:textId="77777777" w:rsidR="00C419B8" w:rsidRDefault="00C419B8" w:rsidP="00C419B8">
      <w:pPr>
        <w:tabs>
          <w:tab w:val="left" w:pos="1440"/>
          <w:tab w:val="left" w:pos="3060"/>
        </w:tabs>
        <w:jc w:val="center"/>
        <w:rPr>
          <w:rFonts w:ascii="Arial" w:hAnsi="Arial" w:cs="Arial"/>
          <w:smallCaps/>
          <w:szCs w:val="22"/>
          <w:lang w:val="es-ES"/>
        </w:rPr>
      </w:pPr>
    </w:p>
    <w:p w14:paraId="19401B60" w14:textId="77777777" w:rsidR="001C59A0" w:rsidRDefault="001C59A0" w:rsidP="00C419B8">
      <w:pPr>
        <w:tabs>
          <w:tab w:val="left" w:pos="1440"/>
          <w:tab w:val="left" w:pos="3060"/>
        </w:tabs>
        <w:jc w:val="center"/>
        <w:rPr>
          <w:rFonts w:ascii="Arial" w:hAnsi="Arial" w:cs="Arial"/>
          <w:smallCaps/>
          <w:szCs w:val="22"/>
          <w:lang w:val="es-ES"/>
        </w:rPr>
      </w:pPr>
    </w:p>
    <w:p w14:paraId="4B66EF17" w14:textId="77777777" w:rsidR="001C59A0" w:rsidRDefault="001C59A0" w:rsidP="00C419B8">
      <w:pPr>
        <w:tabs>
          <w:tab w:val="left" w:pos="1440"/>
          <w:tab w:val="left" w:pos="3060"/>
        </w:tabs>
        <w:jc w:val="center"/>
        <w:rPr>
          <w:rFonts w:ascii="Arial" w:hAnsi="Arial" w:cs="Arial"/>
          <w:smallCaps/>
          <w:szCs w:val="22"/>
          <w:lang w:val="es-ES"/>
        </w:rPr>
      </w:pPr>
    </w:p>
    <w:p w14:paraId="46EF2E8E" w14:textId="77777777" w:rsidR="001C59A0" w:rsidRDefault="001C59A0" w:rsidP="00C419B8">
      <w:pPr>
        <w:tabs>
          <w:tab w:val="left" w:pos="1440"/>
          <w:tab w:val="left" w:pos="3060"/>
        </w:tabs>
        <w:jc w:val="center"/>
        <w:rPr>
          <w:rFonts w:ascii="Arial" w:hAnsi="Arial" w:cs="Arial"/>
          <w:smallCaps/>
          <w:szCs w:val="22"/>
          <w:lang w:val="es-ES"/>
        </w:rPr>
      </w:pPr>
    </w:p>
    <w:p w14:paraId="60D9D853" w14:textId="77777777" w:rsidR="001C59A0" w:rsidRDefault="001C59A0" w:rsidP="00C419B8">
      <w:pPr>
        <w:tabs>
          <w:tab w:val="left" w:pos="1440"/>
          <w:tab w:val="left" w:pos="3060"/>
        </w:tabs>
        <w:jc w:val="center"/>
        <w:rPr>
          <w:rFonts w:ascii="Arial" w:hAnsi="Arial" w:cs="Arial"/>
          <w:smallCaps/>
          <w:szCs w:val="22"/>
          <w:lang w:val="es-ES"/>
        </w:rPr>
      </w:pPr>
    </w:p>
    <w:p w14:paraId="204CC0B8" w14:textId="77777777" w:rsidR="001C59A0" w:rsidRDefault="001C59A0" w:rsidP="00C419B8">
      <w:pPr>
        <w:tabs>
          <w:tab w:val="left" w:pos="1440"/>
          <w:tab w:val="left" w:pos="3060"/>
        </w:tabs>
        <w:jc w:val="center"/>
        <w:rPr>
          <w:rFonts w:ascii="Arial" w:hAnsi="Arial" w:cs="Arial"/>
          <w:smallCaps/>
          <w:szCs w:val="22"/>
          <w:lang w:val="es-ES"/>
        </w:rPr>
      </w:pPr>
    </w:p>
    <w:p w14:paraId="3B8A2125" w14:textId="77777777" w:rsidR="001C59A0" w:rsidRDefault="001C59A0" w:rsidP="00C419B8">
      <w:pPr>
        <w:tabs>
          <w:tab w:val="left" w:pos="1440"/>
          <w:tab w:val="left" w:pos="3060"/>
        </w:tabs>
        <w:jc w:val="center"/>
        <w:rPr>
          <w:rFonts w:ascii="Arial" w:hAnsi="Arial" w:cs="Arial"/>
          <w:smallCaps/>
          <w:szCs w:val="22"/>
          <w:lang w:val="es-ES"/>
        </w:rPr>
      </w:pPr>
    </w:p>
    <w:p w14:paraId="3D265B2A" w14:textId="77777777" w:rsidR="001C59A0" w:rsidRPr="001C59A0" w:rsidRDefault="001C59A0" w:rsidP="00C419B8">
      <w:pPr>
        <w:tabs>
          <w:tab w:val="left" w:pos="1440"/>
          <w:tab w:val="left" w:pos="3060"/>
        </w:tabs>
        <w:jc w:val="center"/>
        <w:rPr>
          <w:rFonts w:ascii="Arial" w:hAnsi="Arial" w:cs="Arial"/>
          <w:smallCaps/>
          <w:szCs w:val="22"/>
          <w:lang w:val="es-ES"/>
        </w:rPr>
      </w:pPr>
    </w:p>
    <w:p w14:paraId="0384221E" w14:textId="77777777" w:rsidR="00C419B8" w:rsidRPr="001C59A0" w:rsidRDefault="00C419B8" w:rsidP="00C419B8">
      <w:pPr>
        <w:tabs>
          <w:tab w:val="left" w:pos="1440"/>
          <w:tab w:val="left" w:pos="3060"/>
        </w:tabs>
        <w:jc w:val="center"/>
        <w:rPr>
          <w:rFonts w:ascii="Arial" w:hAnsi="Arial" w:cs="Arial"/>
          <w:smallCaps/>
          <w:szCs w:val="22"/>
          <w:lang w:val="es-ES"/>
        </w:rPr>
      </w:pPr>
    </w:p>
    <w:p w14:paraId="7F1D93CA" w14:textId="77777777" w:rsidR="00C419B8" w:rsidRPr="001C59A0" w:rsidRDefault="00C419B8" w:rsidP="00C419B8">
      <w:pPr>
        <w:tabs>
          <w:tab w:val="left" w:pos="1440"/>
          <w:tab w:val="left" w:pos="3060"/>
        </w:tabs>
        <w:jc w:val="center"/>
        <w:rPr>
          <w:rFonts w:ascii="Arial" w:hAnsi="Arial" w:cs="Arial"/>
          <w:smallCaps/>
          <w:szCs w:val="22"/>
          <w:lang w:val="es-ES"/>
        </w:rPr>
      </w:pPr>
    </w:p>
    <w:p w14:paraId="2CBBA3BF" w14:textId="77777777" w:rsidR="00C419B8" w:rsidRPr="001C59A0" w:rsidRDefault="00C419B8" w:rsidP="00C419B8">
      <w:pPr>
        <w:tabs>
          <w:tab w:val="left" w:pos="1440"/>
          <w:tab w:val="left" w:pos="3060"/>
        </w:tabs>
        <w:jc w:val="center"/>
        <w:outlineLvl w:val="0"/>
        <w:rPr>
          <w:rFonts w:ascii="Arial" w:hAnsi="Arial" w:cs="Arial"/>
          <w:b/>
          <w:sz w:val="28"/>
          <w:lang w:val="es-ES"/>
        </w:rPr>
      </w:pPr>
      <w:r w:rsidRPr="001C59A0">
        <w:rPr>
          <w:rFonts w:ascii="Arial" w:hAnsi="Arial" w:cs="Arial"/>
          <w:b/>
          <w:smallCaps/>
          <w:sz w:val="28"/>
          <w:lang w:val="es-ES"/>
        </w:rPr>
        <w:t>Plan de Seguimiento y Evaluación</w:t>
      </w:r>
    </w:p>
    <w:p w14:paraId="35859780" w14:textId="77777777" w:rsidR="00C419B8" w:rsidRPr="001C59A0" w:rsidRDefault="00C419B8" w:rsidP="00C419B8">
      <w:pPr>
        <w:pStyle w:val="ListParagraph"/>
        <w:tabs>
          <w:tab w:val="left" w:pos="1440"/>
          <w:tab w:val="left" w:pos="3060"/>
        </w:tabs>
        <w:ind w:left="1080"/>
        <w:jc w:val="center"/>
        <w:rPr>
          <w:rFonts w:ascii="Arial" w:hAnsi="Arial" w:cs="Arial"/>
          <w:szCs w:val="22"/>
          <w:lang w:val="es-ES"/>
        </w:rPr>
      </w:pPr>
    </w:p>
    <w:p w14:paraId="6111DD6B"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05683C7F"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0AE599D3"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254AE448"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5247393"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6394F9E" w14:textId="49EDA08F" w:rsidR="00C419B8" w:rsidRDefault="00C419B8" w:rsidP="00C419B8">
      <w:pPr>
        <w:pStyle w:val="ListParagraph"/>
        <w:tabs>
          <w:tab w:val="left" w:pos="1440"/>
          <w:tab w:val="left" w:pos="3060"/>
        </w:tabs>
        <w:ind w:left="1080"/>
        <w:rPr>
          <w:rFonts w:ascii="Arial" w:hAnsi="Arial" w:cs="Arial"/>
          <w:sz w:val="22"/>
          <w:szCs w:val="22"/>
          <w:lang w:val="es-ES"/>
        </w:rPr>
      </w:pPr>
    </w:p>
    <w:p w14:paraId="3C357C8B" w14:textId="77777777" w:rsidR="00E24E40" w:rsidRPr="001C59A0" w:rsidRDefault="00E24E40" w:rsidP="00C419B8">
      <w:pPr>
        <w:pStyle w:val="ListParagraph"/>
        <w:tabs>
          <w:tab w:val="left" w:pos="1440"/>
          <w:tab w:val="left" w:pos="3060"/>
        </w:tabs>
        <w:ind w:left="1080"/>
        <w:rPr>
          <w:rFonts w:ascii="Arial" w:hAnsi="Arial" w:cs="Arial"/>
          <w:sz w:val="22"/>
          <w:szCs w:val="22"/>
          <w:lang w:val="es-ES"/>
        </w:rPr>
      </w:pPr>
    </w:p>
    <w:p w14:paraId="1FB03C1D"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6FEE499"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3B94A709"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50D8DBDC"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5A9796A5" w14:textId="097E1C8F" w:rsidR="00E24E40" w:rsidRPr="00E24E40" w:rsidRDefault="00016161" w:rsidP="00E24E4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046E14">
        <w:rPr>
          <w:rFonts w:ascii="Arial" w:hAnsi="Arial" w:cs="Arial"/>
          <w:sz w:val="20"/>
          <w:lang w:val="es-ES"/>
        </w:rPr>
        <w:t>Este documento fue preparado por el e</w:t>
      </w:r>
      <w:r>
        <w:rPr>
          <w:rFonts w:ascii="Arial" w:hAnsi="Arial" w:cs="Arial"/>
          <w:sz w:val="20"/>
          <w:lang w:val="es-ES"/>
        </w:rPr>
        <w:t>quipo de proyecto integrado por:</w:t>
      </w:r>
      <w:r w:rsidRPr="00D26602">
        <w:rPr>
          <w:rFonts w:ascii="Arial" w:hAnsi="Arial" w:cs="Arial"/>
          <w:sz w:val="20"/>
          <w:szCs w:val="22"/>
          <w:lang w:val="es-CO"/>
        </w:rPr>
        <w:t xml:space="preserve"> </w:t>
      </w:r>
      <w:r w:rsidRPr="000F0B9E">
        <w:rPr>
          <w:rFonts w:ascii="Arial" w:hAnsi="Arial" w:cs="Arial"/>
          <w:sz w:val="20"/>
          <w:szCs w:val="22"/>
          <w:lang w:val="es-CO"/>
        </w:rPr>
        <w:t xml:space="preserve">Carlos Jacome (ENE/CHO), Jefe de Equipo; </w:t>
      </w:r>
      <w:r>
        <w:rPr>
          <w:rFonts w:ascii="Arial" w:hAnsi="Arial" w:cs="Arial"/>
          <w:sz w:val="20"/>
          <w:szCs w:val="22"/>
          <w:lang w:val="es-CO"/>
        </w:rPr>
        <w:t xml:space="preserve">Michelle </w:t>
      </w:r>
      <w:r w:rsidRPr="005110B1">
        <w:rPr>
          <w:rFonts w:ascii="Arial" w:hAnsi="Arial" w:cs="Arial"/>
          <w:sz w:val="20"/>
          <w:szCs w:val="22"/>
          <w:lang w:val="es-CO"/>
        </w:rPr>
        <w:t>Carvalho</w:t>
      </w:r>
      <w:r w:rsidRPr="000F0B9E">
        <w:rPr>
          <w:rFonts w:ascii="Arial" w:hAnsi="Arial" w:cs="Arial"/>
          <w:sz w:val="20"/>
          <w:szCs w:val="22"/>
          <w:lang w:val="es-CO"/>
        </w:rPr>
        <w:t xml:space="preserve">; </w:t>
      </w:r>
      <w:r>
        <w:rPr>
          <w:rFonts w:ascii="Arial" w:hAnsi="Arial" w:cs="Arial"/>
          <w:sz w:val="20"/>
          <w:szCs w:val="22"/>
          <w:lang w:val="es-CO"/>
        </w:rPr>
        <w:t xml:space="preserve">Alberto Levy; </w:t>
      </w:r>
      <w:r w:rsidRPr="000F0B9E">
        <w:rPr>
          <w:rFonts w:ascii="Arial" w:hAnsi="Arial" w:cs="Arial"/>
          <w:sz w:val="20"/>
          <w:szCs w:val="22"/>
          <w:lang w:val="es-CO"/>
        </w:rPr>
        <w:t>Wilkferg Vanegas</w:t>
      </w:r>
      <w:r>
        <w:rPr>
          <w:rFonts w:ascii="Arial" w:hAnsi="Arial" w:cs="Arial"/>
          <w:sz w:val="20"/>
          <w:szCs w:val="22"/>
          <w:lang w:val="es-CO"/>
        </w:rPr>
        <w:t>, y</w:t>
      </w:r>
      <w:r w:rsidRPr="000F0B9E">
        <w:rPr>
          <w:rFonts w:ascii="Arial" w:hAnsi="Arial" w:cs="Arial"/>
          <w:sz w:val="20"/>
          <w:szCs w:val="22"/>
          <w:lang w:val="es-CO"/>
        </w:rPr>
        <w:t xml:space="preserve"> Stephanie </w:t>
      </w:r>
      <w:proofErr w:type="spellStart"/>
      <w:r w:rsidRPr="000F0B9E">
        <w:rPr>
          <w:rFonts w:ascii="Arial" w:hAnsi="Arial" w:cs="Arial"/>
          <w:sz w:val="20"/>
          <w:szCs w:val="22"/>
          <w:lang w:val="es-CO"/>
        </w:rPr>
        <w:t>Suber</w:t>
      </w:r>
      <w:proofErr w:type="spellEnd"/>
      <w:r w:rsidRPr="000F0B9E">
        <w:rPr>
          <w:rFonts w:ascii="Arial" w:hAnsi="Arial" w:cs="Arial"/>
          <w:sz w:val="20"/>
          <w:szCs w:val="22"/>
          <w:lang w:val="es-CO"/>
        </w:rPr>
        <w:t xml:space="preserve"> (INE/ENE); </w:t>
      </w:r>
      <w:proofErr w:type="spellStart"/>
      <w:r w:rsidRPr="008B00F6">
        <w:rPr>
          <w:rFonts w:ascii="Arial" w:hAnsi="Arial" w:cs="Arial"/>
          <w:sz w:val="20"/>
          <w:szCs w:val="22"/>
          <w:lang w:val="es-CO"/>
        </w:rPr>
        <w:t>Nalda</w:t>
      </w:r>
      <w:proofErr w:type="spellEnd"/>
      <w:r w:rsidRPr="008B00F6">
        <w:rPr>
          <w:rFonts w:ascii="Arial" w:hAnsi="Arial" w:cs="Arial"/>
          <w:sz w:val="20"/>
          <w:szCs w:val="22"/>
          <w:lang w:val="es-CO"/>
        </w:rPr>
        <w:t xml:space="preserve"> Morales </w:t>
      </w:r>
      <w:r w:rsidRPr="000F0B9E">
        <w:rPr>
          <w:rFonts w:ascii="Arial" w:hAnsi="Arial" w:cs="Arial"/>
          <w:sz w:val="20"/>
          <w:szCs w:val="22"/>
          <w:lang w:val="es-CO"/>
        </w:rPr>
        <w:t xml:space="preserve">y María Cecilia del Puerto (FMP/CHO); </w:t>
      </w:r>
      <w:r>
        <w:rPr>
          <w:rFonts w:ascii="Arial" w:hAnsi="Arial" w:cs="Arial"/>
          <w:sz w:val="20"/>
          <w:szCs w:val="22"/>
          <w:lang w:val="es-CO"/>
        </w:rPr>
        <w:t>Alejandro Aguiluz</w:t>
      </w:r>
      <w:r w:rsidRPr="000F0B9E">
        <w:rPr>
          <w:rFonts w:ascii="Arial" w:hAnsi="Arial" w:cs="Arial"/>
          <w:sz w:val="20"/>
          <w:szCs w:val="22"/>
          <w:lang w:val="es-CO"/>
        </w:rPr>
        <w:t xml:space="preserve"> (CID/CHO); y María Cristina Landázuri (LEG/SGO).</w:t>
      </w:r>
    </w:p>
    <w:p w14:paraId="6D4553B4" w14:textId="17A91F66" w:rsidR="00A46B68" w:rsidRDefault="00A46B68" w:rsidP="00B035D2">
      <w:pPr>
        <w:pStyle w:val="ListParagraph"/>
        <w:spacing w:before="120" w:after="120"/>
        <w:ind w:left="540"/>
        <w:contextualSpacing w:val="0"/>
        <w:rPr>
          <w:rFonts w:ascii="Arial" w:hAnsi="Arial" w:cs="Arial"/>
          <w:b/>
          <w:smallCaps/>
          <w:lang w:val="es-ES"/>
        </w:rPr>
      </w:pPr>
    </w:p>
    <w:p w14:paraId="4E263B09" w14:textId="2BB39DD7" w:rsidR="00A46B68" w:rsidRDefault="00A46B68" w:rsidP="00B035D2">
      <w:pPr>
        <w:pStyle w:val="ListParagraph"/>
        <w:spacing w:before="120" w:after="120"/>
        <w:ind w:left="540"/>
        <w:contextualSpacing w:val="0"/>
        <w:rPr>
          <w:rFonts w:ascii="Arial" w:hAnsi="Arial" w:cs="Arial"/>
          <w:b/>
          <w:smallCaps/>
          <w:lang w:val="es-ES"/>
        </w:rPr>
      </w:pPr>
    </w:p>
    <w:p w14:paraId="24BB0538" w14:textId="35C3ED17" w:rsidR="00A46B68" w:rsidRDefault="00A46B68" w:rsidP="00B035D2">
      <w:pPr>
        <w:pStyle w:val="ListParagraph"/>
        <w:spacing w:before="120" w:after="120"/>
        <w:ind w:left="540"/>
        <w:contextualSpacing w:val="0"/>
        <w:rPr>
          <w:rFonts w:ascii="Arial" w:hAnsi="Arial" w:cs="Arial"/>
          <w:b/>
          <w:smallCaps/>
          <w:lang w:val="es-ES"/>
        </w:rPr>
      </w:pPr>
    </w:p>
    <w:p w14:paraId="386B6A97" w14:textId="0BE4F787" w:rsidR="00A46B68" w:rsidRDefault="00A46B68" w:rsidP="00B035D2">
      <w:pPr>
        <w:pStyle w:val="ListParagraph"/>
        <w:spacing w:before="120" w:after="120"/>
        <w:ind w:left="540"/>
        <w:contextualSpacing w:val="0"/>
        <w:rPr>
          <w:rFonts w:ascii="Arial" w:hAnsi="Arial" w:cs="Arial"/>
          <w:b/>
          <w:smallCaps/>
          <w:lang w:val="es-ES"/>
        </w:rPr>
      </w:pPr>
    </w:p>
    <w:p w14:paraId="69F8B342" w14:textId="77777777" w:rsidR="00A46B68" w:rsidRDefault="00A46B68" w:rsidP="00B035D2">
      <w:pPr>
        <w:pStyle w:val="ListParagraph"/>
        <w:spacing w:before="120" w:after="120"/>
        <w:ind w:left="540"/>
        <w:contextualSpacing w:val="0"/>
        <w:rPr>
          <w:rFonts w:ascii="Arial" w:hAnsi="Arial" w:cs="Arial"/>
          <w:b/>
          <w:smallCaps/>
          <w:lang w:val="es-ES"/>
        </w:rPr>
      </w:pPr>
    </w:p>
    <w:p w14:paraId="42B93423" w14:textId="4D9BCE47" w:rsidR="00C419B8" w:rsidRPr="001C59A0" w:rsidRDefault="00C419B8" w:rsidP="00C419B8">
      <w:pPr>
        <w:pStyle w:val="ListParagraph"/>
        <w:numPr>
          <w:ilvl w:val="0"/>
          <w:numId w:val="4"/>
        </w:numPr>
        <w:spacing w:before="120" w:after="120"/>
        <w:ind w:left="540" w:hanging="540"/>
        <w:contextualSpacing w:val="0"/>
        <w:rPr>
          <w:rFonts w:ascii="Arial" w:hAnsi="Arial" w:cs="Arial"/>
          <w:b/>
          <w:smallCaps/>
          <w:lang w:val="es-ES"/>
        </w:rPr>
      </w:pPr>
      <w:r w:rsidRPr="001C59A0">
        <w:rPr>
          <w:rFonts w:ascii="Arial" w:hAnsi="Arial" w:cs="Arial"/>
          <w:b/>
          <w:smallCaps/>
          <w:lang w:val="es-ES"/>
        </w:rPr>
        <w:t>Introducción</w:t>
      </w:r>
    </w:p>
    <w:p w14:paraId="56120C10" w14:textId="004E58B7" w:rsidR="00C419B8" w:rsidRDefault="00C419B8" w:rsidP="00C419B8">
      <w:pPr>
        <w:pStyle w:val="ListParagraph"/>
        <w:numPr>
          <w:ilvl w:val="1"/>
          <w:numId w:val="4"/>
        </w:numPr>
        <w:spacing w:before="120" w:after="120"/>
        <w:ind w:left="540" w:hanging="540"/>
        <w:contextualSpacing w:val="0"/>
        <w:jc w:val="both"/>
        <w:rPr>
          <w:rFonts w:ascii="Arial" w:hAnsi="Arial" w:cs="Arial"/>
          <w:lang w:val="es-ES"/>
        </w:rPr>
      </w:pPr>
      <w:r w:rsidRPr="001C59A0">
        <w:rPr>
          <w:rFonts w:ascii="Arial" w:hAnsi="Arial" w:cs="Arial"/>
          <w:lang w:val="es-ES"/>
        </w:rPr>
        <w:t>El presente documento describe las tareas de monitoreo y evaluación necesarias respecto a las actividades, compromisos de política y resultados de</w:t>
      </w:r>
      <w:r w:rsidR="00A46B68">
        <w:rPr>
          <w:rFonts w:ascii="Arial" w:hAnsi="Arial" w:cs="Arial"/>
          <w:lang w:val="es-ES"/>
        </w:rPr>
        <w:t xml:space="preserve"> la tercera operación de préstamo HO-L1186 – Apoyo Programático a Reformas del Sector Eléctrico</w:t>
      </w:r>
      <w:r w:rsidRPr="001C59A0">
        <w:rPr>
          <w:rFonts w:ascii="Arial" w:hAnsi="Arial" w:cs="Arial"/>
          <w:lang w:val="es-ES"/>
        </w:rPr>
        <w:t>.</w:t>
      </w:r>
    </w:p>
    <w:p w14:paraId="758F5B4D" w14:textId="37A84656" w:rsidR="00A46B68" w:rsidRDefault="00A46B68" w:rsidP="00B035D2">
      <w:pPr>
        <w:pStyle w:val="ListParagraph"/>
        <w:numPr>
          <w:ilvl w:val="1"/>
          <w:numId w:val="4"/>
        </w:numPr>
        <w:spacing w:before="120" w:after="120"/>
        <w:ind w:left="540" w:hanging="540"/>
        <w:contextualSpacing w:val="0"/>
        <w:jc w:val="both"/>
        <w:rPr>
          <w:rFonts w:ascii="Arial" w:hAnsi="Arial" w:cs="Arial"/>
          <w:lang w:val="es-ES"/>
        </w:rPr>
      </w:pPr>
      <w:r w:rsidRPr="00A46B68">
        <w:rPr>
          <w:rFonts w:ascii="Arial" w:hAnsi="Arial" w:cs="Arial"/>
          <w:lang w:val="es-ES"/>
        </w:rPr>
        <w:t>El objetivo general de la serie programática y específicamente de la tercera y última operación programática es apoyar al Gobierno de Honduras en la implementación de reformas y políticas sectoriales necesarias para mejorar la sostenibilidad financiera, la eficiencia operativa y la seguridad del suministro en su sector eléctrico. Los objetivos específicos son: (i) fortalecer la capacidad institucional y el marco regulatorio sectorial; (ii) mejorar la sostenibilidad financiera y eficiencia operativa; y (iii) adoptar políticas energéticas orientadas a garantizar la seguridad del suministro eléctrico. La Operación está alineada con la Estrategia del Banco con el país que busca mejorar la eficiencia del sector eléctrico.</w:t>
      </w:r>
    </w:p>
    <w:p w14:paraId="187E314C" w14:textId="54B021BE" w:rsidR="00B035D2" w:rsidRPr="00B035D2" w:rsidRDefault="00B035D2" w:rsidP="00B035D2">
      <w:pPr>
        <w:pStyle w:val="ListParagraph"/>
        <w:numPr>
          <w:ilvl w:val="1"/>
          <w:numId w:val="4"/>
        </w:numPr>
        <w:spacing w:before="120" w:after="120"/>
        <w:ind w:left="540" w:hanging="540"/>
        <w:contextualSpacing w:val="0"/>
        <w:jc w:val="both"/>
        <w:rPr>
          <w:rFonts w:ascii="Arial" w:hAnsi="Arial" w:cs="Arial"/>
          <w:lang w:val="es-ES"/>
        </w:rPr>
      </w:pPr>
      <w:r w:rsidRPr="00B035D2">
        <w:rPr>
          <w:rFonts w:ascii="Arial" w:hAnsi="Arial" w:cs="Arial"/>
          <w:lang w:val="es-ES"/>
        </w:rPr>
        <w:t xml:space="preserve">El prestatario será la República de Honduras y el organismo ejecutor será la Secretaría de Finanzas (SEFIN) que coordinará con ENEE, la Secretaría </w:t>
      </w:r>
      <w:proofErr w:type="spellStart"/>
      <w:r w:rsidRPr="00B035D2">
        <w:rPr>
          <w:rFonts w:ascii="Arial" w:hAnsi="Arial" w:cs="Arial"/>
          <w:lang w:val="es-ES"/>
        </w:rPr>
        <w:t>MiAmbiente</w:t>
      </w:r>
      <w:proofErr w:type="spellEnd"/>
      <w:r w:rsidRPr="00B035D2">
        <w:rPr>
          <w:rFonts w:ascii="Arial" w:hAnsi="Arial" w:cs="Arial"/>
          <w:lang w:val="es-ES"/>
        </w:rPr>
        <w:t>, la CNE, y otras entidades según sea necesario. Como ejecutor del programa, la SEFIN tiene las siguientes responsabilidades: (i) impulsar el logro de los objetivos de política; (ii) proveer evidencia del cumplimiento de las condiciones de política acordadas; y (iii) recopilar y proveer la información que permita al GHO y al BID medir y evaluar los resultados del programa.</w:t>
      </w:r>
    </w:p>
    <w:p w14:paraId="0D94F45A" w14:textId="77777777" w:rsidR="00C419B8" w:rsidRPr="00DE7057" w:rsidRDefault="00C419B8" w:rsidP="00DE7057">
      <w:pPr>
        <w:pStyle w:val="ListParagraph"/>
        <w:numPr>
          <w:ilvl w:val="1"/>
          <w:numId w:val="4"/>
        </w:numPr>
        <w:spacing w:before="120" w:after="120"/>
        <w:ind w:left="540" w:hanging="540"/>
        <w:contextualSpacing w:val="0"/>
        <w:jc w:val="both"/>
        <w:rPr>
          <w:rFonts w:ascii="Arial" w:hAnsi="Arial" w:cs="Arial"/>
          <w:lang w:val="es-ES"/>
        </w:rPr>
      </w:pPr>
      <w:r w:rsidRPr="00DE7057">
        <w:rPr>
          <w:rFonts w:ascii="Arial" w:hAnsi="Arial" w:cs="Arial"/>
          <w:lang w:val="es-ES"/>
        </w:rPr>
        <w:t xml:space="preserve">El método adecuado de evaluación para un </w:t>
      </w:r>
      <w:r w:rsidR="00DE7057">
        <w:rPr>
          <w:rFonts w:ascii="Arial" w:hAnsi="Arial" w:cs="Arial"/>
          <w:lang w:val="es-ES"/>
        </w:rPr>
        <w:t>P</w:t>
      </w:r>
      <w:r w:rsidRPr="00DE7057">
        <w:rPr>
          <w:rFonts w:ascii="Arial" w:hAnsi="Arial" w:cs="Arial"/>
          <w:lang w:val="es-ES"/>
        </w:rPr>
        <w:t xml:space="preserve">réstamo </w:t>
      </w:r>
      <w:r w:rsidR="00DE7057" w:rsidRPr="00DE7057">
        <w:rPr>
          <w:rFonts w:ascii="Arial" w:hAnsi="Arial" w:cs="Arial"/>
          <w:lang w:val="es-ES"/>
        </w:rPr>
        <w:t>Programático de Apoyo a Re</w:t>
      </w:r>
      <w:r w:rsidR="00DE7057">
        <w:rPr>
          <w:rFonts w:ascii="Arial" w:hAnsi="Arial" w:cs="Arial"/>
          <w:lang w:val="es-ES"/>
        </w:rPr>
        <w:t xml:space="preserve">formas de Política (PBP) </w:t>
      </w:r>
      <w:r w:rsidRPr="00DE7057">
        <w:rPr>
          <w:rFonts w:ascii="Arial" w:hAnsi="Arial" w:cs="Arial"/>
          <w:lang w:val="es-ES"/>
        </w:rPr>
        <w:t xml:space="preserve">con objetivos y metas específicas es el de evaluación reflexiva. El equipo evaluará la consecución de los objetivos del programa tomando como referencia las metas e indicadores establecidos en las matrices de política y de resultados de las operaciones del programa. </w:t>
      </w:r>
    </w:p>
    <w:p w14:paraId="266EC603" w14:textId="77777777" w:rsidR="00C419B8" w:rsidRPr="001C59A0" w:rsidRDefault="00C419B8" w:rsidP="00C419B8">
      <w:pPr>
        <w:pStyle w:val="ListParagraph"/>
        <w:numPr>
          <w:ilvl w:val="0"/>
          <w:numId w:val="4"/>
        </w:numPr>
        <w:spacing w:before="120" w:after="120"/>
        <w:ind w:left="540" w:hanging="540"/>
        <w:contextualSpacing w:val="0"/>
        <w:rPr>
          <w:rFonts w:ascii="Arial" w:hAnsi="Arial" w:cs="Arial"/>
          <w:b/>
          <w:smallCaps/>
          <w:lang w:val="es-ES"/>
        </w:rPr>
      </w:pPr>
      <w:r w:rsidRPr="001C59A0">
        <w:rPr>
          <w:rFonts w:ascii="Arial" w:hAnsi="Arial" w:cs="Arial"/>
          <w:b/>
          <w:smallCaps/>
          <w:lang w:val="es-ES"/>
        </w:rPr>
        <w:t>Monitoreo</w:t>
      </w:r>
    </w:p>
    <w:p w14:paraId="02AF261A" w14:textId="77777777" w:rsidR="00C419B8" w:rsidRPr="001C59A0" w:rsidRDefault="00C419B8" w:rsidP="00C419B8">
      <w:pPr>
        <w:pStyle w:val="ListParagraph"/>
        <w:numPr>
          <w:ilvl w:val="1"/>
          <w:numId w:val="4"/>
        </w:numPr>
        <w:spacing w:before="120" w:after="120"/>
        <w:ind w:left="540" w:hanging="540"/>
        <w:contextualSpacing w:val="0"/>
        <w:jc w:val="both"/>
        <w:rPr>
          <w:rFonts w:ascii="Arial" w:hAnsi="Arial" w:cs="Arial"/>
          <w:bCs/>
          <w:lang w:val="es-ES"/>
        </w:rPr>
      </w:pPr>
      <w:r w:rsidRPr="001C59A0">
        <w:rPr>
          <w:rFonts w:ascii="Arial" w:hAnsi="Arial" w:cs="Arial"/>
          <w:bCs/>
          <w:lang w:val="es-ES"/>
        </w:rPr>
        <w:t xml:space="preserve">El objetivo del monitoreo es: (i) verificar el cumplimiento de los compromisos de política del Gobierno de </w:t>
      </w:r>
      <w:r w:rsidR="00DE7057">
        <w:rPr>
          <w:rFonts w:ascii="Arial" w:hAnsi="Arial" w:cs="Arial"/>
          <w:lang w:val="es-ES"/>
        </w:rPr>
        <w:t>Panamá</w:t>
      </w:r>
      <w:r w:rsidRPr="001C59A0">
        <w:rPr>
          <w:rFonts w:ascii="Arial" w:hAnsi="Arial" w:cs="Arial"/>
          <w:bCs/>
          <w:lang w:val="es-ES"/>
        </w:rPr>
        <w:t xml:space="preserve"> establecidos en la matriz de políticas (Anexo II del POD); y (ii) verificar su alcance e impacto </w:t>
      </w:r>
      <w:proofErr w:type="gramStart"/>
      <w:r w:rsidRPr="001C59A0">
        <w:rPr>
          <w:rFonts w:ascii="Arial" w:hAnsi="Arial" w:cs="Arial"/>
          <w:bCs/>
          <w:lang w:val="es-ES"/>
        </w:rPr>
        <w:t>de acuerdo a</w:t>
      </w:r>
      <w:proofErr w:type="gramEnd"/>
      <w:r w:rsidRPr="001C59A0">
        <w:rPr>
          <w:rFonts w:ascii="Arial" w:hAnsi="Arial" w:cs="Arial"/>
          <w:bCs/>
          <w:lang w:val="es-ES"/>
        </w:rPr>
        <w:t xml:space="preserve"> las metas e indicadores establecidos en la matriz de políticas y en la de resultados.</w:t>
      </w:r>
    </w:p>
    <w:p w14:paraId="14557217" w14:textId="30942D93" w:rsidR="00C419B8" w:rsidRPr="00B035D2" w:rsidRDefault="00C419B8" w:rsidP="00B80D13">
      <w:pPr>
        <w:pStyle w:val="ListParagraph"/>
        <w:numPr>
          <w:ilvl w:val="1"/>
          <w:numId w:val="4"/>
        </w:numPr>
        <w:spacing w:before="120" w:after="120"/>
        <w:ind w:left="540" w:hanging="540"/>
        <w:contextualSpacing w:val="0"/>
        <w:jc w:val="both"/>
        <w:rPr>
          <w:rFonts w:ascii="Arial" w:hAnsi="Arial" w:cs="Arial"/>
          <w:bCs/>
          <w:lang w:val="es-ES"/>
        </w:rPr>
      </w:pPr>
      <w:r w:rsidRPr="00B035D2">
        <w:rPr>
          <w:rFonts w:ascii="Arial" w:hAnsi="Arial" w:cs="Arial"/>
          <w:bCs/>
          <w:lang w:val="es-ES"/>
        </w:rPr>
        <w:t>El monitoreo de las metas incluidas en la Matriz de Política / Medios de Verificación será realizada por el equipo de proyecto con el apoyo de un consultor y con los ins</w:t>
      </w:r>
      <w:r w:rsidR="00DE7057" w:rsidRPr="00B035D2">
        <w:rPr>
          <w:rFonts w:ascii="Arial" w:hAnsi="Arial" w:cs="Arial"/>
          <w:bCs/>
          <w:lang w:val="es-ES"/>
        </w:rPr>
        <w:t xml:space="preserve">umos provistos por el equipo de la </w:t>
      </w:r>
      <w:r w:rsidR="00B035D2" w:rsidRPr="00B035D2">
        <w:rPr>
          <w:rFonts w:ascii="Arial" w:hAnsi="Arial" w:cs="Arial"/>
          <w:bCs/>
          <w:lang w:val="es-ES"/>
        </w:rPr>
        <w:t xml:space="preserve">ENEE, la Secretaría </w:t>
      </w:r>
      <w:proofErr w:type="spellStart"/>
      <w:r w:rsidR="00B035D2" w:rsidRPr="00B035D2">
        <w:rPr>
          <w:rFonts w:ascii="Arial" w:hAnsi="Arial" w:cs="Arial"/>
          <w:bCs/>
          <w:lang w:val="es-ES"/>
        </w:rPr>
        <w:t>MiAmbiente</w:t>
      </w:r>
      <w:proofErr w:type="spellEnd"/>
      <w:r w:rsidR="00B035D2" w:rsidRPr="00B035D2">
        <w:rPr>
          <w:rFonts w:ascii="Arial" w:hAnsi="Arial" w:cs="Arial"/>
          <w:bCs/>
          <w:lang w:val="es-ES"/>
        </w:rPr>
        <w:t xml:space="preserve"> y la CNE</w:t>
      </w:r>
      <w:r w:rsidR="00B035D2">
        <w:rPr>
          <w:rFonts w:ascii="Arial" w:hAnsi="Arial" w:cs="Arial"/>
          <w:bCs/>
          <w:lang w:val="es-ES"/>
        </w:rPr>
        <w:t>,</w:t>
      </w:r>
      <w:r w:rsidR="00A46B68" w:rsidRPr="00B035D2">
        <w:rPr>
          <w:rFonts w:ascii="Arial" w:hAnsi="Arial" w:cs="Arial"/>
          <w:bCs/>
          <w:lang w:val="es-ES"/>
        </w:rPr>
        <w:t xml:space="preserve"> </w:t>
      </w:r>
      <w:r w:rsidR="00DE7057" w:rsidRPr="00B035D2">
        <w:rPr>
          <w:rFonts w:ascii="Arial" w:hAnsi="Arial" w:cs="Arial"/>
          <w:bCs/>
          <w:lang w:val="es-ES"/>
        </w:rPr>
        <w:t>bajo la coordinación de</w:t>
      </w:r>
      <w:r w:rsidR="00A46B68" w:rsidRPr="00B035D2">
        <w:rPr>
          <w:rFonts w:ascii="Arial" w:hAnsi="Arial" w:cs="Arial"/>
          <w:bCs/>
          <w:lang w:val="es-ES"/>
        </w:rPr>
        <w:t xml:space="preserve"> la Secretaría de Finanzas (SEFIN)</w:t>
      </w:r>
      <w:r w:rsidR="00DE7057" w:rsidRPr="00B035D2">
        <w:rPr>
          <w:rFonts w:ascii="Arial" w:hAnsi="Arial" w:cs="Arial"/>
          <w:bCs/>
          <w:lang w:val="es-ES"/>
        </w:rPr>
        <w:t xml:space="preserve">. </w:t>
      </w:r>
      <w:r w:rsidRPr="00B035D2">
        <w:rPr>
          <w:rFonts w:ascii="Arial" w:hAnsi="Arial" w:cs="Arial"/>
          <w:bCs/>
          <w:lang w:val="es-ES"/>
        </w:rPr>
        <w:t xml:space="preserve">Los medios de verificación serán la fuente de información que determinará el cumplimiento de las metas de política. El monitoreo del equipo de proyecto tendrá inicio después de la aprobación de la operación en el Directorio del Banco, con el objetivo de elaborar los informes de </w:t>
      </w:r>
      <w:r w:rsidRPr="00B035D2">
        <w:rPr>
          <w:rFonts w:ascii="Arial" w:hAnsi="Arial" w:cs="Arial"/>
          <w:bCs/>
          <w:lang w:val="es-ES"/>
        </w:rPr>
        <w:lastRenderedPageBreak/>
        <w:t xml:space="preserve">cumplimiento para los desembolsos. Por otro lado, el monitoreo de las metas e indicadores de los resultados tendrá inicio una vez desembolsados los recursos de la </w:t>
      </w:r>
      <w:r w:rsidR="00F40A8D" w:rsidRPr="00B035D2">
        <w:rPr>
          <w:rFonts w:ascii="Arial" w:hAnsi="Arial" w:cs="Arial"/>
          <w:bCs/>
          <w:lang w:val="es-ES"/>
        </w:rPr>
        <w:t xml:space="preserve">segunda </w:t>
      </w:r>
      <w:r w:rsidRPr="00B035D2">
        <w:rPr>
          <w:rFonts w:ascii="Arial" w:hAnsi="Arial" w:cs="Arial"/>
          <w:bCs/>
          <w:lang w:val="es-ES"/>
        </w:rPr>
        <w:t>operación.</w:t>
      </w:r>
    </w:p>
    <w:p w14:paraId="12A213F9" w14:textId="4F5A98AF" w:rsidR="003D552E" w:rsidRDefault="003D552E" w:rsidP="003D552E">
      <w:pPr>
        <w:spacing w:before="120" w:after="120"/>
        <w:jc w:val="both"/>
        <w:rPr>
          <w:lang w:val="es-ES"/>
        </w:rPr>
      </w:pPr>
    </w:p>
    <w:p w14:paraId="6EEE50E1" w14:textId="41D951D8" w:rsidR="00C419B8" w:rsidRDefault="00C419B8" w:rsidP="00C419B8">
      <w:pPr>
        <w:pStyle w:val="ListParagraph"/>
        <w:numPr>
          <w:ilvl w:val="0"/>
          <w:numId w:val="5"/>
        </w:numPr>
        <w:spacing w:before="120" w:after="120"/>
        <w:ind w:left="540" w:hanging="540"/>
        <w:contextualSpacing w:val="0"/>
        <w:jc w:val="both"/>
        <w:rPr>
          <w:rFonts w:ascii="Arial" w:hAnsi="Arial" w:cs="Arial"/>
          <w:b/>
          <w:bCs/>
          <w:lang w:val="es-ES"/>
        </w:rPr>
      </w:pPr>
      <w:r w:rsidRPr="001C59A0">
        <w:rPr>
          <w:rFonts w:ascii="Arial" w:hAnsi="Arial" w:cs="Arial"/>
          <w:b/>
          <w:bCs/>
          <w:lang w:val="es-ES"/>
        </w:rPr>
        <w:t>Indicadores de producto.</w:t>
      </w:r>
    </w:p>
    <w:tbl>
      <w:tblPr>
        <w:tblW w:w="4958" w:type="pct"/>
        <w:jc w:val="center"/>
        <w:tblCellMar>
          <w:left w:w="30" w:type="dxa"/>
          <w:right w:w="30" w:type="dxa"/>
        </w:tblCellMar>
        <w:tblLook w:val="0000" w:firstRow="0" w:lastRow="0" w:firstColumn="0" w:lastColumn="0" w:noHBand="0" w:noVBand="0"/>
      </w:tblPr>
      <w:tblGrid>
        <w:gridCol w:w="1862"/>
        <w:gridCol w:w="4791"/>
        <w:gridCol w:w="696"/>
        <w:gridCol w:w="582"/>
        <w:gridCol w:w="530"/>
        <w:gridCol w:w="84"/>
        <w:gridCol w:w="10"/>
      </w:tblGrid>
      <w:tr w:rsidR="00302DE6" w:rsidRPr="006037C3" w14:paraId="6FCAB7DB" w14:textId="77777777" w:rsidTr="0033349F">
        <w:trPr>
          <w:gridAfter w:val="1"/>
          <w:wAfter w:w="6" w:type="pct"/>
          <w:tblHeader/>
          <w:jc w:val="center"/>
        </w:trPr>
        <w:tc>
          <w:tcPr>
            <w:tcW w:w="1088" w:type="pct"/>
            <w:tcBorders>
              <w:top w:val="single" w:sz="6" w:space="0" w:color="auto"/>
              <w:left w:val="single" w:sz="6" w:space="0" w:color="auto"/>
              <w:bottom w:val="single" w:sz="4" w:space="0" w:color="auto"/>
              <w:right w:val="single" w:sz="6" w:space="0" w:color="auto"/>
            </w:tcBorders>
            <w:shd w:val="clear" w:color="auto" w:fill="D9D9D9"/>
            <w:vAlign w:val="center"/>
          </w:tcPr>
          <w:p w14:paraId="309F8439" w14:textId="77777777" w:rsidR="00302DE6" w:rsidRPr="006037C3" w:rsidRDefault="00302DE6" w:rsidP="00084B37">
            <w:pPr>
              <w:autoSpaceDE w:val="0"/>
              <w:autoSpaceDN w:val="0"/>
              <w:adjustRightInd w:val="0"/>
              <w:jc w:val="center"/>
              <w:rPr>
                <w:rFonts w:ascii="Arial" w:hAnsi="Arial" w:cs="Arial"/>
                <w:b/>
                <w:bCs/>
                <w:sz w:val="18"/>
                <w:szCs w:val="18"/>
              </w:rPr>
            </w:pPr>
            <w:proofErr w:type="spellStart"/>
            <w:r w:rsidRPr="006037C3">
              <w:rPr>
                <w:rFonts w:ascii="Arial" w:hAnsi="Arial" w:cs="Arial"/>
                <w:b/>
                <w:bCs/>
                <w:sz w:val="18"/>
                <w:szCs w:val="18"/>
              </w:rPr>
              <w:t>Objetivo</w:t>
            </w:r>
            <w:proofErr w:type="spellEnd"/>
          </w:p>
        </w:tc>
        <w:tc>
          <w:tcPr>
            <w:tcW w:w="2800" w:type="pct"/>
            <w:tcBorders>
              <w:top w:val="single" w:sz="6" w:space="0" w:color="auto"/>
              <w:left w:val="single" w:sz="6" w:space="0" w:color="auto"/>
              <w:bottom w:val="single" w:sz="4" w:space="0" w:color="auto"/>
              <w:right w:val="single" w:sz="6" w:space="0" w:color="auto"/>
            </w:tcBorders>
            <w:shd w:val="clear" w:color="auto" w:fill="D9D9D9"/>
            <w:vAlign w:val="center"/>
          </w:tcPr>
          <w:p w14:paraId="72A03E52" w14:textId="77777777" w:rsidR="00302DE6" w:rsidRPr="006037C3" w:rsidRDefault="00302DE6" w:rsidP="00084B37">
            <w:pPr>
              <w:autoSpaceDE w:val="0"/>
              <w:autoSpaceDN w:val="0"/>
              <w:adjustRightInd w:val="0"/>
              <w:jc w:val="center"/>
              <w:rPr>
                <w:rFonts w:ascii="Arial" w:hAnsi="Arial" w:cs="Arial"/>
                <w:b/>
                <w:bCs/>
                <w:color w:val="FFFFFF"/>
                <w:sz w:val="18"/>
                <w:szCs w:val="18"/>
                <w:lang w:val="es-ES_tradnl"/>
              </w:rPr>
            </w:pPr>
            <w:proofErr w:type="spellStart"/>
            <w:r w:rsidRPr="006037C3">
              <w:rPr>
                <w:rFonts w:ascii="Arial" w:hAnsi="Arial" w:cs="Arial"/>
                <w:b/>
                <w:bCs/>
                <w:sz w:val="18"/>
                <w:szCs w:val="18"/>
              </w:rPr>
              <w:t>Producto</w:t>
            </w:r>
            <w:proofErr w:type="spellEnd"/>
          </w:p>
        </w:tc>
        <w:tc>
          <w:tcPr>
            <w:tcW w:w="407" w:type="pct"/>
            <w:tcBorders>
              <w:top w:val="single" w:sz="6" w:space="0" w:color="auto"/>
              <w:left w:val="single" w:sz="6" w:space="0" w:color="auto"/>
              <w:bottom w:val="single" w:sz="4" w:space="0" w:color="auto"/>
              <w:right w:val="single" w:sz="6" w:space="0" w:color="auto"/>
            </w:tcBorders>
            <w:shd w:val="clear" w:color="auto" w:fill="D9D9D9"/>
            <w:vAlign w:val="center"/>
          </w:tcPr>
          <w:p w14:paraId="0883B1CD" w14:textId="77777777" w:rsidR="00302DE6" w:rsidRPr="006037C3" w:rsidRDefault="00302DE6" w:rsidP="00084B37">
            <w:pPr>
              <w:autoSpaceDE w:val="0"/>
              <w:autoSpaceDN w:val="0"/>
              <w:adjustRightInd w:val="0"/>
              <w:jc w:val="center"/>
              <w:rPr>
                <w:rFonts w:ascii="Arial" w:hAnsi="Arial" w:cs="Arial"/>
                <w:b/>
                <w:bCs/>
                <w:sz w:val="18"/>
                <w:szCs w:val="18"/>
                <w:lang w:val="es-ES_tradnl"/>
              </w:rPr>
            </w:pPr>
            <w:r w:rsidRPr="006037C3">
              <w:rPr>
                <w:rFonts w:ascii="Arial" w:hAnsi="Arial" w:cs="Arial"/>
                <w:b/>
                <w:bCs/>
                <w:sz w:val="18"/>
                <w:szCs w:val="18"/>
                <w:lang w:val="es-ES_tradnl"/>
              </w:rPr>
              <w:t>Unidad</w:t>
            </w:r>
          </w:p>
        </w:tc>
        <w:tc>
          <w:tcPr>
            <w:tcW w:w="340" w:type="pct"/>
            <w:tcBorders>
              <w:top w:val="single" w:sz="6" w:space="0" w:color="auto"/>
              <w:left w:val="single" w:sz="6" w:space="0" w:color="auto"/>
              <w:bottom w:val="single" w:sz="4" w:space="0" w:color="auto"/>
              <w:right w:val="single" w:sz="4" w:space="0" w:color="auto"/>
            </w:tcBorders>
            <w:shd w:val="clear" w:color="auto" w:fill="D9D9D9"/>
            <w:vAlign w:val="center"/>
          </w:tcPr>
          <w:p w14:paraId="3F48A910" w14:textId="77777777" w:rsidR="00302DE6" w:rsidRPr="006037C3" w:rsidRDefault="00302DE6" w:rsidP="00084B37">
            <w:pPr>
              <w:autoSpaceDE w:val="0"/>
              <w:autoSpaceDN w:val="0"/>
              <w:adjustRightInd w:val="0"/>
              <w:jc w:val="center"/>
              <w:rPr>
                <w:rFonts w:ascii="Arial" w:hAnsi="Arial" w:cs="Arial"/>
                <w:b/>
                <w:bCs/>
                <w:sz w:val="18"/>
                <w:szCs w:val="18"/>
                <w:lang w:val="es-ES_tradnl"/>
              </w:rPr>
            </w:pPr>
            <w:r w:rsidRPr="006037C3">
              <w:rPr>
                <w:rFonts w:ascii="Arial" w:hAnsi="Arial" w:cs="Arial"/>
                <w:b/>
                <w:bCs/>
                <w:sz w:val="18"/>
                <w:szCs w:val="18"/>
                <w:lang w:val="es-ES_tradnl"/>
              </w:rPr>
              <w:t>Base</w:t>
            </w:r>
          </w:p>
          <w:p w14:paraId="618AAF5D" w14:textId="77777777" w:rsidR="00302DE6" w:rsidRPr="006037C3" w:rsidRDefault="00302DE6" w:rsidP="00084B37">
            <w:pPr>
              <w:autoSpaceDE w:val="0"/>
              <w:autoSpaceDN w:val="0"/>
              <w:adjustRightInd w:val="0"/>
              <w:jc w:val="center"/>
              <w:rPr>
                <w:rFonts w:ascii="Arial" w:hAnsi="Arial" w:cs="Arial"/>
                <w:b/>
                <w:bCs/>
                <w:sz w:val="18"/>
                <w:szCs w:val="18"/>
                <w:lang w:val="es-ES_tradnl"/>
              </w:rPr>
            </w:pPr>
            <w:r w:rsidRPr="006037C3">
              <w:rPr>
                <w:rFonts w:ascii="Arial" w:hAnsi="Arial" w:cs="Arial"/>
                <w:b/>
                <w:bCs/>
                <w:sz w:val="18"/>
                <w:szCs w:val="18"/>
                <w:lang w:val="es-ES_tradnl"/>
              </w:rPr>
              <w:t>(2014)</w:t>
            </w:r>
          </w:p>
        </w:tc>
        <w:tc>
          <w:tcPr>
            <w:tcW w:w="310" w:type="pct"/>
            <w:tcBorders>
              <w:top w:val="single" w:sz="4" w:space="0" w:color="auto"/>
              <w:left w:val="single" w:sz="4" w:space="0" w:color="auto"/>
              <w:bottom w:val="single" w:sz="4" w:space="0" w:color="auto"/>
            </w:tcBorders>
            <w:shd w:val="clear" w:color="auto" w:fill="D9D9D9"/>
            <w:vAlign w:val="center"/>
          </w:tcPr>
          <w:p w14:paraId="207679D9" w14:textId="77777777" w:rsidR="00302DE6" w:rsidRPr="006037C3" w:rsidRDefault="00302DE6" w:rsidP="00084B37">
            <w:pPr>
              <w:autoSpaceDE w:val="0"/>
              <w:autoSpaceDN w:val="0"/>
              <w:adjustRightInd w:val="0"/>
              <w:jc w:val="center"/>
              <w:rPr>
                <w:rFonts w:ascii="Arial" w:hAnsi="Arial" w:cs="Arial"/>
                <w:b/>
                <w:bCs/>
                <w:sz w:val="18"/>
                <w:szCs w:val="18"/>
                <w:lang w:val="es-ES_tradnl"/>
              </w:rPr>
            </w:pPr>
            <w:r w:rsidRPr="006037C3">
              <w:rPr>
                <w:rFonts w:ascii="Arial" w:hAnsi="Arial" w:cs="Arial"/>
                <w:b/>
                <w:bCs/>
                <w:sz w:val="18"/>
                <w:szCs w:val="18"/>
                <w:lang w:val="es-ES_tradnl"/>
              </w:rPr>
              <w:t>2017</w:t>
            </w:r>
            <w:r w:rsidRPr="006037C3">
              <w:rPr>
                <w:rStyle w:val="FootnoteReference"/>
                <w:rFonts w:ascii="Arial" w:eastAsiaTheme="majorEastAsia" w:hAnsi="Arial" w:cs="Arial"/>
                <w:sz w:val="18"/>
                <w:szCs w:val="18"/>
                <w:lang w:val="es-ES_tradnl"/>
              </w:rPr>
              <w:footnoteReference w:id="1"/>
            </w:r>
          </w:p>
        </w:tc>
        <w:tc>
          <w:tcPr>
            <w:tcW w:w="49" w:type="pct"/>
            <w:tcBorders>
              <w:top w:val="single" w:sz="6" w:space="0" w:color="auto"/>
              <w:left w:val="nil"/>
              <w:bottom w:val="single" w:sz="4" w:space="0" w:color="auto"/>
              <w:right w:val="single" w:sz="4" w:space="0" w:color="auto"/>
            </w:tcBorders>
            <w:shd w:val="clear" w:color="auto" w:fill="D9D9D9"/>
            <w:vAlign w:val="center"/>
          </w:tcPr>
          <w:p w14:paraId="7C2D455B" w14:textId="4FFCFFD9" w:rsidR="00302DE6" w:rsidRPr="006037C3" w:rsidRDefault="00302DE6" w:rsidP="00084B37">
            <w:pPr>
              <w:autoSpaceDE w:val="0"/>
              <w:autoSpaceDN w:val="0"/>
              <w:adjustRightInd w:val="0"/>
              <w:jc w:val="center"/>
              <w:rPr>
                <w:rFonts w:ascii="Arial" w:hAnsi="Arial" w:cs="Arial"/>
                <w:b/>
                <w:bCs/>
                <w:sz w:val="18"/>
                <w:szCs w:val="18"/>
                <w:lang w:val="es-ES_tradnl"/>
              </w:rPr>
            </w:pPr>
          </w:p>
        </w:tc>
      </w:tr>
      <w:tr w:rsidR="00302DE6" w:rsidRPr="0033349F" w14:paraId="3D45472D" w14:textId="77777777" w:rsidTr="0033349F">
        <w:trPr>
          <w:jc w:val="center"/>
        </w:trPr>
        <w:tc>
          <w:tcPr>
            <w:tcW w:w="5000" w:type="pct"/>
            <w:gridSpan w:val="7"/>
            <w:tcBorders>
              <w:top w:val="single" w:sz="4" w:space="0" w:color="auto"/>
              <w:left w:val="single" w:sz="6" w:space="0" w:color="auto"/>
              <w:bottom w:val="single" w:sz="4" w:space="0" w:color="auto"/>
              <w:right w:val="single" w:sz="4" w:space="0" w:color="auto"/>
            </w:tcBorders>
            <w:shd w:val="clear" w:color="auto" w:fill="BFBFBF"/>
          </w:tcPr>
          <w:p w14:paraId="4EFC39E1" w14:textId="77777777" w:rsidR="00302DE6" w:rsidRPr="006037C3" w:rsidRDefault="00302DE6" w:rsidP="00302DE6">
            <w:pPr>
              <w:numPr>
                <w:ilvl w:val="0"/>
                <w:numId w:val="42"/>
              </w:numPr>
              <w:autoSpaceDE w:val="0"/>
              <w:autoSpaceDN w:val="0"/>
              <w:adjustRightInd w:val="0"/>
              <w:ind w:left="541" w:firstLine="0"/>
              <w:jc w:val="both"/>
              <w:rPr>
                <w:rFonts w:ascii="Arial" w:hAnsi="Arial" w:cs="Arial"/>
                <w:b/>
                <w:bCs/>
                <w:color w:val="000000"/>
                <w:sz w:val="18"/>
                <w:szCs w:val="18"/>
                <w:lang w:val="es-ES_tradnl"/>
              </w:rPr>
            </w:pPr>
            <w:r w:rsidRPr="006037C3">
              <w:rPr>
                <w:rFonts w:ascii="Arial" w:hAnsi="Arial" w:cs="Arial"/>
                <w:b/>
                <w:bCs/>
                <w:color w:val="000000"/>
                <w:sz w:val="18"/>
                <w:szCs w:val="18"/>
                <w:lang w:val="es-ES_tradnl"/>
              </w:rPr>
              <w:t>IMPLEMENTAR UN MARCO LEGAL, REGULATORIO E INSTITUCIONAL ADECUADO PARA EL SECTOR ELÉCTRICO</w:t>
            </w:r>
          </w:p>
        </w:tc>
      </w:tr>
      <w:tr w:rsidR="005B6D66" w:rsidRPr="0033349F" w14:paraId="1C264D48" w14:textId="77777777" w:rsidTr="0033349F">
        <w:trPr>
          <w:gridAfter w:val="1"/>
          <w:wAfter w:w="6" w:type="pct"/>
          <w:trHeight w:val="1682"/>
          <w:jc w:val="center"/>
        </w:trPr>
        <w:tc>
          <w:tcPr>
            <w:tcW w:w="1088" w:type="pct"/>
            <w:vMerge w:val="restart"/>
            <w:tcBorders>
              <w:top w:val="single" w:sz="4" w:space="0" w:color="auto"/>
              <w:left w:val="single" w:sz="6" w:space="0" w:color="auto"/>
              <w:bottom w:val="single" w:sz="4" w:space="0" w:color="auto"/>
              <w:right w:val="single" w:sz="4" w:space="0" w:color="auto"/>
            </w:tcBorders>
            <w:shd w:val="clear" w:color="auto" w:fill="auto"/>
          </w:tcPr>
          <w:p w14:paraId="25C86C68"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r w:rsidRPr="006037C3">
              <w:rPr>
                <w:rFonts w:ascii="Arial" w:hAnsi="Arial" w:cs="Arial"/>
                <w:bCs/>
                <w:sz w:val="18"/>
                <w:szCs w:val="18"/>
                <w:lang w:val="es-ES_tradnl"/>
              </w:rPr>
              <w:t>I-1 Contar con un marco legal, regulatorio e institucional que permita asegurar la sostenibilidad del sector eléctrico.</w:t>
            </w: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2A0EDBBE" w14:textId="77777777" w:rsidR="005B6D66" w:rsidRPr="0061726B" w:rsidRDefault="005B6D66" w:rsidP="005B6D66">
            <w:pPr>
              <w:autoSpaceDE w:val="0"/>
              <w:autoSpaceDN w:val="0"/>
              <w:adjustRightInd w:val="0"/>
              <w:rPr>
                <w:sz w:val="20"/>
                <w:szCs w:val="20"/>
                <w:lang w:val="es-ES_tradnl"/>
              </w:rPr>
            </w:pPr>
            <w:bookmarkStart w:id="0" w:name="_Hlk498526867"/>
            <w:r w:rsidRPr="0061726B">
              <w:rPr>
                <w:sz w:val="20"/>
                <w:szCs w:val="20"/>
                <w:lang w:val="es-ES_tradnl"/>
              </w:rPr>
              <w:t xml:space="preserve">Que la </w:t>
            </w:r>
            <w:r>
              <w:rPr>
                <w:sz w:val="20"/>
                <w:szCs w:val="20"/>
                <w:lang w:val="es-ES_tradnl"/>
              </w:rPr>
              <w:t xml:space="preserve">LGIE y los reglamentos emitidos con ocasión de las operaciones anteriores de la serie programática se encuentran vigentes y que la </w:t>
            </w:r>
            <w:r w:rsidRPr="0061726B">
              <w:rPr>
                <w:sz w:val="20"/>
                <w:szCs w:val="20"/>
                <w:lang w:val="es-ES_tradnl"/>
              </w:rPr>
              <w:t>CREE haya completado la emisión de las siguientes disposiciones reglamentarias requeridas por la LGIE</w:t>
            </w:r>
            <w:r>
              <w:rPr>
                <w:sz w:val="20"/>
                <w:szCs w:val="20"/>
                <w:lang w:val="es-ES_tradnl"/>
              </w:rPr>
              <w:t xml:space="preserve"> y establecidas en el Plan de Acción entregado como parte de la segunda operación individual de la serie programática</w:t>
            </w:r>
            <w:r w:rsidRPr="0061726B">
              <w:rPr>
                <w:sz w:val="20"/>
                <w:szCs w:val="20"/>
                <w:lang w:val="es-ES_tradnl"/>
              </w:rPr>
              <w:t>:</w:t>
            </w:r>
          </w:p>
          <w:p w14:paraId="1710DA39" w14:textId="77777777" w:rsidR="005B6D66" w:rsidRPr="0061726B" w:rsidRDefault="005B6D66" w:rsidP="005B6D66">
            <w:pPr>
              <w:pStyle w:val="ListParagraph"/>
              <w:numPr>
                <w:ilvl w:val="0"/>
                <w:numId w:val="44"/>
              </w:numPr>
              <w:autoSpaceDE w:val="0"/>
              <w:autoSpaceDN w:val="0"/>
              <w:adjustRightInd w:val="0"/>
              <w:ind w:left="324" w:hanging="270"/>
              <w:rPr>
                <w:b/>
                <w:color w:val="000000"/>
                <w:sz w:val="20"/>
                <w:szCs w:val="20"/>
                <w:lang w:val="es-ES_tradnl"/>
              </w:rPr>
            </w:pPr>
            <w:r w:rsidRPr="0061726B">
              <w:rPr>
                <w:sz w:val="20"/>
                <w:szCs w:val="20"/>
                <w:lang w:val="es-ES_tradnl"/>
              </w:rPr>
              <w:t>Reglamento de tarifas y ajuste tarifario.</w:t>
            </w:r>
          </w:p>
          <w:p w14:paraId="7C907A25" w14:textId="77777777" w:rsidR="005B6D66" w:rsidRPr="0061726B" w:rsidRDefault="005B6D66" w:rsidP="005B6D66">
            <w:pPr>
              <w:pStyle w:val="ListParagraph"/>
              <w:numPr>
                <w:ilvl w:val="0"/>
                <w:numId w:val="44"/>
              </w:numPr>
              <w:autoSpaceDE w:val="0"/>
              <w:autoSpaceDN w:val="0"/>
              <w:adjustRightInd w:val="0"/>
              <w:ind w:left="324" w:hanging="270"/>
              <w:rPr>
                <w:color w:val="000000"/>
                <w:sz w:val="20"/>
                <w:szCs w:val="20"/>
                <w:lang w:val="es-ES_tradnl"/>
              </w:rPr>
            </w:pPr>
            <w:r>
              <w:rPr>
                <w:sz w:val="20"/>
                <w:szCs w:val="20"/>
                <w:lang w:val="es-ES_tradnl"/>
              </w:rPr>
              <w:t xml:space="preserve">Norma Técnica </w:t>
            </w:r>
            <w:r w:rsidRPr="0061726B">
              <w:rPr>
                <w:sz w:val="20"/>
                <w:szCs w:val="20"/>
                <w:lang w:val="es-ES_tradnl"/>
              </w:rPr>
              <w:t>del servicio de distribución, incluyendo calidad de servicio, y contribuciones</w:t>
            </w:r>
          </w:p>
          <w:p w14:paraId="64792DEF" w14:textId="4DAADB8C" w:rsidR="005B6D66" w:rsidRPr="006037C3" w:rsidRDefault="005B6D66" w:rsidP="005B6D66">
            <w:pPr>
              <w:numPr>
                <w:ilvl w:val="0"/>
                <w:numId w:val="43"/>
              </w:numPr>
              <w:autoSpaceDE w:val="0"/>
              <w:autoSpaceDN w:val="0"/>
              <w:adjustRightInd w:val="0"/>
              <w:ind w:left="59" w:right="79" w:hanging="288"/>
              <w:jc w:val="both"/>
              <w:rPr>
                <w:rFonts w:ascii="Arial" w:hAnsi="Arial" w:cs="Arial"/>
                <w:color w:val="000000"/>
                <w:sz w:val="18"/>
                <w:szCs w:val="18"/>
                <w:lang w:val="es-ES_tradnl"/>
              </w:rPr>
            </w:pPr>
            <w:r>
              <w:rPr>
                <w:sz w:val="20"/>
                <w:szCs w:val="20"/>
                <w:lang w:val="es-ES_tradnl"/>
              </w:rPr>
              <w:t xml:space="preserve">Norma </w:t>
            </w:r>
            <w:proofErr w:type="gramStart"/>
            <w:r>
              <w:rPr>
                <w:sz w:val="20"/>
                <w:szCs w:val="20"/>
                <w:lang w:val="es-ES_tradnl"/>
              </w:rPr>
              <w:t xml:space="preserve">Técnica </w:t>
            </w:r>
            <w:r w:rsidRPr="0061726B">
              <w:rPr>
                <w:sz w:val="20"/>
                <w:szCs w:val="20"/>
                <w:lang w:val="es-ES_tradnl"/>
              </w:rPr>
              <w:t xml:space="preserve"> del</w:t>
            </w:r>
            <w:proofErr w:type="gramEnd"/>
            <w:r w:rsidRPr="0061726B">
              <w:rPr>
                <w:sz w:val="20"/>
                <w:szCs w:val="20"/>
                <w:lang w:val="es-ES_tradnl"/>
              </w:rPr>
              <w:t xml:space="preserve"> servicio de transmisión, incluyendo el régimen </w:t>
            </w:r>
            <w:bookmarkEnd w:id="0"/>
            <w:r w:rsidRPr="0061726B">
              <w:rPr>
                <w:sz w:val="20"/>
                <w:szCs w:val="20"/>
                <w:lang w:val="es-ES_tradnl"/>
              </w:rPr>
              <w:t>de precios aplicables por uso de la red.</w:t>
            </w:r>
          </w:p>
        </w:tc>
        <w:tc>
          <w:tcPr>
            <w:tcW w:w="407" w:type="pct"/>
            <w:tcBorders>
              <w:top w:val="single" w:sz="4" w:space="0" w:color="auto"/>
              <w:left w:val="single" w:sz="4" w:space="0" w:color="auto"/>
              <w:bottom w:val="single" w:sz="4" w:space="0" w:color="auto"/>
              <w:right w:val="single" w:sz="4" w:space="0" w:color="auto"/>
            </w:tcBorders>
          </w:tcPr>
          <w:p w14:paraId="17E40AEF"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228435E3"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45140EBF"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2D868197" w14:textId="52AA182D" w:rsidR="005B6D66" w:rsidRPr="006037C3" w:rsidRDefault="005B6D66" w:rsidP="005B6D66">
            <w:pPr>
              <w:autoSpaceDE w:val="0"/>
              <w:autoSpaceDN w:val="0"/>
              <w:adjustRightInd w:val="0"/>
              <w:ind w:left="68" w:right="90"/>
              <w:jc w:val="both"/>
              <w:rPr>
                <w:rFonts w:ascii="Arial" w:hAnsi="Arial" w:cs="Arial"/>
                <w:color w:val="000000"/>
                <w:sz w:val="18"/>
                <w:szCs w:val="18"/>
                <w:lang w:val="es-ES_tradnl"/>
              </w:rPr>
            </w:pPr>
          </w:p>
        </w:tc>
      </w:tr>
      <w:tr w:rsidR="005B6D66" w:rsidRPr="0033349F" w14:paraId="3ADDBF5D" w14:textId="77777777" w:rsidTr="0033349F">
        <w:trPr>
          <w:gridAfter w:val="1"/>
          <w:wAfter w:w="6" w:type="pct"/>
          <w:trHeight w:val="656"/>
          <w:jc w:val="center"/>
        </w:trPr>
        <w:tc>
          <w:tcPr>
            <w:tcW w:w="1088" w:type="pct"/>
            <w:vMerge/>
            <w:tcBorders>
              <w:top w:val="single" w:sz="4" w:space="0" w:color="auto"/>
              <w:left w:val="single" w:sz="6" w:space="0" w:color="auto"/>
              <w:bottom w:val="single" w:sz="4" w:space="0" w:color="auto"/>
              <w:right w:val="single" w:sz="4" w:space="0" w:color="auto"/>
            </w:tcBorders>
            <w:shd w:val="clear" w:color="auto" w:fill="auto"/>
          </w:tcPr>
          <w:p w14:paraId="046F8B51"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464052D4" w14:textId="2EB55850" w:rsidR="005B6D66" w:rsidRPr="006037C3" w:rsidRDefault="005B6D66" w:rsidP="005B6D66">
            <w:pPr>
              <w:autoSpaceDE w:val="0"/>
              <w:autoSpaceDN w:val="0"/>
              <w:adjustRightInd w:val="0"/>
              <w:ind w:left="54"/>
              <w:rPr>
                <w:lang w:val="es-ES_tradnl"/>
              </w:rPr>
            </w:pPr>
            <w:bookmarkStart w:id="1" w:name="_Hlk498526956"/>
            <w:r w:rsidRPr="0061726B">
              <w:rPr>
                <w:color w:val="000000"/>
                <w:sz w:val="20"/>
                <w:szCs w:val="20"/>
                <w:lang w:val="es-ES_tradnl"/>
              </w:rPr>
              <w:t xml:space="preserve">Que </w:t>
            </w:r>
            <w:r>
              <w:rPr>
                <w:color w:val="000000"/>
                <w:sz w:val="20"/>
                <w:szCs w:val="20"/>
                <w:lang w:val="es-ES_tradnl"/>
              </w:rPr>
              <w:t>se haya iniciado el proceso de contratación de consultorías para la elaboración de</w:t>
            </w:r>
            <w:r w:rsidRPr="00C415BC">
              <w:rPr>
                <w:color w:val="000000"/>
                <w:sz w:val="20"/>
                <w:szCs w:val="20"/>
                <w:lang w:val="es-ES_tradnl"/>
              </w:rPr>
              <w:t>:</w:t>
            </w:r>
            <w:r>
              <w:rPr>
                <w:color w:val="000000"/>
                <w:sz w:val="20"/>
                <w:szCs w:val="20"/>
                <w:lang w:val="es-ES_tradnl"/>
              </w:rPr>
              <w:t xml:space="preserve"> (i) norma técnica de servicios complementarios</w:t>
            </w:r>
            <w:r w:rsidRPr="00C415BC">
              <w:rPr>
                <w:color w:val="000000"/>
                <w:sz w:val="20"/>
                <w:szCs w:val="20"/>
                <w:lang w:val="es-ES_tradnl"/>
              </w:rPr>
              <w:t xml:space="preserve">; (ii) Norma técnica de usuarios regulados </w:t>
            </w:r>
            <w:proofErr w:type="spellStart"/>
            <w:r w:rsidRPr="00C415BC">
              <w:rPr>
                <w:color w:val="000000"/>
                <w:sz w:val="20"/>
                <w:szCs w:val="20"/>
                <w:lang w:val="es-ES_tradnl"/>
              </w:rPr>
              <w:t>autoproductores</w:t>
            </w:r>
            <w:proofErr w:type="spellEnd"/>
            <w:r w:rsidRPr="00C415BC">
              <w:rPr>
                <w:color w:val="000000"/>
                <w:sz w:val="20"/>
                <w:szCs w:val="20"/>
                <w:lang w:val="es-ES_tradnl"/>
              </w:rPr>
              <w:t>; (iii) Reglamento de régimen</w:t>
            </w:r>
            <w:r>
              <w:rPr>
                <w:color w:val="000000"/>
                <w:sz w:val="20"/>
                <w:szCs w:val="20"/>
                <w:lang w:val="es-ES_tradnl"/>
              </w:rPr>
              <w:t xml:space="preserve"> tarifario</w:t>
            </w:r>
            <w:bookmarkEnd w:id="1"/>
          </w:p>
        </w:tc>
        <w:tc>
          <w:tcPr>
            <w:tcW w:w="407" w:type="pct"/>
            <w:tcBorders>
              <w:top w:val="single" w:sz="4" w:space="0" w:color="auto"/>
              <w:left w:val="single" w:sz="4" w:space="0" w:color="auto"/>
              <w:bottom w:val="single" w:sz="4" w:space="0" w:color="auto"/>
              <w:right w:val="single" w:sz="4" w:space="0" w:color="auto"/>
            </w:tcBorders>
          </w:tcPr>
          <w:p w14:paraId="2CB675E5"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6ED594BA"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12B788CD"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17A54892" w14:textId="77777777" w:rsidR="005B6D66" w:rsidRPr="006037C3" w:rsidRDefault="005B6D66" w:rsidP="005B6D66">
            <w:pPr>
              <w:autoSpaceDE w:val="0"/>
              <w:autoSpaceDN w:val="0"/>
              <w:adjustRightInd w:val="0"/>
              <w:rPr>
                <w:color w:val="000000"/>
                <w:lang w:val="es-ES_tradnl"/>
              </w:rPr>
            </w:pPr>
          </w:p>
        </w:tc>
      </w:tr>
      <w:tr w:rsidR="005B6D66" w:rsidRPr="0033349F" w14:paraId="25A10B50" w14:textId="77777777" w:rsidTr="0033349F">
        <w:trPr>
          <w:gridAfter w:val="1"/>
          <w:wAfter w:w="6" w:type="pct"/>
          <w:jc w:val="center"/>
        </w:trPr>
        <w:tc>
          <w:tcPr>
            <w:tcW w:w="1088" w:type="pct"/>
            <w:vMerge/>
            <w:tcBorders>
              <w:top w:val="single" w:sz="4" w:space="0" w:color="auto"/>
              <w:left w:val="single" w:sz="6" w:space="0" w:color="auto"/>
              <w:bottom w:val="single" w:sz="4" w:space="0" w:color="auto"/>
              <w:right w:val="single" w:sz="4" w:space="0" w:color="auto"/>
            </w:tcBorders>
            <w:shd w:val="clear" w:color="auto" w:fill="auto"/>
          </w:tcPr>
          <w:p w14:paraId="680320B5"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5B0ABC5C" w14:textId="54991C09" w:rsidR="005B6D66" w:rsidRPr="006037C3" w:rsidRDefault="005B6D66" w:rsidP="005B6D66">
            <w:pPr>
              <w:autoSpaceDE w:val="0"/>
              <w:autoSpaceDN w:val="0"/>
              <w:adjustRightInd w:val="0"/>
              <w:ind w:left="59" w:right="79"/>
              <w:jc w:val="both"/>
              <w:rPr>
                <w:rFonts w:ascii="Arial" w:hAnsi="Arial" w:cs="Arial"/>
                <w:color w:val="000000"/>
                <w:sz w:val="18"/>
                <w:szCs w:val="18"/>
                <w:lang w:val="es-ES_tradnl"/>
              </w:rPr>
            </w:pPr>
            <w:bookmarkStart w:id="2" w:name="_Hlk498526991"/>
            <w:r w:rsidRPr="0061726B">
              <w:rPr>
                <w:sz w:val="20"/>
                <w:szCs w:val="20"/>
                <w:lang w:val="es-ES_tradnl"/>
              </w:rPr>
              <w:t>Que el Consejo Nacional de Energía (CONAEN) presente un Informe sobre el avance del proceso de implementación de la reforma, incluyendo una evaluación independiente del funcionamiento del sector y sus instituciones bajo el marco de la LGIE, y las medidas adicionales que se deban adoptar de ser necesario.</w:t>
            </w:r>
            <w:bookmarkEnd w:id="2"/>
          </w:p>
        </w:tc>
        <w:tc>
          <w:tcPr>
            <w:tcW w:w="407" w:type="pct"/>
            <w:tcBorders>
              <w:top w:val="single" w:sz="4" w:space="0" w:color="auto"/>
              <w:left w:val="single" w:sz="4" w:space="0" w:color="auto"/>
              <w:bottom w:val="single" w:sz="4" w:space="0" w:color="auto"/>
              <w:right w:val="single" w:sz="4" w:space="0" w:color="auto"/>
            </w:tcBorders>
          </w:tcPr>
          <w:p w14:paraId="45E8F1E2"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14944A7D"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17FA59A8"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7A4E3701" w14:textId="178D5AC6" w:rsidR="005B6D66" w:rsidRPr="006037C3" w:rsidRDefault="005B6D66" w:rsidP="005B6D66">
            <w:pPr>
              <w:autoSpaceDE w:val="0"/>
              <w:autoSpaceDN w:val="0"/>
              <w:adjustRightInd w:val="0"/>
              <w:ind w:left="68" w:right="90"/>
              <w:jc w:val="both"/>
              <w:rPr>
                <w:rFonts w:ascii="Arial" w:hAnsi="Arial" w:cs="Arial"/>
                <w:color w:val="000000"/>
                <w:sz w:val="18"/>
                <w:szCs w:val="18"/>
                <w:lang w:val="es-ES_tradnl"/>
              </w:rPr>
            </w:pPr>
          </w:p>
        </w:tc>
      </w:tr>
      <w:tr w:rsidR="005B6D66" w:rsidRPr="0033349F" w14:paraId="376E62E0" w14:textId="77777777" w:rsidTr="0033349F">
        <w:trPr>
          <w:gridAfter w:val="1"/>
          <w:wAfter w:w="6" w:type="pct"/>
          <w:jc w:val="center"/>
        </w:trPr>
        <w:tc>
          <w:tcPr>
            <w:tcW w:w="1088" w:type="pct"/>
            <w:vMerge w:val="restart"/>
            <w:tcBorders>
              <w:top w:val="single" w:sz="4" w:space="0" w:color="auto"/>
              <w:left w:val="single" w:sz="6" w:space="0" w:color="auto"/>
              <w:right w:val="single" w:sz="6" w:space="0" w:color="auto"/>
            </w:tcBorders>
            <w:shd w:val="clear" w:color="auto" w:fill="auto"/>
          </w:tcPr>
          <w:p w14:paraId="2E3BCFE9"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r w:rsidRPr="006037C3">
              <w:rPr>
                <w:rFonts w:ascii="Arial" w:hAnsi="Arial" w:cs="Arial"/>
                <w:bCs/>
                <w:sz w:val="18"/>
                <w:szCs w:val="18"/>
                <w:lang w:val="es-ES_tradnl"/>
              </w:rPr>
              <w:t>I-2 Contar con capacidad institucional y personal capacitado que permitan asegurar la definición y puesta en marcha de políticas públicas para el sector eléctrico.</w:t>
            </w:r>
          </w:p>
          <w:p w14:paraId="47A3DAF0"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p w14:paraId="7412F2FD"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1600D0E5" w14:textId="65EAB89E" w:rsidR="005B6D66" w:rsidRPr="006037C3" w:rsidRDefault="005B6D66" w:rsidP="005B6D66">
            <w:pPr>
              <w:autoSpaceDE w:val="0"/>
              <w:autoSpaceDN w:val="0"/>
              <w:adjustRightInd w:val="0"/>
              <w:rPr>
                <w:rFonts w:ascii="Arial" w:hAnsi="Arial" w:cs="Arial"/>
                <w:color w:val="000000"/>
                <w:sz w:val="18"/>
                <w:szCs w:val="18"/>
                <w:lang w:val="es-ES_tradnl"/>
              </w:rPr>
            </w:pPr>
            <w:bookmarkStart w:id="3" w:name="_Hlk498527015"/>
            <w:r w:rsidRPr="0061726B">
              <w:rPr>
                <w:sz w:val="20"/>
                <w:szCs w:val="20"/>
                <w:lang w:val="es-ES_tradnl"/>
              </w:rPr>
              <w:t xml:space="preserve">Que </w:t>
            </w:r>
            <w:proofErr w:type="spellStart"/>
            <w:r w:rsidRPr="0061726B">
              <w:rPr>
                <w:sz w:val="20"/>
                <w:szCs w:val="20"/>
                <w:lang w:val="es-ES_tradnl"/>
              </w:rPr>
              <w:t>MiAmbiente</w:t>
            </w:r>
            <w:proofErr w:type="spellEnd"/>
            <w:r w:rsidRPr="0061726B">
              <w:rPr>
                <w:sz w:val="20"/>
                <w:szCs w:val="20"/>
                <w:lang w:val="es-ES_tradnl"/>
              </w:rPr>
              <w:t xml:space="preserve"> se encuentre funcionando como ente rector del sector eléctrico asegurando la definición y puesta en marcha y seguimiento de las políticas públicas que orientan las actividades del sector eléctrico durante la transición de funciones a la nueva Secretaría de Estado en el Despacho de Energía</w:t>
            </w:r>
            <w:bookmarkEnd w:id="3"/>
          </w:p>
        </w:tc>
        <w:tc>
          <w:tcPr>
            <w:tcW w:w="407" w:type="pct"/>
            <w:tcBorders>
              <w:top w:val="single" w:sz="4" w:space="0" w:color="auto"/>
              <w:left w:val="single" w:sz="6" w:space="0" w:color="auto"/>
              <w:bottom w:val="single" w:sz="4" w:space="0" w:color="auto"/>
              <w:right w:val="single" w:sz="6" w:space="0" w:color="auto"/>
            </w:tcBorders>
          </w:tcPr>
          <w:p w14:paraId="385A93C5"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05E3B759"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0BFD8F73"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1974F882" w14:textId="24E01C6C" w:rsidR="005B6D66" w:rsidRPr="006037C3" w:rsidRDefault="005B6D66" w:rsidP="005B6D66">
            <w:pPr>
              <w:autoSpaceDE w:val="0"/>
              <w:autoSpaceDN w:val="0"/>
              <w:adjustRightInd w:val="0"/>
              <w:ind w:left="68" w:right="90"/>
              <w:jc w:val="both"/>
              <w:rPr>
                <w:rFonts w:ascii="Arial" w:hAnsi="Arial" w:cs="Arial"/>
                <w:sz w:val="18"/>
                <w:szCs w:val="18"/>
                <w:lang w:val="es-ES_tradnl"/>
              </w:rPr>
            </w:pPr>
          </w:p>
        </w:tc>
      </w:tr>
      <w:tr w:rsidR="005B6D66" w:rsidRPr="0033349F" w14:paraId="7A0BFF82" w14:textId="77777777" w:rsidTr="0033349F">
        <w:trPr>
          <w:gridAfter w:val="1"/>
          <w:wAfter w:w="6" w:type="pct"/>
          <w:jc w:val="center"/>
        </w:trPr>
        <w:tc>
          <w:tcPr>
            <w:tcW w:w="1088" w:type="pct"/>
            <w:vMerge/>
            <w:tcBorders>
              <w:left w:val="single" w:sz="6" w:space="0" w:color="auto"/>
              <w:right w:val="single" w:sz="6" w:space="0" w:color="auto"/>
            </w:tcBorders>
            <w:shd w:val="clear" w:color="auto" w:fill="auto"/>
          </w:tcPr>
          <w:p w14:paraId="20D40870"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01547B18" w14:textId="7B846D73" w:rsidR="005B6D66" w:rsidRPr="006037C3" w:rsidRDefault="005B6D66" w:rsidP="005B6D66">
            <w:pPr>
              <w:autoSpaceDE w:val="0"/>
              <w:autoSpaceDN w:val="0"/>
              <w:adjustRightInd w:val="0"/>
              <w:rPr>
                <w:lang w:val="es-ES_tradnl"/>
              </w:rPr>
            </w:pPr>
            <w:bookmarkStart w:id="4" w:name="_Hlk498527046"/>
            <w:r w:rsidRPr="0061726B">
              <w:rPr>
                <w:sz w:val="20"/>
                <w:szCs w:val="20"/>
                <w:lang w:val="es-ES_tradnl"/>
              </w:rPr>
              <w:t xml:space="preserve">Que se haya creado la Secretaria de Estado en el Despacho de Energía (SEN) como institución rectora del sector energético nacional y de la integración energética regional e internacional y </w:t>
            </w:r>
            <w:proofErr w:type="gramStart"/>
            <w:r w:rsidRPr="0061726B">
              <w:rPr>
                <w:sz w:val="20"/>
                <w:szCs w:val="20"/>
                <w:lang w:val="es-ES_tradnl"/>
              </w:rPr>
              <w:t xml:space="preserve">que </w:t>
            </w:r>
            <w:r w:rsidRPr="00E12C97">
              <w:rPr>
                <w:sz w:val="20"/>
                <w:szCs w:val="20"/>
                <w:lang w:val="es-ES_tradnl"/>
              </w:rPr>
              <w:t>:</w:t>
            </w:r>
            <w:proofErr w:type="gramEnd"/>
            <w:r w:rsidRPr="00E12C97">
              <w:rPr>
                <w:sz w:val="20"/>
                <w:szCs w:val="20"/>
                <w:lang w:val="es-ES_tradnl"/>
              </w:rPr>
              <w:t xml:space="preserve"> (i) </w:t>
            </w:r>
            <w:r>
              <w:rPr>
                <w:sz w:val="20"/>
                <w:szCs w:val="20"/>
                <w:lang w:val="es-ES_tradnl"/>
              </w:rPr>
              <w:t xml:space="preserve">se haya nombrado el personal básico para la puesta en marcha de la Secretaría </w:t>
            </w:r>
            <w:r w:rsidRPr="00E12C97">
              <w:rPr>
                <w:sz w:val="20"/>
                <w:szCs w:val="20"/>
                <w:lang w:val="es-ES_tradnl"/>
              </w:rPr>
              <w:t>; y</w:t>
            </w:r>
            <w:r w:rsidRPr="0061726B">
              <w:rPr>
                <w:sz w:val="20"/>
                <w:szCs w:val="20"/>
                <w:lang w:val="es-ES_tradnl"/>
              </w:rPr>
              <w:t xml:space="preserve"> (ii) cuente con la asignación de presupuesto requerida y un plan de trabajo anual</w:t>
            </w:r>
            <w:bookmarkEnd w:id="4"/>
            <w:r>
              <w:rPr>
                <w:sz w:val="20"/>
                <w:szCs w:val="20"/>
                <w:lang w:val="es-ES_tradnl"/>
              </w:rPr>
              <w:t>.</w:t>
            </w:r>
          </w:p>
        </w:tc>
        <w:tc>
          <w:tcPr>
            <w:tcW w:w="407" w:type="pct"/>
            <w:tcBorders>
              <w:top w:val="single" w:sz="4" w:space="0" w:color="auto"/>
              <w:left w:val="single" w:sz="6" w:space="0" w:color="auto"/>
              <w:bottom w:val="single" w:sz="4" w:space="0" w:color="auto"/>
              <w:right w:val="single" w:sz="6" w:space="0" w:color="auto"/>
            </w:tcBorders>
          </w:tcPr>
          <w:p w14:paraId="2103095C"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0C8AC666"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42E9E9F8"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22C1A60D" w14:textId="432EBB1D" w:rsidR="005B6D66" w:rsidRPr="006037C3" w:rsidRDefault="005B6D66" w:rsidP="005B6D66">
            <w:pPr>
              <w:autoSpaceDE w:val="0"/>
              <w:autoSpaceDN w:val="0"/>
              <w:adjustRightInd w:val="0"/>
              <w:rPr>
                <w:color w:val="000000"/>
                <w:lang w:val="es-ES_tradnl"/>
              </w:rPr>
            </w:pPr>
          </w:p>
        </w:tc>
      </w:tr>
      <w:tr w:rsidR="005B6D66" w:rsidRPr="0033349F" w14:paraId="4F143B1B" w14:textId="77777777" w:rsidTr="0033349F">
        <w:trPr>
          <w:gridAfter w:val="1"/>
          <w:wAfter w:w="6" w:type="pct"/>
          <w:jc w:val="center"/>
        </w:trPr>
        <w:tc>
          <w:tcPr>
            <w:tcW w:w="1088" w:type="pct"/>
            <w:vMerge/>
            <w:tcBorders>
              <w:left w:val="single" w:sz="6" w:space="0" w:color="auto"/>
              <w:right w:val="single" w:sz="6" w:space="0" w:color="auto"/>
            </w:tcBorders>
            <w:shd w:val="clear" w:color="auto" w:fill="auto"/>
          </w:tcPr>
          <w:p w14:paraId="395626AC"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2B400716" w14:textId="01BC1175" w:rsidR="005B6D66" w:rsidRPr="006037C3" w:rsidRDefault="005B6D66" w:rsidP="005B6D66">
            <w:pPr>
              <w:autoSpaceDE w:val="0"/>
              <w:autoSpaceDN w:val="0"/>
              <w:adjustRightInd w:val="0"/>
              <w:rPr>
                <w:lang w:val="es-ES_tradnl"/>
              </w:rPr>
            </w:pPr>
            <w:bookmarkStart w:id="5" w:name="_Hlk498527096"/>
            <w:r w:rsidRPr="0061726B">
              <w:rPr>
                <w:sz w:val="20"/>
                <w:szCs w:val="20"/>
                <w:lang w:val="es-ES_tradnl"/>
              </w:rPr>
              <w:t xml:space="preserve">Que se haya creado y esté operativo el Consejo Nacional de Energía </w:t>
            </w:r>
            <w:r>
              <w:rPr>
                <w:sz w:val="20"/>
                <w:szCs w:val="20"/>
                <w:lang w:val="es-ES_tradnl"/>
              </w:rPr>
              <w:t xml:space="preserve">(CONAEN) </w:t>
            </w:r>
            <w:r w:rsidRPr="0061726B">
              <w:rPr>
                <w:sz w:val="20"/>
                <w:szCs w:val="20"/>
                <w:lang w:val="es-ES_tradnl"/>
              </w:rPr>
              <w:t>para llevar adelante la articulación estratégica y coordinación intersectorial del sector energético</w:t>
            </w:r>
            <w:bookmarkEnd w:id="5"/>
            <w:r w:rsidRPr="0061726B">
              <w:rPr>
                <w:sz w:val="20"/>
                <w:szCs w:val="20"/>
                <w:lang w:val="es-ES_tradnl"/>
              </w:rPr>
              <w:t>.</w:t>
            </w:r>
          </w:p>
        </w:tc>
        <w:tc>
          <w:tcPr>
            <w:tcW w:w="407" w:type="pct"/>
            <w:tcBorders>
              <w:top w:val="single" w:sz="4" w:space="0" w:color="auto"/>
              <w:left w:val="single" w:sz="6" w:space="0" w:color="auto"/>
              <w:bottom w:val="single" w:sz="4" w:space="0" w:color="auto"/>
              <w:right w:val="single" w:sz="6" w:space="0" w:color="auto"/>
            </w:tcBorders>
          </w:tcPr>
          <w:p w14:paraId="525CA3F1"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470A434B"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6FC47FEA"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6F45427A" w14:textId="75DAA46C" w:rsidR="005B6D66" w:rsidRPr="006037C3" w:rsidRDefault="005B6D66" w:rsidP="005B6D66">
            <w:pPr>
              <w:autoSpaceDE w:val="0"/>
              <w:autoSpaceDN w:val="0"/>
              <w:adjustRightInd w:val="0"/>
              <w:rPr>
                <w:color w:val="000000"/>
                <w:lang w:val="es-ES_tradnl"/>
              </w:rPr>
            </w:pPr>
          </w:p>
        </w:tc>
      </w:tr>
      <w:tr w:rsidR="005B6D66" w:rsidRPr="0033349F" w14:paraId="532A8FF2" w14:textId="77777777" w:rsidTr="0033349F">
        <w:trPr>
          <w:gridAfter w:val="1"/>
          <w:wAfter w:w="6" w:type="pct"/>
          <w:jc w:val="center"/>
        </w:trPr>
        <w:tc>
          <w:tcPr>
            <w:tcW w:w="1088" w:type="pct"/>
            <w:vMerge/>
            <w:tcBorders>
              <w:left w:val="single" w:sz="6" w:space="0" w:color="auto"/>
              <w:bottom w:val="single" w:sz="4" w:space="0" w:color="auto"/>
              <w:right w:val="single" w:sz="6" w:space="0" w:color="auto"/>
            </w:tcBorders>
            <w:shd w:val="clear" w:color="auto" w:fill="auto"/>
          </w:tcPr>
          <w:p w14:paraId="562C4D27"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7C98C2E8" w14:textId="5365F68B" w:rsidR="005B6D66" w:rsidRPr="006037C3" w:rsidRDefault="005B6D66" w:rsidP="005B6D66">
            <w:pPr>
              <w:autoSpaceDE w:val="0"/>
              <w:autoSpaceDN w:val="0"/>
              <w:adjustRightInd w:val="0"/>
              <w:rPr>
                <w:lang w:val="es-ES_tradnl"/>
              </w:rPr>
            </w:pPr>
            <w:bookmarkStart w:id="6" w:name="_Hlk498527114"/>
            <w:r w:rsidRPr="0061726B">
              <w:rPr>
                <w:sz w:val="20"/>
                <w:szCs w:val="20"/>
                <w:lang w:val="es-ES_tradnl"/>
              </w:rPr>
              <w:t xml:space="preserve">Que se haya constituido y se encuentre en funcionamiento la Secretaría </w:t>
            </w:r>
            <w:r>
              <w:rPr>
                <w:sz w:val="20"/>
                <w:szCs w:val="20"/>
                <w:lang w:val="es-ES_tradnl"/>
              </w:rPr>
              <w:t>T</w:t>
            </w:r>
            <w:r w:rsidRPr="0061726B">
              <w:rPr>
                <w:sz w:val="20"/>
                <w:szCs w:val="20"/>
                <w:lang w:val="es-ES_tradnl"/>
              </w:rPr>
              <w:t xml:space="preserve">écnica del Consejo Nacional de Energía </w:t>
            </w:r>
            <w:r>
              <w:rPr>
                <w:sz w:val="20"/>
                <w:szCs w:val="20"/>
                <w:lang w:val="es-ES_tradnl"/>
              </w:rPr>
              <w:t xml:space="preserve">(CONAEN) </w:t>
            </w:r>
            <w:r w:rsidRPr="0061726B">
              <w:rPr>
                <w:sz w:val="20"/>
                <w:szCs w:val="20"/>
                <w:lang w:val="es-ES_tradnl"/>
              </w:rPr>
              <w:t>y esta tenga la función de apoyo técnico y administrativo del CONAEN.</w:t>
            </w:r>
            <w:bookmarkEnd w:id="6"/>
          </w:p>
        </w:tc>
        <w:tc>
          <w:tcPr>
            <w:tcW w:w="407" w:type="pct"/>
            <w:tcBorders>
              <w:top w:val="single" w:sz="4" w:space="0" w:color="auto"/>
              <w:left w:val="single" w:sz="6" w:space="0" w:color="auto"/>
              <w:bottom w:val="single" w:sz="4" w:space="0" w:color="auto"/>
              <w:right w:val="single" w:sz="6" w:space="0" w:color="auto"/>
            </w:tcBorders>
          </w:tcPr>
          <w:p w14:paraId="0B7A3426"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6A2F3EA3"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3182F332"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3733A415" w14:textId="54866A47" w:rsidR="005B6D66" w:rsidRPr="006037C3" w:rsidRDefault="005B6D66" w:rsidP="005B6D66">
            <w:pPr>
              <w:autoSpaceDE w:val="0"/>
              <w:autoSpaceDN w:val="0"/>
              <w:adjustRightInd w:val="0"/>
              <w:rPr>
                <w:color w:val="000000"/>
                <w:lang w:val="es-ES_tradnl"/>
              </w:rPr>
            </w:pPr>
          </w:p>
        </w:tc>
      </w:tr>
      <w:tr w:rsidR="005B6D66" w:rsidRPr="0033349F" w14:paraId="37D83E80" w14:textId="77777777" w:rsidTr="0033349F">
        <w:trPr>
          <w:gridAfter w:val="1"/>
          <w:wAfter w:w="6" w:type="pct"/>
          <w:jc w:val="center"/>
        </w:trPr>
        <w:tc>
          <w:tcPr>
            <w:tcW w:w="1088" w:type="pct"/>
            <w:vMerge w:val="restart"/>
            <w:tcBorders>
              <w:left w:val="single" w:sz="6" w:space="0" w:color="auto"/>
              <w:right w:val="single" w:sz="6" w:space="0" w:color="auto"/>
            </w:tcBorders>
            <w:shd w:val="clear" w:color="auto" w:fill="auto"/>
          </w:tcPr>
          <w:p w14:paraId="22E11A59"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r w:rsidRPr="006037C3">
              <w:rPr>
                <w:rFonts w:ascii="Arial" w:hAnsi="Arial" w:cs="Arial"/>
                <w:bCs/>
                <w:sz w:val="18"/>
                <w:szCs w:val="18"/>
                <w:lang w:val="es-ES_tradnl"/>
              </w:rPr>
              <w:lastRenderedPageBreak/>
              <w:t>I-3 Contar con capacidad institucional y el personal capacitado que permitan regular las actividades del sector eléctrico.</w:t>
            </w:r>
          </w:p>
          <w:p w14:paraId="30BC7D3C"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p w14:paraId="4A1D236A"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p w14:paraId="5AE47153"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0755A7B5" w14:textId="09B008BE" w:rsidR="005B6D66" w:rsidRPr="006037C3" w:rsidRDefault="005B6D66" w:rsidP="005B6D66">
            <w:pPr>
              <w:autoSpaceDE w:val="0"/>
              <w:autoSpaceDN w:val="0"/>
              <w:adjustRightInd w:val="0"/>
              <w:rPr>
                <w:lang w:val="es-ES_tradnl"/>
              </w:rPr>
            </w:pPr>
            <w:bookmarkStart w:id="7" w:name="_Hlk498527138"/>
            <w:r w:rsidRPr="0061726B">
              <w:rPr>
                <w:sz w:val="20"/>
                <w:szCs w:val="20"/>
                <w:lang w:val="es-ES_tradnl"/>
              </w:rPr>
              <w:t>Que la CREE se encuentre funcionando como ente encargado de regular las actividades del sector eléctrico.</w:t>
            </w:r>
            <w:bookmarkEnd w:id="7"/>
          </w:p>
        </w:tc>
        <w:tc>
          <w:tcPr>
            <w:tcW w:w="407" w:type="pct"/>
            <w:tcBorders>
              <w:top w:val="single" w:sz="4" w:space="0" w:color="auto"/>
              <w:left w:val="single" w:sz="6" w:space="0" w:color="auto"/>
              <w:bottom w:val="single" w:sz="4" w:space="0" w:color="auto"/>
              <w:right w:val="single" w:sz="6" w:space="0" w:color="auto"/>
            </w:tcBorders>
          </w:tcPr>
          <w:p w14:paraId="7C0F8EDC"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7BE89264"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24450BED"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167594C0" w14:textId="43A7FE6F" w:rsidR="005B6D66" w:rsidRPr="006037C3" w:rsidRDefault="005B6D66" w:rsidP="005B6D66">
            <w:pPr>
              <w:autoSpaceDE w:val="0"/>
              <w:autoSpaceDN w:val="0"/>
              <w:adjustRightInd w:val="0"/>
              <w:rPr>
                <w:color w:val="000000"/>
                <w:lang w:val="es-ES_tradnl"/>
              </w:rPr>
            </w:pPr>
          </w:p>
        </w:tc>
      </w:tr>
      <w:tr w:rsidR="005B6D66" w:rsidRPr="00CF0D24" w14:paraId="2415753E" w14:textId="77777777" w:rsidTr="0033349F">
        <w:trPr>
          <w:gridAfter w:val="1"/>
          <w:wAfter w:w="6" w:type="pct"/>
          <w:jc w:val="center"/>
        </w:trPr>
        <w:tc>
          <w:tcPr>
            <w:tcW w:w="1088" w:type="pct"/>
            <w:vMerge/>
            <w:tcBorders>
              <w:left w:val="single" w:sz="6" w:space="0" w:color="auto"/>
              <w:right w:val="single" w:sz="6" w:space="0" w:color="auto"/>
            </w:tcBorders>
            <w:shd w:val="clear" w:color="auto" w:fill="auto"/>
          </w:tcPr>
          <w:p w14:paraId="7DE2898A"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414C171F" w14:textId="77777777" w:rsidR="005B6D66" w:rsidRPr="0061726B" w:rsidRDefault="005B6D66" w:rsidP="005B6D66">
            <w:pPr>
              <w:autoSpaceDE w:val="0"/>
              <w:autoSpaceDN w:val="0"/>
              <w:adjustRightInd w:val="0"/>
              <w:rPr>
                <w:b/>
                <w:sz w:val="20"/>
                <w:szCs w:val="20"/>
                <w:lang w:val="es-ES_tradnl"/>
              </w:rPr>
            </w:pPr>
            <w:bookmarkStart w:id="8" w:name="_Hlk498527160"/>
            <w:r w:rsidRPr="0061726B">
              <w:rPr>
                <w:sz w:val="20"/>
                <w:szCs w:val="20"/>
                <w:lang w:val="es-ES_tradnl"/>
              </w:rPr>
              <w:t>Que la CREE cuente con los recursos financieros, el personal directivo y haya seleccionado el personal técnico necesario para la regulación del sector.</w:t>
            </w:r>
          </w:p>
          <w:bookmarkEnd w:id="8"/>
          <w:p w14:paraId="1F1FDFA6" w14:textId="77777777" w:rsidR="005B6D66" w:rsidRPr="0061726B" w:rsidRDefault="005B6D66" w:rsidP="005B6D66">
            <w:pPr>
              <w:autoSpaceDE w:val="0"/>
              <w:autoSpaceDN w:val="0"/>
              <w:adjustRightInd w:val="0"/>
              <w:rPr>
                <w:b/>
                <w:sz w:val="20"/>
                <w:szCs w:val="20"/>
                <w:lang w:val="es-ES_tradnl"/>
              </w:rPr>
            </w:pPr>
          </w:p>
          <w:p w14:paraId="441B1154" w14:textId="77777777" w:rsidR="005B6D66" w:rsidRPr="006037C3" w:rsidRDefault="005B6D66" w:rsidP="005B6D66">
            <w:pPr>
              <w:autoSpaceDE w:val="0"/>
              <w:autoSpaceDN w:val="0"/>
              <w:adjustRightInd w:val="0"/>
              <w:rPr>
                <w:lang w:val="es-ES_tradnl"/>
              </w:rPr>
            </w:pPr>
          </w:p>
        </w:tc>
        <w:tc>
          <w:tcPr>
            <w:tcW w:w="407" w:type="pct"/>
            <w:tcBorders>
              <w:top w:val="single" w:sz="4" w:space="0" w:color="auto"/>
              <w:left w:val="single" w:sz="6" w:space="0" w:color="auto"/>
              <w:bottom w:val="single" w:sz="4" w:space="0" w:color="auto"/>
              <w:right w:val="single" w:sz="6" w:space="0" w:color="auto"/>
            </w:tcBorders>
          </w:tcPr>
          <w:p w14:paraId="5D74AE23"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604960C3"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7A11EFD4"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6F4779B8" w14:textId="0A9A767D" w:rsidR="005B6D66" w:rsidRPr="006037C3" w:rsidRDefault="005B6D66" w:rsidP="005B6D66">
            <w:pPr>
              <w:autoSpaceDE w:val="0"/>
              <w:autoSpaceDN w:val="0"/>
              <w:adjustRightInd w:val="0"/>
              <w:rPr>
                <w:color w:val="000000"/>
                <w:lang w:val="es-ES_tradnl"/>
              </w:rPr>
            </w:pPr>
          </w:p>
        </w:tc>
      </w:tr>
      <w:tr w:rsidR="005B6D66" w:rsidRPr="00CF0D24" w14:paraId="76523107" w14:textId="77777777" w:rsidTr="0033349F">
        <w:trPr>
          <w:gridAfter w:val="1"/>
          <w:wAfter w:w="6" w:type="pct"/>
          <w:jc w:val="center"/>
        </w:trPr>
        <w:tc>
          <w:tcPr>
            <w:tcW w:w="1088" w:type="pct"/>
            <w:vMerge/>
            <w:tcBorders>
              <w:left w:val="single" w:sz="6" w:space="0" w:color="auto"/>
              <w:right w:val="single" w:sz="6" w:space="0" w:color="auto"/>
            </w:tcBorders>
            <w:shd w:val="clear" w:color="auto" w:fill="auto"/>
          </w:tcPr>
          <w:p w14:paraId="663F9D91"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7FAB0743" w14:textId="659C9932" w:rsidR="005B6D66" w:rsidRPr="006037C3" w:rsidRDefault="005B6D66" w:rsidP="005B6D66">
            <w:pPr>
              <w:autoSpaceDE w:val="0"/>
              <w:autoSpaceDN w:val="0"/>
              <w:adjustRightInd w:val="0"/>
              <w:rPr>
                <w:lang w:val="es-ES_tradnl"/>
              </w:rPr>
            </w:pPr>
            <w:bookmarkStart w:id="9" w:name="_Hlk498527192"/>
            <w:r w:rsidRPr="0061726B">
              <w:rPr>
                <w:sz w:val="20"/>
                <w:szCs w:val="20"/>
                <w:lang w:val="es-ES_tradnl"/>
              </w:rPr>
              <w:t>Que las decisiones adoptadas por la CREE estén siendo publicadas de acuerdo con lo establecido en la LGIE.</w:t>
            </w:r>
            <w:bookmarkEnd w:id="9"/>
          </w:p>
        </w:tc>
        <w:tc>
          <w:tcPr>
            <w:tcW w:w="407" w:type="pct"/>
            <w:tcBorders>
              <w:top w:val="single" w:sz="4" w:space="0" w:color="auto"/>
              <w:left w:val="single" w:sz="6" w:space="0" w:color="auto"/>
              <w:bottom w:val="single" w:sz="4" w:space="0" w:color="auto"/>
              <w:right w:val="single" w:sz="6" w:space="0" w:color="auto"/>
            </w:tcBorders>
          </w:tcPr>
          <w:p w14:paraId="5F428954"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169B3C40"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5C6329D5"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6348AE43" w14:textId="62C0483D" w:rsidR="005B6D66" w:rsidRPr="006037C3" w:rsidRDefault="005B6D66" w:rsidP="005B6D66">
            <w:pPr>
              <w:autoSpaceDE w:val="0"/>
              <w:autoSpaceDN w:val="0"/>
              <w:adjustRightInd w:val="0"/>
              <w:rPr>
                <w:color w:val="000000"/>
                <w:lang w:val="es-ES_tradnl"/>
              </w:rPr>
            </w:pPr>
          </w:p>
        </w:tc>
      </w:tr>
      <w:tr w:rsidR="005B6D66" w:rsidRPr="00CF0D24" w14:paraId="4ED0E40C" w14:textId="77777777" w:rsidTr="0033349F">
        <w:trPr>
          <w:gridAfter w:val="1"/>
          <w:wAfter w:w="6" w:type="pct"/>
          <w:trHeight w:val="665"/>
          <w:jc w:val="center"/>
        </w:trPr>
        <w:tc>
          <w:tcPr>
            <w:tcW w:w="1088" w:type="pct"/>
            <w:vMerge/>
            <w:tcBorders>
              <w:left w:val="single" w:sz="6" w:space="0" w:color="auto"/>
              <w:bottom w:val="single" w:sz="4" w:space="0" w:color="auto"/>
              <w:right w:val="single" w:sz="6" w:space="0" w:color="auto"/>
            </w:tcBorders>
            <w:shd w:val="clear" w:color="auto" w:fill="auto"/>
          </w:tcPr>
          <w:p w14:paraId="4A2FE0F0"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74141C36" w14:textId="04D4153C" w:rsidR="005B6D66" w:rsidRPr="006037C3" w:rsidRDefault="005B6D66" w:rsidP="005B6D66">
            <w:pPr>
              <w:autoSpaceDE w:val="0"/>
              <w:autoSpaceDN w:val="0"/>
              <w:adjustRightInd w:val="0"/>
              <w:rPr>
                <w:lang w:val="es-ES_tradnl"/>
              </w:rPr>
            </w:pPr>
            <w:bookmarkStart w:id="10" w:name="_Hlk498527224"/>
            <w:r w:rsidRPr="0061726B">
              <w:rPr>
                <w:sz w:val="20"/>
                <w:szCs w:val="20"/>
                <w:lang w:val="es-ES_tradnl"/>
              </w:rPr>
              <w:t>Que se haya presentado al Poder Ejecutivo y al Congreso el informe anual de la CREE indicando el funcionamiento del sector y las medidas adicionales que será necesario adoptar</w:t>
            </w:r>
            <w:bookmarkEnd w:id="10"/>
            <w:r w:rsidRPr="0061726B">
              <w:rPr>
                <w:sz w:val="20"/>
                <w:szCs w:val="20"/>
                <w:lang w:val="es-ES_tradnl"/>
              </w:rPr>
              <w:t>.</w:t>
            </w:r>
          </w:p>
        </w:tc>
        <w:tc>
          <w:tcPr>
            <w:tcW w:w="407" w:type="pct"/>
            <w:tcBorders>
              <w:top w:val="single" w:sz="4" w:space="0" w:color="auto"/>
              <w:left w:val="single" w:sz="6" w:space="0" w:color="auto"/>
              <w:bottom w:val="single" w:sz="4" w:space="0" w:color="auto"/>
              <w:right w:val="single" w:sz="6" w:space="0" w:color="auto"/>
            </w:tcBorders>
          </w:tcPr>
          <w:p w14:paraId="428B31B0"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70FE0054"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5B5F9D16"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7E1A3785" w14:textId="05A03A29" w:rsidR="005B6D66" w:rsidRPr="006037C3" w:rsidRDefault="005B6D66" w:rsidP="005B6D66">
            <w:pPr>
              <w:autoSpaceDE w:val="0"/>
              <w:autoSpaceDN w:val="0"/>
              <w:adjustRightInd w:val="0"/>
              <w:rPr>
                <w:color w:val="000000"/>
                <w:lang w:val="es-ES_tradnl"/>
              </w:rPr>
            </w:pPr>
          </w:p>
        </w:tc>
      </w:tr>
      <w:tr w:rsidR="005B6D66" w:rsidRPr="00CF0D24" w14:paraId="63EE3BC2" w14:textId="77777777" w:rsidTr="0033349F">
        <w:trPr>
          <w:gridAfter w:val="1"/>
          <w:wAfter w:w="6" w:type="pct"/>
          <w:jc w:val="center"/>
        </w:trPr>
        <w:tc>
          <w:tcPr>
            <w:tcW w:w="1088" w:type="pct"/>
            <w:vMerge w:val="restart"/>
            <w:tcBorders>
              <w:left w:val="single" w:sz="6" w:space="0" w:color="auto"/>
              <w:right w:val="single" w:sz="6" w:space="0" w:color="auto"/>
            </w:tcBorders>
            <w:shd w:val="clear" w:color="auto" w:fill="auto"/>
          </w:tcPr>
          <w:p w14:paraId="3EC98E94"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r w:rsidRPr="006037C3">
              <w:rPr>
                <w:rFonts w:ascii="Arial" w:hAnsi="Arial" w:cs="Arial"/>
                <w:bCs/>
                <w:sz w:val="18"/>
                <w:szCs w:val="18"/>
                <w:lang w:val="es-ES_tradnl"/>
              </w:rPr>
              <w:t xml:space="preserve">I-4 Contar con una entidad y con los reglamentos necesarios para la operación y planificación del sistema eléctrico nacional.  </w:t>
            </w:r>
          </w:p>
          <w:p w14:paraId="556FA506"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p w14:paraId="371AA82E"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p w14:paraId="14B2ADC0"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573F4E27" w14:textId="77777777" w:rsidR="005B6D66" w:rsidRPr="0061726B" w:rsidRDefault="005B6D66" w:rsidP="005B6D66">
            <w:pPr>
              <w:autoSpaceDE w:val="0"/>
              <w:autoSpaceDN w:val="0"/>
              <w:adjustRightInd w:val="0"/>
              <w:rPr>
                <w:sz w:val="20"/>
                <w:szCs w:val="20"/>
                <w:lang w:val="es-ES_tradnl"/>
              </w:rPr>
            </w:pPr>
            <w:bookmarkStart w:id="11" w:name="_Hlk498527252"/>
            <w:r w:rsidRPr="0061726B">
              <w:rPr>
                <w:sz w:val="20"/>
                <w:szCs w:val="20"/>
                <w:lang w:val="es-ES_tradnl"/>
              </w:rPr>
              <w:t>Que se haya conformado el Operador del Sistema Eléctrico Nacional, de conformidad con lo dispuesto en la LGIE</w:t>
            </w:r>
          </w:p>
          <w:bookmarkEnd w:id="11"/>
          <w:p w14:paraId="61F0A0C5" w14:textId="77777777" w:rsidR="005B6D66" w:rsidRPr="006037C3" w:rsidRDefault="005B6D66" w:rsidP="005B6D66">
            <w:pPr>
              <w:autoSpaceDE w:val="0"/>
              <w:autoSpaceDN w:val="0"/>
              <w:adjustRightInd w:val="0"/>
              <w:rPr>
                <w:lang w:val="es-ES_tradnl"/>
              </w:rPr>
            </w:pPr>
          </w:p>
        </w:tc>
        <w:tc>
          <w:tcPr>
            <w:tcW w:w="407" w:type="pct"/>
            <w:tcBorders>
              <w:top w:val="single" w:sz="4" w:space="0" w:color="auto"/>
              <w:left w:val="single" w:sz="6" w:space="0" w:color="auto"/>
              <w:bottom w:val="single" w:sz="4" w:space="0" w:color="auto"/>
              <w:right w:val="single" w:sz="6" w:space="0" w:color="auto"/>
            </w:tcBorders>
          </w:tcPr>
          <w:p w14:paraId="6754913C"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3254ABAD"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754ACF81"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061B6494" w14:textId="77777777" w:rsidR="005B6D66" w:rsidRPr="006037C3" w:rsidRDefault="005B6D66" w:rsidP="005B6D66">
            <w:pPr>
              <w:rPr>
                <w:color w:val="000000"/>
                <w:lang w:val="es-ES_tradnl"/>
              </w:rPr>
            </w:pPr>
          </w:p>
        </w:tc>
      </w:tr>
      <w:tr w:rsidR="005B6D66" w:rsidRPr="00CF0D24" w14:paraId="0FE6A8D5" w14:textId="77777777" w:rsidTr="0033349F">
        <w:trPr>
          <w:gridAfter w:val="1"/>
          <w:wAfter w:w="6" w:type="pct"/>
          <w:jc w:val="center"/>
        </w:trPr>
        <w:tc>
          <w:tcPr>
            <w:tcW w:w="1088" w:type="pct"/>
            <w:vMerge/>
            <w:tcBorders>
              <w:left w:val="single" w:sz="6" w:space="0" w:color="auto"/>
              <w:right w:val="single" w:sz="6" w:space="0" w:color="auto"/>
            </w:tcBorders>
            <w:shd w:val="clear" w:color="auto" w:fill="auto"/>
          </w:tcPr>
          <w:p w14:paraId="457771F2"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32A60037" w14:textId="77777777" w:rsidR="005B6D66" w:rsidRPr="0061726B" w:rsidRDefault="005B6D66" w:rsidP="005B6D66">
            <w:pPr>
              <w:autoSpaceDE w:val="0"/>
              <w:autoSpaceDN w:val="0"/>
              <w:adjustRightInd w:val="0"/>
              <w:rPr>
                <w:sz w:val="20"/>
                <w:szCs w:val="20"/>
                <w:lang w:val="es-ES_tradnl"/>
              </w:rPr>
            </w:pPr>
            <w:bookmarkStart w:id="12" w:name="_Hlk498527280"/>
            <w:r w:rsidRPr="0061726B">
              <w:rPr>
                <w:sz w:val="20"/>
                <w:szCs w:val="20"/>
                <w:lang w:val="es-ES_tradnl"/>
              </w:rPr>
              <w:t>Que se haya establecido el Comité de Agentes del Mercado.</w:t>
            </w:r>
          </w:p>
          <w:bookmarkEnd w:id="12"/>
          <w:p w14:paraId="125B1D0B" w14:textId="42032CD9" w:rsidR="005B6D66" w:rsidRPr="006037C3" w:rsidRDefault="005B6D66" w:rsidP="005B6D66">
            <w:pPr>
              <w:autoSpaceDE w:val="0"/>
              <w:autoSpaceDN w:val="0"/>
              <w:adjustRightInd w:val="0"/>
              <w:rPr>
                <w:lang w:val="es-ES_tradnl"/>
              </w:rPr>
            </w:pPr>
          </w:p>
        </w:tc>
        <w:tc>
          <w:tcPr>
            <w:tcW w:w="407" w:type="pct"/>
            <w:tcBorders>
              <w:top w:val="single" w:sz="4" w:space="0" w:color="auto"/>
              <w:left w:val="single" w:sz="6" w:space="0" w:color="auto"/>
              <w:bottom w:val="single" w:sz="4" w:space="0" w:color="auto"/>
              <w:right w:val="single" w:sz="6" w:space="0" w:color="auto"/>
            </w:tcBorders>
          </w:tcPr>
          <w:p w14:paraId="4C75F774"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64A2E96A"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58E18443"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1E3C71CE" w14:textId="77777777" w:rsidR="005B6D66" w:rsidRPr="006037C3" w:rsidRDefault="005B6D66" w:rsidP="005B6D66">
            <w:pPr>
              <w:rPr>
                <w:color w:val="000000"/>
                <w:lang w:val="es-ES_tradnl"/>
              </w:rPr>
            </w:pPr>
          </w:p>
        </w:tc>
      </w:tr>
      <w:tr w:rsidR="005B6D66" w:rsidRPr="00CF0D24" w14:paraId="47172DD3" w14:textId="77777777" w:rsidTr="0033349F">
        <w:trPr>
          <w:gridAfter w:val="1"/>
          <w:wAfter w:w="6" w:type="pct"/>
          <w:jc w:val="center"/>
        </w:trPr>
        <w:tc>
          <w:tcPr>
            <w:tcW w:w="1088" w:type="pct"/>
            <w:vMerge/>
            <w:tcBorders>
              <w:left w:val="single" w:sz="6" w:space="0" w:color="auto"/>
              <w:right w:val="single" w:sz="6" w:space="0" w:color="auto"/>
            </w:tcBorders>
            <w:shd w:val="clear" w:color="auto" w:fill="auto"/>
          </w:tcPr>
          <w:p w14:paraId="1EE7A150"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256313DA" w14:textId="77777777" w:rsidR="005B6D66" w:rsidRPr="0061726B" w:rsidRDefault="005B6D66" w:rsidP="005B6D66">
            <w:pPr>
              <w:autoSpaceDE w:val="0"/>
              <w:autoSpaceDN w:val="0"/>
              <w:adjustRightInd w:val="0"/>
              <w:rPr>
                <w:sz w:val="20"/>
                <w:szCs w:val="20"/>
                <w:lang w:val="es-ES_tradnl"/>
              </w:rPr>
            </w:pPr>
            <w:bookmarkStart w:id="13" w:name="_Hlk498527303"/>
            <w:r w:rsidRPr="0061726B">
              <w:rPr>
                <w:sz w:val="20"/>
                <w:szCs w:val="20"/>
                <w:lang w:val="es-ES_tradnl"/>
              </w:rPr>
              <w:t>Que el Operador del Sistema haya definido y se haya publicado el plan de expansión de generación y transmisión.</w:t>
            </w:r>
          </w:p>
          <w:bookmarkEnd w:id="13"/>
          <w:p w14:paraId="03F0A1EB" w14:textId="77777777" w:rsidR="005B6D66" w:rsidRPr="006037C3" w:rsidRDefault="005B6D66" w:rsidP="005B6D66">
            <w:pPr>
              <w:autoSpaceDE w:val="0"/>
              <w:autoSpaceDN w:val="0"/>
              <w:adjustRightInd w:val="0"/>
              <w:rPr>
                <w:lang w:val="es-ES_tradnl"/>
              </w:rPr>
            </w:pPr>
          </w:p>
        </w:tc>
        <w:tc>
          <w:tcPr>
            <w:tcW w:w="407" w:type="pct"/>
            <w:tcBorders>
              <w:top w:val="single" w:sz="4" w:space="0" w:color="auto"/>
              <w:left w:val="single" w:sz="6" w:space="0" w:color="auto"/>
              <w:bottom w:val="single" w:sz="4" w:space="0" w:color="auto"/>
              <w:right w:val="single" w:sz="6" w:space="0" w:color="auto"/>
            </w:tcBorders>
          </w:tcPr>
          <w:p w14:paraId="418066DF"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75F7632F"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2EA4EAAD"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7E741A05" w14:textId="6ADA5B28" w:rsidR="005B6D66" w:rsidRPr="006037C3" w:rsidRDefault="005B6D66" w:rsidP="005B6D66">
            <w:pPr>
              <w:rPr>
                <w:color w:val="000000"/>
                <w:lang w:val="es-ES_tradnl"/>
              </w:rPr>
            </w:pPr>
          </w:p>
        </w:tc>
      </w:tr>
      <w:tr w:rsidR="005B6D66" w:rsidRPr="00CF0D24" w14:paraId="2B4FD9D1" w14:textId="77777777" w:rsidTr="0033349F">
        <w:trPr>
          <w:gridAfter w:val="1"/>
          <w:wAfter w:w="6" w:type="pct"/>
          <w:jc w:val="center"/>
        </w:trPr>
        <w:tc>
          <w:tcPr>
            <w:tcW w:w="1088" w:type="pct"/>
            <w:vMerge/>
            <w:tcBorders>
              <w:left w:val="single" w:sz="6" w:space="0" w:color="auto"/>
              <w:bottom w:val="single" w:sz="4" w:space="0" w:color="auto"/>
              <w:right w:val="single" w:sz="6" w:space="0" w:color="auto"/>
            </w:tcBorders>
            <w:shd w:val="clear" w:color="auto" w:fill="auto"/>
          </w:tcPr>
          <w:p w14:paraId="5F45C2CE"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124F39CC" w14:textId="64525E8D" w:rsidR="005B6D66" w:rsidRPr="006037C3" w:rsidRDefault="005B6D66" w:rsidP="005B6D66">
            <w:pPr>
              <w:autoSpaceDE w:val="0"/>
              <w:autoSpaceDN w:val="0"/>
              <w:adjustRightInd w:val="0"/>
              <w:spacing w:before="120"/>
              <w:rPr>
                <w:lang w:val="es-ES_tradnl"/>
              </w:rPr>
            </w:pPr>
            <w:r w:rsidRPr="0061726B">
              <w:rPr>
                <w:sz w:val="20"/>
                <w:szCs w:val="20"/>
                <w:lang w:val="es-ES_tradnl"/>
              </w:rPr>
              <w:t xml:space="preserve">Que el </w:t>
            </w:r>
            <w:r>
              <w:rPr>
                <w:sz w:val="20"/>
                <w:szCs w:val="20"/>
                <w:lang w:val="es-ES_tradnl"/>
              </w:rPr>
              <w:t>O</w:t>
            </w:r>
            <w:r w:rsidRPr="0061726B">
              <w:rPr>
                <w:sz w:val="20"/>
                <w:szCs w:val="20"/>
                <w:lang w:val="es-ES_tradnl"/>
              </w:rPr>
              <w:t xml:space="preserve">perador del Sistema cuente con los recursos financieros, el personal directivo y la infraestructura para supervisar y controlar las operaciones del Sistema Interconectado Nacional y administrar el mercado de oportunidad. </w:t>
            </w:r>
          </w:p>
        </w:tc>
        <w:tc>
          <w:tcPr>
            <w:tcW w:w="407" w:type="pct"/>
            <w:tcBorders>
              <w:top w:val="single" w:sz="4" w:space="0" w:color="auto"/>
              <w:left w:val="single" w:sz="6" w:space="0" w:color="auto"/>
              <w:bottom w:val="single" w:sz="4" w:space="0" w:color="auto"/>
              <w:right w:val="single" w:sz="6" w:space="0" w:color="auto"/>
            </w:tcBorders>
          </w:tcPr>
          <w:p w14:paraId="0468FC3D"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4AA15B52"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2B39243E"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366DBF47" w14:textId="49AE8A48" w:rsidR="005B6D66" w:rsidRPr="006037C3" w:rsidRDefault="005B6D66" w:rsidP="005B6D66">
            <w:pPr>
              <w:autoSpaceDE w:val="0"/>
              <w:autoSpaceDN w:val="0"/>
              <w:adjustRightInd w:val="0"/>
              <w:rPr>
                <w:color w:val="000000"/>
                <w:lang w:val="es-ES_tradnl"/>
              </w:rPr>
            </w:pPr>
          </w:p>
        </w:tc>
      </w:tr>
      <w:tr w:rsidR="005B6D66" w:rsidRPr="0033349F" w14:paraId="2CCF2C56" w14:textId="77777777" w:rsidTr="0033349F">
        <w:trPr>
          <w:gridAfter w:val="1"/>
          <w:wAfter w:w="6" w:type="pct"/>
          <w:jc w:val="center"/>
        </w:trPr>
        <w:tc>
          <w:tcPr>
            <w:tcW w:w="1088" w:type="pct"/>
            <w:tcBorders>
              <w:left w:val="single" w:sz="6" w:space="0" w:color="auto"/>
              <w:bottom w:val="single" w:sz="4" w:space="0" w:color="auto"/>
              <w:right w:val="single" w:sz="6" w:space="0" w:color="auto"/>
            </w:tcBorders>
            <w:shd w:val="clear" w:color="auto" w:fill="auto"/>
          </w:tcPr>
          <w:p w14:paraId="383ED319"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p w14:paraId="049465D1" w14:textId="22E4A29B"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470227F4" w14:textId="77777777" w:rsidR="005B6D66" w:rsidRPr="0061726B" w:rsidRDefault="005B6D66" w:rsidP="005B6D66">
            <w:pPr>
              <w:autoSpaceDE w:val="0"/>
              <w:autoSpaceDN w:val="0"/>
              <w:adjustRightInd w:val="0"/>
              <w:rPr>
                <w:sz w:val="20"/>
                <w:szCs w:val="20"/>
                <w:lang w:val="es-ES_tradnl"/>
              </w:rPr>
            </w:pPr>
            <w:bookmarkStart w:id="14" w:name="_Hlk498527374"/>
            <w:r w:rsidRPr="0061726B">
              <w:rPr>
                <w:sz w:val="20"/>
                <w:szCs w:val="20"/>
                <w:lang w:val="es-ES_tradnl"/>
              </w:rPr>
              <w:t>Que el Operador del Sistema calcule y publique: (i) el costo marginal en función del despacho al mínimo costo; (ii) niveles de energía producidos por diferentes tipos de tecnologías; (iii) verifique los costos variables a los generadores; y (iv) elabore el plan operativo anual para el siguiente</w:t>
            </w:r>
            <w:r>
              <w:rPr>
                <w:sz w:val="20"/>
                <w:szCs w:val="20"/>
                <w:lang w:val="es-ES_tradnl"/>
              </w:rPr>
              <w:t xml:space="preserve"> año</w:t>
            </w:r>
            <w:r w:rsidRPr="0061726B">
              <w:rPr>
                <w:sz w:val="20"/>
                <w:szCs w:val="20"/>
                <w:lang w:val="es-ES_tradnl"/>
              </w:rPr>
              <w:t>, según corresponda (2018 o el año siguiente a aquel en que se realice el desembolso).</w:t>
            </w:r>
          </w:p>
          <w:bookmarkEnd w:id="14"/>
          <w:p w14:paraId="4C12A5D8" w14:textId="77777777" w:rsidR="005B6D66" w:rsidRPr="006037C3" w:rsidRDefault="005B6D66" w:rsidP="005B6D66">
            <w:pPr>
              <w:autoSpaceDE w:val="0"/>
              <w:autoSpaceDN w:val="0"/>
              <w:adjustRightInd w:val="0"/>
              <w:spacing w:before="120"/>
              <w:rPr>
                <w:sz w:val="20"/>
                <w:szCs w:val="20"/>
                <w:lang w:val="es-ES_tradnl"/>
              </w:rPr>
            </w:pPr>
          </w:p>
        </w:tc>
        <w:tc>
          <w:tcPr>
            <w:tcW w:w="407" w:type="pct"/>
            <w:tcBorders>
              <w:top w:val="single" w:sz="4" w:space="0" w:color="auto"/>
              <w:left w:val="single" w:sz="6" w:space="0" w:color="auto"/>
              <w:bottom w:val="single" w:sz="4" w:space="0" w:color="auto"/>
              <w:right w:val="single" w:sz="6" w:space="0" w:color="auto"/>
            </w:tcBorders>
          </w:tcPr>
          <w:p w14:paraId="02711BAD"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40" w:type="pct"/>
            <w:tcBorders>
              <w:top w:val="single" w:sz="4" w:space="0" w:color="auto"/>
              <w:left w:val="single" w:sz="6" w:space="0" w:color="auto"/>
              <w:bottom w:val="single" w:sz="4" w:space="0" w:color="auto"/>
              <w:right w:val="single" w:sz="4" w:space="0" w:color="auto"/>
            </w:tcBorders>
          </w:tcPr>
          <w:p w14:paraId="483F64E8"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10" w:type="pct"/>
            <w:tcBorders>
              <w:top w:val="single" w:sz="4" w:space="0" w:color="auto"/>
              <w:left w:val="single" w:sz="4" w:space="0" w:color="auto"/>
              <w:bottom w:val="single" w:sz="4" w:space="0" w:color="auto"/>
            </w:tcBorders>
          </w:tcPr>
          <w:p w14:paraId="430F06CE"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49" w:type="pct"/>
            <w:tcBorders>
              <w:top w:val="single" w:sz="4" w:space="0" w:color="auto"/>
              <w:left w:val="nil"/>
              <w:bottom w:val="single" w:sz="4" w:space="0" w:color="auto"/>
              <w:right w:val="single" w:sz="4" w:space="0" w:color="auto"/>
            </w:tcBorders>
            <w:shd w:val="clear" w:color="auto" w:fill="auto"/>
          </w:tcPr>
          <w:p w14:paraId="3284D43E" w14:textId="287B34B1" w:rsidR="005B6D66" w:rsidRPr="006037C3" w:rsidRDefault="005B6D66" w:rsidP="005B6D66">
            <w:pPr>
              <w:autoSpaceDE w:val="0"/>
              <w:autoSpaceDN w:val="0"/>
              <w:adjustRightInd w:val="0"/>
              <w:rPr>
                <w:color w:val="000000"/>
                <w:sz w:val="20"/>
                <w:szCs w:val="20"/>
                <w:lang w:val="es-ES_tradnl"/>
              </w:rPr>
            </w:pPr>
          </w:p>
        </w:tc>
      </w:tr>
      <w:tr w:rsidR="005B6D66" w:rsidRPr="0033349F" w14:paraId="0F33BFE1" w14:textId="77777777" w:rsidTr="0033349F">
        <w:trPr>
          <w:gridAfter w:val="1"/>
          <w:wAfter w:w="6" w:type="pct"/>
          <w:jc w:val="center"/>
        </w:trPr>
        <w:tc>
          <w:tcPr>
            <w:tcW w:w="1088" w:type="pct"/>
            <w:tcBorders>
              <w:left w:val="single" w:sz="6" w:space="0" w:color="auto"/>
              <w:bottom w:val="single" w:sz="4" w:space="0" w:color="auto"/>
              <w:right w:val="single" w:sz="6" w:space="0" w:color="auto"/>
            </w:tcBorders>
            <w:shd w:val="clear" w:color="auto" w:fill="auto"/>
          </w:tcPr>
          <w:p w14:paraId="6213DC49"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2EF6D36F" w14:textId="45276061" w:rsidR="005B6D66" w:rsidRPr="006037C3" w:rsidRDefault="005B6D66" w:rsidP="005B6D66">
            <w:pPr>
              <w:autoSpaceDE w:val="0"/>
              <w:autoSpaceDN w:val="0"/>
              <w:adjustRightInd w:val="0"/>
              <w:spacing w:before="120"/>
              <w:rPr>
                <w:sz w:val="20"/>
                <w:szCs w:val="20"/>
                <w:lang w:val="es-ES_tradnl"/>
              </w:rPr>
            </w:pPr>
            <w:bookmarkStart w:id="15" w:name="_Hlk498527445"/>
            <w:r w:rsidRPr="0061726B">
              <w:rPr>
                <w:sz w:val="20"/>
                <w:szCs w:val="20"/>
                <w:lang w:val="es-ES_tradnl"/>
              </w:rPr>
              <w:t xml:space="preserve">Que el Comité de Agentes del </w:t>
            </w:r>
            <w:proofErr w:type="gramStart"/>
            <w:r w:rsidRPr="0061726B">
              <w:rPr>
                <w:sz w:val="20"/>
                <w:szCs w:val="20"/>
                <w:lang w:val="es-ES_tradnl"/>
              </w:rPr>
              <w:t>Mercado  reali</w:t>
            </w:r>
            <w:r>
              <w:rPr>
                <w:sz w:val="20"/>
                <w:szCs w:val="20"/>
                <w:lang w:val="es-ES_tradnl"/>
              </w:rPr>
              <w:t>ce</w:t>
            </w:r>
            <w:proofErr w:type="gramEnd"/>
            <w:r w:rsidRPr="0061726B">
              <w:rPr>
                <w:sz w:val="20"/>
                <w:szCs w:val="20"/>
                <w:lang w:val="es-ES_tradnl"/>
              </w:rPr>
              <w:t xml:space="preserve"> evaluaciones periódicas del desempeño y  present</w:t>
            </w:r>
            <w:r>
              <w:rPr>
                <w:sz w:val="20"/>
                <w:szCs w:val="20"/>
                <w:lang w:val="es-ES_tradnl"/>
              </w:rPr>
              <w:t>e</w:t>
            </w:r>
            <w:r w:rsidRPr="0061726B">
              <w:rPr>
                <w:sz w:val="20"/>
                <w:szCs w:val="20"/>
                <w:lang w:val="es-ES_tradnl"/>
              </w:rPr>
              <w:t xml:space="preserve"> propuestas de medidas susceptibles de mejorar para el funcionamiento del sistema eléctrico y del mercado.</w:t>
            </w:r>
            <w:bookmarkEnd w:id="15"/>
          </w:p>
        </w:tc>
        <w:tc>
          <w:tcPr>
            <w:tcW w:w="407" w:type="pct"/>
            <w:tcBorders>
              <w:top w:val="single" w:sz="4" w:space="0" w:color="auto"/>
              <w:left w:val="single" w:sz="6" w:space="0" w:color="auto"/>
              <w:bottom w:val="single" w:sz="4" w:space="0" w:color="auto"/>
              <w:right w:val="single" w:sz="6" w:space="0" w:color="auto"/>
            </w:tcBorders>
          </w:tcPr>
          <w:p w14:paraId="4E1A06EA"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40" w:type="pct"/>
            <w:tcBorders>
              <w:top w:val="single" w:sz="4" w:space="0" w:color="auto"/>
              <w:left w:val="single" w:sz="6" w:space="0" w:color="auto"/>
              <w:bottom w:val="single" w:sz="4" w:space="0" w:color="auto"/>
              <w:right w:val="single" w:sz="4" w:space="0" w:color="auto"/>
            </w:tcBorders>
          </w:tcPr>
          <w:p w14:paraId="578824AF"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10" w:type="pct"/>
            <w:tcBorders>
              <w:top w:val="single" w:sz="4" w:space="0" w:color="auto"/>
              <w:left w:val="single" w:sz="4" w:space="0" w:color="auto"/>
              <w:bottom w:val="single" w:sz="4" w:space="0" w:color="auto"/>
            </w:tcBorders>
          </w:tcPr>
          <w:p w14:paraId="1CF43A13"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49" w:type="pct"/>
            <w:tcBorders>
              <w:top w:val="single" w:sz="4" w:space="0" w:color="auto"/>
              <w:left w:val="nil"/>
              <w:bottom w:val="single" w:sz="4" w:space="0" w:color="auto"/>
              <w:right w:val="single" w:sz="4" w:space="0" w:color="auto"/>
            </w:tcBorders>
            <w:shd w:val="clear" w:color="auto" w:fill="auto"/>
          </w:tcPr>
          <w:p w14:paraId="60649EFA" w14:textId="19A13A07" w:rsidR="005B6D66" w:rsidRPr="006037C3" w:rsidRDefault="005B6D66" w:rsidP="005B6D66">
            <w:pPr>
              <w:autoSpaceDE w:val="0"/>
              <w:autoSpaceDN w:val="0"/>
              <w:adjustRightInd w:val="0"/>
              <w:rPr>
                <w:color w:val="000000"/>
                <w:sz w:val="20"/>
                <w:szCs w:val="20"/>
                <w:lang w:val="es-ES_tradnl"/>
              </w:rPr>
            </w:pPr>
          </w:p>
        </w:tc>
      </w:tr>
      <w:tr w:rsidR="00302DE6" w:rsidRPr="0033349F" w14:paraId="6039E204" w14:textId="77777777" w:rsidTr="0033349F">
        <w:trPr>
          <w:jc w:val="center"/>
        </w:trPr>
        <w:tc>
          <w:tcPr>
            <w:tcW w:w="5000" w:type="pct"/>
            <w:gridSpan w:val="7"/>
            <w:tcBorders>
              <w:top w:val="single" w:sz="4" w:space="0" w:color="auto"/>
              <w:left w:val="single" w:sz="6" w:space="0" w:color="auto"/>
              <w:bottom w:val="single" w:sz="4" w:space="0" w:color="auto"/>
              <w:right w:val="single" w:sz="4" w:space="0" w:color="auto"/>
            </w:tcBorders>
            <w:shd w:val="clear" w:color="auto" w:fill="BFBFBF"/>
          </w:tcPr>
          <w:p w14:paraId="3163E44B" w14:textId="77777777" w:rsidR="00302DE6" w:rsidRPr="006037C3" w:rsidRDefault="00302DE6" w:rsidP="00302DE6">
            <w:pPr>
              <w:pStyle w:val="ListParagraph"/>
              <w:numPr>
                <w:ilvl w:val="0"/>
                <w:numId w:val="42"/>
              </w:numPr>
              <w:autoSpaceDE w:val="0"/>
              <w:autoSpaceDN w:val="0"/>
              <w:adjustRightInd w:val="0"/>
              <w:ind w:left="361" w:hanging="1"/>
              <w:jc w:val="both"/>
              <w:rPr>
                <w:rFonts w:ascii="Arial" w:hAnsi="Arial" w:cs="Arial"/>
                <w:b/>
                <w:bCs/>
                <w:color w:val="000000"/>
                <w:sz w:val="18"/>
                <w:szCs w:val="18"/>
                <w:lang w:val="es-ES_tradnl"/>
              </w:rPr>
            </w:pPr>
            <w:r w:rsidRPr="006037C3">
              <w:rPr>
                <w:rFonts w:ascii="Arial" w:hAnsi="Arial" w:cs="Arial"/>
                <w:b/>
                <w:bCs/>
                <w:color w:val="000000"/>
                <w:sz w:val="18"/>
                <w:szCs w:val="18"/>
                <w:lang w:val="es-ES_tradnl"/>
              </w:rPr>
              <w:t xml:space="preserve"> MEJORA EN LA SOSTENIBILIDAD FINANCIERA Y EFICIENCIA OPERATIVA DEL SECTOR ELÉCTRICO</w:t>
            </w:r>
          </w:p>
        </w:tc>
      </w:tr>
      <w:tr w:rsidR="005B6D66" w:rsidRPr="00CF0D24" w14:paraId="23E98A85" w14:textId="77777777" w:rsidTr="0033349F">
        <w:trPr>
          <w:gridAfter w:val="1"/>
          <w:wAfter w:w="6" w:type="pct"/>
          <w:jc w:val="center"/>
        </w:trPr>
        <w:tc>
          <w:tcPr>
            <w:tcW w:w="1088" w:type="pct"/>
            <w:vMerge w:val="restart"/>
            <w:tcBorders>
              <w:top w:val="single" w:sz="4" w:space="0" w:color="auto"/>
              <w:left w:val="single" w:sz="6" w:space="0" w:color="auto"/>
              <w:right w:val="single" w:sz="4" w:space="0" w:color="auto"/>
            </w:tcBorders>
            <w:shd w:val="clear" w:color="auto" w:fill="auto"/>
          </w:tcPr>
          <w:p w14:paraId="27A0AC50" w14:textId="77777777" w:rsidR="005B6D66" w:rsidRPr="006037C3" w:rsidRDefault="005B6D66" w:rsidP="005B6D66">
            <w:pPr>
              <w:ind w:left="91" w:right="61"/>
              <w:jc w:val="both"/>
              <w:rPr>
                <w:rFonts w:ascii="Arial" w:hAnsi="Arial" w:cs="Arial"/>
                <w:sz w:val="18"/>
                <w:szCs w:val="18"/>
                <w:lang w:val="es-ES_tradnl"/>
              </w:rPr>
            </w:pPr>
            <w:r w:rsidRPr="006037C3">
              <w:rPr>
                <w:rFonts w:ascii="Arial" w:hAnsi="Arial" w:cs="Arial"/>
                <w:bCs/>
                <w:sz w:val="18"/>
                <w:szCs w:val="18"/>
                <w:lang w:val="es-ES_tradnl"/>
              </w:rPr>
              <w:t>II- 1 Reestructurar la ENEE para mejorar el desempeño operativo y financiero del sector.</w:t>
            </w:r>
          </w:p>
          <w:p w14:paraId="59FF5260" w14:textId="77777777" w:rsidR="005B6D66" w:rsidRPr="006037C3" w:rsidRDefault="005B6D66" w:rsidP="005B6D66">
            <w:pPr>
              <w:ind w:left="91" w:right="61"/>
              <w:jc w:val="both"/>
              <w:rPr>
                <w:rFonts w:ascii="Arial" w:hAnsi="Arial" w:cs="Arial"/>
                <w:bCs/>
                <w:sz w:val="18"/>
                <w:szCs w:val="18"/>
                <w:lang w:val="es-ES_tradnl"/>
              </w:rPr>
            </w:pPr>
          </w:p>
          <w:p w14:paraId="33081A7F" w14:textId="77777777" w:rsidR="005B6D66" w:rsidRPr="006037C3" w:rsidRDefault="005B6D66" w:rsidP="005B6D66">
            <w:pPr>
              <w:ind w:left="91" w:right="61"/>
              <w:jc w:val="both"/>
              <w:rPr>
                <w:rFonts w:ascii="Arial" w:hAnsi="Arial" w:cs="Arial"/>
                <w:bCs/>
                <w:sz w:val="18"/>
                <w:szCs w:val="18"/>
                <w:lang w:val="es-ES_tradnl"/>
              </w:rPr>
            </w:pPr>
          </w:p>
          <w:p w14:paraId="58ED4A02" w14:textId="77777777" w:rsidR="005B6D66" w:rsidRPr="006037C3" w:rsidRDefault="005B6D66" w:rsidP="005B6D66">
            <w:pPr>
              <w:ind w:left="91" w:right="61"/>
              <w:jc w:val="both"/>
              <w:rPr>
                <w:rFonts w:ascii="Arial" w:hAnsi="Arial" w:cs="Arial"/>
                <w:bCs/>
                <w:sz w:val="18"/>
                <w:szCs w:val="18"/>
                <w:lang w:val="es-ES_tradnl"/>
              </w:rPr>
            </w:pPr>
          </w:p>
          <w:p w14:paraId="223D20B2" w14:textId="77777777" w:rsidR="005B6D66" w:rsidRPr="006037C3" w:rsidRDefault="005B6D66" w:rsidP="005B6D66">
            <w:pPr>
              <w:ind w:left="91" w:right="61"/>
              <w:jc w:val="both"/>
              <w:rPr>
                <w:rFonts w:ascii="Arial" w:hAnsi="Arial" w:cs="Arial"/>
                <w:bCs/>
                <w:sz w:val="18"/>
                <w:szCs w:val="18"/>
                <w:lang w:val="es-ES_tradnl"/>
              </w:rPr>
            </w:pPr>
          </w:p>
          <w:p w14:paraId="1E1C0AB5" w14:textId="77777777" w:rsidR="005B6D66" w:rsidRPr="006037C3" w:rsidRDefault="005B6D66" w:rsidP="005B6D66">
            <w:pPr>
              <w:ind w:left="91" w:right="61"/>
              <w:jc w:val="both"/>
              <w:rPr>
                <w:rFonts w:ascii="Arial" w:hAnsi="Arial" w:cs="Arial"/>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34D38484" w14:textId="7062270C" w:rsidR="005B6D66" w:rsidRPr="006037C3" w:rsidRDefault="005B6D66" w:rsidP="005B6D66">
            <w:pPr>
              <w:autoSpaceDE w:val="0"/>
              <w:autoSpaceDN w:val="0"/>
              <w:adjustRightInd w:val="0"/>
              <w:rPr>
                <w:rFonts w:ascii="Arial" w:hAnsi="Arial" w:cs="Arial"/>
                <w:sz w:val="18"/>
                <w:szCs w:val="18"/>
                <w:lang w:val="es-ES_tradnl"/>
              </w:rPr>
            </w:pPr>
            <w:r w:rsidRPr="0061726B">
              <w:rPr>
                <w:sz w:val="20"/>
                <w:szCs w:val="20"/>
                <w:lang w:val="es-ES_tradnl"/>
              </w:rPr>
              <w:t>Que se haya fortalecido la unidad de negocio de generación de la ENEE y esta participa competitivamente en el mercado.</w:t>
            </w:r>
          </w:p>
        </w:tc>
        <w:tc>
          <w:tcPr>
            <w:tcW w:w="407" w:type="pct"/>
            <w:tcBorders>
              <w:top w:val="single" w:sz="4" w:space="0" w:color="auto"/>
              <w:left w:val="single" w:sz="4" w:space="0" w:color="auto"/>
              <w:bottom w:val="single" w:sz="4" w:space="0" w:color="auto"/>
              <w:right w:val="single" w:sz="4" w:space="0" w:color="auto"/>
            </w:tcBorders>
          </w:tcPr>
          <w:p w14:paraId="318F8FB9"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6B8988E4"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1655871F"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69CE218A" w14:textId="593BDC35" w:rsidR="005B6D66" w:rsidRPr="006037C3" w:rsidRDefault="005B6D66" w:rsidP="005B6D66">
            <w:pPr>
              <w:ind w:left="68" w:right="90"/>
              <w:jc w:val="both"/>
              <w:rPr>
                <w:rFonts w:ascii="Arial" w:hAnsi="Arial" w:cs="Arial"/>
                <w:sz w:val="18"/>
                <w:szCs w:val="18"/>
                <w:lang w:val="es-ES_tradnl"/>
              </w:rPr>
            </w:pPr>
          </w:p>
        </w:tc>
      </w:tr>
      <w:tr w:rsidR="005B6D66" w:rsidRPr="0033349F" w14:paraId="7884EA35" w14:textId="77777777" w:rsidTr="0033349F">
        <w:trPr>
          <w:gridAfter w:val="1"/>
          <w:wAfter w:w="6" w:type="pct"/>
          <w:jc w:val="center"/>
        </w:trPr>
        <w:tc>
          <w:tcPr>
            <w:tcW w:w="1088" w:type="pct"/>
            <w:vMerge/>
            <w:tcBorders>
              <w:left w:val="single" w:sz="6" w:space="0" w:color="auto"/>
              <w:right w:val="single" w:sz="4" w:space="0" w:color="auto"/>
            </w:tcBorders>
            <w:shd w:val="clear" w:color="auto" w:fill="auto"/>
          </w:tcPr>
          <w:p w14:paraId="5173CC8F" w14:textId="77777777" w:rsidR="005B6D66" w:rsidRPr="006037C3" w:rsidRDefault="005B6D66" w:rsidP="005B6D66">
            <w:pPr>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627B6549" w14:textId="0080E91B" w:rsidR="005B6D66" w:rsidRPr="006037C3" w:rsidRDefault="005B6D66" w:rsidP="005B6D66">
            <w:pPr>
              <w:autoSpaceDE w:val="0"/>
              <w:autoSpaceDN w:val="0"/>
              <w:adjustRightInd w:val="0"/>
              <w:rPr>
                <w:rFonts w:ascii="Arial" w:hAnsi="Arial" w:cs="Arial"/>
                <w:sz w:val="18"/>
                <w:szCs w:val="18"/>
                <w:lang w:val="es-ES_tradnl"/>
              </w:rPr>
            </w:pPr>
            <w:r w:rsidRPr="0061726B">
              <w:rPr>
                <w:sz w:val="20"/>
                <w:szCs w:val="20"/>
                <w:lang w:val="es-ES_tradnl"/>
              </w:rPr>
              <w:t xml:space="preserve">Que se haya establecido </w:t>
            </w:r>
            <w:proofErr w:type="gramStart"/>
            <w:r>
              <w:rPr>
                <w:sz w:val="20"/>
                <w:szCs w:val="20"/>
                <w:lang w:val="es-ES_tradnl"/>
              </w:rPr>
              <w:t xml:space="preserve">el </w:t>
            </w:r>
            <w:r w:rsidRPr="0061726B">
              <w:rPr>
                <w:sz w:val="20"/>
                <w:szCs w:val="20"/>
                <w:lang w:val="es-ES_tradnl"/>
              </w:rPr>
              <w:t xml:space="preserve"> contrato</w:t>
            </w:r>
            <w:proofErr w:type="gramEnd"/>
            <w:r>
              <w:rPr>
                <w:sz w:val="20"/>
                <w:szCs w:val="20"/>
                <w:lang w:val="es-ES_tradnl"/>
              </w:rPr>
              <w:t xml:space="preserve"> </w:t>
            </w:r>
            <w:r w:rsidRPr="0061726B">
              <w:rPr>
                <w:sz w:val="20"/>
                <w:szCs w:val="20"/>
                <w:lang w:val="es-ES_tradnl"/>
              </w:rPr>
              <w:t xml:space="preserve">con </w:t>
            </w:r>
            <w:r>
              <w:rPr>
                <w:sz w:val="20"/>
                <w:szCs w:val="20"/>
                <w:lang w:val="es-ES_tradnl"/>
              </w:rPr>
              <w:t xml:space="preserve">el </w:t>
            </w:r>
            <w:r w:rsidRPr="0061726B">
              <w:rPr>
                <w:sz w:val="20"/>
                <w:szCs w:val="20"/>
                <w:lang w:val="es-ES_tradnl"/>
              </w:rPr>
              <w:t>operador</w:t>
            </w:r>
            <w:r>
              <w:rPr>
                <w:sz w:val="20"/>
                <w:szCs w:val="20"/>
                <w:lang w:val="es-ES_tradnl"/>
              </w:rPr>
              <w:t xml:space="preserve"> </w:t>
            </w:r>
            <w:r w:rsidRPr="0061726B">
              <w:rPr>
                <w:sz w:val="20"/>
                <w:szCs w:val="20"/>
                <w:lang w:val="es-ES_tradnl"/>
              </w:rPr>
              <w:t>privado</w:t>
            </w:r>
            <w:r>
              <w:rPr>
                <w:sz w:val="20"/>
                <w:szCs w:val="20"/>
                <w:lang w:val="es-ES_tradnl"/>
              </w:rPr>
              <w:t xml:space="preserve"> </w:t>
            </w:r>
            <w:r w:rsidRPr="0061726B">
              <w:rPr>
                <w:sz w:val="20"/>
                <w:szCs w:val="20"/>
                <w:lang w:val="es-ES_tradnl"/>
              </w:rPr>
              <w:t>para el segmento de distribución de la ENEE.</w:t>
            </w:r>
          </w:p>
        </w:tc>
        <w:tc>
          <w:tcPr>
            <w:tcW w:w="407" w:type="pct"/>
            <w:tcBorders>
              <w:top w:val="single" w:sz="4" w:space="0" w:color="auto"/>
              <w:left w:val="single" w:sz="4" w:space="0" w:color="auto"/>
              <w:bottom w:val="single" w:sz="4" w:space="0" w:color="auto"/>
              <w:right w:val="single" w:sz="4" w:space="0" w:color="auto"/>
            </w:tcBorders>
          </w:tcPr>
          <w:p w14:paraId="32E98B78"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44984E4A"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2200429A"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6C28E924" w14:textId="62B29AE8" w:rsidR="005B6D66" w:rsidRPr="006037C3" w:rsidRDefault="005B6D66" w:rsidP="005B6D66">
            <w:pPr>
              <w:rPr>
                <w:rFonts w:ascii="Arial" w:hAnsi="Arial" w:cs="Arial"/>
                <w:sz w:val="18"/>
                <w:szCs w:val="18"/>
                <w:lang w:val="es-ES_tradnl"/>
              </w:rPr>
            </w:pPr>
          </w:p>
        </w:tc>
      </w:tr>
      <w:tr w:rsidR="005B6D66" w:rsidRPr="00CF0D24" w14:paraId="503F3750" w14:textId="77777777" w:rsidTr="0033349F">
        <w:trPr>
          <w:gridAfter w:val="1"/>
          <w:wAfter w:w="6" w:type="pct"/>
          <w:jc w:val="center"/>
        </w:trPr>
        <w:tc>
          <w:tcPr>
            <w:tcW w:w="1088" w:type="pct"/>
            <w:vMerge/>
            <w:tcBorders>
              <w:left w:val="single" w:sz="6" w:space="0" w:color="auto"/>
              <w:right w:val="single" w:sz="4" w:space="0" w:color="auto"/>
            </w:tcBorders>
            <w:shd w:val="clear" w:color="auto" w:fill="auto"/>
          </w:tcPr>
          <w:p w14:paraId="1E19F542" w14:textId="77777777" w:rsidR="005B6D66" w:rsidRPr="006037C3" w:rsidRDefault="005B6D66" w:rsidP="005B6D66">
            <w:pPr>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64E29E25" w14:textId="6C7B5A17" w:rsidR="005B6D66" w:rsidRPr="006037C3" w:rsidRDefault="005B6D66" w:rsidP="005B6D66">
            <w:pPr>
              <w:autoSpaceDE w:val="0"/>
              <w:autoSpaceDN w:val="0"/>
              <w:adjustRightInd w:val="0"/>
              <w:rPr>
                <w:rFonts w:ascii="Arial" w:hAnsi="Arial" w:cs="Arial"/>
                <w:bCs/>
                <w:color w:val="000000"/>
                <w:sz w:val="18"/>
                <w:szCs w:val="18"/>
                <w:lang w:val="es-ES_tradnl"/>
              </w:rPr>
            </w:pPr>
            <w:r w:rsidRPr="0061726B">
              <w:rPr>
                <w:sz w:val="20"/>
                <w:szCs w:val="20"/>
                <w:lang w:val="es-ES_tradnl"/>
              </w:rPr>
              <w:t xml:space="preserve">Que el sector de distribución de la ENEE se encuentre </w:t>
            </w:r>
            <w:proofErr w:type="gramStart"/>
            <w:r w:rsidRPr="0061726B">
              <w:rPr>
                <w:sz w:val="20"/>
                <w:szCs w:val="20"/>
                <w:lang w:val="es-ES_tradnl"/>
              </w:rPr>
              <w:t xml:space="preserve">operando </w:t>
            </w:r>
            <w:r>
              <w:rPr>
                <w:sz w:val="20"/>
                <w:szCs w:val="20"/>
                <w:lang w:val="es-ES_tradnl"/>
              </w:rPr>
              <w:t xml:space="preserve"> </w:t>
            </w:r>
            <w:r w:rsidRPr="0061726B">
              <w:rPr>
                <w:sz w:val="20"/>
                <w:szCs w:val="20"/>
                <w:lang w:val="es-ES_tradnl"/>
              </w:rPr>
              <w:t>con</w:t>
            </w:r>
            <w:proofErr w:type="gramEnd"/>
            <w:r w:rsidRPr="0061726B">
              <w:rPr>
                <w:sz w:val="20"/>
                <w:szCs w:val="20"/>
                <w:lang w:val="es-ES_tradnl"/>
              </w:rPr>
              <w:t xml:space="preserve"> </w:t>
            </w:r>
            <w:r>
              <w:rPr>
                <w:sz w:val="20"/>
                <w:szCs w:val="20"/>
                <w:lang w:val="es-ES_tradnl"/>
              </w:rPr>
              <w:t xml:space="preserve">un </w:t>
            </w:r>
            <w:r w:rsidRPr="0061726B">
              <w:rPr>
                <w:sz w:val="20"/>
                <w:szCs w:val="20"/>
                <w:lang w:val="es-ES_tradnl"/>
              </w:rPr>
              <w:t>operador privado</w:t>
            </w:r>
            <w:r>
              <w:rPr>
                <w:sz w:val="20"/>
                <w:szCs w:val="20"/>
                <w:lang w:val="es-ES_tradnl"/>
              </w:rPr>
              <w:t xml:space="preserve"> y que el mismo esté cumpliendo las metas de resultados definidas en el contrato de operación.</w:t>
            </w:r>
          </w:p>
        </w:tc>
        <w:tc>
          <w:tcPr>
            <w:tcW w:w="407" w:type="pct"/>
            <w:tcBorders>
              <w:top w:val="single" w:sz="4" w:space="0" w:color="auto"/>
              <w:left w:val="single" w:sz="4" w:space="0" w:color="auto"/>
              <w:bottom w:val="single" w:sz="4" w:space="0" w:color="auto"/>
              <w:right w:val="single" w:sz="4" w:space="0" w:color="auto"/>
            </w:tcBorders>
          </w:tcPr>
          <w:p w14:paraId="64D9E1FB" w14:textId="77777777" w:rsidR="005B6D66" w:rsidRPr="006037C3" w:rsidDel="00FD5388" w:rsidRDefault="005B6D66" w:rsidP="005B6D66">
            <w:pPr>
              <w:autoSpaceDE w:val="0"/>
              <w:autoSpaceDN w:val="0"/>
              <w:adjustRightInd w:val="0"/>
              <w:jc w:val="center"/>
              <w:rPr>
                <w:rFonts w:ascii="Arial" w:hAnsi="Arial" w:cs="Arial"/>
                <w:color w:val="000000"/>
                <w:sz w:val="18"/>
                <w:szCs w:val="18"/>
                <w:lang w:val="es-ES_tradnl"/>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15BF53A5"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67F8A546"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3C4C2549" w14:textId="78EDAFBD" w:rsidR="005B6D66" w:rsidRPr="006037C3" w:rsidRDefault="005B6D66" w:rsidP="005B6D66">
            <w:pPr>
              <w:rPr>
                <w:lang w:val="es-ES_tradnl"/>
              </w:rPr>
            </w:pPr>
          </w:p>
        </w:tc>
      </w:tr>
      <w:tr w:rsidR="005B6D66" w:rsidRPr="006037C3" w14:paraId="63484033" w14:textId="77777777" w:rsidTr="0033349F">
        <w:trPr>
          <w:gridAfter w:val="1"/>
          <w:wAfter w:w="6" w:type="pct"/>
          <w:jc w:val="center"/>
        </w:trPr>
        <w:tc>
          <w:tcPr>
            <w:tcW w:w="1088" w:type="pct"/>
            <w:vMerge/>
            <w:tcBorders>
              <w:left w:val="single" w:sz="6" w:space="0" w:color="auto"/>
              <w:right w:val="single" w:sz="4" w:space="0" w:color="auto"/>
            </w:tcBorders>
            <w:shd w:val="clear" w:color="auto" w:fill="auto"/>
          </w:tcPr>
          <w:p w14:paraId="2439D114" w14:textId="77777777" w:rsidR="005B6D66" w:rsidRPr="006037C3" w:rsidRDefault="005B6D66" w:rsidP="005B6D66">
            <w:pPr>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533C27C8" w14:textId="77777777" w:rsidR="005B6D66" w:rsidRPr="0061726B" w:rsidRDefault="005B6D66" w:rsidP="005B6D66">
            <w:pPr>
              <w:autoSpaceDE w:val="0"/>
              <w:autoSpaceDN w:val="0"/>
              <w:adjustRightInd w:val="0"/>
              <w:rPr>
                <w:sz w:val="20"/>
                <w:szCs w:val="20"/>
                <w:lang w:val="es-ES_tradnl"/>
              </w:rPr>
            </w:pPr>
            <w:r w:rsidRPr="0061726B">
              <w:rPr>
                <w:sz w:val="20"/>
                <w:szCs w:val="20"/>
                <w:lang w:val="es-ES_tradnl"/>
              </w:rPr>
              <w:t>Que la ENEE esté cumpliendo con las metas de déficit consolidado establecidas en el plan de acción del gobierno.</w:t>
            </w:r>
          </w:p>
          <w:p w14:paraId="5916BE03" w14:textId="6CD5F0B3" w:rsidR="005B6D66" w:rsidRPr="006037C3" w:rsidRDefault="005B6D66" w:rsidP="005B6D66">
            <w:pPr>
              <w:autoSpaceDE w:val="0"/>
              <w:autoSpaceDN w:val="0"/>
              <w:adjustRightInd w:val="0"/>
              <w:rPr>
                <w:rFonts w:ascii="Arial" w:hAnsi="Arial" w:cs="Arial"/>
                <w:bCs/>
                <w:color w:val="000000"/>
                <w:sz w:val="18"/>
                <w:szCs w:val="18"/>
                <w:lang w:val="es-ES_tradnl"/>
              </w:rPr>
            </w:pPr>
          </w:p>
        </w:tc>
        <w:tc>
          <w:tcPr>
            <w:tcW w:w="407" w:type="pct"/>
            <w:tcBorders>
              <w:top w:val="single" w:sz="4" w:space="0" w:color="auto"/>
              <w:left w:val="single" w:sz="4" w:space="0" w:color="auto"/>
              <w:bottom w:val="single" w:sz="4" w:space="0" w:color="auto"/>
              <w:right w:val="single" w:sz="4" w:space="0" w:color="auto"/>
            </w:tcBorders>
          </w:tcPr>
          <w:p w14:paraId="58845972"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68685AE1"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06735C3C"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0722F61C" w14:textId="78C279C5" w:rsidR="005B6D66" w:rsidRPr="006037C3" w:rsidRDefault="005B6D66" w:rsidP="005B6D66">
            <w:pPr>
              <w:rPr>
                <w:lang w:val="es-ES_tradnl"/>
              </w:rPr>
            </w:pPr>
          </w:p>
        </w:tc>
      </w:tr>
      <w:tr w:rsidR="005B6D66" w:rsidRPr="0033349F" w14:paraId="1598F4FF" w14:textId="77777777" w:rsidTr="0033349F">
        <w:trPr>
          <w:gridAfter w:val="1"/>
          <w:wAfter w:w="6" w:type="pct"/>
          <w:jc w:val="center"/>
        </w:trPr>
        <w:tc>
          <w:tcPr>
            <w:tcW w:w="1088" w:type="pct"/>
            <w:vMerge/>
            <w:tcBorders>
              <w:left w:val="single" w:sz="6" w:space="0" w:color="auto"/>
              <w:right w:val="single" w:sz="4" w:space="0" w:color="auto"/>
            </w:tcBorders>
            <w:shd w:val="clear" w:color="auto" w:fill="auto"/>
          </w:tcPr>
          <w:p w14:paraId="65D3CEEC" w14:textId="77777777" w:rsidR="005B6D66" w:rsidRPr="006037C3" w:rsidRDefault="005B6D66" w:rsidP="005B6D66">
            <w:pPr>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45CEF999" w14:textId="77777777" w:rsidR="005B6D66" w:rsidRPr="0061726B" w:rsidRDefault="005B6D66" w:rsidP="005B6D66">
            <w:pPr>
              <w:autoSpaceDE w:val="0"/>
              <w:autoSpaceDN w:val="0"/>
              <w:adjustRightInd w:val="0"/>
              <w:rPr>
                <w:sz w:val="20"/>
                <w:szCs w:val="20"/>
                <w:lang w:val="es-ES_tradnl"/>
              </w:rPr>
            </w:pPr>
            <w:r w:rsidRPr="0061726B">
              <w:rPr>
                <w:sz w:val="20"/>
                <w:szCs w:val="20"/>
                <w:lang w:val="es-ES_tradnl"/>
              </w:rPr>
              <w:t>Que las empresas del Grupo ENEE se hayan escindido legalmente.</w:t>
            </w:r>
          </w:p>
          <w:p w14:paraId="2D8BD484" w14:textId="77777777" w:rsidR="005B6D66" w:rsidRPr="006037C3" w:rsidRDefault="005B6D66" w:rsidP="005B6D66">
            <w:pPr>
              <w:autoSpaceDE w:val="0"/>
              <w:autoSpaceDN w:val="0"/>
              <w:adjustRightInd w:val="0"/>
              <w:rPr>
                <w:rFonts w:ascii="Arial" w:hAnsi="Arial" w:cs="Arial"/>
                <w:bCs/>
                <w:color w:val="000000"/>
                <w:sz w:val="18"/>
                <w:szCs w:val="18"/>
                <w:lang w:val="es-ES_tradnl"/>
              </w:rPr>
            </w:pPr>
          </w:p>
        </w:tc>
        <w:tc>
          <w:tcPr>
            <w:tcW w:w="407" w:type="pct"/>
            <w:tcBorders>
              <w:top w:val="single" w:sz="4" w:space="0" w:color="auto"/>
              <w:left w:val="single" w:sz="4" w:space="0" w:color="auto"/>
              <w:bottom w:val="single" w:sz="4" w:space="0" w:color="auto"/>
              <w:right w:val="single" w:sz="4" w:space="0" w:color="auto"/>
            </w:tcBorders>
          </w:tcPr>
          <w:p w14:paraId="6864A03F"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776477FC"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645BFC59"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37ECE1A3" w14:textId="57C676B9" w:rsidR="005B6D66" w:rsidRPr="006037C3" w:rsidRDefault="005B6D66" w:rsidP="005B6D66">
            <w:pPr>
              <w:rPr>
                <w:lang w:val="es-ES_tradnl"/>
              </w:rPr>
            </w:pPr>
          </w:p>
        </w:tc>
      </w:tr>
      <w:tr w:rsidR="005B6D66" w:rsidRPr="0033349F" w14:paraId="10C2F745" w14:textId="77777777" w:rsidTr="0033349F">
        <w:trPr>
          <w:gridAfter w:val="1"/>
          <w:wAfter w:w="6" w:type="pct"/>
          <w:jc w:val="center"/>
        </w:trPr>
        <w:tc>
          <w:tcPr>
            <w:tcW w:w="1088" w:type="pct"/>
            <w:vMerge/>
            <w:tcBorders>
              <w:left w:val="single" w:sz="6" w:space="0" w:color="auto"/>
              <w:bottom w:val="single" w:sz="4" w:space="0" w:color="auto"/>
              <w:right w:val="single" w:sz="4" w:space="0" w:color="auto"/>
            </w:tcBorders>
            <w:shd w:val="clear" w:color="auto" w:fill="auto"/>
          </w:tcPr>
          <w:p w14:paraId="27FB98C1" w14:textId="77777777" w:rsidR="005B6D66" w:rsidRPr="006037C3" w:rsidRDefault="005B6D66" w:rsidP="005B6D66">
            <w:pPr>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7A1FEDD7" w14:textId="2CF3D647" w:rsidR="005B6D66" w:rsidRPr="006037C3" w:rsidRDefault="005B6D66" w:rsidP="005B6D66">
            <w:pPr>
              <w:autoSpaceDE w:val="0"/>
              <w:autoSpaceDN w:val="0"/>
              <w:adjustRightInd w:val="0"/>
              <w:rPr>
                <w:rFonts w:ascii="Arial" w:hAnsi="Arial" w:cs="Arial"/>
                <w:bCs/>
                <w:color w:val="000000"/>
                <w:sz w:val="18"/>
                <w:szCs w:val="18"/>
                <w:lang w:val="es-ES_tradnl"/>
              </w:rPr>
            </w:pPr>
            <w:r w:rsidRPr="0061726B">
              <w:rPr>
                <w:sz w:val="20"/>
                <w:szCs w:val="20"/>
                <w:lang w:val="es-ES_tradnl"/>
              </w:rPr>
              <w:t xml:space="preserve">Que la ENEE haya </w:t>
            </w:r>
            <w:r>
              <w:rPr>
                <w:sz w:val="20"/>
                <w:szCs w:val="20"/>
                <w:lang w:val="es-ES_tradnl"/>
              </w:rPr>
              <w:t>fortalecido</w:t>
            </w:r>
            <w:r w:rsidRPr="0061726B">
              <w:rPr>
                <w:sz w:val="20"/>
                <w:szCs w:val="20"/>
                <w:lang w:val="es-ES_tradnl"/>
              </w:rPr>
              <w:t xml:space="preserve"> su capacidad de elaborar estados financieros conforme a los requerimientos de auditoría independiente</w:t>
            </w:r>
          </w:p>
        </w:tc>
        <w:tc>
          <w:tcPr>
            <w:tcW w:w="407" w:type="pct"/>
            <w:tcBorders>
              <w:top w:val="single" w:sz="4" w:space="0" w:color="auto"/>
              <w:left w:val="single" w:sz="4" w:space="0" w:color="auto"/>
              <w:bottom w:val="single" w:sz="4" w:space="0" w:color="auto"/>
              <w:right w:val="single" w:sz="4" w:space="0" w:color="auto"/>
            </w:tcBorders>
          </w:tcPr>
          <w:p w14:paraId="35F4471E"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77592708"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323B55A5"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7BCD5F03" w14:textId="1A3BE3AE" w:rsidR="005B6D66" w:rsidRPr="006037C3" w:rsidRDefault="005B6D66" w:rsidP="005B6D66">
            <w:pPr>
              <w:rPr>
                <w:lang w:val="es-ES_tradnl"/>
              </w:rPr>
            </w:pPr>
          </w:p>
        </w:tc>
      </w:tr>
      <w:tr w:rsidR="005B6D66" w:rsidRPr="0033349F" w14:paraId="1540CA20" w14:textId="77777777" w:rsidTr="0033349F">
        <w:trPr>
          <w:gridAfter w:val="1"/>
          <w:wAfter w:w="6" w:type="pct"/>
          <w:jc w:val="center"/>
        </w:trPr>
        <w:tc>
          <w:tcPr>
            <w:tcW w:w="1088" w:type="pct"/>
            <w:tcBorders>
              <w:left w:val="single" w:sz="6" w:space="0" w:color="auto"/>
              <w:bottom w:val="single" w:sz="4" w:space="0" w:color="auto"/>
              <w:right w:val="single" w:sz="4" w:space="0" w:color="auto"/>
            </w:tcBorders>
            <w:shd w:val="clear" w:color="auto" w:fill="auto"/>
          </w:tcPr>
          <w:p w14:paraId="0896B92E" w14:textId="77777777" w:rsidR="005B6D66" w:rsidRPr="006037C3" w:rsidRDefault="005B6D66" w:rsidP="005B6D66">
            <w:pPr>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194AD641" w14:textId="21701C8A" w:rsidR="005B6D66" w:rsidRPr="006037C3" w:rsidRDefault="005B6D66" w:rsidP="005B6D66">
            <w:pPr>
              <w:autoSpaceDE w:val="0"/>
              <w:autoSpaceDN w:val="0"/>
              <w:adjustRightInd w:val="0"/>
              <w:rPr>
                <w:lang w:val="es-ES_tradnl"/>
              </w:rPr>
            </w:pPr>
            <w:r w:rsidRPr="0061726B">
              <w:rPr>
                <w:sz w:val="20"/>
                <w:szCs w:val="20"/>
                <w:lang w:val="es-ES_tradnl"/>
              </w:rPr>
              <w:t>Que las compras de energía se estén realizando mediante procedimientos competitivos de licitación, con base en los contratos estándar acordados, y en consistencia con el plan de expansión de generación aprobado.</w:t>
            </w:r>
          </w:p>
        </w:tc>
        <w:tc>
          <w:tcPr>
            <w:tcW w:w="407" w:type="pct"/>
            <w:tcBorders>
              <w:top w:val="single" w:sz="4" w:space="0" w:color="auto"/>
              <w:left w:val="single" w:sz="4" w:space="0" w:color="auto"/>
              <w:bottom w:val="single" w:sz="4" w:space="0" w:color="auto"/>
              <w:right w:val="single" w:sz="4" w:space="0" w:color="auto"/>
            </w:tcBorders>
          </w:tcPr>
          <w:p w14:paraId="670A4C75"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40" w:type="pct"/>
            <w:tcBorders>
              <w:top w:val="single" w:sz="4" w:space="0" w:color="auto"/>
              <w:left w:val="single" w:sz="4" w:space="0" w:color="auto"/>
              <w:bottom w:val="single" w:sz="4" w:space="0" w:color="auto"/>
              <w:right w:val="single" w:sz="4" w:space="0" w:color="auto"/>
            </w:tcBorders>
          </w:tcPr>
          <w:p w14:paraId="11242456"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10" w:type="pct"/>
            <w:tcBorders>
              <w:top w:val="single" w:sz="4" w:space="0" w:color="auto"/>
              <w:left w:val="single" w:sz="4" w:space="0" w:color="auto"/>
              <w:bottom w:val="single" w:sz="4" w:space="0" w:color="auto"/>
            </w:tcBorders>
          </w:tcPr>
          <w:p w14:paraId="3292A613"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49" w:type="pct"/>
            <w:tcBorders>
              <w:top w:val="single" w:sz="4" w:space="0" w:color="auto"/>
              <w:left w:val="nil"/>
              <w:bottom w:val="single" w:sz="4" w:space="0" w:color="auto"/>
              <w:right w:val="single" w:sz="4" w:space="0" w:color="auto"/>
            </w:tcBorders>
            <w:shd w:val="clear" w:color="auto" w:fill="auto"/>
          </w:tcPr>
          <w:p w14:paraId="3EF9EE89" w14:textId="62EA19AC" w:rsidR="005B6D66" w:rsidRPr="006037C3" w:rsidRDefault="005B6D66" w:rsidP="005B6D66">
            <w:pPr>
              <w:autoSpaceDE w:val="0"/>
              <w:autoSpaceDN w:val="0"/>
              <w:adjustRightInd w:val="0"/>
              <w:rPr>
                <w:sz w:val="21"/>
                <w:szCs w:val="21"/>
                <w:lang w:val="es-ES_tradnl"/>
              </w:rPr>
            </w:pPr>
          </w:p>
        </w:tc>
      </w:tr>
      <w:tr w:rsidR="005B6D66" w:rsidRPr="0033349F" w14:paraId="18E2760B" w14:textId="77777777" w:rsidTr="0033349F">
        <w:trPr>
          <w:gridAfter w:val="1"/>
          <w:wAfter w:w="6" w:type="pct"/>
          <w:jc w:val="center"/>
        </w:trPr>
        <w:tc>
          <w:tcPr>
            <w:tcW w:w="1088" w:type="pct"/>
            <w:tcBorders>
              <w:left w:val="single" w:sz="6" w:space="0" w:color="auto"/>
              <w:bottom w:val="single" w:sz="4" w:space="0" w:color="auto"/>
              <w:right w:val="single" w:sz="4" w:space="0" w:color="auto"/>
            </w:tcBorders>
            <w:shd w:val="clear" w:color="auto" w:fill="auto"/>
          </w:tcPr>
          <w:p w14:paraId="2FAC8164" w14:textId="77777777" w:rsidR="005B6D66" w:rsidRPr="006037C3" w:rsidRDefault="005B6D66" w:rsidP="005B6D66">
            <w:pPr>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07ECB498" w14:textId="65039D31" w:rsidR="005B6D66" w:rsidRPr="006037C3" w:rsidRDefault="005B6D66" w:rsidP="005B6D66">
            <w:pPr>
              <w:autoSpaceDE w:val="0"/>
              <w:autoSpaceDN w:val="0"/>
              <w:adjustRightInd w:val="0"/>
              <w:rPr>
                <w:lang w:val="es-ES_tradnl"/>
              </w:rPr>
            </w:pPr>
            <w:r w:rsidRPr="0061726B">
              <w:rPr>
                <w:sz w:val="20"/>
                <w:szCs w:val="20"/>
                <w:lang w:val="es-ES_tradnl"/>
              </w:rPr>
              <w:t xml:space="preserve">Que se haya desarrollado y se encuentre en vigencia el </w:t>
            </w:r>
            <w:r>
              <w:rPr>
                <w:sz w:val="20"/>
                <w:szCs w:val="20"/>
                <w:lang w:val="es-ES_tradnl"/>
              </w:rPr>
              <w:t>R</w:t>
            </w:r>
            <w:r w:rsidRPr="0061726B">
              <w:rPr>
                <w:sz w:val="20"/>
                <w:szCs w:val="20"/>
                <w:lang w:val="es-ES_tradnl"/>
              </w:rPr>
              <w:t>eglamento de tarifas provisionales.</w:t>
            </w:r>
          </w:p>
        </w:tc>
        <w:tc>
          <w:tcPr>
            <w:tcW w:w="407" w:type="pct"/>
            <w:tcBorders>
              <w:top w:val="single" w:sz="4" w:space="0" w:color="auto"/>
              <w:left w:val="single" w:sz="4" w:space="0" w:color="auto"/>
              <w:bottom w:val="single" w:sz="4" w:space="0" w:color="auto"/>
              <w:right w:val="single" w:sz="4" w:space="0" w:color="auto"/>
            </w:tcBorders>
          </w:tcPr>
          <w:p w14:paraId="1ED8E7D7"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40" w:type="pct"/>
            <w:tcBorders>
              <w:top w:val="single" w:sz="4" w:space="0" w:color="auto"/>
              <w:left w:val="single" w:sz="4" w:space="0" w:color="auto"/>
              <w:bottom w:val="single" w:sz="4" w:space="0" w:color="auto"/>
              <w:right w:val="single" w:sz="4" w:space="0" w:color="auto"/>
            </w:tcBorders>
          </w:tcPr>
          <w:p w14:paraId="0242D490"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10" w:type="pct"/>
            <w:tcBorders>
              <w:top w:val="single" w:sz="4" w:space="0" w:color="auto"/>
              <w:left w:val="single" w:sz="4" w:space="0" w:color="auto"/>
              <w:bottom w:val="single" w:sz="4" w:space="0" w:color="auto"/>
            </w:tcBorders>
          </w:tcPr>
          <w:p w14:paraId="58E1474B"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49" w:type="pct"/>
            <w:tcBorders>
              <w:top w:val="single" w:sz="4" w:space="0" w:color="auto"/>
              <w:left w:val="nil"/>
              <w:bottom w:val="single" w:sz="4" w:space="0" w:color="auto"/>
              <w:right w:val="single" w:sz="4" w:space="0" w:color="auto"/>
            </w:tcBorders>
            <w:shd w:val="clear" w:color="auto" w:fill="auto"/>
          </w:tcPr>
          <w:p w14:paraId="5578DDD1" w14:textId="49E7C582" w:rsidR="005B6D66" w:rsidRPr="006037C3" w:rsidRDefault="005B6D66" w:rsidP="005B6D66">
            <w:pPr>
              <w:autoSpaceDE w:val="0"/>
              <w:autoSpaceDN w:val="0"/>
              <w:adjustRightInd w:val="0"/>
              <w:rPr>
                <w:sz w:val="21"/>
                <w:szCs w:val="21"/>
                <w:lang w:val="es-ES_tradnl"/>
              </w:rPr>
            </w:pPr>
          </w:p>
        </w:tc>
      </w:tr>
      <w:tr w:rsidR="005B6D66" w:rsidRPr="00CF0D24" w14:paraId="5C3B4E8F" w14:textId="77777777" w:rsidTr="0033349F">
        <w:trPr>
          <w:gridAfter w:val="1"/>
          <w:wAfter w:w="6" w:type="pct"/>
          <w:jc w:val="center"/>
        </w:trPr>
        <w:tc>
          <w:tcPr>
            <w:tcW w:w="1088" w:type="pct"/>
            <w:tcBorders>
              <w:top w:val="single" w:sz="4" w:space="0" w:color="auto"/>
              <w:left w:val="single" w:sz="6" w:space="0" w:color="auto"/>
              <w:bottom w:val="single" w:sz="4" w:space="0" w:color="auto"/>
              <w:right w:val="single" w:sz="4" w:space="0" w:color="auto"/>
            </w:tcBorders>
            <w:shd w:val="clear" w:color="auto" w:fill="auto"/>
          </w:tcPr>
          <w:p w14:paraId="2294CB3D" w14:textId="77777777" w:rsidR="005B6D66" w:rsidRPr="006037C3" w:rsidRDefault="005B6D66" w:rsidP="005B6D66">
            <w:pPr>
              <w:ind w:left="91" w:right="61"/>
              <w:jc w:val="both"/>
              <w:rPr>
                <w:rFonts w:ascii="Arial" w:hAnsi="Arial" w:cs="Arial"/>
                <w:bCs/>
                <w:sz w:val="18"/>
                <w:szCs w:val="18"/>
                <w:lang w:val="es-ES_tradnl"/>
              </w:rPr>
            </w:pPr>
            <w:r w:rsidRPr="006037C3">
              <w:rPr>
                <w:bCs/>
                <w:color w:val="000000"/>
                <w:lang w:val="es-ES_tradnl"/>
              </w:rPr>
              <w:t>II-2 Promover</w:t>
            </w:r>
            <w:r w:rsidRPr="006037C3">
              <w:rPr>
                <w:bCs/>
                <w:lang w:val="es-ES_tradnl"/>
              </w:rPr>
              <w:t xml:space="preserve"> la competencia en el sector eléctrico y fortalecer el mercado de electricidad, mejorando</w:t>
            </w:r>
            <w:r w:rsidRPr="006037C3">
              <w:rPr>
                <w:bCs/>
                <w:color w:val="000000"/>
                <w:lang w:val="es-ES_tradnl"/>
              </w:rPr>
              <w:t xml:space="preserve"> los procedimientos de compra de energía.</w:t>
            </w: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4145AD57" w14:textId="11C4F19F" w:rsidR="005B6D66" w:rsidRPr="006037C3" w:rsidRDefault="005B6D66" w:rsidP="005B6D66">
            <w:pPr>
              <w:autoSpaceDE w:val="0"/>
              <w:autoSpaceDN w:val="0"/>
              <w:adjustRightInd w:val="0"/>
              <w:rPr>
                <w:rFonts w:ascii="Arial" w:hAnsi="Arial" w:cs="Arial"/>
                <w:bCs/>
                <w:color w:val="000000"/>
                <w:sz w:val="18"/>
                <w:szCs w:val="18"/>
                <w:lang w:val="es-ES_tradnl"/>
              </w:rPr>
            </w:pPr>
            <w:r w:rsidRPr="0061726B">
              <w:rPr>
                <w:sz w:val="20"/>
                <w:szCs w:val="20"/>
                <w:lang w:val="es-ES_tradnl"/>
              </w:rPr>
              <w:t xml:space="preserve">Que el Reglamento de tarifas </w:t>
            </w:r>
            <w:r>
              <w:rPr>
                <w:sz w:val="20"/>
                <w:szCs w:val="20"/>
                <w:lang w:val="es-ES_tradnl"/>
              </w:rPr>
              <w:t xml:space="preserve">provisionales </w:t>
            </w:r>
            <w:r w:rsidRPr="0061726B">
              <w:rPr>
                <w:sz w:val="20"/>
                <w:szCs w:val="20"/>
                <w:lang w:val="es-ES_tradnl"/>
              </w:rPr>
              <w:t>contenga los cargos para remunerar las actividades de transmisión y distribución de cada empresa.</w:t>
            </w:r>
          </w:p>
        </w:tc>
        <w:tc>
          <w:tcPr>
            <w:tcW w:w="407" w:type="pct"/>
            <w:tcBorders>
              <w:top w:val="single" w:sz="4" w:space="0" w:color="auto"/>
              <w:left w:val="single" w:sz="4" w:space="0" w:color="auto"/>
              <w:bottom w:val="single" w:sz="4" w:space="0" w:color="auto"/>
              <w:right w:val="single" w:sz="4" w:space="0" w:color="auto"/>
            </w:tcBorders>
          </w:tcPr>
          <w:p w14:paraId="2917B5B4"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0DA27EBB"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2DE47239"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2FFEC794" w14:textId="5B90E6E3" w:rsidR="005B6D66" w:rsidRPr="006037C3" w:rsidRDefault="005B6D66" w:rsidP="005B6D66">
            <w:pPr>
              <w:tabs>
                <w:tab w:val="left" w:pos="2724"/>
              </w:tabs>
              <w:rPr>
                <w:lang w:val="es-ES_tradnl"/>
              </w:rPr>
            </w:pPr>
          </w:p>
        </w:tc>
      </w:tr>
      <w:tr w:rsidR="005B6D66" w:rsidRPr="00CF0D24" w14:paraId="0ABE0764" w14:textId="77777777" w:rsidTr="0033349F">
        <w:trPr>
          <w:gridAfter w:val="1"/>
          <w:wAfter w:w="6" w:type="pct"/>
          <w:jc w:val="center"/>
        </w:trPr>
        <w:tc>
          <w:tcPr>
            <w:tcW w:w="1088" w:type="pct"/>
            <w:vMerge w:val="restart"/>
            <w:tcBorders>
              <w:top w:val="single" w:sz="4" w:space="0" w:color="auto"/>
              <w:left w:val="single" w:sz="6" w:space="0" w:color="auto"/>
              <w:right w:val="single" w:sz="4" w:space="0" w:color="auto"/>
            </w:tcBorders>
            <w:shd w:val="clear" w:color="auto" w:fill="auto"/>
          </w:tcPr>
          <w:p w14:paraId="6A419CF6" w14:textId="77777777" w:rsidR="005B6D66" w:rsidRPr="006037C3" w:rsidRDefault="005B6D66" w:rsidP="005B6D66">
            <w:pPr>
              <w:ind w:left="91" w:right="61"/>
              <w:jc w:val="both"/>
              <w:rPr>
                <w:rFonts w:ascii="Arial" w:hAnsi="Arial" w:cs="Arial"/>
                <w:bCs/>
                <w:sz w:val="18"/>
                <w:szCs w:val="18"/>
                <w:lang w:val="es-ES_tradnl"/>
              </w:rPr>
            </w:pPr>
            <w:r w:rsidRPr="006037C3">
              <w:rPr>
                <w:bCs/>
                <w:color w:val="000000"/>
                <w:lang w:val="es-ES_tradnl"/>
              </w:rPr>
              <w:t>II-3 Contar con un régimen tarifario que permita remunerar adecuadamente a los agentes de la cadena, unas tarifas competitivas al usuario final y focalizar el subsidio directo a usuarios de bajo consumo.</w:t>
            </w:r>
          </w:p>
          <w:p w14:paraId="722F8179" w14:textId="77777777" w:rsidR="005B6D66" w:rsidRPr="006037C3" w:rsidRDefault="005B6D66" w:rsidP="005B6D66">
            <w:pPr>
              <w:ind w:left="91" w:right="61"/>
              <w:jc w:val="both"/>
              <w:rPr>
                <w:rFonts w:ascii="Arial" w:hAnsi="Arial" w:cs="Arial"/>
                <w:bCs/>
                <w:sz w:val="18"/>
                <w:szCs w:val="18"/>
                <w:lang w:val="es-ES_tradnl"/>
              </w:rPr>
            </w:pPr>
          </w:p>
          <w:p w14:paraId="238705AE" w14:textId="77777777" w:rsidR="005B6D66" w:rsidRPr="006037C3" w:rsidRDefault="005B6D66" w:rsidP="005B6D66">
            <w:pPr>
              <w:ind w:left="91" w:right="61"/>
              <w:jc w:val="both"/>
              <w:rPr>
                <w:rFonts w:ascii="Arial" w:hAnsi="Arial" w:cs="Arial"/>
                <w:bCs/>
                <w:sz w:val="18"/>
                <w:szCs w:val="18"/>
                <w:lang w:val="es-ES_tradnl"/>
              </w:rPr>
            </w:pPr>
          </w:p>
          <w:p w14:paraId="0DF1AE78" w14:textId="77777777" w:rsidR="005B6D66" w:rsidRPr="006037C3" w:rsidRDefault="005B6D66" w:rsidP="005B6D66">
            <w:pPr>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0BBEE54C" w14:textId="11D1D9C2" w:rsidR="005B6D66" w:rsidRPr="006037C3" w:rsidRDefault="00CF0D24" w:rsidP="005B6D66">
            <w:pPr>
              <w:autoSpaceDE w:val="0"/>
              <w:autoSpaceDN w:val="0"/>
              <w:adjustRightInd w:val="0"/>
              <w:rPr>
                <w:rFonts w:ascii="Arial" w:hAnsi="Arial" w:cs="Arial"/>
                <w:bCs/>
                <w:color w:val="000000"/>
                <w:sz w:val="18"/>
                <w:szCs w:val="18"/>
                <w:lang w:val="es-ES_tradnl"/>
              </w:rPr>
            </w:pPr>
            <w:r w:rsidRPr="00CF0D24">
              <w:rPr>
                <w:sz w:val="20"/>
                <w:szCs w:val="20"/>
                <w:lang w:val="es-ES_tradnl"/>
              </w:rPr>
              <w:t>Que la CREE haya aprobado el pliego tarifario provisional y que el mismo se esté aplicando para los clientes no residenciales y que los costos de generación y transmisión incorporados en las tarifas se estén actualizando con la periodicidad aprobada por la CREE.</w:t>
            </w:r>
          </w:p>
        </w:tc>
        <w:tc>
          <w:tcPr>
            <w:tcW w:w="407" w:type="pct"/>
            <w:tcBorders>
              <w:top w:val="single" w:sz="4" w:space="0" w:color="auto"/>
              <w:left w:val="single" w:sz="4" w:space="0" w:color="auto"/>
              <w:bottom w:val="single" w:sz="4" w:space="0" w:color="auto"/>
              <w:right w:val="single" w:sz="4" w:space="0" w:color="auto"/>
            </w:tcBorders>
          </w:tcPr>
          <w:p w14:paraId="356F54D3"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0B15EFAF"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6398B58F"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747A167F" w14:textId="5F2F811A" w:rsidR="005B6D66" w:rsidRPr="006037C3" w:rsidRDefault="005B6D66" w:rsidP="00CF0D24">
            <w:pPr>
              <w:autoSpaceDE w:val="0"/>
              <w:autoSpaceDN w:val="0"/>
              <w:adjustRightInd w:val="0"/>
              <w:rPr>
                <w:lang w:val="es-ES_tradnl"/>
              </w:rPr>
            </w:pPr>
          </w:p>
        </w:tc>
      </w:tr>
      <w:tr w:rsidR="005B6D66" w:rsidRPr="0033349F" w14:paraId="77160599" w14:textId="77777777" w:rsidTr="0033349F">
        <w:trPr>
          <w:gridAfter w:val="1"/>
          <w:wAfter w:w="6" w:type="pct"/>
          <w:jc w:val="center"/>
        </w:trPr>
        <w:tc>
          <w:tcPr>
            <w:tcW w:w="1088" w:type="pct"/>
            <w:vMerge/>
            <w:tcBorders>
              <w:top w:val="single" w:sz="4" w:space="0" w:color="auto"/>
              <w:left w:val="single" w:sz="6" w:space="0" w:color="auto"/>
              <w:right w:val="single" w:sz="4" w:space="0" w:color="auto"/>
            </w:tcBorders>
            <w:shd w:val="clear" w:color="auto" w:fill="auto"/>
          </w:tcPr>
          <w:p w14:paraId="236213CC" w14:textId="77777777" w:rsidR="005B6D66" w:rsidRPr="006037C3" w:rsidRDefault="005B6D66" w:rsidP="005B6D66">
            <w:pPr>
              <w:ind w:left="91" w:right="61"/>
              <w:jc w:val="both"/>
              <w:rPr>
                <w:bCs/>
                <w:color w:val="000000"/>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049E4A56" w14:textId="2CC2FAF8" w:rsidR="005B6D66" w:rsidRPr="006037C3" w:rsidRDefault="005B6D66" w:rsidP="005B6D66">
            <w:pPr>
              <w:autoSpaceDE w:val="0"/>
              <w:autoSpaceDN w:val="0"/>
              <w:adjustRightInd w:val="0"/>
              <w:rPr>
                <w:lang w:val="es-ES_tradnl"/>
              </w:rPr>
            </w:pPr>
            <w:r w:rsidRPr="0061726B">
              <w:rPr>
                <w:sz w:val="20"/>
                <w:szCs w:val="20"/>
                <w:lang w:val="es-ES_tradnl"/>
              </w:rPr>
              <w:t>Que los subsidios se estén entregando con base en el reglamento de subsidios y sus disposiciones para la focalización del subsidio.</w:t>
            </w:r>
          </w:p>
        </w:tc>
        <w:tc>
          <w:tcPr>
            <w:tcW w:w="407" w:type="pct"/>
            <w:tcBorders>
              <w:top w:val="single" w:sz="4" w:space="0" w:color="auto"/>
              <w:left w:val="single" w:sz="4" w:space="0" w:color="auto"/>
              <w:bottom w:val="single" w:sz="4" w:space="0" w:color="auto"/>
              <w:right w:val="single" w:sz="4" w:space="0" w:color="auto"/>
            </w:tcBorders>
          </w:tcPr>
          <w:p w14:paraId="479674D2"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40" w:type="pct"/>
            <w:tcBorders>
              <w:top w:val="single" w:sz="4" w:space="0" w:color="auto"/>
              <w:left w:val="single" w:sz="4" w:space="0" w:color="auto"/>
              <w:bottom w:val="single" w:sz="4" w:space="0" w:color="auto"/>
              <w:right w:val="single" w:sz="4" w:space="0" w:color="auto"/>
            </w:tcBorders>
          </w:tcPr>
          <w:p w14:paraId="720C833D"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10" w:type="pct"/>
            <w:tcBorders>
              <w:top w:val="single" w:sz="4" w:space="0" w:color="auto"/>
              <w:left w:val="single" w:sz="4" w:space="0" w:color="auto"/>
              <w:bottom w:val="single" w:sz="4" w:space="0" w:color="auto"/>
            </w:tcBorders>
          </w:tcPr>
          <w:p w14:paraId="6513AB07"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49" w:type="pct"/>
            <w:tcBorders>
              <w:top w:val="single" w:sz="4" w:space="0" w:color="auto"/>
              <w:left w:val="nil"/>
              <w:bottom w:val="single" w:sz="4" w:space="0" w:color="auto"/>
              <w:right w:val="single" w:sz="4" w:space="0" w:color="auto"/>
            </w:tcBorders>
            <w:shd w:val="clear" w:color="auto" w:fill="auto"/>
          </w:tcPr>
          <w:p w14:paraId="3E950CBA" w14:textId="683D017B" w:rsidR="005B6D66" w:rsidRPr="006037C3" w:rsidRDefault="005B6D66" w:rsidP="005B6D66">
            <w:pPr>
              <w:autoSpaceDE w:val="0"/>
              <w:autoSpaceDN w:val="0"/>
              <w:adjustRightInd w:val="0"/>
              <w:rPr>
                <w:color w:val="000000"/>
                <w:sz w:val="21"/>
                <w:szCs w:val="21"/>
                <w:lang w:val="es-ES_tradnl"/>
              </w:rPr>
            </w:pPr>
          </w:p>
        </w:tc>
      </w:tr>
      <w:tr w:rsidR="005B6D66" w:rsidRPr="0033349F" w14:paraId="7B0B5CBB" w14:textId="77777777" w:rsidTr="0033349F">
        <w:trPr>
          <w:gridAfter w:val="1"/>
          <w:wAfter w:w="6" w:type="pct"/>
          <w:jc w:val="center"/>
        </w:trPr>
        <w:tc>
          <w:tcPr>
            <w:tcW w:w="1088" w:type="pct"/>
            <w:vMerge/>
            <w:tcBorders>
              <w:top w:val="single" w:sz="4" w:space="0" w:color="auto"/>
              <w:left w:val="single" w:sz="6" w:space="0" w:color="auto"/>
              <w:right w:val="single" w:sz="4" w:space="0" w:color="auto"/>
            </w:tcBorders>
            <w:shd w:val="clear" w:color="auto" w:fill="auto"/>
          </w:tcPr>
          <w:p w14:paraId="739D3164" w14:textId="77777777" w:rsidR="005B6D66" w:rsidRPr="006037C3" w:rsidRDefault="005B6D66" w:rsidP="005B6D66">
            <w:pPr>
              <w:ind w:left="91" w:right="61"/>
              <w:jc w:val="both"/>
              <w:rPr>
                <w:bCs/>
                <w:color w:val="000000"/>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707CB66C" w14:textId="4F22BC9B" w:rsidR="005B6D66" w:rsidRPr="006037C3" w:rsidRDefault="005B6D66" w:rsidP="005B6D66">
            <w:pPr>
              <w:autoSpaceDE w:val="0"/>
              <w:autoSpaceDN w:val="0"/>
              <w:adjustRightInd w:val="0"/>
              <w:rPr>
                <w:lang w:val="es-ES_tradnl"/>
              </w:rPr>
            </w:pPr>
            <w:r w:rsidRPr="0061726B">
              <w:rPr>
                <w:sz w:val="20"/>
                <w:szCs w:val="20"/>
                <w:lang w:val="es-ES_tradnl"/>
              </w:rPr>
              <w:t>Que se haya fortalecido la unidad de negocio de generación de la ENEE y esta participa competitivamente en el mercado.</w:t>
            </w:r>
          </w:p>
        </w:tc>
        <w:tc>
          <w:tcPr>
            <w:tcW w:w="407" w:type="pct"/>
            <w:tcBorders>
              <w:top w:val="single" w:sz="4" w:space="0" w:color="auto"/>
              <w:left w:val="single" w:sz="4" w:space="0" w:color="auto"/>
              <w:bottom w:val="single" w:sz="4" w:space="0" w:color="auto"/>
              <w:right w:val="single" w:sz="4" w:space="0" w:color="auto"/>
            </w:tcBorders>
          </w:tcPr>
          <w:p w14:paraId="7B6F390E"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40" w:type="pct"/>
            <w:tcBorders>
              <w:top w:val="single" w:sz="4" w:space="0" w:color="auto"/>
              <w:left w:val="single" w:sz="4" w:space="0" w:color="auto"/>
              <w:bottom w:val="single" w:sz="4" w:space="0" w:color="auto"/>
              <w:right w:val="single" w:sz="4" w:space="0" w:color="auto"/>
            </w:tcBorders>
          </w:tcPr>
          <w:p w14:paraId="74ECB69C"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310" w:type="pct"/>
            <w:tcBorders>
              <w:top w:val="single" w:sz="4" w:space="0" w:color="auto"/>
              <w:left w:val="single" w:sz="4" w:space="0" w:color="auto"/>
              <w:bottom w:val="single" w:sz="4" w:space="0" w:color="auto"/>
            </w:tcBorders>
          </w:tcPr>
          <w:p w14:paraId="3826677F" w14:textId="77777777" w:rsidR="005B6D66" w:rsidRPr="006037C3" w:rsidRDefault="005B6D66" w:rsidP="005B6D66">
            <w:pPr>
              <w:autoSpaceDE w:val="0"/>
              <w:autoSpaceDN w:val="0"/>
              <w:adjustRightInd w:val="0"/>
              <w:jc w:val="center"/>
              <w:rPr>
                <w:rFonts w:ascii="Arial" w:hAnsi="Arial" w:cs="Arial"/>
                <w:color w:val="000000"/>
                <w:sz w:val="18"/>
                <w:szCs w:val="18"/>
                <w:lang w:val="es-ES_tradnl"/>
              </w:rPr>
            </w:pPr>
          </w:p>
        </w:tc>
        <w:tc>
          <w:tcPr>
            <w:tcW w:w="49" w:type="pct"/>
            <w:tcBorders>
              <w:top w:val="single" w:sz="4" w:space="0" w:color="auto"/>
              <w:left w:val="nil"/>
              <w:bottom w:val="single" w:sz="4" w:space="0" w:color="auto"/>
              <w:right w:val="single" w:sz="4" w:space="0" w:color="auto"/>
            </w:tcBorders>
            <w:shd w:val="clear" w:color="auto" w:fill="auto"/>
          </w:tcPr>
          <w:p w14:paraId="345D5179" w14:textId="076EAB5F" w:rsidR="005B6D66" w:rsidRPr="006037C3" w:rsidRDefault="005B6D66" w:rsidP="005B6D66">
            <w:pPr>
              <w:autoSpaceDE w:val="0"/>
              <w:autoSpaceDN w:val="0"/>
              <w:adjustRightInd w:val="0"/>
              <w:rPr>
                <w:color w:val="000000"/>
                <w:sz w:val="21"/>
                <w:szCs w:val="21"/>
                <w:lang w:val="es-ES_tradnl"/>
              </w:rPr>
            </w:pPr>
          </w:p>
        </w:tc>
      </w:tr>
      <w:tr w:rsidR="005B6D66" w:rsidRPr="00CF0D24" w14:paraId="424BD859" w14:textId="77777777" w:rsidTr="0033349F">
        <w:trPr>
          <w:gridAfter w:val="1"/>
          <w:wAfter w:w="6" w:type="pct"/>
          <w:jc w:val="center"/>
        </w:trPr>
        <w:tc>
          <w:tcPr>
            <w:tcW w:w="1088" w:type="pct"/>
            <w:vMerge/>
            <w:tcBorders>
              <w:left w:val="single" w:sz="6" w:space="0" w:color="auto"/>
              <w:right w:val="single" w:sz="4" w:space="0" w:color="auto"/>
            </w:tcBorders>
            <w:shd w:val="clear" w:color="auto" w:fill="auto"/>
          </w:tcPr>
          <w:p w14:paraId="372E478B" w14:textId="77777777" w:rsidR="005B6D66" w:rsidRPr="006037C3" w:rsidRDefault="005B6D66" w:rsidP="005B6D66">
            <w:pPr>
              <w:ind w:left="91" w:right="61"/>
              <w:jc w:val="both"/>
              <w:rPr>
                <w:rFonts w:ascii="Arial" w:hAnsi="Arial" w:cs="Arial"/>
                <w:bCs/>
                <w:sz w:val="18"/>
                <w:szCs w:val="18"/>
                <w:lang w:val="es-ES_tradnl"/>
              </w:rPr>
            </w:pPr>
          </w:p>
        </w:tc>
        <w:tc>
          <w:tcPr>
            <w:tcW w:w="2800" w:type="pct"/>
            <w:tcBorders>
              <w:top w:val="single" w:sz="4" w:space="0" w:color="auto"/>
              <w:left w:val="single" w:sz="4" w:space="0" w:color="auto"/>
              <w:bottom w:val="single" w:sz="4" w:space="0" w:color="auto"/>
              <w:right w:val="single" w:sz="4" w:space="0" w:color="auto"/>
            </w:tcBorders>
            <w:shd w:val="clear" w:color="auto" w:fill="auto"/>
          </w:tcPr>
          <w:p w14:paraId="6AFF2007" w14:textId="5F79297B" w:rsidR="005B6D66" w:rsidRPr="006037C3" w:rsidRDefault="005B6D66" w:rsidP="00CF0D24">
            <w:pPr>
              <w:ind w:right="79"/>
              <w:jc w:val="both"/>
              <w:rPr>
                <w:rFonts w:ascii="Arial" w:hAnsi="Arial" w:cs="Arial"/>
                <w:bCs/>
                <w:color w:val="000000"/>
                <w:sz w:val="18"/>
                <w:szCs w:val="18"/>
                <w:lang w:val="es-ES_tradnl"/>
              </w:rPr>
            </w:pPr>
            <w:r w:rsidRPr="0061726B">
              <w:rPr>
                <w:sz w:val="20"/>
                <w:szCs w:val="20"/>
                <w:lang w:val="es-ES_tradnl"/>
              </w:rPr>
              <w:t xml:space="preserve">Que se haya establecido </w:t>
            </w:r>
            <w:proofErr w:type="gramStart"/>
            <w:r>
              <w:rPr>
                <w:sz w:val="20"/>
                <w:szCs w:val="20"/>
                <w:lang w:val="es-ES_tradnl"/>
              </w:rPr>
              <w:t xml:space="preserve">el </w:t>
            </w:r>
            <w:r w:rsidRPr="0061726B">
              <w:rPr>
                <w:sz w:val="20"/>
                <w:szCs w:val="20"/>
                <w:lang w:val="es-ES_tradnl"/>
              </w:rPr>
              <w:t xml:space="preserve"> contrato</w:t>
            </w:r>
            <w:proofErr w:type="gramEnd"/>
            <w:r>
              <w:rPr>
                <w:sz w:val="20"/>
                <w:szCs w:val="20"/>
                <w:lang w:val="es-ES_tradnl"/>
              </w:rPr>
              <w:t xml:space="preserve"> </w:t>
            </w:r>
            <w:r w:rsidRPr="0061726B">
              <w:rPr>
                <w:sz w:val="20"/>
                <w:szCs w:val="20"/>
                <w:lang w:val="es-ES_tradnl"/>
              </w:rPr>
              <w:t xml:space="preserve">con </w:t>
            </w:r>
            <w:r>
              <w:rPr>
                <w:sz w:val="20"/>
                <w:szCs w:val="20"/>
                <w:lang w:val="es-ES_tradnl"/>
              </w:rPr>
              <w:t xml:space="preserve">el </w:t>
            </w:r>
            <w:r w:rsidRPr="0061726B">
              <w:rPr>
                <w:sz w:val="20"/>
                <w:szCs w:val="20"/>
                <w:lang w:val="es-ES_tradnl"/>
              </w:rPr>
              <w:t>operador</w:t>
            </w:r>
            <w:r>
              <w:rPr>
                <w:sz w:val="20"/>
                <w:szCs w:val="20"/>
                <w:lang w:val="es-ES_tradnl"/>
              </w:rPr>
              <w:t xml:space="preserve"> </w:t>
            </w:r>
            <w:r w:rsidRPr="0061726B">
              <w:rPr>
                <w:sz w:val="20"/>
                <w:szCs w:val="20"/>
                <w:lang w:val="es-ES_tradnl"/>
              </w:rPr>
              <w:t>privado</w:t>
            </w:r>
            <w:r>
              <w:rPr>
                <w:sz w:val="20"/>
                <w:szCs w:val="20"/>
                <w:lang w:val="es-ES_tradnl"/>
              </w:rPr>
              <w:t xml:space="preserve"> </w:t>
            </w:r>
            <w:r w:rsidRPr="0061726B">
              <w:rPr>
                <w:sz w:val="20"/>
                <w:szCs w:val="20"/>
                <w:lang w:val="es-ES_tradnl"/>
              </w:rPr>
              <w:t>para el segmento de distribución de la ENEE.</w:t>
            </w:r>
          </w:p>
        </w:tc>
        <w:tc>
          <w:tcPr>
            <w:tcW w:w="407" w:type="pct"/>
            <w:tcBorders>
              <w:top w:val="single" w:sz="4" w:space="0" w:color="auto"/>
              <w:left w:val="single" w:sz="4" w:space="0" w:color="auto"/>
              <w:bottom w:val="single" w:sz="4" w:space="0" w:color="auto"/>
              <w:right w:val="single" w:sz="4" w:space="0" w:color="auto"/>
            </w:tcBorders>
          </w:tcPr>
          <w:p w14:paraId="587C9418"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4" w:space="0" w:color="auto"/>
              <w:bottom w:val="single" w:sz="4" w:space="0" w:color="auto"/>
              <w:right w:val="single" w:sz="4" w:space="0" w:color="auto"/>
            </w:tcBorders>
          </w:tcPr>
          <w:p w14:paraId="3E4A37C2"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4049DB8D" w14:textId="77777777" w:rsidR="005B6D66" w:rsidRPr="006037C3" w:rsidDel="00FD5388"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68E207A3" w14:textId="1695FCC4" w:rsidR="005B6D66" w:rsidRPr="006037C3" w:rsidDel="00FD5388" w:rsidRDefault="005B6D66" w:rsidP="005B6D66">
            <w:pPr>
              <w:ind w:left="68" w:right="90"/>
              <w:jc w:val="both"/>
              <w:rPr>
                <w:rFonts w:ascii="Arial" w:hAnsi="Arial" w:cs="Arial"/>
                <w:sz w:val="18"/>
                <w:szCs w:val="18"/>
                <w:lang w:val="es-ES_tradnl"/>
              </w:rPr>
            </w:pPr>
          </w:p>
        </w:tc>
      </w:tr>
      <w:tr w:rsidR="00112744" w:rsidRPr="0033349F" w14:paraId="7A60987A" w14:textId="77777777" w:rsidTr="0033349F">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BFBFBF"/>
          </w:tcPr>
          <w:p w14:paraId="3B2AF75E" w14:textId="77777777" w:rsidR="00112744" w:rsidRPr="006037C3" w:rsidRDefault="00112744" w:rsidP="00112744">
            <w:pPr>
              <w:pStyle w:val="ListParagraph"/>
              <w:numPr>
                <w:ilvl w:val="0"/>
                <w:numId w:val="42"/>
              </w:numPr>
              <w:autoSpaceDE w:val="0"/>
              <w:autoSpaceDN w:val="0"/>
              <w:adjustRightInd w:val="0"/>
              <w:ind w:left="181" w:firstLine="0"/>
              <w:jc w:val="both"/>
              <w:rPr>
                <w:rFonts w:ascii="Arial" w:hAnsi="Arial" w:cs="Arial"/>
                <w:b/>
                <w:bCs/>
                <w:color w:val="000000"/>
                <w:sz w:val="18"/>
                <w:szCs w:val="18"/>
                <w:lang w:val="es-ES_tradnl"/>
              </w:rPr>
            </w:pPr>
            <w:r w:rsidRPr="006037C3">
              <w:rPr>
                <w:rFonts w:ascii="Arial" w:hAnsi="Arial" w:cs="Arial"/>
                <w:b/>
                <w:bCs/>
                <w:color w:val="000000"/>
                <w:sz w:val="18"/>
                <w:szCs w:val="18"/>
                <w:lang w:val="es-ES_tradnl"/>
              </w:rPr>
              <w:t xml:space="preserve">ADOPTAR POLÍTICAS </w:t>
            </w:r>
            <w:proofErr w:type="gramStart"/>
            <w:r w:rsidRPr="006037C3">
              <w:rPr>
                <w:rFonts w:ascii="Arial" w:hAnsi="Arial" w:cs="Arial"/>
                <w:b/>
                <w:bCs/>
                <w:color w:val="000000"/>
                <w:sz w:val="18"/>
                <w:szCs w:val="18"/>
                <w:lang w:val="es-ES_tradnl"/>
              </w:rPr>
              <w:t>ENERGÉTICAS  PARA</w:t>
            </w:r>
            <w:proofErr w:type="gramEnd"/>
            <w:r w:rsidRPr="006037C3">
              <w:rPr>
                <w:rFonts w:ascii="Arial" w:hAnsi="Arial" w:cs="Arial"/>
                <w:b/>
                <w:bCs/>
                <w:color w:val="000000"/>
                <w:sz w:val="18"/>
                <w:szCs w:val="18"/>
                <w:lang w:val="es-ES_tradnl"/>
              </w:rPr>
              <w:t xml:space="preserve"> GARANTIZAR LA SEGURIDAD DEL SUMINISTRO</w:t>
            </w:r>
          </w:p>
        </w:tc>
      </w:tr>
      <w:tr w:rsidR="005B6D66" w:rsidRPr="0033349F" w14:paraId="5C7AF42A" w14:textId="77777777" w:rsidTr="0033349F">
        <w:trPr>
          <w:gridAfter w:val="1"/>
          <w:wAfter w:w="6" w:type="pct"/>
          <w:jc w:val="center"/>
        </w:trPr>
        <w:tc>
          <w:tcPr>
            <w:tcW w:w="1088" w:type="pct"/>
            <w:vMerge w:val="restart"/>
            <w:tcBorders>
              <w:top w:val="single" w:sz="4" w:space="0" w:color="auto"/>
              <w:left w:val="single" w:sz="6" w:space="0" w:color="auto"/>
              <w:right w:val="single" w:sz="6" w:space="0" w:color="auto"/>
            </w:tcBorders>
            <w:shd w:val="clear" w:color="auto" w:fill="auto"/>
          </w:tcPr>
          <w:p w14:paraId="66C68BE9"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r w:rsidRPr="006037C3">
              <w:rPr>
                <w:rFonts w:ascii="Arial" w:hAnsi="Arial" w:cs="Arial"/>
                <w:bCs/>
                <w:sz w:val="18"/>
                <w:szCs w:val="18"/>
                <w:lang w:val="es-HN"/>
              </w:rPr>
              <w:t xml:space="preserve">III-1   Contar con un marco regulatorio que promueva la diversificación de fuentes de energía limpia y la reducción </w:t>
            </w:r>
            <w:r w:rsidRPr="006037C3">
              <w:rPr>
                <w:rFonts w:ascii="Arial" w:hAnsi="Arial" w:cs="Arial"/>
                <w:bCs/>
                <w:sz w:val="18"/>
                <w:szCs w:val="18"/>
                <w:lang w:val="es-HN"/>
              </w:rPr>
              <w:lastRenderedPageBreak/>
              <w:t>de costos de generación.</w:t>
            </w:r>
          </w:p>
          <w:p w14:paraId="69F252C4" w14:textId="77777777" w:rsidR="005B6D66" w:rsidRPr="006037C3" w:rsidRDefault="005B6D66" w:rsidP="005B6D66">
            <w:pPr>
              <w:autoSpaceDE w:val="0"/>
              <w:autoSpaceDN w:val="0"/>
              <w:adjustRightInd w:val="0"/>
              <w:ind w:left="91" w:right="61"/>
              <w:jc w:val="both"/>
              <w:rPr>
                <w:rFonts w:ascii="Arial" w:hAnsi="Arial" w:cs="Arial"/>
                <w:bCs/>
                <w:sz w:val="18"/>
                <w:szCs w:val="18"/>
                <w:lang w:val="es-ES_tradnl"/>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1A336223" w14:textId="77777777" w:rsidR="005B6D66" w:rsidRPr="006037C3" w:rsidRDefault="005B6D66" w:rsidP="005B6D66">
            <w:pPr>
              <w:autoSpaceDE w:val="0"/>
              <w:autoSpaceDN w:val="0"/>
              <w:adjustRightInd w:val="0"/>
              <w:rPr>
                <w:sz w:val="20"/>
                <w:szCs w:val="20"/>
                <w:lang w:val="es-ES_tradnl"/>
              </w:rPr>
            </w:pPr>
            <w:bookmarkStart w:id="16" w:name="_Hlk498359143"/>
            <w:r w:rsidRPr="006037C3">
              <w:rPr>
                <w:sz w:val="20"/>
                <w:szCs w:val="20"/>
                <w:lang w:val="es-ES_tradnl"/>
              </w:rPr>
              <w:lastRenderedPageBreak/>
              <w:t>Que el plan de expansión de generación incluya proyectos de generación de energía de fuentes renovables no convencionales</w:t>
            </w:r>
          </w:p>
          <w:bookmarkEnd w:id="16"/>
          <w:p w14:paraId="067E76EF" w14:textId="77777777" w:rsidR="005B6D66" w:rsidRPr="006037C3" w:rsidRDefault="005B6D66" w:rsidP="005B6D66">
            <w:pPr>
              <w:autoSpaceDE w:val="0"/>
              <w:autoSpaceDN w:val="0"/>
              <w:adjustRightInd w:val="0"/>
              <w:ind w:left="59" w:right="79"/>
              <w:jc w:val="both"/>
              <w:rPr>
                <w:rFonts w:ascii="Arial" w:hAnsi="Arial" w:cs="Arial"/>
                <w:b/>
                <w:bCs/>
                <w:sz w:val="18"/>
                <w:szCs w:val="18"/>
                <w:lang w:val="es-HN"/>
              </w:rPr>
            </w:pPr>
          </w:p>
        </w:tc>
        <w:tc>
          <w:tcPr>
            <w:tcW w:w="407" w:type="pct"/>
            <w:tcBorders>
              <w:top w:val="single" w:sz="4" w:space="0" w:color="auto"/>
              <w:left w:val="single" w:sz="6" w:space="0" w:color="auto"/>
              <w:bottom w:val="single" w:sz="4" w:space="0" w:color="auto"/>
              <w:right w:val="single" w:sz="6" w:space="0" w:color="auto"/>
            </w:tcBorders>
          </w:tcPr>
          <w:p w14:paraId="3CA55663"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2DEFEA35"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67F8CFB7"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3820C6E4" w14:textId="73587F46" w:rsidR="005B6D66" w:rsidRPr="006037C3" w:rsidRDefault="005B6D66" w:rsidP="005B6D66">
            <w:pPr>
              <w:autoSpaceDE w:val="0"/>
              <w:autoSpaceDN w:val="0"/>
              <w:adjustRightInd w:val="0"/>
              <w:ind w:left="68" w:right="90"/>
              <w:jc w:val="both"/>
              <w:rPr>
                <w:rFonts w:ascii="Arial" w:hAnsi="Arial" w:cs="Arial"/>
                <w:sz w:val="18"/>
                <w:szCs w:val="18"/>
                <w:lang w:val="es-ES_tradnl"/>
              </w:rPr>
            </w:pPr>
          </w:p>
        </w:tc>
      </w:tr>
      <w:tr w:rsidR="005B6D66" w:rsidRPr="0033349F" w14:paraId="1F1613D6" w14:textId="77777777" w:rsidTr="0033349F">
        <w:trPr>
          <w:gridAfter w:val="1"/>
          <w:wAfter w:w="6" w:type="pct"/>
          <w:jc w:val="center"/>
        </w:trPr>
        <w:tc>
          <w:tcPr>
            <w:tcW w:w="1088" w:type="pct"/>
            <w:vMerge/>
            <w:tcBorders>
              <w:left w:val="single" w:sz="6" w:space="0" w:color="auto"/>
              <w:right w:val="single" w:sz="6" w:space="0" w:color="auto"/>
            </w:tcBorders>
            <w:shd w:val="clear" w:color="auto" w:fill="auto"/>
          </w:tcPr>
          <w:p w14:paraId="73F5D934" w14:textId="77777777" w:rsidR="005B6D66" w:rsidRPr="006037C3" w:rsidRDefault="005B6D66" w:rsidP="005B6D66">
            <w:pPr>
              <w:autoSpaceDE w:val="0"/>
              <w:autoSpaceDN w:val="0"/>
              <w:adjustRightInd w:val="0"/>
              <w:ind w:left="91" w:right="61"/>
              <w:jc w:val="both"/>
              <w:rPr>
                <w:rFonts w:ascii="Arial" w:hAnsi="Arial" w:cs="Arial"/>
                <w:bCs/>
                <w:sz w:val="18"/>
                <w:szCs w:val="18"/>
                <w:lang w:val="es-HN"/>
              </w:rPr>
            </w:pPr>
          </w:p>
        </w:tc>
        <w:tc>
          <w:tcPr>
            <w:tcW w:w="2800" w:type="pct"/>
            <w:tcBorders>
              <w:top w:val="single" w:sz="4" w:space="0" w:color="auto"/>
              <w:left w:val="single" w:sz="6" w:space="0" w:color="auto"/>
              <w:bottom w:val="single" w:sz="4" w:space="0" w:color="auto"/>
              <w:right w:val="single" w:sz="6" w:space="0" w:color="auto"/>
            </w:tcBorders>
            <w:shd w:val="clear" w:color="auto" w:fill="auto"/>
          </w:tcPr>
          <w:p w14:paraId="40489003" w14:textId="77777777" w:rsidR="005B6D66" w:rsidRPr="006037C3" w:rsidRDefault="005B6D66" w:rsidP="005B6D66">
            <w:pPr>
              <w:autoSpaceDE w:val="0"/>
              <w:autoSpaceDN w:val="0"/>
              <w:adjustRightInd w:val="0"/>
              <w:rPr>
                <w:sz w:val="20"/>
                <w:szCs w:val="20"/>
                <w:lang w:val="es-ES_tradnl"/>
              </w:rPr>
            </w:pPr>
            <w:bookmarkStart w:id="17" w:name="_Hlk498359162"/>
            <w:r w:rsidRPr="006037C3">
              <w:rPr>
                <w:sz w:val="20"/>
                <w:szCs w:val="20"/>
                <w:lang w:val="es-ES_tradnl"/>
              </w:rPr>
              <w:t xml:space="preserve">Que se haya realizado subastas de compra de energía </w:t>
            </w:r>
          </w:p>
          <w:bookmarkEnd w:id="17"/>
          <w:p w14:paraId="7B10D511" w14:textId="77777777" w:rsidR="005B6D66" w:rsidRPr="006037C3" w:rsidRDefault="005B6D66" w:rsidP="005B6D66">
            <w:pPr>
              <w:autoSpaceDE w:val="0"/>
              <w:autoSpaceDN w:val="0"/>
              <w:ind w:left="59" w:right="79"/>
              <w:jc w:val="both"/>
              <w:rPr>
                <w:rFonts w:ascii="Arial" w:hAnsi="Arial" w:cs="Arial"/>
                <w:sz w:val="18"/>
                <w:szCs w:val="18"/>
                <w:lang w:val="es-HN"/>
              </w:rPr>
            </w:pPr>
          </w:p>
        </w:tc>
        <w:tc>
          <w:tcPr>
            <w:tcW w:w="407" w:type="pct"/>
            <w:tcBorders>
              <w:top w:val="single" w:sz="4" w:space="0" w:color="auto"/>
              <w:left w:val="single" w:sz="6" w:space="0" w:color="auto"/>
              <w:bottom w:val="single" w:sz="4" w:space="0" w:color="auto"/>
              <w:right w:val="single" w:sz="6" w:space="0" w:color="auto"/>
            </w:tcBorders>
          </w:tcPr>
          <w:p w14:paraId="4FCAEC8E"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36E1D555"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10C1FE3D"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1638E0D5" w14:textId="25179877" w:rsidR="005B6D66" w:rsidRPr="006037C3" w:rsidRDefault="005B6D66" w:rsidP="005B6D66">
            <w:pPr>
              <w:autoSpaceDE w:val="0"/>
              <w:autoSpaceDN w:val="0"/>
              <w:adjustRightInd w:val="0"/>
              <w:ind w:left="68" w:right="90"/>
              <w:jc w:val="both"/>
              <w:rPr>
                <w:rFonts w:ascii="Arial" w:hAnsi="Arial" w:cs="Arial"/>
                <w:bCs/>
                <w:sz w:val="18"/>
                <w:szCs w:val="18"/>
                <w:lang w:val="es-ES_tradnl"/>
              </w:rPr>
            </w:pPr>
          </w:p>
        </w:tc>
        <w:bookmarkStart w:id="18" w:name="_GoBack"/>
        <w:bookmarkEnd w:id="18"/>
      </w:tr>
      <w:tr w:rsidR="005B6D66" w:rsidRPr="0033349F" w14:paraId="682F0742" w14:textId="77777777" w:rsidTr="0033349F">
        <w:trPr>
          <w:gridAfter w:val="1"/>
          <w:wAfter w:w="6" w:type="pct"/>
          <w:jc w:val="center"/>
        </w:trPr>
        <w:tc>
          <w:tcPr>
            <w:tcW w:w="1088" w:type="pct"/>
            <w:vMerge w:val="restart"/>
            <w:tcBorders>
              <w:top w:val="single" w:sz="4" w:space="0" w:color="auto"/>
              <w:left w:val="single" w:sz="6" w:space="0" w:color="auto"/>
              <w:right w:val="single" w:sz="6" w:space="0" w:color="auto"/>
            </w:tcBorders>
            <w:shd w:val="clear" w:color="auto" w:fill="auto"/>
          </w:tcPr>
          <w:p w14:paraId="2B33FF54" w14:textId="0A902F28" w:rsidR="005B6D66" w:rsidRPr="006037C3" w:rsidRDefault="005B6D66" w:rsidP="005B6D66">
            <w:pPr>
              <w:autoSpaceDE w:val="0"/>
              <w:autoSpaceDN w:val="0"/>
              <w:adjustRightInd w:val="0"/>
              <w:ind w:left="91" w:right="61"/>
              <w:jc w:val="both"/>
              <w:rPr>
                <w:rFonts w:ascii="Arial" w:hAnsi="Arial" w:cs="Arial"/>
                <w:bCs/>
                <w:color w:val="000000"/>
                <w:sz w:val="18"/>
                <w:szCs w:val="18"/>
                <w:lang w:val="es-ES_tradnl"/>
              </w:rPr>
            </w:pPr>
            <w:r w:rsidRPr="006037C3">
              <w:rPr>
                <w:rFonts w:ascii="Arial" w:hAnsi="Arial" w:cs="Arial"/>
                <w:bCs/>
                <w:sz w:val="18"/>
                <w:szCs w:val="18"/>
                <w:lang w:val="es-HN"/>
              </w:rPr>
              <w:t xml:space="preserve">III-2 Contar con un marco regulatorio y unas políticas que promuevan la Eficiencia Energética. </w:t>
            </w:r>
          </w:p>
          <w:p w14:paraId="04D71322" w14:textId="77777777" w:rsidR="005B6D66" w:rsidRPr="006037C3" w:rsidRDefault="005B6D66" w:rsidP="005B6D66">
            <w:pPr>
              <w:autoSpaceDE w:val="0"/>
              <w:autoSpaceDN w:val="0"/>
              <w:adjustRightInd w:val="0"/>
              <w:ind w:left="91" w:right="61"/>
              <w:jc w:val="both"/>
              <w:rPr>
                <w:rFonts w:ascii="Arial" w:hAnsi="Arial" w:cs="Arial"/>
                <w:bCs/>
                <w:color w:val="000000"/>
                <w:sz w:val="18"/>
                <w:szCs w:val="18"/>
                <w:lang w:val="es-ES_tradnl"/>
              </w:rPr>
            </w:pPr>
          </w:p>
        </w:tc>
        <w:tc>
          <w:tcPr>
            <w:tcW w:w="2800" w:type="pct"/>
            <w:tcBorders>
              <w:top w:val="single" w:sz="4" w:space="0" w:color="auto"/>
              <w:left w:val="single" w:sz="6" w:space="0" w:color="auto"/>
              <w:bottom w:val="single" w:sz="4" w:space="0" w:color="auto"/>
              <w:right w:val="single" w:sz="4" w:space="0" w:color="auto"/>
            </w:tcBorders>
            <w:shd w:val="clear" w:color="auto" w:fill="auto"/>
          </w:tcPr>
          <w:p w14:paraId="3AC99EE1" w14:textId="77777777" w:rsidR="005B6D66" w:rsidRPr="006037C3" w:rsidRDefault="005B6D66" w:rsidP="005B6D66">
            <w:pPr>
              <w:autoSpaceDE w:val="0"/>
              <w:autoSpaceDN w:val="0"/>
              <w:adjustRightInd w:val="0"/>
              <w:rPr>
                <w:sz w:val="20"/>
                <w:szCs w:val="20"/>
                <w:lang w:val="es-ES_tradnl"/>
              </w:rPr>
            </w:pPr>
            <w:bookmarkStart w:id="19" w:name="_Hlk498359202"/>
            <w:r w:rsidRPr="006037C3">
              <w:rPr>
                <w:sz w:val="20"/>
                <w:szCs w:val="20"/>
                <w:lang w:val="es-ES_tradnl"/>
              </w:rPr>
              <w:t>Que los planes de eficiencia y ahorro energético se estén implementando satisfactoriamente en al menos 10 de las instituciones de la administración pública y se reporten los ahorros obtenidos por la implementación de los mismos</w:t>
            </w:r>
            <w:bookmarkEnd w:id="19"/>
            <w:r w:rsidRPr="006037C3">
              <w:rPr>
                <w:sz w:val="20"/>
                <w:szCs w:val="20"/>
                <w:lang w:val="es-ES_tradnl"/>
              </w:rPr>
              <w:t>.</w:t>
            </w:r>
          </w:p>
          <w:p w14:paraId="590EB0A6" w14:textId="77777777" w:rsidR="005B6D66" w:rsidRPr="006037C3" w:rsidRDefault="005B6D66" w:rsidP="005B6D66">
            <w:pPr>
              <w:autoSpaceDE w:val="0"/>
              <w:autoSpaceDN w:val="0"/>
              <w:adjustRightInd w:val="0"/>
              <w:ind w:left="59" w:right="79"/>
              <w:jc w:val="both"/>
              <w:rPr>
                <w:rFonts w:ascii="Arial" w:hAnsi="Arial" w:cs="Arial"/>
                <w:bCs/>
                <w:color w:val="000000"/>
                <w:sz w:val="18"/>
                <w:szCs w:val="18"/>
                <w:lang w:val="es-ES_tradnl"/>
              </w:rPr>
            </w:pPr>
          </w:p>
        </w:tc>
        <w:tc>
          <w:tcPr>
            <w:tcW w:w="407" w:type="pct"/>
            <w:tcBorders>
              <w:top w:val="single" w:sz="4" w:space="0" w:color="auto"/>
              <w:left w:val="single" w:sz="6" w:space="0" w:color="auto"/>
              <w:bottom w:val="single" w:sz="4" w:space="0" w:color="auto"/>
              <w:right w:val="single" w:sz="6" w:space="0" w:color="auto"/>
            </w:tcBorders>
          </w:tcPr>
          <w:p w14:paraId="239BC3C5"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29B232E3"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3456EB88"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7DDED219" w14:textId="1808B4DE" w:rsidR="005B6D66" w:rsidRPr="006037C3" w:rsidRDefault="005B6D66" w:rsidP="005B6D66">
            <w:pPr>
              <w:autoSpaceDE w:val="0"/>
              <w:autoSpaceDN w:val="0"/>
              <w:adjustRightInd w:val="0"/>
              <w:ind w:left="68" w:right="90"/>
              <w:jc w:val="both"/>
              <w:rPr>
                <w:rFonts w:ascii="Arial" w:hAnsi="Arial" w:cs="Arial"/>
                <w:bCs/>
                <w:sz w:val="18"/>
                <w:szCs w:val="18"/>
                <w:lang w:val="es-ES_tradnl"/>
              </w:rPr>
            </w:pPr>
          </w:p>
        </w:tc>
      </w:tr>
      <w:tr w:rsidR="005B6D66" w:rsidRPr="0033349F" w14:paraId="33D67C9B" w14:textId="77777777" w:rsidTr="0033349F">
        <w:trPr>
          <w:gridAfter w:val="1"/>
          <w:wAfter w:w="6" w:type="pct"/>
          <w:jc w:val="center"/>
        </w:trPr>
        <w:tc>
          <w:tcPr>
            <w:tcW w:w="1088" w:type="pct"/>
            <w:vMerge/>
            <w:tcBorders>
              <w:left w:val="single" w:sz="6" w:space="0" w:color="auto"/>
              <w:bottom w:val="single" w:sz="4" w:space="0" w:color="auto"/>
              <w:right w:val="single" w:sz="6" w:space="0" w:color="auto"/>
            </w:tcBorders>
            <w:shd w:val="clear" w:color="auto" w:fill="auto"/>
          </w:tcPr>
          <w:p w14:paraId="6F366AAE" w14:textId="77777777" w:rsidR="005B6D66" w:rsidRPr="006037C3" w:rsidRDefault="005B6D66" w:rsidP="005B6D66">
            <w:pPr>
              <w:autoSpaceDE w:val="0"/>
              <w:autoSpaceDN w:val="0"/>
              <w:adjustRightInd w:val="0"/>
              <w:ind w:left="91" w:right="61"/>
              <w:jc w:val="both"/>
              <w:rPr>
                <w:rFonts w:ascii="Arial" w:hAnsi="Arial" w:cs="Arial"/>
                <w:bCs/>
                <w:sz w:val="18"/>
                <w:szCs w:val="18"/>
                <w:lang w:val="es-HN"/>
              </w:rPr>
            </w:pPr>
          </w:p>
        </w:tc>
        <w:tc>
          <w:tcPr>
            <w:tcW w:w="2800" w:type="pct"/>
            <w:tcBorders>
              <w:top w:val="single" w:sz="4" w:space="0" w:color="auto"/>
              <w:left w:val="single" w:sz="6" w:space="0" w:color="auto"/>
              <w:bottom w:val="single" w:sz="4" w:space="0" w:color="auto"/>
              <w:right w:val="single" w:sz="4" w:space="0" w:color="auto"/>
            </w:tcBorders>
            <w:shd w:val="clear" w:color="auto" w:fill="auto"/>
          </w:tcPr>
          <w:p w14:paraId="5877FCB3" w14:textId="45B53AE6" w:rsidR="005B6D66" w:rsidRPr="006037C3" w:rsidRDefault="005B6D66" w:rsidP="005B6D66">
            <w:pPr>
              <w:autoSpaceDE w:val="0"/>
              <w:autoSpaceDN w:val="0"/>
              <w:adjustRightInd w:val="0"/>
              <w:ind w:left="59" w:right="79"/>
              <w:jc w:val="both"/>
              <w:rPr>
                <w:rFonts w:ascii="Arial" w:hAnsi="Arial" w:cs="Arial"/>
                <w:bCs/>
                <w:color w:val="000000"/>
                <w:sz w:val="18"/>
                <w:szCs w:val="18"/>
                <w:lang w:val="es-ES_tradnl"/>
              </w:rPr>
            </w:pPr>
            <w:r w:rsidRPr="006037C3">
              <w:rPr>
                <w:sz w:val="20"/>
                <w:szCs w:val="20"/>
                <w:lang w:val="es-ES_tradnl"/>
              </w:rPr>
              <w:t>Que el esquema tarifario vigente contemple la posibilidad de facturar el consumo en horas de valle e incrementos en hora de punta (tarifas multi-horarias en el sector comercial e industrial).</w:t>
            </w:r>
          </w:p>
        </w:tc>
        <w:tc>
          <w:tcPr>
            <w:tcW w:w="407" w:type="pct"/>
            <w:tcBorders>
              <w:top w:val="single" w:sz="4" w:space="0" w:color="auto"/>
              <w:left w:val="single" w:sz="6" w:space="0" w:color="auto"/>
              <w:bottom w:val="single" w:sz="4" w:space="0" w:color="auto"/>
              <w:right w:val="single" w:sz="6" w:space="0" w:color="auto"/>
            </w:tcBorders>
          </w:tcPr>
          <w:p w14:paraId="0E264B14"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6E1AEEE4"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10" w:type="pct"/>
            <w:tcBorders>
              <w:top w:val="single" w:sz="4" w:space="0" w:color="auto"/>
              <w:left w:val="single" w:sz="4" w:space="0" w:color="auto"/>
              <w:bottom w:val="single" w:sz="4" w:space="0" w:color="auto"/>
            </w:tcBorders>
          </w:tcPr>
          <w:p w14:paraId="1A4B9C9D"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61C3E935" w14:textId="210F56CE" w:rsidR="005B6D66" w:rsidRPr="006037C3" w:rsidDel="00FD5388" w:rsidRDefault="005B6D66" w:rsidP="005B6D66">
            <w:pPr>
              <w:autoSpaceDE w:val="0"/>
              <w:autoSpaceDN w:val="0"/>
              <w:adjustRightInd w:val="0"/>
              <w:ind w:left="68" w:right="90"/>
              <w:jc w:val="both"/>
              <w:rPr>
                <w:rFonts w:ascii="Arial" w:hAnsi="Arial" w:cs="Arial"/>
                <w:bCs/>
                <w:sz w:val="18"/>
                <w:szCs w:val="18"/>
                <w:lang w:val="es-ES_tradnl"/>
              </w:rPr>
            </w:pPr>
          </w:p>
        </w:tc>
      </w:tr>
      <w:tr w:rsidR="005B6D66" w:rsidRPr="00CF0D24" w14:paraId="22589589" w14:textId="77777777" w:rsidTr="0033349F">
        <w:trPr>
          <w:gridAfter w:val="1"/>
          <w:wAfter w:w="6" w:type="pct"/>
          <w:trHeight w:val="278"/>
          <w:jc w:val="center"/>
        </w:trPr>
        <w:tc>
          <w:tcPr>
            <w:tcW w:w="1088" w:type="pct"/>
            <w:tcBorders>
              <w:top w:val="single" w:sz="4" w:space="0" w:color="auto"/>
              <w:left w:val="single" w:sz="6" w:space="0" w:color="auto"/>
              <w:bottom w:val="single" w:sz="4" w:space="0" w:color="auto"/>
              <w:right w:val="single" w:sz="6" w:space="0" w:color="auto"/>
            </w:tcBorders>
            <w:shd w:val="clear" w:color="auto" w:fill="auto"/>
          </w:tcPr>
          <w:p w14:paraId="467724CB" w14:textId="77777777" w:rsidR="005B6D66" w:rsidRPr="006037C3" w:rsidRDefault="005B6D66" w:rsidP="005B6D66">
            <w:pPr>
              <w:autoSpaceDE w:val="0"/>
              <w:autoSpaceDN w:val="0"/>
              <w:adjustRightInd w:val="0"/>
              <w:ind w:left="91" w:right="61"/>
              <w:jc w:val="both"/>
              <w:rPr>
                <w:rFonts w:ascii="Arial" w:hAnsi="Arial" w:cs="Arial"/>
                <w:bCs/>
                <w:color w:val="000000"/>
                <w:sz w:val="18"/>
                <w:szCs w:val="18"/>
                <w:lang w:val="es-ES_tradnl"/>
              </w:rPr>
            </w:pPr>
            <w:r w:rsidRPr="006037C3">
              <w:rPr>
                <w:rFonts w:ascii="Arial" w:hAnsi="Arial" w:cs="Arial"/>
                <w:bCs/>
                <w:color w:val="000000"/>
                <w:sz w:val="18"/>
                <w:szCs w:val="18"/>
                <w:lang w:val="es-ES_tradnl"/>
              </w:rPr>
              <w:t>III-3   Contar con un marco regulatorio armonizado con el Mercado Eléctrico Regional.</w:t>
            </w:r>
          </w:p>
        </w:tc>
        <w:tc>
          <w:tcPr>
            <w:tcW w:w="2800" w:type="pct"/>
            <w:tcBorders>
              <w:top w:val="single" w:sz="4" w:space="0" w:color="auto"/>
              <w:left w:val="single" w:sz="6" w:space="0" w:color="auto"/>
              <w:bottom w:val="single" w:sz="4" w:space="0" w:color="auto"/>
              <w:right w:val="single" w:sz="4" w:space="0" w:color="auto"/>
            </w:tcBorders>
            <w:shd w:val="clear" w:color="auto" w:fill="auto"/>
          </w:tcPr>
          <w:p w14:paraId="63CB5B75" w14:textId="4E270E99" w:rsidR="005B6D66" w:rsidRPr="006037C3" w:rsidRDefault="005B6D66" w:rsidP="005B6D66">
            <w:pPr>
              <w:autoSpaceDE w:val="0"/>
              <w:autoSpaceDN w:val="0"/>
              <w:adjustRightInd w:val="0"/>
              <w:ind w:left="59" w:right="79"/>
              <w:jc w:val="both"/>
              <w:rPr>
                <w:rFonts w:ascii="Arial" w:hAnsi="Arial" w:cs="Arial"/>
                <w:bCs/>
                <w:color w:val="000000"/>
                <w:sz w:val="18"/>
                <w:szCs w:val="18"/>
                <w:lang w:val="es-ES_tradnl"/>
              </w:rPr>
            </w:pPr>
            <w:bookmarkStart w:id="20" w:name="_Hlk498359239"/>
            <w:r w:rsidRPr="006037C3">
              <w:rPr>
                <w:sz w:val="20"/>
                <w:szCs w:val="20"/>
                <w:lang w:val="es-ES_tradnl"/>
              </w:rPr>
              <w:t>Que las licitaciones de compras de energía realizadas hayan establecido la participación de generación proveniente de países del MER.</w:t>
            </w:r>
            <w:bookmarkEnd w:id="20"/>
          </w:p>
        </w:tc>
        <w:tc>
          <w:tcPr>
            <w:tcW w:w="407" w:type="pct"/>
            <w:tcBorders>
              <w:top w:val="single" w:sz="4" w:space="0" w:color="auto"/>
              <w:left w:val="single" w:sz="6" w:space="0" w:color="auto"/>
              <w:bottom w:val="single" w:sz="4" w:space="0" w:color="auto"/>
              <w:right w:val="single" w:sz="6" w:space="0" w:color="auto"/>
            </w:tcBorders>
          </w:tcPr>
          <w:p w14:paraId="0B807DEF"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0</w:t>
            </w:r>
          </w:p>
        </w:tc>
        <w:tc>
          <w:tcPr>
            <w:tcW w:w="340" w:type="pct"/>
            <w:tcBorders>
              <w:top w:val="single" w:sz="4" w:space="0" w:color="auto"/>
              <w:left w:val="single" w:sz="6" w:space="0" w:color="auto"/>
              <w:bottom w:val="single" w:sz="4" w:space="0" w:color="auto"/>
              <w:right w:val="single" w:sz="4" w:space="0" w:color="auto"/>
            </w:tcBorders>
          </w:tcPr>
          <w:p w14:paraId="5B6BF8EA"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310" w:type="pct"/>
            <w:tcBorders>
              <w:top w:val="single" w:sz="4" w:space="0" w:color="auto"/>
              <w:left w:val="single" w:sz="4" w:space="0" w:color="auto"/>
              <w:bottom w:val="single" w:sz="4" w:space="0" w:color="auto"/>
            </w:tcBorders>
          </w:tcPr>
          <w:p w14:paraId="58390099" w14:textId="77777777" w:rsidR="005B6D66" w:rsidRPr="006037C3" w:rsidRDefault="005B6D66" w:rsidP="005B6D66">
            <w:pPr>
              <w:autoSpaceDE w:val="0"/>
              <w:autoSpaceDN w:val="0"/>
              <w:adjustRightInd w:val="0"/>
              <w:jc w:val="center"/>
              <w:rPr>
                <w:rFonts w:ascii="Arial" w:hAnsi="Arial" w:cs="Arial"/>
                <w:color w:val="000000"/>
                <w:sz w:val="18"/>
                <w:szCs w:val="18"/>
              </w:rPr>
            </w:pPr>
            <w:r w:rsidRPr="006037C3">
              <w:rPr>
                <w:rFonts w:ascii="Arial" w:hAnsi="Arial" w:cs="Arial"/>
                <w:color w:val="000000"/>
                <w:sz w:val="18"/>
                <w:szCs w:val="18"/>
              </w:rPr>
              <w:t>1</w:t>
            </w:r>
          </w:p>
        </w:tc>
        <w:tc>
          <w:tcPr>
            <w:tcW w:w="49" w:type="pct"/>
            <w:tcBorders>
              <w:top w:val="single" w:sz="4" w:space="0" w:color="auto"/>
              <w:left w:val="nil"/>
              <w:bottom w:val="single" w:sz="4" w:space="0" w:color="auto"/>
              <w:right w:val="single" w:sz="4" w:space="0" w:color="auto"/>
            </w:tcBorders>
            <w:shd w:val="clear" w:color="auto" w:fill="auto"/>
          </w:tcPr>
          <w:p w14:paraId="1DD8D463" w14:textId="6481F27A" w:rsidR="005B6D66" w:rsidRPr="00302DE6" w:rsidRDefault="005B6D66" w:rsidP="005B6D66">
            <w:pPr>
              <w:autoSpaceDE w:val="0"/>
              <w:autoSpaceDN w:val="0"/>
              <w:adjustRightInd w:val="0"/>
              <w:ind w:left="68" w:right="90"/>
              <w:jc w:val="both"/>
              <w:rPr>
                <w:rFonts w:ascii="Arial" w:hAnsi="Arial" w:cs="Arial"/>
                <w:bCs/>
                <w:sz w:val="18"/>
                <w:szCs w:val="18"/>
                <w:lang w:val="es-ES_tradnl"/>
              </w:rPr>
            </w:pPr>
          </w:p>
        </w:tc>
      </w:tr>
    </w:tbl>
    <w:p w14:paraId="2E19D8D1" w14:textId="77777777" w:rsidR="00302DE6" w:rsidRPr="00302DE6" w:rsidRDefault="00302DE6" w:rsidP="00C63A1C">
      <w:pPr>
        <w:spacing w:before="120" w:after="120"/>
        <w:jc w:val="both"/>
        <w:rPr>
          <w:rFonts w:ascii="Arial" w:hAnsi="Arial" w:cs="Arial"/>
          <w:b/>
          <w:bCs/>
          <w:lang w:val="es-ES_tradnl"/>
        </w:rPr>
      </w:pPr>
    </w:p>
    <w:p w14:paraId="135DBB82" w14:textId="77777777" w:rsidR="00C419B8" w:rsidRPr="001C59A0" w:rsidRDefault="00C419B8" w:rsidP="00C419B8">
      <w:pPr>
        <w:pStyle w:val="ListParagraph"/>
        <w:numPr>
          <w:ilvl w:val="0"/>
          <w:numId w:val="5"/>
        </w:numPr>
        <w:spacing w:before="120" w:after="120"/>
        <w:ind w:left="540" w:hanging="540"/>
        <w:contextualSpacing w:val="0"/>
        <w:jc w:val="both"/>
        <w:rPr>
          <w:rFonts w:ascii="Arial" w:hAnsi="Arial" w:cs="Arial"/>
          <w:b/>
          <w:bCs/>
          <w:lang w:val="es-ES"/>
        </w:rPr>
      </w:pPr>
      <w:bookmarkStart w:id="21" w:name="_Toc402794297"/>
      <w:r w:rsidRPr="001C59A0">
        <w:rPr>
          <w:rFonts w:ascii="Arial" w:hAnsi="Arial" w:cs="Arial"/>
          <w:b/>
          <w:bCs/>
          <w:lang w:val="es-ES"/>
        </w:rPr>
        <w:t>Recolección de la información</w:t>
      </w:r>
      <w:bookmarkEnd w:id="21"/>
    </w:p>
    <w:p w14:paraId="0DEF3502" w14:textId="553495EF" w:rsidR="00C419B8" w:rsidRPr="00825DC2" w:rsidRDefault="00802F10" w:rsidP="00C419B8">
      <w:pPr>
        <w:pStyle w:val="ListParagraph"/>
        <w:numPr>
          <w:ilvl w:val="1"/>
          <w:numId w:val="4"/>
        </w:numPr>
        <w:spacing w:before="120" w:after="120"/>
        <w:ind w:left="540" w:hanging="540"/>
        <w:contextualSpacing w:val="0"/>
        <w:jc w:val="both"/>
        <w:rPr>
          <w:rFonts w:ascii="Arial" w:hAnsi="Arial" w:cs="Arial"/>
          <w:lang w:val="es-CO"/>
        </w:rPr>
      </w:pPr>
      <w:r w:rsidRPr="00825DC2">
        <w:rPr>
          <w:rFonts w:ascii="Arial" w:hAnsi="Arial" w:cs="Arial"/>
          <w:lang w:val="es-CO"/>
        </w:rPr>
        <w:t xml:space="preserve">El Gobierno de </w:t>
      </w:r>
      <w:r w:rsidR="00A46B68" w:rsidRPr="00825DC2">
        <w:rPr>
          <w:rFonts w:ascii="Arial" w:hAnsi="Arial" w:cs="Arial"/>
          <w:lang w:val="es-CO"/>
        </w:rPr>
        <w:t xml:space="preserve">Honduras </w:t>
      </w:r>
      <w:r w:rsidRPr="00825DC2">
        <w:rPr>
          <w:rFonts w:ascii="Arial" w:hAnsi="Arial" w:cs="Arial"/>
          <w:lang w:val="es-CO"/>
        </w:rPr>
        <w:t xml:space="preserve">y el Banco han acordado efectuar reuniones de seguimiento en fechas a definir de común acuerdo. </w:t>
      </w:r>
      <w:r w:rsidR="00C419B8" w:rsidRPr="00825DC2">
        <w:rPr>
          <w:rFonts w:ascii="Arial" w:hAnsi="Arial" w:cs="Arial"/>
          <w:lang w:val="es-CO"/>
        </w:rPr>
        <w:t>Dada la modalidad de la operación</w:t>
      </w:r>
      <w:r w:rsidRPr="00825DC2">
        <w:rPr>
          <w:rFonts w:ascii="Arial" w:hAnsi="Arial" w:cs="Arial"/>
          <w:lang w:val="es-CO"/>
        </w:rPr>
        <w:t>,</w:t>
      </w:r>
      <w:r w:rsidR="00C419B8" w:rsidRPr="00825DC2">
        <w:rPr>
          <w:rFonts w:ascii="Arial" w:hAnsi="Arial" w:cs="Arial"/>
          <w:lang w:val="es-CO"/>
        </w:rPr>
        <w:t xml:space="preserve"> la recolección de la información se lleva</w:t>
      </w:r>
      <w:r w:rsidR="00BB23BB" w:rsidRPr="00825DC2">
        <w:rPr>
          <w:rFonts w:ascii="Arial" w:hAnsi="Arial" w:cs="Arial"/>
          <w:lang w:val="es-CO"/>
        </w:rPr>
        <w:t>rá</w:t>
      </w:r>
      <w:r w:rsidR="00C419B8" w:rsidRPr="00825DC2">
        <w:rPr>
          <w:rFonts w:ascii="Arial" w:hAnsi="Arial" w:cs="Arial"/>
          <w:lang w:val="es-CO"/>
        </w:rPr>
        <w:t xml:space="preserve"> a cabo </w:t>
      </w:r>
      <w:r w:rsidR="00A46B68" w:rsidRPr="00825DC2">
        <w:rPr>
          <w:rFonts w:ascii="Arial" w:hAnsi="Arial" w:cs="Arial"/>
          <w:lang w:val="es-CO"/>
        </w:rPr>
        <w:t>antes del único desembolso de la operación</w:t>
      </w:r>
      <w:r w:rsidR="00C419B8" w:rsidRPr="00825DC2">
        <w:rPr>
          <w:rFonts w:ascii="Arial" w:hAnsi="Arial" w:cs="Arial"/>
          <w:lang w:val="es-CO"/>
        </w:rPr>
        <w:t xml:space="preserve">, y con el objetivo de preparar el informe de cumplimiento que garantice </w:t>
      </w:r>
      <w:r w:rsidR="00BB23BB" w:rsidRPr="00825DC2">
        <w:rPr>
          <w:rFonts w:ascii="Arial" w:hAnsi="Arial" w:cs="Arial"/>
          <w:lang w:val="es-CO"/>
        </w:rPr>
        <w:t xml:space="preserve">la </w:t>
      </w:r>
      <w:r w:rsidR="007F5B8A" w:rsidRPr="00825DC2">
        <w:rPr>
          <w:rFonts w:ascii="Arial" w:hAnsi="Arial" w:cs="Arial"/>
          <w:lang w:val="es-CO"/>
        </w:rPr>
        <w:t>consecución de</w:t>
      </w:r>
      <w:r w:rsidR="00C419B8" w:rsidRPr="00825DC2">
        <w:rPr>
          <w:rFonts w:ascii="Arial" w:hAnsi="Arial" w:cs="Arial"/>
          <w:lang w:val="es-CO"/>
        </w:rPr>
        <w:t xml:space="preserve"> todos los compromisos establecidos en la </w:t>
      </w:r>
      <w:hyperlink r:id="rId8" w:history="1">
        <w:r w:rsidRPr="00825DC2">
          <w:rPr>
            <w:rStyle w:val="Hyperlink"/>
            <w:rFonts w:ascii="Arial" w:hAnsi="Arial" w:cs="Arial"/>
            <w:lang w:val="es-CO"/>
          </w:rPr>
          <w:t>Matriz de Política</w:t>
        </w:r>
      </w:hyperlink>
      <w:r w:rsidR="008C3C38" w:rsidRPr="00825DC2">
        <w:rPr>
          <w:rFonts w:ascii="Arial" w:hAnsi="Arial" w:cs="Arial"/>
          <w:lang w:val="es-CO"/>
        </w:rPr>
        <w:t xml:space="preserve"> </w:t>
      </w:r>
      <w:r w:rsidR="00C419B8" w:rsidRPr="00825DC2">
        <w:rPr>
          <w:rFonts w:ascii="Arial" w:hAnsi="Arial" w:cs="Arial"/>
          <w:lang w:val="es-CO"/>
        </w:rPr>
        <w:t xml:space="preserve">y </w:t>
      </w:r>
      <w:r w:rsidRPr="00825DC2">
        <w:rPr>
          <w:rFonts w:ascii="Arial" w:hAnsi="Arial" w:cs="Arial"/>
          <w:lang w:val="es-CO"/>
        </w:rPr>
        <w:t xml:space="preserve">los indicadores de impacto y de resultados contenidos en la </w:t>
      </w:r>
      <w:hyperlink r:id="rId9" w:history="1">
        <w:r w:rsidRPr="00825DC2">
          <w:rPr>
            <w:rStyle w:val="Hyperlink"/>
            <w:rFonts w:ascii="Arial" w:hAnsi="Arial" w:cs="Arial"/>
            <w:lang w:val="es-CO"/>
          </w:rPr>
          <w:t xml:space="preserve">Matriz de </w:t>
        </w:r>
        <w:r w:rsidR="00C419B8" w:rsidRPr="00825DC2">
          <w:rPr>
            <w:rStyle w:val="Hyperlink"/>
            <w:rFonts w:ascii="Arial" w:hAnsi="Arial" w:cs="Arial"/>
            <w:lang w:val="es-CO"/>
          </w:rPr>
          <w:t>Resultados</w:t>
        </w:r>
      </w:hyperlink>
      <w:r w:rsidR="00C419B8" w:rsidRPr="00825DC2">
        <w:rPr>
          <w:rFonts w:ascii="Arial" w:hAnsi="Arial" w:cs="Arial"/>
          <w:lang w:val="es-CO"/>
        </w:rPr>
        <w:t xml:space="preserve">, </w:t>
      </w:r>
      <w:r w:rsidRPr="00825DC2">
        <w:rPr>
          <w:rFonts w:ascii="Arial" w:hAnsi="Arial" w:cs="Arial"/>
          <w:lang w:val="es-CO"/>
        </w:rPr>
        <w:t xml:space="preserve">así como  </w:t>
      </w:r>
      <w:r w:rsidR="00C419B8" w:rsidRPr="00825DC2">
        <w:rPr>
          <w:rFonts w:ascii="Arial" w:hAnsi="Arial" w:cs="Arial"/>
          <w:lang w:val="es-CO"/>
        </w:rPr>
        <w:t>que se ha</w:t>
      </w:r>
      <w:r w:rsidRPr="00825DC2">
        <w:rPr>
          <w:rFonts w:ascii="Arial" w:hAnsi="Arial" w:cs="Arial"/>
          <w:lang w:val="es-CO"/>
        </w:rPr>
        <w:t>yan</w:t>
      </w:r>
      <w:r w:rsidR="00C419B8" w:rsidRPr="00825DC2">
        <w:rPr>
          <w:rFonts w:ascii="Arial" w:hAnsi="Arial" w:cs="Arial"/>
          <w:lang w:val="es-CO"/>
        </w:rPr>
        <w:t xml:space="preserve"> proporcionado todos los documentos establecidos como </w:t>
      </w:r>
      <w:hyperlink r:id="rId10" w:history="1">
        <w:r w:rsidRPr="00825DC2">
          <w:rPr>
            <w:rStyle w:val="Hyperlink"/>
            <w:rFonts w:ascii="Arial" w:hAnsi="Arial" w:cs="Arial"/>
            <w:lang w:val="es-CO"/>
          </w:rPr>
          <w:t>M</w:t>
        </w:r>
        <w:r w:rsidR="00C419B8" w:rsidRPr="00825DC2">
          <w:rPr>
            <w:rStyle w:val="Hyperlink"/>
            <w:rFonts w:ascii="Arial" w:hAnsi="Arial" w:cs="Arial"/>
            <w:lang w:val="es-CO"/>
          </w:rPr>
          <w:t xml:space="preserve">edios de </w:t>
        </w:r>
        <w:r w:rsidRPr="00825DC2">
          <w:rPr>
            <w:rStyle w:val="Hyperlink"/>
            <w:rFonts w:ascii="Arial" w:hAnsi="Arial" w:cs="Arial"/>
            <w:lang w:val="es-CO"/>
          </w:rPr>
          <w:t>V</w:t>
        </w:r>
        <w:r w:rsidR="00C419B8" w:rsidRPr="00825DC2">
          <w:rPr>
            <w:rStyle w:val="Hyperlink"/>
            <w:rFonts w:ascii="Arial" w:hAnsi="Arial" w:cs="Arial"/>
            <w:lang w:val="es-CO"/>
          </w:rPr>
          <w:t>erificación</w:t>
        </w:r>
      </w:hyperlink>
      <w:r w:rsidR="00C419B8" w:rsidRPr="00825DC2">
        <w:rPr>
          <w:rFonts w:ascii="Arial" w:hAnsi="Arial" w:cs="Arial"/>
          <w:lang w:val="es-CO"/>
        </w:rPr>
        <w:t xml:space="preserve">. </w:t>
      </w:r>
    </w:p>
    <w:p w14:paraId="2CD14BD8" w14:textId="55CE2395" w:rsidR="00C419B8" w:rsidRDefault="00C419B8" w:rsidP="00940452">
      <w:pPr>
        <w:pStyle w:val="ListParagraph"/>
        <w:numPr>
          <w:ilvl w:val="1"/>
          <w:numId w:val="4"/>
        </w:numPr>
        <w:spacing w:before="120" w:after="120"/>
        <w:ind w:left="540" w:hanging="540"/>
        <w:contextualSpacing w:val="0"/>
        <w:jc w:val="both"/>
        <w:rPr>
          <w:rFonts w:ascii="Arial" w:hAnsi="Arial" w:cs="Arial"/>
          <w:lang w:val="es-CO"/>
        </w:rPr>
      </w:pPr>
      <w:r w:rsidRPr="00825DC2">
        <w:rPr>
          <w:rFonts w:ascii="Arial" w:hAnsi="Arial" w:cs="Arial"/>
          <w:lang w:val="es-CO"/>
        </w:rPr>
        <w:t>El BID seguirá apoyando</w:t>
      </w:r>
      <w:r w:rsidRPr="001C59A0">
        <w:rPr>
          <w:rFonts w:ascii="Arial" w:hAnsi="Arial" w:cs="Arial"/>
          <w:lang w:val="es-CO"/>
        </w:rPr>
        <w:t xml:space="preserve"> al Gobierno de </w:t>
      </w:r>
      <w:r w:rsidR="00A46B68">
        <w:rPr>
          <w:rFonts w:ascii="Arial" w:hAnsi="Arial" w:cs="Arial"/>
          <w:lang w:val="es-CO"/>
        </w:rPr>
        <w:t>Honduras</w:t>
      </w:r>
      <w:r w:rsidR="00A46B68" w:rsidRPr="001C59A0">
        <w:rPr>
          <w:rFonts w:ascii="Arial" w:hAnsi="Arial" w:cs="Arial"/>
          <w:lang w:val="es-CO"/>
        </w:rPr>
        <w:t xml:space="preserve"> </w:t>
      </w:r>
      <w:r w:rsidRPr="001C59A0">
        <w:rPr>
          <w:rFonts w:ascii="Arial" w:hAnsi="Arial" w:cs="Arial"/>
          <w:lang w:val="es-CO"/>
        </w:rPr>
        <w:t xml:space="preserve">en el cumplimiento de los compromisos de política mediante recursos de Cooperación Técnica (CT) no reembolsable a ser aprobados en el </w:t>
      </w:r>
      <w:r w:rsidR="00A46B68">
        <w:rPr>
          <w:rFonts w:ascii="Arial" w:hAnsi="Arial" w:cs="Arial"/>
          <w:lang w:val="es-CO"/>
        </w:rPr>
        <w:t xml:space="preserve">tercer </w:t>
      </w:r>
      <w:r w:rsidR="00DE7057">
        <w:rPr>
          <w:rFonts w:ascii="Arial" w:hAnsi="Arial" w:cs="Arial"/>
          <w:lang w:val="es-CO"/>
        </w:rPr>
        <w:t>trimestre de 2017</w:t>
      </w:r>
      <w:r w:rsidRPr="001C59A0">
        <w:rPr>
          <w:rFonts w:ascii="Arial" w:hAnsi="Arial" w:cs="Arial"/>
          <w:lang w:val="es-CO"/>
        </w:rPr>
        <w:t xml:space="preserve">. </w:t>
      </w:r>
    </w:p>
    <w:p w14:paraId="3B69D21A" w14:textId="0007B1B4" w:rsidR="000957B7" w:rsidRDefault="000957B7" w:rsidP="00940452">
      <w:pPr>
        <w:pStyle w:val="ListParagraph"/>
        <w:numPr>
          <w:ilvl w:val="1"/>
          <w:numId w:val="4"/>
        </w:numPr>
        <w:spacing w:before="120" w:after="120"/>
        <w:ind w:left="540" w:hanging="540"/>
        <w:contextualSpacing w:val="0"/>
        <w:jc w:val="both"/>
        <w:rPr>
          <w:rFonts w:ascii="Arial" w:hAnsi="Arial" w:cs="Arial"/>
          <w:lang w:val="es-CO"/>
        </w:rPr>
      </w:pPr>
      <w:r>
        <w:rPr>
          <w:rFonts w:ascii="Arial" w:hAnsi="Arial" w:cs="Arial"/>
          <w:lang w:val="es-CO"/>
        </w:rPr>
        <w:t xml:space="preserve">El presupuesto designado para el seguimiento de los medios de verificación se describe a continuación: </w:t>
      </w:r>
    </w:p>
    <w:tbl>
      <w:tblPr>
        <w:tblW w:w="3959" w:type="pct"/>
        <w:jc w:val="center"/>
        <w:tblLayout w:type="fixed"/>
        <w:tblLook w:val="04A0" w:firstRow="1" w:lastRow="0" w:firstColumn="1" w:lastColumn="0" w:noHBand="0" w:noVBand="1"/>
      </w:tblPr>
      <w:tblGrid>
        <w:gridCol w:w="4192"/>
        <w:gridCol w:w="2637"/>
      </w:tblGrid>
      <w:tr w:rsidR="000957B7" w:rsidRPr="001C59A0" w14:paraId="33D33C23" w14:textId="77777777" w:rsidTr="000957B7">
        <w:trPr>
          <w:trHeight w:val="250"/>
          <w:jc w:val="center"/>
        </w:trPr>
        <w:tc>
          <w:tcPr>
            <w:tcW w:w="3069" w:type="pc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5F8F39C5" w14:textId="77777777" w:rsidR="000957B7" w:rsidRPr="001C59A0" w:rsidRDefault="000957B7" w:rsidP="006E0CEB">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Actividad</w:t>
            </w:r>
          </w:p>
        </w:tc>
        <w:tc>
          <w:tcPr>
            <w:tcW w:w="1931" w:type="pct"/>
            <w:tcBorders>
              <w:top w:val="single" w:sz="8" w:space="0" w:color="auto"/>
              <w:left w:val="single" w:sz="8" w:space="0" w:color="auto"/>
              <w:right w:val="single" w:sz="4" w:space="0" w:color="auto"/>
            </w:tcBorders>
            <w:shd w:val="clear" w:color="000000" w:fill="D9D9D9"/>
          </w:tcPr>
          <w:p w14:paraId="37362918" w14:textId="77777777" w:rsidR="000957B7" w:rsidRPr="001C59A0" w:rsidRDefault="000957B7" w:rsidP="006E0CEB">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Responsable y Costo</w:t>
            </w:r>
          </w:p>
        </w:tc>
      </w:tr>
      <w:tr w:rsidR="000957B7" w:rsidRPr="000957B7" w14:paraId="7979673D" w14:textId="77777777" w:rsidTr="000957B7">
        <w:trPr>
          <w:trHeight w:val="394"/>
          <w:jc w:val="center"/>
        </w:trPr>
        <w:tc>
          <w:tcPr>
            <w:tcW w:w="3069" w:type="pct"/>
            <w:tcBorders>
              <w:top w:val="nil"/>
              <w:left w:val="single" w:sz="8" w:space="0" w:color="auto"/>
              <w:bottom w:val="single" w:sz="8" w:space="0" w:color="auto"/>
              <w:right w:val="single" w:sz="8" w:space="0" w:color="auto"/>
            </w:tcBorders>
            <w:shd w:val="clear" w:color="auto" w:fill="auto"/>
            <w:noWrap/>
            <w:vAlign w:val="center"/>
            <w:hideMark/>
          </w:tcPr>
          <w:p w14:paraId="49B6C9F4" w14:textId="357964B7" w:rsidR="000957B7" w:rsidRPr="00063817" w:rsidRDefault="000957B7" w:rsidP="000957B7">
            <w:pPr>
              <w:rPr>
                <w:rFonts w:ascii="Arial" w:hAnsi="Arial" w:cs="Arial"/>
                <w:b/>
                <w:bCs/>
                <w:color w:val="000000"/>
                <w:sz w:val="18"/>
                <w:szCs w:val="20"/>
                <w:lang w:val="es-MX"/>
              </w:rPr>
            </w:pPr>
            <w:r>
              <w:rPr>
                <w:rFonts w:ascii="Arial" w:hAnsi="Arial" w:cs="Arial"/>
                <w:bCs/>
                <w:color w:val="000000"/>
                <w:sz w:val="18"/>
                <w:szCs w:val="20"/>
                <w:lang w:val="es-MX"/>
              </w:rPr>
              <w:t>Reuniones de revisión del cumplimiento de los compromisos</w:t>
            </w:r>
          </w:p>
        </w:tc>
        <w:tc>
          <w:tcPr>
            <w:tcW w:w="1931" w:type="pct"/>
            <w:tcBorders>
              <w:top w:val="single" w:sz="8" w:space="0" w:color="auto"/>
              <w:left w:val="nil"/>
              <w:bottom w:val="single" w:sz="8" w:space="0" w:color="auto"/>
              <w:right w:val="single" w:sz="8" w:space="0" w:color="auto"/>
            </w:tcBorders>
            <w:shd w:val="clear" w:color="auto" w:fill="auto"/>
            <w:vAlign w:val="center"/>
          </w:tcPr>
          <w:p w14:paraId="44BBF381" w14:textId="1CBD0382" w:rsidR="000957B7" w:rsidRPr="001C59A0" w:rsidRDefault="000957B7" w:rsidP="006E0CEB">
            <w:pPr>
              <w:jc w:val="center"/>
              <w:rPr>
                <w:rFonts w:ascii="Arial" w:hAnsi="Arial" w:cs="Arial"/>
                <w:bCs/>
                <w:color w:val="000000"/>
                <w:sz w:val="18"/>
                <w:szCs w:val="20"/>
                <w:lang w:val="es-MX"/>
              </w:rPr>
            </w:pPr>
            <w:r>
              <w:rPr>
                <w:rFonts w:ascii="Arial" w:hAnsi="Arial" w:cs="Arial"/>
                <w:bCs/>
                <w:color w:val="000000"/>
                <w:sz w:val="18"/>
                <w:szCs w:val="20"/>
                <w:lang w:val="es-MX"/>
              </w:rPr>
              <w:t>US$5</w:t>
            </w:r>
            <w:r w:rsidRPr="001C59A0">
              <w:rPr>
                <w:rFonts w:ascii="Arial" w:hAnsi="Arial" w:cs="Arial"/>
                <w:bCs/>
                <w:color w:val="000000"/>
                <w:sz w:val="18"/>
                <w:szCs w:val="20"/>
                <w:lang w:val="es-MX"/>
              </w:rPr>
              <w:t>,000</w:t>
            </w:r>
            <w:r>
              <w:rPr>
                <w:rFonts w:ascii="Arial" w:hAnsi="Arial" w:cs="Arial"/>
                <w:bCs/>
                <w:color w:val="000000"/>
                <w:sz w:val="18"/>
                <w:szCs w:val="20"/>
                <w:lang w:val="es-MX"/>
              </w:rPr>
              <w:t xml:space="preserve"> IDB</w:t>
            </w:r>
          </w:p>
        </w:tc>
      </w:tr>
      <w:tr w:rsidR="000957B7" w:rsidRPr="00063817" w14:paraId="2425534B" w14:textId="77777777" w:rsidTr="000957B7">
        <w:trPr>
          <w:trHeight w:val="394"/>
          <w:jc w:val="center"/>
        </w:trPr>
        <w:tc>
          <w:tcPr>
            <w:tcW w:w="3069" w:type="pct"/>
            <w:tcBorders>
              <w:top w:val="nil"/>
              <w:left w:val="single" w:sz="8" w:space="0" w:color="auto"/>
              <w:bottom w:val="single" w:sz="8" w:space="0" w:color="auto"/>
              <w:right w:val="single" w:sz="8" w:space="0" w:color="auto"/>
            </w:tcBorders>
            <w:shd w:val="clear" w:color="auto" w:fill="auto"/>
            <w:noWrap/>
            <w:vAlign w:val="center"/>
          </w:tcPr>
          <w:p w14:paraId="235D2BCE" w14:textId="1B972788" w:rsidR="000957B7" w:rsidRPr="001C59A0" w:rsidRDefault="000957B7" w:rsidP="000957B7">
            <w:pPr>
              <w:rPr>
                <w:rFonts w:ascii="Arial" w:hAnsi="Arial" w:cs="Arial"/>
                <w:bCs/>
                <w:color w:val="000000"/>
                <w:sz w:val="18"/>
                <w:szCs w:val="20"/>
                <w:lang w:val="es-MX"/>
              </w:rPr>
            </w:pPr>
            <w:r>
              <w:rPr>
                <w:rFonts w:ascii="Arial" w:hAnsi="Arial" w:cs="Arial"/>
                <w:bCs/>
                <w:color w:val="000000"/>
                <w:sz w:val="18"/>
                <w:szCs w:val="20"/>
                <w:lang w:val="es-MX"/>
              </w:rPr>
              <w:t xml:space="preserve">Talleres de presentación de presentación del avance y contenido de los medios de verificación  </w:t>
            </w:r>
          </w:p>
        </w:tc>
        <w:tc>
          <w:tcPr>
            <w:tcW w:w="1931" w:type="pct"/>
            <w:tcBorders>
              <w:top w:val="single" w:sz="8" w:space="0" w:color="auto"/>
              <w:left w:val="nil"/>
              <w:bottom w:val="single" w:sz="8" w:space="0" w:color="auto"/>
              <w:right w:val="single" w:sz="8" w:space="0" w:color="auto"/>
            </w:tcBorders>
            <w:shd w:val="clear" w:color="auto" w:fill="auto"/>
            <w:vAlign w:val="center"/>
          </w:tcPr>
          <w:p w14:paraId="2989BD06" w14:textId="669AF632" w:rsidR="000957B7" w:rsidRPr="001C59A0" w:rsidRDefault="000957B7" w:rsidP="006E0CEB">
            <w:pPr>
              <w:jc w:val="center"/>
              <w:rPr>
                <w:rFonts w:ascii="Arial" w:hAnsi="Arial" w:cs="Arial"/>
                <w:bCs/>
                <w:color w:val="000000"/>
                <w:sz w:val="18"/>
                <w:szCs w:val="20"/>
                <w:lang w:val="es-MX"/>
              </w:rPr>
            </w:pPr>
            <w:r>
              <w:rPr>
                <w:rFonts w:ascii="Arial" w:hAnsi="Arial" w:cs="Arial"/>
                <w:bCs/>
                <w:color w:val="000000"/>
                <w:sz w:val="18"/>
                <w:szCs w:val="20"/>
                <w:lang w:val="es-MX"/>
              </w:rPr>
              <w:t>US$</w:t>
            </w:r>
            <w:r w:rsidRPr="001C59A0">
              <w:rPr>
                <w:rFonts w:ascii="Arial" w:hAnsi="Arial" w:cs="Arial"/>
                <w:bCs/>
                <w:color w:val="000000"/>
                <w:sz w:val="18"/>
                <w:szCs w:val="20"/>
                <w:lang w:val="es-MX"/>
              </w:rPr>
              <w:t>5,000</w:t>
            </w:r>
            <w:r>
              <w:rPr>
                <w:rFonts w:ascii="Arial" w:hAnsi="Arial" w:cs="Arial"/>
                <w:bCs/>
                <w:color w:val="000000"/>
                <w:sz w:val="18"/>
                <w:szCs w:val="20"/>
                <w:lang w:val="es-MX"/>
              </w:rPr>
              <w:t xml:space="preserve"> IDB</w:t>
            </w:r>
          </w:p>
        </w:tc>
      </w:tr>
      <w:tr w:rsidR="000957B7" w:rsidRPr="00063817" w14:paraId="3DD1FE85" w14:textId="77777777" w:rsidTr="000957B7">
        <w:trPr>
          <w:trHeight w:val="394"/>
          <w:jc w:val="center"/>
        </w:trPr>
        <w:tc>
          <w:tcPr>
            <w:tcW w:w="3069" w:type="pct"/>
            <w:tcBorders>
              <w:top w:val="nil"/>
              <w:left w:val="single" w:sz="8" w:space="0" w:color="auto"/>
              <w:bottom w:val="single" w:sz="8" w:space="0" w:color="auto"/>
              <w:right w:val="single" w:sz="8" w:space="0" w:color="auto"/>
            </w:tcBorders>
            <w:shd w:val="clear" w:color="auto" w:fill="auto"/>
            <w:noWrap/>
            <w:vAlign w:val="center"/>
          </w:tcPr>
          <w:p w14:paraId="02F540BA" w14:textId="5709DD2B" w:rsidR="000957B7" w:rsidRDefault="000957B7" w:rsidP="006E0CEB">
            <w:pPr>
              <w:jc w:val="right"/>
              <w:rPr>
                <w:rFonts w:ascii="Arial" w:hAnsi="Arial" w:cs="Arial"/>
                <w:bCs/>
                <w:color w:val="000000"/>
                <w:sz w:val="18"/>
                <w:szCs w:val="20"/>
                <w:lang w:val="es-MX"/>
              </w:rPr>
            </w:pPr>
            <w:r w:rsidRPr="001C59A0">
              <w:rPr>
                <w:rFonts w:ascii="Arial" w:hAnsi="Arial" w:cs="Arial"/>
                <w:bCs/>
                <w:color w:val="000000"/>
                <w:sz w:val="18"/>
                <w:szCs w:val="20"/>
                <w:lang w:val="es-MX"/>
              </w:rPr>
              <w:t>Total</w:t>
            </w:r>
          </w:p>
        </w:tc>
        <w:tc>
          <w:tcPr>
            <w:tcW w:w="1931" w:type="pct"/>
            <w:tcBorders>
              <w:top w:val="single" w:sz="8" w:space="0" w:color="auto"/>
              <w:left w:val="nil"/>
              <w:bottom w:val="single" w:sz="8" w:space="0" w:color="auto"/>
              <w:right w:val="single" w:sz="8" w:space="0" w:color="auto"/>
            </w:tcBorders>
            <w:shd w:val="clear" w:color="auto" w:fill="auto"/>
            <w:vAlign w:val="center"/>
          </w:tcPr>
          <w:p w14:paraId="0BD32228" w14:textId="1A3C5644" w:rsidR="000957B7" w:rsidRPr="001C59A0" w:rsidRDefault="000957B7" w:rsidP="006E0CEB">
            <w:pPr>
              <w:jc w:val="center"/>
              <w:rPr>
                <w:rFonts w:ascii="Arial" w:hAnsi="Arial" w:cs="Arial"/>
                <w:bCs/>
                <w:color w:val="000000"/>
                <w:sz w:val="18"/>
                <w:szCs w:val="20"/>
                <w:lang w:val="es-MX"/>
              </w:rPr>
            </w:pPr>
            <w:r w:rsidRPr="001C59A0">
              <w:rPr>
                <w:rFonts w:ascii="Arial" w:hAnsi="Arial" w:cs="Arial"/>
                <w:bCs/>
                <w:color w:val="000000"/>
                <w:sz w:val="18"/>
                <w:szCs w:val="20"/>
                <w:lang w:val="es-MX"/>
              </w:rPr>
              <w:t>US$</w:t>
            </w:r>
            <w:r>
              <w:rPr>
                <w:rFonts w:ascii="Arial" w:hAnsi="Arial" w:cs="Arial"/>
                <w:bCs/>
                <w:color w:val="000000"/>
                <w:sz w:val="18"/>
                <w:szCs w:val="20"/>
                <w:lang w:val="es-MX"/>
              </w:rPr>
              <w:t>10</w:t>
            </w:r>
            <w:r w:rsidRPr="001C59A0">
              <w:rPr>
                <w:rFonts w:ascii="Arial" w:hAnsi="Arial" w:cs="Arial"/>
                <w:bCs/>
                <w:color w:val="000000"/>
                <w:sz w:val="18"/>
                <w:szCs w:val="20"/>
                <w:lang w:val="es-MX"/>
              </w:rPr>
              <w:t>,000 IDB</w:t>
            </w:r>
            <w:r>
              <w:rPr>
                <w:rFonts w:ascii="Arial" w:hAnsi="Arial" w:cs="Arial"/>
                <w:bCs/>
                <w:color w:val="000000"/>
                <w:sz w:val="18"/>
                <w:szCs w:val="20"/>
                <w:lang w:val="es-MX"/>
              </w:rPr>
              <w:t>*</w:t>
            </w:r>
          </w:p>
        </w:tc>
      </w:tr>
    </w:tbl>
    <w:p w14:paraId="74576732" w14:textId="74555401" w:rsidR="00802F10" w:rsidRPr="008A78D3" w:rsidRDefault="000957B7" w:rsidP="00C419B8">
      <w:pPr>
        <w:pStyle w:val="Title"/>
        <w:tabs>
          <w:tab w:val="clear" w:pos="1440"/>
          <w:tab w:val="clear" w:pos="3060"/>
        </w:tabs>
        <w:spacing w:before="120" w:after="120"/>
        <w:ind w:left="720"/>
        <w:jc w:val="both"/>
        <w:outlineLvl w:val="9"/>
        <w:rPr>
          <w:rFonts w:ascii="Arial" w:hAnsi="Arial" w:cs="Arial"/>
          <w:lang w:val="es-CO"/>
        </w:rPr>
      </w:pPr>
      <w:r>
        <w:rPr>
          <w:rFonts w:ascii="Arial" w:hAnsi="Arial" w:cs="Arial"/>
          <w:lang w:val="es-CO"/>
        </w:rPr>
        <w:t>*</w:t>
      </w:r>
      <w:r>
        <w:rPr>
          <w:rFonts w:ascii="Arial" w:hAnsi="Arial" w:cs="Arial"/>
          <w:sz w:val="20"/>
          <w:szCs w:val="20"/>
          <w:lang w:val="es-CO"/>
        </w:rPr>
        <w:t>P</w:t>
      </w:r>
      <w:r w:rsidRPr="000957B7">
        <w:rPr>
          <w:rFonts w:ascii="Arial" w:hAnsi="Arial" w:cs="Arial"/>
          <w:sz w:val="20"/>
          <w:szCs w:val="20"/>
          <w:lang w:val="es-CO"/>
        </w:rPr>
        <w:t>resupuesto transaccional.</w:t>
      </w:r>
    </w:p>
    <w:p w14:paraId="581EDF2D" w14:textId="77777777" w:rsidR="00C419B8" w:rsidRPr="001C59A0" w:rsidRDefault="00C419B8" w:rsidP="00C419B8">
      <w:pPr>
        <w:pStyle w:val="FirstHeading"/>
        <w:keepNext w:val="0"/>
        <w:widowControl w:val="0"/>
        <w:numPr>
          <w:ilvl w:val="0"/>
          <w:numId w:val="4"/>
        </w:numPr>
        <w:tabs>
          <w:tab w:val="clear" w:pos="90"/>
        </w:tabs>
        <w:ind w:left="540" w:hanging="540"/>
        <w:rPr>
          <w:rFonts w:ascii="Arial" w:hAnsi="Arial" w:cs="Arial"/>
          <w:szCs w:val="24"/>
        </w:rPr>
      </w:pPr>
      <w:r w:rsidRPr="001C59A0">
        <w:rPr>
          <w:rFonts w:ascii="Arial" w:hAnsi="Arial" w:cs="Arial"/>
          <w:szCs w:val="24"/>
        </w:rPr>
        <w:t>Evaluación</w:t>
      </w:r>
    </w:p>
    <w:p w14:paraId="33649E7C" w14:textId="77777777" w:rsidR="00C419B8" w:rsidRPr="001C59A0" w:rsidRDefault="00C419B8" w:rsidP="00C419B8">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C59A0">
        <w:rPr>
          <w:rFonts w:ascii="Arial" w:hAnsi="Arial" w:cs="Arial"/>
          <w:szCs w:val="24"/>
          <w:lang w:val="es-ES"/>
        </w:rPr>
        <w:t xml:space="preserve">En esta sección se presenta la metodología de evaluación del programa, partiendo de las preguntas de evaluación, </w:t>
      </w:r>
      <w:r w:rsidRPr="001C59A0">
        <w:rPr>
          <w:rFonts w:ascii="Arial" w:eastAsia="Arial Unicode MS" w:hAnsi="Arial" w:cs="Arial"/>
          <w:bCs/>
          <w:szCs w:val="24"/>
          <w:lang w:val="es-ES"/>
        </w:rPr>
        <w:t>describiendo</w:t>
      </w:r>
      <w:r w:rsidRPr="001C59A0">
        <w:rPr>
          <w:rFonts w:ascii="Arial" w:hAnsi="Arial" w:cs="Arial"/>
          <w:szCs w:val="24"/>
          <w:lang w:val="es-ES"/>
        </w:rPr>
        <w:t xml:space="preserve"> el alcance y los mecanismos de recolección de información</w:t>
      </w:r>
      <w:r w:rsidR="0005070E">
        <w:rPr>
          <w:rFonts w:ascii="Arial" w:hAnsi="Arial" w:cs="Arial"/>
          <w:szCs w:val="24"/>
          <w:lang w:val="es-ES"/>
        </w:rPr>
        <w:t>,</w:t>
      </w:r>
      <w:r w:rsidRPr="001C59A0">
        <w:rPr>
          <w:rFonts w:ascii="Arial" w:hAnsi="Arial" w:cs="Arial"/>
          <w:szCs w:val="24"/>
          <w:lang w:val="es-ES"/>
        </w:rPr>
        <w:t xml:space="preserve"> y </w:t>
      </w:r>
      <w:r w:rsidRPr="001C59A0">
        <w:rPr>
          <w:rFonts w:ascii="Arial" w:hAnsi="Arial" w:cs="Arial"/>
          <w:bCs/>
          <w:szCs w:val="24"/>
          <w:lang w:val="es-ES"/>
        </w:rPr>
        <w:t>presentando</w:t>
      </w:r>
      <w:r w:rsidRPr="001C59A0">
        <w:rPr>
          <w:rFonts w:ascii="Arial" w:hAnsi="Arial" w:cs="Arial"/>
          <w:szCs w:val="24"/>
          <w:lang w:val="es-ES"/>
        </w:rPr>
        <w:t xml:space="preserve"> los indicadores de resultado e impacto definidos.</w:t>
      </w:r>
    </w:p>
    <w:p w14:paraId="3620CC6C" w14:textId="77777777" w:rsidR="00C419B8" w:rsidRPr="001C59A0" w:rsidRDefault="00C419B8" w:rsidP="00C419B8">
      <w:pPr>
        <w:pStyle w:val="Paragraph"/>
        <w:widowControl w:val="0"/>
        <w:numPr>
          <w:ilvl w:val="0"/>
          <w:numId w:val="3"/>
        </w:numPr>
        <w:tabs>
          <w:tab w:val="left" w:pos="0"/>
        </w:tabs>
        <w:ind w:left="540" w:hanging="540"/>
        <w:rPr>
          <w:rFonts w:ascii="Arial" w:hAnsi="Arial" w:cs="Arial"/>
          <w:b/>
          <w:spacing w:val="-3"/>
          <w:szCs w:val="24"/>
          <w:lang w:val="es-ES"/>
        </w:rPr>
      </w:pPr>
      <w:r w:rsidRPr="001C59A0">
        <w:rPr>
          <w:rFonts w:ascii="Arial" w:hAnsi="Arial" w:cs="Arial"/>
          <w:b/>
          <w:spacing w:val="-3"/>
          <w:szCs w:val="24"/>
          <w:lang w:val="es-ES"/>
        </w:rPr>
        <w:lastRenderedPageBreak/>
        <w:t>Principales preguntas de evaluación.</w:t>
      </w:r>
    </w:p>
    <w:p w14:paraId="58465F67" w14:textId="46585C5F" w:rsidR="00B80D13" w:rsidRPr="00B80D13" w:rsidRDefault="002723E8" w:rsidP="002723E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ha establecido un </w:t>
      </w:r>
      <w:r w:rsidR="00B80D13" w:rsidRPr="00B80D13">
        <w:rPr>
          <w:rFonts w:ascii="Arial" w:hAnsi="Arial" w:cs="Arial"/>
          <w:lang w:val="es-ES_tradnl"/>
        </w:rPr>
        <w:t>marco legal, regulatorio e institucional que permita asegurar la sostenibilidad del sector eléctrico</w:t>
      </w:r>
      <w:r>
        <w:rPr>
          <w:rFonts w:ascii="Arial" w:hAnsi="Arial" w:cs="Arial"/>
          <w:lang w:val="es-ES_tradnl"/>
        </w:rPr>
        <w:t>?</w:t>
      </w:r>
    </w:p>
    <w:p w14:paraId="1EC6D10E" w14:textId="252D02EE" w:rsidR="00B80D13" w:rsidRPr="00B80D13" w:rsidRDefault="002723E8" w:rsidP="002723E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 ha fortalecido la</w:t>
      </w:r>
      <w:r w:rsidR="00B80D13" w:rsidRPr="00B80D13">
        <w:rPr>
          <w:rFonts w:ascii="Arial" w:hAnsi="Arial" w:cs="Arial"/>
          <w:lang w:val="es-ES_tradnl"/>
        </w:rPr>
        <w:t xml:space="preserve"> capacidad institucional </w:t>
      </w:r>
      <w:r>
        <w:rPr>
          <w:rFonts w:ascii="Arial" w:hAnsi="Arial" w:cs="Arial"/>
          <w:lang w:val="es-ES_tradnl"/>
        </w:rPr>
        <w:t>permitiendo</w:t>
      </w:r>
      <w:r w:rsidR="00B80D13" w:rsidRPr="00B80D13">
        <w:rPr>
          <w:rFonts w:ascii="Arial" w:hAnsi="Arial" w:cs="Arial"/>
          <w:lang w:val="es-ES_tradnl"/>
        </w:rPr>
        <w:t xml:space="preserve"> asegurar la </w:t>
      </w:r>
      <w:proofErr w:type="spellStart"/>
      <w:r>
        <w:rPr>
          <w:rFonts w:ascii="Arial" w:hAnsi="Arial" w:cs="Arial"/>
          <w:lang w:val="es-ES_tradnl"/>
        </w:rPr>
        <w:t>la</w:t>
      </w:r>
      <w:proofErr w:type="spellEnd"/>
      <w:r>
        <w:rPr>
          <w:rFonts w:ascii="Arial" w:hAnsi="Arial" w:cs="Arial"/>
          <w:lang w:val="es-ES_tradnl"/>
        </w:rPr>
        <w:t xml:space="preserve"> definición e implementación de nuevas</w:t>
      </w:r>
      <w:r w:rsidR="00B80D13" w:rsidRPr="00B80D13">
        <w:rPr>
          <w:rFonts w:ascii="Arial" w:hAnsi="Arial" w:cs="Arial"/>
          <w:lang w:val="es-ES_tradnl"/>
        </w:rPr>
        <w:t xml:space="preserve"> políticas pú</w:t>
      </w:r>
      <w:r>
        <w:rPr>
          <w:rFonts w:ascii="Arial" w:hAnsi="Arial" w:cs="Arial"/>
          <w:lang w:val="es-ES_tradnl"/>
        </w:rPr>
        <w:t>blicas para el sector eléctrico?</w:t>
      </w:r>
    </w:p>
    <w:p w14:paraId="05901FB3" w14:textId="4CE3B241" w:rsidR="00B80D13" w:rsidRPr="00B80D13" w:rsidRDefault="002723E8" w:rsidP="002723E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 ha mejorado la institucionalidad con el fin</w:t>
      </w:r>
      <w:r w:rsidR="00B80D13" w:rsidRPr="00B80D13">
        <w:rPr>
          <w:rFonts w:ascii="Arial" w:hAnsi="Arial" w:cs="Arial"/>
          <w:lang w:val="es-ES_tradnl"/>
        </w:rPr>
        <w:t xml:space="preserve"> regular las a</w:t>
      </w:r>
      <w:r>
        <w:rPr>
          <w:rFonts w:ascii="Arial" w:hAnsi="Arial" w:cs="Arial"/>
          <w:lang w:val="es-ES_tradnl"/>
        </w:rPr>
        <w:t>ctividades del sector eléctrico?</w:t>
      </w:r>
    </w:p>
    <w:p w14:paraId="051CD5DF" w14:textId="72BA78DF" w:rsidR="00B80D13" w:rsidRPr="00B80D13" w:rsidRDefault="002723E8" w:rsidP="002723E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cuenta con la capacidad y herramientas para la </w:t>
      </w:r>
      <w:r w:rsidR="00B80D13" w:rsidRPr="00B80D13">
        <w:rPr>
          <w:rFonts w:ascii="Arial" w:hAnsi="Arial" w:cs="Arial"/>
          <w:lang w:val="es-ES_tradnl"/>
        </w:rPr>
        <w:t xml:space="preserve">operación y planificación </w:t>
      </w:r>
      <w:r>
        <w:rPr>
          <w:rFonts w:ascii="Arial" w:hAnsi="Arial" w:cs="Arial"/>
          <w:lang w:val="es-ES_tradnl"/>
        </w:rPr>
        <w:t>adecuada del sistema eléctrico nacional?</w:t>
      </w:r>
    </w:p>
    <w:p w14:paraId="09D4401F" w14:textId="20B74F37" w:rsidR="00B80D13" w:rsidRPr="00B80D13" w:rsidRDefault="002723E8" w:rsidP="002723E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¿la reestructuración de la ENEE ha permitido </w:t>
      </w:r>
      <w:r w:rsidR="00B80D13" w:rsidRPr="00B80D13">
        <w:rPr>
          <w:rFonts w:ascii="Arial" w:hAnsi="Arial" w:cs="Arial"/>
          <w:lang w:val="es-ES_tradnl"/>
        </w:rPr>
        <w:t>mejorar el desempeño operativo y financier</w:t>
      </w:r>
      <w:r>
        <w:rPr>
          <w:rFonts w:ascii="Arial" w:hAnsi="Arial" w:cs="Arial"/>
          <w:lang w:val="es-ES_tradnl"/>
        </w:rPr>
        <w:t>o del sector?</w:t>
      </w:r>
    </w:p>
    <w:p w14:paraId="2EACA494" w14:textId="5CE79F1D" w:rsidR="00B80D13" w:rsidRPr="00B80D13" w:rsidRDefault="002723E8" w:rsidP="002723E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promueve </w:t>
      </w:r>
      <w:r w:rsidR="00B80D13" w:rsidRPr="00B80D13">
        <w:rPr>
          <w:rFonts w:ascii="Arial" w:hAnsi="Arial" w:cs="Arial"/>
          <w:lang w:val="es-ES_tradnl"/>
        </w:rPr>
        <w:t>la competencia en el sector eléctrico y fortalecer el mercado de electricidad, mejorando los proc</w:t>
      </w:r>
      <w:r>
        <w:rPr>
          <w:rFonts w:ascii="Arial" w:hAnsi="Arial" w:cs="Arial"/>
          <w:lang w:val="es-ES_tradnl"/>
        </w:rPr>
        <w:t>edimientos de compra de energía?</w:t>
      </w:r>
    </w:p>
    <w:p w14:paraId="1D945CFF" w14:textId="6AF8C35E" w:rsidR="00B80D13" w:rsidRPr="00B80D13" w:rsidRDefault="002723E8" w:rsidP="002723E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cuenta </w:t>
      </w:r>
      <w:r w:rsidR="00B80D13" w:rsidRPr="00B80D13">
        <w:rPr>
          <w:rFonts w:ascii="Arial" w:hAnsi="Arial" w:cs="Arial"/>
          <w:lang w:val="es-ES_tradnl"/>
        </w:rPr>
        <w:t>con un régimen tarifario que permita remunerar adecuadamente a los agentes de la cadena, unas tarifas competitivas al usuario final y focalizar el subsidio directo a usuarios de bajo consumo</w:t>
      </w:r>
      <w:r>
        <w:rPr>
          <w:rFonts w:ascii="Arial" w:hAnsi="Arial" w:cs="Arial"/>
          <w:lang w:val="es-ES_tradnl"/>
        </w:rPr>
        <w:t>?</w:t>
      </w:r>
    </w:p>
    <w:p w14:paraId="7215F84C" w14:textId="50AD1091" w:rsidR="00B80D13" w:rsidRPr="00B80D13" w:rsidRDefault="002723E8" w:rsidP="002723E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 cuenta con</w:t>
      </w:r>
      <w:r w:rsidR="00B80D13" w:rsidRPr="00B80D13">
        <w:rPr>
          <w:rFonts w:ascii="Arial" w:hAnsi="Arial" w:cs="Arial"/>
          <w:lang w:val="es-ES_tradnl"/>
        </w:rPr>
        <w:t xml:space="preserve"> un marco regulatorio que promueva la diversificación de fuentes de energía limpia y la reducción</w:t>
      </w:r>
      <w:r>
        <w:rPr>
          <w:rFonts w:ascii="Arial" w:hAnsi="Arial" w:cs="Arial"/>
          <w:lang w:val="es-ES_tradnl"/>
        </w:rPr>
        <w:t xml:space="preserve"> de costos de generación?</w:t>
      </w:r>
    </w:p>
    <w:p w14:paraId="4FE37332" w14:textId="644CEBF1" w:rsidR="00B80D13" w:rsidRPr="00B80D13" w:rsidRDefault="002723E8" w:rsidP="002723E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 ha creado un</w:t>
      </w:r>
      <w:r w:rsidR="00B80D13" w:rsidRPr="00B80D13">
        <w:rPr>
          <w:rFonts w:ascii="Arial" w:hAnsi="Arial" w:cs="Arial"/>
          <w:lang w:val="es-ES_tradnl"/>
        </w:rPr>
        <w:t xml:space="preserve"> regulatorio y </w:t>
      </w:r>
      <w:r>
        <w:rPr>
          <w:rFonts w:ascii="Arial" w:hAnsi="Arial" w:cs="Arial"/>
          <w:lang w:val="es-ES_tradnl"/>
        </w:rPr>
        <w:t xml:space="preserve">de </w:t>
      </w:r>
      <w:r w:rsidR="00B80D13" w:rsidRPr="00B80D13">
        <w:rPr>
          <w:rFonts w:ascii="Arial" w:hAnsi="Arial" w:cs="Arial"/>
          <w:lang w:val="es-ES_tradnl"/>
        </w:rPr>
        <w:t>políticas que prom</w:t>
      </w:r>
      <w:r>
        <w:rPr>
          <w:rFonts w:ascii="Arial" w:hAnsi="Arial" w:cs="Arial"/>
          <w:lang w:val="es-ES_tradnl"/>
        </w:rPr>
        <w:t>uevan la Eficiencia Energética?</w:t>
      </w:r>
    </w:p>
    <w:p w14:paraId="7721DE0E" w14:textId="7F6C622F" w:rsidR="00671CF3" w:rsidRPr="002723E8" w:rsidRDefault="002723E8" w:rsidP="00C24194">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sidRPr="002723E8">
        <w:rPr>
          <w:rFonts w:ascii="Arial" w:hAnsi="Arial" w:cs="Arial"/>
          <w:lang w:val="es-ES_tradnl"/>
        </w:rPr>
        <w:t>¿Se cuenta con un</w:t>
      </w:r>
      <w:r w:rsidR="00B80D13" w:rsidRPr="002723E8">
        <w:rPr>
          <w:rFonts w:ascii="Arial" w:hAnsi="Arial" w:cs="Arial"/>
          <w:lang w:val="es-ES_tradnl"/>
        </w:rPr>
        <w:t xml:space="preserve"> marco regulatorio </w:t>
      </w:r>
      <w:r w:rsidRPr="002723E8">
        <w:rPr>
          <w:rFonts w:ascii="Arial" w:hAnsi="Arial" w:cs="Arial"/>
          <w:lang w:val="es-ES_tradnl"/>
        </w:rPr>
        <w:t>que fomente y facilite los intercambios con el Mercado Eléctrico Regional?</w:t>
      </w:r>
      <w:r w:rsidR="00A46B68" w:rsidRPr="002723E8" w:rsidDel="00A46B68">
        <w:rPr>
          <w:rFonts w:ascii="Arial" w:hAnsi="Arial" w:cs="Arial"/>
          <w:lang w:val="es-ES_tradnl"/>
        </w:rPr>
        <w:t xml:space="preserve"> </w:t>
      </w:r>
    </w:p>
    <w:p w14:paraId="4BC67109" w14:textId="719A9033" w:rsidR="00C419B8" w:rsidRPr="001C59A0" w:rsidRDefault="0092689F" w:rsidP="0092689F">
      <w:pPr>
        <w:pStyle w:val="Paragraph"/>
        <w:widowControl w:val="0"/>
        <w:numPr>
          <w:ilvl w:val="0"/>
          <w:numId w:val="3"/>
        </w:numPr>
        <w:tabs>
          <w:tab w:val="left" w:pos="0"/>
        </w:tabs>
        <w:ind w:left="540" w:hanging="540"/>
        <w:rPr>
          <w:rFonts w:ascii="Arial" w:hAnsi="Arial" w:cs="Arial"/>
          <w:szCs w:val="24"/>
          <w:lang w:val="es-BO"/>
        </w:rPr>
      </w:pPr>
      <w:r w:rsidRPr="001C59A0">
        <w:rPr>
          <w:rFonts w:ascii="Arial" w:hAnsi="Arial" w:cs="Arial"/>
          <w:b/>
          <w:szCs w:val="24"/>
          <w:lang w:val="es-BO"/>
        </w:rPr>
        <w:t xml:space="preserve"> </w:t>
      </w:r>
      <w:r w:rsidR="00C419B8" w:rsidRPr="001C59A0">
        <w:rPr>
          <w:rFonts w:ascii="Arial" w:hAnsi="Arial" w:cs="Arial"/>
          <w:b/>
          <w:szCs w:val="24"/>
          <w:lang w:val="es-BO"/>
        </w:rPr>
        <w:t>Conocimiento existente.</w:t>
      </w:r>
      <w:r w:rsidR="00C419B8" w:rsidRPr="001C59A0">
        <w:rPr>
          <w:rFonts w:ascii="Arial" w:hAnsi="Arial" w:cs="Arial"/>
          <w:szCs w:val="24"/>
          <w:lang w:val="es-BO"/>
        </w:rPr>
        <w:t xml:space="preserve"> </w:t>
      </w:r>
    </w:p>
    <w:p w14:paraId="59EFCBCE" w14:textId="45245996" w:rsidR="00B035D2" w:rsidRPr="00B035D2" w:rsidRDefault="00B035D2" w:rsidP="00B035D2">
      <w:pPr>
        <w:pStyle w:val="ListParagraph"/>
        <w:numPr>
          <w:ilvl w:val="1"/>
          <w:numId w:val="4"/>
        </w:numPr>
        <w:spacing w:before="120" w:after="120"/>
        <w:ind w:left="540" w:hanging="540"/>
        <w:contextualSpacing w:val="0"/>
        <w:jc w:val="both"/>
        <w:rPr>
          <w:rFonts w:ascii="Arial" w:hAnsi="Arial" w:cs="Arial"/>
          <w:lang w:val="es-CO"/>
        </w:rPr>
      </w:pPr>
      <w:r w:rsidRPr="00B035D2">
        <w:rPr>
          <w:rFonts w:ascii="Arial" w:hAnsi="Arial" w:cs="Arial"/>
          <w:lang w:val="es-CO"/>
        </w:rPr>
        <w:t xml:space="preserve">Se realizó una evaluación económica de análisis costo beneficio ex ante.  La aproximación a la evaluación económica del programa consiste en hacer la estimación de beneficios y costos económicos de los resultados identificables y cuantificables asociados con las medidas de política que se contemplan en el programa. Los principales beneficios esperados se derivan de la reducción de pérdidas y de la diversificación de la matriz de generación. A </w:t>
      </w:r>
      <w:r w:rsidR="00500DD7" w:rsidRPr="00B035D2">
        <w:rPr>
          <w:rFonts w:ascii="Arial" w:hAnsi="Arial" w:cs="Arial"/>
          <w:lang w:val="es-CO"/>
        </w:rPr>
        <w:t>continuación,</w:t>
      </w:r>
      <w:r w:rsidRPr="00B035D2">
        <w:rPr>
          <w:rFonts w:ascii="Arial" w:hAnsi="Arial" w:cs="Arial"/>
          <w:lang w:val="es-CO"/>
        </w:rPr>
        <w:t xml:space="preserve"> se presenta su descripción:</w:t>
      </w:r>
    </w:p>
    <w:p w14:paraId="5F6A7B92" w14:textId="77777777" w:rsidR="00B035D2" w:rsidRPr="00B035D2" w:rsidRDefault="00B035D2" w:rsidP="00B035D2">
      <w:pPr>
        <w:pStyle w:val="ListParagraph"/>
        <w:numPr>
          <w:ilvl w:val="1"/>
          <w:numId w:val="4"/>
        </w:numPr>
        <w:spacing w:before="120" w:after="120"/>
        <w:ind w:left="540" w:hanging="540"/>
        <w:contextualSpacing w:val="0"/>
        <w:jc w:val="both"/>
        <w:rPr>
          <w:rFonts w:ascii="Arial" w:hAnsi="Arial" w:cs="Arial"/>
          <w:lang w:val="es-CO"/>
        </w:rPr>
      </w:pPr>
      <w:r w:rsidRPr="00B035D2">
        <w:rPr>
          <w:rFonts w:ascii="Arial" w:hAnsi="Arial" w:cs="Arial"/>
          <w:b/>
          <w:lang w:val="es-CO"/>
        </w:rPr>
        <w:t>Reducción de pérdidas.</w:t>
      </w:r>
      <w:r w:rsidRPr="00B035D2">
        <w:rPr>
          <w:rFonts w:ascii="Arial" w:hAnsi="Arial" w:cs="Arial"/>
          <w:lang w:val="es-CO"/>
        </w:rPr>
        <w:t xml:space="preserve"> La evaluación considera las inversiones anuales requeridas para financiar los programas de reducción de pérdidas en el marco de reformas del sector, para reducirlas del 32% a un nivel de pérdidas eficientes del orden del 14%, con una disminución promedio anual del 3%. El resultado de la evaluación muestra una Tasa Interna de Retorno Económico (TIRE) negativa, mientras que una Tasa Interna de Retorno Financiera del 70%, lo cual indica que esta medida representa un impacto muy positivo para la sostenibilidad financiera de la ENEE y del sector.</w:t>
      </w:r>
    </w:p>
    <w:p w14:paraId="131372CC" w14:textId="497C4AD7" w:rsidR="00B035D2" w:rsidRPr="00B035D2" w:rsidRDefault="00B035D2" w:rsidP="00B035D2">
      <w:pPr>
        <w:pStyle w:val="ListParagraph"/>
        <w:numPr>
          <w:ilvl w:val="1"/>
          <w:numId w:val="4"/>
        </w:numPr>
        <w:spacing w:before="120" w:after="120"/>
        <w:ind w:left="540" w:hanging="540"/>
        <w:contextualSpacing w:val="0"/>
        <w:jc w:val="both"/>
        <w:rPr>
          <w:rFonts w:ascii="Arial" w:hAnsi="Arial" w:cs="Arial"/>
          <w:lang w:val="es-CO"/>
        </w:rPr>
      </w:pPr>
      <w:r w:rsidRPr="00B035D2">
        <w:rPr>
          <w:rFonts w:ascii="Arial" w:hAnsi="Arial" w:cs="Arial"/>
          <w:b/>
          <w:lang w:val="es-CO"/>
        </w:rPr>
        <w:t>Focalización de subsidios</w:t>
      </w:r>
      <w:r w:rsidRPr="00B035D2">
        <w:rPr>
          <w:rFonts w:ascii="Arial" w:hAnsi="Arial" w:cs="Arial"/>
          <w:lang w:val="es-CO"/>
        </w:rPr>
        <w:t xml:space="preserve">. El análisis considera </w:t>
      </w:r>
      <w:r w:rsidR="000E4378" w:rsidRPr="00B035D2">
        <w:rPr>
          <w:rFonts w:ascii="Arial" w:hAnsi="Arial" w:cs="Arial"/>
          <w:lang w:val="es-CO"/>
        </w:rPr>
        <w:t>que,</w:t>
      </w:r>
      <w:r w:rsidRPr="00B035D2">
        <w:rPr>
          <w:rFonts w:ascii="Arial" w:hAnsi="Arial" w:cs="Arial"/>
          <w:lang w:val="es-CO"/>
        </w:rPr>
        <w:t xml:space="preserve"> a través de las medidas, los subsidios sean otorgados focalizando a la población de menor ingreso y que para aquellos usuarios con capacidad de pago, la tarifa de </w:t>
      </w:r>
      <w:r w:rsidRPr="00B035D2">
        <w:rPr>
          <w:rFonts w:ascii="Arial" w:hAnsi="Arial" w:cs="Arial"/>
          <w:lang w:val="es-CO"/>
        </w:rPr>
        <w:lastRenderedPageBreak/>
        <w:t xml:space="preserve">energía eléctrica refleje los costos del servicio. Los beneficios económicos corresponden a los asociados a la reducción del consumo de energía de este último grupo de usuarios, en respuesta al incremento en su tarifa. Dado que los costos de implementación de esta metodología son muy bajos se obtiene una TIRE indeterminada. Por lo </w:t>
      </w:r>
      <w:proofErr w:type="gramStart"/>
      <w:r w:rsidRPr="00B035D2">
        <w:rPr>
          <w:rFonts w:ascii="Arial" w:hAnsi="Arial" w:cs="Arial"/>
          <w:lang w:val="es-CO"/>
        </w:rPr>
        <w:t>tanto</w:t>
      </w:r>
      <w:proofErr w:type="gramEnd"/>
      <w:r w:rsidRPr="00B035D2">
        <w:rPr>
          <w:rFonts w:ascii="Arial" w:hAnsi="Arial" w:cs="Arial"/>
          <w:lang w:val="es-CO"/>
        </w:rPr>
        <w:t xml:space="preserve"> se considera el Valor Presente Neto de los beneficios económicos estimado en US$77 millones.</w:t>
      </w:r>
    </w:p>
    <w:p w14:paraId="6C27BF05" w14:textId="77777777" w:rsidR="00B035D2" w:rsidRPr="00B035D2" w:rsidRDefault="00B035D2" w:rsidP="00B035D2">
      <w:pPr>
        <w:pStyle w:val="ListParagraph"/>
        <w:numPr>
          <w:ilvl w:val="1"/>
          <w:numId w:val="4"/>
        </w:numPr>
        <w:spacing w:before="120" w:after="120"/>
        <w:ind w:left="540" w:hanging="540"/>
        <w:contextualSpacing w:val="0"/>
        <w:jc w:val="both"/>
        <w:rPr>
          <w:rFonts w:ascii="Arial" w:hAnsi="Arial" w:cs="Arial"/>
          <w:lang w:val="es-CO"/>
        </w:rPr>
      </w:pPr>
      <w:r w:rsidRPr="00B035D2">
        <w:rPr>
          <w:rFonts w:ascii="Arial" w:hAnsi="Arial" w:cs="Arial"/>
          <w:b/>
          <w:lang w:val="es-CO"/>
        </w:rPr>
        <w:t>Diversificación de la matriz de generación.</w:t>
      </w:r>
      <w:r w:rsidRPr="00B035D2">
        <w:rPr>
          <w:rFonts w:ascii="Arial" w:hAnsi="Arial" w:cs="Arial"/>
          <w:lang w:val="es-CO"/>
        </w:rPr>
        <w:t xml:space="preserve"> Como resultado de las medidas se espera el incremento en la participación de las energías renovables en la producción de energía </w:t>
      </w:r>
      <w:proofErr w:type="gramStart"/>
      <w:r w:rsidRPr="00B035D2">
        <w:rPr>
          <w:rFonts w:ascii="Arial" w:hAnsi="Arial" w:cs="Arial"/>
          <w:lang w:val="es-CO"/>
        </w:rPr>
        <w:t>y</w:t>
      </w:r>
      <w:proofErr w:type="gramEnd"/>
      <w:r w:rsidRPr="00B035D2">
        <w:rPr>
          <w:rFonts w:ascii="Arial" w:hAnsi="Arial" w:cs="Arial"/>
          <w:lang w:val="es-CO"/>
        </w:rPr>
        <w:t xml:space="preserve"> por ende, reducción del costo de generación dada la sustitución de generación de energía térmica. El análisis considera las inversiones de los sectores público y privado y la formación de precios a partir de procesos competitivos. El resultado muestra una TIRE del 17%.</w:t>
      </w:r>
    </w:p>
    <w:p w14:paraId="04E2D93C" w14:textId="77777777" w:rsidR="00C419B8" w:rsidRPr="001C59A0" w:rsidRDefault="00C419B8"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BO"/>
        </w:rPr>
      </w:pPr>
      <w:r w:rsidRPr="001C59A0">
        <w:rPr>
          <w:rFonts w:ascii="Arial" w:hAnsi="Arial" w:cs="Arial"/>
          <w:b/>
          <w:szCs w:val="24"/>
          <w:lang w:val="es-ES"/>
        </w:rPr>
        <w:t>Indicadores</w:t>
      </w:r>
      <w:r w:rsidRPr="001C59A0">
        <w:rPr>
          <w:rFonts w:ascii="Arial" w:hAnsi="Arial" w:cs="Arial"/>
          <w:b/>
          <w:szCs w:val="24"/>
          <w:lang w:val="es-BO"/>
        </w:rPr>
        <w:t xml:space="preserve"> principales para la evaluación.</w:t>
      </w:r>
      <w:r w:rsidRPr="001C59A0">
        <w:rPr>
          <w:rFonts w:ascii="Arial" w:hAnsi="Arial" w:cs="Arial"/>
          <w:szCs w:val="24"/>
          <w:lang w:val="es-BO"/>
        </w:rPr>
        <w:t xml:space="preserve"> </w:t>
      </w:r>
    </w:p>
    <w:p w14:paraId="3B182260" w14:textId="77777777" w:rsidR="00E30072" w:rsidRDefault="00C419B8" w:rsidP="00C419B8">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C59A0">
        <w:rPr>
          <w:rFonts w:ascii="Arial" w:hAnsi="Arial" w:cs="Arial"/>
          <w:szCs w:val="24"/>
          <w:lang w:val="es-ES"/>
        </w:rPr>
        <w:t>Los indicadores principales considerados para la evaluación del programa son:</w:t>
      </w:r>
    </w:p>
    <w:p w14:paraId="0DB483E1" w14:textId="252E3BD1" w:rsidR="00C419B8" w:rsidRDefault="00F1122D" w:rsidP="00F1122D">
      <w:pPr>
        <w:pStyle w:val="NoSpacing"/>
        <w:jc w:val="center"/>
        <w:rPr>
          <w:lang w:val="es-ES"/>
        </w:rPr>
      </w:pPr>
      <w:r>
        <w:rPr>
          <w:b/>
          <w:smallCaps/>
          <w:sz w:val="20"/>
          <w:szCs w:val="20"/>
          <w:lang w:val="es-BO"/>
        </w:rPr>
        <w:t>RESULTADOS ESPERADOS</w:t>
      </w:r>
      <w:r w:rsidR="00E30072" w:rsidRPr="00940452" w:rsidDel="00E30072">
        <w:rPr>
          <w:highlight w:val="yellow"/>
          <w:lang w:val="es-ES"/>
        </w:rPr>
        <w:t xml:space="preserve"> </w:t>
      </w:r>
    </w:p>
    <w:p w14:paraId="79B98615" w14:textId="77777777" w:rsidR="006E0CEB" w:rsidRPr="001C59A0" w:rsidRDefault="006E0CEB" w:rsidP="00F1122D">
      <w:pPr>
        <w:pStyle w:val="NoSpacing"/>
        <w:jc w:val="center"/>
        <w:rPr>
          <w:lang w:val="es-ES"/>
        </w:rPr>
      </w:pPr>
    </w:p>
    <w:tbl>
      <w:tblPr>
        <w:tblW w:w="47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942"/>
        <w:gridCol w:w="942"/>
        <w:gridCol w:w="762"/>
        <w:gridCol w:w="756"/>
        <w:gridCol w:w="1993"/>
      </w:tblGrid>
      <w:tr w:rsidR="00302DE6" w:rsidRPr="00EC7614" w14:paraId="5E102BC3" w14:textId="77777777" w:rsidTr="00302DE6">
        <w:trPr>
          <w:cantSplit/>
          <w:trHeight w:val="346"/>
          <w:jc w:val="center"/>
        </w:trPr>
        <w:tc>
          <w:tcPr>
            <w:tcW w:w="1857" w:type="dxa"/>
            <w:vMerge w:val="restart"/>
            <w:shd w:val="clear" w:color="auto" w:fill="D9D9D9" w:themeFill="background1" w:themeFillShade="D9"/>
            <w:vAlign w:val="center"/>
          </w:tcPr>
          <w:p w14:paraId="65749F94" w14:textId="77777777" w:rsidR="00302DE6" w:rsidRPr="00EC7614" w:rsidRDefault="00302DE6" w:rsidP="00084B37">
            <w:pPr>
              <w:pStyle w:val="Header"/>
              <w:spacing w:beforeLines="40" w:before="96" w:afterLines="40" w:after="96"/>
              <w:jc w:val="center"/>
              <w:rPr>
                <w:rFonts w:ascii="Arial" w:hAnsi="Arial" w:cs="Arial"/>
                <w:b/>
                <w:sz w:val="18"/>
                <w:szCs w:val="18"/>
                <w:lang w:val="es-ES_tradnl"/>
              </w:rPr>
            </w:pPr>
            <w:r w:rsidRPr="00EC7614">
              <w:rPr>
                <w:rFonts w:ascii="Arial" w:hAnsi="Arial" w:cs="Arial"/>
                <w:b/>
                <w:sz w:val="18"/>
                <w:szCs w:val="18"/>
                <w:lang w:val="es-ES_tradnl"/>
              </w:rPr>
              <w:t>Impacto</w:t>
            </w:r>
          </w:p>
        </w:tc>
        <w:tc>
          <w:tcPr>
            <w:tcW w:w="1942" w:type="dxa"/>
            <w:vMerge w:val="restart"/>
            <w:shd w:val="clear" w:color="auto" w:fill="D9D9D9" w:themeFill="background1" w:themeFillShade="D9"/>
            <w:vAlign w:val="center"/>
          </w:tcPr>
          <w:p w14:paraId="461AD000" w14:textId="77777777" w:rsidR="00302DE6" w:rsidRPr="00EC7614" w:rsidRDefault="00302DE6" w:rsidP="00084B37">
            <w:pPr>
              <w:pStyle w:val="ListParagraph"/>
              <w:ind w:left="156"/>
              <w:jc w:val="center"/>
              <w:rPr>
                <w:rFonts w:ascii="Arial" w:hAnsi="Arial" w:cs="Arial"/>
                <w:b/>
                <w:sz w:val="18"/>
                <w:szCs w:val="18"/>
                <w:lang w:val="es-ES_tradnl"/>
              </w:rPr>
            </w:pPr>
            <w:r w:rsidRPr="00EC7614">
              <w:rPr>
                <w:rFonts w:ascii="Arial" w:hAnsi="Arial" w:cs="Arial"/>
                <w:b/>
                <w:sz w:val="18"/>
                <w:szCs w:val="18"/>
                <w:lang w:val="es-ES_tradnl"/>
              </w:rPr>
              <w:t>Indicador</w:t>
            </w:r>
          </w:p>
        </w:tc>
        <w:tc>
          <w:tcPr>
            <w:tcW w:w="942" w:type="dxa"/>
            <w:vMerge w:val="restart"/>
            <w:shd w:val="clear" w:color="auto" w:fill="D9D9D9" w:themeFill="background1" w:themeFillShade="D9"/>
            <w:vAlign w:val="center"/>
          </w:tcPr>
          <w:p w14:paraId="0DAA64AC" w14:textId="77777777" w:rsidR="00302DE6" w:rsidRPr="00EC7614" w:rsidRDefault="00302DE6" w:rsidP="00084B37">
            <w:pPr>
              <w:pStyle w:val="ListParagraph"/>
              <w:spacing w:line="276" w:lineRule="auto"/>
              <w:ind w:left="156"/>
              <w:jc w:val="center"/>
              <w:rPr>
                <w:rFonts w:ascii="Arial" w:hAnsi="Arial" w:cs="Arial"/>
                <w:b/>
                <w:sz w:val="18"/>
                <w:szCs w:val="18"/>
                <w:lang w:val="es-ES_tradnl"/>
              </w:rPr>
            </w:pPr>
            <w:r w:rsidRPr="00EC7614">
              <w:rPr>
                <w:rFonts w:ascii="Arial" w:hAnsi="Arial" w:cs="Arial"/>
                <w:b/>
                <w:sz w:val="18"/>
                <w:szCs w:val="18"/>
                <w:lang w:val="es-ES_tradnl"/>
              </w:rPr>
              <w:t>Base</w:t>
            </w:r>
          </w:p>
          <w:p w14:paraId="5CE4D7B3" w14:textId="77777777" w:rsidR="00302DE6" w:rsidRPr="00EC7614" w:rsidRDefault="00302DE6" w:rsidP="00084B37">
            <w:pPr>
              <w:pStyle w:val="ListParagraph"/>
              <w:spacing w:line="276" w:lineRule="auto"/>
              <w:ind w:left="156"/>
              <w:jc w:val="center"/>
              <w:rPr>
                <w:rFonts w:ascii="Arial" w:hAnsi="Arial" w:cs="Arial"/>
                <w:b/>
                <w:sz w:val="18"/>
                <w:szCs w:val="18"/>
                <w:lang w:val="es-ES_tradnl"/>
              </w:rPr>
            </w:pPr>
            <w:r>
              <w:rPr>
                <w:rFonts w:ascii="Arial" w:hAnsi="Arial" w:cs="Arial"/>
                <w:b/>
                <w:sz w:val="18"/>
                <w:szCs w:val="18"/>
                <w:lang w:val="es-ES_tradnl"/>
              </w:rPr>
              <w:t>2016</w:t>
            </w:r>
          </w:p>
        </w:tc>
        <w:tc>
          <w:tcPr>
            <w:tcW w:w="1518" w:type="dxa"/>
            <w:gridSpan w:val="2"/>
            <w:shd w:val="clear" w:color="auto" w:fill="D9D9D9" w:themeFill="background1" w:themeFillShade="D9"/>
          </w:tcPr>
          <w:p w14:paraId="5233D73A"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r w:rsidRPr="00EC7614">
              <w:rPr>
                <w:rFonts w:ascii="Arial" w:hAnsi="Arial" w:cs="Arial"/>
                <w:b/>
                <w:sz w:val="18"/>
                <w:szCs w:val="18"/>
                <w:lang w:val="es-ES_tradnl"/>
              </w:rPr>
              <w:t>Meta</w:t>
            </w:r>
          </w:p>
        </w:tc>
        <w:tc>
          <w:tcPr>
            <w:tcW w:w="1993" w:type="dxa"/>
            <w:vMerge w:val="restart"/>
            <w:shd w:val="clear" w:color="auto" w:fill="D9D9D9" w:themeFill="background1" w:themeFillShade="D9"/>
            <w:vAlign w:val="center"/>
          </w:tcPr>
          <w:p w14:paraId="29D4A6CF"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r w:rsidRPr="00EC7614">
              <w:rPr>
                <w:rFonts w:ascii="Arial" w:hAnsi="Arial" w:cs="Arial"/>
                <w:b/>
                <w:sz w:val="18"/>
                <w:szCs w:val="18"/>
                <w:lang w:val="es-ES_tradnl"/>
              </w:rPr>
              <w:t>Medios de verificación</w:t>
            </w:r>
          </w:p>
        </w:tc>
      </w:tr>
      <w:tr w:rsidR="00302DE6" w:rsidRPr="00EC7614" w14:paraId="321F7989" w14:textId="77777777" w:rsidTr="00302DE6">
        <w:trPr>
          <w:cantSplit/>
          <w:trHeight w:val="358"/>
          <w:jc w:val="center"/>
        </w:trPr>
        <w:tc>
          <w:tcPr>
            <w:tcW w:w="1857" w:type="dxa"/>
            <w:vMerge/>
            <w:shd w:val="clear" w:color="auto" w:fill="D9D9D9" w:themeFill="background1" w:themeFillShade="D9"/>
          </w:tcPr>
          <w:p w14:paraId="2D6BCC81" w14:textId="77777777" w:rsidR="00302DE6" w:rsidRPr="00EC7614" w:rsidRDefault="00302DE6" w:rsidP="00084B37">
            <w:pPr>
              <w:pStyle w:val="Header"/>
              <w:spacing w:beforeLines="40" w:before="96" w:afterLines="40" w:after="96"/>
              <w:jc w:val="both"/>
              <w:rPr>
                <w:rFonts w:ascii="Arial" w:hAnsi="Arial" w:cs="Arial"/>
                <w:sz w:val="18"/>
                <w:szCs w:val="18"/>
                <w:lang w:val="es-ES_tradnl"/>
              </w:rPr>
            </w:pPr>
          </w:p>
        </w:tc>
        <w:tc>
          <w:tcPr>
            <w:tcW w:w="1942" w:type="dxa"/>
            <w:vMerge/>
            <w:shd w:val="clear" w:color="auto" w:fill="D9D9D9" w:themeFill="background1" w:themeFillShade="D9"/>
            <w:vAlign w:val="center"/>
          </w:tcPr>
          <w:p w14:paraId="1B914396" w14:textId="77777777" w:rsidR="00302DE6" w:rsidRPr="00EC7614" w:rsidRDefault="00302DE6" w:rsidP="00084B37">
            <w:pPr>
              <w:pStyle w:val="ListParagraph"/>
              <w:spacing w:line="276" w:lineRule="auto"/>
              <w:ind w:left="156"/>
              <w:jc w:val="both"/>
              <w:rPr>
                <w:rFonts w:ascii="Arial" w:hAnsi="Arial" w:cs="Arial"/>
                <w:sz w:val="18"/>
                <w:szCs w:val="18"/>
                <w:lang w:val="es-ES_tradnl"/>
              </w:rPr>
            </w:pPr>
          </w:p>
        </w:tc>
        <w:tc>
          <w:tcPr>
            <w:tcW w:w="942" w:type="dxa"/>
            <w:vMerge/>
            <w:shd w:val="clear" w:color="auto" w:fill="D9D9D9" w:themeFill="background1" w:themeFillShade="D9"/>
          </w:tcPr>
          <w:p w14:paraId="2EDA995A" w14:textId="77777777" w:rsidR="00302DE6" w:rsidRPr="00EC7614" w:rsidRDefault="00302DE6" w:rsidP="00084B37">
            <w:pPr>
              <w:pStyle w:val="BodyText"/>
              <w:spacing w:beforeLines="40" w:before="96" w:afterLines="40" w:after="96"/>
              <w:jc w:val="both"/>
              <w:rPr>
                <w:rFonts w:ascii="Arial" w:hAnsi="Arial" w:cs="Arial"/>
                <w:b/>
                <w:sz w:val="18"/>
                <w:szCs w:val="18"/>
                <w:lang w:val="es-ES_tradnl"/>
              </w:rPr>
            </w:pPr>
          </w:p>
        </w:tc>
        <w:tc>
          <w:tcPr>
            <w:tcW w:w="762" w:type="dxa"/>
            <w:shd w:val="clear" w:color="auto" w:fill="D9D9D9" w:themeFill="background1" w:themeFillShade="D9"/>
            <w:vAlign w:val="center"/>
          </w:tcPr>
          <w:p w14:paraId="1339CC98"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r>
              <w:rPr>
                <w:rFonts w:ascii="Arial" w:hAnsi="Arial" w:cs="Arial"/>
                <w:b/>
                <w:sz w:val="18"/>
                <w:szCs w:val="18"/>
                <w:lang w:val="es-ES_tradnl"/>
              </w:rPr>
              <w:t>2018</w:t>
            </w:r>
          </w:p>
        </w:tc>
        <w:tc>
          <w:tcPr>
            <w:tcW w:w="756" w:type="dxa"/>
            <w:shd w:val="clear" w:color="auto" w:fill="D9D9D9" w:themeFill="background1" w:themeFillShade="D9"/>
          </w:tcPr>
          <w:p w14:paraId="2B6A8DDB"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r>
              <w:rPr>
                <w:rFonts w:ascii="Arial" w:hAnsi="Arial" w:cs="Arial"/>
                <w:b/>
                <w:sz w:val="18"/>
                <w:szCs w:val="18"/>
                <w:lang w:val="es-ES_tradnl"/>
              </w:rPr>
              <w:t>2020</w:t>
            </w:r>
          </w:p>
        </w:tc>
        <w:tc>
          <w:tcPr>
            <w:tcW w:w="1993" w:type="dxa"/>
            <w:vMerge/>
            <w:vAlign w:val="center"/>
          </w:tcPr>
          <w:p w14:paraId="31D0CB99" w14:textId="77777777" w:rsidR="00302DE6" w:rsidRPr="00EC7614" w:rsidRDefault="00302DE6" w:rsidP="00084B37">
            <w:pPr>
              <w:pStyle w:val="BodyText"/>
              <w:spacing w:beforeLines="40" w:before="96" w:afterLines="40" w:after="96"/>
              <w:jc w:val="both"/>
              <w:rPr>
                <w:rFonts w:ascii="Arial" w:hAnsi="Arial" w:cs="Arial"/>
                <w:sz w:val="18"/>
                <w:szCs w:val="18"/>
                <w:lang w:val="es-ES_tradnl"/>
              </w:rPr>
            </w:pPr>
          </w:p>
        </w:tc>
      </w:tr>
      <w:tr w:rsidR="00302DE6" w:rsidRPr="00EC7614" w14:paraId="4B1A3103" w14:textId="77777777" w:rsidTr="00302DE6">
        <w:trPr>
          <w:cantSplit/>
          <w:trHeight w:val="548"/>
          <w:jc w:val="center"/>
        </w:trPr>
        <w:tc>
          <w:tcPr>
            <w:tcW w:w="1857" w:type="dxa"/>
            <w:vAlign w:val="center"/>
          </w:tcPr>
          <w:p w14:paraId="7C864526" w14:textId="77777777" w:rsidR="00302DE6" w:rsidRPr="00302DE6" w:rsidRDefault="00302DE6" w:rsidP="00084B37">
            <w:pPr>
              <w:pStyle w:val="Header"/>
              <w:jc w:val="both"/>
              <w:rPr>
                <w:rFonts w:ascii="Arial" w:hAnsi="Arial" w:cs="Arial"/>
                <w:sz w:val="18"/>
                <w:szCs w:val="18"/>
                <w:lang w:val="es-ES_tradnl"/>
              </w:rPr>
            </w:pPr>
            <w:r w:rsidRPr="00302DE6">
              <w:rPr>
                <w:rFonts w:ascii="Arial" w:hAnsi="Arial" w:cs="Arial"/>
                <w:sz w:val="18"/>
                <w:szCs w:val="18"/>
                <w:lang w:val="es-ES_tradnl"/>
              </w:rPr>
              <w:t>Mejora de la sostenibilidad financiera del sector</w:t>
            </w:r>
            <w:r w:rsidRPr="00EC7614">
              <w:rPr>
                <w:rStyle w:val="FootnoteReference"/>
                <w:rFonts w:ascii="Arial" w:eastAsiaTheme="majorEastAsia" w:hAnsi="Arial" w:cs="Arial"/>
                <w:sz w:val="18"/>
                <w:szCs w:val="18"/>
              </w:rPr>
              <w:footnoteReference w:id="2"/>
            </w:r>
            <w:r w:rsidRPr="00302DE6">
              <w:rPr>
                <w:rFonts w:ascii="Arial" w:hAnsi="Arial" w:cs="Arial"/>
                <w:sz w:val="18"/>
                <w:szCs w:val="18"/>
                <w:lang w:val="es-ES_tradnl"/>
              </w:rPr>
              <w:t>.</w:t>
            </w:r>
          </w:p>
        </w:tc>
        <w:tc>
          <w:tcPr>
            <w:tcW w:w="1942" w:type="dxa"/>
            <w:vAlign w:val="center"/>
          </w:tcPr>
          <w:p w14:paraId="4617AE7A" w14:textId="77777777" w:rsidR="00302DE6" w:rsidRPr="00EC7614" w:rsidRDefault="00302DE6" w:rsidP="00084B37">
            <w:pPr>
              <w:autoSpaceDE w:val="0"/>
              <w:autoSpaceDN w:val="0"/>
              <w:jc w:val="both"/>
              <w:rPr>
                <w:rFonts w:ascii="Arial" w:eastAsiaTheme="minorHAnsi" w:hAnsi="Arial" w:cs="Arial"/>
                <w:sz w:val="18"/>
                <w:szCs w:val="18"/>
                <w:lang w:val="es-BO"/>
              </w:rPr>
            </w:pPr>
            <w:r w:rsidRPr="00EC7614">
              <w:rPr>
                <w:rFonts w:ascii="Arial" w:hAnsi="Arial" w:cs="Arial"/>
                <w:sz w:val="18"/>
                <w:szCs w:val="18"/>
                <w:lang w:val="es-BO"/>
              </w:rPr>
              <w:t>Contribución de la ENEE al Déficit Consolidado del Sector Público / PIB (%).</w:t>
            </w:r>
          </w:p>
        </w:tc>
        <w:tc>
          <w:tcPr>
            <w:tcW w:w="942" w:type="dxa"/>
            <w:vAlign w:val="center"/>
          </w:tcPr>
          <w:p w14:paraId="158D58E9" w14:textId="77777777" w:rsidR="00302DE6" w:rsidRPr="00EC7614" w:rsidRDefault="00302DE6" w:rsidP="00084B37">
            <w:pPr>
              <w:autoSpaceDE w:val="0"/>
              <w:autoSpaceDN w:val="0"/>
              <w:adjustRightInd w:val="0"/>
              <w:jc w:val="center"/>
              <w:rPr>
                <w:rFonts w:ascii="Arial" w:hAnsi="Arial" w:cs="Arial"/>
                <w:sz w:val="18"/>
                <w:szCs w:val="18"/>
                <w:lang w:val="es-ES_tradnl"/>
              </w:rPr>
            </w:pPr>
            <w:r w:rsidRPr="00EC7614">
              <w:rPr>
                <w:rFonts w:ascii="Arial" w:hAnsi="Arial" w:cs="Arial"/>
                <w:sz w:val="18"/>
                <w:szCs w:val="18"/>
                <w:lang w:val="es-ES_tradnl"/>
              </w:rPr>
              <w:t>0,7%</w:t>
            </w:r>
          </w:p>
        </w:tc>
        <w:tc>
          <w:tcPr>
            <w:tcW w:w="762" w:type="dxa"/>
            <w:vAlign w:val="center"/>
          </w:tcPr>
          <w:p w14:paraId="6A98AD45" w14:textId="77777777" w:rsidR="00302DE6" w:rsidRPr="00EC7614" w:rsidRDefault="00302DE6" w:rsidP="00084B37">
            <w:pPr>
              <w:pStyle w:val="BodyText"/>
              <w:jc w:val="center"/>
              <w:rPr>
                <w:rFonts w:ascii="Arial" w:hAnsi="Arial" w:cs="Arial"/>
                <w:sz w:val="18"/>
                <w:szCs w:val="18"/>
                <w:lang w:val="es-ES_tradnl"/>
              </w:rPr>
            </w:pPr>
            <w:r w:rsidRPr="00EC7614">
              <w:rPr>
                <w:rFonts w:ascii="Arial" w:hAnsi="Arial" w:cs="Arial"/>
                <w:sz w:val="18"/>
                <w:szCs w:val="18"/>
                <w:lang w:val="es-ES_tradnl"/>
              </w:rPr>
              <w:t>0,3%</w:t>
            </w:r>
          </w:p>
        </w:tc>
        <w:tc>
          <w:tcPr>
            <w:tcW w:w="756" w:type="dxa"/>
            <w:vAlign w:val="center"/>
          </w:tcPr>
          <w:p w14:paraId="7E3C2CF8" w14:textId="77777777" w:rsidR="00302DE6" w:rsidRPr="00EC7614" w:rsidRDefault="00302DE6" w:rsidP="00084B37">
            <w:pPr>
              <w:pStyle w:val="BodyText"/>
              <w:jc w:val="center"/>
              <w:rPr>
                <w:rFonts w:ascii="Arial" w:hAnsi="Arial" w:cs="Arial"/>
                <w:sz w:val="18"/>
                <w:szCs w:val="18"/>
                <w:lang w:val="es-ES_tradnl"/>
              </w:rPr>
            </w:pPr>
            <w:r w:rsidRPr="00EC7614">
              <w:rPr>
                <w:rFonts w:ascii="Arial" w:hAnsi="Arial" w:cs="Arial"/>
                <w:sz w:val="18"/>
                <w:szCs w:val="18"/>
                <w:lang w:val="es-ES_tradnl"/>
              </w:rPr>
              <w:t>%</w:t>
            </w:r>
          </w:p>
        </w:tc>
        <w:tc>
          <w:tcPr>
            <w:tcW w:w="1993" w:type="dxa"/>
            <w:vAlign w:val="center"/>
          </w:tcPr>
          <w:p w14:paraId="65961E6D" w14:textId="77777777" w:rsidR="00302DE6" w:rsidRPr="00EC7614" w:rsidRDefault="00302DE6" w:rsidP="00084B37">
            <w:pPr>
              <w:pStyle w:val="Default"/>
              <w:tabs>
                <w:tab w:val="center" w:pos="4320"/>
                <w:tab w:val="right" w:pos="8640"/>
              </w:tabs>
              <w:jc w:val="both"/>
              <w:rPr>
                <w:rFonts w:ascii="Arial" w:hAnsi="Arial" w:cs="Arial"/>
                <w:color w:val="auto"/>
                <w:sz w:val="18"/>
                <w:szCs w:val="18"/>
                <w:lang w:val="es-ES_tradnl"/>
              </w:rPr>
            </w:pPr>
            <w:r w:rsidRPr="00EC7614">
              <w:rPr>
                <w:rFonts w:ascii="Arial" w:hAnsi="Arial" w:cs="Arial"/>
                <w:color w:val="auto"/>
                <w:sz w:val="18"/>
                <w:szCs w:val="18"/>
                <w:lang w:val="es-ES_tradnl"/>
              </w:rPr>
              <w:t>Informes SEFIN.</w:t>
            </w:r>
          </w:p>
        </w:tc>
      </w:tr>
    </w:tbl>
    <w:p w14:paraId="39C8BFD8" w14:textId="77777777" w:rsidR="00302DE6" w:rsidRDefault="00302DE6" w:rsidP="00AA17B1">
      <w:pPr>
        <w:pStyle w:val="Paragraph"/>
        <w:widowControl w:val="0"/>
        <w:tabs>
          <w:tab w:val="clear" w:pos="1440"/>
        </w:tabs>
        <w:ind w:left="540" w:firstLine="0"/>
        <w:rPr>
          <w:rFonts w:ascii="Arial" w:hAnsi="Arial" w:cs="Arial"/>
          <w:szCs w:val="24"/>
          <w:lang w:val="es-ES"/>
        </w:rPr>
      </w:pPr>
    </w:p>
    <w:p w14:paraId="32220C34" w14:textId="46B0D221" w:rsidR="00825DC2" w:rsidRDefault="00825DC2" w:rsidP="00AA17B1">
      <w:pPr>
        <w:pStyle w:val="Paragraph"/>
        <w:widowControl w:val="0"/>
        <w:tabs>
          <w:tab w:val="clear" w:pos="1440"/>
        </w:tabs>
        <w:ind w:left="540" w:firstLine="0"/>
        <w:rPr>
          <w:rFonts w:ascii="Arial" w:hAnsi="Arial" w:cs="Arial"/>
          <w:szCs w:val="24"/>
          <w:lang w:val="es-ES"/>
        </w:rPr>
      </w:pPr>
    </w:p>
    <w:p w14:paraId="087A1874" w14:textId="42C83FD6" w:rsidR="00302DE6" w:rsidRDefault="00302DE6" w:rsidP="00AA17B1">
      <w:pPr>
        <w:pStyle w:val="Paragraph"/>
        <w:widowControl w:val="0"/>
        <w:tabs>
          <w:tab w:val="clear" w:pos="1440"/>
        </w:tabs>
        <w:ind w:left="540" w:firstLine="0"/>
        <w:rPr>
          <w:rFonts w:ascii="Arial" w:hAnsi="Arial" w:cs="Arial"/>
          <w:szCs w:val="24"/>
          <w:lang w:val="es-ES"/>
        </w:rPr>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6"/>
        <w:gridCol w:w="1852"/>
        <w:gridCol w:w="923"/>
        <w:gridCol w:w="758"/>
        <w:gridCol w:w="882"/>
        <w:gridCol w:w="1966"/>
      </w:tblGrid>
      <w:tr w:rsidR="00302DE6" w:rsidRPr="00EC7614" w14:paraId="189C65CC" w14:textId="77777777" w:rsidTr="00084B37">
        <w:trPr>
          <w:cantSplit/>
          <w:jc w:val="center"/>
        </w:trPr>
        <w:tc>
          <w:tcPr>
            <w:tcW w:w="2657" w:type="dxa"/>
            <w:vMerge w:val="restart"/>
            <w:shd w:val="clear" w:color="auto" w:fill="D9D9D9" w:themeFill="background1" w:themeFillShade="D9"/>
            <w:vAlign w:val="center"/>
          </w:tcPr>
          <w:p w14:paraId="59D5081B" w14:textId="77777777" w:rsidR="00302DE6" w:rsidRPr="00EC7614" w:rsidRDefault="00302DE6" w:rsidP="00084B37">
            <w:pPr>
              <w:pStyle w:val="Header"/>
              <w:spacing w:beforeLines="40" w:before="96" w:afterLines="40" w:after="96"/>
              <w:jc w:val="center"/>
              <w:rPr>
                <w:rFonts w:ascii="Arial" w:hAnsi="Arial" w:cs="Arial"/>
                <w:b/>
                <w:sz w:val="18"/>
                <w:szCs w:val="18"/>
                <w:lang w:val="es-ES_tradnl"/>
              </w:rPr>
            </w:pPr>
            <w:r w:rsidRPr="00EC7614">
              <w:rPr>
                <w:rFonts w:ascii="Arial" w:hAnsi="Arial" w:cs="Arial"/>
                <w:b/>
                <w:sz w:val="18"/>
                <w:szCs w:val="18"/>
                <w:lang w:val="es-ES_tradnl"/>
              </w:rPr>
              <w:t>Resultado</w:t>
            </w:r>
          </w:p>
        </w:tc>
        <w:tc>
          <w:tcPr>
            <w:tcW w:w="3171" w:type="dxa"/>
            <w:vMerge w:val="restart"/>
            <w:shd w:val="clear" w:color="auto" w:fill="D9D9D9" w:themeFill="background1" w:themeFillShade="D9"/>
            <w:vAlign w:val="center"/>
          </w:tcPr>
          <w:p w14:paraId="5CA4C9AD" w14:textId="77777777" w:rsidR="00302DE6" w:rsidRPr="00EC7614" w:rsidRDefault="00302DE6" w:rsidP="00084B37">
            <w:pPr>
              <w:pStyle w:val="ListParagraph"/>
              <w:ind w:left="156"/>
              <w:jc w:val="center"/>
              <w:rPr>
                <w:rFonts w:ascii="Arial" w:hAnsi="Arial" w:cs="Arial"/>
                <w:b/>
                <w:sz w:val="18"/>
                <w:szCs w:val="18"/>
                <w:lang w:val="es-ES_tradnl"/>
              </w:rPr>
            </w:pPr>
            <w:r w:rsidRPr="00EC7614">
              <w:rPr>
                <w:rFonts w:ascii="Arial" w:hAnsi="Arial" w:cs="Arial"/>
                <w:b/>
                <w:sz w:val="18"/>
                <w:szCs w:val="18"/>
                <w:lang w:val="es-ES_tradnl"/>
              </w:rPr>
              <w:t>Indicador</w:t>
            </w:r>
          </w:p>
        </w:tc>
        <w:tc>
          <w:tcPr>
            <w:tcW w:w="1160" w:type="dxa"/>
            <w:vMerge w:val="restart"/>
            <w:shd w:val="clear" w:color="auto" w:fill="D9D9D9" w:themeFill="background1" w:themeFillShade="D9"/>
            <w:vAlign w:val="center"/>
          </w:tcPr>
          <w:p w14:paraId="38D9D1D5" w14:textId="77777777" w:rsidR="00302DE6" w:rsidRPr="00EC7614" w:rsidRDefault="00302DE6" w:rsidP="00084B37">
            <w:pPr>
              <w:pStyle w:val="ListParagraph"/>
              <w:spacing w:line="276" w:lineRule="auto"/>
              <w:ind w:left="156"/>
              <w:jc w:val="center"/>
              <w:rPr>
                <w:rFonts w:ascii="Arial" w:hAnsi="Arial" w:cs="Arial"/>
                <w:b/>
                <w:sz w:val="18"/>
                <w:szCs w:val="18"/>
                <w:lang w:val="es-ES_tradnl"/>
              </w:rPr>
            </w:pPr>
            <w:r w:rsidRPr="00EC7614">
              <w:rPr>
                <w:rFonts w:ascii="Arial" w:hAnsi="Arial" w:cs="Arial"/>
                <w:b/>
                <w:sz w:val="18"/>
                <w:szCs w:val="18"/>
                <w:lang w:val="es-ES_tradnl"/>
              </w:rPr>
              <w:t>Base</w:t>
            </w:r>
          </w:p>
          <w:p w14:paraId="1753A602" w14:textId="77777777" w:rsidR="00302DE6" w:rsidRPr="00EC7614" w:rsidRDefault="00302DE6" w:rsidP="00084B37">
            <w:pPr>
              <w:pStyle w:val="ListParagraph"/>
              <w:spacing w:line="276" w:lineRule="auto"/>
              <w:ind w:left="156"/>
              <w:jc w:val="center"/>
              <w:rPr>
                <w:rFonts w:ascii="Arial" w:hAnsi="Arial" w:cs="Arial"/>
                <w:b/>
                <w:sz w:val="18"/>
                <w:szCs w:val="18"/>
                <w:lang w:val="es-ES_tradnl"/>
              </w:rPr>
            </w:pPr>
            <w:r w:rsidRPr="00EC7614">
              <w:rPr>
                <w:rFonts w:ascii="Arial" w:hAnsi="Arial" w:cs="Arial"/>
                <w:b/>
                <w:sz w:val="18"/>
                <w:szCs w:val="18"/>
                <w:lang w:val="es-ES_tradnl"/>
              </w:rPr>
              <w:t>201</w:t>
            </w:r>
            <w:r>
              <w:rPr>
                <w:rFonts w:ascii="Arial" w:hAnsi="Arial" w:cs="Arial"/>
                <w:b/>
                <w:sz w:val="18"/>
                <w:szCs w:val="18"/>
                <w:lang w:val="es-ES_tradnl"/>
              </w:rPr>
              <w:t>6</w:t>
            </w:r>
          </w:p>
        </w:tc>
        <w:tc>
          <w:tcPr>
            <w:tcW w:w="2007" w:type="dxa"/>
            <w:gridSpan w:val="2"/>
            <w:tcBorders>
              <w:right w:val="single" w:sz="4" w:space="0" w:color="auto"/>
            </w:tcBorders>
            <w:shd w:val="clear" w:color="auto" w:fill="D9D9D9" w:themeFill="background1" w:themeFillShade="D9"/>
          </w:tcPr>
          <w:p w14:paraId="7F145518"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r w:rsidRPr="00EC7614">
              <w:rPr>
                <w:rFonts w:ascii="Arial" w:hAnsi="Arial" w:cs="Arial"/>
                <w:b/>
                <w:sz w:val="18"/>
                <w:szCs w:val="18"/>
                <w:lang w:val="es-ES_tradnl"/>
              </w:rPr>
              <w:t>Meta</w:t>
            </w:r>
          </w:p>
        </w:tc>
        <w:tc>
          <w:tcPr>
            <w:tcW w:w="3245"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4A1166AA"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r w:rsidRPr="00EC7614">
              <w:rPr>
                <w:rFonts w:ascii="Arial" w:hAnsi="Arial" w:cs="Arial"/>
                <w:b/>
                <w:sz w:val="18"/>
                <w:szCs w:val="18"/>
                <w:lang w:val="es-ES_tradnl"/>
              </w:rPr>
              <w:t>Medios de verificación/</w:t>
            </w:r>
          </w:p>
        </w:tc>
      </w:tr>
      <w:tr w:rsidR="00302DE6" w:rsidRPr="00EC7614" w14:paraId="59D5F965" w14:textId="77777777" w:rsidTr="00084B37">
        <w:trPr>
          <w:cantSplit/>
          <w:jc w:val="center"/>
        </w:trPr>
        <w:tc>
          <w:tcPr>
            <w:tcW w:w="2657" w:type="dxa"/>
            <w:vMerge/>
            <w:shd w:val="clear" w:color="auto" w:fill="D9D9D9" w:themeFill="background1" w:themeFillShade="D9"/>
          </w:tcPr>
          <w:p w14:paraId="42F9F503" w14:textId="77777777" w:rsidR="00302DE6" w:rsidRPr="00EC7614" w:rsidRDefault="00302DE6" w:rsidP="00084B37">
            <w:pPr>
              <w:pStyle w:val="Header"/>
              <w:spacing w:beforeLines="40" w:before="96" w:afterLines="40" w:after="96"/>
              <w:jc w:val="center"/>
              <w:rPr>
                <w:rFonts w:ascii="Arial" w:hAnsi="Arial" w:cs="Arial"/>
                <w:sz w:val="18"/>
                <w:szCs w:val="18"/>
                <w:lang w:val="es-ES_tradnl"/>
              </w:rPr>
            </w:pPr>
          </w:p>
        </w:tc>
        <w:tc>
          <w:tcPr>
            <w:tcW w:w="3171" w:type="dxa"/>
            <w:vMerge/>
            <w:shd w:val="clear" w:color="auto" w:fill="D9D9D9" w:themeFill="background1" w:themeFillShade="D9"/>
            <w:vAlign w:val="center"/>
          </w:tcPr>
          <w:p w14:paraId="0A394CE2" w14:textId="77777777" w:rsidR="00302DE6" w:rsidRPr="00EC7614" w:rsidRDefault="00302DE6" w:rsidP="00084B37">
            <w:pPr>
              <w:pStyle w:val="ListParagraph"/>
              <w:spacing w:line="276" w:lineRule="auto"/>
              <w:ind w:left="156"/>
              <w:jc w:val="center"/>
              <w:rPr>
                <w:rFonts w:ascii="Arial" w:hAnsi="Arial" w:cs="Arial"/>
                <w:sz w:val="18"/>
                <w:szCs w:val="18"/>
                <w:lang w:val="es-ES_tradnl"/>
              </w:rPr>
            </w:pPr>
          </w:p>
        </w:tc>
        <w:tc>
          <w:tcPr>
            <w:tcW w:w="1160" w:type="dxa"/>
            <w:vMerge/>
            <w:shd w:val="clear" w:color="auto" w:fill="D9D9D9" w:themeFill="background1" w:themeFillShade="D9"/>
          </w:tcPr>
          <w:p w14:paraId="534736F1"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p>
        </w:tc>
        <w:tc>
          <w:tcPr>
            <w:tcW w:w="1017" w:type="dxa"/>
            <w:shd w:val="clear" w:color="auto" w:fill="D9D9D9" w:themeFill="background1" w:themeFillShade="D9"/>
            <w:vAlign w:val="center"/>
          </w:tcPr>
          <w:p w14:paraId="6E13A845"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r>
              <w:rPr>
                <w:rFonts w:ascii="Arial" w:hAnsi="Arial" w:cs="Arial"/>
                <w:b/>
                <w:sz w:val="18"/>
                <w:szCs w:val="18"/>
                <w:lang w:val="es-ES_tradnl"/>
              </w:rPr>
              <w:t>2018</w:t>
            </w:r>
          </w:p>
        </w:tc>
        <w:tc>
          <w:tcPr>
            <w:tcW w:w="990" w:type="dxa"/>
            <w:tcBorders>
              <w:right w:val="single" w:sz="4" w:space="0" w:color="auto"/>
            </w:tcBorders>
            <w:shd w:val="clear" w:color="auto" w:fill="D9D9D9" w:themeFill="background1" w:themeFillShade="D9"/>
          </w:tcPr>
          <w:p w14:paraId="032B4E6A"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r>
              <w:rPr>
                <w:rFonts w:ascii="Arial" w:hAnsi="Arial" w:cs="Arial"/>
                <w:b/>
                <w:sz w:val="18"/>
                <w:szCs w:val="18"/>
                <w:lang w:val="es-ES_tradnl"/>
              </w:rPr>
              <w:t>2020</w:t>
            </w:r>
          </w:p>
        </w:tc>
        <w:tc>
          <w:tcPr>
            <w:tcW w:w="3245"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F6BE8FD" w14:textId="77777777" w:rsidR="00302DE6" w:rsidRPr="00EC7614" w:rsidRDefault="00302DE6" w:rsidP="00084B37">
            <w:pPr>
              <w:pStyle w:val="BodyText"/>
              <w:spacing w:beforeLines="40" w:before="96" w:afterLines="40" w:after="96"/>
              <w:jc w:val="center"/>
              <w:rPr>
                <w:rFonts w:ascii="Arial" w:hAnsi="Arial" w:cs="Arial"/>
                <w:b/>
                <w:sz w:val="18"/>
                <w:szCs w:val="18"/>
                <w:lang w:val="es-ES_tradnl"/>
              </w:rPr>
            </w:pPr>
            <w:r w:rsidRPr="00EC7614">
              <w:rPr>
                <w:rFonts w:ascii="Arial" w:hAnsi="Arial" w:cs="Arial"/>
                <w:b/>
                <w:sz w:val="18"/>
                <w:szCs w:val="18"/>
                <w:lang w:val="es-ES_tradnl"/>
              </w:rPr>
              <w:t>Comentarios</w:t>
            </w:r>
          </w:p>
        </w:tc>
      </w:tr>
      <w:tr w:rsidR="00302DE6" w:rsidRPr="0033349F" w14:paraId="5F06F191" w14:textId="77777777" w:rsidTr="00084B37">
        <w:trPr>
          <w:cantSplit/>
          <w:jc w:val="center"/>
        </w:trPr>
        <w:tc>
          <w:tcPr>
            <w:tcW w:w="2657" w:type="dxa"/>
            <w:vAlign w:val="center"/>
          </w:tcPr>
          <w:p w14:paraId="00CD6D1D" w14:textId="77777777" w:rsidR="00302DE6" w:rsidRPr="00302DE6" w:rsidRDefault="00302DE6" w:rsidP="00084B37">
            <w:pPr>
              <w:jc w:val="both"/>
              <w:rPr>
                <w:rFonts w:ascii="Arial" w:hAnsi="Arial" w:cs="Arial"/>
                <w:sz w:val="18"/>
                <w:szCs w:val="18"/>
                <w:lang w:val="es-ES_tradnl"/>
              </w:rPr>
            </w:pPr>
            <w:r w:rsidRPr="00302DE6">
              <w:rPr>
                <w:rFonts w:ascii="Arial" w:hAnsi="Arial" w:cs="Arial"/>
                <w:sz w:val="18"/>
                <w:szCs w:val="18"/>
                <w:lang w:val="es-ES_tradnl"/>
              </w:rPr>
              <w:t>Mejora en la eficiencia operativa y comercial del sector eléctrico.</w:t>
            </w:r>
          </w:p>
        </w:tc>
        <w:tc>
          <w:tcPr>
            <w:tcW w:w="3171" w:type="dxa"/>
            <w:vAlign w:val="center"/>
          </w:tcPr>
          <w:p w14:paraId="63DFA7B5" w14:textId="77777777" w:rsidR="00302DE6" w:rsidRPr="00EC7614" w:rsidRDefault="00302DE6" w:rsidP="00084B37">
            <w:pPr>
              <w:autoSpaceDE w:val="0"/>
              <w:autoSpaceDN w:val="0"/>
              <w:jc w:val="both"/>
              <w:rPr>
                <w:rFonts w:ascii="Arial" w:hAnsi="Arial" w:cs="Arial"/>
                <w:sz w:val="18"/>
                <w:szCs w:val="18"/>
                <w:lang w:val="es-ES_tradnl"/>
              </w:rPr>
            </w:pPr>
            <w:r w:rsidRPr="00EC7614">
              <w:rPr>
                <w:rFonts w:ascii="Arial" w:hAnsi="Arial" w:cs="Arial"/>
                <w:sz w:val="18"/>
                <w:szCs w:val="18"/>
                <w:lang w:val="es-ES_tradnl"/>
              </w:rPr>
              <w:t>Índice de pérdidas del sector eléctrico (%).</w:t>
            </w:r>
          </w:p>
          <w:p w14:paraId="1631B11C" w14:textId="77777777" w:rsidR="00302DE6" w:rsidRPr="00EC7614" w:rsidRDefault="00302DE6" w:rsidP="00084B37">
            <w:pPr>
              <w:autoSpaceDE w:val="0"/>
              <w:autoSpaceDN w:val="0"/>
              <w:jc w:val="both"/>
              <w:rPr>
                <w:rFonts w:ascii="Arial" w:eastAsiaTheme="minorHAnsi" w:hAnsi="Arial" w:cs="Arial"/>
                <w:sz w:val="18"/>
                <w:szCs w:val="18"/>
                <w:lang w:val="es-ES_tradnl"/>
              </w:rPr>
            </w:pPr>
          </w:p>
        </w:tc>
        <w:tc>
          <w:tcPr>
            <w:tcW w:w="1160" w:type="dxa"/>
            <w:vAlign w:val="center"/>
          </w:tcPr>
          <w:p w14:paraId="0B6442C3" w14:textId="77777777" w:rsidR="00302DE6" w:rsidRPr="00EC7614" w:rsidRDefault="00302DE6" w:rsidP="00084B37">
            <w:pPr>
              <w:autoSpaceDE w:val="0"/>
              <w:autoSpaceDN w:val="0"/>
              <w:adjustRightInd w:val="0"/>
              <w:jc w:val="center"/>
              <w:rPr>
                <w:rFonts w:ascii="Arial" w:hAnsi="Arial" w:cs="Arial"/>
                <w:sz w:val="18"/>
                <w:szCs w:val="18"/>
                <w:lang w:val="es-BO"/>
              </w:rPr>
            </w:pPr>
            <w:r w:rsidRPr="00EC7614">
              <w:rPr>
                <w:rFonts w:ascii="Arial" w:hAnsi="Arial" w:cs="Arial"/>
                <w:sz w:val="18"/>
                <w:szCs w:val="18"/>
                <w:lang w:val="es-ES_tradnl"/>
              </w:rPr>
              <w:t>28%</w:t>
            </w:r>
          </w:p>
        </w:tc>
        <w:tc>
          <w:tcPr>
            <w:tcW w:w="1017" w:type="dxa"/>
            <w:vAlign w:val="center"/>
          </w:tcPr>
          <w:p w14:paraId="2061E02C" w14:textId="77777777" w:rsidR="00302DE6" w:rsidRPr="00EC7614" w:rsidRDefault="00302DE6" w:rsidP="00084B37">
            <w:pPr>
              <w:pStyle w:val="BodyText"/>
              <w:jc w:val="center"/>
              <w:rPr>
                <w:rFonts w:ascii="Arial" w:hAnsi="Arial" w:cs="Arial"/>
                <w:sz w:val="18"/>
                <w:szCs w:val="18"/>
                <w:lang w:val="es-ES_tradnl"/>
              </w:rPr>
            </w:pPr>
            <w:r w:rsidRPr="00EC7614">
              <w:rPr>
                <w:rFonts w:ascii="Arial" w:hAnsi="Arial" w:cs="Arial"/>
                <w:sz w:val="18"/>
                <w:szCs w:val="18"/>
                <w:lang w:val="es-ES_tradnl"/>
              </w:rPr>
              <w:t>24%</w:t>
            </w:r>
          </w:p>
        </w:tc>
        <w:tc>
          <w:tcPr>
            <w:tcW w:w="990" w:type="dxa"/>
            <w:tcBorders>
              <w:top w:val="nil"/>
            </w:tcBorders>
            <w:vAlign w:val="center"/>
          </w:tcPr>
          <w:p w14:paraId="65E1CDB3" w14:textId="77777777" w:rsidR="00302DE6" w:rsidRPr="00EC7614" w:rsidRDefault="00302DE6" w:rsidP="00084B37">
            <w:pPr>
              <w:pStyle w:val="Default"/>
              <w:tabs>
                <w:tab w:val="center" w:pos="4320"/>
                <w:tab w:val="right" w:pos="8640"/>
              </w:tabs>
              <w:jc w:val="center"/>
              <w:rPr>
                <w:rFonts w:ascii="Arial" w:hAnsi="Arial" w:cs="Arial"/>
                <w:color w:val="auto"/>
                <w:sz w:val="18"/>
                <w:szCs w:val="18"/>
                <w:lang w:val="es-ES_tradnl"/>
              </w:rPr>
            </w:pPr>
            <w:r>
              <w:rPr>
                <w:rFonts w:ascii="Arial" w:hAnsi="Arial" w:cs="Arial"/>
                <w:sz w:val="18"/>
                <w:szCs w:val="18"/>
                <w:lang w:val="es-ES_tradnl"/>
              </w:rPr>
              <w:t>18.81</w:t>
            </w:r>
            <w:r w:rsidRPr="00EC7614">
              <w:rPr>
                <w:rFonts w:ascii="Arial" w:hAnsi="Arial" w:cs="Arial"/>
                <w:sz w:val="18"/>
                <w:szCs w:val="18"/>
                <w:lang w:val="es-ES_tradnl"/>
              </w:rPr>
              <w:t>%</w:t>
            </w:r>
          </w:p>
        </w:tc>
        <w:tc>
          <w:tcPr>
            <w:tcW w:w="3245" w:type="dxa"/>
            <w:tcBorders>
              <w:top w:val="single" w:sz="4" w:space="0" w:color="auto"/>
            </w:tcBorders>
            <w:vAlign w:val="center"/>
          </w:tcPr>
          <w:p w14:paraId="229D4470" w14:textId="77777777" w:rsidR="00302DE6" w:rsidRPr="00EC7614" w:rsidRDefault="00302DE6" w:rsidP="00084B37">
            <w:pPr>
              <w:pStyle w:val="Default"/>
              <w:tabs>
                <w:tab w:val="center" w:pos="4320"/>
                <w:tab w:val="right" w:pos="8640"/>
              </w:tabs>
              <w:jc w:val="both"/>
              <w:rPr>
                <w:rFonts w:ascii="Arial" w:hAnsi="Arial" w:cs="Arial"/>
                <w:color w:val="auto"/>
                <w:sz w:val="18"/>
                <w:szCs w:val="18"/>
                <w:lang w:val="es-ES_tradnl"/>
              </w:rPr>
            </w:pPr>
            <w:r w:rsidRPr="00EC7614">
              <w:rPr>
                <w:rFonts w:ascii="Arial" w:hAnsi="Arial" w:cs="Arial"/>
                <w:color w:val="auto"/>
                <w:sz w:val="18"/>
                <w:szCs w:val="18"/>
                <w:lang w:val="es-ES_tradnl"/>
              </w:rPr>
              <w:t>Informes ENEE</w:t>
            </w:r>
          </w:p>
          <w:p w14:paraId="0657528F" w14:textId="77777777" w:rsidR="00302DE6" w:rsidRPr="00EC7614" w:rsidRDefault="00302DE6" w:rsidP="00084B37">
            <w:pPr>
              <w:pStyle w:val="Default"/>
              <w:tabs>
                <w:tab w:val="center" w:pos="4320"/>
                <w:tab w:val="right" w:pos="8640"/>
              </w:tabs>
              <w:jc w:val="both"/>
              <w:rPr>
                <w:rFonts w:ascii="Arial" w:hAnsi="Arial" w:cs="Arial"/>
                <w:color w:val="auto"/>
                <w:sz w:val="18"/>
                <w:szCs w:val="18"/>
                <w:lang w:val="es-ES_tradnl"/>
              </w:rPr>
            </w:pPr>
            <w:r w:rsidRPr="00EC7614">
              <w:rPr>
                <w:rFonts w:ascii="Arial" w:hAnsi="Arial" w:cs="Arial"/>
                <w:sz w:val="18"/>
                <w:szCs w:val="18"/>
                <w:lang w:val="es-ES_tradnl"/>
              </w:rPr>
              <w:t>El índice se calcula como: Pérdidas de Energía Eléctrica / Energía Disponible (%).</w:t>
            </w:r>
          </w:p>
        </w:tc>
      </w:tr>
      <w:tr w:rsidR="00302DE6" w:rsidRPr="00EC7614" w14:paraId="7EAD840A" w14:textId="77777777" w:rsidTr="00084B37">
        <w:trPr>
          <w:cantSplit/>
          <w:jc w:val="center"/>
        </w:trPr>
        <w:tc>
          <w:tcPr>
            <w:tcW w:w="2657" w:type="dxa"/>
            <w:vAlign w:val="center"/>
          </w:tcPr>
          <w:p w14:paraId="286E3BAB" w14:textId="77777777" w:rsidR="00302DE6" w:rsidRPr="00302DE6" w:rsidRDefault="00302DE6" w:rsidP="00084B37">
            <w:pPr>
              <w:jc w:val="both"/>
              <w:rPr>
                <w:rFonts w:ascii="Arial" w:hAnsi="Arial" w:cs="Arial"/>
                <w:sz w:val="18"/>
                <w:szCs w:val="18"/>
                <w:lang w:val="es-ES_tradnl"/>
              </w:rPr>
            </w:pPr>
            <w:r w:rsidRPr="00302DE6">
              <w:rPr>
                <w:rFonts w:ascii="Arial" w:hAnsi="Arial" w:cs="Arial"/>
                <w:sz w:val="18"/>
                <w:szCs w:val="18"/>
                <w:lang w:val="es-ES_tradnl"/>
              </w:rPr>
              <w:lastRenderedPageBreak/>
              <w:t>Aumento de la participación de fuentes renovables en la matriz de generación eléctrica.</w:t>
            </w:r>
          </w:p>
        </w:tc>
        <w:tc>
          <w:tcPr>
            <w:tcW w:w="3171" w:type="dxa"/>
            <w:vAlign w:val="center"/>
          </w:tcPr>
          <w:p w14:paraId="27F3C97E" w14:textId="77777777" w:rsidR="00302DE6" w:rsidRPr="00EC7614" w:rsidRDefault="00302DE6" w:rsidP="00084B37">
            <w:pPr>
              <w:autoSpaceDE w:val="0"/>
              <w:autoSpaceDN w:val="0"/>
              <w:jc w:val="both"/>
              <w:rPr>
                <w:rFonts w:ascii="Arial" w:eastAsiaTheme="minorHAnsi" w:hAnsi="Arial" w:cs="Arial"/>
                <w:sz w:val="18"/>
                <w:szCs w:val="18"/>
                <w:lang w:val="es-BO"/>
              </w:rPr>
            </w:pPr>
            <w:r w:rsidRPr="00EC7614">
              <w:rPr>
                <w:rFonts w:ascii="Arial" w:hAnsi="Arial" w:cs="Arial"/>
                <w:sz w:val="18"/>
                <w:szCs w:val="18"/>
                <w:lang w:val="es-ES_tradnl"/>
              </w:rPr>
              <w:t>Generación proveniente de Energías Renovables / Generación total de energía eléctrica (%)</w:t>
            </w:r>
            <w:r w:rsidRPr="00EC7614">
              <w:rPr>
                <w:rStyle w:val="FootnoteReference"/>
                <w:rFonts w:ascii="Arial" w:eastAsiaTheme="majorEastAsia" w:hAnsi="Arial" w:cs="Arial"/>
                <w:sz w:val="18"/>
                <w:szCs w:val="18"/>
                <w:lang w:val="es-BO"/>
              </w:rPr>
              <w:footnoteReference w:id="3"/>
            </w:r>
            <w:r w:rsidRPr="00EC7614">
              <w:rPr>
                <w:rFonts w:ascii="Arial" w:hAnsi="Arial" w:cs="Arial"/>
                <w:sz w:val="18"/>
                <w:szCs w:val="18"/>
                <w:lang w:val="es-ES_tradnl"/>
              </w:rPr>
              <w:t>.</w:t>
            </w:r>
          </w:p>
        </w:tc>
        <w:tc>
          <w:tcPr>
            <w:tcW w:w="1160" w:type="dxa"/>
            <w:vAlign w:val="center"/>
          </w:tcPr>
          <w:p w14:paraId="4E85AD5B" w14:textId="77777777" w:rsidR="00302DE6" w:rsidRPr="00EC7614" w:rsidRDefault="00302DE6" w:rsidP="00084B37">
            <w:pPr>
              <w:autoSpaceDE w:val="0"/>
              <w:autoSpaceDN w:val="0"/>
              <w:adjustRightInd w:val="0"/>
              <w:jc w:val="center"/>
              <w:rPr>
                <w:rFonts w:ascii="Arial" w:hAnsi="Arial" w:cs="Arial"/>
                <w:sz w:val="18"/>
                <w:szCs w:val="18"/>
                <w:lang w:val="es-BO"/>
              </w:rPr>
            </w:pPr>
            <w:r w:rsidRPr="00EC7614">
              <w:rPr>
                <w:rFonts w:ascii="Arial" w:hAnsi="Arial" w:cs="Arial"/>
                <w:sz w:val="18"/>
                <w:szCs w:val="18"/>
                <w:lang w:val="es-ES_tradnl"/>
              </w:rPr>
              <w:t>48%</w:t>
            </w:r>
          </w:p>
        </w:tc>
        <w:tc>
          <w:tcPr>
            <w:tcW w:w="1017" w:type="dxa"/>
            <w:vAlign w:val="center"/>
          </w:tcPr>
          <w:p w14:paraId="795859F1" w14:textId="77777777" w:rsidR="00302DE6" w:rsidRPr="00EC7614" w:rsidRDefault="00302DE6" w:rsidP="00084B37">
            <w:pPr>
              <w:pStyle w:val="BodyText"/>
              <w:jc w:val="center"/>
              <w:rPr>
                <w:rFonts w:ascii="Arial" w:hAnsi="Arial" w:cs="Arial"/>
                <w:sz w:val="18"/>
                <w:szCs w:val="18"/>
                <w:lang w:val="es-ES_tradnl"/>
              </w:rPr>
            </w:pPr>
            <w:r w:rsidRPr="00EC7614">
              <w:rPr>
                <w:rFonts w:ascii="Arial" w:hAnsi="Arial" w:cs="Arial"/>
                <w:sz w:val="18"/>
                <w:szCs w:val="18"/>
                <w:lang w:val="es-ES_tradnl"/>
              </w:rPr>
              <w:t>50%</w:t>
            </w:r>
          </w:p>
        </w:tc>
        <w:tc>
          <w:tcPr>
            <w:tcW w:w="990" w:type="dxa"/>
            <w:vAlign w:val="center"/>
          </w:tcPr>
          <w:p w14:paraId="4D7F633E" w14:textId="77777777" w:rsidR="00302DE6" w:rsidRPr="00EC7614" w:rsidRDefault="00302DE6" w:rsidP="00084B37">
            <w:pPr>
              <w:pStyle w:val="Default"/>
              <w:tabs>
                <w:tab w:val="center" w:pos="4320"/>
                <w:tab w:val="right" w:pos="8640"/>
              </w:tabs>
              <w:jc w:val="center"/>
              <w:rPr>
                <w:rFonts w:ascii="Arial" w:hAnsi="Arial" w:cs="Arial"/>
                <w:color w:val="auto"/>
                <w:sz w:val="18"/>
                <w:szCs w:val="18"/>
                <w:highlight w:val="yellow"/>
                <w:lang w:val="es-ES_tradnl"/>
              </w:rPr>
            </w:pPr>
            <w:r>
              <w:rPr>
                <w:rFonts w:ascii="Arial" w:hAnsi="Arial" w:cs="Arial"/>
                <w:sz w:val="18"/>
                <w:szCs w:val="18"/>
                <w:lang w:val="es-ES_tradnl"/>
              </w:rPr>
              <w:t>53</w:t>
            </w:r>
            <w:r w:rsidRPr="00EC7614">
              <w:rPr>
                <w:rFonts w:ascii="Arial" w:hAnsi="Arial" w:cs="Arial"/>
                <w:sz w:val="18"/>
                <w:szCs w:val="18"/>
                <w:lang w:val="es-ES_tradnl"/>
              </w:rPr>
              <w:t>%</w:t>
            </w:r>
          </w:p>
        </w:tc>
        <w:tc>
          <w:tcPr>
            <w:tcW w:w="3245" w:type="dxa"/>
            <w:vAlign w:val="center"/>
          </w:tcPr>
          <w:p w14:paraId="2B0F228F" w14:textId="77777777" w:rsidR="00302DE6" w:rsidRPr="00EC7614" w:rsidRDefault="00302DE6" w:rsidP="00084B37">
            <w:pPr>
              <w:pStyle w:val="Default"/>
              <w:tabs>
                <w:tab w:val="center" w:pos="4320"/>
                <w:tab w:val="right" w:pos="8640"/>
              </w:tabs>
              <w:jc w:val="both"/>
              <w:rPr>
                <w:rFonts w:ascii="Arial" w:hAnsi="Arial" w:cs="Arial"/>
                <w:color w:val="auto"/>
                <w:sz w:val="18"/>
                <w:szCs w:val="18"/>
                <w:lang w:val="es-ES_tradnl"/>
              </w:rPr>
            </w:pPr>
            <w:r w:rsidRPr="00EC7614">
              <w:rPr>
                <w:rFonts w:ascii="Arial" w:hAnsi="Arial" w:cs="Arial"/>
                <w:color w:val="auto"/>
                <w:sz w:val="18"/>
                <w:szCs w:val="18"/>
                <w:lang w:val="es-ES_tradnl"/>
              </w:rPr>
              <w:t>Informes ENEE.</w:t>
            </w:r>
          </w:p>
        </w:tc>
      </w:tr>
      <w:tr w:rsidR="00302DE6" w:rsidRPr="00EC7614" w14:paraId="7332E168" w14:textId="77777777" w:rsidTr="00084B37">
        <w:trPr>
          <w:cantSplit/>
          <w:jc w:val="center"/>
        </w:trPr>
        <w:tc>
          <w:tcPr>
            <w:tcW w:w="2657" w:type="dxa"/>
            <w:vAlign w:val="center"/>
          </w:tcPr>
          <w:p w14:paraId="61AF6765" w14:textId="77777777" w:rsidR="00302DE6" w:rsidRPr="00302DE6" w:rsidRDefault="00302DE6" w:rsidP="00084B37">
            <w:pPr>
              <w:jc w:val="both"/>
              <w:rPr>
                <w:rFonts w:ascii="Arial" w:hAnsi="Arial" w:cs="Arial"/>
                <w:sz w:val="18"/>
                <w:szCs w:val="18"/>
                <w:lang w:val="es-ES_tradnl"/>
              </w:rPr>
            </w:pPr>
            <w:r w:rsidRPr="00302DE6">
              <w:rPr>
                <w:rFonts w:ascii="Arial" w:hAnsi="Arial" w:cs="Arial"/>
                <w:sz w:val="18"/>
                <w:szCs w:val="18"/>
                <w:lang w:val="es-ES_tradnl"/>
              </w:rPr>
              <w:t>Aumento en las transacciones de energía en el MER.</w:t>
            </w:r>
          </w:p>
        </w:tc>
        <w:tc>
          <w:tcPr>
            <w:tcW w:w="3171" w:type="dxa"/>
            <w:vAlign w:val="center"/>
          </w:tcPr>
          <w:p w14:paraId="211E7FF6" w14:textId="77777777" w:rsidR="00302DE6" w:rsidRPr="00EC7614" w:rsidRDefault="00302DE6" w:rsidP="00084B37">
            <w:pPr>
              <w:autoSpaceDE w:val="0"/>
              <w:autoSpaceDN w:val="0"/>
              <w:jc w:val="both"/>
              <w:rPr>
                <w:rFonts w:ascii="Arial" w:eastAsiaTheme="minorHAnsi" w:hAnsi="Arial" w:cs="Arial"/>
                <w:sz w:val="18"/>
                <w:szCs w:val="18"/>
                <w:lang w:val="es-BO"/>
              </w:rPr>
            </w:pPr>
            <w:r w:rsidRPr="00EC7614">
              <w:rPr>
                <w:rFonts w:ascii="Arial" w:hAnsi="Arial" w:cs="Arial"/>
                <w:sz w:val="18"/>
                <w:szCs w:val="18"/>
                <w:lang w:val="es-BO"/>
              </w:rPr>
              <w:t>Cantidad de energía transada en el MER / Energía Disponible (%).</w:t>
            </w:r>
          </w:p>
        </w:tc>
        <w:tc>
          <w:tcPr>
            <w:tcW w:w="1160" w:type="dxa"/>
            <w:vAlign w:val="center"/>
          </w:tcPr>
          <w:p w14:paraId="2A1FB3EB" w14:textId="77777777" w:rsidR="00302DE6" w:rsidRPr="00EC7614" w:rsidRDefault="00302DE6" w:rsidP="00084B37">
            <w:pPr>
              <w:autoSpaceDE w:val="0"/>
              <w:autoSpaceDN w:val="0"/>
              <w:spacing w:line="276" w:lineRule="auto"/>
              <w:jc w:val="center"/>
              <w:rPr>
                <w:rFonts w:ascii="Arial" w:eastAsiaTheme="minorHAnsi" w:hAnsi="Arial" w:cs="Arial"/>
                <w:sz w:val="18"/>
                <w:szCs w:val="18"/>
                <w:lang w:val="es-BO"/>
              </w:rPr>
            </w:pPr>
            <w:r w:rsidRPr="00EC7614">
              <w:rPr>
                <w:rFonts w:ascii="Arial" w:hAnsi="Arial" w:cs="Arial"/>
                <w:sz w:val="18"/>
                <w:szCs w:val="18"/>
                <w:lang w:val="es-ES_tradnl"/>
              </w:rPr>
              <w:t>2,0%</w:t>
            </w:r>
          </w:p>
        </w:tc>
        <w:tc>
          <w:tcPr>
            <w:tcW w:w="1017" w:type="dxa"/>
            <w:vAlign w:val="center"/>
          </w:tcPr>
          <w:p w14:paraId="1D461704" w14:textId="77777777" w:rsidR="00302DE6" w:rsidRPr="00EC7614" w:rsidRDefault="00302DE6" w:rsidP="00084B37">
            <w:pPr>
              <w:pStyle w:val="BodyText"/>
              <w:spacing w:line="276" w:lineRule="auto"/>
              <w:jc w:val="center"/>
              <w:rPr>
                <w:rFonts w:ascii="Arial" w:hAnsi="Arial" w:cs="Arial"/>
                <w:sz w:val="18"/>
                <w:szCs w:val="18"/>
                <w:lang w:val="es-ES_tradnl"/>
              </w:rPr>
            </w:pPr>
            <w:r w:rsidRPr="00EC7614">
              <w:rPr>
                <w:rFonts w:ascii="Arial" w:hAnsi="Arial" w:cs="Arial"/>
                <w:sz w:val="18"/>
                <w:szCs w:val="18"/>
                <w:lang w:val="es-ES_tradnl"/>
              </w:rPr>
              <w:t>2,5%</w:t>
            </w:r>
          </w:p>
        </w:tc>
        <w:tc>
          <w:tcPr>
            <w:tcW w:w="990" w:type="dxa"/>
            <w:vAlign w:val="center"/>
          </w:tcPr>
          <w:p w14:paraId="24EDA35C" w14:textId="77777777" w:rsidR="00302DE6" w:rsidRPr="00EC7614" w:rsidRDefault="00302DE6" w:rsidP="00084B37">
            <w:pPr>
              <w:pStyle w:val="BodyText"/>
              <w:spacing w:line="276" w:lineRule="auto"/>
              <w:jc w:val="center"/>
              <w:rPr>
                <w:rFonts w:ascii="Arial" w:hAnsi="Arial" w:cs="Arial"/>
                <w:sz w:val="18"/>
                <w:szCs w:val="18"/>
                <w:lang w:val="es-ES_tradnl"/>
              </w:rPr>
            </w:pPr>
            <w:r>
              <w:rPr>
                <w:rFonts w:ascii="Arial" w:hAnsi="Arial" w:cs="Arial"/>
                <w:sz w:val="18"/>
                <w:szCs w:val="18"/>
                <w:lang w:val="es-ES_tradnl"/>
              </w:rPr>
              <w:t>3</w:t>
            </w:r>
            <w:r w:rsidRPr="00EC7614">
              <w:rPr>
                <w:rFonts w:ascii="Arial" w:hAnsi="Arial" w:cs="Arial"/>
                <w:sz w:val="18"/>
                <w:szCs w:val="18"/>
                <w:lang w:val="es-ES_tradnl"/>
              </w:rPr>
              <w:t>%</w:t>
            </w:r>
          </w:p>
        </w:tc>
        <w:tc>
          <w:tcPr>
            <w:tcW w:w="3245" w:type="dxa"/>
            <w:vAlign w:val="center"/>
          </w:tcPr>
          <w:p w14:paraId="4BA0CF05" w14:textId="77777777" w:rsidR="00302DE6" w:rsidRPr="00EC7614" w:rsidRDefault="00302DE6" w:rsidP="00084B37">
            <w:pPr>
              <w:pStyle w:val="Default"/>
              <w:tabs>
                <w:tab w:val="center" w:pos="4320"/>
                <w:tab w:val="right" w:pos="8640"/>
              </w:tabs>
              <w:jc w:val="both"/>
              <w:rPr>
                <w:rFonts w:ascii="Arial" w:hAnsi="Arial" w:cs="Arial"/>
                <w:color w:val="auto"/>
                <w:sz w:val="18"/>
                <w:szCs w:val="18"/>
                <w:lang w:val="pt-BR"/>
              </w:rPr>
            </w:pPr>
            <w:r w:rsidRPr="00EC7614">
              <w:rPr>
                <w:rFonts w:ascii="Arial" w:hAnsi="Arial" w:cs="Arial"/>
                <w:color w:val="auto"/>
                <w:sz w:val="18"/>
                <w:szCs w:val="18"/>
                <w:lang w:val="pt-BR"/>
              </w:rPr>
              <w:t>Informes del Ente Operador Regional EOR.</w:t>
            </w:r>
          </w:p>
        </w:tc>
      </w:tr>
      <w:tr w:rsidR="00302DE6" w:rsidRPr="00EC7614" w14:paraId="2B235C32" w14:textId="77777777" w:rsidTr="00084B37">
        <w:trPr>
          <w:cantSplit/>
          <w:jc w:val="center"/>
        </w:trPr>
        <w:tc>
          <w:tcPr>
            <w:tcW w:w="2657" w:type="dxa"/>
            <w:vAlign w:val="center"/>
          </w:tcPr>
          <w:p w14:paraId="01FE56E2" w14:textId="77777777" w:rsidR="00302DE6" w:rsidRPr="00302DE6" w:rsidRDefault="00302DE6" w:rsidP="00084B37">
            <w:pPr>
              <w:jc w:val="both"/>
              <w:rPr>
                <w:rFonts w:ascii="Arial" w:hAnsi="Arial" w:cs="Arial"/>
                <w:sz w:val="18"/>
                <w:szCs w:val="18"/>
                <w:lang w:val="es-ES_tradnl"/>
              </w:rPr>
            </w:pPr>
            <w:r w:rsidRPr="00302DE6">
              <w:rPr>
                <w:rFonts w:ascii="Arial" w:hAnsi="Arial" w:cs="Arial"/>
                <w:sz w:val="18"/>
                <w:szCs w:val="18"/>
                <w:lang w:val="es-ES_tradnl"/>
              </w:rPr>
              <w:t>Mejora en las capacidades de planificación y gestión del sector energético.</w:t>
            </w:r>
          </w:p>
        </w:tc>
        <w:tc>
          <w:tcPr>
            <w:tcW w:w="3171" w:type="dxa"/>
            <w:vAlign w:val="center"/>
          </w:tcPr>
          <w:p w14:paraId="1557D892" w14:textId="77777777" w:rsidR="00302DE6" w:rsidRPr="00EC7614" w:rsidRDefault="00302DE6" w:rsidP="00084B37">
            <w:pPr>
              <w:autoSpaceDE w:val="0"/>
              <w:autoSpaceDN w:val="0"/>
              <w:jc w:val="both"/>
              <w:rPr>
                <w:rFonts w:ascii="Arial" w:hAnsi="Arial" w:cs="Arial"/>
                <w:sz w:val="18"/>
                <w:szCs w:val="18"/>
                <w:lang w:val="es-BO"/>
              </w:rPr>
            </w:pPr>
            <w:proofErr w:type="spellStart"/>
            <w:r>
              <w:rPr>
                <w:rFonts w:ascii="Arial" w:hAnsi="Arial" w:cs="Arial"/>
                <w:sz w:val="18"/>
                <w:szCs w:val="18"/>
              </w:rPr>
              <w:t>Secretaria</w:t>
            </w:r>
            <w:proofErr w:type="spellEnd"/>
            <w:r>
              <w:rPr>
                <w:rFonts w:ascii="Arial" w:hAnsi="Arial" w:cs="Arial"/>
                <w:sz w:val="18"/>
                <w:szCs w:val="18"/>
              </w:rPr>
              <w:t xml:space="preserve"> de </w:t>
            </w:r>
            <w:proofErr w:type="spellStart"/>
            <w:r>
              <w:rPr>
                <w:rFonts w:ascii="Arial" w:hAnsi="Arial" w:cs="Arial"/>
                <w:sz w:val="18"/>
                <w:szCs w:val="18"/>
              </w:rPr>
              <w:t>Energía</w:t>
            </w:r>
            <w:proofErr w:type="spellEnd"/>
            <w:r>
              <w:rPr>
                <w:rFonts w:ascii="Arial" w:hAnsi="Arial" w:cs="Arial"/>
                <w:sz w:val="18"/>
                <w:szCs w:val="18"/>
              </w:rPr>
              <w:t xml:space="preserve"> </w:t>
            </w:r>
            <w:proofErr w:type="spellStart"/>
            <w:r>
              <w:rPr>
                <w:rFonts w:ascii="Arial" w:hAnsi="Arial" w:cs="Arial"/>
                <w:sz w:val="18"/>
                <w:szCs w:val="18"/>
              </w:rPr>
              <w:t>establecida</w:t>
            </w:r>
            <w:proofErr w:type="spellEnd"/>
            <w:r>
              <w:rPr>
                <w:rFonts w:ascii="Arial" w:hAnsi="Arial" w:cs="Arial"/>
                <w:sz w:val="18"/>
                <w:szCs w:val="18"/>
              </w:rPr>
              <w:t>.</w:t>
            </w:r>
          </w:p>
        </w:tc>
        <w:tc>
          <w:tcPr>
            <w:tcW w:w="1160" w:type="dxa"/>
            <w:vAlign w:val="center"/>
          </w:tcPr>
          <w:p w14:paraId="661C22EB" w14:textId="77777777" w:rsidR="00302DE6" w:rsidRDefault="00302DE6" w:rsidP="00084B37">
            <w:pPr>
              <w:autoSpaceDE w:val="0"/>
              <w:autoSpaceDN w:val="0"/>
              <w:spacing w:line="276" w:lineRule="auto"/>
              <w:jc w:val="center"/>
              <w:rPr>
                <w:rFonts w:ascii="Arial" w:hAnsi="Arial" w:cs="Arial"/>
                <w:sz w:val="18"/>
                <w:szCs w:val="18"/>
                <w:lang w:val="es-BO"/>
              </w:rPr>
            </w:pPr>
            <w:r>
              <w:rPr>
                <w:rFonts w:ascii="Arial" w:hAnsi="Arial" w:cs="Arial"/>
                <w:sz w:val="18"/>
                <w:szCs w:val="18"/>
                <w:lang w:val="es-ES_tradnl"/>
              </w:rPr>
              <w:t>0</w:t>
            </w:r>
          </w:p>
        </w:tc>
        <w:tc>
          <w:tcPr>
            <w:tcW w:w="1017" w:type="dxa"/>
            <w:vAlign w:val="center"/>
          </w:tcPr>
          <w:p w14:paraId="607485F5" w14:textId="77777777" w:rsidR="00302DE6" w:rsidRPr="00EC7614" w:rsidRDefault="00302DE6" w:rsidP="00084B37">
            <w:pPr>
              <w:pStyle w:val="BodyText"/>
              <w:spacing w:line="276" w:lineRule="auto"/>
              <w:jc w:val="center"/>
              <w:rPr>
                <w:rFonts w:ascii="Arial" w:hAnsi="Arial" w:cs="Arial"/>
                <w:sz w:val="18"/>
                <w:szCs w:val="18"/>
                <w:lang w:val="es-ES_tradnl"/>
              </w:rPr>
            </w:pPr>
            <w:r>
              <w:rPr>
                <w:rFonts w:ascii="Arial" w:hAnsi="Arial" w:cs="Arial"/>
                <w:sz w:val="18"/>
                <w:szCs w:val="18"/>
                <w:lang w:val="es-ES_tradnl"/>
              </w:rPr>
              <w:t>1</w:t>
            </w:r>
          </w:p>
        </w:tc>
        <w:tc>
          <w:tcPr>
            <w:tcW w:w="990" w:type="dxa"/>
            <w:vAlign w:val="center"/>
          </w:tcPr>
          <w:p w14:paraId="7143FA1E" w14:textId="77777777" w:rsidR="00302DE6" w:rsidRPr="00EC7614" w:rsidRDefault="00302DE6" w:rsidP="00084B37">
            <w:pPr>
              <w:pStyle w:val="BodyText"/>
              <w:spacing w:line="276" w:lineRule="auto"/>
              <w:jc w:val="center"/>
              <w:rPr>
                <w:rFonts w:ascii="Arial" w:hAnsi="Arial" w:cs="Arial"/>
                <w:sz w:val="18"/>
                <w:szCs w:val="18"/>
                <w:lang w:val="es-ES_tradnl"/>
              </w:rPr>
            </w:pPr>
            <w:r>
              <w:rPr>
                <w:rFonts w:ascii="Arial" w:hAnsi="Arial" w:cs="Arial"/>
                <w:sz w:val="18"/>
                <w:szCs w:val="18"/>
                <w:lang w:val="es-ES_tradnl"/>
              </w:rPr>
              <w:t>1</w:t>
            </w:r>
          </w:p>
        </w:tc>
        <w:tc>
          <w:tcPr>
            <w:tcW w:w="3245" w:type="dxa"/>
            <w:vAlign w:val="center"/>
          </w:tcPr>
          <w:p w14:paraId="57DF433D" w14:textId="77777777" w:rsidR="00302DE6" w:rsidRPr="00885B91" w:rsidRDefault="00302DE6" w:rsidP="00084B37">
            <w:pPr>
              <w:pStyle w:val="Default"/>
              <w:tabs>
                <w:tab w:val="center" w:pos="4320"/>
                <w:tab w:val="right" w:pos="8640"/>
              </w:tabs>
              <w:jc w:val="both"/>
              <w:rPr>
                <w:rFonts w:ascii="Arial" w:hAnsi="Arial" w:cs="Arial"/>
                <w:color w:val="auto"/>
                <w:sz w:val="18"/>
                <w:szCs w:val="18"/>
                <w:lang w:val="es-ES_tradnl"/>
              </w:rPr>
            </w:pPr>
            <w:r>
              <w:rPr>
                <w:rFonts w:ascii="Arial" w:hAnsi="Arial" w:cs="Arial"/>
                <w:color w:val="auto"/>
                <w:sz w:val="18"/>
                <w:szCs w:val="18"/>
                <w:lang w:val="es-ES_tradnl"/>
              </w:rPr>
              <w:t>Informe de la SEFIN</w:t>
            </w:r>
          </w:p>
        </w:tc>
      </w:tr>
    </w:tbl>
    <w:p w14:paraId="1745DEB2" w14:textId="6E7CFFFE" w:rsidR="00302DE6" w:rsidRDefault="00302DE6" w:rsidP="00AA17B1">
      <w:pPr>
        <w:pStyle w:val="Paragraph"/>
        <w:widowControl w:val="0"/>
        <w:tabs>
          <w:tab w:val="clear" w:pos="1440"/>
        </w:tabs>
        <w:ind w:left="540" w:firstLine="0"/>
        <w:rPr>
          <w:rFonts w:ascii="Arial" w:hAnsi="Arial" w:cs="Arial"/>
          <w:szCs w:val="24"/>
          <w:lang w:val="es-ES"/>
        </w:rPr>
      </w:pPr>
    </w:p>
    <w:p w14:paraId="4C75AF5B" w14:textId="77777777" w:rsidR="00302DE6" w:rsidRPr="00AA17B1" w:rsidRDefault="00302DE6" w:rsidP="00AA17B1">
      <w:pPr>
        <w:pStyle w:val="Paragraph"/>
        <w:widowControl w:val="0"/>
        <w:tabs>
          <w:tab w:val="clear" w:pos="1440"/>
        </w:tabs>
        <w:ind w:left="540" w:firstLine="0"/>
        <w:rPr>
          <w:rFonts w:ascii="Arial" w:hAnsi="Arial" w:cs="Arial"/>
          <w:szCs w:val="24"/>
          <w:lang w:val="es-ES"/>
        </w:rPr>
      </w:pPr>
    </w:p>
    <w:p w14:paraId="23206B56" w14:textId="5F37917E" w:rsidR="00C419B8" w:rsidRPr="001C59A0" w:rsidRDefault="00C419B8" w:rsidP="00C419B8">
      <w:pPr>
        <w:pStyle w:val="Paragraph"/>
        <w:widowControl w:val="0"/>
        <w:numPr>
          <w:ilvl w:val="0"/>
          <w:numId w:val="3"/>
        </w:numPr>
        <w:ind w:left="540" w:hanging="540"/>
        <w:rPr>
          <w:rFonts w:ascii="Arial" w:hAnsi="Arial" w:cs="Arial"/>
          <w:szCs w:val="24"/>
          <w:lang w:val="es-ES"/>
        </w:rPr>
      </w:pPr>
      <w:r w:rsidRPr="001C59A0">
        <w:rPr>
          <w:rFonts w:ascii="Arial" w:hAnsi="Arial" w:cs="Arial"/>
          <w:b/>
          <w:szCs w:val="24"/>
          <w:lang w:val="es-ES"/>
        </w:rPr>
        <w:t xml:space="preserve">Metodología de Evaluación. </w:t>
      </w:r>
    </w:p>
    <w:p w14:paraId="2DC2847B" w14:textId="77777777" w:rsidR="00C419B8" w:rsidRPr="001C59A0" w:rsidRDefault="00C419B8" w:rsidP="00C419B8">
      <w:pPr>
        <w:pStyle w:val="Paragraph"/>
        <w:numPr>
          <w:ilvl w:val="1"/>
          <w:numId w:val="4"/>
        </w:numPr>
        <w:spacing w:before="100" w:after="100"/>
        <w:ind w:left="540" w:hanging="540"/>
        <w:rPr>
          <w:rFonts w:ascii="Arial" w:hAnsi="Arial" w:cs="Arial"/>
          <w:color w:val="000000"/>
          <w:lang w:val="es-ES"/>
        </w:rPr>
      </w:pPr>
      <w:r w:rsidRPr="001C59A0">
        <w:rPr>
          <w:rFonts w:ascii="Arial" w:hAnsi="Arial" w:cs="Arial"/>
          <w:color w:val="000000"/>
          <w:lang w:val="es-ES"/>
        </w:rPr>
        <w:t xml:space="preserve">Las metodologías propuestas consisten en un análisis antes – después para medir el alcance de los resultados y una evaluación </w:t>
      </w:r>
      <w:r w:rsidR="007F5B8A">
        <w:rPr>
          <w:rFonts w:ascii="Arial" w:hAnsi="Arial" w:cs="Arial"/>
          <w:color w:val="000000"/>
          <w:lang w:val="es-ES"/>
        </w:rPr>
        <w:t>de impacto</w:t>
      </w:r>
      <w:r w:rsidRPr="001C59A0">
        <w:rPr>
          <w:rFonts w:ascii="Arial" w:hAnsi="Arial" w:cs="Arial"/>
          <w:color w:val="000000"/>
          <w:lang w:val="es-ES"/>
        </w:rPr>
        <w:t>.</w:t>
      </w:r>
    </w:p>
    <w:p w14:paraId="1A612C0A" w14:textId="77777777" w:rsidR="00C419B8" w:rsidRPr="001C59A0" w:rsidRDefault="00C419B8" w:rsidP="00C419B8">
      <w:pPr>
        <w:pStyle w:val="Paragraph"/>
        <w:numPr>
          <w:ilvl w:val="1"/>
          <w:numId w:val="4"/>
        </w:numPr>
        <w:spacing w:before="100" w:after="100"/>
        <w:ind w:left="540" w:hanging="540"/>
        <w:rPr>
          <w:rFonts w:ascii="Arial" w:hAnsi="Arial" w:cs="Arial"/>
          <w:color w:val="000000"/>
          <w:lang w:val="es-ES"/>
        </w:rPr>
      </w:pPr>
      <w:r w:rsidRPr="001C59A0">
        <w:rPr>
          <w:rFonts w:ascii="Arial" w:hAnsi="Arial" w:cs="Arial"/>
          <w:b/>
          <w:color w:val="000000"/>
          <w:lang w:val="es-ES"/>
        </w:rPr>
        <w:t>Método antes – después.</w:t>
      </w:r>
      <w:r w:rsidRPr="001C59A0">
        <w:rPr>
          <w:rFonts w:ascii="Arial" w:hAnsi="Arial" w:cs="Arial"/>
          <w:color w:val="000000"/>
          <w:lang w:val="es-ES"/>
        </w:rPr>
        <w:t xml:space="preserve"> Para definir si los resultados se han alcanzado, se </w:t>
      </w:r>
      <w:r w:rsidR="00625725" w:rsidRPr="001C59A0">
        <w:rPr>
          <w:rFonts w:ascii="Arial" w:hAnsi="Arial" w:cs="Arial"/>
          <w:color w:val="000000"/>
          <w:lang w:val="es-ES"/>
        </w:rPr>
        <w:t>realizará</w:t>
      </w:r>
      <w:r w:rsidRPr="001C59A0">
        <w:rPr>
          <w:rFonts w:ascii="Arial" w:hAnsi="Arial" w:cs="Arial"/>
          <w:color w:val="000000"/>
          <w:lang w:val="es-ES"/>
        </w:rPr>
        <w:t xml:space="preserve"> una medición antes – después</w:t>
      </w:r>
      <w:r w:rsidR="007F5B8A">
        <w:rPr>
          <w:rFonts w:ascii="Arial" w:hAnsi="Arial" w:cs="Arial"/>
          <w:color w:val="000000"/>
          <w:lang w:val="es-ES"/>
        </w:rPr>
        <w:t xml:space="preserve"> siguiendo los lineamientos establecidos por el Banco para la preparación de los </w:t>
      </w:r>
      <w:r w:rsidR="007F5B8A" w:rsidRPr="001C59A0">
        <w:rPr>
          <w:rFonts w:ascii="Arial" w:hAnsi="Arial" w:cs="Arial"/>
          <w:lang w:val="es-ES_tradnl" w:eastAsia="es-ES"/>
        </w:rPr>
        <w:t>Informe</w:t>
      </w:r>
      <w:r w:rsidR="007F5B8A">
        <w:rPr>
          <w:rFonts w:ascii="Arial" w:hAnsi="Arial" w:cs="Arial"/>
          <w:lang w:val="es-ES_tradnl" w:eastAsia="es-ES"/>
        </w:rPr>
        <w:t>s</w:t>
      </w:r>
      <w:r w:rsidR="007F5B8A" w:rsidRPr="001C59A0">
        <w:rPr>
          <w:rFonts w:ascii="Arial" w:hAnsi="Arial" w:cs="Arial"/>
          <w:lang w:val="es-ES_tradnl" w:eastAsia="es-ES"/>
        </w:rPr>
        <w:t xml:space="preserve"> de Terminación de Proyecto </w:t>
      </w:r>
      <w:r w:rsidR="007F5B8A">
        <w:rPr>
          <w:rFonts w:ascii="Arial" w:hAnsi="Arial" w:cs="Arial"/>
          <w:lang w:val="es-ES_tradnl" w:eastAsia="es-ES"/>
        </w:rPr>
        <w:t>(</w:t>
      </w:r>
      <w:r w:rsidR="007F5B8A" w:rsidRPr="001C59A0">
        <w:rPr>
          <w:rFonts w:ascii="Arial" w:hAnsi="Arial" w:cs="Arial"/>
          <w:lang w:val="es-ES_tradnl" w:eastAsia="es-ES"/>
        </w:rPr>
        <w:t>PCR</w:t>
      </w:r>
      <w:r w:rsidR="007F5B8A">
        <w:rPr>
          <w:rFonts w:ascii="Arial" w:hAnsi="Arial" w:cs="Arial"/>
          <w:lang w:val="es-ES_tradnl" w:eastAsia="es-ES"/>
        </w:rPr>
        <w:t>)</w:t>
      </w:r>
      <w:r w:rsidRPr="001C59A0">
        <w:rPr>
          <w:rFonts w:ascii="Arial" w:hAnsi="Arial" w:cs="Arial"/>
          <w:color w:val="000000"/>
          <w:lang w:val="es-ES"/>
        </w:rPr>
        <w:t>, en función a los indicadores de impacto y resultado establecidos en la matriz, descritos en la sección anterior.</w:t>
      </w:r>
    </w:p>
    <w:p w14:paraId="17178805" w14:textId="6EDAFFA6" w:rsidR="00767B5B" w:rsidRPr="004A794B" w:rsidRDefault="00625725" w:rsidP="00B80D13">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4A794B">
        <w:rPr>
          <w:rFonts w:ascii="Arial" w:hAnsi="Arial" w:cs="Arial"/>
          <w:b/>
          <w:color w:val="000000"/>
          <w:lang w:val="es-ES"/>
        </w:rPr>
        <w:t>Evaluación económica ex post</w:t>
      </w:r>
      <w:r w:rsidR="004A794B" w:rsidRPr="004A794B">
        <w:rPr>
          <w:rFonts w:ascii="Arial" w:hAnsi="Arial" w:cs="Arial"/>
          <w:b/>
          <w:color w:val="000000"/>
          <w:lang w:val="es-ES"/>
        </w:rPr>
        <w:t>.</w:t>
      </w:r>
      <w:r w:rsidR="004A794B">
        <w:rPr>
          <w:rFonts w:ascii="Arial" w:hAnsi="Arial" w:cs="Arial"/>
          <w:b/>
          <w:color w:val="000000"/>
          <w:lang w:val="es-ES"/>
        </w:rPr>
        <w:t xml:space="preserve"> </w:t>
      </w:r>
      <w:r w:rsidR="00767B5B" w:rsidRPr="004A794B">
        <w:rPr>
          <w:rFonts w:ascii="Arial" w:hAnsi="Arial" w:cs="Arial"/>
          <w:szCs w:val="24"/>
          <w:lang w:val="es-ES"/>
        </w:rPr>
        <w:t xml:space="preserve">La evaluación ex post del programa tiene como finalidad analizar el grado de cumplimiento de los objetivos y metas trazadas, como también evaluar el impacto y los efectos derivados de la materialización de los resultados. </w:t>
      </w:r>
    </w:p>
    <w:p w14:paraId="79B41CBA" w14:textId="33E4EF49"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 xml:space="preserve">En esta evaluación se considera el impacto económico de las reformas planteadas en el programa, considerando la reducción de las pérdidas de energía, la focalización de subsidios, y la diversificación de la matriz de generación. La metodología incluye un análisis de sensibilidad sobre variables críticas como la elasticidad precio de la demanda y las asociadas a los beneficios. A </w:t>
      </w:r>
      <w:proofErr w:type="gramStart"/>
      <w:r w:rsidRPr="00B035D2">
        <w:rPr>
          <w:rFonts w:ascii="Arial" w:hAnsi="Arial" w:cs="Arial"/>
          <w:szCs w:val="24"/>
          <w:lang w:val="es-ES"/>
        </w:rPr>
        <w:t>continuación</w:t>
      </w:r>
      <w:proofErr w:type="gramEnd"/>
      <w:r w:rsidRPr="00B035D2">
        <w:rPr>
          <w:rFonts w:ascii="Arial" w:hAnsi="Arial" w:cs="Arial"/>
          <w:szCs w:val="24"/>
          <w:lang w:val="es-ES"/>
        </w:rPr>
        <w:t xml:space="preserve"> se describe la metodología para cada una de las tres áreas evaluadas:</w:t>
      </w:r>
    </w:p>
    <w:p w14:paraId="0DBF0003" w14:textId="6555A61C"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b/>
          <w:szCs w:val="24"/>
          <w:lang w:val="es-ES"/>
        </w:rPr>
        <w:t>Reducción de Pérdidas.</w:t>
      </w:r>
      <w:r w:rsidRPr="00B035D2">
        <w:rPr>
          <w:rFonts w:ascii="Arial" w:hAnsi="Arial" w:cs="Arial"/>
          <w:szCs w:val="24"/>
          <w:lang w:val="es-ES"/>
        </w:rPr>
        <w:t xml:space="preserve"> La reducción de pérdidas totales tiene dos componentes: la reducción de pérdidas técnicas, que están asociadas con energía perdida en los elementos de transmisión y distribución, y pérdidas comerciales, asociadas con consumidores sin medidor, con hurto de energía o con mediciones defectuosas. Las inversiones están orientadas a la reducción de pérdidas comerciales.</w:t>
      </w:r>
    </w:p>
    <w:p w14:paraId="7370310D"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Las pérdidas comerciales tienen dos tipos de beneficios:</w:t>
      </w:r>
    </w:p>
    <w:p w14:paraId="3216C83E" w14:textId="77777777" w:rsidR="00B035D2" w:rsidRPr="00B035D2" w:rsidRDefault="00B035D2" w:rsidP="00B035D2">
      <w:pPr>
        <w:pStyle w:val="BodyText2"/>
        <w:numPr>
          <w:ilvl w:val="1"/>
          <w:numId w:val="38"/>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lastRenderedPageBreak/>
        <w:t>Beneficios económicos asociados a la reacción de usuarios que tienen que pagar por la energía consumida y por lo tanto reducen su consumo debido al efecto de elasticidad-precio; se propone valorar estos beneficios como la ganancia neta teniendo en cuenta la variación del excedente del consumidor y el costo de generación ahorrado;</w:t>
      </w:r>
    </w:p>
    <w:p w14:paraId="2F0CCA91" w14:textId="77777777" w:rsidR="00B035D2" w:rsidRPr="00B035D2" w:rsidRDefault="00B035D2" w:rsidP="00B035D2">
      <w:pPr>
        <w:pStyle w:val="BodyText2"/>
        <w:numPr>
          <w:ilvl w:val="1"/>
          <w:numId w:val="38"/>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t>Beneficios financieros asociados con la transferencia del excedente del consumidor de los usuarios al productor, o, en otras palabras, la recuperación de energía no facturada; se propone valorar esta energía de acuerdo con la tarifa media de venta de la empresa, además del menor costo de generación</w:t>
      </w:r>
    </w:p>
    <w:p w14:paraId="18C3E090"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La metodología se ilustra en la Figura III-1:</w:t>
      </w:r>
    </w:p>
    <w:p w14:paraId="2D8ABD85" w14:textId="77777777" w:rsidR="00B035D2" w:rsidRPr="00EF01D9" w:rsidRDefault="00B035D2" w:rsidP="00B035D2">
      <w:pPr>
        <w:rPr>
          <w:rFonts w:ascii="Arial" w:hAnsi="Arial" w:cs="Arial"/>
          <w:sz w:val="22"/>
          <w:szCs w:val="22"/>
          <w:lang w:val="es-ES"/>
        </w:rPr>
      </w:pPr>
      <w:r w:rsidRPr="00EF01D9">
        <w:rPr>
          <w:rFonts w:ascii="Arial" w:hAnsi="Arial" w:cs="Arial"/>
          <w:noProof/>
          <w:sz w:val="22"/>
          <w:szCs w:val="22"/>
        </w:rPr>
        <w:drawing>
          <wp:inline distT="0" distB="0" distL="0" distR="0" wp14:anchorId="218C0FF8" wp14:editId="154D6F98">
            <wp:extent cx="5810250" cy="2266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810860" cy="2267188"/>
                    </a:xfrm>
                    <a:prstGeom prst="rect">
                      <a:avLst/>
                    </a:prstGeom>
                    <a:noFill/>
                    <a:ln w="9525">
                      <a:noFill/>
                      <a:miter lim="800000"/>
                      <a:headEnd/>
                      <a:tailEnd/>
                    </a:ln>
                  </pic:spPr>
                </pic:pic>
              </a:graphicData>
            </a:graphic>
          </wp:inline>
        </w:drawing>
      </w:r>
    </w:p>
    <w:p w14:paraId="3E955C8D" w14:textId="77777777" w:rsidR="00B035D2" w:rsidRPr="00EF01D9" w:rsidRDefault="00B035D2" w:rsidP="00B035D2">
      <w:pPr>
        <w:jc w:val="center"/>
        <w:rPr>
          <w:rFonts w:ascii="Arial" w:hAnsi="Arial" w:cs="Arial"/>
          <w:b/>
          <w:sz w:val="22"/>
          <w:szCs w:val="22"/>
          <w:lang w:val="es-ES"/>
        </w:rPr>
      </w:pPr>
      <w:r w:rsidRPr="00EF01D9">
        <w:rPr>
          <w:rFonts w:ascii="Arial" w:hAnsi="Arial" w:cs="Arial"/>
          <w:b/>
          <w:sz w:val="22"/>
          <w:szCs w:val="22"/>
          <w:lang w:val="es-ES"/>
        </w:rPr>
        <w:t>Figura III-1</w:t>
      </w:r>
      <w:r>
        <w:rPr>
          <w:rFonts w:ascii="Arial" w:hAnsi="Arial" w:cs="Arial"/>
          <w:b/>
          <w:sz w:val="22"/>
          <w:szCs w:val="22"/>
          <w:lang w:val="es-ES"/>
        </w:rPr>
        <w:t xml:space="preserve">. </w:t>
      </w:r>
      <w:r w:rsidRPr="00EF01D9">
        <w:rPr>
          <w:rFonts w:ascii="Arial" w:hAnsi="Arial" w:cs="Arial"/>
          <w:b/>
          <w:sz w:val="22"/>
          <w:szCs w:val="22"/>
          <w:lang w:val="es-ES"/>
        </w:rPr>
        <w:t xml:space="preserve">Curva de Demanda antes y después de medidas </w:t>
      </w:r>
      <w:r w:rsidRPr="00EF01D9">
        <w:rPr>
          <w:rFonts w:ascii="Arial" w:hAnsi="Arial" w:cs="Arial"/>
          <w:b/>
          <w:sz w:val="22"/>
          <w:szCs w:val="22"/>
          <w:lang w:val="es-ES"/>
        </w:rPr>
        <w:br/>
        <w:t>de reducción de pérdidas</w:t>
      </w:r>
    </w:p>
    <w:p w14:paraId="030C60C6" w14:textId="77777777" w:rsidR="00B035D2" w:rsidRPr="00EF01D9" w:rsidRDefault="00B035D2" w:rsidP="00B035D2">
      <w:pPr>
        <w:rPr>
          <w:rFonts w:ascii="Arial" w:hAnsi="Arial" w:cs="Arial"/>
          <w:sz w:val="22"/>
          <w:szCs w:val="22"/>
          <w:lang w:val="es-ES"/>
        </w:rPr>
      </w:pPr>
    </w:p>
    <w:p w14:paraId="0CE92D5A"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En esta figura, el punto de consumo inicial es (P0, Q0), con un precio bajo y un consumo alto, y al recuperar las pérdidas el nuevo punto de consumo es (P1, Q1).  En el proceso ocurre:</w:t>
      </w:r>
    </w:p>
    <w:p w14:paraId="687D899F" w14:textId="77777777" w:rsidR="00B035D2" w:rsidRPr="00B035D2" w:rsidRDefault="00B035D2" w:rsidP="00B035D2">
      <w:pPr>
        <w:pStyle w:val="BodyText2"/>
        <w:numPr>
          <w:ilvl w:val="1"/>
          <w:numId w:val="39"/>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t>El excedente del consumidor se reduce por un valor igual al área D;</w:t>
      </w:r>
    </w:p>
    <w:p w14:paraId="331584E0" w14:textId="77777777" w:rsidR="00B035D2" w:rsidRPr="00B035D2" w:rsidRDefault="00B035D2" w:rsidP="00B035D2">
      <w:pPr>
        <w:pStyle w:val="BodyText2"/>
        <w:numPr>
          <w:ilvl w:val="1"/>
          <w:numId w:val="39"/>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t>El productor ahorra la totalidad del costo para suministrar el consumo Q0-Q1, equivalente al área E+D+G.  Como el consumidor estaba pagando el área G, el ahorro del productor es D+E;</w:t>
      </w:r>
    </w:p>
    <w:p w14:paraId="5B97540C" w14:textId="77777777" w:rsidR="00B035D2" w:rsidRPr="00B035D2" w:rsidRDefault="00B035D2" w:rsidP="00B035D2">
      <w:pPr>
        <w:pStyle w:val="BodyText2"/>
        <w:numPr>
          <w:ilvl w:val="1"/>
          <w:numId w:val="39"/>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t>El bienestar neto recuperado es por lo tanto D+E-D= Área E.  Esto constituye el beneficio económico de la reducción de pérdidas.</w:t>
      </w:r>
    </w:p>
    <w:p w14:paraId="578045EC"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Desde el punto de vista financiero:</w:t>
      </w:r>
    </w:p>
    <w:p w14:paraId="6F074859" w14:textId="77777777" w:rsidR="00B035D2" w:rsidRPr="00B035D2" w:rsidRDefault="00B035D2" w:rsidP="00B035D2">
      <w:pPr>
        <w:pStyle w:val="BodyText2"/>
        <w:numPr>
          <w:ilvl w:val="1"/>
          <w:numId w:val="40"/>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t>El productor ahorra las áreas D+E por el menor consumo; y</w:t>
      </w:r>
    </w:p>
    <w:p w14:paraId="056F6177" w14:textId="77777777" w:rsidR="00B035D2" w:rsidRPr="00B035D2" w:rsidRDefault="00B035D2" w:rsidP="00B035D2">
      <w:pPr>
        <w:pStyle w:val="BodyText2"/>
        <w:numPr>
          <w:ilvl w:val="1"/>
          <w:numId w:val="40"/>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t>Los consumidores pagan ahora el área C, que antes no pagaban;</w:t>
      </w:r>
    </w:p>
    <w:p w14:paraId="1CFAD1B2" w14:textId="77777777" w:rsidR="00B035D2" w:rsidRPr="00B035D2" w:rsidRDefault="00B035D2" w:rsidP="00B035D2">
      <w:pPr>
        <w:pStyle w:val="BodyText2"/>
        <w:numPr>
          <w:ilvl w:val="1"/>
          <w:numId w:val="40"/>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t xml:space="preserve">Por lo </w:t>
      </w:r>
      <w:proofErr w:type="gramStart"/>
      <w:r w:rsidRPr="00B035D2">
        <w:rPr>
          <w:rFonts w:ascii="Arial" w:hAnsi="Arial" w:cs="Arial"/>
          <w:szCs w:val="24"/>
          <w:lang w:val="es-ES"/>
        </w:rPr>
        <w:t>tanto</w:t>
      </w:r>
      <w:proofErr w:type="gramEnd"/>
      <w:r w:rsidRPr="00B035D2">
        <w:rPr>
          <w:rFonts w:ascii="Arial" w:hAnsi="Arial" w:cs="Arial"/>
          <w:szCs w:val="24"/>
          <w:lang w:val="es-ES"/>
        </w:rPr>
        <w:t xml:space="preserve"> el beneficio financiero de la reducción de pérdidas está dado por el área C+E+D.</w:t>
      </w:r>
    </w:p>
    <w:p w14:paraId="5D4B6DBB"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 xml:space="preserve">Nótese que los beneficios anotados se </w:t>
      </w:r>
      <w:proofErr w:type="gramStart"/>
      <w:r w:rsidRPr="00B035D2">
        <w:rPr>
          <w:rFonts w:ascii="Arial" w:hAnsi="Arial" w:cs="Arial"/>
          <w:szCs w:val="24"/>
          <w:lang w:val="es-ES"/>
        </w:rPr>
        <w:t>generan</w:t>
      </w:r>
      <w:proofErr w:type="gramEnd"/>
      <w:r w:rsidRPr="00B035D2">
        <w:rPr>
          <w:rFonts w:ascii="Arial" w:hAnsi="Arial" w:cs="Arial"/>
          <w:szCs w:val="24"/>
          <w:lang w:val="es-ES"/>
        </w:rPr>
        <w:t xml:space="preserve"> aunque el costo de suministro esté todavía por encima de la tarifa P1.</w:t>
      </w:r>
    </w:p>
    <w:p w14:paraId="31BD977F"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lastRenderedPageBreak/>
        <w:t xml:space="preserve">Los costos económicos de la reducción de pérdidas corresponden a las inversiones necesarias para llevar a cabo el programa, y son principalmente inversiones en sistemas de control y en instalación de medidores, además de los costos de operación y mantenimiento.  </w:t>
      </w:r>
    </w:p>
    <w:p w14:paraId="5169A094"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Tasa interna de retorno: La TIR económica y el valor presente neto se obtienen asociando los beneficios económicos y los costos del proyecto, obteniéndose así el siguiente flujo de caja neto.</w:t>
      </w:r>
    </w:p>
    <w:p w14:paraId="70A5BA99" w14:textId="4792D79D"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b/>
          <w:szCs w:val="24"/>
          <w:lang w:val="es-ES"/>
        </w:rPr>
        <w:t>Focalización de subsidios.</w:t>
      </w:r>
      <w:r>
        <w:rPr>
          <w:rFonts w:ascii="Arial" w:hAnsi="Arial" w:cs="Arial"/>
          <w:szCs w:val="24"/>
          <w:lang w:val="es-ES"/>
        </w:rPr>
        <w:t xml:space="preserve"> </w:t>
      </w:r>
      <w:r w:rsidRPr="00B035D2">
        <w:rPr>
          <w:rFonts w:ascii="Arial" w:hAnsi="Arial" w:cs="Arial"/>
          <w:szCs w:val="24"/>
          <w:lang w:val="es-ES"/>
        </w:rPr>
        <w:t>La focalización de subsidios tiene como objetivo ajustar las tarifas de sectores residenciales subsidiados para mejor reflejar los costos del servicio.  El proceso se analiza en dos documentos:</w:t>
      </w:r>
    </w:p>
    <w:p w14:paraId="20F47FA3" w14:textId="77777777" w:rsidR="00B035D2" w:rsidRPr="00B035D2" w:rsidRDefault="00B035D2" w:rsidP="00B035D2">
      <w:pPr>
        <w:pStyle w:val="BodyText2"/>
        <w:numPr>
          <w:ilvl w:val="1"/>
          <w:numId w:val="41"/>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t xml:space="preserve">Proyecto GAUREE II: Generación Autónoma y Uso Racional de la Energía Eléctrica—Tarifas </w:t>
      </w:r>
      <w:proofErr w:type="spellStart"/>
      <w:r w:rsidRPr="00B035D2">
        <w:rPr>
          <w:rFonts w:ascii="Arial" w:hAnsi="Arial" w:cs="Arial"/>
          <w:szCs w:val="24"/>
          <w:lang w:val="es-ES"/>
        </w:rPr>
        <w:t>Multihorarias</w:t>
      </w:r>
      <w:proofErr w:type="spellEnd"/>
      <w:r w:rsidRPr="00B035D2">
        <w:rPr>
          <w:rFonts w:ascii="Arial" w:hAnsi="Arial" w:cs="Arial"/>
          <w:szCs w:val="24"/>
          <w:lang w:val="es-ES"/>
        </w:rPr>
        <w:t>, Socialización e Impacto; Tarifa Horaria y Manejo de la Demanda, de septiembre de 2011; y</w:t>
      </w:r>
    </w:p>
    <w:p w14:paraId="5ED15406" w14:textId="77777777" w:rsidR="00B035D2" w:rsidRPr="00B035D2" w:rsidRDefault="00B035D2" w:rsidP="00B035D2">
      <w:pPr>
        <w:pStyle w:val="BodyText2"/>
        <w:numPr>
          <w:ilvl w:val="1"/>
          <w:numId w:val="41"/>
        </w:numPr>
        <w:tabs>
          <w:tab w:val="left" w:pos="0"/>
          <w:tab w:val="left" w:pos="720"/>
        </w:tabs>
        <w:spacing w:before="120" w:line="240" w:lineRule="auto"/>
        <w:jc w:val="both"/>
        <w:rPr>
          <w:rFonts w:ascii="Arial" w:hAnsi="Arial" w:cs="Arial"/>
          <w:szCs w:val="24"/>
          <w:lang w:val="es-ES"/>
        </w:rPr>
      </w:pPr>
      <w:r w:rsidRPr="00B035D2">
        <w:rPr>
          <w:rFonts w:ascii="Arial" w:hAnsi="Arial" w:cs="Arial"/>
          <w:szCs w:val="24"/>
          <w:lang w:val="es-ES"/>
        </w:rPr>
        <w:t xml:space="preserve">Subsidios al Consumo Residencial de Electricidad en Honduras, Análisis y Recomendaciones, Ángel </w:t>
      </w:r>
      <w:proofErr w:type="spellStart"/>
      <w:r w:rsidRPr="00B035D2">
        <w:rPr>
          <w:rFonts w:ascii="Arial" w:hAnsi="Arial" w:cs="Arial"/>
          <w:szCs w:val="24"/>
          <w:lang w:val="es-ES"/>
        </w:rPr>
        <w:t>Baide</w:t>
      </w:r>
      <w:proofErr w:type="spellEnd"/>
      <w:r w:rsidRPr="00B035D2">
        <w:rPr>
          <w:rFonts w:ascii="Arial" w:hAnsi="Arial" w:cs="Arial"/>
          <w:szCs w:val="24"/>
          <w:lang w:val="es-ES"/>
        </w:rPr>
        <w:t>, Banco Mundial, marzo de 2010.</w:t>
      </w:r>
    </w:p>
    <w:p w14:paraId="1F9152C8"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Actualmente el rango de subsidios abarca un gran rango de consumidores y el objetivo de la medida de focalización consiste en reducir el rango de manera sustancial.  Los beneficios económicos de la focalización de subsidios para un rango de consumo residencial consisten en las consecuencias de un aumento tarifario que incide sobre el consumo de los usuarios en el rango analizado.  La reducción de consumo que acompaña el aumento de la tarifa lleva a una mejor asignación de recursos, que se explica en la siguiente Figura III-2:</w:t>
      </w:r>
    </w:p>
    <w:p w14:paraId="25218C03" w14:textId="77777777" w:rsidR="00B035D2" w:rsidRPr="00EF01D9" w:rsidRDefault="00B035D2" w:rsidP="00B035D2">
      <w:pPr>
        <w:rPr>
          <w:rFonts w:ascii="Arial" w:hAnsi="Arial" w:cs="Arial"/>
          <w:sz w:val="22"/>
          <w:szCs w:val="22"/>
          <w:lang w:val="es-ES"/>
        </w:rPr>
      </w:pPr>
      <w:r w:rsidRPr="00EF01D9">
        <w:rPr>
          <w:rFonts w:ascii="Arial" w:hAnsi="Arial" w:cs="Arial"/>
          <w:noProof/>
          <w:sz w:val="22"/>
          <w:szCs w:val="22"/>
        </w:rPr>
        <w:drawing>
          <wp:inline distT="0" distB="0" distL="0" distR="0" wp14:anchorId="56BECD2B" wp14:editId="70D1D83D">
            <wp:extent cx="5784850" cy="3003550"/>
            <wp:effectExtent l="1905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784850" cy="3003550"/>
                    </a:xfrm>
                    <a:prstGeom prst="rect">
                      <a:avLst/>
                    </a:prstGeom>
                    <a:noFill/>
                    <a:ln w="9525">
                      <a:noFill/>
                      <a:miter lim="800000"/>
                      <a:headEnd/>
                      <a:tailEnd/>
                    </a:ln>
                  </pic:spPr>
                </pic:pic>
              </a:graphicData>
            </a:graphic>
          </wp:inline>
        </w:drawing>
      </w:r>
    </w:p>
    <w:p w14:paraId="13052243" w14:textId="77777777" w:rsidR="00B035D2" w:rsidRPr="00EF01D9" w:rsidRDefault="00B035D2" w:rsidP="00B035D2">
      <w:pPr>
        <w:pStyle w:val="BodyText2"/>
        <w:spacing w:line="240" w:lineRule="auto"/>
        <w:ind w:left="1109"/>
        <w:jc w:val="both"/>
        <w:rPr>
          <w:rFonts w:ascii="Arial" w:hAnsi="Arial" w:cs="Arial"/>
          <w:b/>
          <w:sz w:val="22"/>
          <w:szCs w:val="22"/>
          <w:lang w:val="es-ES"/>
        </w:rPr>
      </w:pPr>
      <w:r w:rsidRPr="00EF01D9">
        <w:rPr>
          <w:rFonts w:ascii="Arial" w:hAnsi="Arial" w:cs="Arial"/>
          <w:b/>
          <w:sz w:val="22"/>
          <w:szCs w:val="22"/>
          <w:lang w:val="es-ES"/>
        </w:rPr>
        <w:t>Figura III-2.  Beneficios económicos de la focalización de subsidios</w:t>
      </w:r>
    </w:p>
    <w:p w14:paraId="47002FA5"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 xml:space="preserve">El eje de las abscisas representa el consumo de usuarios en un determinado rango.  Q0 es el consumo previo al ajuste, con un precio P0.  Al ajustarse la tarifa a P1, el consumo disminuye hasta Q1.  En el proceso, se recupera el costo de las áreas D+E, y los consumidores pierden el excedente del área D.  El beneficio económico neto está representado por el área E.  </w:t>
      </w:r>
    </w:p>
    <w:p w14:paraId="6D309578"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lastRenderedPageBreak/>
        <w:t>Los beneficios financieros de la empresa están representados por los incrementos en facturación y el ahorro neto en costos de suministro, iguales a las áreas C+D+E.</w:t>
      </w:r>
    </w:p>
    <w:p w14:paraId="7BE31633" w14:textId="2E8FDF18"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b/>
          <w:szCs w:val="24"/>
          <w:lang w:val="es-ES"/>
        </w:rPr>
        <w:t>Costos Económicos:</w:t>
      </w:r>
      <w:r w:rsidRPr="00B035D2">
        <w:rPr>
          <w:rFonts w:ascii="Arial" w:hAnsi="Arial" w:cs="Arial"/>
          <w:szCs w:val="24"/>
          <w:lang w:val="es-ES"/>
        </w:rPr>
        <w:t xml:space="preserve"> La focalización de subsidios se logra con medidas administrativas a un costo meramente nominal.  Es posible que se requiera alguna inversión en una campaña de divulgación para explicar a los consumidores la racionalidad detrás de los ajustes tarifarios y maneras de enfrentarlos, por </w:t>
      </w:r>
      <w:r w:rsidR="009A1BC5" w:rsidRPr="00B035D2">
        <w:rPr>
          <w:rFonts w:ascii="Arial" w:hAnsi="Arial" w:cs="Arial"/>
          <w:szCs w:val="24"/>
          <w:lang w:val="es-ES"/>
        </w:rPr>
        <w:t>ejemplo,</w:t>
      </w:r>
      <w:r w:rsidRPr="00B035D2">
        <w:rPr>
          <w:rFonts w:ascii="Arial" w:hAnsi="Arial" w:cs="Arial"/>
          <w:szCs w:val="24"/>
          <w:lang w:val="es-ES"/>
        </w:rPr>
        <w:t xml:space="preserve"> mediante el uso de electrodomésticos más eficientes y el ahorro de energía.  Este tipo de acciones no tiene un costo que supere los US$2 millones.</w:t>
      </w:r>
    </w:p>
    <w:p w14:paraId="51D79B3C" w14:textId="77777777"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Tasa interna de retorno y valor presente neto: Los valores presentes netos se calcularon con una tasa de descuento de 12%, dado que los costos de la focalización de subsidios están órdenes de magnitud por debajo de los beneficios, las TIR correspondientes son prácticamente infinitas.</w:t>
      </w:r>
    </w:p>
    <w:p w14:paraId="576B3E9D" w14:textId="58FC0060"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Análisis de sensibilidad: De manera si</w:t>
      </w:r>
      <w:r w:rsidR="00885946">
        <w:rPr>
          <w:rFonts w:ascii="Arial" w:hAnsi="Arial" w:cs="Arial"/>
          <w:szCs w:val="24"/>
          <w:lang w:val="es-ES"/>
        </w:rPr>
        <w:t>milar al caso anterior, se lleva</w:t>
      </w:r>
      <w:r w:rsidRPr="00B035D2">
        <w:rPr>
          <w:rFonts w:ascii="Arial" w:hAnsi="Arial" w:cs="Arial"/>
          <w:szCs w:val="24"/>
          <w:lang w:val="es-ES"/>
        </w:rPr>
        <w:t xml:space="preserve"> a cabo un análisis de sensibilidad respecto a la elasticidad precio de la demanda y a la tasa de descuento, </w:t>
      </w:r>
    </w:p>
    <w:p w14:paraId="484DE381" w14:textId="28CB1D99"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b/>
          <w:szCs w:val="24"/>
          <w:lang w:val="es-ES"/>
        </w:rPr>
        <w:t>Diversificación de la matriz de generación.</w:t>
      </w:r>
      <w:r w:rsidRPr="00B035D2">
        <w:rPr>
          <w:rFonts w:ascii="Arial" w:hAnsi="Arial" w:cs="Arial"/>
          <w:szCs w:val="24"/>
          <w:lang w:val="es-ES"/>
        </w:rPr>
        <w:t xml:space="preserve"> La</w:t>
      </w:r>
      <w:r w:rsidR="00885946">
        <w:rPr>
          <w:rFonts w:ascii="Arial" w:hAnsi="Arial" w:cs="Arial"/>
          <w:szCs w:val="24"/>
          <w:lang w:val="es-ES"/>
        </w:rPr>
        <w:t xml:space="preserve"> metodología aplicada consiste </w:t>
      </w:r>
      <w:r w:rsidRPr="00B035D2">
        <w:rPr>
          <w:rFonts w:ascii="Arial" w:hAnsi="Arial" w:cs="Arial"/>
          <w:szCs w:val="24"/>
          <w:lang w:val="es-ES"/>
        </w:rPr>
        <w:t>en (a) establecer un plan de inversión de referencia sobre un período de 8 años con entradas en servicio escalonadas para las diferentes plantas, y (b) estimar los beneficios con base en los ahorros de sustitución de energía térmica tomando un límite inferior del costo de $0.14/kWh.</w:t>
      </w:r>
    </w:p>
    <w:p w14:paraId="6F1D96DD" w14:textId="18968FF2" w:rsidR="00B035D2" w:rsidRPr="00B035D2" w:rsidRDefault="00B035D2" w:rsidP="00B035D2">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B035D2">
        <w:rPr>
          <w:rFonts w:ascii="Arial" w:hAnsi="Arial" w:cs="Arial"/>
          <w:szCs w:val="24"/>
          <w:lang w:val="es-ES"/>
        </w:rPr>
        <w:t>Los beneficios económicos se estiman de acuerdo con el costo de compra evitado cuando las plantas de energía renovable estén en operación</w:t>
      </w:r>
      <w:r w:rsidR="00885946">
        <w:rPr>
          <w:rFonts w:ascii="Arial" w:hAnsi="Arial" w:cs="Arial"/>
          <w:szCs w:val="24"/>
          <w:lang w:val="es-ES"/>
        </w:rPr>
        <w:t>.</w:t>
      </w:r>
    </w:p>
    <w:p w14:paraId="3D24A30F" w14:textId="77777777" w:rsidR="00C419B8" w:rsidRPr="001C59A0" w:rsidRDefault="00C419B8" w:rsidP="00C419B8">
      <w:pPr>
        <w:pStyle w:val="Paragraph"/>
        <w:widowControl w:val="0"/>
        <w:numPr>
          <w:ilvl w:val="0"/>
          <w:numId w:val="3"/>
        </w:numPr>
        <w:rPr>
          <w:rFonts w:ascii="Arial" w:hAnsi="Arial" w:cs="Arial"/>
          <w:b/>
          <w:spacing w:val="-3"/>
          <w:szCs w:val="24"/>
          <w:lang w:val="es-ES"/>
        </w:rPr>
      </w:pPr>
      <w:r w:rsidRPr="001C59A0">
        <w:rPr>
          <w:rFonts w:ascii="Arial" w:hAnsi="Arial" w:cs="Arial"/>
          <w:b/>
          <w:spacing w:val="-3"/>
          <w:szCs w:val="24"/>
          <w:lang w:val="es-ES"/>
        </w:rPr>
        <w:t>Informe de Terminación del Proyecto (PCR)</w:t>
      </w:r>
    </w:p>
    <w:p w14:paraId="41903CF5" w14:textId="77777777" w:rsidR="00C419B8" w:rsidRPr="001C59A0" w:rsidRDefault="00C419B8" w:rsidP="00C419B8">
      <w:pPr>
        <w:pStyle w:val="Paragraph"/>
        <w:numPr>
          <w:ilvl w:val="1"/>
          <w:numId w:val="4"/>
        </w:numPr>
        <w:spacing w:before="100" w:after="100"/>
        <w:ind w:left="540" w:hanging="540"/>
        <w:rPr>
          <w:rFonts w:ascii="Arial" w:hAnsi="Arial" w:cs="Arial"/>
          <w:spacing w:val="-3"/>
          <w:szCs w:val="24"/>
          <w:lang w:val="es-ES"/>
        </w:rPr>
      </w:pPr>
      <w:bookmarkStart w:id="22" w:name="_Ref463963712"/>
      <w:r w:rsidRPr="001C59A0">
        <w:rPr>
          <w:rFonts w:ascii="Arial" w:hAnsi="Arial" w:cs="Arial"/>
          <w:lang w:val="es-ES_tradnl" w:eastAsia="es-ES"/>
        </w:rPr>
        <w:t>El Informe de Terminación de Proyecto o PCR, por sus siglas en inglés, es el principal instrumento de rendición de cuentas que utiliza el Banco para mostrar tanto a partes involucradas internos y externos al Banco, el desempeño de sus operaciones con garantía soberana y la efectividad en el Desarrollo de las mismas. Asimismo, presenta los principales hallazgos y recomendaciones a fin de fortalecer el diseño y ejecución de futuros proyectos.</w:t>
      </w:r>
      <w:bookmarkEnd w:id="22"/>
    </w:p>
    <w:p w14:paraId="557F59EB" w14:textId="3AD8E807" w:rsidR="00C419B8" w:rsidRPr="001C59A0" w:rsidRDefault="00C419B8" w:rsidP="00C419B8">
      <w:pPr>
        <w:pStyle w:val="Paragraph"/>
        <w:numPr>
          <w:ilvl w:val="1"/>
          <w:numId w:val="4"/>
        </w:numPr>
        <w:spacing w:before="100" w:after="100"/>
        <w:ind w:left="540" w:hanging="540"/>
        <w:rPr>
          <w:rFonts w:ascii="Arial" w:hAnsi="Arial" w:cs="Arial"/>
          <w:lang w:val="es-ES_tradnl" w:eastAsia="es-ES"/>
        </w:rPr>
      </w:pPr>
      <w:r w:rsidRPr="001C59A0">
        <w:rPr>
          <w:rFonts w:ascii="Arial" w:hAnsi="Arial" w:cs="Arial"/>
          <w:spacing w:val="-3"/>
          <w:szCs w:val="24"/>
          <w:lang w:val="es-ES"/>
        </w:rPr>
        <w:t xml:space="preserve">El PCR será aplicado según las nuevas guías que </w:t>
      </w:r>
      <w:proofErr w:type="gramStart"/>
      <w:r w:rsidRPr="001C59A0">
        <w:rPr>
          <w:rFonts w:ascii="Arial" w:hAnsi="Arial" w:cs="Arial"/>
          <w:spacing w:val="-3"/>
          <w:szCs w:val="24"/>
          <w:lang w:val="es-ES"/>
        </w:rPr>
        <w:t>entraron en vigencia</w:t>
      </w:r>
      <w:proofErr w:type="gramEnd"/>
      <w:r w:rsidRPr="001C59A0">
        <w:rPr>
          <w:rFonts w:ascii="Arial" w:hAnsi="Arial" w:cs="Arial"/>
          <w:spacing w:val="-3"/>
          <w:szCs w:val="24"/>
          <w:lang w:val="es-ES"/>
        </w:rPr>
        <w:t xml:space="preserve"> el 5 de </w:t>
      </w:r>
      <w:r w:rsidR="000152B2">
        <w:rPr>
          <w:rFonts w:ascii="Arial" w:hAnsi="Arial" w:cs="Arial"/>
          <w:spacing w:val="-3"/>
          <w:szCs w:val="24"/>
          <w:lang w:val="es-ES"/>
        </w:rPr>
        <w:t>a</w:t>
      </w:r>
      <w:r w:rsidRPr="001C59A0">
        <w:rPr>
          <w:rFonts w:ascii="Arial" w:hAnsi="Arial" w:cs="Arial"/>
          <w:spacing w:val="-3"/>
          <w:szCs w:val="24"/>
          <w:lang w:val="es-ES"/>
        </w:rPr>
        <w:t xml:space="preserve">gosto de 2014, bajo el código OP-1242; y tuvieron su primera actualización en </w:t>
      </w:r>
      <w:r w:rsidR="00E6662B">
        <w:rPr>
          <w:rFonts w:ascii="Arial" w:hAnsi="Arial" w:cs="Arial"/>
          <w:spacing w:val="-3"/>
          <w:szCs w:val="24"/>
          <w:lang w:val="es-ES"/>
        </w:rPr>
        <w:t>f</w:t>
      </w:r>
      <w:r w:rsidRPr="001C59A0">
        <w:rPr>
          <w:rFonts w:ascii="Arial" w:hAnsi="Arial" w:cs="Arial"/>
          <w:spacing w:val="-3"/>
          <w:szCs w:val="24"/>
          <w:lang w:val="es-ES"/>
        </w:rPr>
        <w:t>ebrero de 2015.</w:t>
      </w:r>
    </w:p>
    <w:p w14:paraId="11A98130" w14:textId="77777777" w:rsidR="00C419B8" w:rsidRPr="001C59A0" w:rsidRDefault="00C419B8" w:rsidP="00C419B8">
      <w:pPr>
        <w:pStyle w:val="Paragraph"/>
        <w:numPr>
          <w:ilvl w:val="1"/>
          <w:numId w:val="4"/>
        </w:numPr>
        <w:spacing w:before="100" w:after="100"/>
        <w:ind w:left="540" w:hanging="540"/>
        <w:rPr>
          <w:rFonts w:ascii="Arial" w:hAnsi="Arial" w:cs="Arial"/>
          <w:lang w:val="es-ES_tradnl" w:eastAsia="es-ES"/>
        </w:rPr>
      </w:pPr>
      <w:r w:rsidRPr="001C59A0">
        <w:rPr>
          <w:rFonts w:ascii="Arial" w:hAnsi="Arial" w:cs="Arial"/>
          <w:spacing w:val="-3"/>
          <w:szCs w:val="24"/>
          <w:lang w:val="es-ES"/>
        </w:rPr>
        <w:t xml:space="preserve">La evaluación será conducida a partir del análisis de los </w:t>
      </w:r>
      <w:r w:rsidRPr="001C59A0">
        <w:rPr>
          <w:rFonts w:ascii="Arial" w:hAnsi="Arial" w:cs="Arial"/>
          <w:lang w:val="es-ES_tradnl" w:eastAsia="es-ES"/>
        </w:rPr>
        <w:t xml:space="preserve">criterios centrales y criterios no centrales. Los criterios centrales del PCR, básicamente evalúan el desempeño del proyecto y se determinan en forma objetiva con base en los resultados y </w:t>
      </w:r>
      <w:r w:rsidRPr="001C59A0">
        <w:rPr>
          <w:rFonts w:ascii="Arial" w:hAnsi="Arial" w:cs="Arial"/>
          <w:spacing w:val="-3"/>
          <w:szCs w:val="24"/>
          <w:lang w:val="es-ES"/>
        </w:rPr>
        <w:t>productos</w:t>
      </w:r>
      <w:r w:rsidRPr="001C59A0">
        <w:rPr>
          <w:rFonts w:ascii="Arial" w:hAnsi="Arial" w:cs="Arial"/>
          <w:lang w:val="es-ES_tradnl" w:eastAsia="es-ES"/>
        </w:rPr>
        <w:t xml:space="preserve"> del mismo, y se califica a través de cuatro criterios: (i) Efectividad, (ii) Eficiencia</w:t>
      </w:r>
      <w:r w:rsidRPr="001C59A0">
        <w:rPr>
          <w:rStyle w:val="FootnoteReference"/>
          <w:rFonts w:ascii="Arial" w:hAnsi="Arial" w:cs="Arial"/>
          <w:lang w:val="es-ES_tradnl" w:eastAsia="es-ES"/>
        </w:rPr>
        <w:footnoteReference w:id="4"/>
      </w:r>
      <w:r w:rsidRPr="001C59A0">
        <w:rPr>
          <w:rFonts w:ascii="Arial" w:hAnsi="Arial" w:cs="Arial"/>
          <w:lang w:val="es-ES_tradnl" w:eastAsia="es-ES"/>
        </w:rPr>
        <w:t xml:space="preserve">, (iii) Relevancia y (iv) Sostenibilidad.  </w:t>
      </w:r>
    </w:p>
    <w:p w14:paraId="702933A6" w14:textId="77777777" w:rsidR="00C419B8" w:rsidRPr="001C59A0" w:rsidRDefault="00C419B8" w:rsidP="00C419B8">
      <w:pPr>
        <w:pStyle w:val="Paragraph"/>
        <w:numPr>
          <w:ilvl w:val="1"/>
          <w:numId w:val="4"/>
        </w:numPr>
        <w:spacing w:before="100" w:after="100"/>
        <w:ind w:left="540" w:hanging="540"/>
        <w:rPr>
          <w:rFonts w:ascii="Arial" w:hAnsi="Arial" w:cs="Arial"/>
          <w:lang w:val="es-BO" w:eastAsia="es-ES"/>
        </w:rPr>
      </w:pPr>
      <w:r w:rsidRPr="001C59A0">
        <w:rPr>
          <w:rFonts w:ascii="Arial" w:hAnsi="Arial" w:cs="Arial"/>
          <w:lang w:val="es-BO" w:eastAsia="es-ES"/>
        </w:rPr>
        <w:t xml:space="preserve">Los criterios no centrales del PCR son aquellos evaluables, pero que no califican la efectividad de la intervención. En su defecto evalúan la contribución de la operación a los </w:t>
      </w:r>
      <w:r w:rsidRPr="001C59A0">
        <w:rPr>
          <w:rFonts w:ascii="Arial" w:hAnsi="Arial" w:cs="Arial"/>
          <w:spacing w:val="-3"/>
          <w:szCs w:val="24"/>
          <w:lang w:val="es-ES"/>
        </w:rPr>
        <w:t>objetivos</w:t>
      </w:r>
      <w:r w:rsidRPr="001C59A0">
        <w:rPr>
          <w:rFonts w:ascii="Arial" w:hAnsi="Arial" w:cs="Arial"/>
          <w:lang w:val="es-BO" w:eastAsia="es-ES"/>
        </w:rPr>
        <w:t xml:space="preserve"> de desarrollo del Banco; la </w:t>
      </w:r>
      <w:r w:rsidRPr="001C59A0">
        <w:rPr>
          <w:rFonts w:ascii="Arial" w:hAnsi="Arial" w:cs="Arial"/>
          <w:lang w:val="es-BO" w:eastAsia="es-ES"/>
        </w:rPr>
        <w:lastRenderedPageBreak/>
        <w:t>contribución a los objetivos de desarrollo del país; el cumplimiento del plan de monitoreo y evaluación; el uso de sistemas país y la implementación y mitigación de salvaguardas ambientales y sociales.</w:t>
      </w:r>
    </w:p>
    <w:p w14:paraId="77AF579E" w14:textId="3C71C522" w:rsidR="00C419B8" w:rsidRDefault="00C419B8" w:rsidP="00C419B8">
      <w:pPr>
        <w:pStyle w:val="Paragraph"/>
        <w:numPr>
          <w:ilvl w:val="1"/>
          <w:numId w:val="4"/>
        </w:numPr>
        <w:spacing w:before="100" w:after="100"/>
        <w:ind w:left="540" w:hanging="540"/>
        <w:rPr>
          <w:rFonts w:ascii="Arial" w:hAnsi="Arial" w:cs="Arial"/>
          <w:spacing w:val="-3"/>
          <w:szCs w:val="24"/>
          <w:lang w:val="es-ES"/>
        </w:rPr>
      </w:pPr>
      <w:r w:rsidRPr="001C59A0">
        <w:rPr>
          <w:rFonts w:ascii="Arial" w:hAnsi="Arial" w:cs="Arial"/>
          <w:spacing w:val="-3"/>
          <w:szCs w:val="24"/>
          <w:lang w:val="es-ES"/>
        </w:rPr>
        <w:t xml:space="preserve">Será realizado hasta 6 meses después de haber desembolsado </w:t>
      </w:r>
      <w:r w:rsidR="00064FEF">
        <w:rPr>
          <w:rFonts w:ascii="Arial" w:hAnsi="Arial" w:cs="Arial"/>
          <w:spacing w:val="-3"/>
          <w:szCs w:val="24"/>
          <w:lang w:val="es-ES"/>
        </w:rPr>
        <w:t>la</w:t>
      </w:r>
      <w:r w:rsidR="00064FEF" w:rsidRPr="001C59A0">
        <w:rPr>
          <w:rFonts w:ascii="Arial" w:hAnsi="Arial" w:cs="Arial"/>
          <w:spacing w:val="-3"/>
          <w:szCs w:val="24"/>
          <w:lang w:val="es-ES"/>
        </w:rPr>
        <w:t xml:space="preserve"> </w:t>
      </w:r>
      <w:r w:rsidRPr="001C59A0">
        <w:rPr>
          <w:rFonts w:ascii="Arial" w:hAnsi="Arial" w:cs="Arial"/>
          <w:spacing w:val="-3"/>
          <w:szCs w:val="24"/>
          <w:lang w:val="es-ES"/>
        </w:rPr>
        <w:t>segund</w:t>
      </w:r>
      <w:r w:rsidR="00064FEF">
        <w:rPr>
          <w:rFonts w:ascii="Arial" w:hAnsi="Arial" w:cs="Arial"/>
          <w:spacing w:val="-3"/>
          <w:szCs w:val="24"/>
          <w:lang w:val="es-ES"/>
        </w:rPr>
        <w:t xml:space="preserve">a </w:t>
      </w:r>
      <w:r w:rsidRPr="001C59A0">
        <w:rPr>
          <w:rFonts w:ascii="Arial" w:hAnsi="Arial" w:cs="Arial"/>
          <w:spacing w:val="-3"/>
          <w:szCs w:val="24"/>
          <w:lang w:val="es-ES"/>
        </w:rPr>
        <w:t>operación</w:t>
      </w:r>
      <w:r w:rsidR="00064FEF">
        <w:rPr>
          <w:rFonts w:ascii="Arial" w:hAnsi="Arial" w:cs="Arial"/>
          <w:spacing w:val="-3"/>
          <w:szCs w:val="24"/>
          <w:lang w:val="es-ES"/>
        </w:rPr>
        <w:t xml:space="preserve"> programática</w:t>
      </w:r>
      <w:r w:rsidRPr="001C59A0">
        <w:rPr>
          <w:rFonts w:ascii="Arial" w:hAnsi="Arial" w:cs="Arial"/>
          <w:spacing w:val="-3"/>
          <w:szCs w:val="24"/>
          <w:lang w:val="es-ES"/>
        </w:rPr>
        <w:t>.</w:t>
      </w:r>
    </w:p>
    <w:p w14:paraId="1CC15365" w14:textId="77777777" w:rsidR="00BC6D71" w:rsidRPr="001C59A0" w:rsidRDefault="00BC6D71" w:rsidP="00D6554E">
      <w:pPr>
        <w:pStyle w:val="Paragraph"/>
        <w:tabs>
          <w:tab w:val="clear" w:pos="1440"/>
        </w:tabs>
        <w:spacing w:before="100" w:after="100"/>
        <w:ind w:left="1080" w:firstLine="0"/>
        <w:rPr>
          <w:rFonts w:ascii="Arial" w:hAnsi="Arial" w:cs="Arial"/>
          <w:spacing w:val="-3"/>
          <w:szCs w:val="24"/>
          <w:lang w:val="es-ES"/>
        </w:rPr>
      </w:pPr>
    </w:p>
    <w:p w14:paraId="3FA8FB12" w14:textId="77777777" w:rsidR="00C419B8" w:rsidRPr="001C59A0" w:rsidRDefault="00C419B8" w:rsidP="00C419B8">
      <w:pPr>
        <w:pStyle w:val="Paragraph"/>
        <w:tabs>
          <w:tab w:val="clear" w:pos="1440"/>
        </w:tabs>
        <w:spacing w:before="100" w:after="100"/>
        <w:ind w:left="900" w:firstLine="0"/>
        <w:jc w:val="center"/>
        <w:rPr>
          <w:rFonts w:ascii="Arial" w:hAnsi="Arial" w:cs="Arial"/>
          <w:spacing w:val="-3"/>
          <w:szCs w:val="24"/>
          <w:lang w:val="es-ES"/>
        </w:rPr>
      </w:pPr>
      <w:r w:rsidRPr="001C59A0">
        <w:rPr>
          <w:rFonts w:ascii="Arial" w:hAnsi="Arial" w:cs="Arial"/>
          <w:b/>
          <w:bCs/>
          <w:color w:val="000000"/>
          <w:sz w:val="20"/>
          <w:lang w:val="es-ES"/>
        </w:rPr>
        <w:t>Plan de Trabajo de Evaluación</w:t>
      </w:r>
    </w:p>
    <w:tbl>
      <w:tblPr>
        <w:tblW w:w="5525" w:type="pct"/>
        <w:jc w:val="center"/>
        <w:tblLayout w:type="fixed"/>
        <w:tblLook w:val="04A0" w:firstRow="1" w:lastRow="0" w:firstColumn="1" w:lastColumn="0" w:noHBand="0" w:noVBand="1"/>
      </w:tblPr>
      <w:tblGrid>
        <w:gridCol w:w="4763"/>
        <w:gridCol w:w="665"/>
        <w:gridCol w:w="686"/>
        <w:gridCol w:w="631"/>
        <w:gridCol w:w="722"/>
        <w:gridCol w:w="2064"/>
      </w:tblGrid>
      <w:tr w:rsidR="00874EF4" w:rsidRPr="001C59A0" w14:paraId="69FCB720" w14:textId="77777777" w:rsidTr="00874EF4">
        <w:trPr>
          <w:trHeight w:val="277"/>
          <w:jc w:val="center"/>
        </w:trPr>
        <w:tc>
          <w:tcPr>
            <w:tcW w:w="2498" w:type="pct"/>
            <w:vMerge w:val="restart"/>
            <w:tcBorders>
              <w:top w:val="single" w:sz="8" w:space="0" w:color="auto"/>
              <w:left w:val="single" w:sz="8" w:space="0" w:color="auto"/>
              <w:right w:val="single" w:sz="8" w:space="0" w:color="auto"/>
            </w:tcBorders>
            <w:shd w:val="clear" w:color="000000" w:fill="D9D9D9"/>
            <w:noWrap/>
            <w:vAlign w:val="center"/>
            <w:hideMark/>
          </w:tcPr>
          <w:p w14:paraId="50B4AFEA" w14:textId="77777777" w:rsidR="00874EF4" w:rsidRPr="001C59A0" w:rsidRDefault="00874EF4" w:rsidP="00DE4B10">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Actividad</w:t>
            </w:r>
          </w:p>
        </w:tc>
        <w:tc>
          <w:tcPr>
            <w:tcW w:w="709" w:type="pct"/>
            <w:gridSpan w:val="2"/>
            <w:tcBorders>
              <w:top w:val="single" w:sz="8" w:space="0" w:color="auto"/>
              <w:left w:val="nil"/>
              <w:right w:val="single" w:sz="8" w:space="0" w:color="000000"/>
            </w:tcBorders>
            <w:shd w:val="clear" w:color="000000" w:fill="D9D9D9"/>
            <w:noWrap/>
            <w:vAlign w:val="center"/>
            <w:hideMark/>
          </w:tcPr>
          <w:p w14:paraId="6C5BFFC3" w14:textId="00314552" w:rsidR="00874EF4" w:rsidRPr="001C59A0" w:rsidRDefault="00874EF4"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2018</w:t>
            </w:r>
          </w:p>
        </w:tc>
        <w:tc>
          <w:tcPr>
            <w:tcW w:w="710" w:type="pct"/>
            <w:gridSpan w:val="2"/>
            <w:tcBorders>
              <w:top w:val="single" w:sz="8" w:space="0" w:color="auto"/>
              <w:left w:val="nil"/>
              <w:bottom w:val="single" w:sz="8" w:space="0" w:color="auto"/>
              <w:right w:val="single" w:sz="8" w:space="0" w:color="000000"/>
            </w:tcBorders>
            <w:shd w:val="clear" w:color="000000" w:fill="D9D9D9"/>
            <w:noWrap/>
            <w:vAlign w:val="center"/>
            <w:hideMark/>
          </w:tcPr>
          <w:p w14:paraId="79C49881" w14:textId="4DAD7C51" w:rsidR="00874EF4" w:rsidRPr="001C59A0" w:rsidRDefault="00874EF4"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2019</w:t>
            </w:r>
          </w:p>
        </w:tc>
        <w:tc>
          <w:tcPr>
            <w:tcW w:w="1084" w:type="pct"/>
            <w:vMerge w:val="restart"/>
            <w:tcBorders>
              <w:top w:val="single" w:sz="8" w:space="0" w:color="auto"/>
              <w:left w:val="single" w:sz="8" w:space="0" w:color="auto"/>
              <w:right w:val="single" w:sz="4" w:space="0" w:color="auto"/>
            </w:tcBorders>
            <w:shd w:val="clear" w:color="000000" w:fill="D9D9D9"/>
          </w:tcPr>
          <w:p w14:paraId="061B8CFF" w14:textId="77777777" w:rsidR="00874EF4" w:rsidRPr="001C59A0" w:rsidRDefault="00874EF4" w:rsidP="00DE4B10">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Responsable y Costo</w:t>
            </w:r>
          </w:p>
        </w:tc>
      </w:tr>
      <w:tr w:rsidR="00874EF4" w:rsidRPr="001C59A0" w14:paraId="5ADF583D" w14:textId="77777777" w:rsidTr="00874EF4">
        <w:trPr>
          <w:trHeight w:val="349"/>
          <w:jc w:val="center"/>
        </w:trPr>
        <w:tc>
          <w:tcPr>
            <w:tcW w:w="2498" w:type="pct"/>
            <w:vMerge/>
            <w:tcBorders>
              <w:left w:val="single" w:sz="8" w:space="0" w:color="auto"/>
              <w:bottom w:val="single" w:sz="8" w:space="0" w:color="000000"/>
              <w:right w:val="single" w:sz="8" w:space="0" w:color="auto"/>
            </w:tcBorders>
            <w:shd w:val="clear" w:color="000000" w:fill="D9D9D9"/>
            <w:noWrap/>
            <w:vAlign w:val="center"/>
          </w:tcPr>
          <w:p w14:paraId="127E813D" w14:textId="77777777" w:rsidR="00874EF4" w:rsidRPr="001C59A0" w:rsidRDefault="00874EF4" w:rsidP="00DE4B10">
            <w:pPr>
              <w:spacing w:before="120" w:after="120"/>
              <w:jc w:val="center"/>
              <w:rPr>
                <w:rFonts w:ascii="Arial" w:hAnsi="Arial" w:cs="Arial"/>
                <w:b/>
                <w:bCs/>
                <w:color w:val="000000"/>
                <w:sz w:val="18"/>
                <w:szCs w:val="20"/>
                <w:lang w:val="es-ES"/>
              </w:rPr>
            </w:pPr>
          </w:p>
        </w:tc>
        <w:tc>
          <w:tcPr>
            <w:tcW w:w="349" w:type="pct"/>
            <w:tcBorders>
              <w:top w:val="single" w:sz="8" w:space="0" w:color="auto"/>
              <w:left w:val="nil"/>
              <w:right w:val="single" w:sz="8" w:space="0" w:color="000000"/>
            </w:tcBorders>
            <w:shd w:val="clear" w:color="000000" w:fill="D9D9D9"/>
            <w:noWrap/>
            <w:vAlign w:val="center"/>
          </w:tcPr>
          <w:p w14:paraId="54D00D4B" w14:textId="1275CC20" w:rsidR="00874EF4" w:rsidRDefault="00874EF4"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I</w:t>
            </w:r>
          </w:p>
        </w:tc>
        <w:tc>
          <w:tcPr>
            <w:tcW w:w="360" w:type="pct"/>
            <w:tcBorders>
              <w:top w:val="single" w:sz="8" w:space="0" w:color="auto"/>
              <w:left w:val="nil"/>
              <w:right w:val="single" w:sz="8" w:space="0" w:color="000000"/>
            </w:tcBorders>
            <w:shd w:val="clear" w:color="000000" w:fill="D9D9D9"/>
            <w:vAlign w:val="center"/>
          </w:tcPr>
          <w:p w14:paraId="5A019DB6" w14:textId="3502B33D" w:rsidR="00874EF4" w:rsidRDefault="00874EF4"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II</w:t>
            </w:r>
          </w:p>
        </w:tc>
        <w:tc>
          <w:tcPr>
            <w:tcW w:w="331" w:type="pct"/>
            <w:tcBorders>
              <w:top w:val="single" w:sz="8" w:space="0" w:color="auto"/>
              <w:left w:val="nil"/>
              <w:bottom w:val="single" w:sz="8" w:space="0" w:color="auto"/>
              <w:right w:val="single" w:sz="8" w:space="0" w:color="000000"/>
            </w:tcBorders>
            <w:shd w:val="clear" w:color="000000" w:fill="D9D9D9"/>
            <w:noWrap/>
            <w:vAlign w:val="center"/>
          </w:tcPr>
          <w:p w14:paraId="19A0030D" w14:textId="43A2EA53" w:rsidR="00874EF4" w:rsidRDefault="00874EF4"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I</w:t>
            </w:r>
          </w:p>
        </w:tc>
        <w:tc>
          <w:tcPr>
            <w:tcW w:w="379" w:type="pct"/>
            <w:tcBorders>
              <w:top w:val="single" w:sz="8" w:space="0" w:color="auto"/>
              <w:left w:val="nil"/>
              <w:bottom w:val="single" w:sz="8" w:space="0" w:color="auto"/>
              <w:right w:val="single" w:sz="8" w:space="0" w:color="000000"/>
            </w:tcBorders>
            <w:shd w:val="clear" w:color="000000" w:fill="D9D9D9"/>
            <w:vAlign w:val="center"/>
          </w:tcPr>
          <w:p w14:paraId="7085A2E4" w14:textId="2C9938CD" w:rsidR="00874EF4" w:rsidRDefault="00874EF4"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II</w:t>
            </w:r>
          </w:p>
        </w:tc>
        <w:tc>
          <w:tcPr>
            <w:tcW w:w="1084" w:type="pct"/>
            <w:vMerge/>
            <w:tcBorders>
              <w:left w:val="single" w:sz="8" w:space="0" w:color="auto"/>
              <w:right w:val="single" w:sz="4" w:space="0" w:color="auto"/>
            </w:tcBorders>
            <w:shd w:val="clear" w:color="000000" w:fill="D9D9D9"/>
          </w:tcPr>
          <w:p w14:paraId="51C70388" w14:textId="77777777" w:rsidR="00874EF4" w:rsidRPr="001C59A0" w:rsidRDefault="00874EF4" w:rsidP="00DE4B10">
            <w:pPr>
              <w:spacing w:before="120" w:after="120"/>
              <w:jc w:val="center"/>
              <w:rPr>
                <w:rFonts w:ascii="Arial" w:hAnsi="Arial" w:cs="Arial"/>
                <w:b/>
                <w:bCs/>
                <w:color w:val="000000"/>
                <w:sz w:val="18"/>
                <w:szCs w:val="20"/>
                <w:lang w:val="es-ES"/>
              </w:rPr>
            </w:pPr>
          </w:p>
        </w:tc>
      </w:tr>
      <w:tr w:rsidR="00625725" w:rsidRPr="0033349F" w14:paraId="15146120" w14:textId="77777777" w:rsidTr="00874EF4">
        <w:trPr>
          <w:trHeight w:val="394"/>
          <w:jc w:val="center"/>
        </w:trPr>
        <w:tc>
          <w:tcPr>
            <w:tcW w:w="2498" w:type="pct"/>
            <w:tcBorders>
              <w:top w:val="nil"/>
              <w:left w:val="single" w:sz="8" w:space="0" w:color="auto"/>
              <w:bottom w:val="single" w:sz="8" w:space="0" w:color="auto"/>
              <w:right w:val="single" w:sz="8" w:space="0" w:color="auto"/>
            </w:tcBorders>
            <w:shd w:val="clear" w:color="auto" w:fill="auto"/>
            <w:noWrap/>
            <w:vAlign w:val="center"/>
            <w:hideMark/>
          </w:tcPr>
          <w:p w14:paraId="1F0A3213" w14:textId="77777777" w:rsidR="00625725" w:rsidRPr="00063817" w:rsidRDefault="00625725" w:rsidP="00DE4B10">
            <w:pPr>
              <w:rPr>
                <w:rFonts w:ascii="Arial" w:hAnsi="Arial" w:cs="Arial"/>
                <w:b/>
                <w:bCs/>
                <w:color w:val="000000"/>
                <w:sz w:val="18"/>
                <w:szCs w:val="20"/>
                <w:lang w:val="es-MX"/>
              </w:rPr>
            </w:pPr>
            <w:r w:rsidRPr="00063817">
              <w:rPr>
                <w:rFonts w:ascii="Arial" w:hAnsi="Arial" w:cs="Arial"/>
                <w:b/>
                <w:bCs/>
                <w:color w:val="000000"/>
                <w:sz w:val="18"/>
                <w:szCs w:val="20"/>
                <w:lang w:val="es-MX"/>
              </w:rPr>
              <w:t xml:space="preserve">Informe de Terminación de Proyecto (PCR) </w:t>
            </w:r>
          </w:p>
        </w:tc>
        <w:tc>
          <w:tcPr>
            <w:tcW w:w="349" w:type="pct"/>
            <w:tcBorders>
              <w:top w:val="single" w:sz="8" w:space="0" w:color="auto"/>
              <w:left w:val="nil"/>
              <w:bottom w:val="single" w:sz="8" w:space="0" w:color="auto"/>
              <w:right w:val="single" w:sz="8" w:space="0" w:color="auto"/>
            </w:tcBorders>
            <w:shd w:val="clear" w:color="auto" w:fill="auto"/>
            <w:noWrap/>
            <w:vAlign w:val="center"/>
            <w:hideMark/>
          </w:tcPr>
          <w:p w14:paraId="652FC882" w14:textId="77777777" w:rsidR="00625725" w:rsidRPr="001C59A0" w:rsidRDefault="00625725" w:rsidP="00DE4B10">
            <w:pPr>
              <w:jc w:val="center"/>
              <w:rPr>
                <w:rFonts w:ascii="Arial" w:hAnsi="Arial" w:cs="Arial"/>
                <w:bCs/>
                <w:color w:val="000000"/>
                <w:sz w:val="18"/>
                <w:szCs w:val="20"/>
                <w:lang w:val="es-MX"/>
              </w:rPr>
            </w:pPr>
          </w:p>
          <w:p w14:paraId="752C199C" w14:textId="77777777" w:rsidR="00625725" w:rsidRPr="001C59A0" w:rsidRDefault="00625725" w:rsidP="00DE4B10">
            <w:pPr>
              <w:jc w:val="center"/>
              <w:rPr>
                <w:rFonts w:ascii="Arial" w:hAnsi="Arial" w:cs="Arial"/>
                <w:bCs/>
                <w:color w:val="000000"/>
                <w:sz w:val="18"/>
                <w:szCs w:val="20"/>
                <w:lang w:val="es-MX"/>
              </w:rPr>
            </w:pPr>
          </w:p>
        </w:tc>
        <w:tc>
          <w:tcPr>
            <w:tcW w:w="360" w:type="pct"/>
            <w:tcBorders>
              <w:top w:val="single" w:sz="8" w:space="0" w:color="auto"/>
              <w:left w:val="nil"/>
              <w:bottom w:val="single" w:sz="8" w:space="0" w:color="auto"/>
              <w:right w:val="single" w:sz="8" w:space="0" w:color="auto"/>
            </w:tcBorders>
            <w:shd w:val="clear" w:color="auto" w:fill="auto"/>
            <w:noWrap/>
            <w:vAlign w:val="center"/>
          </w:tcPr>
          <w:p w14:paraId="37DF7593" w14:textId="77777777" w:rsidR="00625725" w:rsidRPr="001C59A0" w:rsidRDefault="00625725" w:rsidP="00DE4B10">
            <w:pPr>
              <w:jc w:val="center"/>
              <w:rPr>
                <w:rFonts w:ascii="Arial" w:hAnsi="Arial" w:cs="Arial"/>
                <w:bCs/>
                <w:color w:val="000000"/>
                <w:sz w:val="18"/>
                <w:szCs w:val="20"/>
                <w:lang w:val="es-MX"/>
              </w:rPr>
            </w:pPr>
          </w:p>
        </w:tc>
        <w:tc>
          <w:tcPr>
            <w:tcW w:w="331"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2AE64A4" w14:textId="4BA5005C" w:rsidR="00625725" w:rsidRPr="001C59A0" w:rsidRDefault="00625725"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hideMark/>
          </w:tcPr>
          <w:p w14:paraId="4757B20F" w14:textId="77777777" w:rsidR="00625725" w:rsidRPr="001C59A0" w:rsidRDefault="00625725" w:rsidP="00DE4B10">
            <w:pPr>
              <w:jc w:val="center"/>
              <w:rPr>
                <w:rFonts w:ascii="Arial" w:hAnsi="Arial" w:cs="Arial"/>
                <w:bCs/>
                <w:color w:val="000000"/>
                <w:sz w:val="18"/>
                <w:szCs w:val="20"/>
                <w:lang w:val="es-MX"/>
              </w:rPr>
            </w:pPr>
          </w:p>
          <w:p w14:paraId="0A56B20F" w14:textId="77777777" w:rsidR="00625725" w:rsidRPr="001C59A0" w:rsidRDefault="00625725" w:rsidP="00DE4B10">
            <w:pPr>
              <w:jc w:val="center"/>
              <w:rPr>
                <w:rFonts w:ascii="Arial" w:hAnsi="Arial" w:cs="Arial"/>
                <w:bCs/>
                <w:color w:val="000000"/>
                <w:sz w:val="18"/>
                <w:szCs w:val="20"/>
                <w:lang w:val="es-MX"/>
              </w:rPr>
            </w:pPr>
          </w:p>
        </w:tc>
        <w:tc>
          <w:tcPr>
            <w:tcW w:w="1084" w:type="pct"/>
            <w:tcBorders>
              <w:top w:val="single" w:sz="8" w:space="0" w:color="auto"/>
              <w:left w:val="nil"/>
              <w:bottom w:val="single" w:sz="8" w:space="0" w:color="auto"/>
              <w:right w:val="single" w:sz="8" w:space="0" w:color="auto"/>
            </w:tcBorders>
            <w:shd w:val="clear" w:color="auto" w:fill="auto"/>
            <w:vAlign w:val="center"/>
          </w:tcPr>
          <w:p w14:paraId="3AF99D4D" w14:textId="61BD8FDB" w:rsidR="00625725" w:rsidRPr="001C59A0" w:rsidRDefault="00625725" w:rsidP="00625725">
            <w:pPr>
              <w:jc w:val="center"/>
              <w:rPr>
                <w:rFonts w:ascii="Arial" w:hAnsi="Arial" w:cs="Arial"/>
                <w:bCs/>
                <w:color w:val="000000"/>
                <w:sz w:val="18"/>
                <w:szCs w:val="20"/>
                <w:lang w:val="es-MX"/>
              </w:rPr>
            </w:pPr>
          </w:p>
        </w:tc>
      </w:tr>
      <w:tr w:rsidR="00874EF4" w:rsidRPr="00063817" w14:paraId="3CB5F127" w14:textId="77777777" w:rsidTr="00874EF4">
        <w:trPr>
          <w:trHeight w:val="394"/>
          <w:jc w:val="center"/>
        </w:trPr>
        <w:tc>
          <w:tcPr>
            <w:tcW w:w="2498" w:type="pct"/>
            <w:tcBorders>
              <w:top w:val="nil"/>
              <w:left w:val="single" w:sz="8" w:space="0" w:color="auto"/>
              <w:bottom w:val="single" w:sz="8" w:space="0" w:color="auto"/>
              <w:right w:val="single" w:sz="8" w:space="0" w:color="auto"/>
            </w:tcBorders>
            <w:shd w:val="clear" w:color="auto" w:fill="auto"/>
            <w:noWrap/>
            <w:vAlign w:val="center"/>
          </w:tcPr>
          <w:p w14:paraId="4FBBAD65" w14:textId="5EC23D3D" w:rsidR="00874EF4" w:rsidRPr="001C59A0" w:rsidRDefault="00874EF4" w:rsidP="00063817">
            <w:pPr>
              <w:jc w:val="right"/>
              <w:rPr>
                <w:rFonts w:ascii="Arial" w:hAnsi="Arial" w:cs="Arial"/>
                <w:bCs/>
                <w:color w:val="000000"/>
                <w:sz w:val="18"/>
                <w:szCs w:val="20"/>
                <w:lang w:val="es-MX"/>
              </w:rPr>
            </w:pPr>
            <w:r>
              <w:rPr>
                <w:rFonts w:ascii="Arial" w:hAnsi="Arial" w:cs="Arial"/>
                <w:bCs/>
                <w:color w:val="000000"/>
                <w:sz w:val="18"/>
                <w:szCs w:val="20"/>
                <w:lang w:val="es-MX"/>
              </w:rPr>
              <w:t>Contratación de consultor para la preparación del PCR</w:t>
            </w:r>
          </w:p>
        </w:tc>
        <w:tc>
          <w:tcPr>
            <w:tcW w:w="349" w:type="pct"/>
            <w:tcBorders>
              <w:top w:val="single" w:sz="8" w:space="0" w:color="auto"/>
              <w:left w:val="nil"/>
              <w:bottom w:val="single" w:sz="8" w:space="0" w:color="auto"/>
              <w:right w:val="single" w:sz="8" w:space="0" w:color="auto"/>
            </w:tcBorders>
            <w:shd w:val="clear" w:color="auto" w:fill="auto"/>
            <w:noWrap/>
            <w:vAlign w:val="center"/>
          </w:tcPr>
          <w:p w14:paraId="6DF7D0BC" w14:textId="77777777" w:rsidR="00874EF4" w:rsidRPr="001C59A0" w:rsidRDefault="00874EF4" w:rsidP="00DE4B10">
            <w:pPr>
              <w:jc w:val="center"/>
              <w:rPr>
                <w:rFonts w:ascii="Arial" w:hAnsi="Arial" w:cs="Arial"/>
                <w:bCs/>
                <w:color w:val="000000"/>
                <w:sz w:val="18"/>
                <w:szCs w:val="20"/>
                <w:lang w:val="es-MX"/>
              </w:rPr>
            </w:pPr>
          </w:p>
        </w:tc>
        <w:tc>
          <w:tcPr>
            <w:tcW w:w="36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70FAABD" w14:textId="77777777" w:rsidR="00874EF4" w:rsidRPr="001C59A0" w:rsidRDefault="00874EF4" w:rsidP="00DE4B10">
            <w:pPr>
              <w:jc w:val="center"/>
              <w:rPr>
                <w:rFonts w:ascii="Arial" w:hAnsi="Arial" w:cs="Arial"/>
                <w:bCs/>
                <w:color w:val="000000"/>
                <w:sz w:val="18"/>
                <w:szCs w:val="20"/>
                <w:lang w:val="es-MX"/>
              </w:rPr>
            </w:pPr>
          </w:p>
        </w:tc>
        <w:tc>
          <w:tcPr>
            <w:tcW w:w="331" w:type="pct"/>
            <w:tcBorders>
              <w:top w:val="single" w:sz="8" w:space="0" w:color="auto"/>
              <w:left w:val="nil"/>
              <w:bottom w:val="single" w:sz="8" w:space="0" w:color="auto"/>
              <w:right w:val="single" w:sz="8" w:space="0" w:color="auto"/>
            </w:tcBorders>
            <w:shd w:val="clear" w:color="auto" w:fill="auto"/>
            <w:noWrap/>
            <w:vAlign w:val="center"/>
          </w:tcPr>
          <w:p w14:paraId="0F160AFA" w14:textId="77777777" w:rsidR="00874EF4" w:rsidRDefault="00874EF4"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tcPr>
          <w:p w14:paraId="5BAFC507" w14:textId="77777777" w:rsidR="00874EF4" w:rsidRPr="001C59A0" w:rsidRDefault="00874EF4" w:rsidP="00DE4B10">
            <w:pPr>
              <w:jc w:val="center"/>
              <w:rPr>
                <w:rFonts w:ascii="Arial" w:hAnsi="Arial" w:cs="Arial"/>
                <w:bCs/>
                <w:color w:val="000000"/>
                <w:sz w:val="18"/>
                <w:szCs w:val="20"/>
                <w:lang w:val="es-MX"/>
              </w:rPr>
            </w:pPr>
          </w:p>
        </w:tc>
        <w:tc>
          <w:tcPr>
            <w:tcW w:w="1084" w:type="pct"/>
            <w:vMerge w:val="restart"/>
            <w:tcBorders>
              <w:top w:val="single" w:sz="8" w:space="0" w:color="auto"/>
              <w:left w:val="nil"/>
              <w:right w:val="single" w:sz="8" w:space="0" w:color="auto"/>
            </w:tcBorders>
            <w:shd w:val="clear" w:color="auto" w:fill="auto"/>
            <w:vAlign w:val="center"/>
          </w:tcPr>
          <w:p w14:paraId="01267DD4" w14:textId="00FBB7C4" w:rsidR="00874EF4" w:rsidRPr="001C59A0" w:rsidRDefault="00874EF4" w:rsidP="00625725">
            <w:pPr>
              <w:jc w:val="center"/>
              <w:rPr>
                <w:rFonts w:ascii="Arial" w:hAnsi="Arial" w:cs="Arial"/>
                <w:bCs/>
                <w:color w:val="000000"/>
                <w:sz w:val="18"/>
                <w:szCs w:val="20"/>
                <w:lang w:val="es-MX"/>
              </w:rPr>
            </w:pPr>
            <w:r w:rsidRPr="001C59A0">
              <w:rPr>
                <w:rFonts w:ascii="Arial" w:hAnsi="Arial" w:cs="Arial"/>
                <w:bCs/>
                <w:color w:val="000000"/>
                <w:sz w:val="18"/>
                <w:szCs w:val="20"/>
                <w:lang w:val="es-MX"/>
              </w:rPr>
              <w:t>US$15,000</w:t>
            </w:r>
            <w:r>
              <w:rPr>
                <w:rFonts w:ascii="Arial" w:hAnsi="Arial" w:cs="Arial"/>
                <w:bCs/>
                <w:color w:val="000000"/>
                <w:sz w:val="18"/>
                <w:szCs w:val="20"/>
                <w:lang w:val="es-MX"/>
              </w:rPr>
              <w:t xml:space="preserve"> IDB</w:t>
            </w:r>
          </w:p>
        </w:tc>
      </w:tr>
      <w:tr w:rsidR="00874EF4" w:rsidRPr="0033349F" w14:paraId="2D7624B2" w14:textId="77777777" w:rsidTr="00874EF4">
        <w:trPr>
          <w:trHeight w:val="394"/>
          <w:jc w:val="center"/>
        </w:trPr>
        <w:tc>
          <w:tcPr>
            <w:tcW w:w="2498" w:type="pct"/>
            <w:tcBorders>
              <w:top w:val="nil"/>
              <w:left w:val="single" w:sz="8" w:space="0" w:color="auto"/>
              <w:bottom w:val="single" w:sz="8" w:space="0" w:color="auto"/>
              <w:right w:val="single" w:sz="8" w:space="0" w:color="auto"/>
            </w:tcBorders>
            <w:shd w:val="clear" w:color="auto" w:fill="auto"/>
            <w:noWrap/>
            <w:vAlign w:val="center"/>
          </w:tcPr>
          <w:p w14:paraId="12CF33E7" w14:textId="1C16C77D" w:rsidR="00874EF4" w:rsidRPr="001C59A0" w:rsidRDefault="00874EF4" w:rsidP="00063817">
            <w:pPr>
              <w:jc w:val="right"/>
              <w:rPr>
                <w:rFonts w:ascii="Arial" w:hAnsi="Arial" w:cs="Arial"/>
                <w:bCs/>
                <w:color w:val="000000"/>
                <w:sz w:val="18"/>
                <w:szCs w:val="20"/>
                <w:lang w:val="es-MX"/>
              </w:rPr>
            </w:pPr>
            <w:r>
              <w:rPr>
                <w:rFonts w:ascii="Arial" w:hAnsi="Arial" w:cs="Arial"/>
                <w:bCs/>
                <w:color w:val="000000"/>
                <w:sz w:val="18"/>
                <w:szCs w:val="20"/>
                <w:lang w:val="es-MX"/>
              </w:rPr>
              <w:t>Entrega y aprobación del PCR</w:t>
            </w:r>
          </w:p>
        </w:tc>
        <w:tc>
          <w:tcPr>
            <w:tcW w:w="349" w:type="pct"/>
            <w:tcBorders>
              <w:top w:val="single" w:sz="8" w:space="0" w:color="auto"/>
              <w:left w:val="nil"/>
              <w:bottom w:val="single" w:sz="8" w:space="0" w:color="auto"/>
              <w:right w:val="single" w:sz="8" w:space="0" w:color="auto"/>
            </w:tcBorders>
            <w:shd w:val="clear" w:color="auto" w:fill="auto"/>
            <w:noWrap/>
            <w:vAlign w:val="center"/>
          </w:tcPr>
          <w:p w14:paraId="3206DB3E" w14:textId="77777777" w:rsidR="00874EF4" w:rsidRPr="001C59A0" w:rsidRDefault="00874EF4" w:rsidP="00DE4B10">
            <w:pPr>
              <w:jc w:val="center"/>
              <w:rPr>
                <w:rFonts w:ascii="Arial" w:hAnsi="Arial" w:cs="Arial"/>
                <w:bCs/>
                <w:color w:val="000000"/>
                <w:sz w:val="18"/>
                <w:szCs w:val="20"/>
                <w:lang w:val="es-MX"/>
              </w:rPr>
            </w:pPr>
          </w:p>
        </w:tc>
        <w:tc>
          <w:tcPr>
            <w:tcW w:w="360" w:type="pct"/>
            <w:tcBorders>
              <w:top w:val="single" w:sz="8" w:space="0" w:color="auto"/>
              <w:left w:val="nil"/>
              <w:bottom w:val="single" w:sz="8" w:space="0" w:color="auto"/>
              <w:right w:val="single" w:sz="8" w:space="0" w:color="auto"/>
            </w:tcBorders>
            <w:shd w:val="clear" w:color="auto" w:fill="auto"/>
            <w:noWrap/>
            <w:vAlign w:val="center"/>
          </w:tcPr>
          <w:p w14:paraId="4C15A773" w14:textId="77777777" w:rsidR="00874EF4" w:rsidRPr="001C59A0" w:rsidRDefault="00874EF4" w:rsidP="00DE4B10">
            <w:pPr>
              <w:jc w:val="center"/>
              <w:rPr>
                <w:rFonts w:ascii="Arial" w:hAnsi="Arial" w:cs="Arial"/>
                <w:bCs/>
                <w:color w:val="000000"/>
                <w:sz w:val="18"/>
                <w:szCs w:val="20"/>
                <w:lang w:val="es-MX"/>
              </w:rPr>
            </w:pPr>
          </w:p>
        </w:tc>
        <w:tc>
          <w:tcPr>
            <w:tcW w:w="331"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75C5BD04" w14:textId="77777777" w:rsidR="00874EF4" w:rsidRPr="001C59A0" w:rsidRDefault="00874EF4"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tcPr>
          <w:p w14:paraId="3DF14547" w14:textId="77777777" w:rsidR="00874EF4" w:rsidRPr="001C59A0" w:rsidRDefault="00874EF4" w:rsidP="00DE4B10">
            <w:pPr>
              <w:jc w:val="center"/>
              <w:rPr>
                <w:rFonts w:ascii="Arial" w:hAnsi="Arial" w:cs="Arial"/>
                <w:bCs/>
                <w:color w:val="000000"/>
                <w:sz w:val="18"/>
                <w:szCs w:val="20"/>
                <w:lang w:val="es-MX"/>
              </w:rPr>
            </w:pPr>
          </w:p>
        </w:tc>
        <w:tc>
          <w:tcPr>
            <w:tcW w:w="1084" w:type="pct"/>
            <w:vMerge/>
            <w:tcBorders>
              <w:left w:val="nil"/>
              <w:bottom w:val="single" w:sz="8" w:space="0" w:color="auto"/>
              <w:right w:val="single" w:sz="8" w:space="0" w:color="auto"/>
            </w:tcBorders>
            <w:shd w:val="clear" w:color="auto" w:fill="auto"/>
            <w:vAlign w:val="center"/>
          </w:tcPr>
          <w:p w14:paraId="6BFB9453" w14:textId="3C2DA306" w:rsidR="00874EF4" w:rsidRPr="001C59A0" w:rsidRDefault="00874EF4" w:rsidP="00625725">
            <w:pPr>
              <w:jc w:val="center"/>
              <w:rPr>
                <w:rFonts w:ascii="Arial" w:hAnsi="Arial" w:cs="Arial"/>
                <w:bCs/>
                <w:color w:val="000000"/>
                <w:sz w:val="18"/>
                <w:szCs w:val="20"/>
                <w:lang w:val="es-MX"/>
              </w:rPr>
            </w:pPr>
          </w:p>
        </w:tc>
      </w:tr>
      <w:tr w:rsidR="00625725" w:rsidRPr="001C59A0" w14:paraId="1766AAC7" w14:textId="77777777" w:rsidTr="00874EF4">
        <w:trPr>
          <w:trHeight w:val="394"/>
          <w:jc w:val="center"/>
        </w:trPr>
        <w:tc>
          <w:tcPr>
            <w:tcW w:w="2498" w:type="pct"/>
            <w:tcBorders>
              <w:top w:val="nil"/>
              <w:left w:val="single" w:sz="8" w:space="0" w:color="auto"/>
              <w:bottom w:val="single" w:sz="8" w:space="0" w:color="auto"/>
              <w:right w:val="single" w:sz="8" w:space="0" w:color="auto"/>
            </w:tcBorders>
            <w:shd w:val="clear" w:color="auto" w:fill="auto"/>
            <w:noWrap/>
            <w:vAlign w:val="center"/>
          </w:tcPr>
          <w:p w14:paraId="49DECD69" w14:textId="77777777" w:rsidR="00625725" w:rsidRPr="00063817" w:rsidRDefault="00625725" w:rsidP="00DE4B10">
            <w:pPr>
              <w:rPr>
                <w:rFonts w:ascii="Arial" w:hAnsi="Arial" w:cs="Arial"/>
                <w:b/>
                <w:bCs/>
                <w:color w:val="000000"/>
                <w:sz w:val="18"/>
                <w:szCs w:val="20"/>
                <w:lang w:val="es-MX"/>
              </w:rPr>
            </w:pPr>
            <w:r w:rsidRPr="00063817">
              <w:rPr>
                <w:rFonts w:ascii="Arial" w:hAnsi="Arial" w:cs="Arial"/>
                <w:b/>
                <w:bCs/>
                <w:color w:val="000000"/>
                <w:sz w:val="18"/>
                <w:szCs w:val="20"/>
                <w:lang w:val="es-MX"/>
              </w:rPr>
              <w:t>Evaluación económica ex post</w:t>
            </w:r>
          </w:p>
        </w:tc>
        <w:tc>
          <w:tcPr>
            <w:tcW w:w="349" w:type="pct"/>
            <w:tcBorders>
              <w:top w:val="single" w:sz="8" w:space="0" w:color="auto"/>
              <w:left w:val="nil"/>
              <w:bottom w:val="single" w:sz="8" w:space="0" w:color="auto"/>
              <w:right w:val="single" w:sz="8" w:space="0" w:color="auto"/>
            </w:tcBorders>
            <w:shd w:val="clear" w:color="auto" w:fill="auto"/>
            <w:noWrap/>
            <w:vAlign w:val="center"/>
          </w:tcPr>
          <w:p w14:paraId="037B053F" w14:textId="77777777" w:rsidR="00625725" w:rsidRPr="001C59A0" w:rsidRDefault="00625725" w:rsidP="00DE4B10">
            <w:pPr>
              <w:jc w:val="center"/>
              <w:rPr>
                <w:rFonts w:ascii="Arial" w:hAnsi="Arial" w:cs="Arial"/>
                <w:bCs/>
                <w:color w:val="000000"/>
                <w:sz w:val="18"/>
                <w:szCs w:val="20"/>
                <w:lang w:val="es-MX"/>
              </w:rPr>
            </w:pPr>
          </w:p>
        </w:tc>
        <w:tc>
          <w:tcPr>
            <w:tcW w:w="360" w:type="pct"/>
            <w:tcBorders>
              <w:top w:val="single" w:sz="8" w:space="0" w:color="auto"/>
              <w:left w:val="nil"/>
              <w:bottom w:val="single" w:sz="8" w:space="0" w:color="auto"/>
              <w:right w:val="single" w:sz="8" w:space="0" w:color="auto"/>
            </w:tcBorders>
            <w:shd w:val="clear" w:color="auto" w:fill="auto"/>
            <w:noWrap/>
            <w:vAlign w:val="center"/>
          </w:tcPr>
          <w:p w14:paraId="2184FC09" w14:textId="77777777" w:rsidR="00625725" w:rsidRPr="001C59A0" w:rsidRDefault="00625725" w:rsidP="00DE4B10">
            <w:pPr>
              <w:jc w:val="center"/>
              <w:rPr>
                <w:rFonts w:ascii="Arial" w:hAnsi="Arial" w:cs="Arial"/>
                <w:bCs/>
                <w:color w:val="000000"/>
                <w:sz w:val="18"/>
                <w:szCs w:val="20"/>
                <w:lang w:val="es-MX"/>
              </w:rPr>
            </w:pPr>
          </w:p>
        </w:tc>
        <w:tc>
          <w:tcPr>
            <w:tcW w:w="331" w:type="pct"/>
            <w:tcBorders>
              <w:top w:val="single" w:sz="8" w:space="0" w:color="auto"/>
              <w:left w:val="nil"/>
              <w:bottom w:val="single" w:sz="8" w:space="0" w:color="auto"/>
              <w:right w:val="single" w:sz="8" w:space="0" w:color="auto"/>
            </w:tcBorders>
            <w:shd w:val="clear" w:color="auto" w:fill="auto"/>
            <w:noWrap/>
            <w:vAlign w:val="center"/>
          </w:tcPr>
          <w:p w14:paraId="05C596F3" w14:textId="77777777" w:rsidR="00625725" w:rsidRPr="001C59A0" w:rsidRDefault="00625725" w:rsidP="00625725">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tcPr>
          <w:p w14:paraId="1AA59077" w14:textId="1A5B5B40" w:rsidR="00625725" w:rsidRPr="001C59A0" w:rsidRDefault="00625725" w:rsidP="00625725">
            <w:pPr>
              <w:jc w:val="center"/>
              <w:rPr>
                <w:rFonts w:ascii="Arial" w:hAnsi="Arial" w:cs="Arial"/>
                <w:bCs/>
                <w:color w:val="000000"/>
                <w:sz w:val="18"/>
                <w:szCs w:val="20"/>
                <w:lang w:val="es-MX"/>
              </w:rPr>
            </w:pPr>
          </w:p>
        </w:tc>
        <w:tc>
          <w:tcPr>
            <w:tcW w:w="1084" w:type="pct"/>
            <w:tcBorders>
              <w:top w:val="single" w:sz="8" w:space="0" w:color="auto"/>
              <w:left w:val="nil"/>
              <w:bottom w:val="single" w:sz="8" w:space="0" w:color="auto"/>
              <w:right w:val="single" w:sz="8" w:space="0" w:color="auto"/>
            </w:tcBorders>
            <w:shd w:val="clear" w:color="auto" w:fill="auto"/>
            <w:vAlign w:val="center"/>
          </w:tcPr>
          <w:p w14:paraId="5CA3EA76" w14:textId="76F8F2A1" w:rsidR="00625725" w:rsidRPr="001C59A0" w:rsidRDefault="00625725" w:rsidP="007F5B8A">
            <w:pPr>
              <w:jc w:val="center"/>
              <w:rPr>
                <w:rFonts w:ascii="Arial" w:hAnsi="Arial" w:cs="Arial"/>
                <w:bCs/>
                <w:color w:val="000000"/>
                <w:sz w:val="18"/>
                <w:szCs w:val="20"/>
                <w:lang w:val="es-MX"/>
              </w:rPr>
            </w:pPr>
          </w:p>
        </w:tc>
      </w:tr>
      <w:tr w:rsidR="00874EF4" w:rsidRPr="00063817" w14:paraId="798345BC" w14:textId="77777777" w:rsidTr="00874EF4">
        <w:trPr>
          <w:trHeight w:val="394"/>
          <w:jc w:val="center"/>
        </w:trPr>
        <w:tc>
          <w:tcPr>
            <w:tcW w:w="2498" w:type="pct"/>
            <w:tcBorders>
              <w:top w:val="nil"/>
              <w:left w:val="single" w:sz="8" w:space="0" w:color="auto"/>
              <w:bottom w:val="single" w:sz="8" w:space="0" w:color="auto"/>
              <w:right w:val="single" w:sz="8" w:space="0" w:color="auto"/>
            </w:tcBorders>
            <w:shd w:val="clear" w:color="auto" w:fill="auto"/>
            <w:noWrap/>
            <w:vAlign w:val="center"/>
          </w:tcPr>
          <w:p w14:paraId="0D06FA19" w14:textId="425445F5" w:rsidR="00874EF4" w:rsidRDefault="00874EF4" w:rsidP="00063817">
            <w:pPr>
              <w:jc w:val="right"/>
              <w:rPr>
                <w:rFonts w:ascii="Arial" w:hAnsi="Arial" w:cs="Arial"/>
                <w:bCs/>
                <w:color w:val="000000"/>
                <w:sz w:val="18"/>
                <w:szCs w:val="20"/>
                <w:lang w:val="es-MX"/>
              </w:rPr>
            </w:pPr>
            <w:r>
              <w:rPr>
                <w:rFonts w:ascii="Arial" w:hAnsi="Arial" w:cs="Arial"/>
                <w:bCs/>
                <w:color w:val="000000"/>
                <w:sz w:val="18"/>
                <w:szCs w:val="20"/>
                <w:lang w:val="es-MX"/>
              </w:rPr>
              <w:t>Contratación de consultor para la preparación del PCR</w:t>
            </w:r>
          </w:p>
        </w:tc>
        <w:tc>
          <w:tcPr>
            <w:tcW w:w="349" w:type="pct"/>
            <w:tcBorders>
              <w:top w:val="single" w:sz="8" w:space="0" w:color="auto"/>
              <w:left w:val="nil"/>
              <w:bottom w:val="single" w:sz="8" w:space="0" w:color="auto"/>
              <w:right w:val="single" w:sz="8" w:space="0" w:color="auto"/>
            </w:tcBorders>
            <w:shd w:val="clear" w:color="auto" w:fill="auto"/>
            <w:noWrap/>
            <w:vAlign w:val="center"/>
          </w:tcPr>
          <w:p w14:paraId="5FB54515" w14:textId="77777777" w:rsidR="00874EF4" w:rsidRPr="001C59A0" w:rsidRDefault="00874EF4" w:rsidP="00DE4B10">
            <w:pPr>
              <w:jc w:val="center"/>
              <w:rPr>
                <w:rFonts w:ascii="Arial" w:hAnsi="Arial" w:cs="Arial"/>
                <w:bCs/>
                <w:color w:val="000000"/>
                <w:sz w:val="18"/>
                <w:szCs w:val="20"/>
                <w:lang w:val="es-MX"/>
              </w:rPr>
            </w:pPr>
          </w:p>
        </w:tc>
        <w:tc>
          <w:tcPr>
            <w:tcW w:w="36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482812B7" w14:textId="77777777" w:rsidR="00874EF4" w:rsidRPr="001C59A0" w:rsidRDefault="00874EF4" w:rsidP="00DE4B10">
            <w:pPr>
              <w:jc w:val="center"/>
              <w:rPr>
                <w:rFonts w:ascii="Arial" w:hAnsi="Arial" w:cs="Arial"/>
                <w:bCs/>
                <w:color w:val="000000"/>
                <w:sz w:val="18"/>
                <w:szCs w:val="20"/>
                <w:lang w:val="es-MX"/>
              </w:rPr>
            </w:pPr>
          </w:p>
        </w:tc>
        <w:tc>
          <w:tcPr>
            <w:tcW w:w="331" w:type="pct"/>
            <w:tcBorders>
              <w:top w:val="single" w:sz="8" w:space="0" w:color="auto"/>
              <w:left w:val="nil"/>
              <w:bottom w:val="single" w:sz="8" w:space="0" w:color="auto"/>
              <w:right w:val="single" w:sz="8" w:space="0" w:color="auto"/>
            </w:tcBorders>
            <w:shd w:val="clear" w:color="auto" w:fill="auto"/>
            <w:noWrap/>
            <w:vAlign w:val="center"/>
          </w:tcPr>
          <w:p w14:paraId="4462D963" w14:textId="77777777" w:rsidR="00874EF4" w:rsidRPr="001C59A0" w:rsidRDefault="00874EF4" w:rsidP="00625725">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tcPr>
          <w:p w14:paraId="1F3A7BD1" w14:textId="77777777" w:rsidR="00874EF4" w:rsidRPr="001C59A0" w:rsidRDefault="00874EF4" w:rsidP="00625725">
            <w:pPr>
              <w:jc w:val="center"/>
              <w:rPr>
                <w:rFonts w:ascii="Arial" w:hAnsi="Arial" w:cs="Arial"/>
                <w:bCs/>
                <w:color w:val="000000"/>
                <w:sz w:val="18"/>
                <w:szCs w:val="20"/>
                <w:lang w:val="es-MX"/>
              </w:rPr>
            </w:pPr>
          </w:p>
        </w:tc>
        <w:tc>
          <w:tcPr>
            <w:tcW w:w="1084" w:type="pct"/>
            <w:vMerge w:val="restart"/>
            <w:tcBorders>
              <w:top w:val="single" w:sz="8" w:space="0" w:color="auto"/>
              <w:left w:val="nil"/>
              <w:right w:val="single" w:sz="8" w:space="0" w:color="auto"/>
            </w:tcBorders>
            <w:shd w:val="clear" w:color="auto" w:fill="auto"/>
            <w:vAlign w:val="center"/>
          </w:tcPr>
          <w:p w14:paraId="21ACB407" w14:textId="48FEB83F" w:rsidR="00874EF4" w:rsidRPr="001C59A0" w:rsidRDefault="00874EF4" w:rsidP="007F5B8A">
            <w:pPr>
              <w:jc w:val="center"/>
              <w:rPr>
                <w:rFonts w:ascii="Arial" w:hAnsi="Arial" w:cs="Arial"/>
                <w:bCs/>
                <w:color w:val="000000"/>
                <w:sz w:val="18"/>
                <w:szCs w:val="20"/>
                <w:lang w:val="es-MX"/>
              </w:rPr>
            </w:pPr>
            <w:r w:rsidRPr="001C59A0">
              <w:rPr>
                <w:rFonts w:ascii="Arial" w:hAnsi="Arial" w:cs="Arial"/>
                <w:bCs/>
                <w:color w:val="000000"/>
                <w:sz w:val="18"/>
                <w:szCs w:val="20"/>
                <w:lang w:val="es-MX"/>
              </w:rPr>
              <w:t>US$</w:t>
            </w:r>
            <w:r>
              <w:rPr>
                <w:rFonts w:ascii="Arial" w:hAnsi="Arial" w:cs="Arial"/>
                <w:bCs/>
                <w:color w:val="000000"/>
                <w:sz w:val="18"/>
                <w:szCs w:val="20"/>
                <w:lang w:val="es-MX"/>
              </w:rPr>
              <w:t>20</w:t>
            </w:r>
            <w:r w:rsidRPr="001C59A0">
              <w:rPr>
                <w:rFonts w:ascii="Arial" w:hAnsi="Arial" w:cs="Arial"/>
                <w:bCs/>
                <w:color w:val="000000"/>
                <w:sz w:val="18"/>
                <w:szCs w:val="20"/>
                <w:lang w:val="es-MX"/>
              </w:rPr>
              <w:t>,000 IDB</w:t>
            </w:r>
          </w:p>
        </w:tc>
      </w:tr>
      <w:tr w:rsidR="00874EF4" w:rsidRPr="0033349F" w14:paraId="57DF6BEF" w14:textId="77777777" w:rsidTr="00874EF4">
        <w:trPr>
          <w:trHeight w:val="394"/>
          <w:jc w:val="center"/>
        </w:trPr>
        <w:tc>
          <w:tcPr>
            <w:tcW w:w="2498" w:type="pct"/>
            <w:tcBorders>
              <w:top w:val="nil"/>
              <w:left w:val="single" w:sz="8" w:space="0" w:color="auto"/>
              <w:bottom w:val="single" w:sz="8" w:space="0" w:color="auto"/>
              <w:right w:val="single" w:sz="8" w:space="0" w:color="auto"/>
            </w:tcBorders>
            <w:shd w:val="clear" w:color="auto" w:fill="auto"/>
            <w:noWrap/>
            <w:vAlign w:val="center"/>
          </w:tcPr>
          <w:p w14:paraId="525480E9" w14:textId="08C65814" w:rsidR="00874EF4" w:rsidRDefault="00874EF4" w:rsidP="00063817">
            <w:pPr>
              <w:jc w:val="right"/>
              <w:rPr>
                <w:rFonts w:ascii="Arial" w:hAnsi="Arial" w:cs="Arial"/>
                <w:bCs/>
                <w:color w:val="000000"/>
                <w:sz w:val="18"/>
                <w:szCs w:val="20"/>
                <w:lang w:val="es-MX"/>
              </w:rPr>
            </w:pPr>
            <w:r>
              <w:rPr>
                <w:rFonts w:ascii="Arial" w:hAnsi="Arial" w:cs="Arial"/>
                <w:bCs/>
                <w:color w:val="000000"/>
                <w:sz w:val="18"/>
                <w:szCs w:val="20"/>
                <w:lang w:val="es-MX"/>
              </w:rPr>
              <w:t xml:space="preserve">Entrega y aprobación de la evaluación económica </w:t>
            </w:r>
          </w:p>
        </w:tc>
        <w:tc>
          <w:tcPr>
            <w:tcW w:w="349" w:type="pct"/>
            <w:tcBorders>
              <w:top w:val="single" w:sz="8" w:space="0" w:color="auto"/>
              <w:left w:val="nil"/>
              <w:bottom w:val="single" w:sz="8" w:space="0" w:color="auto"/>
              <w:right w:val="single" w:sz="8" w:space="0" w:color="auto"/>
            </w:tcBorders>
            <w:shd w:val="clear" w:color="auto" w:fill="auto"/>
            <w:noWrap/>
            <w:vAlign w:val="center"/>
          </w:tcPr>
          <w:p w14:paraId="0EE23D12" w14:textId="77777777" w:rsidR="00874EF4" w:rsidRPr="001C59A0" w:rsidRDefault="00874EF4" w:rsidP="00DE4B10">
            <w:pPr>
              <w:jc w:val="center"/>
              <w:rPr>
                <w:rFonts w:ascii="Arial" w:hAnsi="Arial" w:cs="Arial"/>
                <w:bCs/>
                <w:color w:val="000000"/>
                <w:sz w:val="18"/>
                <w:szCs w:val="20"/>
                <w:lang w:val="es-MX"/>
              </w:rPr>
            </w:pPr>
          </w:p>
        </w:tc>
        <w:tc>
          <w:tcPr>
            <w:tcW w:w="360" w:type="pct"/>
            <w:tcBorders>
              <w:top w:val="single" w:sz="8" w:space="0" w:color="auto"/>
              <w:left w:val="nil"/>
              <w:bottom w:val="single" w:sz="8" w:space="0" w:color="auto"/>
              <w:right w:val="single" w:sz="8" w:space="0" w:color="auto"/>
            </w:tcBorders>
            <w:shd w:val="clear" w:color="auto" w:fill="auto"/>
            <w:noWrap/>
            <w:vAlign w:val="center"/>
          </w:tcPr>
          <w:p w14:paraId="184D8786" w14:textId="77777777" w:rsidR="00874EF4" w:rsidRPr="001C59A0" w:rsidRDefault="00874EF4" w:rsidP="00DE4B10">
            <w:pPr>
              <w:jc w:val="center"/>
              <w:rPr>
                <w:rFonts w:ascii="Arial" w:hAnsi="Arial" w:cs="Arial"/>
                <w:bCs/>
                <w:color w:val="000000"/>
                <w:sz w:val="18"/>
                <w:szCs w:val="20"/>
                <w:lang w:val="es-MX"/>
              </w:rPr>
            </w:pPr>
          </w:p>
        </w:tc>
        <w:tc>
          <w:tcPr>
            <w:tcW w:w="331"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7154EB0E" w14:textId="77777777" w:rsidR="00874EF4" w:rsidRPr="001C59A0" w:rsidRDefault="00874EF4" w:rsidP="00625725">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tcPr>
          <w:p w14:paraId="61CA6DF2" w14:textId="77777777" w:rsidR="00874EF4" w:rsidRPr="001C59A0" w:rsidRDefault="00874EF4" w:rsidP="00625725">
            <w:pPr>
              <w:jc w:val="center"/>
              <w:rPr>
                <w:rFonts w:ascii="Arial" w:hAnsi="Arial" w:cs="Arial"/>
                <w:bCs/>
                <w:color w:val="000000"/>
                <w:sz w:val="18"/>
                <w:szCs w:val="20"/>
                <w:lang w:val="es-MX"/>
              </w:rPr>
            </w:pPr>
          </w:p>
        </w:tc>
        <w:tc>
          <w:tcPr>
            <w:tcW w:w="1084" w:type="pct"/>
            <w:vMerge/>
            <w:tcBorders>
              <w:left w:val="nil"/>
              <w:bottom w:val="single" w:sz="8" w:space="0" w:color="auto"/>
              <w:right w:val="single" w:sz="8" w:space="0" w:color="auto"/>
            </w:tcBorders>
            <w:shd w:val="clear" w:color="auto" w:fill="auto"/>
            <w:vAlign w:val="center"/>
          </w:tcPr>
          <w:p w14:paraId="2DE8D27A" w14:textId="77777777" w:rsidR="00874EF4" w:rsidRPr="001C59A0" w:rsidRDefault="00874EF4" w:rsidP="007F5B8A">
            <w:pPr>
              <w:jc w:val="center"/>
              <w:rPr>
                <w:rFonts w:ascii="Arial" w:hAnsi="Arial" w:cs="Arial"/>
                <w:bCs/>
                <w:color w:val="000000"/>
                <w:sz w:val="18"/>
                <w:szCs w:val="20"/>
                <w:lang w:val="es-MX"/>
              </w:rPr>
            </w:pPr>
          </w:p>
        </w:tc>
      </w:tr>
      <w:tr w:rsidR="00625725" w:rsidRPr="001C59A0" w14:paraId="3A506FEC" w14:textId="77777777" w:rsidTr="00874EF4">
        <w:trPr>
          <w:trHeight w:val="394"/>
          <w:jc w:val="center"/>
        </w:trPr>
        <w:tc>
          <w:tcPr>
            <w:tcW w:w="2498" w:type="pct"/>
            <w:tcBorders>
              <w:top w:val="nil"/>
              <w:left w:val="single" w:sz="8" w:space="0" w:color="auto"/>
              <w:bottom w:val="single" w:sz="8" w:space="0" w:color="auto"/>
              <w:right w:val="single" w:sz="8" w:space="0" w:color="auto"/>
            </w:tcBorders>
            <w:shd w:val="clear" w:color="auto" w:fill="auto"/>
            <w:noWrap/>
            <w:vAlign w:val="center"/>
          </w:tcPr>
          <w:p w14:paraId="58B25C13" w14:textId="77777777" w:rsidR="00625725" w:rsidRPr="00874EF4" w:rsidRDefault="00625725" w:rsidP="00874EF4">
            <w:pPr>
              <w:jc w:val="center"/>
              <w:rPr>
                <w:rFonts w:ascii="Arial" w:hAnsi="Arial" w:cs="Arial"/>
                <w:b/>
                <w:bCs/>
                <w:color w:val="000000"/>
                <w:sz w:val="18"/>
                <w:szCs w:val="20"/>
                <w:lang w:val="es-MX"/>
              </w:rPr>
            </w:pPr>
            <w:r w:rsidRPr="00874EF4">
              <w:rPr>
                <w:rFonts w:ascii="Arial" w:hAnsi="Arial" w:cs="Arial"/>
                <w:b/>
                <w:bCs/>
                <w:color w:val="000000"/>
                <w:sz w:val="18"/>
                <w:szCs w:val="20"/>
                <w:lang w:val="es-MX"/>
              </w:rPr>
              <w:t>Total</w:t>
            </w:r>
          </w:p>
        </w:tc>
        <w:tc>
          <w:tcPr>
            <w:tcW w:w="2502" w:type="pct"/>
            <w:gridSpan w:val="5"/>
            <w:tcBorders>
              <w:top w:val="single" w:sz="8" w:space="0" w:color="auto"/>
              <w:left w:val="nil"/>
              <w:bottom w:val="single" w:sz="8" w:space="0" w:color="auto"/>
              <w:right w:val="single" w:sz="8" w:space="0" w:color="auto"/>
            </w:tcBorders>
            <w:shd w:val="clear" w:color="auto" w:fill="auto"/>
            <w:noWrap/>
            <w:vAlign w:val="center"/>
          </w:tcPr>
          <w:p w14:paraId="4D831F31" w14:textId="51C7FEB7" w:rsidR="00625725" w:rsidRPr="001C59A0" w:rsidRDefault="00531586" w:rsidP="00625725">
            <w:pPr>
              <w:jc w:val="right"/>
              <w:rPr>
                <w:rFonts w:ascii="Arial" w:hAnsi="Arial" w:cs="Arial"/>
                <w:bCs/>
                <w:color w:val="000000"/>
                <w:sz w:val="18"/>
                <w:szCs w:val="20"/>
                <w:lang w:val="es-MX"/>
              </w:rPr>
            </w:pPr>
            <w:r>
              <w:rPr>
                <w:rFonts w:ascii="Arial" w:hAnsi="Arial" w:cs="Arial"/>
                <w:bCs/>
                <w:color w:val="000000"/>
                <w:sz w:val="18"/>
                <w:szCs w:val="20"/>
                <w:lang w:val="es-MX"/>
              </w:rPr>
              <w:t xml:space="preserve">US$ </w:t>
            </w:r>
            <w:r w:rsidR="00874EF4">
              <w:rPr>
                <w:rFonts w:ascii="Arial" w:hAnsi="Arial" w:cs="Arial"/>
                <w:bCs/>
                <w:color w:val="000000"/>
                <w:sz w:val="18"/>
                <w:szCs w:val="20"/>
                <w:lang w:val="es-MX"/>
              </w:rPr>
              <w:t>40</w:t>
            </w:r>
            <w:r w:rsidR="00625725" w:rsidRPr="001C59A0">
              <w:rPr>
                <w:rFonts w:ascii="Arial" w:hAnsi="Arial" w:cs="Arial"/>
                <w:bCs/>
                <w:color w:val="000000"/>
                <w:sz w:val="18"/>
                <w:szCs w:val="20"/>
                <w:lang w:val="es-MX"/>
              </w:rPr>
              <w:t>,000</w:t>
            </w:r>
          </w:p>
        </w:tc>
      </w:tr>
    </w:tbl>
    <w:p w14:paraId="3AE27166" w14:textId="628E75A5" w:rsidR="00C419B8" w:rsidRDefault="00C419B8" w:rsidP="00474389">
      <w:pPr>
        <w:pStyle w:val="Paragraph"/>
        <w:tabs>
          <w:tab w:val="clear" w:pos="1440"/>
        </w:tabs>
        <w:spacing w:before="100" w:after="100"/>
        <w:ind w:left="900" w:firstLine="0"/>
        <w:rPr>
          <w:rFonts w:ascii="Arial" w:hAnsi="Arial" w:cs="Arial"/>
          <w:b/>
          <w:lang w:val="es-ES" w:eastAsia="x-none"/>
        </w:rPr>
      </w:pPr>
    </w:p>
    <w:p w14:paraId="0E441BFA" w14:textId="65F201E9" w:rsidR="003D27B8" w:rsidRDefault="003D27B8" w:rsidP="00474389">
      <w:pPr>
        <w:pStyle w:val="Paragraph"/>
        <w:tabs>
          <w:tab w:val="clear" w:pos="1440"/>
        </w:tabs>
        <w:spacing w:before="100" w:after="100"/>
        <w:ind w:left="900" w:firstLine="0"/>
        <w:rPr>
          <w:rFonts w:ascii="Arial" w:hAnsi="Arial" w:cs="Arial"/>
          <w:b/>
          <w:lang w:val="es-ES" w:eastAsia="x-none"/>
        </w:rPr>
      </w:pPr>
    </w:p>
    <w:p w14:paraId="71FC5B53" w14:textId="5388B432" w:rsidR="00874EF4" w:rsidRPr="00F72C79" w:rsidRDefault="003D27B8" w:rsidP="003D27B8">
      <w:pPr>
        <w:pStyle w:val="Paragraph"/>
        <w:numPr>
          <w:ilvl w:val="1"/>
          <w:numId w:val="4"/>
        </w:numPr>
        <w:spacing w:before="100" w:after="100"/>
        <w:ind w:left="540" w:hanging="540"/>
        <w:rPr>
          <w:rFonts w:ascii="Arial" w:hAnsi="Arial" w:cs="Arial"/>
          <w:b/>
          <w:lang w:val="es-ES" w:eastAsia="x-none"/>
        </w:rPr>
      </w:pPr>
      <w:r w:rsidRPr="00F72C79">
        <w:rPr>
          <w:rFonts w:ascii="Arial" w:hAnsi="Arial" w:cs="Arial"/>
          <w:szCs w:val="24"/>
          <w:lang w:val="es-ES"/>
        </w:rPr>
        <w:t xml:space="preserve">Para la preparación de la evaluación económica ex post y el informe de terminación del proyecto, </w:t>
      </w:r>
      <w:r w:rsidR="00874EF4" w:rsidRPr="00F72C79">
        <w:rPr>
          <w:rFonts w:ascii="Arial" w:hAnsi="Arial" w:cs="Arial"/>
          <w:szCs w:val="24"/>
          <w:lang w:val="es-ES"/>
        </w:rPr>
        <w:t>y adicionalmente a los medios de verificación para los compromisos del programa, se empleará la siguiente información, la cual será recopilada</w:t>
      </w:r>
      <w:r w:rsidR="00F72C79" w:rsidRPr="00F72C79">
        <w:rPr>
          <w:rFonts w:ascii="Arial" w:hAnsi="Arial" w:cs="Arial"/>
          <w:szCs w:val="24"/>
          <w:lang w:val="es-ES"/>
        </w:rPr>
        <w:t xml:space="preserve"> en el segundo semestre de 2018</w:t>
      </w:r>
      <w:r w:rsidR="00F72C79">
        <w:rPr>
          <w:rFonts w:ascii="Arial" w:hAnsi="Arial" w:cs="Arial"/>
          <w:szCs w:val="24"/>
          <w:lang w:val="es-ES"/>
        </w:rPr>
        <w:t xml:space="preserve">: </w:t>
      </w:r>
      <w:r w:rsidR="00874EF4" w:rsidRPr="00F72C79">
        <w:rPr>
          <w:rFonts w:ascii="Arial" w:hAnsi="Arial" w:cs="Arial"/>
          <w:szCs w:val="24"/>
          <w:lang w:val="es-ES"/>
        </w:rPr>
        <w:t xml:space="preserve"> </w:t>
      </w:r>
    </w:p>
    <w:p w14:paraId="5BC8B184" w14:textId="25EFF6CA" w:rsidR="003D27B8" w:rsidRPr="00F72C79" w:rsidRDefault="003D27B8" w:rsidP="00F72C79">
      <w:pPr>
        <w:pStyle w:val="Paragraph"/>
        <w:numPr>
          <w:ilvl w:val="1"/>
          <w:numId w:val="45"/>
        </w:numPr>
        <w:spacing w:before="100" w:after="100"/>
        <w:rPr>
          <w:rFonts w:ascii="Arial" w:hAnsi="Arial" w:cs="Arial"/>
          <w:szCs w:val="24"/>
          <w:lang w:val="es-ES"/>
        </w:rPr>
      </w:pPr>
      <w:r w:rsidRPr="00F72C79">
        <w:rPr>
          <w:rFonts w:ascii="Arial" w:hAnsi="Arial" w:cs="Arial"/>
          <w:szCs w:val="24"/>
          <w:lang w:val="es-ES"/>
        </w:rPr>
        <w:t>Informes ENEE</w:t>
      </w:r>
      <w:r w:rsidR="00F72C79" w:rsidRPr="00F72C79">
        <w:rPr>
          <w:rFonts w:ascii="Arial" w:hAnsi="Arial" w:cs="Arial"/>
          <w:szCs w:val="24"/>
          <w:lang w:val="es-ES"/>
        </w:rPr>
        <w:t xml:space="preserve"> presentado la evolución los valores del </w:t>
      </w:r>
      <w:r w:rsidRPr="00F72C79">
        <w:rPr>
          <w:rFonts w:ascii="Arial" w:hAnsi="Arial" w:cs="Arial"/>
          <w:szCs w:val="24"/>
          <w:lang w:val="es-ES"/>
        </w:rPr>
        <w:t xml:space="preserve">índice </w:t>
      </w:r>
      <w:r w:rsidR="00F72C79" w:rsidRPr="00F72C79">
        <w:rPr>
          <w:rFonts w:ascii="Arial" w:hAnsi="Arial" w:cs="Arial"/>
          <w:szCs w:val="24"/>
          <w:lang w:val="es-ES"/>
        </w:rPr>
        <w:t xml:space="preserve">perdidas entre 2014 y 2018, y sus proyecciones. </w:t>
      </w:r>
    </w:p>
    <w:p w14:paraId="4029E563" w14:textId="251BACB2" w:rsidR="003D27B8" w:rsidRPr="00F72C79" w:rsidRDefault="00F72C79" w:rsidP="00F72C79">
      <w:pPr>
        <w:pStyle w:val="Paragraph"/>
        <w:numPr>
          <w:ilvl w:val="1"/>
          <w:numId w:val="45"/>
        </w:numPr>
        <w:spacing w:before="100" w:after="100"/>
        <w:rPr>
          <w:rFonts w:ascii="Arial" w:hAnsi="Arial" w:cs="Arial"/>
          <w:szCs w:val="24"/>
          <w:lang w:val="es-ES"/>
        </w:rPr>
      </w:pPr>
      <w:r w:rsidRPr="00F72C79">
        <w:rPr>
          <w:rFonts w:ascii="Arial" w:hAnsi="Arial" w:cs="Arial"/>
          <w:szCs w:val="24"/>
          <w:lang w:val="es-ES"/>
        </w:rPr>
        <w:t>Informes de</w:t>
      </w:r>
      <w:r w:rsidR="003D27B8" w:rsidRPr="00F72C79">
        <w:rPr>
          <w:rFonts w:ascii="Arial" w:hAnsi="Arial" w:cs="Arial"/>
          <w:szCs w:val="24"/>
          <w:lang w:val="es-ES"/>
        </w:rPr>
        <w:t xml:space="preserve"> CENNIS sobre la entrega de subsidios con base en su focalización, de acuerdo con el reglamento de subsidios</w:t>
      </w:r>
      <w:r w:rsidRPr="00F72C79">
        <w:rPr>
          <w:rFonts w:ascii="Arial" w:hAnsi="Arial" w:cs="Arial"/>
          <w:szCs w:val="24"/>
          <w:lang w:val="es-ES"/>
        </w:rPr>
        <w:t xml:space="preserve"> hasta el año 2018.</w:t>
      </w:r>
    </w:p>
    <w:p w14:paraId="1D38520F" w14:textId="0343994E" w:rsidR="003D27B8" w:rsidRPr="00F72C79" w:rsidRDefault="00F72C79" w:rsidP="00F72C79">
      <w:pPr>
        <w:pStyle w:val="Paragraph"/>
        <w:numPr>
          <w:ilvl w:val="1"/>
          <w:numId w:val="45"/>
        </w:numPr>
        <w:spacing w:before="100" w:after="100"/>
        <w:rPr>
          <w:rFonts w:ascii="Arial" w:hAnsi="Arial" w:cs="Arial"/>
          <w:szCs w:val="24"/>
          <w:lang w:val="es-ES"/>
        </w:rPr>
      </w:pPr>
      <w:r w:rsidRPr="00F72C79">
        <w:rPr>
          <w:rFonts w:ascii="Arial" w:hAnsi="Arial" w:cs="Arial"/>
          <w:szCs w:val="24"/>
          <w:lang w:val="es-ES"/>
        </w:rPr>
        <w:t xml:space="preserve">Informe de la SEFIN </w:t>
      </w:r>
      <w:r w:rsidR="003D27B8" w:rsidRPr="00F72C79">
        <w:rPr>
          <w:rFonts w:ascii="Arial" w:hAnsi="Arial" w:cs="Arial"/>
          <w:szCs w:val="24"/>
          <w:lang w:val="es-ES"/>
        </w:rPr>
        <w:t xml:space="preserve">remitiendo el pago de gasto (F01) </w:t>
      </w:r>
      <w:r w:rsidRPr="00F72C79">
        <w:rPr>
          <w:rFonts w:ascii="Arial" w:hAnsi="Arial" w:cs="Arial"/>
          <w:szCs w:val="24"/>
          <w:lang w:val="es-ES"/>
        </w:rPr>
        <w:t xml:space="preserve">con </w:t>
      </w:r>
      <w:r w:rsidR="003D27B8" w:rsidRPr="00F72C79">
        <w:rPr>
          <w:rFonts w:ascii="Arial" w:hAnsi="Arial" w:cs="Arial"/>
          <w:szCs w:val="24"/>
          <w:lang w:val="es-ES"/>
        </w:rPr>
        <w:t>notificación de asignación recursos</w:t>
      </w:r>
      <w:r w:rsidRPr="00F72C79">
        <w:rPr>
          <w:rFonts w:ascii="Arial" w:hAnsi="Arial" w:cs="Arial"/>
          <w:szCs w:val="24"/>
          <w:lang w:val="es-ES"/>
        </w:rPr>
        <w:t xml:space="preserve"> presupuestarios</w:t>
      </w:r>
      <w:r w:rsidR="003D27B8" w:rsidRPr="00F72C79">
        <w:rPr>
          <w:rFonts w:ascii="Arial" w:hAnsi="Arial" w:cs="Arial"/>
          <w:szCs w:val="24"/>
          <w:lang w:val="es-ES"/>
        </w:rPr>
        <w:t>.</w:t>
      </w:r>
    </w:p>
    <w:p w14:paraId="51434FA7" w14:textId="64BE4272" w:rsidR="003D27B8" w:rsidRPr="00F72C79" w:rsidRDefault="00F72C79" w:rsidP="00F72C79">
      <w:pPr>
        <w:pStyle w:val="Paragraph"/>
        <w:numPr>
          <w:ilvl w:val="1"/>
          <w:numId w:val="45"/>
        </w:numPr>
        <w:spacing w:before="100" w:after="100"/>
        <w:rPr>
          <w:rFonts w:ascii="Arial" w:hAnsi="Arial" w:cs="Arial"/>
          <w:szCs w:val="24"/>
          <w:lang w:val="es-ES"/>
        </w:rPr>
      </w:pPr>
      <w:r w:rsidRPr="00F72C79">
        <w:rPr>
          <w:rFonts w:ascii="Arial" w:hAnsi="Arial" w:cs="Arial"/>
          <w:szCs w:val="24"/>
          <w:lang w:val="es-ES"/>
        </w:rPr>
        <w:t xml:space="preserve">Versión actualizada del </w:t>
      </w:r>
      <w:r w:rsidR="003D27B8" w:rsidRPr="00F72C79">
        <w:rPr>
          <w:rFonts w:ascii="Arial" w:hAnsi="Arial" w:cs="Arial"/>
          <w:szCs w:val="24"/>
          <w:lang w:val="es-ES"/>
        </w:rPr>
        <w:t>Plan de expansión de generación que incluye proyectos de generación incluyendo fuent</w:t>
      </w:r>
      <w:r w:rsidRPr="00F72C79">
        <w:rPr>
          <w:rFonts w:ascii="Arial" w:hAnsi="Arial" w:cs="Arial"/>
          <w:szCs w:val="24"/>
          <w:lang w:val="es-ES"/>
        </w:rPr>
        <w:t>es renovables no convencionales.</w:t>
      </w:r>
    </w:p>
    <w:sectPr w:rsidR="003D27B8" w:rsidRPr="00F72C79" w:rsidSect="005951F0">
      <w:headerReference w:type="default" r:id="rId12"/>
      <w:pgSz w:w="12240" w:h="15840"/>
      <w:pgMar w:top="1440" w:right="1800" w:bottom="907"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5808E" w14:textId="77777777" w:rsidR="00B80D13" w:rsidRDefault="00B80D13" w:rsidP="00530A6E">
      <w:r>
        <w:separator/>
      </w:r>
    </w:p>
  </w:endnote>
  <w:endnote w:type="continuationSeparator" w:id="0">
    <w:p w14:paraId="3A335030" w14:textId="77777777" w:rsidR="00B80D13" w:rsidRDefault="00B80D13" w:rsidP="0053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2594D" w14:textId="77777777" w:rsidR="00B80D13" w:rsidRDefault="00B80D13" w:rsidP="00530A6E">
      <w:r>
        <w:separator/>
      </w:r>
    </w:p>
  </w:footnote>
  <w:footnote w:type="continuationSeparator" w:id="0">
    <w:p w14:paraId="2C04DDB8" w14:textId="77777777" w:rsidR="00B80D13" w:rsidRDefault="00B80D13" w:rsidP="00530A6E">
      <w:r>
        <w:continuationSeparator/>
      </w:r>
    </w:p>
  </w:footnote>
  <w:footnote w:id="1">
    <w:p w14:paraId="3B6D6BC2" w14:textId="77777777" w:rsidR="00302DE6" w:rsidRPr="004A61D9" w:rsidRDefault="00302DE6" w:rsidP="00302DE6">
      <w:pPr>
        <w:pStyle w:val="FootnoteText"/>
        <w:ind w:left="270" w:hanging="270"/>
        <w:rPr>
          <w:rFonts w:ascii="Arial" w:hAnsi="Arial" w:cs="Arial"/>
          <w:sz w:val="18"/>
          <w:szCs w:val="18"/>
          <w:lang w:val="es-CO"/>
        </w:rPr>
      </w:pPr>
      <w:r w:rsidRPr="004A61D9">
        <w:rPr>
          <w:rStyle w:val="FootnoteReference"/>
          <w:rFonts w:ascii="Arial" w:eastAsiaTheme="majorEastAsia" w:hAnsi="Arial" w:cs="Arial"/>
          <w:sz w:val="18"/>
          <w:szCs w:val="18"/>
        </w:rPr>
        <w:footnoteRef/>
      </w:r>
      <w:r w:rsidRPr="00112744">
        <w:rPr>
          <w:rFonts w:ascii="Arial" w:hAnsi="Arial" w:cs="Arial"/>
          <w:sz w:val="18"/>
          <w:szCs w:val="18"/>
          <w:lang w:val="es-ES_tradnl"/>
        </w:rPr>
        <w:t xml:space="preserve"> </w:t>
      </w:r>
      <w:r w:rsidRPr="00112744">
        <w:rPr>
          <w:rFonts w:ascii="Arial" w:hAnsi="Arial" w:cs="Arial"/>
          <w:sz w:val="18"/>
          <w:szCs w:val="18"/>
          <w:lang w:val="es-ES_tradnl"/>
        </w:rPr>
        <w:tab/>
      </w:r>
      <w:r w:rsidRPr="004A61D9">
        <w:rPr>
          <w:rFonts w:ascii="Arial" w:hAnsi="Arial" w:cs="Arial"/>
          <w:sz w:val="18"/>
          <w:szCs w:val="18"/>
          <w:lang w:val="es-CO"/>
        </w:rPr>
        <w:t>Por el tipo de operación (PBL) los productos son entregados de manera ex ante.</w:t>
      </w:r>
    </w:p>
  </w:footnote>
  <w:footnote w:id="2">
    <w:p w14:paraId="46D70BC4" w14:textId="77777777" w:rsidR="00302DE6" w:rsidRPr="00302DE6" w:rsidRDefault="00302DE6" w:rsidP="00302DE6">
      <w:pPr>
        <w:pStyle w:val="FootnoteText"/>
        <w:ind w:left="270" w:hanging="270"/>
        <w:jc w:val="both"/>
        <w:rPr>
          <w:rFonts w:ascii="Arial" w:hAnsi="Arial" w:cs="Arial"/>
          <w:sz w:val="18"/>
          <w:szCs w:val="18"/>
          <w:lang w:val="es-ES_tradnl"/>
        </w:rPr>
      </w:pPr>
      <w:r w:rsidRPr="004A61D9">
        <w:rPr>
          <w:rStyle w:val="FootnoteReference"/>
          <w:rFonts w:ascii="Arial" w:eastAsiaTheme="majorEastAsia" w:hAnsi="Arial" w:cs="Arial"/>
          <w:sz w:val="18"/>
          <w:szCs w:val="18"/>
        </w:rPr>
        <w:footnoteRef/>
      </w:r>
      <w:r w:rsidRPr="00302DE6">
        <w:rPr>
          <w:rFonts w:ascii="Arial" w:hAnsi="Arial" w:cs="Arial"/>
          <w:sz w:val="18"/>
          <w:szCs w:val="18"/>
          <w:lang w:val="es-ES_tradnl"/>
        </w:rPr>
        <w:t xml:space="preserve"> </w:t>
      </w:r>
      <w:r w:rsidRPr="00302DE6">
        <w:rPr>
          <w:rFonts w:ascii="Arial" w:hAnsi="Arial" w:cs="Arial"/>
          <w:sz w:val="18"/>
          <w:szCs w:val="18"/>
          <w:lang w:val="es-ES_tradnl"/>
        </w:rPr>
        <w:tab/>
        <w:t>Este indicador refleja los esfuerzos para mejorar la eficiencia de la ENEE que refleja acciones tanto en reducción de pérdidas, diversificación de la matriz energética, reducción de costo de energía comprada, ajustes tarifarios y en la fórmula de combustible y control de gastos operacionales, masa salarial e inversiones.</w:t>
      </w:r>
    </w:p>
  </w:footnote>
  <w:footnote w:id="3">
    <w:p w14:paraId="0694A643" w14:textId="77777777" w:rsidR="00302DE6" w:rsidRPr="00302DE6" w:rsidRDefault="00302DE6" w:rsidP="00302DE6">
      <w:pPr>
        <w:pStyle w:val="FootnoteText"/>
        <w:ind w:left="270" w:hanging="270"/>
        <w:jc w:val="both"/>
        <w:rPr>
          <w:rFonts w:ascii="Arial" w:hAnsi="Arial" w:cs="Arial"/>
          <w:sz w:val="18"/>
          <w:szCs w:val="18"/>
          <w:lang w:val="es-ES_tradnl"/>
        </w:rPr>
      </w:pPr>
      <w:r w:rsidRPr="004A61D9">
        <w:rPr>
          <w:rStyle w:val="FootnoteReference"/>
          <w:rFonts w:ascii="Arial" w:eastAsiaTheme="majorEastAsia" w:hAnsi="Arial" w:cs="Arial"/>
          <w:sz w:val="18"/>
          <w:szCs w:val="18"/>
        </w:rPr>
        <w:footnoteRef/>
      </w:r>
      <w:r w:rsidRPr="00302DE6">
        <w:rPr>
          <w:rFonts w:ascii="Arial" w:hAnsi="Arial" w:cs="Arial"/>
          <w:sz w:val="18"/>
          <w:szCs w:val="18"/>
          <w:lang w:val="es-ES_tradnl"/>
        </w:rPr>
        <w:t xml:space="preserve"> </w:t>
      </w:r>
      <w:r w:rsidRPr="00302DE6">
        <w:rPr>
          <w:rFonts w:ascii="Arial" w:hAnsi="Arial" w:cs="Arial"/>
          <w:sz w:val="18"/>
          <w:szCs w:val="18"/>
          <w:lang w:val="es-ES_tradnl"/>
        </w:rPr>
        <w:tab/>
        <w:t>El indicador se considera en términos de la energía generada, en lugar de capacidad instalada, ya que permite medir mejor el resultado, mostrando la producción efectiva de energía renovable.</w:t>
      </w:r>
    </w:p>
  </w:footnote>
  <w:footnote w:id="4">
    <w:p w14:paraId="24AC5116" w14:textId="77777777" w:rsidR="00B80D13" w:rsidRPr="00D6554E" w:rsidRDefault="00B80D13" w:rsidP="00D6554E">
      <w:pPr>
        <w:pStyle w:val="FootnoteText"/>
        <w:ind w:left="180" w:hanging="180"/>
        <w:rPr>
          <w:sz w:val="18"/>
          <w:szCs w:val="18"/>
          <w:lang w:val="es-BO"/>
        </w:rPr>
      </w:pPr>
      <w:r w:rsidRPr="00D6554E">
        <w:rPr>
          <w:rStyle w:val="FootnoteReference"/>
          <w:sz w:val="18"/>
          <w:szCs w:val="18"/>
        </w:rPr>
        <w:footnoteRef/>
      </w:r>
      <w:r w:rsidRPr="00D6554E">
        <w:rPr>
          <w:sz w:val="18"/>
          <w:szCs w:val="18"/>
          <w:lang w:val="es-BO"/>
        </w:rPr>
        <w:t xml:space="preserve"> </w:t>
      </w:r>
      <w:r w:rsidRPr="00D6554E">
        <w:rPr>
          <w:sz w:val="18"/>
          <w:szCs w:val="18"/>
          <w:lang w:val="es-ES_tradnl" w:eastAsia="es-ES"/>
        </w:rPr>
        <w:t xml:space="preserve">En este caso, el criterio de eficiencia se </w:t>
      </w:r>
      <w:proofErr w:type="gramStart"/>
      <w:r w:rsidRPr="00D6554E">
        <w:rPr>
          <w:sz w:val="18"/>
          <w:szCs w:val="18"/>
          <w:lang w:val="es-ES_tradnl" w:eastAsia="es-ES"/>
        </w:rPr>
        <w:t>evalúa</w:t>
      </w:r>
      <w:proofErr w:type="gramEnd"/>
      <w:r w:rsidRPr="00D6554E">
        <w:rPr>
          <w:sz w:val="18"/>
          <w:szCs w:val="18"/>
          <w:lang w:val="es-ES_tradnl" w:eastAsia="es-ES"/>
        </w:rPr>
        <w:t xml:space="preserve"> pero no se califica al ser un programático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307712577"/>
      <w:docPartObj>
        <w:docPartGallery w:val="Page Numbers (Top of Page)"/>
        <w:docPartUnique/>
      </w:docPartObj>
    </w:sdtPr>
    <w:sdtEndPr>
      <w:rPr>
        <w:sz w:val="24"/>
      </w:rPr>
    </w:sdtEndPr>
    <w:sdtContent>
      <w:p w14:paraId="2306499B" w14:textId="77777777" w:rsidR="00B80D13" w:rsidRDefault="00B80D13" w:rsidP="001167C9">
        <w:pPr>
          <w:pStyle w:val="Header"/>
          <w:jc w:val="right"/>
        </w:pPr>
      </w:p>
      <w:p w14:paraId="43429028" w14:textId="77777777" w:rsidR="00B80D13" w:rsidRPr="001641DD" w:rsidRDefault="0033349F" w:rsidP="001641DD">
        <w:pPr>
          <w:pStyle w:val="Header"/>
          <w:jc w:val="right"/>
          <w:rPr>
            <w:lang w:val="es-ES_tradnl"/>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C7B94"/>
    <w:multiLevelType w:val="hybridMultilevel"/>
    <w:tmpl w:val="5A168DB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4B37A62"/>
    <w:multiLevelType w:val="hybridMultilevel"/>
    <w:tmpl w:val="5448A330"/>
    <w:lvl w:ilvl="0" w:tplc="8892B9BC">
      <w:start w:val="1"/>
      <w:numFmt w:val="decimal"/>
      <w:pStyle w:val="Banknumbered"/>
      <w:lvlText w:val="%1."/>
      <w:lvlJc w:val="left"/>
      <w:pPr>
        <w:ind w:left="720" w:hanging="360"/>
      </w:pPr>
    </w:lvl>
    <w:lvl w:ilvl="1" w:tplc="D062F1AC">
      <w:start w:val="1"/>
      <w:numFmt w:val="lowerLetter"/>
      <w:lvlText w:val="%2."/>
      <w:lvlJc w:val="left"/>
      <w:pPr>
        <w:ind w:left="1440" w:hanging="360"/>
      </w:pPr>
    </w:lvl>
    <w:lvl w:ilvl="2" w:tplc="EC7CEA70">
      <w:start w:val="1"/>
      <w:numFmt w:val="lowerRoman"/>
      <w:lvlText w:val="%3."/>
      <w:lvlJc w:val="right"/>
      <w:pPr>
        <w:ind w:left="2160" w:hanging="180"/>
      </w:pPr>
    </w:lvl>
    <w:lvl w:ilvl="3" w:tplc="7DCC7474">
      <w:start w:val="1"/>
      <w:numFmt w:val="decimal"/>
      <w:lvlText w:val="%4."/>
      <w:lvlJc w:val="left"/>
      <w:pPr>
        <w:ind w:left="2880" w:hanging="360"/>
      </w:pPr>
    </w:lvl>
    <w:lvl w:ilvl="4" w:tplc="F1E46218">
      <w:start w:val="1"/>
      <w:numFmt w:val="lowerLetter"/>
      <w:lvlText w:val="%5."/>
      <w:lvlJc w:val="left"/>
      <w:pPr>
        <w:ind w:left="3600" w:hanging="360"/>
      </w:pPr>
    </w:lvl>
    <w:lvl w:ilvl="5" w:tplc="B2D421B2">
      <w:start w:val="1"/>
      <w:numFmt w:val="lowerRoman"/>
      <w:lvlText w:val="%6."/>
      <w:lvlJc w:val="right"/>
      <w:pPr>
        <w:ind w:left="4320" w:hanging="180"/>
      </w:pPr>
    </w:lvl>
    <w:lvl w:ilvl="6" w:tplc="02CE06CE">
      <w:start w:val="1"/>
      <w:numFmt w:val="decimal"/>
      <w:lvlText w:val="%7."/>
      <w:lvlJc w:val="left"/>
      <w:pPr>
        <w:ind w:left="5040" w:hanging="360"/>
      </w:pPr>
    </w:lvl>
    <w:lvl w:ilvl="7" w:tplc="90F69492">
      <w:start w:val="1"/>
      <w:numFmt w:val="lowerLetter"/>
      <w:lvlText w:val="%8."/>
      <w:lvlJc w:val="left"/>
      <w:pPr>
        <w:ind w:left="5760" w:hanging="360"/>
      </w:pPr>
    </w:lvl>
    <w:lvl w:ilvl="8" w:tplc="5120964A">
      <w:start w:val="1"/>
      <w:numFmt w:val="lowerRoman"/>
      <w:lvlText w:val="%9."/>
      <w:lvlJc w:val="right"/>
      <w:pPr>
        <w:ind w:left="6480" w:hanging="180"/>
      </w:pPr>
    </w:lvl>
  </w:abstractNum>
  <w:abstractNum w:abstractNumId="2" w15:restartNumberingAfterBreak="0">
    <w:nsid w:val="0A3254A0"/>
    <w:multiLevelType w:val="hybridMultilevel"/>
    <w:tmpl w:val="1AA22BF0"/>
    <w:lvl w:ilvl="0" w:tplc="E5220954">
      <w:start w:val="1"/>
      <w:numFmt w:val="lowerLetter"/>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3" w15:restartNumberingAfterBreak="0">
    <w:nsid w:val="0CA3768B"/>
    <w:multiLevelType w:val="hybridMultilevel"/>
    <w:tmpl w:val="1076FB32"/>
    <w:lvl w:ilvl="0" w:tplc="340A0001">
      <w:start w:val="1"/>
      <w:numFmt w:val="bullet"/>
      <w:lvlText w:val=""/>
      <w:lvlJc w:val="left"/>
      <w:pPr>
        <w:ind w:left="765" w:hanging="360"/>
      </w:pPr>
      <w:rPr>
        <w:rFonts w:ascii="Symbol" w:hAnsi="Symbol" w:hint="default"/>
      </w:rPr>
    </w:lvl>
    <w:lvl w:ilvl="1" w:tplc="340A0003">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4" w15:restartNumberingAfterBreak="0">
    <w:nsid w:val="0E0B6CF3"/>
    <w:multiLevelType w:val="hybridMultilevel"/>
    <w:tmpl w:val="7F2077CE"/>
    <w:lvl w:ilvl="0" w:tplc="8FF89194">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3818FC"/>
    <w:multiLevelType w:val="hybridMultilevel"/>
    <w:tmpl w:val="4E884436"/>
    <w:lvl w:ilvl="0" w:tplc="04090001">
      <w:start w:val="1"/>
      <w:numFmt w:val="bullet"/>
      <w:lvlText w:val=""/>
      <w:lvlJc w:val="left"/>
      <w:pPr>
        <w:ind w:left="1043" w:hanging="360"/>
      </w:pPr>
      <w:rPr>
        <w:rFonts w:ascii="Symbol" w:hAnsi="Symbol" w:hint="default"/>
      </w:rPr>
    </w:lvl>
    <w:lvl w:ilvl="1" w:tplc="04090003" w:tentative="1">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6" w15:restartNumberingAfterBreak="0">
    <w:nsid w:val="135A1E92"/>
    <w:multiLevelType w:val="hybridMultilevel"/>
    <w:tmpl w:val="2166C040"/>
    <w:lvl w:ilvl="0" w:tplc="16DAF15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6C654F1"/>
    <w:multiLevelType w:val="hybridMultilevel"/>
    <w:tmpl w:val="19D434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AC4052E"/>
    <w:multiLevelType w:val="hybridMultilevel"/>
    <w:tmpl w:val="C30409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D79533A"/>
    <w:multiLevelType w:val="multilevel"/>
    <w:tmpl w:val="FF560952"/>
    <w:lvl w:ilvl="0">
      <w:start w:val="1"/>
      <w:numFmt w:val="upperRoman"/>
      <w:pStyle w:val="FirstHeading"/>
      <w:lvlText w:val="%1."/>
      <w:lvlJc w:val="righ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666"/>
        </w:tabs>
        <w:ind w:left="666"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0" w15:restartNumberingAfterBreak="0">
    <w:nsid w:val="20D13899"/>
    <w:multiLevelType w:val="hybridMultilevel"/>
    <w:tmpl w:val="F93AEF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260681E"/>
    <w:multiLevelType w:val="hybridMultilevel"/>
    <w:tmpl w:val="7B10A50C"/>
    <w:lvl w:ilvl="0" w:tplc="312E07C4">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61711D"/>
    <w:multiLevelType w:val="hybridMultilevel"/>
    <w:tmpl w:val="AFC483F4"/>
    <w:lvl w:ilvl="0" w:tplc="A0EC231C">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E72B8D"/>
    <w:multiLevelType w:val="multilevel"/>
    <w:tmpl w:val="00A6402E"/>
    <w:lvl w:ilvl="0">
      <w:start w:val="1"/>
      <w:numFmt w:val="upperRoman"/>
      <w:lvlText w:val="%1."/>
      <w:lvlJc w:val="left"/>
      <w:pPr>
        <w:ind w:left="3150" w:hanging="720"/>
      </w:pPr>
      <w:rPr>
        <w:rFonts w:hint="default"/>
        <w:b/>
      </w:rPr>
    </w:lvl>
    <w:lvl w:ilvl="1">
      <w:start w:val="1"/>
      <w:numFmt w:val="decimal"/>
      <w:isLgl/>
      <w:lvlText w:val="%1.%2"/>
      <w:lvlJc w:val="left"/>
      <w:pPr>
        <w:ind w:left="1110" w:hanging="4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4" w15:restartNumberingAfterBreak="0">
    <w:nsid w:val="2E8F62C0"/>
    <w:multiLevelType w:val="hybridMultilevel"/>
    <w:tmpl w:val="DCF6762C"/>
    <w:lvl w:ilvl="0" w:tplc="F092A13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B55E3D"/>
    <w:multiLevelType w:val="hybridMultilevel"/>
    <w:tmpl w:val="E56CF87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1067149"/>
    <w:multiLevelType w:val="hybridMultilevel"/>
    <w:tmpl w:val="EC1A559C"/>
    <w:lvl w:ilvl="0" w:tplc="54A4A546">
      <w:start w:val="20"/>
      <w:numFmt w:val="bullet"/>
      <w:lvlText w:val="-"/>
      <w:lvlJc w:val="left"/>
      <w:pPr>
        <w:ind w:left="720" w:hanging="360"/>
      </w:pPr>
      <w:rPr>
        <w:rFonts w:ascii="Calibri" w:eastAsiaTheme="minorHAnsi"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30E4F99"/>
    <w:multiLevelType w:val="hybridMultilevel"/>
    <w:tmpl w:val="AE2A16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39E7FC8"/>
    <w:multiLevelType w:val="hybridMultilevel"/>
    <w:tmpl w:val="C85E5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2F2F02"/>
    <w:multiLevelType w:val="hybridMultilevel"/>
    <w:tmpl w:val="12BCFCBA"/>
    <w:lvl w:ilvl="0" w:tplc="ED6278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356E76AB"/>
    <w:multiLevelType w:val="multilevel"/>
    <w:tmpl w:val="5D0887AE"/>
    <w:lvl w:ilvl="0">
      <w:start w:val="1"/>
      <w:numFmt w:val="upperRoman"/>
      <w:lvlText w:val="%1."/>
      <w:lvlJc w:val="left"/>
      <w:pPr>
        <w:ind w:left="1080" w:hanging="720"/>
      </w:pPr>
      <w:rPr>
        <w:rFonts w:hint="default"/>
      </w:rPr>
    </w:lvl>
    <w:lvl w:ilvl="1">
      <w:start w:val="1"/>
      <w:numFmt w:val="bullet"/>
      <w:lvlText w:val=""/>
      <w:lvlJc w:val="left"/>
      <w:pPr>
        <w:ind w:left="720" w:hanging="360"/>
      </w:pPr>
      <w:rPr>
        <w:rFonts w:ascii="Symbol" w:hAnsi="Symbol"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6B57AC3"/>
    <w:multiLevelType w:val="hybridMultilevel"/>
    <w:tmpl w:val="D7BE2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77D739D"/>
    <w:multiLevelType w:val="multilevel"/>
    <w:tmpl w:val="F6E65D82"/>
    <w:lvl w:ilvl="0">
      <w:start w:val="3"/>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37CB2C9B"/>
    <w:multiLevelType w:val="hybridMultilevel"/>
    <w:tmpl w:val="7F2077CE"/>
    <w:lvl w:ilvl="0" w:tplc="C3C4A706">
      <w:start w:val="1"/>
      <w:numFmt w:val="bullet"/>
      <w:pStyle w:val="Bullet"/>
      <w:lvlText w:val=""/>
      <w:lvlJc w:val="left"/>
      <w:pPr>
        <w:ind w:left="1080" w:hanging="360"/>
      </w:pPr>
      <w:rPr>
        <w:rFonts w:ascii="Symbol" w:hAnsi="Symbol"/>
      </w:rPr>
    </w:lvl>
    <w:lvl w:ilvl="1" w:tplc="359E5848">
      <w:start w:val="1"/>
      <w:numFmt w:val="bullet"/>
      <w:lvlText w:val="o"/>
      <w:lvlJc w:val="left"/>
      <w:pPr>
        <w:ind w:left="1800" w:hanging="360"/>
      </w:pPr>
      <w:rPr>
        <w:rFonts w:ascii="Courier New" w:hAnsi="Courier New"/>
      </w:rPr>
    </w:lvl>
    <w:lvl w:ilvl="2" w:tplc="1C0437E4">
      <w:start w:val="1"/>
      <w:numFmt w:val="bullet"/>
      <w:lvlText w:val=""/>
      <w:lvlJc w:val="left"/>
      <w:pPr>
        <w:ind w:left="2520" w:hanging="360"/>
      </w:pPr>
      <w:rPr>
        <w:rFonts w:ascii="Wingdings" w:hAnsi="Wingdings"/>
      </w:rPr>
    </w:lvl>
    <w:lvl w:ilvl="3" w:tplc="78B2B2AE">
      <w:start w:val="1"/>
      <w:numFmt w:val="bullet"/>
      <w:lvlText w:val=""/>
      <w:lvlJc w:val="left"/>
      <w:pPr>
        <w:ind w:left="3240" w:hanging="360"/>
      </w:pPr>
      <w:rPr>
        <w:rFonts w:ascii="Symbol" w:hAnsi="Symbol"/>
      </w:rPr>
    </w:lvl>
    <w:lvl w:ilvl="4" w:tplc="3F48FC98">
      <w:start w:val="1"/>
      <w:numFmt w:val="bullet"/>
      <w:lvlText w:val="o"/>
      <w:lvlJc w:val="left"/>
      <w:pPr>
        <w:ind w:left="3960" w:hanging="360"/>
      </w:pPr>
      <w:rPr>
        <w:rFonts w:ascii="Courier New" w:hAnsi="Courier New"/>
      </w:rPr>
    </w:lvl>
    <w:lvl w:ilvl="5" w:tplc="2004B80C">
      <w:start w:val="1"/>
      <w:numFmt w:val="bullet"/>
      <w:lvlText w:val=""/>
      <w:lvlJc w:val="left"/>
      <w:pPr>
        <w:ind w:left="4680" w:hanging="360"/>
      </w:pPr>
      <w:rPr>
        <w:rFonts w:ascii="Wingdings" w:hAnsi="Wingdings"/>
      </w:rPr>
    </w:lvl>
    <w:lvl w:ilvl="6" w:tplc="4E326A10">
      <w:start w:val="1"/>
      <w:numFmt w:val="bullet"/>
      <w:lvlText w:val=""/>
      <w:lvlJc w:val="left"/>
      <w:pPr>
        <w:ind w:left="5400" w:hanging="360"/>
      </w:pPr>
      <w:rPr>
        <w:rFonts w:ascii="Symbol" w:hAnsi="Symbol"/>
      </w:rPr>
    </w:lvl>
    <w:lvl w:ilvl="7" w:tplc="65E22BF2">
      <w:start w:val="1"/>
      <w:numFmt w:val="bullet"/>
      <w:lvlText w:val="o"/>
      <w:lvlJc w:val="left"/>
      <w:pPr>
        <w:ind w:left="6120" w:hanging="360"/>
      </w:pPr>
      <w:rPr>
        <w:rFonts w:ascii="Courier New" w:hAnsi="Courier New"/>
      </w:rPr>
    </w:lvl>
    <w:lvl w:ilvl="8" w:tplc="43CE85B4">
      <w:start w:val="1"/>
      <w:numFmt w:val="bullet"/>
      <w:lvlText w:val=""/>
      <w:lvlJc w:val="left"/>
      <w:pPr>
        <w:ind w:left="6840" w:hanging="360"/>
      </w:pPr>
      <w:rPr>
        <w:rFonts w:ascii="Wingdings" w:hAnsi="Wingdings"/>
      </w:rPr>
    </w:lvl>
  </w:abstractNum>
  <w:abstractNum w:abstractNumId="24" w15:restartNumberingAfterBreak="0">
    <w:nsid w:val="39257BA7"/>
    <w:multiLevelType w:val="multilevel"/>
    <w:tmpl w:val="18C21D76"/>
    <w:lvl w:ilvl="0">
      <w:start w:val="1"/>
      <w:numFmt w:val="decimal"/>
      <w:lvlText w:val="%1."/>
      <w:lvlJc w:val="left"/>
      <w:pPr>
        <w:ind w:left="720" w:hanging="360"/>
      </w:pPr>
      <w:rPr>
        <w:rFonts w:hint="default"/>
        <w:b/>
        <w:u w:val="singl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96F23B8"/>
    <w:multiLevelType w:val="multilevel"/>
    <w:tmpl w:val="5D0887AE"/>
    <w:lvl w:ilvl="0">
      <w:start w:val="1"/>
      <w:numFmt w:val="upperRoman"/>
      <w:lvlText w:val="%1."/>
      <w:lvlJc w:val="left"/>
      <w:pPr>
        <w:ind w:left="1080" w:hanging="720"/>
      </w:pPr>
      <w:rPr>
        <w:rFonts w:hint="default"/>
      </w:rPr>
    </w:lvl>
    <w:lvl w:ilvl="1">
      <w:start w:val="1"/>
      <w:numFmt w:val="bullet"/>
      <w:lvlText w:val=""/>
      <w:lvlJc w:val="left"/>
      <w:pPr>
        <w:ind w:left="720" w:hanging="360"/>
      </w:pPr>
      <w:rPr>
        <w:rFonts w:ascii="Symbol" w:hAnsi="Symbol"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D4E0E03"/>
    <w:multiLevelType w:val="multilevel"/>
    <w:tmpl w:val="5D0887AE"/>
    <w:lvl w:ilvl="0">
      <w:start w:val="1"/>
      <w:numFmt w:val="upperRoman"/>
      <w:lvlText w:val="%1."/>
      <w:lvlJc w:val="left"/>
      <w:pPr>
        <w:ind w:left="1080" w:hanging="720"/>
      </w:pPr>
      <w:rPr>
        <w:rFonts w:hint="default"/>
      </w:rPr>
    </w:lvl>
    <w:lvl w:ilvl="1">
      <w:start w:val="1"/>
      <w:numFmt w:val="bullet"/>
      <w:lvlText w:val=""/>
      <w:lvlJc w:val="left"/>
      <w:pPr>
        <w:ind w:left="720" w:hanging="360"/>
      </w:pPr>
      <w:rPr>
        <w:rFonts w:ascii="Symbol" w:hAnsi="Symbol"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E2E2F48"/>
    <w:multiLevelType w:val="hybridMultilevel"/>
    <w:tmpl w:val="7C681796"/>
    <w:lvl w:ilvl="0" w:tplc="A6241B8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3E75489F"/>
    <w:multiLevelType w:val="multilevel"/>
    <w:tmpl w:val="718EBA2A"/>
    <w:lvl w:ilvl="0">
      <w:start w:val="1"/>
      <w:numFmt w:val="upperRoman"/>
      <w:lvlText w:val="%1."/>
      <w:lvlJc w:val="left"/>
      <w:pPr>
        <w:ind w:left="1080" w:hanging="720"/>
      </w:pPr>
      <w:rPr>
        <w:rFonts w:hint="default"/>
      </w:rPr>
    </w:lvl>
    <w:lvl w:ilvl="1">
      <w:start w:val="1"/>
      <w:numFmt w:val="bullet"/>
      <w:lvlText w:val=""/>
      <w:lvlJc w:val="left"/>
      <w:pPr>
        <w:ind w:left="720" w:hanging="360"/>
      </w:pPr>
      <w:rPr>
        <w:rFonts w:ascii="Symbol" w:hAnsi="Symbol"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2364EF7"/>
    <w:multiLevelType w:val="hybridMultilevel"/>
    <w:tmpl w:val="41666986"/>
    <w:lvl w:ilvl="0" w:tplc="39A279E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441341B9"/>
    <w:multiLevelType w:val="hybridMultilevel"/>
    <w:tmpl w:val="A9A82C46"/>
    <w:lvl w:ilvl="0" w:tplc="A7260F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D816FB"/>
    <w:multiLevelType w:val="multilevel"/>
    <w:tmpl w:val="36DC04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EF72575"/>
    <w:multiLevelType w:val="hybridMultilevel"/>
    <w:tmpl w:val="497C86C6"/>
    <w:lvl w:ilvl="0" w:tplc="C1E043AA">
      <w:start w:val="20"/>
      <w:numFmt w:val="bullet"/>
      <w:lvlText w:val="-"/>
      <w:lvlJc w:val="left"/>
      <w:pPr>
        <w:ind w:left="720" w:hanging="360"/>
      </w:pPr>
      <w:rPr>
        <w:rFonts w:ascii="Calibri" w:eastAsiaTheme="minorHAnsi"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4FE30A1F"/>
    <w:multiLevelType w:val="hybridMultilevel"/>
    <w:tmpl w:val="D6A284F4"/>
    <w:lvl w:ilvl="0" w:tplc="B5CC0660">
      <w:start w:val="15"/>
      <w:numFmt w:val="bullet"/>
      <w:lvlText w:val="-"/>
      <w:lvlJc w:val="left"/>
      <w:pPr>
        <w:ind w:left="72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BC15C4"/>
    <w:multiLevelType w:val="hybridMultilevel"/>
    <w:tmpl w:val="FE9AE7A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57ED5DC0"/>
    <w:multiLevelType w:val="multilevel"/>
    <w:tmpl w:val="5D0887AE"/>
    <w:lvl w:ilvl="0">
      <w:start w:val="1"/>
      <w:numFmt w:val="upperRoman"/>
      <w:lvlText w:val="%1."/>
      <w:lvlJc w:val="left"/>
      <w:pPr>
        <w:ind w:left="1080" w:hanging="720"/>
      </w:pPr>
      <w:rPr>
        <w:rFonts w:hint="default"/>
      </w:rPr>
    </w:lvl>
    <w:lvl w:ilvl="1">
      <w:start w:val="1"/>
      <w:numFmt w:val="bullet"/>
      <w:lvlText w:val=""/>
      <w:lvlJc w:val="left"/>
      <w:pPr>
        <w:ind w:left="720" w:hanging="360"/>
      </w:pPr>
      <w:rPr>
        <w:rFonts w:ascii="Symbol" w:hAnsi="Symbol"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3C17D9"/>
    <w:multiLevelType w:val="hybridMultilevel"/>
    <w:tmpl w:val="468E0E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7" w15:restartNumberingAfterBreak="0">
    <w:nsid w:val="61B10987"/>
    <w:multiLevelType w:val="hybridMultilevel"/>
    <w:tmpl w:val="670497E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63AB6D73"/>
    <w:multiLevelType w:val="hybridMultilevel"/>
    <w:tmpl w:val="A5121D7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650A7A19"/>
    <w:multiLevelType w:val="hybridMultilevel"/>
    <w:tmpl w:val="9C865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2D0E22"/>
    <w:multiLevelType w:val="hybridMultilevel"/>
    <w:tmpl w:val="D762847E"/>
    <w:lvl w:ilvl="0" w:tplc="400A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15:restartNumberingAfterBreak="0">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2" w15:restartNumberingAfterBreak="0">
    <w:nsid w:val="758E0EF5"/>
    <w:multiLevelType w:val="hybridMultilevel"/>
    <w:tmpl w:val="FED4A2DA"/>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43" w15:restartNumberingAfterBreak="0">
    <w:nsid w:val="7F3E4506"/>
    <w:multiLevelType w:val="multilevel"/>
    <w:tmpl w:val="28441710"/>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decimal"/>
      <w:lvlText w:val="%1.%2.%3."/>
      <w:lvlJc w:val="left"/>
      <w:pPr>
        <w:ind w:left="1212"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1"/>
  </w:num>
  <w:num w:numId="2">
    <w:abstractNumId w:val="9"/>
  </w:num>
  <w:num w:numId="3">
    <w:abstractNumId w:val="11"/>
  </w:num>
  <w:num w:numId="4">
    <w:abstractNumId w:val="31"/>
  </w:num>
  <w:num w:numId="5">
    <w:abstractNumId w:val="40"/>
  </w:num>
  <w:num w:numId="6">
    <w:abstractNumId w:val="19"/>
  </w:num>
  <w:num w:numId="7">
    <w:abstractNumId w:val="27"/>
  </w:num>
  <w:num w:numId="8">
    <w:abstractNumId w:val="43"/>
  </w:num>
  <w:num w:numId="9">
    <w:abstractNumId w:val="38"/>
  </w:num>
  <w:num w:numId="10">
    <w:abstractNumId w:val="17"/>
  </w:num>
  <w:num w:numId="11">
    <w:abstractNumId w:val="1"/>
  </w:num>
  <w:num w:numId="12">
    <w:abstractNumId w:val="23"/>
  </w:num>
  <w:num w:numId="13">
    <w:abstractNumId w:val="2"/>
  </w:num>
  <w:num w:numId="14">
    <w:abstractNumId w:val="37"/>
  </w:num>
  <w:num w:numId="15">
    <w:abstractNumId w:val="15"/>
  </w:num>
  <w:num w:numId="16">
    <w:abstractNumId w:val="7"/>
  </w:num>
  <w:num w:numId="17">
    <w:abstractNumId w:val="34"/>
  </w:num>
  <w:num w:numId="18">
    <w:abstractNumId w:val="8"/>
  </w:num>
  <w:num w:numId="19">
    <w:abstractNumId w:val="0"/>
  </w:num>
  <w:num w:numId="20">
    <w:abstractNumId w:val="3"/>
  </w:num>
  <w:num w:numId="21">
    <w:abstractNumId w:val="42"/>
  </w:num>
  <w:num w:numId="22">
    <w:abstractNumId w:val="6"/>
  </w:num>
  <w:num w:numId="23">
    <w:abstractNumId w:val="29"/>
  </w:num>
  <w:num w:numId="24">
    <w:abstractNumId w:val="16"/>
  </w:num>
  <w:num w:numId="25">
    <w:abstractNumId w:val="32"/>
  </w:num>
  <w:num w:numId="26">
    <w:abstractNumId w:val="39"/>
  </w:num>
  <w:num w:numId="27">
    <w:abstractNumId w:val="12"/>
  </w:num>
  <w:num w:numId="28">
    <w:abstractNumId w:val="24"/>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18"/>
  </w:num>
  <w:num w:numId="33">
    <w:abstractNumId w:val="5"/>
  </w:num>
  <w:num w:numId="34">
    <w:abstractNumId w:val="13"/>
  </w:num>
  <w:num w:numId="35">
    <w:abstractNumId w:val="4"/>
  </w:num>
  <w:num w:numId="36">
    <w:abstractNumId w:val="10"/>
  </w:num>
  <w:num w:numId="37">
    <w:abstractNumId w:val="21"/>
  </w:num>
  <w:num w:numId="38">
    <w:abstractNumId w:val="26"/>
  </w:num>
  <w:num w:numId="39">
    <w:abstractNumId w:val="20"/>
  </w:num>
  <w:num w:numId="40">
    <w:abstractNumId w:val="35"/>
  </w:num>
  <w:num w:numId="41">
    <w:abstractNumId w:val="25"/>
  </w:num>
  <w:num w:numId="42">
    <w:abstractNumId w:val="30"/>
  </w:num>
  <w:num w:numId="43">
    <w:abstractNumId w:val="36"/>
  </w:num>
  <w:num w:numId="44">
    <w:abstractNumId w:val="33"/>
  </w:num>
  <w:num w:numId="45">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C3"/>
    <w:rsid w:val="000014BF"/>
    <w:rsid w:val="000031D9"/>
    <w:rsid w:val="00005C0E"/>
    <w:rsid w:val="0000675F"/>
    <w:rsid w:val="00010F47"/>
    <w:rsid w:val="00013939"/>
    <w:rsid w:val="00014D26"/>
    <w:rsid w:val="000152B2"/>
    <w:rsid w:val="00015FDF"/>
    <w:rsid w:val="00016161"/>
    <w:rsid w:val="00023C66"/>
    <w:rsid w:val="0002710C"/>
    <w:rsid w:val="00030889"/>
    <w:rsid w:val="00031C82"/>
    <w:rsid w:val="00043BD5"/>
    <w:rsid w:val="0005070E"/>
    <w:rsid w:val="000519FA"/>
    <w:rsid w:val="00052B85"/>
    <w:rsid w:val="00053E35"/>
    <w:rsid w:val="000605EA"/>
    <w:rsid w:val="00062A61"/>
    <w:rsid w:val="00062ECE"/>
    <w:rsid w:val="00063544"/>
    <w:rsid w:val="00063817"/>
    <w:rsid w:val="000649B6"/>
    <w:rsid w:val="00064FEF"/>
    <w:rsid w:val="00066FD8"/>
    <w:rsid w:val="00067A0D"/>
    <w:rsid w:val="000721CB"/>
    <w:rsid w:val="00080E6B"/>
    <w:rsid w:val="000817FB"/>
    <w:rsid w:val="00081862"/>
    <w:rsid w:val="00086045"/>
    <w:rsid w:val="000947FF"/>
    <w:rsid w:val="000957B7"/>
    <w:rsid w:val="000960C6"/>
    <w:rsid w:val="00097AB2"/>
    <w:rsid w:val="000A063F"/>
    <w:rsid w:val="000A17AF"/>
    <w:rsid w:val="000A23F0"/>
    <w:rsid w:val="000A2949"/>
    <w:rsid w:val="000A5FF0"/>
    <w:rsid w:val="000B0A6A"/>
    <w:rsid w:val="000B119D"/>
    <w:rsid w:val="000B186A"/>
    <w:rsid w:val="000B2024"/>
    <w:rsid w:val="000B2894"/>
    <w:rsid w:val="000B656A"/>
    <w:rsid w:val="000B6E87"/>
    <w:rsid w:val="000C3BE1"/>
    <w:rsid w:val="000C4727"/>
    <w:rsid w:val="000C6386"/>
    <w:rsid w:val="000C7A6C"/>
    <w:rsid w:val="000D17A6"/>
    <w:rsid w:val="000D556E"/>
    <w:rsid w:val="000D5C45"/>
    <w:rsid w:val="000E16C1"/>
    <w:rsid w:val="000E4378"/>
    <w:rsid w:val="000E583F"/>
    <w:rsid w:val="000E7A18"/>
    <w:rsid w:val="00100989"/>
    <w:rsid w:val="00107663"/>
    <w:rsid w:val="00107D44"/>
    <w:rsid w:val="0011098F"/>
    <w:rsid w:val="00110F7A"/>
    <w:rsid w:val="0011167D"/>
    <w:rsid w:val="00111AEE"/>
    <w:rsid w:val="00112744"/>
    <w:rsid w:val="001136F5"/>
    <w:rsid w:val="001167C9"/>
    <w:rsid w:val="00117928"/>
    <w:rsid w:val="00120FEC"/>
    <w:rsid w:val="0012118F"/>
    <w:rsid w:val="0012414D"/>
    <w:rsid w:val="00124DF5"/>
    <w:rsid w:val="00131F49"/>
    <w:rsid w:val="00133551"/>
    <w:rsid w:val="001347A7"/>
    <w:rsid w:val="00134831"/>
    <w:rsid w:val="00136BF0"/>
    <w:rsid w:val="0014161E"/>
    <w:rsid w:val="001417F1"/>
    <w:rsid w:val="001468FE"/>
    <w:rsid w:val="001515E6"/>
    <w:rsid w:val="001530F4"/>
    <w:rsid w:val="00153BE9"/>
    <w:rsid w:val="00154610"/>
    <w:rsid w:val="0015621C"/>
    <w:rsid w:val="00160777"/>
    <w:rsid w:val="00160B02"/>
    <w:rsid w:val="001633A2"/>
    <w:rsid w:val="001641BB"/>
    <w:rsid w:val="001641DD"/>
    <w:rsid w:val="001743E5"/>
    <w:rsid w:val="00176B50"/>
    <w:rsid w:val="0018341D"/>
    <w:rsid w:val="0018674F"/>
    <w:rsid w:val="001927AE"/>
    <w:rsid w:val="00192BBB"/>
    <w:rsid w:val="001933FE"/>
    <w:rsid w:val="001957AE"/>
    <w:rsid w:val="00195FC2"/>
    <w:rsid w:val="001A1F50"/>
    <w:rsid w:val="001A44BD"/>
    <w:rsid w:val="001A57EC"/>
    <w:rsid w:val="001A67BC"/>
    <w:rsid w:val="001B054B"/>
    <w:rsid w:val="001B2D4B"/>
    <w:rsid w:val="001B4FED"/>
    <w:rsid w:val="001B5576"/>
    <w:rsid w:val="001C59A0"/>
    <w:rsid w:val="001D3EC6"/>
    <w:rsid w:val="001D45B1"/>
    <w:rsid w:val="001E2995"/>
    <w:rsid w:val="001E31CC"/>
    <w:rsid w:val="001E577D"/>
    <w:rsid w:val="001E63CD"/>
    <w:rsid w:val="001E7DC3"/>
    <w:rsid w:val="001F01A7"/>
    <w:rsid w:val="001F05F8"/>
    <w:rsid w:val="001F19D7"/>
    <w:rsid w:val="001F36D0"/>
    <w:rsid w:val="001F485A"/>
    <w:rsid w:val="00202900"/>
    <w:rsid w:val="002057D1"/>
    <w:rsid w:val="002063FA"/>
    <w:rsid w:val="0020705F"/>
    <w:rsid w:val="00215334"/>
    <w:rsid w:val="00216D03"/>
    <w:rsid w:val="002177B7"/>
    <w:rsid w:val="0022066F"/>
    <w:rsid w:val="002211A9"/>
    <w:rsid w:val="00222644"/>
    <w:rsid w:val="0022270B"/>
    <w:rsid w:val="00223F4F"/>
    <w:rsid w:val="00224B8A"/>
    <w:rsid w:val="0023656F"/>
    <w:rsid w:val="00237567"/>
    <w:rsid w:val="00240631"/>
    <w:rsid w:val="00244D4B"/>
    <w:rsid w:val="00246FC9"/>
    <w:rsid w:val="00252416"/>
    <w:rsid w:val="002559C0"/>
    <w:rsid w:val="0025681E"/>
    <w:rsid w:val="00261F8D"/>
    <w:rsid w:val="00263F58"/>
    <w:rsid w:val="00265D8F"/>
    <w:rsid w:val="00267C80"/>
    <w:rsid w:val="00271FDC"/>
    <w:rsid w:val="002723E8"/>
    <w:rsid w:val="002736CF"/>
    <w:rsid w:val="00274390"/>
    <w:rsid w:val="00275756"/>
    <w:rsid w:val="00280DC2"/>
    <w:rsid w:val="00281268"/>
    <w:rsid w:val="00281AC3"/>
    <w:rsid w:val="00282FBD"/>
    <w:rsid w:val="00283322"/>
    <w:rsid w:val="00284D79"/>
    <w:rsid w:val="00285916"/>
    <w:rsid w:val="00287C3B"/>
    <w:rsid w:val="002949F4"/>
    <w:rsid w:val="00294FFB"/>
    <w:rsid w:val="00295D75"/>
    <w:rsid w:val="00296583"/>
    <w:rsid w:val="0029730E"/>
    <w:rsid w:val="002A056E"/>
    <w:rsid w:val="002A33C2"/>
    <w:rsid w:val="002B3102"/>
    <w:rsid w:val="002B384A"/>
    <w:rsid w:val="002B5636"/>
    <w:rsid w:val="002B6F72"/>
    <w:rsid w:val="002B792C"/>
    <w:rsid w:val="002C134D"/>
    <w:rsid w:val="002C268E"/>
    <w:rsid w:val="002C3FFE"/>
    <w:rsid w:val="002C6AF3"/>
    <w:rsid w:val="002D1B02"/>
    <w:rsid w:val="002D1E15"/>
    <w:rsid w:val="002D374F"/>
    <w:rsid w:val="002D680E"/>
    <w:rsid w:val="002E1F46"/>
    <w:rsid w:val="002E2C7A"/>
    <w:rsid w:val="002E3F77"/>
    <w:rsid w:val="002E46A5"/>
    <w:rsid w:val="002E5F6C"/>
    <w:rsid w:val="002F0D17"/>
    <w:rsid w:val="002F255C"/>
    <w:rsid w:val="002F50CB"/>
    <w:rsid w:val="002F5DD6"/>
    <w:rsid w:val="002F6F90"/>
    <w:rsid w:val="0030253E"/>
    <w:rsid w:val="003026EE"/>
    <w:rsid w:val="00302AB7"/>
    <w:rsid w:val="00302DE6"/>
    <w:rsid w:val="00305BF8"/>
    <w:rsid w:val="00306757"/>
    <w:rsid w:val="003123A6"/>
    <w:rsid w:val="00317F64"/>
    <w:rsid w:val="003227BA"/>
    <w:rsid w:val="0032663A"/>
    <w:rsid w:val="0033349F"/>
    <w:rsid w:val="00337543"/>
    <w:rsid w:val="003515E9"/>
    <w:rsid w:val="00353800"/>
    <w:rsid w:val="00356FFF"/>
    <w:rsid w:val="003604CF"/>
    <w:rsid w:val="00363626"/>
    <w:rsid w:val="003750FA"/>
    <w:rsid w:val="00377B03"/>
    <w:rsid w:val="0038164A"/>
    <w:rsid w:val="003822C0"/>
    <w:rsid w:val="00382F1F"/>
    <w:rsid w:val="0038338A"/>
    <w:rsid w:val="00383BB2"/>
    <w:rsid w:val="0038441B"/>
    <w:rsid w:val="003854BB"/>
    <w:rsid w:val="003964FB"/>
    <w:rsid w:val="00396984"/>
    <w:rsid w:val="00396F81"/>
    <w:rsid w:val="003A36D4"/>
    <w:rsid w:val="003A5574"/>
    <w:rsid w:val="003A5826"/>
    <w:rsid w:val="003B0B3A"/>
    <w:rsid w:val="003B25D4"/>
    <w:rsid w:val="003B2E3C"/>
    <w:rsid w:val="003B374F"/>
    <w:rsid w:val="003B40CB"/>
    <w:rsid w:val="003B62A4"/>
    <w:rsid w:val="003B79A7"/>
    <w:rsid w:val="003C6E2A"/>
    <w:rsid w:val="003C6FEE"/>
    <w:rsid w:val="003D27B8"/>
    <w:rsid w:val="003D552E"/>
    <w:rsid w:val="003D5532"/>
    <w:rsid w:val="003D7955"/>
    <w:rsid w:val="003E1D96"/>
    <w:rsid w:val="003E3BDC"/>
    <w:rsid w:val="003E68D0"/>
    <w:rsid w:val="003F2323"/>
    <w:rsid w:val="004016ED"/>
    <w:rsid w:val="00402A76"/>
    <w:rsid w:val="00403D11"/>
    <w:rsid w:val="00405174"/>
    <w:rsid w:val="004060BD"/>
    <w:rsid w:val="004064E5"/>
    <w:rsid w:val="00406B8C"/>
    <w:rsid w:val="00406EA6"/>
    <w:rsid w:val="0041011B"/>
    <w:rsid w:val="0041239D"/>
    <w:rsid w:val="004132C1"/>
    <w:rsid w:val="0041339E"/>
    <w:rsid w:val="00414BEE"/>
    <w:rsid w:val="00415E16"/>
    <w:rsid w:val="00416285"/>
    <w:rsid w:val="0042162C"/>
    <w:rsid w:val="00422B81"/>
    <w:rsid w:val="00422E5F"/>
    <w:rsid w:val="00424184"/>
    <w:rsid w:val="0042669F"/>
    <w:rsid w:val="00426E2F"/>
    <w:rsid w:val="00427FF6"/>
    <w:rsid w:val="00431177"/>
    <w:rsid w:val="004312E6"/>
    <w:rsid w:val="00442883"/>
    <w:rsid w:val="00444D9C"/>
    <w:rsid w:val="0044674F"/>
    <w:rsid w:val="00451BB6"/>
    <w:rsid w:val="00451BF2"/>
    <w:rsid w:val="00452F78"/>
    <w:rsid w:val="0045536F"/>
    <w:rsid w:val="00455860"/>
    <w:rsid w:val="004569C2"/>
    <w:rsid w:val="00461414"/>
    <w:rsid w:val="00461745"/>
    <w:rsid w:val="00463526"/>
    <w:rsid w:val="00465DB8"/>
    <w:rsid w:val="00465EA8"/>
    <w:rsid w:val="00466834"/>
    <w:rsid w:val="004670F6"/>
    <w:rsid w:val="00467806"/>
    <w:rsid w:val="0047412F"/>
    <w:rsid w:val="00474389"/>
    <w:rsid w:val="00477B70"/>
    <w:rsid w:val="00480F0A"/>
    <w:rsid w:val="00487E74"/>
    <w:rsid w:val="00490161"/>
    <w:rsid w:val="00491A40"/>
    <w:rsid w:val="004A0843"/>
    <w:rsid w:val="004A34BE"/>
    <w:rsid w:val="004A508F"/>
    <w:rsid w:val="004A616F"/>
    <w:rsid w:val="004A794B"/>
    <w:rsid w:val="004B0002"/>
    <w:rsid w:val="004B45D3"/>
    <w:rsid w:val="004C1B17"/>
    <w:rsid w:val="004C24A6"/>
    <w:rsid w:val="004C3EA9"/>
    <w:rsid w:val="004C51A8"/>
    <w:rsid w:val="004C5677"/>
    <w:rsid w:val="004C651D"/>
    <w:rsid w:val="004C658A"/>
    <w:rsid w:val="004D1B8B"/>
    <w:rsid w:val="004D2882"/>
    <w:rsid w:val="004D32ED"/>
    <w:rsid w:val="004D3462"/>
    <w:rsid w:val="004D40E5"/>
    <w:rsid w:val="004D6218"/>
    <w:rsid w:val="004D6B22"/>
    <w:rsid w:val="004E4CBC"/>
    <w:rsid w:val="004F53DE"/>
    <w:rsid w:val="00500499"/>
    <w:rsid w:val="00500DD7"/>
    <w:rsid w:val="00501185"/>
    <w:rsid w:val="00501620"/>
    <w:rsid w:val="00502F0E"/>
    <w:rsid w:val="0050342B"/>
    <w:rsid w:val="00506B35"/>
    <w:rsid w:val="005071F8"/>
    <w:rsid w:val="0051105A"/>
    <w:rsid w:val="0051240D"/>
    <w:rsid w:val="00513F9F"/>
    <w:rsid w:val="00514DBD"/>
    <w:rsid w:val="005172F0"/>
    <w:rsid w:val="005177B2"/>
    <w:rsid w:val="00525915"/>
    <w:rsid w:val="00530A6E"/>
    <w:rsid w:val="00530EA8"/>
    <w:rsid w:val="00531586"/>
    <w:rsid w:val="00537521"/>
    <w:rsid w:val="005401BC"/>
    <w:rsid w:val="005408E3"/>
    <w:rsid w:val="005421BB"/>
    <w:rsid w:val="00543F4F"/>
    <w:rsid w:val="00544C35"/>
    <w:rsid w:val="00546169"/>
    <w:rsid w:val="00546746"/>
    <w:rsid w:val="00547E9D"/>
    <w:rsid w:val="00550DB9"/>
    <w:rsid w:val="005552D8"/>
    <w:rsid w:val="005633A9"/>
    <w:rsid w:val="00566D4F"/>
    <w:rsid w:val="0057086D"/>
    <w:rsid w:val="00574C7F"/>
    <w:rsid w:val="00575B19"/>
    <w:rsid w:val="00576462"/>
    <w:rsid w:val="005770E5"/>
    <w:rsid w:val="00580214"/>
    <w:rsid w:val="00583036"/>
    <w:rsid w:val="00583C33"/>
    <w:rsid w:val="0058495B"/>
    <w:rsid w:val="00584D54"/>
    <w:rsid w:val="005852B3"/>
    <w:rsid w:val="00586BDE"/>
    <w:rsid w:val="00591D50"/>
    <w:rsid w:val="0059210B"/>
    <w:rsid w:val="005925ED"/>
    <w:rsid w:val="005951F0"/>
    <w:rsid w:val="005978C6"/>
    <w:rsid w:val="005A21F9"/>
    <w:rsid w:val="005A516D"/>
    <w:rsid w:val="005A5BAB"/>
    <w:rsid w:val="005A715C"/>
    <w:rsid w:val="005B4051"/>
    <w:rsid w:val="005B44EB"/>
    <w:rsid w:val="005B6341"/>
    <w:rsid w:val="005B6A8F"/>
    <w:rsid w:val="005B6D66"/>
    <w:rsid w:val="005B76CB"/>
    <w:rsid w:val="005B7707"/>
    <w:rsid w:val="005C3B68"/>
    <w:rsid w:val="005C6DEA"/>
    <w:rsid w:val="005C7538"/>
    <w:rsid w:val="005E0ECB"/>
    <w:rsid w:val="005E39A5"/>
    <w:rsid w:val="005E3EE8"/>
    <w:rsid w:val="005E4065"/>
    <w:rsid w:val="005F5628"/>
    <w:rsid w:val="005F6874"/>
    <w:rsid w:val="005F72E3"/>
    <w:rsid w:val="005F7D9F"/>
    <w:rsid w:val="00602972"/>
    <w:rsid w:val="006037C3"/>
    <w:rsid w:val="006040FC"/>
    <w:rsid w:val="006041CE"/>
    <w:rsid w:val="006053CA"/>
    <w:rsid w:val="00605D0A"/>
    <w:rsid w:val="006069D2"/>
    <w:rsid w:val="006078F1"/>
    <w:rsid w:val="00610BC3"/>
    <w:rsid w:val="006124F6"/>
    <w:rsid w:val="00612E61"/>
    <w:rsid w:val="0061307E"/>
    <w:rsid w:val="006141B6"/>
    <w:rsid w:val="00620CEB"/>
    <w:rsid w:val="00621CB7"/>
    <w:rsid w:val="00625725"/>
    <w:rsid w:val="00626246"/>
    <w:rsid w:val="00630287"/>
    <w:rsid w:val="00630669"/>
    <w:rsid w:val="00630B15"/>
    <w:rsid w:val="00634B20"/>
    <w:rsid w:val="006370F5"/>
    <w:rsid w:val="006429AF"/>
    <w:rsid w:val="00644492"/>
    <w:rsid w:val="00644504"/>
    <w:rsid w:val="006448E2"/>
    <w:rsid w:val="006505D5"/>
    <w:rsid w:val="006507FA"/>
    <w:rsid w:val="00654FFB"/>
    <w:rsid w:val="0066116F"/>
    <w:rsid w:val="006715A0"/>
    <w:rsid w:val="00671CF3"/>
    <w:rsid w:val="006730AD"/>
    <w:rsid w:val="006733CD"/>
    <w:rsid w:val="00674C06"/>
    <w:rsid w:val="006753A6"/>
    <w:rsid w:val="00677927"/>
    <w:rsid w:val="00677EBA"/>
    <w:rsid w:val="0068168C"/>
    <w:rsid w:val="00695621"/>
    <w:rsid w:val="00697030"/>
    <w:rsid w:val="006A1055"/>
    <w:rsid w:val="006A3C1E"/>
    <w:rsid w:val="006A4243"/>
    <w:rsid w:val="006B0ED2"/>
    <w:rsid w:val="006B5C00"/>
    <w:rsid w:val="006D1765"/>
    <w:rsid w:val="006D23DD"/>
    <w:rsid w:val="006E0CEB"/>
    <w:rsid w:val="006E1CBC"/>
    <w:rsid w:val="006E3E1D"/>
    <w:rsid w:val="006E6941"/>
    <w:rsid w:val="006E6B25"/>
    <w:rsid w:val="006F1EF5"/>
    <w:rsid w:val="006F63C5"/>
    <w:rsid w:val="006F6810"/>
    <w:rsid w:val="0070013A"/>
    <w:rsid w:val="00703794"/>
    <w:rsid w:val="00704FFB"/>
    <w:rsid w:val="007069E2"/>
    <w:rsid w:val="00707E32"/>
    <w:rsid w:val="00711630"/>
    <w:rsid w:val="00720022"/>
    <w:rsid w:val="0072337A"/>
    <w:rsid w:val="00725C3C"/>
    <w:rsid w:val="00727A64"/>
    <w:rsid w:val="00731137"/>
    <w:rsid w:val="0073377D"/>
    <w:rsid w:val="00734E4D"/>
    <w:rsid w:val="00736479"/>
    <w:rsid w:val="00737813"/>
    <w:rsid w:val="00740F31"/>
    <w:rsid w:val="0074165A"/>
    <w:rsid w:val="00743617"/>
    <w:rsid w:val="00744029"/>
    <w:rsid w:val="00745C43"/>
    <w:rsid w:val="00747EA1"/>
    <w:rsid w:val="00752F9F"/>
    <w:rsid w:val="00753475"/>
    <w:rsid w:val="0075390D"/>
    <w:rsid w:val="00753A15"/>
    <w:rsid w:val="00766BAA"/>
    <w:rsid w:val="00767B5B"/>
    <w:rsid w:val="00770A7A"/>
    <w:rsid w:val="007745D7"/>
    <w:rsid w:val="0078177B"/>
    <w:rsid w:val="007825C2"/>
    <w:rsid w:val="00784651"/>
    <w:rsid w:val="00785271"/>
    <w:rsid w:val="007972EC"/>
    <w:rsid w:val="007A1939"/>
    <w:rsid w:val="007A5866"/>
    <w:rsid w:val="007A7B00"/>
    <w:rsid w:val="007B1349"/>
    <w:rsid w:val="007B48F2"/>
    <w:rsid w:val="007B4CF4"/>
    <w:rsid w:val="007B4F7A"/>
    <w:rsid w:val="007B64A6"/>
    <w:rsid w:val="007C2848"/>
    <w:rsid w:val="007C3521"/>
    <w:rsid w:val="007C4F9A"/>
    <w:rsid w:val="007D14F5"/>
    <w:rsid w:val="007D390F"/>
    <w:rsid w:val="007E213F"/>
    <w:rsid w:val="007E21E3"/>
    <w:rsid w:val="007E5C10"/>
    <w:rsid w:val="007E71D7"/>
    <w:rsid w:val="007F5B8A"/>
    <w:rsid w:val="0080052B"/>
    <w:rsid w:val="008013C2"/>
    <w:rsid w:val="00802C7C"/>
    <w:rsid w:val="00802F10"/>
    <w:rsid w:val="00804169"/>
    <w:rsid w:val="00806623"/>
    <w:rsid w:val="00807EA0"/>
    <w:rsid w:val="00815AF4"/>
    <w:rsid w:val="00820CBF"/>
    <w:rsid w:val="008228C7"/>
    <w:rsid w:val="00823F65"/>
    <w:rsid w:val="00824F9F"/>
    <w:rsid w:val="00825DC2"/>
    <w:rsid w:val="00826150"/>
    <w:rsid w:val="00826769"/>
    <w:rsid w:val="0082742E"/>
    <w:rsid w:val="0083077A"/>
    <w:rsid w:val="008312DD"/>
    <w:rsid w:val="00833622"/>
    <w:rsid w:val="00834C64"/>
    <w:rsid w:val="00836BA8"/>
    <w:rsid w:val="00837749"/>
    <w:rsid w:val="00841D23"/>
    <w:rsid w:val="0084207C"/>
    <w:rsid w:val="00842C66"/>
    <w:rsid w:val="00847F01"/>
    <w:rsid w:val="008501D1"/>
    <w:rsid w:val="0086131C"/>
    <w:rsid w:val="008615F7"/>
    <w:rsid w:val="00862B43"/>
    <w:rsid w:val="00862FD4"/>
    <w:rsid w:val="00862FF9"/>
    <w:rsid w:val="008633A2"/>
    <w:rsid w:val="00863EF0"/>
    <w:rsid w:val="00867044"/>
    <w:rsid w:val="00873348"/>
    <w:rsid w:val="00874EF4"/>
    <w:rsid w:val="00876B8A"/>
    <w:rsid w:val="008808C9"/>
    <w:rsid w:val="00880CF0"/>
    <w:rsid w:val="008814E5"/>
    <w:rsid w:val="00881C2D"/>
    <w:rsid w:val="00883FD0"/>
    <w:rsid w:val="00885946"/>
    <w:rsid w:val="008874E7"/>
    <w:rsid w:val="0089001F"/>
    <w:rsid w:val="00891BB1"/>
    <w:rsid w:val="008929DD"/>
    <w:rsid w:val="008A02B3"/>
    <w:rsid w:val="008A1CFF"/>
    <w:rsid w:val="008A2909"/>
    <w:rsid w:val="008A78D3"/>
    <w:rsid w:val="008B16EE"/>
    <w:rsid w:val="008B2DC3"/>
    <w:rsid w:val="008B4802"/>
    <w:rsid w:val="008B4CA5"/>
    <w:rsid w:val="008B7D21"/>
    <w:rsid w:val="008C03F9"/>
    <w:rsid w:val="008C3C38"/>
    <w:rsid w:val="008C7AAE"/>
    <w:rsid w:val="008D21A6"/>
    <w:rsid w:val="008D3017"/>
    <w:rsid w:val="008D344E"/>
    <w:rsid w:val="008D3F00"/>
    <w:rsid w:val="008E4A17"/>
    <w:rsid w:val="008E5E30"/>
    <w:rsid w:val="008E7AE4"/>
    <w:rsid w:val="008F3092"/>
    <w:rsid w:val="008F5693"/>
    <w:rsid w:val="008F63DC"/>
    <w:rsid w:val="0090222F"/>
    <w:rsid w:val="00905E6B"/>
    <w:rsid w:val="00906F21"/>
    <w:rsid w:val="00911D51"/>
    <w:rsid w:val="00911E00"/>
    <w:rsid w:val="00913D8C"/>
    <w:rsid w:val="00917B5A"/>
    <w:rsid w:val="0092094B"/>
    <w:rsid w:val="00924A7C"/>
    <w:rsid w:val="00925B80"/>
    <w:rsid w:val="0092689F"/>
    <w:rsid w:val="00931518"/>
    <w:rsid w:val="0093182C"/>
    <w:rsid w:val="009338EF"/>
    <w:rsid w:val="00935005"/>
    <w:rsid w:val="00940452"/>
    <w:rsid w:val="00944E8E"/>
    <w:rsid w:val="009469E9"/>
    <w:rsid w:val="009516C2"/>
    <w:rsid w:val="00951B49"/>
    <w:rsid w:val="00951C99"/>
    <w:rsid w:val="0095312F"/>
    <w:rsid w:val="00953CE5"/>
    <w:rsid w:val="009547B5"/>
    <w:rsid w:val="0095796F"/>
    <w:rsid w:val="00964042"/>
    <w:rsid w:val="00965C57"/>
    <w:rsid w:val="009672BA"/>
    <w:rsid w:val="009673C0"/>
    <w:rsid w:val="00967531"/>
    <w:rsid w:val="00967655"/>
    <w:rsid w:val="00967F11"/>
    <w:rsid w:val="009727F1"/>
    <w:rsid w:val="0097477C"/>
    <w:rsid w:val="00980A2F"/>
    <w:rsid w:val="0098318B"/>
    <w:rsid w:val="00983F30"/>
    <w:rsid w:val="00986E88"/>
    <w:rsid w:val="009920D8"/>
    <w:rsid w:val="009A0475"/>
    <w:rsid w:val="009A0A9D"/>
    <w:rsid w:val="009A1BC5"/>
    <w:rsid w:val="009A50FA"/>
    <w:rsid w:val="009B261D"/>
    <w:rsid w:val="009B3935"/>
    <w:rsid w:val="009B7749"/>
    <w:rsid w:val="009C0610"/>
    <w:rsid w:val="009C22BB"/>
    <w:rsid w:val="009C4493"/>
    <w:rsid w:val="009D14E5"/>
    <w:rsid w:val="009E0CAB"/>
    <w:rsid w:val="009E2E3E"/>
    <w:rsid w:val="009F0721"/>
    <w:rsid w:val="009F2624"/>
    <w:rsid w:val="009F2CEB"/>
    <w:rsid w:val="009F4DA7"/>
    <w:rsid w:val="009F6685"/>
    <w:rsid w:val="009F7F76"/>
    <w:rsid w:val="00A04CEE"/>
    <w:rsid w:val="00A04F71"/>
    <w:rsid w:val="00A067B4"/>
    <w:rsid w:val="00A07837"/>
    <w:rsid w:val="00A1248A"/>
    <w:rsid w:val="00A147A9"/>
    <w:rsid w:val="00A202DD"/>
    <w:rsid w:val="00A207CA"/>
    <w:rsid w:val="00A20BD6"/>
    <w:rsid w:val="00A26100"/>
    <w:rsid w:val="00A266B9"/>
    <w:rsid w:val="00A307FA"/>
    <w:rsid w:val="00A30CCE"/>
    <w:rsid w:val="00A312A3"/>
    <w:rsid w:val="00A32A8D"/>
    <w:rsid w:val="00A33E7E"/>
    <w:rsid w:val="00A34AC6"/>
    <w:rsid w:val="00A3532E"/>
    <w:rsid w:val="00A40DDA"/>
    <w:rsid w:val="00A437AA"/>
    <w:rsid w:val="00A45F54"/>
    <w:rsid w:val="00A464B1"/>
    <w:rsid w:val="00A46B68"/>
    <w:rsid w:val="00A46F13"/>
    <w:rsid w:val="00A50F9B"/>
    <w:rsid w:val="00A6072B"/>
    <w:rsid w:val="00A631ED"/>
    <w:rsid w:val="00A701F5"/>
    <w:rsid w:val="00A71C85"/>
    <w:rsid w:val="00A740B3"/>
    <w:rsid w:val="00A743C1"/>
    <w:rsid w:val="00A84885"/>
    <w:rsid w:val="00A857B0"/>
    <w:rsid w:val="00A85A58"/>
    <w:rsid w:val="00A90B17"/>
    <w:rsid w:val="00A9234B"/>
    <w:rsid w:val="00A92D54"/>
    <w:rsid w:val="00A93F35"/>
    <w:rsid w:val="00A94144"/>
    <w:rsid w:val="00A95993"/>
    <w:rsid w:val="00A95F68"/>
    <w:rsid w:val="00AA17B1"/>
    <w:rsid w:val="00AA27A8"/>
    <w:rsid w:val="00AA2D61"/>
    <w:rsid w:val="00AA53BC"/>
    <w:rsid w:val="00AA5554"/>
    <w:rsid w:val="00AB5FEC"/>
    <w:rsid w:val="00AB74E4"/>
    <w:rsid w:val="00AC035E"/>
    <w:rsid w:val="00AC0CF1"/>
    <w:rsid w:val="00AC0D1D"/>
    <w:rsid w:val="00AC2F5A"/>
    <w:rsid w:val="00AC36FC"/>
    <w:rsid w:val="00AC72F1"/>
    <w:rsid w:val="00AD0A37"/>
    <w:rsid w:val="00AD5ADC"/>
    <w:rsid w:val="00AE2997"/>
    <w:rsid w:val="00AE41B0"/>
    <w:rsid w:val="00AE426C"/>
    <w:rsid w:val="00AE60BC"/>
    <w:rsid w:val="00B00245"/>
    <w:rsid w:val="00B004F6"/>
    <w:rsid w:val="00B035D2"/>
    <w:rsid w:val="00B04502"/>
    <w:rsid w:val="00B06A15"/>
    <w:rsid w:val="00B10D6F"/>
    <w:rsid w:val="00B11C51"/>
    <w:rsid w:val="00B1729D"/>
    <w:rsid w:val="00B21909"/>
    <w:rsid w:val="00B2439C"/>
    <w:rsid w:val="00B25CEA"/>
    <w:rsid w:val="00B3074F"/>
    <w:rsid w:val="00B30A1C"/>
    <w:rsid w:val="00B32DB2"/>
    <w:rsid w:val="00B34CD9"/>
    <w:rsid w:val="00B360E2"/>
    <w:rsid w:val="00B377C1"/>
    <w:rsid w:val="00B43240"/>
    <w:rsid w:val="00B43B25"/>
    <w:rsid w:val="00B43BFA"/>
    <w:rsid w:val="00B44AE7"/>
    <w:rsid w:val="00B45C40"/>
    <w:rsid w:val="00B47A58"/>
    <w:rsid w:val="00B5320D"/>
    <w:rsid w:val="00B53250"/>
    <w:rsid w:val="00B558D6"/>
    <w:rsid w:val="00B60FDF"/>
    <w:rsid w:val="00B6292D"/>
    <w:rsid w:val="00B62BC2"/>
    <w:rsid w:val="00B70874"/>
    <w:rsid w:val="00B741C6"/>
    <w:rsid w:val="00B80D13"/>
    <w:rsid w:val="00B83ACB"/>
    <w:rsid w:val="00B85E8E"/>
    <w:rsid w:val="00B86024"/>
    <w:rsid w:val="00B92B03"/>
    <w:rsid w:val="00B9574D"/>
    <w:rsid w:val="00B96E22"/>
    <w:rsid w:val="00BA0857"/>
    <w:rsid w:val="00BA7303"/>
    <w:rsid w:val="00BB23BB"/>
    <w:rsid w:val="00BB2401"/>
    <w:rsid w:val="00BB25A4"/>
    <w:rsid w:val="00BB4723"/>
    <w:rsid w:val="00BB56D3"/>
    <w:rsid w:val="00BB6C0D"/>
    <w:rsid w:val="00BB7199"/>
    <w:rsid w:val="00BB72C2"/>
    <w:rsid w:val="00BC112D"/>
    <w:rsid w:val="00BC5F7D"/>
    <w:rsid w:val="00BC6D71"/>
    <w:rsid w:val="00BD3434"/>
    <w:rsid w:val="00BE07FC"/>
    <w:rsid w:val="00BE1EB7"/>
    <w:rsid w:val="00BE4DB4"/>
    <w:rsid w:val="00BF2D78"/>
    <w:rsid w:val="00BF3BC6"/>
    <w:rsid w:val="00C00771"/>
    <w:rsid w:val="00C04622"/>
    <w:rsid w:val="00C10BB5"/>
    <w:rsid w:val="00C11822"/>
    <w:rsid w:val="00C135C6"/>
    <w:rsid w:val="00C13FEB"/>
    <w:rsid w:val="00C2281A"/>
    <w:rsid w:val="00C251A1"/>
    <w:rsid w:val="00C251A9"/>
    <w:rsid w:val="00C257C0"/>
    <w:rsid w:val="00C278F6"/>
    <w:rsid w:val="00C27D0F"/>
    <w:rsid w:val="00C31500"/>
    <w:rsid w:val="00C32265"/>
    <w:rsid w:val="00C419B8"/>
    <w:rsid w:val="00C43FE4"/>
    <w:rsid w:val="00C44EF7"/>
    <w:rsid w:val="00C62E47"/>
    <w:rsid w:val="00C63A1C"/>
    <w:rsid w:val="00C656F9"/>
    <w:rsid w:val="00C65733"/>
    <w:rsid w:val="00C66195"/>
    <w:rsid w:val="00C67010"/>
    <w:rsid w:val="00C6742B"/>
    <w:rsid w:val="00C74B5C"/>
    <w:rsid w:val="00C77024"/>
    <w:rsid w:val="00C81905"/>
    <w:rsid w:val="00C8615D"/>
    <w:rsid w:val="00C90C58"/>
    <w:rsid w:val="00C90E92"/>
    <w:rsid w:val="00C92DE3"/>
    <w:rsid w:val="00C9366B"/>
    <w:rsid w:val="00C95495"/>
    <w:rsid w:val="00C960A4"/>
    <w:rsid w:val="00CA34DF"/>
    <w:rsid w:val="00CA685C"/>
    <w:rsid w:val="00CB11D0"/>
    <w:rsid w:val="00CB1DA3"/>
    <w:rsid w:val="00CB31AE"/>
    <w:rsid w:val="00CB5170"/>
    <w:rsid w:val="00CB5781"/>
    <w:rsid w:val="00CB609D"/>
    <w:rsid w:val="00CC1F25"/>
    <w:rsid w:val="00CC1F90"/>
    <w:rsid w:val="00CC5C8B"/>
    <w:rsid w:val="00CC698C"/>
    <w:rsid w:val="00CD0E5B"/>
    <w:rsid w:val="00CD5D91"/>
    <w:rsid w:val="00CD62B5"/>
    <w:rsid w:val="00CD6C31"/>
    <w:rsid w:val="00CD76B8"/>
    <w:rsid w:val="00CD7F04"/>
    <w:rsid w:val="00CE351B"/>
    <w:rsid w:val="00CE4005"/>
    <w:rsid w:val="00CE4A94"/>
    <w:rsid w:val="00CE4C2E"/>
    <w:rsid w:val="00CE79F7"/>
    <w:rsid w:val="00CF0D24"/>
    <w:rsid w:val="00CF1ECC"/>
    <w:rsid w:val="00CF2264"/>
    <w:rsid w:val="00CF3132"/>
    <w:rsid w:val="00CF36A8"/>
    <w:rsid w:val="00CF5875"/>
    <w:rsid w:val="00CF7AD8"/>
    <w:rsid w:val="00D01B96"/>
    <w:rsid w:val="00D03AA1"/>
    <w:rsid w:val="00D11900"/>
    <w:rsid w:val="00D12CD7"/>
    <w:rsid w:val="00D13BF8"/>
    <w:rsid w:val="00D1589B"/>
    <w:rsid w:val="00D214E9"/>
    <w:rsid w:val="00D21530"/>
    <w:rsid w:val="00D23607"/>
    <w:rsid w:val="00D30BF0"/>
    <w:rsid w:val="00D344B3"/>
    <w:rsid w:val="00D344E0"/>
    <w:rsid w:val="00D35C29"/>
    <w:rsid w:val="00D413F8"/>
    <w:rsid w:val="00D41E6D"/>
    <w:rsid w:val="00D430CD"/>
    <w:rsid w:val="00D468C8"/>
    <w:rsid w:val="00D54564"/>
    <w:rsid w:val="00D55EF4"/>
    <w:rsid w:val="00D63846"/>
    <w:rsid w:val="00D6554E"/>
    <w:rsid w:val="00D735C1"/>
    <w:rsid w:val="00D81D2F"/>
    <w:rsid w:val="00D83F41"/>
    <w:rsid w:val="00D85E53"/>
    <w:rsid w:val="00D8655E"/>
    <w:rsid w:val="00D938E2"/>
    <w:rsid w:val="00D947B1"/>
    <w:rsid w:val="00DA5910"/>
    <w:rsid w:val="00DA618B"/>
    <w:rsid w:val="00DA6654"/>
    <w:rsid w:val="00DB449D"/>
    <w:rsid w:val="00DB6067"/>
    <w:rsid w:val="00DB723D"/>
    <w:rsid w:val="00DC0C04"/>
    <w:rsid w:val="00DC1490"/>
    <w:rsid w:val="00DC3075"/>
    <w:rsid w:val="00DC6154"/>
    <w:rsid w:val="00DD404A"/>
    <w:rsid w:val="00DD7E83"/>
    <w:rsid w:val="00DE1F4E"/>
    <w:rsid w:val="00DE2706"/>
    <w:rsid w:val="00DE3A7D"/>
    <w:rsid w:val="00DE4B10"/>
    <w:rsid w:val="00DE7057"/>
    <w:rsid w:val="00DF062D"/>
    <w:rsid w:val="00DF0FB7"/>
    <w:rsid w:val="00DF10A8"/>
    <w:rsid w:val="00DF1DB9"/>
    <w:rsid w:val="00DF47A2"/>
    <w:rsid w:val="00DF634C"/>
    <w:rsid w:val="00E01F0D"/>
    <w:rsid w:val="00E02538"/>
    <w:rsid w:val="00E11669"/>
    <w:rsid w:val="00E22102"/>
    <w:rsid w:val="00E238D2"/>
    <w:rsid w:val="00E24C6D"/>
    <w:rsid w:val="00E24E40"/>
    <w:rsid w:val="00E2561A"/>
    <w:rsid w:val="00E26929"/>
    <w:rsid w:val="00E30072"/>
    <w:rsid w:val="00E30C1D"/>
    <w:rsid w:val="00E353EA"/>
    <w:rsid w:val="00E35E37"/>
    <w:rsid w:val="00E40AD9"/>
    <w:rsid w:val="00E4288A"/>
    <w:rsid w:val="00E54DAB"/>
    <w:rsid w:val="00E55C10"/>
    <w:rsid w:val="00E62070"/>
    <w:rsid w:val="00E64643"/>
    <w:rsid w:val="00E6662B"/>
    <w:rsid w:val="00E751FE"/>
    <w:rsid w:val="00E75320"/>
    <w:rsid w:val="00E75A99"/>
    <w:rsid w:val="00E75AA9"/>
    <w:rsid w:val="00E7686E"/>
    <w:rsid w:val="00E80B23"/>
    <w:rsid w:val="00E851F1"/>
    <w:rsid w:val="00E87FDB"/>
    <w:rsid w:val="00E90BC0"/>
    <w:rsid w:val="00E92350"/>
    <w:rsid w:val="00E939DD"/>
    <w:rsid w:val="00EA0363"/>
    <w:rsid w:val="00EA0588"/>
    <w:rsid w:val="00EA0C0E"/>
    <w:rsid w:val="00EA5512"/>
    <w:rsid w:val="00EB01CA"/>
    <w:rsid w:val="00EC0F38"/>
    <w:rsid w:val="00EC2B31"/>
    <w:rsid w:val="00EC2E10"/>
    <w:rsid w:val="00EC58FE"/>
    <w:rsid w:val="00ED13FF"/>
    <w:rsid w:val="00ED1E05"/>
    <w:rsid w:val="00ED2892"/>
    <w:rsid w:val="00ED7A60"/>
    <w:rsid w:val="00EE40B0"/>
    <w:rsid w:val="00EE5B06"/>
    <w:rsid w:val="00EF1400"/>
    <w:rsid w:val="00EF2734"/>
    <w:rsid w:val="00EF39B2"/>
    <w:rsid w:val="00EF4F23"/>
    <w:rsid w:val="00EF594E"/>
    <w:rsid w:val="00EF5C16"/>
    <w:rsid w:val="00F03497"/>
    <w:rsid w:val="00F044ED"/>
    <w:rsid w:val="00F07AD0"/>
    <w:rsid w:val="00F10905"/>
    <w:rsid w:val="00F1122D"/>
    <w:rsid w:val="00F24B5D"/>
    <w:rsid w:val="00F25582"/>
    <w:rsid w:val="00F25C3F"/>
    <w:rsid w:val="00F32FB1"/>
    <w:rsid w:val="00F40A8D"/>
    <w:rsid w:val="00F4441E"/>
    <w:rsid w:val="00F45712"/>
    <w:rsid w:val="00F47C90"/>
    <w:rsid w:val="00F57288"/>
    <w:rsid w:val="00F7051D"/>
    <w:rsid w:val="00F72C79"/>
    <w:rsid w:val="00F76EB7"/>
    <w:rsid w:val="00F82BE1"/>
    <w:rsid w:val="00F830C8"/>
    <w:rsid w:val="00F836CD"/>
    <w:rsid w:val="00F9783B"/>
    <w:rsid w:val="00FA13DD"/>
    <w:rsid w:val="00FA4C31"/>
    <w:rsid w:val="00FB1D32"/>
    <w:rsid w:val="00FB22C0"/>
    <w:rsid w:val="00FC0EE7"/>
    <w:rsid w:val="00FC2BC4"/>
    <w:rsid w:val="00FC3B46"/>
    <w:rsid w:val="00FC4367"/>
    <w:rsid w:val="00FC4BB5"/>
    <w:rsid w:val="00FC4DE0"/>
    <w:rsid w:val="00FC6ABF"/>
    <w:rsid w:val="00FC7BCA"/>
    <w:rsid w:val="00FD4703"/>
    <w:rsid w:val="00FD484A"/>
    <w:rsid w:val="00FD48BC"/>
    <w:rsid w:val="00FD76B8"/>
    <w:rsid w:val="00FD7EFA"/>
    <w:rsid w:val="00FE1AD9"/>
    <w:rsid w:val="00FE542B"/>
    <w:rsid w:val="00FE7BE1"/>
    <w:rsid w:val="00FF254C"/>
    <w:rsid w:val="00FF2F9D"/>
    <w:rsid w:val="00FF519E"/>
    <w:rsid w:val="00FF7B23"/>
    <w:rsid w:val="00FF7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469DE9"/>
  <w15:docId w15:val="{924FA5F9-9442-4744-AF0F-27B1125C6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0A6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30A6E"/>
    <w:pPr>
      <w:keepNext/>
      <w:numPr>
        <w:numId w:val="1"/>
      </w:numPr>
      <w:spacing w:before="240" w:after="60"/>
      <w:outlineLvl w:val="0"/>
    </w:pPr>
    <w:rPr>
      <w:rFonts w:ascii="Arial" w:hAnsi="Arial"/>
      <w:b/>
      <w:kern w:val="28"/>
      <w:sz w:val="28"/>
      <w:szCs w:val="20"/>
    </w:rPr>
  </w:style>
  <w:style w:type="paragraph" w:styleId="Heading2">
    <w:name w:val="heading 2"/>
    <w:basedOn w:val="Normal"/>
    <w:next w:val="Normal"/>
    <w:link w:val="Heading2Char"/>
    <w:uiPriority w:val="99"/>
    <w:unhideWhenUsed/>
    <w:qFormat/>
    <w:rsid w:val="00C44E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530A6E"/>
    <w:pPr>
      <w:keepNext/>
      <w:numPr>
        <w:ilvl w:val="2"/>
        <w:numId w:val="1"/>
      </w:numPr>
      <w:spacing w:before="240" w:after="60"/>
      <w:outlineLvl w:val="2"/>
    </w:pPr>
    <w:rPr>
      <w:rFonts w:ascii="Arial" w:hAnsi="Arial"/>
      <w:szCs w:val="20"/>
    </w:rPr>
  </w:style>
  <w:style w:type="paragraph" w:styleId="Heading4">
    <w:name w:val="heading 4"/>
    <w:basedOn w:val="Normal"/>
    <w:next w:val="Normal"/>
    <w:link w:val="Heading4Char"/>
    <w:uiPriority w:val="9"/>
    <w:qFormat/>
    <w:rsid w:val="00530A6E"/>
    <w:pPr>
      <w:keepNext/>
      <w:numPr>
        <w:ilvl w:val="3"/>
        <w:numId w:val="1"/>
      </w:numPr>
      <w:spacing w:before="240" w:after="60"/>
      <w:outlineLvl w:val="3"/>
    </w:pPr>
    <w:rPr>
      <w:rFonts w:ascii="Arial" w:hAnsi="Arial"/>
      <w:b/>
      <w:szCs w:val="20"/>
    </w:rPr>
  </w:style>
  <w:style w:type="paragraph" w:styleId="Heading5">
    <w:name w:val="heading 5"/>
    <w:basedOn w:val="Normal"/>
    <w:next w:val="Normal"/>
    <w:link w:val="Heading5Char"/>
    <w:uiPriority w:val="9"/>
    <w:semiHidden/>
    <w:unhideWhenUsed/>
    <w:qFormat/>
    <w:rsid w:val="004B0002"/>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530A6E"/>
    <w:pPr>
      <w:numPr>
        <w:ilvl w:val="5"/>
        <w:numId w:val="1"/>
      </w:numPr>
      <w:spacing w:before="240" w:after="60"/>
      <w:outlineLvl w:val="5"/>
    </w:pPr>
    <w:rPr>
      <w:i/>
      <w:sz w:val="22"/>
      <w:szCs w:val="20"/>
    </w:rPr>
  </w:style>
  <w:style w:type="paragraph" w:styleId="Heading7">
    <w:name w:val="heading 7"/>
    <w:basedOn w:val="Normal"/>
    <w:next w:val="Normal"/>
    <w:link w:val="Heading7Char"/>
    <w:uiPriority w:val="9"/>
    <w:qFormat/>
    <w:rsid w:val="00530A6E"/>
    <w:pPr>
      <w:numPr>
        <w:ilvl w:val="6"/>
        <w:numId w:val="1"/>
      </w:numPr>
      <w:spacing w:before="240" w:after="60"/>
      <w:outlineLvl w:val="6"/>
    </w:pPr>
    <w:rPr>
      <w:rFonts w:ascii="Arial" w:hAnsi="Arial"/>
      <w:szCs w:val="20"/>
    </w:rPr>
  </w:style>
  <w:style w:type="paragraph" w:styleId="Heading8">
    <w:name w:val="heading 8"/>
    <w:basedOn w:val="Normal"/>
    <w:next w:val="Normal"/>
    <w:link w:val="Heading8Char"/>
    <w:uiPriority w:val="9"/>
    <w:qFormat/>
    <w:rsid w:val="00530A6E"/>
    <w:pPr>
      <w:numPr>
        <w:ilvl w:val="7"/>
        <w:numId w:val="1"/>
      </w:numPr>
      <w:spacing w:before="240" w:after="60"/>
      <w:outlineLvl w:val="7"/>
    </w:pPr>
    <w:rPr>
      <w:rFonts w:ascii="Arial" w:hAnsi="Arial"/>
      <w:i/>
      <w:szCs w:val="20"/>
    </w:rPr>
  </w:style>
  <w:style w:type="paragraph" w:styleId="Heading9">
    <w:name w:val="heading 9"/>
    <w:basedOn w:val="Normal"/>
    <w:next w:val="Normal"/>
    <w:link w:val="Heading9Char"/>
    <w:uiPriority w:val="9"/>
    <w:qFormat/>
    <w:rsid w:val="00530A6E"/>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1AC3"/>
    <w:pPr>
      <w:spacing w:after="0" w:line="240" w:lineRule="auto"/>
    </w:pPr>
  </w:style>
  <w:style w:type="character" w:customStyle="1" w:styleId="Heading1Char">
    <w:name w:val="Heading 1 Char"/>
    <w:basedOn w:val="DefaultParagraphFont"/>
    <w:link w:val="Heading1"/>
    <w:uiPriority w:val="9"/>
    <w:rsid w:val="00530A6E"/>
    <w:rPr>
      <w:rFonts w:ascii="Arial" w:eastAsia="Times New Roman" w:hAnsi="Arial" w:cs="Times New Roman"/>
      <w:b/>
      <w:kern w:val="28"/>
      <w:sz w:val="28"/>
      <w:szCs w:val="20"/>
    </w:rPr>
  </w:style>
  <w:style w:type="character" w:customStyle="1" w:styleId="Heading3Char">
    <w:name w:val="Heading 3 Char"/>
    <w:basedOn w:val="DefaultParagraphFont"/>
    <w:link w:val="Heading3"/>
    <w:uiPriority w:val="9"/>
    <w:rsid w:val="00530A6E"/>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530A6E"/>
    <w:rPr>
      <w:rFonts w:ascii="Arial" w:eastAsia="Times New Roman" w:hAnsi="Arial" w:cs="Times New Roman"/>
      <w:b/>
      <w:sz w:val="24"/>
      <w:szCs w:val="20"/>
    </w:rPr>
  </w:style>
  <w:style w:type="character" w:customStyle="1" w:styleId="Heading6Char">
    <w:name w:val="Heading 6 Char"/>
    <w:basedOn w:val="DefaultParagraphFont"/>
    <w:link w:val="Heading6"/>
    <w:rsid w:val="00530A6E"/>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
    <w:rsid w:val="00530A6E"/>
    <w:rPr>
      <w:rFonts w:ascii="Arial" w:eastAsia="Times New Roman" w:hAnsi="Arial" w:cs="Times New Roman"/>
      <w:sz w:val="24"/>
      <w:szCs w:val="20"/>
    </w:rPr>
  </w:style>
  <w:style w:type="character" w:customStyle="1" w:styleId="Heading8Char">
    <w:name w:val="Heading 8 Char"/>
    <w:basedOn w:val="DefaultParagraphFont"/>
    <w:link w:val="Heading8"/>
    <w:uiPriority w:val="9"/>
    <w:rsid w:val="00530A6E"/>
    <w:rPr>
      <w:rFonts w:ascii="Arial" w:eastAsia="Times New Roman" w:hAnsi="Arial" w:cs="Times New Roman"/>
      <w:i/>
      <w:sz w:val="24"/>
      <w:szCs w:val="20"/>
    </w:rPr>
  </w:style>
  <w:style w:type="character" w:customStyle="1" w:styleId="Heading9Char">
    <w:name w:val="Heading 9 Char"/>
    <w:basedOn w:val="DefaultParagraphFont"/>
    <w:link w:val="Heading9"/>
    <w:uiPriority w:val="9"/>
    <w:rsid w:val="00530A6E"/>
    <w:rPr>
      <w:rFonts w:ascii="Arial" w:eastAsia="Times New Roman" w:hAnsi="Arial" w:cs="Times New Roman"/>
      <w:b/>
      <w:i/>
      <w:sz w:val="18"/>
      <w:szCs w:val="20"/>
    </w:rPr>
  </w:style>
  <w:style w:type="paragraph" w:customStyle="1" w:styleId="Chapter">
    <w:name w:val="Chapter"/>
    <w:basedOn w:val="Normal"/>
    <w:next w:val="Normal"/>
    <w:rsid w:val="00530A6E"/>
    <w:pPr>
      <w:tabs>
        <w:tab w:val="num" w:pos="720"/>
        <w:tab w:val="left" w:pos="1440"/>
      </w:tabs>
      <w:spacing w:after="240"/>
      <w:ind w:left="720" w:hanging="720"/>
      <w:jc w:val="center"/>
    </w:pPr>
    <w:rPr>
      <w:b/>
      <w:smallCaps/>
      <w:noProof/>
      <w:szCs w:val="20"/>
    </w:rPr>
  </w:style>
  <w:style w:type="paragraph" w:customStyle="1" w:styleId="Paragraph">
    <w:name w:val="Paragraph"/>
    <w:aliases w:val="paragraph,p,PARAGRAPH,PG,pa,at"/>
    <w:basedOn w:val="BodyTextIndent"/>
    <w:link w:val="ParagraphChar"/>
    <w:qFormat/>
    <w:rsid w:val="00530A6E"/>
    <w:pPr>
      <w:tabs>
        <w:tab w:val="num" w:pos="1440"/>
      </w:tabs>
      <w:spacing w:before="120"/>
      <w:ind w:left="1440" w:hanging="720"/>
      <w:jc w:val="both"/>
      <w:outlineLvl w:val="1"/>
    </w:pPr>
    <w:rPr>
      <w:szCs w:val="20"/>
    </w:rPr>
  </w:style>
  <w:style w:type="paragraph" w:styleId="Header">
    <w:name w:val="header"/>
    <w:basedOn w:val="Normal"/>
    <w:link w:val="HeaderChar"/>
    <w:rsid w:val="00530A6E"/>
    <w:pPr>
      <w:tabs>
        <w:tab w:val="center" w:pos="4320"/>
        <w:tab w:val="right" w:pos="8640"/>
      </w:tabs>
    </w:pPr>
  </w:style>
  <w:style w:type="character" w:customStyle="1" w:styleId="HeaderChar">
    <w:name w:val="Header Char"/>
    <w:basedOn w:val="DefaultParagraphFont"/>
    <w:link w:val="Header"/>
    <w:rsid w:val="00530A6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30A6E"/>
    <w:pPr>
      <w:spacing w:after="120"/>
      <w:ind w:left="360"/>
    </w:pPr>
  </w:style>
  <w:style w:type="character" w:customStyle="1" w:styleId="BodyTextIndentChar">
    <w:name w:val="Body Text Indent Char"/>
    <w:basedOn w:val="DefaultParagraphFont"/>
    <w:link w:val="BodyTextIndent"/>
    <w:uiPriority w:val="99"/>
    <w:semiHidden/>
    <w:rsid w:val="00530A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30A6E"/>
    <w:pPr>
      <w:tabs>
        <w:tab w:val="center" w:pos="4680"/>
        <w:tab w:val="right" w:pos="9360"/>
      </w:tabs>
    </w:pPr>
  </w:style>
  <w:style w:type="character" w:customStyle="1" w:styleId="FooterChar">
    <w:name w:val="Footer Char"/>
    <w:basedOn w:val="DefaultParagraphFont"/>
    <w:link w:val="Footer"/>
    <w:uiPriority w:val="99"/>
    <w:rsid w:val="00530A6E"/>
    <w:rPr>
      <w:rFonts w:ascii="Times New Roman" w:eastAsia="Times New Roman" w:hAnsi="Times New Roman" w:cs="Times New Roman"/>
      <w:sz w:val="24"/>
      <w:szCs w:val="24"/>
    </w:rPr>
  </w:style>
  <w:style w:type="paragraph" w:styleId="BalloonText">
    <w:name w:val="Balloon Text"/>
    <w:basedOn w:val="Normal"/>
    <w:link w:val="BalloonTextChar"/>
    <w:uiPriority w:val="99"/>
    <w:unhideWhenUsed/>
    <w:rsid w:val="00530A6E"/>
    <w:rPr>
      <w:rFonts w:ascii="Tahoma" w:hAnsi="Tahoma" w:cs="Tahoma"/>
      <w:sz w:val="16"/>
      <w:szCs w:val="16"/>
    </w:rPr>
  </w:style>
  <w:style w:type="character" w:customStyle="1" w:styleId="BalloonTextChar">
    <w:name w:val="Balloon Text Char"/>
    <w:basedOn w:val="DefaultParagraphFont"/>
    <w:link w:val="BalloonText"/>
    <w:uiPriority w:val="99"/>
    <w:rsid w:val="00530A6E"/>
    <w:rPr>
      <w:rFonts w:ascii="Tahoma" w:eastAsia="Times New Roman" w:hAnsi="Tahoma" w:cs="Tahoma"/>
      <w:sz w:val="16"/>
      <w:szCs w:val="16"/>
    </w:rPr>
  </w:style>
  <w:style w:type="character" w:customStyle="1" w:styleId="Heading2Char">
    <w:name w:val="Heading 2 Char"/>
    <w:basedOn w:val="DefaultParagraphFont"/>
    <w:link w:val="Heading2"/>
    <w:uiPriority w:val="99"/>
    <w:rsid w:val="00C44EF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unhideWhenUsed/>
    <w:rsid w:val="00C44EF7"/>
    <w:pPr>
      <w:spacing w:after="120"/>
    </w:pPr>
  </w:style>
  <w:style w:type="character" w:customStyle="1" w:styleId="BodyTextChar">
    <w:name w:val="Body Text Char"/>
    <w:basedOn w:val="DefaultParagraphFont"/>
    <w:link w:val="BodyText"/>
    <w:uiPriority w:val="99"/>
    <w:rsid w:val="00C44EF7"/>
    <w:rPr>
      <w:rFonts w:ascii="Times New Roman" w:eastAsia="Times New Roman" w:hAnsi="Times New Roman" w:cs="Times New Roman"/>
      <w:sz w:val="24"/>
      <w:szCs w:val="24"/>
    </w:rPr>
  </w:style>
  <w:style w:type="character" w:styleId="PageNumber">
    <w:name w:val="page number"/>
    <w:basedOn w:val="DefaultParagraphFont"/>
    <w:rsid w:val="00C44EF7"/>
  </w:style>
  <w:style w:type="paragraph" w:styleId="Subtitle">
    <w:name w:val="Subtitle"/>
    <w:basedOn w:val="Normal"/>
    <w:link w:val="SubtitleChar"/>
    <w:uiPriority w:val="11"/>
    <w:qFormat/>
    <w:rsid w:val="00C44EF7"/>
    <w:pPr>
      <w:tabs>
        <w:tab w:val="center" w:pos="4680"/>
      </w:tabs>
      <w:spacing w:before="120"/>
      <w:jc w:val="center"/>
    </w:pPr>
    <w:rPr>
      <w:b/>
      <w:bCs/>
      <w:szCs w:val="20"/>
      <w:lang w:val="es-ES"/>
    </w:rPr>
  </w:style>
  <w:style w:type="character" w:customStyle="1" w:styleId="SubtitleChar">
    <w:name w:val="Subtitle Char"/>
    <w:basedOn w:val="DefaultParagraphFont"/>
    <w:link w:val="Subtitle"/>
    <w:uiPriority w:val="11"/>
    <w:rsid w:val="00C44EF7"/>
    <w:rPr>
      <w:rFonts w:ascii="Times New Roman" w:eastAsia="Times New Roman" w:hAnsi="Times New Roman" w:cs="Times New Roman"/>
      <w:b/>
      <w:bCs/>
      <w:sz w:val="24"/>
      <w:szCs w:val="20"/>
      <w:lang w:val="es-ES"/>
    </w:rPr>
  </w:style>
  <w:style w:type="character" w:styleId="Hyperlink">
    <w:name w:val="Hyperlink"/>
    <w:basedOn w:val="DefaultParagraphFont"/>
    <w:uiPriority w:val="99"/>
    <w:rsid w:val="00891BB1"/>
    <w:rPr>
      <w:color w:val="0000FF"/>
      <w:u w:val="single"/>
    </w:rPr>
  </w:style>
  <w:style w:type="paragraph" w:styleId="ListParagraph">
    <w:name w:val="List Paragraph"/>
    <w:basedOn w:val="Normal"/>
    <w:link w:val="ListParagraphChar"/>
    <w:uiPriority w:val="34"/>
    <w:qFormat/>
    <w:rsid w:val="00731137"/>
    <w:pPr>
      <w:ind w:left="720"/>
      <w:contextualSpacing/>
    </w:pPr>
  </w:style>
  <w:style w:type="paragraph" w:customStyle="1" w:styleId="subpar">
    <w:name w:val="subpar"/>
    <w:basedOn w:val="BodyTextIndent3"/>
    <w:rsid w:val="002D1E15"/>
    <w:pPr>
      <w:tabs>
        <w:tab w:val="num" w:pos="1152"/>
      </w:tabs>
      <w:spacing w:before="120"/>
      <w:ind w:left="1152" w:hanging="432"/>
      <w:jc w:val="both"/>
      <w:outlineLvl w:val="2"/>
    </w:pPr>
    <w:rPr>
      <w:sz w:val="24"/>
      <w:szCs w:val="20"/>
    </w:rPr>
  </w:style>
  <w:style w:type="paragraph" w:customStyle="1" w:styleId="SubSubPar">
    <w:name w:val="SubSubPar"/>
    <w:basedOn w:val="subpar"/>
    <w:rsid w:val="002D1E15"/>
  </w:style>
  <w:style w:type="character" w:customStyle="1" w:styleId="ParagraphChar">
    <w:name w:val="Paragraph Char"/>
    <w:aliases w:val="paragraph Char,p Char,PARAGRAPH Char,PG Char,pa Char,at Char"/>
    <w:basedOn w:val="DefaultParagraphFont"/>
    <w:link w:val="Paragraph"/>
    <w:locked/>
    <w:rsid w:val="002D1E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2D1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1E15"/>
    <w:rPr>
      <w:rFonts w:ascii="Times New Roman" w:eastAsia="Times New Roman" w:hAnsi="Times New Roman" w:cs="Times New Roman"/>
      <w:sz w:val="16"/>
      <w:szCs w:val="16"/>
    </w:r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ALTS FOOTNOTE"/>
    <w:basedOn w:val="Normal"/>
    <w:link w:val="FootnoteTextChar1"/>
    <w:uiPriority w:val="99"/>
    <w:qFormat/>
    <w:rsid w:val="002D1E15"/>
    <w:rPr>
      <w:sz w:val="20"/>
      <w:szCs w:val="20"/>
    </w:rPr>
  </w:style>
  <w:style w:type="character" w:customStyle="1" w:styleId="FootnoteTextChar">
    <w:name w:val="Footnote Text Char"/>
    <w:aliases w:val="foottextfra Char,footnote Char,F Char,Texto nota pie Car Car Char,texto de nota al pie Char,Nota a pie/Bibliog Char,Texto nota pie Car Car Car Car Car Car Car Car Char,Texto nota pie Car Car Car Char,Texto de rodapé Char,fn Char1"/>
    <w:basedOn w:val="DefaultParagraphFont"/>
    <w:uiPriority w:val="99"/>
    <w:rsid w:val="002D1E15"/>
    <w:rPr>
      <w:rFonts w:ascii="Times New Roman" w:eastAsia="Times New Roman" w:hAnsi="Times New Roman" w:cs="Times New Roman"/>
      <w:sz w:val="20"/>
      <w:szCs w:val="20"/>
    </w:rPr>
  </w:style>
  <w:style w:type="character" w:styleId="FootnoteReference">
    <w:name w:val="footnote reference"/>
    <w:aliases w:val="referencia nota al pie,ftref,16 Point,Superscript 6 Point,FC,Ref,de nota al pie,(Ref. de nota al pie),Fußnotenzeichen DISS,Style 24,Appel note de bas de page,Ref. de nota al pie.,Footnote Referencefra,Referência de rodapé,titulo 2"/>
    <w:basedOn w:val="DefaultParagraphFont"/>
    <w:uiPriority w:val="99"/>
    <w:qFormat/>
    <w:rsid w:val="002D1E15"/>
    <w:rPr>
      <w:vertAlign w:val="superscript"/>
    </w:r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f Char"/>
    <w:basedOn w:val="DefaultParagraphFont"/>
    <w:link w:val="FootnoteText"/>
    <w:uiPriority w:val="99"/>
    <w:locked/>
    <w:rsid w:val="002D1E15"/>
    <w:rPr>
      <w:rFonts w:ascii="Times New Roman" w:eastAsia="Times New Roman" w:hAnsi="Times New Roman" w:cs="Times New Roman"/>
      <w:sz w:val="20"/>
      <w:szCs w:val="20"/>
    </w:rPr>
  </w:style>
  <w:style w:type="paragraph" w:customStyle="1" w:styleId="heading-b24">
    <w:name w:val="heading-b24"/>
    <w:basedOn w:val="Normal"/>
    <w:next w:val="Normal"/>
    <w:rsid w:val="00396984"/>
    <w:pPr>
      <w:spacing w:after="600"/>
      <w:jc w:val="center"/>
    </w:pPr>
    <w:rPr>
      <w:rFonts w:ascii="Times New Roman Bold" w:hAnsi="Times New Roman Bold"/>
      <w:b/>
      <w:smallCaps/>
      <w:spacing w:val="-3"/>
      <w:szCs w:val="20"/>
      <w:lang w:val="es-ES_tradnl"/>
    </w:rPr>
  </w:style>
  <w:style w:type="character" w:styleId="Strong">
    <w:name w:val="Strong"/>
    <w:basedOn w:val="DefaultParagraphFont"/>
    <w:uiPriority w:val="22"/>
    <w:qFormat/>
    <w:rsid w:val="00396984"/>
    <w:rPr>
      <w:b/>
      <w:bCs/>
    </w:rPr>
  </w:style>
  <w:style w:type="character" w:styleId="CommentReference">
    <w:name w:val="annotation reference"/>
    <w:basedOn w:val="DefaultParagraphFont"/>
    <w:unhideWhenUsed/>
    <w:rsid w:val="00CD6C31"/>
    <w:rPr>
      <w:sz w:val="16"/>
      <w:szCs w:val="16"/>
    </w:rPr>
  </w:style>
  <w:style w:type="paragraph" w:styleId="CommentText">
    <w:name w:val="annotation text"/>
    <w:basedOn w:val="Normal"/>
    <w:link w:val="CommentTextChar"/>
    <w:unhideWhenUsed/>
    <w:rsid w:val="00CD6C31"/>
    <w:rPr>
      <w:sz w:val="20"/>
      <w:szCs w:val="20"/>
    </w:rPr>
  </w:style>
  <w:style w:type="character" w:customStyle="1" w:styleId="CommentTextChar">
    <w:name w:val="Comment Text Char"/>
    <w:basedOn w:val="DefaultParagraphFont"/>
    <w:link w:val="CommentText"/>
    <w:rsid w:val="00CD6C31"/>
    <w:rPr>
      <w:rFonts w:ascii="Times New Roman" w:eastAsia="Times New Roman" w:hAnsi="Times New Roman" w:cs="Times New Roman"/>
      <w:sz w:val="20"/>
      <w:szCs w:val="20"/>
    </w:rPr>
  </w:style>
  <w:style w:type="character" w:customStyle="1" w:styleId="NoSpacingChar">
    <w:name w:val="No Spacing Char"/>
    <w:link w:val="NoSpacing"/>
    <w:uiPriority w:val="1"/>
    <w:rsid w:val="0047412F"/>
  </w:style>
  <w:style w:type="paragraph" w:styleId="Title">
    <w:name w:val="Title"/>
    <w:basedOn w:val="Normal"/>
    <w:link w:val="TitleChar"/>
    <w:qFormat/>
    <w:rsid w:val="0047412F"/>
    <w:pPr>
      <w:tabs>
        <w:tab w:val="left" w:pos="1440"/>
        <w:tab w:val="left" w:pos="3060"/>
      </w:tabs>
      <w:jc w:val="center"/>
      <w:outlineLvl w:val="0"/>
    </w:pPr>
    <w:rPr>
      <w:lang w:val="es-ES" w:eastAsia="x-none"/>
    </w:rPr>
  </w:style>
  <w:style w:type="character" w:customStyle="1" w:styleId="TitleChar">
    <w:name w:val="Title Char"/>
    <w:basedOn w:val="DefaultParagraphFont"/>
    <w:link w:val="Title"/>
    <w:rsid w:val="0047412F"/>
    <w:rPr>
      <w:rFonts w:ascii="Times New Roman" w:eastAsia="Times New Roman" w:hAnsi="Times New Roman" w:cs="Times New Roman"/>
      <w:sz w:val="24"/>
      <w:szCs w:val="24"/>
      <w:lang w:val="es-ES" w:eastAsia="x-none"/>
    </w:rPr>
  </w:style>
  <w:style w:type="paragraph" w:customStyle="1" w:styleId="FirstHeading">
    <w:name w:val="FirstHeading"/>
    <w:basedOn w:val="Normal"/>
    <w:link w:val="FirstHeadingChar"/>
    <w:uiPriority w:val="99"/>
    <w:rsid w:val="0047412F"/>
    <w:pPr>
      <w:keepNext/>
      <w:numPr>
        <w:numId w:val="2"/>
      </w:numPr>
      <w:tabs>
        <w:tab w:val="left" w:pos="0"/>
        <w:tab w:val="left" w:pos="90"/>
      </w:tabs>
      <w:spacing w:before="120" w:after="120"/>
    </w:pPr>
    <w:rPr>
      <w:rFonts w:eastAsia="Batang"/>
      <w:b/>
      <w:szCs w:val="20"/>
      <w:lang w:val="es-ES"/>
    </w:rPr>
  </w:style>
  <w:style w:type="paragraph" w:customStyle="1" w:styleId="SecHeading">
    <w:name w:val="SecHeading"/>
    <w:basedOn w:val="Normal"/>
    <w:next w:val="Normal"/>
    <w:uiPriority w:val="99"/>
    <w:rsid w:val="0047412F"/>
    <w:pPr>
      <w:keepNext/>
      <w:numPr>
        <w:ilvl w:val="1"/>
        <w:numId w:val="2"/>
      </w:numPr>
      <w:spacing w:before="120" w:after="120"/>
    </w:pPr>
    <w:rPr>
      <w:rFonts w:eastAsia="Batang"/>
      <w:b/>
      <w:szCs w:val="20"/>
      <w:lang w:val="es-ES_tradnl"/>
    </w:rPr>
  </w:style>
  <w:style w:type="paragraph" w:customStyle="1" w:styleId="SubHeading1">
    <w:name w:val="SubHeading1"/>
    <w:basedOn w:val="SecHeading"/>
    <w:uiPriority w:val="99"/>
    <w:rsid w:val="0047412F"/>
    <w:pPr>
      <w:numPr>
        <w:ilvl w:val="2"/>
      </w:numPr>
    </w:pPr>
  </w:style>
  <w:style w:type="paragraph" w:customStyle="1" w:styleId="Subheading2">
    <w:name w:val="Subheading2"/>
    <w:basedOn w:val="SecHeading"/>
    <w:uiPriority w:val="99"/>
    <w:rsid w:val="0047412F"/>
    <w:pPr>
      <w:numPr>
        <w:ilvl w:val="3"/>
      </w:numPr>
    </w:pPr>
  </w:style>
  <w:style w:type="paragraph" w:styleId="CommentSubject">
    <w:name w:val="annotation subject"/>
    <w:basedOn w:val="CommentText"/>
    <w:next w:val="CommentText"/>
    <w:link w:val="CommentSubjectChar"/>
    <w:uiPriority w:val="99"/>
    <w:semiHidden/>
    <w:unhideWhenUsed/>
    <w:rsid w:val="00A6072B"/>
    <w:rPr>
      <w:b/>
      <w:bCs/>
    </w:rPr>
  </w:style>
  <w:style w:type="character" w:customStyle="1" w:styleId="CommentSubjectChar">
    <w:name w:val="Comment Subject Char"/>
    <w:basedOn w:val="CommentTextChar"/>
    <w:link w:val="CommentSubject"/>
    <w:uiPriority w:val="99"/>
    <w:semiHidden/>
    <w:rsid w:val="00A6072B"/>
    <w:rPr>
      <w:rFonts w:ascii="Times New Roman" w:eastAsia="Times New Roman" w:hAnsi="Times New Roman" w:cs="Times New Roman"/>
      <w:b/>
      <w:bCs/>
      <w:sz w:val="20"/>
      <w:szCs w:val="20"/>
    </w:rPr>
  </w:style>
  <w:style w:type="paragraph" w:styleId="Revision">
    <w:name w:val="Revision"/>
    <w:hidden/>
    <w:uiPriority w:val="99"/>
    <w:semiHidden/>
    <w:rsid w:val="00A6072B"/>
    <w:pPr>
      <w:spacing w:after="0" w:line="240" w:lineRule="auto"/>
    </w:pPr>
    <w:rPr>
      <w:rFonts w:ascii="Times New Roman" w:eastAsia="Times New Roman" w:hAnsi="Times New Roman" w:cs="Times New Roman"/>
      <w:sz w:val="24"/>
      <w:szCs w:val="24"/>
    </w:rPr>
  </w:style>
  <w:style w:type="paragraph" w:customStyle="1" w:styleId="Newpage">
    <w:name w:val="Newpage"/>
    <w:basedOn w:val="Normal"/>
    <w:link w:val="NewpageChar"/>
    <w:rsid w:val="00CE79F7"/>
    <w:pPr>
      <w:tabs>
        <w:tab w:val="left" w:pos="1440"/>
        <w:tab w:val="left" w:pos="3060"/>
      </w:tabs>
      <w:jc w:val="center"/>
    </w:pPr>
    <w:rPr>
      <w:rFonts w:cs="Arial"/>
      <w:b/>
      <w:smallCaps/>
      <w:spacing w:val="-3"/>
      <w:szCs w:val="20"/>
      <w:lang w:val="es-ES_tradnl"/>
    </w:rPr>
  </w:style>
  <w:style w:type="character" w:customStyle="1" w:styleId="ParagraphCar">
    <w:name w:val="Paragraph Car"/>
    <w:rsid w:val="00911E00"/>
    <w:rPr>
      <w:sz w:val="24"/>
    </w:rPr>
  </w:style>
  <w:style w:type="character" w:customStyle="1" w:styleId="FirstHeadingChar">
    <w:name w:val="FirstHeading Char"/>
    <w:link w:val="FirstHeading"/>
    <w:uiPriority w:val="99"/>
    <w:rsid w:val="00911E00"/>
    <w:rPr>
      <w:rFonts w:ascii="Times New Roman" w:eastAsia="Batang" w:hAnsi="Times New Roman" w:cs="Times New Roman"/>
      <w:b/>
      <w:sz w:val="24"/>
      <w:szCs w:val="20"/>
      <w:lang w:val="es-ES"/>
    </w:rPr>
  </w:style>
  <w:style w:type="table" w:styleId="TableGrid">
    <w:name w:val="Table Grid"/>
    <w:basedOn w:val="TableNormal"/>
    <w:uiPriority w:val="39"/>
    <w:rsid w:val="002226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1">
    <w:name w:val="Paragraph Car1"/>
    <w:locked/>
    <w:rsid w:val="009727F1"/>
    <w:rPr>
      <w:sz w:val="24"/>
    </w:rPr>
  </w:style>
  <w:style w:type="paragraph" w:customStyle="1" w:styleId="Default">
    <w:name w:val="Default"/>
    <w:rsid w:val="0050118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wpageChar">
    <w:name w:val="Newpage Char"/>
    <w:link w:val="Newpage"/>
    <w:rsid w:val="00480F0A"/>
    <w:rPr>
      <w:rFonts w:ascii="Times New Roman" w:eastAsia="Times New Roman" w:hAnsi="Times New Roman" w:cs="Arial"/>
      <w:b/>
      <w:smallCaps/>
      <w:spacing w:val="-3"/>
      <w:sz w:val="24"/>
      <w:szCs w:val="20"/>
      <w:lang w:val="es-ES_tradnl"/>
    </w:rPr>
  </w:style>
  <w:style w:type="character" w:customStyle="1" w:styleId="ListParagraphChar">
    <w:name w:val="List Paragraph Char"/>
    <w:link w:val="ListParagraph"/>
    <w:uiPriority w:val="34"/>
    <w:locked/>
    <w:rsid w:val="00422B81"/>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4B0002"/>
    <w:rPr>
      <w:rFonts w:eastAsiaTheme="minorEastAsia"/>
      <w:b/>
      <w:bCs/>
      <w:i/>
      <w:iCs/>
      <w:sz w:val="26"/>
      <w:szCs w:val="26"/>
    </w:rPr>
  </w:style>
  <w:style w:type="character" w:styleId="FollowedHyperlink">
    <w:name w:val="FollowedHyperlink"/>
    <w:basedOn w:val="DefaultParagraphFont"/>
    <w:uiPriority w:val="99"/>
    <w:semiHidden/>
    <w:unhideWhenUsed/>
    <w:rsid w:val="00281268"/>
    <w:rPr>
      <w:color w:val="800080" w:themeColor="followedHyperlink"/>
      <w:u w:val="single"/>
    </w:rPr>
  </w:style>
  <w:style w:type="paragraph" w:styleId="NormalWeb">
    <w:name w:val="Normal (Web)"/>
    <w:basedOn w:val="Normal"/>
    <w:uiPriority w:val="99"/>
    <w:semiHidden/>
    <w:unhideWhenUsed/>
    <w:rsid w:val="00465EA8"/>
    <w:pPr>
      <w:spacing w:before="100" w:beforeAutospacing="1" w:after="100" w:afterAutospacing="1"/>
    </w:pPr>
  </w:style>
  <w:style w:type="paragraph" w:styleId="BodyText2">
    <w:name w:val="Body Text 2"/>
    <w:basedOn w:val="Normal"/>
    <w:link w:val="BodyText2Char"/>
    <w:rsid w:val="00415E16"/>
    <w:pPr>
      <w:spacing w:after="120" w:line="480" w:lineRule="auto"/>
    </w:pPr>
    <w:rPr>
      <w:spacing w:val="-3"/>
      <w:szCs w:val="20"/>
      <w:lang w:val="es-ES_tradnl"/>
    </w:rPr>
  </w:style>
  <w:style w:type="character" w:customStyle="1" w:styleId="BodyText2Char">
    <w:name w:val="Body Text 2 Char"/>
    <w:basedOn w:val="DefaultParagraphFont"/>
    <w:link w:val="BodyText2"/>
    <w:rsid w:val="00415E16"/>
    <w:rPr>
      <w:rFonts w:ascii="Times New Roman" w:eastAsia="Times New Roman" w:hAnsi="Times New Roman" w:cs="Times New Roman"/>
      <w:spacing w:val="-3"/>
      <w:sz w:val="24"/>
      <w:szCs w:val="20"/>
      <w:lang w:val="es-ES_tradnl"/>
    </w:rPr>
  </w:style>
  <w:style w:type="paragraph" w:styleId="BodyText3">
    <w:name w:val="Body Text 3"/>
    <w:basedOn w:val="Normal"/>
    <w:link w:val="BodyText3Char"/>
    <w:uiPriority w:val="99"/>
    <w:rsid w:val="00377B03"/>
    <w:rPr>
      <w:szCs w:val="20"/>
      <w:lang w:val="es-ES_tradnl" w:eastAsia="es-ES"/>
    </w:rPr>
  </w:style>
  <w:style w:type="character" w:customStyle="1" w:styleId="BodyText3Char">
    <w:name w:val="Body Text 3 Char"/>
    <w:basedOn w:val="DefaultParagraphFont"/>
    <w:link w:val="BodyText3"/>
    <w:uiPriority w:val="99"/>
    <w:rsid w:val="00377B03"/>
    <w:rPr>
      <w:rFonts w:ascii="Times New Roman" w:eastAsia="Times New Roman" w:hAnsi="Times New Roman" w:cs="Times New Roman"/>
      <w:sz w:val="24"/>
      <w:szCs w:val="20"/>
      <w:lang w:val="es-ES_tradnl" w:eastAsia="es-ES"/>
    </w:rPr>
  </w:style>
  <w:style w:type="paragraph" w:customStyle="1" w:styleId="Bullet">
    <w:name w:val="Bullet"/>
    <w:basedOn w:val="ListParagraph"/>
    <w:link w:val="BulletChar"/>
    <w:qFormat/>
    <w:rsid w:val="00377B03"/>
    <w:pPr>
      <w:numPr>
        <w:numId w:val="12"/>
      </w:numPr>
      <w:spacing w:before="120"/>
      <w:contextualSpacing w:val="0"/>
    </w:pPr>
    <w:rPr>
      <w:rFonts w:eastAsiaTheme="minorHAnsi" w:cstheme="minorBidi"/>
      <w:szCs w:val="22"/>
    </w:rPr>
  </w:style>
  <w:style w:type="paragraph" w:customStyle="1" w:styleId="Banknumbered">
    <w:name w:val="Bank numbered"/>
    <w:qFormat/>
    <w:rsid w:val="00377B03"/>
    <w:pPr>
      <w:numPr>
        <w:numId w:val="11"/>
      </w:numPr>
      <w:spacing w:before="120" w:after="0" w:line="240" w:lineRule="auto"/>
      <w:ind w:left="0" w:firstLine="0"/>
    </w:pPr>
    <w:rPr>
      <w:rFonts w:ascii="Times New Roman" w:hAnsi="Times New Roman"/>
      <w:sz w:val="24"/>
      <w:szCs w:val="24"/>
    </w:rPr>
  </w:style>
  <w:style w:type="paragraph" w:styleId="EndnoteText">
    <w:name w:val="endnote text"/>
    <w:basedOn w:val="Normal"/>
    <w:link w:val="EndnoteTextChar"/>
    <w:uiPriority w:val="99"/>
    <w:semiHidden/>
    <w:unhideWhenUsed/>
    <w:rsid w:val="00377B03"/>
    <w:rPr>
      <w:sz w:val="20"/>
      <w:szCs w:val="20"/>
    </w:rPr>
  </w:style>
  <w:style w:type="character" w:customStyle="1" w:styleId="EndnoteTextChar">
    <w:name w:val="Endnote Text Char"/>
    <w:basedOn w:val="DefaultParagraphFont"/>
    <w:link w:val="EndnoteText"/>
    <w:uiPriority w:val="99"/>
    <w:semiHidden/>
    <w:rsid w:val="00377B0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377B03"/>
    <w:rPr>
      <w:vertAlign w:val="superscript"/>
    </w:rPr>
  </w:style>
  <w:style w:type="character" w:customStyle="1" w:styleId="apple-converted-space">
    <w:name w:val="apple-converted-space"/>
    <w:basedOn w:val="DefaultParagraphFont"/>
    <w:rsid w:val="00377B03"/>
  </w:style>
  <w:style w:type="character" w:customStyle="1" w:styleId="Estilo1Car">
    <w:name w:val="Estilo1 Car"/>
    <w:basedOn w:val="DefaultParagraphFont"/>
    <w:link w:val="Estilo1"/>
    <w:locked/>
    <w:rsid w:val="00377B03"/>
    <w:rPr>
      <w:rFonts w:ascii="Times New Roman" w:eastAsiaTheme="majorEastAsia" w:hAnsi="Times New Roman" w:cstheme="majorBidi"/>
      <w:sz w:val="24"/>
      <w:szCs w:val="24"/>
      <w:lang w:bidi="en-US"/>
    </w:rPr>
  </w:style>
  <w:style w:type="paragraph" w:customStyle="1" w:styleId="Estilo1">
    <w:name w:val="Estilo1"/>
    <w:basedOn w:val="Normal"/>
    <w:link w:val="Estilo1Car"/>
    <w:qFormat/>
    <w:rsid w:val="00377B03"/>
    <w:pPr>
      <w:spacing w:before="120" w:after="320"/>
      <w:ind w:firstLine="284"/>
      <w:jc w:val="both"/>
    </w:pPr>
    <w:rPr>
      <w:rFonts w:eastAsiaTheme="majorEastAsia" w:cstheme="majorBidi"/>
      <w:lang w:bidi="en-US"/>
    </w:rPr>
  </w:style>
  <w:style w:type="paragraph" w:styleId="TOCHeading">
    <w:name w:val="TOC Heading"/>
    <w:basedOn w:val="Heading1"/>
    <w:next w:val="Normal"/>
    <w:uiPriority w:val="39"/>
    <w:unhideWhenUsed/>
    <w:qFormat/>
    <w:rsid w:val="00377B03"/>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s-CL" w:eastAsia="es-CL"/>
    </w:rPr>
  </w:style>
  <w:style w:type="paragraph" w:styleId="TOC1">
    <w:name w:val="toc 1"/>
    <w:basedOn w:val="Normal"/>
    <w:next w:val="Normal"/>
    <w:autoRedefine/>
    <w:uiPriority w:val="39"/>
    <w:unhideWhenUsed/>
    <w:rsid w:val="00377B03"/>
    <w:pPr>
      <w:spacing w:after="100"/>
    </w:pPr>
    <w:rPr>
      <w:rFonts w:eastAsiaTheme="minorHAnsi"/>
      <w:lang w:val="es-CL" w:eastAsia="es-CL"/>
    </w:rPr>
  </w:style>
  <w:style w:type="paragraph" w:styleId="TOC2">
    <w:name w:val="toc 2"/>
    <w:basedOn w:val="Normal"/>
    <w:next w:val="Normal"/>
    <w:autoRedefine/>
    <w:uiPriority w:val="39"/>
    <w:unhideWhenUsed/>
    <w:rsid w:val="00377B03"/>
    <w:pPr>
      <w:spacing w:after="100"/>
      <w:ind w:left="240"/>
    </w:pPr>
    <w:rPr>
      <w:rFonts w:eastAsiaTheme="minorHAnsi"/>
      <w:lang w:val="es-CL" w:eastAsia="es-CL"/>
    </w:rPr>
  </w:style>
  <w:style w:type="paragraph" w:styleId="TOC3">
    <w:name w:val="toc 3"/>
    <w:basedOn w:val="Normal"/>
    <w:next w:val="Normal"/>
    <w:autoRedefine/>
    <w:uiPriority w:val="39"/>
    <w:unhideWhenUsed/>
    <w:rsid w:val="00377B03"/>
    <w:pPr>
      <w:spacing w:after="100"/>
      <w:ind w:left="480"/>
    </w:pPr>
    <w:rPr>
      <w:rFonts w:eastAsiaTheme="minorHAnsi"/>
      <w:lang w:val="es-CL" w:eastAsia="es-CL"/>
    </w:rPr>
  </w:style>
  <w:style w:type="character" w:customStyle="1" w:styleId="a">
    <w:name w:val="a"/>
    <w:basedOn w:val="DefaultParagraphFont"/>
    <w:rsid w:val="00377B03"/>
  </w:style>
  <w:style w:type="paragraph" w:styleId="Caption">
    <w:name w:val="caption"/>
    <w:basedOn w:val="Normal"/>
    <w:next w:val="Normal"/>
    <w:uiPriority w:val="35"/>
    <w:unhideWhenUsed/>
    <w:qFormat/>
    <w:rsid w:val="00EA0363"/>
    <w:pPr>
      <w:spacing w:after="200"/>
    </w:pPr>
    <w:rPr>
      <w:rFonts w:asciiTheme="minorHAnsi" w:eastAsiaTheme="minorHAnsi" w:hAnsiTheme="minorHAnsi" w:cstheme="minorBidi"/>
      <w:b/>
      <w:bCs/>
      <w:color w:val="4F81BD" w:themeColor="accent1"/>
      <w:sz w:val="18"/>
      <w:szCs w:val="18"/>
      <w:lang w:val="es-ES"/>
    </w:rPr>
  </w:style>
  <w:style w:type="character" w:customStyle="1" w:styleId="BulletChar">
    <w:name w:val="Bullet Char"/>
    <w:basedOn w:val="DefaultParagraphFont"/>
    <w:link w:val="Bullet"/>
    <w:rsid w:val="00B035D2"/>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43293">
      <w:bodyDiv w:val="1"/>
      <w:marLeft w:val="0"/>
      <w:marRight w:val="0"/>
      <w:marTop w:val="0"/>
      <w:marBottom w:val="0"/>
      <w:divBdr>
        <w:top w:val="none" w:sz="0" w:space="0" w:color="auto"/>
        <w:left w:val="none" w:sz="0" w:space="0" w:color="auto"/>
        <w:bottom w:val="none" w:sz="0" w:space="0" w:color="auto"/>
        <w:right w:val="none" w:sz="0" w:space="0" w:color="auto"/>
      </w:divBdr>
    </w:div>
    <w:div w:id="482161392">
      <w:bodyDiv w:val="1"/>
      <w:marLeft w:val="0"/>
      <w:marRight w:val="0"/>
      <w:marTop w:val="0"/>
      <w:marBottom w:val="0"/>
      <w:divBdr>
        <w:top w:val="none" w:sz="0" w:space="0" w:color="auto"/>
        <w:left w:val="none" w:sz="0" w:space="0" w:color="auto"/>
        <w:bottom w:val="none" w:sz="0" w:space="0" w:color="auto"/>
        <w:right w:val="none" w:sz="0" w:space="0" w:color="auto"/>
      </w:divBdr>
    </w:div>
    <w:div w:id="652871791">
      <w:bodyDiv w:val="1"/>
      <w:marLeft w:val="0"/>
      <w:marRight w:val="0"/>
      <w:marTop w:val="0"/>
      <w:marBottom w:val="0"/>
      <w:divBdr>
        <w:top w:val="none" w:sz="0" w:space="0" w:color="auto"/>
        <w:left w:val="none" w:sz="0" w:space="0" w:color="auto"/>
        <w:bottom w:val="none" w:sz="0" w:space="0" w:color="auto"/>
        <w:right w:val="none" w:sz="0" w:space="0" w:color="auto"/>
      </w:divBdr>
    </w:div>
    <w:div w:id="690494743">
      <w:bodyDiv w:val="1"/>
      <w:marLeft w:val="0"/>
      <w:marRight w:val="0"/>
      <w:marTop w:val="0"/>
      <w:marBottom w:val="0"/>
      <w:divBdr>
        <w:top w:val="none" w:sz="0" w:space="0" w:color="auto"/>
        <w:left w:val="none" w:sz="0" w:space="0" w:color="auto"/>
        <w:bottom w:val="none" w:sz="0" w:space="0" w:color="auto"/>
        <w:right w:val="none" w:sz="0" w:space="0" w:color="auto"/>
      </w:divBdr>
    </w:div>
    <w:div w:id="1128202982">
      <w:bodyDiv w:val="1"/>
      <w:marLeft w:val="0"/>
      <w:marRight w:val="0"/>
      <w:marTop w:val="0"/>
      <w:marBottom w:val="0"/>
      <w:divBdr>
        <w:top w:val="none" w:sz="0" w:space="0" w:color="auto"/>
        <w:left w:val="none" w:sz="0" w:space="0" w:color="auto"/>
        <w:bottom w:val="none" w:sz="0" w:space="0" w:color="auto"/>
        <w:right w:val="none" w:sz="0" w:space="0" w:color="auto"/>
      </w:divBdr>
    </w:div>
    <w:div w:id="19432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dbg.sharepoint.com/teams/EZ-HO-LON/HO-L1189/_layouts/15/DocIdRedir.aspx?ID=EZSHARE-1191349220-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https://idbg.sharepoint.com/teams/EZ-HO-LON/HO-L1189/_layouts/15/DocIdRedir.aspx?ID=EZSHARE-1191349220-8" TargetMode="External"/><Relationship Id="rId4" Type="http://schemas.openxmlformats.org/officeDocument/2006/relationships/settings" Target="settings.xml"/><Relationship Id="rId9" Type="http://schemas.openxmlformats.org/officeDocument/2006/relationships/hyperlink" Target="https://idbg.sharepoint.com/teams/EZ-HO-LON/HO-L1189/_layouts/15/DocIdRedir.aspx?ID=EZSHARE-1191349220-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1E62-2F66-4918-8D3A-DC9EE44F4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13</Pages>
  <Words>4173</Words>
  <Characters>23789</Characters>
  <Application>Microsoft Office Word</Application>
  <DocSecurity>0</DocSecurity>
  <Lines>198</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almar</dc:creator>
  <cp:keywords/>
  <dc:description/>
  <cp:lastModifiedBy>Vanegas Rico, Wilkferg</cp:lastModifiedBy>
  <cp:revision>25</cp:revision>
  <cp:lastPrinted>2014-05-13T14:10:00Z</cp:lastPrinted>
  <dcterms:created xsi:type="dcterms:W3CDTF">2017-10-16T17:59:00Z</dcterms:created>
  <dcterms:modified xsi:type="dcterms:W3CDTF">2017-11-27T17:17:00Z</dcterms:modified>
</cp:coreProperties>
</file>