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ED4655" w14:textId="77777777" w:rsidR="00FC43F2" w:rsidRPr="006B347B" w:rsidRDefault="00FC43F2" w:rsidP="00FC43F2">
      <w:pPr>
        <w:pStyle w:val="Title"/>
        <w:tabs>
          <w:tab w:val="clear" w:pos="1440"/>
          <w:tab w:val="clear" w:pos="3060"/>
        </w:tabs>
        <w:outlineLvl w:val="9"/>
        <w:rPr>
          <w:rFonts w:ascii="Arial" w:hAnsi="Arial" w:cs="Arial"/>
          <w:smallCaps/>
          <w:sz w:val="22"/>
          <w:szCs w:val="22"/>
          <w:lang w:val="es-ES_tradnl"/>
        </w:rPr>
      </w:pPr>
      <w:r w:rsidRPr="006B347B">
        <w:rPr>
          <w:rFonts w:ascii="Arial" w:hAnsi="Arial" w:cs="Arial"/>
          <w:smallCaps/>
          <w:sz w:val="22"/>
          <w:szCs w:val="22"/>
          <w:lang w:val="es-ES_tradnl"/>
        </w:rPr>
        <w:t>Documento del Banco Interamericano de de</w:t>
      </w:r>
      <w:bookmarkStart w:id="0" w:name="_GoBack"/>
      <w:bookmarkEnd w:id="0"/>
      <w:r w:rsidRPr="006B347B">
        <w:rPr>
          <w:rFonts w:ascii="Arial" w:hAnsi="Arial" w:cs="Arial"/>
          <w:smallCaps/>
          <w:sz w:val="22"/>
          <w:szCs w:val="22"/>
          <w:lang w:val="es-ES_tradnl"/>
        </w:rPr>
        <w:t>sarrollo</w:t>
      </w:r>
    </w:p>
    <w:p w14:paraId="40AFDD62" w14:textId="77777777" w:rsidR="00FC43F2" w:rsidRPr="006B347B" w:rsidRDefault="00FC43F2" w:rsidP="00FC43F2">
      <w:pPr>
        <w:tabs>
          <w:tab w:val="left" w:pos="1440"/>
          <w:tab w:val="left" w:pos="3060"/>
        </w:tabs>
        <w:jc w:val="center"/>
        <w:rPr>
          <w:rFonts w:ascii="Arial" w:hAnsi="Arial" w:cs="Arial"/>
          <w:b/>
          <w:smallCaps/>
          <w:sz w:val="22"/>
          <w:lang w:val="es-ES_tradnl"/>
        </w:rPr>
      </w:pPr>
    </w:p>
    <w:p w14:paraId="35CCBC6A" w14:textId="77777777" w:rsidR="00FC43F2" w:rsidRPr="006B347B" w:rsidRDefault="00FC43F2" w:rsidP="00FC43F2">
      <w:pPr>
        <w:tabs>
          <w:tab w:val="left" w:pos="1440"/>
          <w:tab w:val="left" w:pos="3060"/>
        </w:tabs>
        <w:jc w:val="center"/>
        <w:rPr>
          <w:rFonts w:ascii="Arial" w:hAnsi="Arial" w:cs="Arial"/>
          <w:b/>
          <w:smallCaps/>
          <w:sz w:val="22"/>
          <w:lang w:val="es-ES_tradnl"/>
        </w:rPr>
      </w:pPr>
    </w:p>
    <w:p w14:paraId="0A64F0BF" w14:textId="77777777" w:rsidR="00FC43F2" w:rsidRPr="006B347B" w:rsidRDefault="00FC43F2" w:rsidP="00FC43F2">
      <w:pPr>
        <w:tabs>
          <w:tab w:val="left" w:pos="1440"/>
          <w:tab w:val="left" w:pos="3060"/>
        </w:tabs>
        <w:jc w:val="center"/>
        <w:rPr>
          <w:rFonts w:ascii="Arial" w:hAnsi="Arial" w:cs="Arial"/>
          <w:b/>
          <w:smallCaps/>
          <w:sz w:val="22"/>
          <w:lang w:val="es-ES_tradnl"/>
        </w:rPr>
      </w:pPr>
    </w:p>
    <w:p w14:paraId="5D7498BD" w14:textId="77777777" w:rsidR="00FC43F2" w:rsidRPr="006B347B" w:rsidRDefault="00FC43F2" w:rsidP="00FC43F2">
      <w:pPr>
        <w:tabs>
          <w:tab w:val="left" w:pos="1440"/>
          <w:tab w:val="left" w:pos="3060"/>
        </w:tabs>
        <w:jc w:val="center"/>
        <w:rPr>
          <w:rFonts w:ascii="Arial" w:hAnsi="Arial" w:cs="Arial"/>
          <w:b/>
          <w:smallCaps/>
          <w:sz w:val="22"/>
          <w:lang w:val="es-ES_tradnl"/>
        </w:rPr>
      </w:pPr>
    </w:p>
    <w:p w14:paraId="5D148431" w14:textId="77777777" w:rsidR="00FC43F2" w:rsidRPr="006B347B" w:rsidRDefault="00FC43F2" w:rsidP="00FC43F2">
      <w:pPr>
        <w:tabs>
          <w:tab w:val="left" w:pos="1440"/>
          <w:tab w:val="left" w:pos="3060"/>
        </w:tabs>
        <w:jc w:val="center"/>
        <w:rPr>
          <w:rFonts w:ascii="Arial" w:hAnsi="Arial" w:cs="Arial"/>
          <w:b/>
          <w:smallCaps/>
          <w:sz w:val="22"/>
          <w:lang w:val="es-ES_tradnl"/>
        </w:rPr>
      </w:pPr>
    </w:p>
    <w:p w14:paraId="77203D77" w14:textId="77777777" w:rsidR="00FC43F2" w:rsidRPr="006B347B" w:rsidRDefault="00FC43F2" w:rsidP="00FC43F2">
      <w:pPr>
        <w:tabs>
          <w:tab w:val="left" w:pos="1440"/>
          <w:tab w:val="left" w:pos="3060"/>
        </w:tabs>
        <w:spacing w:before="0"/>
        <w:jc w:val="center"/>
        <w:rPr>
          <w:rFonts w:ascii="Arial" w:eastAsia="Times New Roman" w:hAnsi="Arial" w:cs="Arial"/>
          <w:b/>
          <w:smallCaps/>
          <w:sz w:val="28"/>
          <w:szCs w:val="28"/>
          <w:lang w:val="es-ES"/>
        </w:rPr>
      </w:pPr>
      <w:r w:rsidRPr="006B347B">
        <w:rPr>
          <w:rFonts w:ascii="Arial" w:eastAsia="Times New Roman" w:hAnsi="Arial" w:cs="Arial"/>
          <w:b/>
          <w:smallCaps/>
          <w:sz w:val="28"/>
          <w:szCs w:val="28"/>
          <w:lang w:val="es-ES"/>
        </w:rPr>
        <w:t>Honduras</w:t>
      </w:r>
    </w:p>
    <w:p w14:paraId="2AE2ED20" w14:textId="77777777" w:rsidR="00FC43F2" w:rsidRPr="006B347B" w:rsidRDefault="00FC43F2" w:rsidP="00FC43F2">
      <w:pPr>
        <w:tabs>
          <w:tab w:val="left" w:pos="1440"/>
          <w:tab w:val="left" w:pos="3060"/>
        </w:tabs>
        <w:jc w:val="center"/>
        <w:rPr>
          <w:rFonts w:ascii="Arial" w:hAnsi="Arial" w:cs="Arial"/>
          <w:b/>
          <w:smallCaps/>
          <w:sz w:val="22"/>
          <w:highlight w:val="lightGray"/>
          <w:lang w:val="es-ES"/>
        </w:rPr>
      </w:pPr>
    </w:p>
    <w:p w14:paraId="5EAFB7DE" w14:textId="77777777" w:rsidR="00FC43F2" w:rsidRPr="006B347B" w:rsidRDefault="00FC43F2" w:rsidP="00FC43F2">
      <w:pPr>
        <w:tabs>
          <w:tab w:val="left" w:pos="1440"/>
          <w:tab w:val="left" w:pos="3060"/>
        </w:tabs>
        <w:jc w:val="center"/>
        <w:rPr>
          <w:rFonts w:ascii="Arial" w:hAnsi="Arial" w:cs="Arial"/>
          <w:b/>
          <w:smallCaps/>
          <w:sz w:val="22"/>
          <w:highlight w:val="lightGray"/>
          <w:lang w:val="es-ES"/>
        </w:rPr>
      </w:pPr>
    </w:p>
    <w:p w14:paraId="162DB849" w14:textId="77777777" w:rsidR="00FC43F2" w:rsidRPr="006B347B" w:rsidRDefault="00FC43F2" w:rsidP="00FC43F2">
      <w:pPr>
        <w:spacing w:before="0"/>
        <w:jc w:val="center"/>
        <w:rPr>
          <w:rFonts w:ascii="Arial" w:eastAsia="Times New Roman" w:hAnsi="Arial" w:cs="Arial"/>
          <w:b/>
          <w:sz w:val="22"/>
          <w:lang w:val="es-ES"/>
        </w:rPr>
      </w:pPr>
      <w:r w:rsidRPr="006B347B">
        <w:rPr>
          <w:rFonts w:ascii="Arial" w:eastAsia="Times New Roman" w:hAnsi="Arial" w:cs="Arial"/>
          <w:b/>
          <w:sz w:val="22"/>
          <w:lang w:val="es-ES"/>
        </w:rPr>
        <w:t>Apoyo Programático a Reformas Estructurales del Sector Eléctrico</w:t>
      </w:r>
    </w:p>
    <w:p w14:paraId="73038CED" w14:textId="77777777" w:rsidR="00FC43F2" w:rsidRPr="006B347B" w:rsidRDefault="00FC43F2" w:rsidP="00FC43F2">
      <w:pPr>
        <w:spacing w:before="240"/>
        <w:jc w:val="center"/>
        <w:rPr>
          <w:rFonts w:ascii="Arial" w:eastAsia="Times New Roman" w:hAnsi="Arial" w:cs="Arial"/>
          <w:b/>
          <w:sz w:val="22"/>
          <w:lang w:val="es-ES"/>
        </w:rPr>
      </w:pPr>
      <w:r>
        <w:rPr>
          <w:rFonts w:ascii="Arial" w:eastAsia="Times New Roman" w:hAnsi="Arial" w:cs="Arial"/>
          <w:b/>
          <w:sz w:val="22"/>
          <w:lang w:val="es-ES"/>
        </w:rPr>
        <w:t>Tercer</w:t>
      </w:r>
      <w:r w:rsidRPr="006B347B">
        <w:rPr>
          <w:rFonts w:ascii="Arial" w:eastAsia="Times New Roman" w:hAnsi="Arial" w:cs="Arial"/>
          <w:b/>
          <w:sz w:val="22"/>
          <w:lang w:val="es-ES"/>
        </w:rPr>
        <w:t xml:space="preserve"> Préstamo</w:t>
      </w:r>
      <w:r w:rsidRPr="006B347B" w:rsidDel="00A30D69">
        <w:rPr>
          <w:rFonts w:ascii="Arial" w:eastAsia="Times New Roman" w:hAnsi="Arial" w:cs="Arial"/>
          <w:b/>
          <w:sz w:val="22"/>
          <w:lang w:val="es-ES"/>
        </w:rPr>
        <w:t xml:space="preserve"> </w:t>
      </w:r>
    </w:p>
    <w:p w14:paraId="6A425A14" w14:textId="77777777" w:rsidR="00FC43F2" w:rsidRPr="006B347B" w:rsidRDefault="00FC43F2" w:rsidP="00FC43F2">
      <w:pPr>
        <w:keepNext/>
        <w:tabs>
          <w:tab w:val="left" w:pos="3060"/>
        </w:tabs>
        <w:spacing w:before="240"/>
        <w:jc w:val="center"/>
        <w:rPr>
          <w:rFonts w:ascii="Arial" w:eastAsia="Times New Roman" w:hAnsi="Arial" w:cs="Arial"/>
          <w:caps/>
          <w:sz w:val="22"/>
          <w:lang w:val="es-ES"/>
        </w:rPr>
      </w:pPr>
    </w:p>
    <w:p w14:paraId="0E86A662" w14:textId="77777777" w:rsidR="00FC43F2" w:rsidRPr="006B347B" w:rsidRDefault="00FC43F2" w:rsidP="00FC43F2">
      <w:pPr>
        <w:tabs>
          <w:tab w:val="left" w:pos="1440"/>
          <w:tab w:val="left" w:pos="3060"/>
        </w:tabs>
        <w:spacing w:before="0"/>
        <w:jc w:val="center"/>
        <w:rPr>
          <w:rFonts w:ascii="Arial" w:eastAsia="Times New Roman" w:hAnsi="Arial" w:cs="Arial"/>
          <w:b/>
          <w:smallCaps/>
          <w:sz w:val="22"/>
          <w:lang w:val="es-ES"/>
        </w:rPr>
      </w:pPr>
      <w:r w:rsidRPr="006B347B">
        <w:rPr>
          <w:rFonts w:ascii="Arial" w:eastAsia="Times New Roman" w:hAnsi="Arial" w:cs="Arial"/>
          <w:b/>
          <w:smallCaps/>
          <w:sz w:val="22"/>
          <w:lang w:val="es-ES"/>
        </w:rPr>
        <w:t>HO-L11</w:t>
      </w:r>
      <w:r>
        <w:rPr>
          <w:rFonts w:ascii="Arial" w:eastAsia="Times New Roman" w:hAnsi="Arial" w:cs="Arial"/>
          <w:b/>
          <w:smallCaps/>
          <w:sz w:val="22"/>
          <w:lang w:val="es-ES"/>
        </w:rPr>
        <w:t>89</w:t>
      </w:r>
    </w:p>
    <w:p w14:paraId="5EA9AD67" w14:textId="77777777" w:rsidR="00FC43F2" w:rsidRPr="002A7BBE" w:rsidRDefault="00FC43F2" w:rsidP="00FC43F2">
      <w:pPr>
        <w:pStyle w:val="Newpage"/>
        <w:rPr>
          <w:rFonts w:ascii="Arial" w:hAnsi="Arial"/>
          <w:b w:val="0"/>
          <w:caps/>
          <w:smallCaps w:val="0"/>
          <w:sz w:val="22"/>
          <w:szCs w:val="22"/>
          <w:lang w:val="es-ES_tradnl"/>
        </w:rPr>
      </w:pPr>
    </w:p>
    <w:p w14:paraId="2E6E4447" w14:textId="77777777" w:rsidR="00FC43F2" w:rsidRPr="002A7BBE" w:rsidRDefault="00FC43F2" w:rsidP="00FC43F2">
      <w:pPr>
        <w:tabs>
          <w:tab w:val="left" w:pos="1440"/>
          <w:tab w:val="left" w:pos="3060"/>
        </w:tabs>
        <w:jc w:val="center"/>
        <w:rPr>
          <w:rFonts w:ascii="Arial" w:hAnsi="Arial" w:cs="Arial"/>
          <w:smallCaps/>
          <w:sz w:val="22"/>
          <w:lang w:val="es-ES_tradnl"/>
        </w:rPr>
      </w:pPr>
    </w:p>
    <w:p w14:paraId="573E14EF" w14:textId="77777777" w:rsidR="00FC43F2" w:rsidRPr="002A7BBE" w:rsidRDefault="00FC43F2" w:rsidP="00FC43F2">
      <w:pPr>
        <w:tabs>
          <w:tab w:val="left" w:pos="1440"/>
          <w:tab w:val="left" w:pos="3060"/>
        </w:tabs>
        <w:jc w:val="center"/>
        <w:outlineLvl w:val="0"/>
        <w:rPr>
          <w:rFonts w:ascii="Arial" w:hAnsi="Arial" w:cs="Arial"/>
          <w:b/>
          <w:smallCaps/>
          <w:sz w:val="22"/>
          <w:lang w:val="es-ES_tradnl"/>
        </w:rPr>
      </w:pPr>
      <w:bookmarkStart w:id="1" w:name="_Toc496828295"/>
      <w:r w:rsidRPr="002A7BBE">
        <w:rPr>
          <w:rFonts w:ascii="Arial" w:hAnsi="Arial" w:cs="Arial"/>
          <w:b/>
          <w:smallCaps/>
          <w:sz w:val="22"/>
          <w:lang w:val="es-ES_tradnl"/>
        </w:rPr>
        <w:t>Anexo de Análisis Económico</w:t>
      </w:r>
      <w:bookmarkEnd w:id="1"/>
    </w:p>
    <w:p w14:paraId="03B5F70F" w14:textId="77777777" w:rsidR="00FC43F2" w:rsidRPr="002A7BBE" w:rsidRDefault="00FC43F2" w:rsidP="00FC43F2">
      <w:pPr>
        <w:tabs>
          <w:tab w:val="left" w:pos="1440"/>
          <w:tab w:val="left" w:pos="3060"/>
        </w:tabs>
        <w:jc w:val="center"/>
        <w:outlineLvl w:val="0"/>
        <w:rPr>
          <w:rFonts w:ascii="Arial" w:hAnsi="Arial" w:cs="Arial"/>
          <w:b/>
          <w:smallCaps/>
          <w:sz w:val="22"/>
          <w:lang w:val="es-ES_tradnl"/>
        </w:rPr>
      </w:pPr>
    </w:p>
    <w:p w14:paraId="76D3B2F1" w14:textId="77777777" w:rsidR="00FC43F2" w:rsidRPr="002A7BBE" w:rsidRDefault="00FC43F2" w:rsidP="00FC43F2">
      <w:pPr>
        <w:tabs>
          <w:tab w:val="left" w:pos="1440"/>
          <w:tab w:val="left" w:pos="3060"/>
        </w:tabs>
        <w:jc w:val="center"/>
        <w:outlineLvl w:val="0"/>
        <w:rPr>
          <w:rFonts w:ascii="Arial" w:hAnsi="Arial" w:cs="Arial"/>
          <w:b/>
          <w:smallCaps/>
          <w:sz w:val="22"/>
          <w:lang w:val="es-ES_tradnl"/>
        </w:rPr>
      </w:pPr>
    </w:p>
    <w:p w14:paraId="3284C61B" w14:textId="77777777" w:rsidR="00FC43F2" w:rsidRPr="002A7BBE" w:rsidRDefault="00FC43F2" w:rsidP="00FC43F2">
      <w:pPr>
        <w:tabs>
          <w:tab w:val="left" w:pos="1440"/>
          <w:tab w:val="left" w:pos="3060"/>
        </w:tabs>
        <w:jc w:val="center"/>
        <w:outlineLvl w:val="0"/>
        <w:rPr>
          <w:rFonts w:ascii="Arial" w:hAnsi="Arial" w:cs="Arial"/>
          <w:b/>
          <w:smallCaps/>
          <w:sz w:val="22"/>
          <w:lang w:val="es-ES_tradnl"/>
        </w:rPr>
      </w:pPr>
    </w:p>
    <w:p w14:paraId="2AB0CBB5" w14:textId="77777777" w:rsidR="00FC43F2" w:rsidRPr="002A7BBE" w:rsidRDefault="00FC43F2" w:rsidP="00FC43F2">
      <w:pPr>
        <w:tabs>
          <w:tab w:val="left" w:pos="1440"/>
          <w:tab w:val="left" w:pos="3060"/>
        </w:tabs>
        <w:jc w:val="center"/>
        <w:outlineLvl w:val="0"/>
        <w:rPr>
          <w:rFonts w:ascii="Arial" w:hAnsi="Arial" w:cs="Arial"/>
          <w:b/>
          <w:smallCaps/>
          <w:sz w:val="22"/>
          <w:lang w:val="es-ES_tradnl"/>
        </w:rPr>
      </w:pPr>
    </w:p>
    <w:p w14:paraId="5B83A6AF" w14:textId="77777777" w:rsidR="00FC43F2" w:rsidRPr="002A7BBE" w:rsidRDefault="00FC43F2" w:rsidP="00FC43F2">
      <w:pPr>
        <w:tabs>
          <w:tab w:val="left" w:pos="1440"/>
          <w:tab w:val="left" w:pos="3060"/>
        </w:tabs>
        <w:jc w:val="center"/>
        <w:outlineLvl w:val="0"/>
        <w:rPr>
          <w:rFonts w:ascii="Arial" w:hAnsi="Arial" w:cs="Arial"/>
          <w:b/>
          <w:smallCaps/>
          <w:sz w:val="22"/>
          <w:lang w:val="es-ES_tradnl"/>
        </w:rPr>
      </w:pPr>
    </w:p>
    <w:p w14:paraId="649E6FCC" w14:textId="77777777" w:rsidR="00FC43F2" w:rsidRPr="002A7BBE" w:rsidRDefault="00FC43F2" w:rsidP="00FC43F2">
      <w:pPr>
        <w:tabs>
          <w:tab w:val="left" w:pos="1440"/>
          <w:tab w:val="left" w:pos="3060"/>
        </w:tabs>
        <w:jc w:val="center"/>
        <w:outlineLvl w:val="0"/>
        <w:rPr>
          <w:rFonts w:ascii="Arial" w:hAnsi="Arial" w:cs="Arial"/>
          <w:b/>
          <w:smallCaps/>
          <w:sz w:val="22"/>
          <w:lang w:val="es-ES_tradnl"/>
        </w:rPr>
      </w:pPr>
    </w:p>
    <w:p w14:paraId="2D33D85A" w14:textId="77777777" w:rsidR="00FC43F2" w:rsidRPr="002A7BBE" w:rsidRDefault="00FC43F2" w:rsidP="00FC43F2">
      <w:pPr>
        <w:tabs>
          <w:tab w:val="left" w:pos="1440"/>
          <w:tab w:val="left" w:pos="3060"/>
        </w:tabs>
        <w:jc w:val="center"/>
        <w:outlineLvl w:val="0"/>
        <w:rPr>
          <w:rFonts w:ascii="Arial" w:hAnsi="Arial" w:cs="Arial"/>
          <w:b/>
          <w:smallCaps/>
          <w:sz w:val="22"/>
          <w:lang w:val="es-ES_tradnl"/>
        </w:rPr>
      </w:pPr>
    </w:p>
    <w:p w14:paraId="38FFB61C" w14:textId="77777777" w:rsidR="00FC43F2" w:rsidRPr="002A7BBE" w:rsidRDefault="00FC43F2" w:rsidP="00FC43F2">
      <w:pPr>
        <w:tabs>
          <w:tab w:val="left" w:pos="1440"/>
          <w:tab w:val="left" w:pos="3060"/>
        </w:tabs>
        <w:jc w:val="center"/>
        <w:outlineLvl w:val="0"/>
        <w:rPr>
          <w:rFonts w:ascii="Arial" w:hAnsi="Arial" w:cs="Arial"/>
          <w:b/>
          <w:smallCaps/>
          <w:sz w:val="22"/>
          <w:lang w:val="es-ES_tradnl"/>
        </w:rPr>
      </w:pPr>
    </w:p>
    <w:p w14:paraId="44FA199A" w14:textId="77777777" w:rsidR="00FC43F2" w:rsidRPr="002A7BBE" w:rsidRDefault="00FC43F2" w:rsidP="00FC43F2">
      <w:pPr>
        <w:tabs>
          <w:tab w:val="left" w:pos="1440"/>
          <w:tab w:val="left" w:pos="3060"/>
        </w:tabs>
        <w:jc w:val="center"/>
        <w:outlineLvl w:val="0"/>
        <w:rPr>
          <w:rFonts w:ascii="Arial" w:hAnsi="Arial" w:cs="Arial"/>
          <w:b/>
          <w:smallCaps/>
          <w:sz w:val="22"/>
          <w:lang w:val="es-ES_tradnl"/>
        </w:rPr>
      </w:pPr>
    </w:p>
    <w:p w14:paraId="49B50315" w14:textId="77777777" w:rsidR="00FC43F2" w:rsidRPr="006B347B" w:rsidRDefault="00FC43F2" w:rsidP="00FC43F2">
      <w:pPr>
        <w:pStyle w:val="ListParagraph"/>
        <w:spacing w:line="360" w:lineRule="auto"/>
        <w:ind w:left="0"/>
        <w:jc w:val="center"/>
        <w:rPr>
          <w:rFonts w:ascii="Arial" w:hAnsi="Arial" w:cs="Arial"/>
          <w:b/>
          <w:sz w:val="22"/>
          <w:lang w:val="es-ES_tradnl"/>
        </w:rPr>
      </w:pPr>
      <w:r>
        <w:rPr>
          <w:rFonts w:ascii="Arial" w:hAnsi="Arial" w:cs="Arial"/>
          <w:b/>
          <w:sz w:val="22"/>
          <w:lang w:val="es-ES_tradnl"/>
        </w:rPr>
        <w:t xml:space="preserve"> 27 </w:t>
      </w:r>
      <w:r w:rsidRPr="006B347B">
        <w:rPr>
          <w:rFonts w:ascii="Arial" w:hAnsi="Arial" w:cs="Arial"/>
          <w:b/>
          <w:sz w:val="22"/>
          <w:lang w:val="es-ES_tradnl"/>
        </w:rPr>
        <w:t>Octubre 201</w:t>
      </w:r>
      <w:r>
        <w:rPr>
          <w:rFonts w:ascii="Arial" w:hAnsi="Arial" w:cs="Arial"/>
          <w:b/>
          <w:sz w:val="22"/>
          <w:lang w:val="es-ES_tradnl"/>
        </w:rPr>
        <w:t>7</w:t>
      </w:r>
    </w:p>
    <w:p w14:paraId="40442A2D" w14:textId="77777777" w:rsidR="00FC43F2" w:rsidRPr="006B347B" w:rsidRDefault="00FC43F2" w:rsidP="00FC43F2">
      <w:pPr>
        <w:tabs>
          <w:tab w:val="left" w:pos="1440"/>
          <w:tab w:val="left" w:pos="3060"/>
        </w:tabs>
        <w:jc w:val="center"/>
        <w:rPr>
          <w:rFonts w:ascii="Arial" w:hAnsi="Arial" w:cs="Arial"/>
          <w:sz w:val="22"/>
          <w:lang w:val="es-ES_tradnl"/>
        </w:rPr>
      </w:pPr>
    </w:p>
    <w:p w14:paraId="1212C942" w14:textId="77777777" w:rsidR="00FC43F2" w:rsidRDefault="00FC43F2" w:rsidP="00FC43F2">
      <w:pPr>
        <w:tabs>
          <w:tab w:val="left" w:pos="1440"/>
          <w:tab w:val="left" w:pos="3060"/>
        </w:tabs>
        <w:jc w:val="center"/>
        <w:rPr>
          <w:rFonts w:ascii="Arial" w:hAnsi="Arial" w:cs="Arial"/>
          <w:sz w:val="22"/>
          <w:lang w:val="es-ES_tradnl"/>
        </w:rPr>
      </w:pPr>
    </w:p>
    <w:p w14:paraId="75BF9256" w14:textId="77777777" w:rsidR="00FC43F2" w:rsidRPr="006B347B" w:rsidRDefault="00FC43F2" w:rsidP="00FC43F2">
      <w:pPr>
        <w:tabs>
          <w:tab w:val="left" w:pos="1440"/>
          <w:tab w:val="left" w:pos="3060"/>
        </w:tabs>
        <w:jc w:val="center"/>
        <w:rPr>
          <w:rFonts w:ascii="Arial" w:hAnsi="Arial" w:cs="Arial"/>
          <w:sz w:val="22"/>
          <w:lang w:val="es-ES_tradnl"/>
        </w:rPr>
      </w:pPr>
    </w:p>
    <w:p w14:paraId="515DD145" w14:textId="77777777" w:rsidR="00FC43F2" w:rsidRPr="006B347B" w:rsidRDefault="00FC43F2" w:rsidP="00FC43F2">
      <w:pPr>
        <w:tabs>
          <w:tab w:val="left" w:pos="1440"/>
          <w:tab w:val="left" w:pos="3060"/>
        </w:tabs>
        <w:jc w:val="center"/>
        <w:rPr>
          <w:rFonts w:ascii="Arial" w:hAnsi="Arial" w:cs="Arial"/>
          <w:sz w:val="22"/>
          <w:lang w:val="es-ES_tradnl"/>
        </w:rPr>
      </w:pPr>
    </w:p>
    <w:p w14:paraId="173230CA" w14:textId="77777777" w:rsidR="00FC43F2" w:rsidRPr="005D16B6" w:rsidRDefault="00FC43F2" w:rsidP="00FC43F2">
      <w:pPr>
        <w:pStyle w:val="BodyText"/>
        <w:pBdr>
          <w:top w:val="single" w:sz="4" w:space="1" w:color="auto"/>
          <w:left w:val="single" w:sz="4" w:space="4" w:color="auto"/>
          <w:bottom w:val="single" w:sz="4" w:space="1" w:color="auto"/>
          <w:right w:val="single" w:sz="4" w:space="4" w:color="auto"/>
        </w:pBdr>
        <w:tabs>
          <w:tab w:val="left" w:pos="1440"/>
        </w:tabs>
        <w:jc w:val="both"/>
        <w:rPr>
          <w:b/>
          <w:lang w:val="es-ES"/>
        </w:rPr>
      </w:pPr>
      <w:r w:rsidRPr="006B347B">
        <w:rPr>
          <w:rFonts w:ascii="Arial" w:hAnsi="Arial" w:cs="Arial"/>
          <w:sz w:val="22"/>
          <w:szCs w:val="22"/>
          <w:lang w:val="es-ES"/>
        </w:rPr>
        <w:t>Este documento fue preparado por</w:t>
      </w:r>
      <w:r w:rsidRPr="00BE60FB">
        <w:rPr>
          <w:rFonts w:ascii="Arial" w:hAnsi="Arial" w:cs="Arial"/>
          <w:sz w:val="22"/>
          <w:szCs w:val="22"/>
          <w:lang w:val="es-ES_tradnl"/>
        </w:rPr>
        <w:t xml:space="preserve"> </w:t>
      </w:r>
      <w:r w:rsidRPr="006B347B">
        <w:rPr>
          <w:rFonts w:ascii="Arial" w:hAnsi="Arial" w:cs="Arial"/>
          <w:sz w:val="22"/>
          <w:szCs w:val="22"/>
          <w:lang w:val="es-ES_tradnl"/>
        </w:rPr>
        <w:t>Nancy Jesurun-Clements (</w:t>
      </w:r>
      <w:r>
        <w:rPr>
          <w:rFonts w:ascii="Arial" w:hAnsi="Arial" w:cs="Arial"/>
          <w:sz w:val="22"/>
          <w:szCs w:val="22"/>
          <w:lang w:val="es-ES_tradnl"/>
        </w:rPr>
        <w:t>Consultora) con el apoyo de</w:t>
      </w:r>
      <w:r w:rsidRPr="006B347B">
        <w:rPr>
          <w:rFonts w:ascii="Arial" w:hAnsi="Arial" w:cs="Arial"/>
          <w:sz w:val="22"/>
          <w:szCs w:val="22"/>
          <w:lang w:val="es-ES"/>
        </w:rPr>
        <w:t xml:space="preserve">: </w:t>
      </w:r>
      <w:r w:rsidRPr="006B347B">
        <w:rPr>
          <w:rFonts w:ascii="Arial" w:hAnsi="Arial" w:cs="Arial"/>
          <w:sz w:val="22"/>
          <w:szCs w:val="22"/>
          <w:lang w:val="es-ES_tradnl"/>
        </w:rPr>
        <w:t>Carlos Jácome (ENE/CHO), Jefe de Equipo;</w:t>
      </w:r>
      <w:r>
        <w:rPr>
          <w:rFonts w:ascii="Arial" w:hAnsi="Arial" w:cs="Arial"/>
          <w:sz w:val="22"/>
          <w:szCs w:val="22"/>
          <w:lang w:val="es-ES_tradnl"/>
        </w:rPr>
        <w:t xml:space="preserve"> Alberto Levy (INE/ENE); Wilkferg Vanegas (INE/ENE) y documentación preparada por Fernando Lecaros (Consultor).</w:t>
      </w:r>
    </w:p>
    <w:p w14:paraId="7B867E5C" w14:textId="77777777" w:rsidR="00FC43F2" w:rsidRPr="006B347B" w:rsidRDefault="00FC43F2" w:rsidP="00FC43F2">
      <w:pPr>
        <w:spacing w:before="0"/>
        <w:rPr>
          <w:rFonts w:ascii="Arial" w:hAnsi="Arial" w:cs="Arial"/>
          <w:b/>
          <w:sz w:val="22"/>
          <w:lang w:val="es-ES"/>
        </w:rPr>
      </w:pPr>
    </w:p>
    <w:sdt>
      <w:sdtPr>
        <w:rPr>
          <w:rFonts w:ascii="Times New Roman" w:eastAsia="Calibri" w:hAnsi="Times New Roman" w:cs="Times New Roman"/>
          <w:b w:val="0"/>
          <w:bCs w:val="0"/>
          <w:color w:val="auto"/>
          <w:sz w:val="24"/>
          <w:szCs w:val="22"/>
          <w:lang w:eastAsia="en-US"/>
        </w:rPr>
        <w:id w:val="-164089381"/>
        <w:docPartObj>
          <w:docPartGallery w:val="Table of Contents"/>
          <w:docPartUnique/>
        </w:docPartObj>
      </w:sdtPr>
      <w:sdtEndPr>
        <w:rPr>
          <w:noProof/>
        </w:rPr>
      </w:sdtEndPr>
      <w:sdtContent>
        <w:p w14:paraId="71AA8C79" w14:textId="77777777" w:rsidR="00FC43F2" w:rsidRPr="00B436D8" w:rsidRDefault="00FC43F2" w:rsidP="00FC43F2">
          <w:pPr>
            <w:pStyle w:val="TOCHeading"/>
            <w:jc w:val="center"/>
            <w:rPr>
              <w:color w:val="auto"/>
            </w:rPr>
          </w:pPr>
          <w:r w:rsidRPr="00B436D8">
            <w:rPr>
              <w:color w:val="auto"/>
            </w:rPr>
            <w:t>Conten</w:t>
          </w:r>
          <w:r>
            <w:rPr>
              <w:color w:val="auto"/>
            </w:rPr>
            <w:t>ido</w:t>
          </w:r>
        </w:p>
        <w:p w14:paraId="36DC044E" w14:textId="77777777" w:rsidR="00FC43F2" w:rsidRDefault="00FC43F2" w:rsidP="00FC43F2">
          <w:pPr>
            <w:pStyle w:val="TOC1"/>
            <w:rPr>
              <w:rFonts w:asciiTheme="minorHAnsi" w:eastAsiaTheme="minorEastAsia" w:hAnsiTheme="minorHAnsi" w:cstheme="minorBidi"/>
              <w:smallCaps w:val="0"/>
              <w:noProof/>
            </w:rPr>
          </w:pPr>
          <w:r>
            <w:rPr>
              <w:smallCaps w:val="0"/>
            </w:rPr>
            <w:fldChar w:fldCharType="begin"/>
          </w:r>
          <w:r>
            <w:rPr>
              <w:smallCaps w:val="0"/>
            </w:rPr>
            <w:instrText xml:space="preserve"> TOC \o "1-3" \h \z \u </w:instrText>
          </w:r>
          <w:r>
            <w:rPr>
              <w:smallCaps w:val="0"/>
            </w:rPr>
            <w:fldChar w:fldCharType="separate"/>
          </w:r>
          <w:hyperlink w:anchor="_Toc496828295" w:history="1">
            <w:r w:rsidRPr="00EF346C">
              <w:rPr>
                <w:rStyle w:val="Hyperlink"/>
                <w:rFonts w:cs="Arial"/>
                <w:noProof/>
                <w:lang w:val="es-ES_tradnl"/>
              </w:rPr>
              <w:t>Anexo de Análisis Económico</w:t>
            </w:r>
            <w:r>
              <w:rPr>
                <w:noProof/>
                <w:webHidden/>
              </w:rPr>
              <w:tab/>
            </w:r>
            <w:r>
              <w:rPr>
                <w:noProof/>
                <w:webHidden/>
              </w:rPr>
              <w:fldChar w:fldCharType="begin"/>
            </w:r>
            <w:r>
              <w:rPr>
                <w:noProof/>
                <w:webHidden/>
              </w:rPr>
              <w:instrText xml:space="preserve"> PAGEREF _Toc496828295 \h </w:instrText>
            </w:r>
            <w:r>
              <w:rPr>
                <w:noProof/>
                <w:webHidden/>
              </w:rPr>
            </w:r>
            <w:r>
              <w:rPr>
                <w:noProof/>
                <w:webHidden/>
              </w:rPr>
              <w:fldChar w:fldCharType="separate"/>
            </w:r>
            <w:r>
              <w:rPr>
                <w:noProof/>
                <w:webHidden/>
              </w:rPr>
              <w:t>1</w:t>
            </w:r>
            <w:r>
              <w:rPr>
                <w:noProof/>
                <w:webHidden/>
              </w:rPr>
              <w:fldChar w:fldCharType="end"/>
            </w:r>
          </w:hyperlink>
        </w:p>
        <w:p w14:paraId="319DF20A" w14:textId="77777777" w:rsidR="00FC43F2" w:rsidRDefault="003932AB" w:rsidP="00FC43F2">
          <w:pPr>
            <w:pStyle w:val="TOC1"/>
            <w:rPr>
              <w:rFonts w:asciiTheme="minorHAnsi" w:eastAsiaTheme="minorEastAsia" w:hAnsiTheme="minorHAnsi" w:cstheme="minorBidi"/>
              <w:smallCaps w:val="0"/>
              <w:noProof/>
            </w:rPr>
          </w:pPr>
          <w:hyperlink w:anchor="_Toc496828296" w:history="1">
            <w:r w:rsidR="00FC43F2" w:rsidRPr="00EF346C">
              <w:rPr>
                <w:rStyle w:val="Hyperlink"/>
                <w:rFonts w:cs="Arial"/>
                <w:noProof/>
                <w:lang w:val="es-ES"/>
              </w:rPr>
              <w:t>I.</w:t>
            </w:r>
            <w:r w:rsidR="00FC43F2">
              <w:rPr>
                <w:rFonts w:asciiTheme="minorHAnsi" w:eastAsiaTheme="minorEastAsia" w:hAnsiTheme="minorHAnsi" w:cstheme="minorBidi"/>
                <w:smallCaps w:val="0"/>
                <w:noProof/>
              </w:rPr>
              <w:tab/>
            </w:r>
            <w:r w:rsidR="00FC43F2" w:rsidRPr="00EF346C">
              <w:rPr>
                <w:rStyle w:val="Hyperlink"/>
                <w:rFonts w:cs="Arial"/>
                <w:noProof/>
                <w:lang w:val="es-ES"/>
              </w:rPr>
              <w:t>Introducción</w:t>
            </w:r>
            <w:r w:rsidR="00FC43F2">
              <w:rPr>
                <w:noProof/>
                <w:webHidden/>
              </w:rPr>
              <w:tab/>
            </w:r>
            <w:r w:rsidR="00FC43F2">
              <w:rPr>
                <w:noProof/>
                <w:webHidden/>
              </w:rPr>
              <w:fldChar w:fldCharType="begin"/>
            </w:r>
            <w:r w:rsidR="00FC43F2">
              <w:rPr>
                <w:noProof/>
                <w:webHidden/>
              </w:rPr>
              <w:instrText xml:space="preserve"> PAGEREF _Toc496828296 \h </w:instrText>
            </w:r>
            <w:r w:rsidR="00FC43F2">
              <w:rPr>
                <w:noProof/>
                <w:webHidden/>
              </w:rPr>
            </w:r>
            <w:r w:rsidR="00FC43F2">
              <w:rPr>
                <w:noProof/>
                <w:webHidden/>
              </w:rPr>
              <w:fldChar w:fldCharType="separate"/>
            </w:r>
            <w:r w:rsidR="00FC43F2">
              <w:rPr>
                <w:noProof/>
                <w:webHidden/>
              </w:rPr>
              <w:t>3</w:t>
            </w:r>
            <w:r w:rsidR="00FC43F2">
              <w:rPr>
                <w:noProof/>
                <w:webHidden/>
              </w:rPr>
              <w:fldChar w:fldCharType="end"/>
            </w:r>
          </w:hyperlink>
        </w:p>
        <w:p w14:paraId="135B2AF9" w14:textId="77777777" w:rsidR="00FC43F2" w:rsidRDefault="003932AB" w:rsidP="00FC43F2">
          <w:pPr>
            <w:pStyle w:val="TOC1"/>
            <w:rPr>
              <w:rFonts w:asciiTheme="minorHAnsi" w:eastAsiaTheme="minorEastAsia" w:hAnsiTheme="minorHAnsi" w:cstheme="minorBidi"/>
              <w:smallCaps w:val="0"/>
              <w:noProof/>
            </w:rPr>
          </w:pPr>
          <w:hyperlink w:anchor="_Toc496828297" w:history="1">
            <w:r w:rsidR="00FC43F2" w:rsidRPr="00EF346C">
              <w:rPr>
                <w:rStyle w:val="Hyperlink"/>
                <w:rFonts w:cs="Arial"/>
                <w:noProof/>
                <w:lang w:val="es-ES"/>
              </w:rPr>
              <w:t>II.</w:t>
            </w:r>
            <w:r w:rsidR="00FC43F2">
              <w:rPr>
                <w:rFonts w:asciiTheme="minorHAnsi" w:eastAsiaTheme="minorEastAsia" w:hAnsiTheme="minorHAnsi" w:cstheme="minorBidi"/>
                <w:smallCaps w:val="0"/>
                <w:noProof/>
              </w:rPr>
              <w:tab/>
            </w:r>
            <w:r w:rsidR="00FC43F2" w:rsidRPr="00EF346C">
              <w:rPr>
                <w:rStyle w:val="Hyperlink"/>
                <w:rFonts w:cs="Arial"/>
                <w:noProof/>
                <w:lang w:val="es-ES"/>
              </w:rPr>
              <w:t>Evaluación de resultados</w:t>
            </w:r>
            <w:r w:rsidR="00FC43F2">
              <w:rPr>
                <w:noProof/>
                <w:webHidden/>
              </w:rPr>
              <w:tab/>
            </w:r>
            <w:r w:rsidR="00FC43F2">
              <w:rPr>
                <w:noProof/>
                <w:webHidden/>
              </w:rPr>
              <w:fldChar w:fldCharType="begin"/>
            </w:r>
            <w:r w:rsidR="00FC43F2">
              <w:rPr>
                <w:noProof/>
                <w:webHidden/>
              </w:rPr>
              <w:instrText xml:space="preserve"> PAGEREF _Toc496828297 \h </w:instrText>
            </w:r>
            <w:r w:rsidR="00FC43F2">
              <w:rPr>
                <w:noProof/>
                <w:webHidden/>
              </w:rPr>
            </w:r>
            <w:r w:rsidR="00FC43F2">
              <w:rPr>
                <w:noProof/>
                <w:webHidden/>
              </w:rPr>
              <w:fldChar w:fldCharType="separate"/>
            </w:r>
            <w:r w:rsidR="00FC43F2">
              <w:rPr>
                <w:noProof/>
                <w:webHidden/>
              </w:rPr>
              <w:t>4</w:t>
            </w:r>
            <w:r w:rsidR="00FC43F2">
              <w:rPr>
                <w:noProof/>
                <w:webHidden/>
              </w:rPr>
              <w:fldChar w:fldCharType="end"/>
            </w:r>
          </w:hyperlink>
        </w:p>
        <w:p w14:paraId="2B8C54EC" w14:textId="77777777" w:rsidR="00FC43F2" w:rsidRDefault="003932AB" w:rsidP="00FC43F2">
          <w:pPr>
            <w:pStyle w:val="TOC2"/>
            <w:rPr>
              <w:rFonts w:asciiTheme="minorHAnsi" w:eastAsiaTheme="minorEastAsia" w:hAnsiTheme="minorHAnsi" w:cstheme="minorBidi"/>
              <w:noProof/>
              <w:lang w:val="en-US"/>
            </w:rPr>
          </w:pPr>
          <w:hyperlink w:anchor="_Toc496828298" w:history="1">
            <w:r w:rsidR="00FC43F2" w:rsidRPr="00EF346C">
              <w:rPr>
                <w:rStyle w:val="Hyperlink"/>
                <w:rFonts w:cs="Arial"/>
                <w:noProof/>
              </w:rPr>
              <w:t>A.</w:t>
            </w:r>
            <w:r w:rsidR="00FC43F2">
              <w:rPr>
                <w:rFonts w:asciiTheme="minorHAnsi" w:eastAsiaTheme="minorEastAsia" w:hAnsiTheme="minorHAnsi" w:cstheme="minorBidi"/>
                <w:noProof/>
                <w:lang w:val="en-US"/>
              </w:rPr>
              <w:tab/>
            </w:r>
            <w:r w:rsidR="00FC43F2" w:rsidRPr="00EF346C">
              <w:rPr>
                <w:rStyle w:val="Hyperlink"/>
                <w:rFonts w:cs="Arial"/>
                <w:noProof/>
              </w:rPr>
              <w:t>Reducción de pérdidas comerciales</w:t>
            </w:r>
            <w:r w:rsidR="00FC43F2">
              <w:rPr>
                <w:noProof/>
                <w:webHidden/>
              </w:rPr>
              <w:tab/>
            </w:r>
            <w:r w:rsidR="00FC43F2">
              <w:rPr>
                <w:noProof/>
                <w:webHidden/>
              </w:rPr>
              <w:fldChar w:fldCharType="begin"/>
            </w:r>
            <w:r w:rsidR="00FC43F2">
              <w:rPr>
                <w:noProof/>
                <w:webHidden/>
              </w:rPr>
              <w:instrText xml:space="preserve"> PAGEREF _Toc496828298 \h </w:instrText>
            </w:r>
            <w:r w:rsidR="00FC43F2">
              <w:rPr>
                <w:noProof/>
                <w:webHidden/>
              </w:rPr>
            </w:r>
            <w:r w:rsidR="00FC43F2">
              <w:rPr>
                <w:noProof/>
                <w:webHidden/>
              </w:rPr>
              <w:fldChar w:fldCharType="separate"/>
            </w:r>
            <w:r w:rsidR="00FC43F2">
              <w:rPr>
                <w:noProof/>
                <w:webHidden/>
              </w:rPr>
              <w:t>4</w:t>
            </w:r>
            <w:r w:rsidR="00FC43F2">
              <w:rPr>
                <w:noProof/>
                <w:webHidden/>
              </w:rPr>
              <w:fldChar w:fldCharType="end"/>
            </w:r>
          </w:hyperlink>
        </w:p>
        <w:p w14:paraId="41A299A2" w14:textId="77777777" w:rsidR="00FC43F2" w:rsidRDefault="003932AB" w:rsidP="00FC43F2">
          <w:pPr>
            <w:pStyle w:val="TOC2"/>
            <w:rPr>
              <w:rFonts w:asciiTheme="minorHAnsi" w:eastAsiaTheme="minorEastAsia" w:hAnsiTheme="minorHAnsi" w:cstheme="minorBidi"/>
              <w:noProof/>
              <w:lang w:val="en-US"/>
            </w:rPr>
          </w:pPr>
          <w:hyperlink w:anchor="_Toc496828299" w:history="1">
            <w:r w:rsidR="00FC43F2" w:rsidRPr="00EF346C">
              <w:rPr>
                <w:rStyle w:val="Hyperlink"/>
                <w:rFonts w:cs="Arial"/>
                <w:noProof/>
              </w:rPr>
              <w:t>B.</w:t>
            </w:r>
            <w:r w:rsidR="00FC43F2">
              <w:rPr>
                <w:rFonts w:asciiTheme="minorHAnsi" w:eastAsiaTheme="minorEastAsia" w:hAnsiTheme="minorHAnsi" w:cstheme="minorBidi"/>
                <w:noProof/>
                <w:lang w:val="en-US"/>
              </w:rPr>
              <w:tab/>
            </w:r>
            <w:r w:rsidR="00FC43F2" w:rsidRPr="00EF346C">
              <w:rPr>
                <w:rStyle w:val="Hyperlink"/>
                <w:rFonts w:cs="Arial"/>
                <w:noProof/>
              </w:rPr>
              <w:t>Focalización de subsidios.</w:t>
            </w:r>
            <w:r w:rsidR="00FC43F2">
              <w:rPr>
                <w:noProof/>
                <w:webHidden/>
              </w:rPr>
              <w:tab/>
            </w:r>
            <w:r w:rsidR="00FC43F2">
              <w:rPr>
                <w:noProof/>
                <w:webHidden/>
              </w:rPr>
              <w:fldChar w:fldCharType="begin"/>
            </w:r>
            <w:r w:rsidR="00FC43F2">
              <w:rPr>
                <w:noProof/>
                <w:webHidden/>
              </w:rPr>
              <w:instrText xml:space="preserve"> PAGEREF _Toc496828299 \h </w:instrText>
            </w:r>
            <w:r w:rsidR="00FC43F2">
              <w:rPr>
                <w:noProof/>
                <w:webHidden/>
              </w:rPr>
            </w:r>
            <w:r w:rsidR="00FC43F2">
              <w:rPr>
                <w:noProof/>
                <w:webHidden/>
              </w:rPr>
              <w:fldChar w:fldCharType="separate"/>
            </w:r>
            <w:r w:rsidR="00FC43F2">
              <w:rPr>
                <w:noProof/>
                <w:webHidden/>
              </w:rPr>
              <w:t>9</w:t>
            </w:r>
            <w:r w:rsidR="00FC43F2">
              <w:rPr>
                <w:noProof/>
                <w:webHidden/>
              </w:rPr>
              <w:fldChar w:fldCharType="end"/>
            </w:r>
          </w:hyperlink>
        </w:p>
        <w:p w14:paraId="15ECA2A9" w14:textId="77777777" w:rsidR="00FC43F2" w:rsidRDefault="003932AB" w:rsidP="00FC43F2">
          <w:pPr>
            <w:pStyle w:val="TOC2"/>
            <w:rPr>
              <w:rFonts w:asciiTheme="minorHAnsi" w:eastAsiaTheme="minorEastAsia" w:hAnsiTheme="minorHAnsi" w:cstheme="minorBidi"/>
              <w:noProof/>
              <w:lang w:val="en-US"/>
            </w:rPr>
          </w:pPr>
          <w:hyperlink w:anchor="_Toc496828300" w:history="1">
            <w:r w:rsidR="00FC43F2" w:rsidRPr="00EF346C">
              <w:rPr>
                <w:rStyle w:val="Hyperlink"/>
                <w:rFonts w:cs="Arial"/>
                <w:noProof/>
              </w:rPr>
              <w:t>C.</w:t>
            </w:r>
            <w:r w:rsidR="00FC43F2">
              <w:rPr>
                <w:rFonts w:asciiTheme="minorHAnsi" w:eastAsiaTheme="minorEastAsia" w:hAnsiTheme="minorHAnsi" w:cstheme="minorBidi"/>
                <w:noProof/>
                <w:lang w:val="en-US"/>
              </w:rPr>
              <w:tab/>
            </w:r>
            <w:r w:rsidR="00FC43F2" w:rsidRPr="00EF346C">
              <w:rPr>
                <w:rStyle w:val="Hyperlink"/>
                <w:rFonts w:cs="Arial"/>
                <w:noProof/>
              </w:rPr>
              <w:t>Instalación de Energía Renovable</w:t>
            </w:r>
            <w:r w:rsidR="00FC43F2">
              <w:rPr>
                <w:noProof/>
                <w:webHidden/>
              </w:rPr>
              <w:tab/>
            </w:r>
            <w:r w:rsidR="00FC43F2">
              <w:rPr>
                <w:noProof/>
                <w:webHidden/>
              </w:rPr>
              <w:fldChar w:fldCharType="begin"/>
            </w:r>
            <w:r w:rsidR="00FC43F2">
              <w:rPr>
                <w:noProof/>
                <w:webHidden/>
              </w:rPr>
              <w:instrText xml:space="preserve"> PAGEREF _Toc496828300 \h </w:instrText>
            </w:r>
            <w:r w:rsidR="00FC43F2">
              <w:rPr>
                <w:noProof/>
                <w:webHidden/>
              </w:rPr>
            </w:r>
            <w:r w:rsidR="00FC43F2">
              <w:rPr>
                <w:noProof/>
                <w:webHidden/>
              </w:rPr>
              <w:fldChar w:fldCharType="separate"/>
            </w:r>
            <w:r w:rsidR="00FC43F2">
              <w:rPr>
                <w:noProof/>
                <w:webHidden/>
              </w:rPr>
              <w:t>12</w:t>
            </w:r>
            <w:r w:rsidR="00FC43F2">
              <w:rPr>
                <w:noProof/>
                <w:webHidden/>
              </w:rPr>
              <w:fldChar w:fldCharType="end"/>
            </w:r>
          </w:hyperlink>
        </w:p>
        <w:p w14:paraId="3228F9D3" w14:textId="77777777" w:rsidR="00FC43F2" w:rsidRDefault="003932AB" w:rsidP="00FC43F2">
          <w:pPr>
            <w:pStyle w:val="TOC2"/>
            <w:rPr>
              <w:rFonts w:asciiTheme="minorHAnsi" w:eastAsiaTheme="minorEastAsia" w:hAnsiTheme="minorHAnsi" w:cstheme="minorBidi"/>
              <w:noProof/>
              <w:lang w:val="en-US"/>
            </w:rPr>
          </w:pPr>
          <w:hyperlink w:anchor="_Toc496828301" w:history="1">
            <w:r w:rsidR="00FC43F2" w:rsidRPr="00EF346C">
              <w:rPr>
                <w:rStyle w:val="Hyperlink"/>
                <w:rFonts w:cs="Arial"/>
                <w:noProof/>
              </w:rPr>
              <w:t>D.</w:t>
            </w:r>
            <w:r w:rsidR="00FC43F2">
              <w:rPr>
                <w:rFonts w:asciiTheme="minorHAnsi" w:eastAsiaTheme="minorEastAsia" w:hAnsiTheme="minorHAnsi" w:cstheme="minorBidi"/>
                <w:noProof/>
                <w:lang w:val="en-US"/>
              </w:rPr>
              <w:tab/>
            </w:r>
            <w:r w:rsidR="00FC43F2" w:rsidRPr="00EF346C">
              <w:rPr>
                <w:rStyle w:val="Hyperlink"/>
                <w:rFonts w:cs="Arial"/>
                <w:noProof/>
              </w:rPr>
              <w:t>Resultados agregados</w:t>
            </w:r>
            <w:r w:rsidR="00FC43F2">
              <w:rPr>
                <w:noProof/>
                <w:webHidden/>
              </w:rPr>
              <w:tab/>
            </w:r>
            <w:r w:rsidR="00FC43F2">
              <w:rPr>
                <w:noProof/>
                <w:webHidden/>
              </w:rPr>
              <w:fldChar w:fldCharType="begin"/>
            </w:r>
            <w:r w:rsidR="00FC43F2">
              <w:rPr>
                <w:noProof/>
                <w:webHidden/>
              </w:rPr>
              <w:instrText xml:space="preserve"> PAGEREF _Toc496828301 \h </w:instrText>
            </w:r>
            <w:r w:rsidR="00FC43F2">
              <w:rPr>
                <w:noProof/>
                <w:webHidden/>
              </w:rPr>
            </w:r>
            <w:r w:rsidR="00FC43F2">
              <w:rPr>
                <w:noProof/>
                <w:webHidden/>
              </w:rPr>
              <w:fldChar w:fldCharType="separate"/>
            </w:r>
            <w:r w:rsidR="00FC43F2">
              <w:rPr>
                <w:noProof/>
                <w:webHidden/>
              </w:rPr>
              <w:t>14</w:t>
            </w:r>
            <w:r w:rsidR="00FC43F2">
              <w:rPr>
                <w:noProof/>
                <w:webHidden/>
              </w:rPr>
              <w:fldChar w:fldCharType="end"/>
            </w:r>
          </w:hyperlink>
        </w:p>
        <w:p w14:paraId="6904D19E" w14:textId="77777777" w:rsidR="00FC43F2" w:rsidRDefault="003932AB" w:rsidP="00FC43F2">
          <w:pPr>
            <w:pStyle w:val="TOC1"/>
            <w:rPr>
              <w:rFonts w:asciiTheme="minorHAnsi" w:eastAsiaTheme="minorEastAsia" w:hAnsiTheme="minorHAnsi" w:cstheme="minorBidi"/>
              <w:smallCaps w:val="0"/>
              <w:noProof/>
            </w:rPr>
          </w:pPr>
          <w:hyperlink w:anchor="_Toc496828302" w:history="1">
            <w:r w:rsidR="00FC43F2" w:rsidRPr="00EF346C">
              <w:rPr>
                <w:rStyle w:val="Hyperlink"/>
                <w:rFonts w:cs="Arial"/>
                <w:noProof/>
                <w:lang w:val="es-ES"/>
              </w:rPr>
              <w:t>III.</w:t>
            </w:r>
            <w:r w:rsidR="00FC43F2">
              <w:rPr>
                <w:rFonts w:asciiTheme="minorHAnsi" w:eastAsiaTheme="minorEastAsia" w:hAnsiTheme="minorHAnsi" w:cstheme="minorBidi"/>
                <w:smallCaps w:val="0"/>
                <w:noProof/>
              </w:rPr>
              <w:tab/>
            </w:r>
            <w:r w:rsidR="00FC43F2" w:rsidRPr="00EF346C">
              <w:rPr>
                <w:rStyle w:val="Hyperlink"/>
                <w:rFonts w:cs="Arial"/>
                <w:noProof/>
                <w:lang w:val="es-ES"/>
              </w:rPr>
              <w:t>Conclusiones</w:t>
            </w:r>
            <w:r w:rsidR="00FC43F2">
              <w:rPr>
                <w:noProof/>
                <w:webHidden/>
              </w:rPr>
              <w:tab/>
            </w:r>
            <w:r w:rsidR="00FC43F2">
              <w:rPr>
                <w:noProof/>
                <w:webHidden/>
              </w:rPr>
              <w:fldChar w:fldCharType="begin"/>
            </w:r>
            <w:r w:rsidR="00FC43F2">
              <w:rPr>
                <w:noProof/>
                <w:webHidden/>
              </w:rPr>
              <w:instrText xml:space="preserve"> PAGEREF _Toc496828302 \h </w:instrText>
            </w:r>
            <w:r w:rsidR="00FC43F2">
              <w:rPr>
                <w:noProof/>
                <w:webHidden/>
              </w:rPr>
            </w:r>
            <w:r w:rsidR="00FC43F2">
              <w:rPr>
                <w:noProof/>
                <w:webHidden/>
              </w:rPr>
              <w:fldChar w:fldCharType="separate"/>
            </w:r>
            <w:r w:rsidR="00FC43F2">
              <w:rPr>
                <w:noProof/>
                <w:webHidden/>
              </w:rPr>
              <w:t>15</w:t>
            </w:r>
            <w:r w:rsidR="00FC43F2">
              <w:rPr>
                <w:noProof/>
                <w:webHidden/>
              </w:rPr>
              <w:fldChar w:fldCharType="end"/>
            </w:r>
          </w:hyperlink>
        </w:p>
        <w:p w14:paraId="78EA7C8D" w14:textId="77777777" w:rsidR="00FC43F2" w:rsidRDefault="00FC43F2" w:rsidP="00FC43F2">
          <w:r>
            <w:rPr>
              <w:rFonts w:ascii="Arial" w:hAnsi="Arial"/>
              <w:smallCaps/>
              <w:sz w:val="22"/>
            </w:rPr>
            <w:fldChar w:fldCharType="end"/>
          </w:r>
        </w:p>
      </w:sdtContent>
    </w:sdt>
    <w:p w14:paraId="56B92B7A" w14:textId="77777777" w:rsidR="00FC43F2" w:rsidRDefault="00FC43F2" w:rsidP="00FC43F2">
      <w:pPr>
        <w:rPr>
          <w:lang w:val="es-ES"/>
        </w:rPr>
      </w:pPr>
    </w:p>
    <w:p w14:paraId="18C5C3B6" w14:textId="77777777" w:rsidR="00FC43F2" w:rsidRDefault="00FC43F2" w:rsidP="00FC43F2">
      <w:pPr>
        <w:rPr>
          <w:lang w:val="es-ES"/>
        </w:rPr>
      </w:pPr>
    </w:p>
    <w:p w14:paraId="75F1CF2B" w14:textId="77777777" w:rsidR="00FC43F2" w:rsidRDefault="00FC43F2" w:rsidP="00FC43F2">
      <w:pPr>
        <w:rPr>
          <w:lang w:val="es-ES"/>
        </w:rPr>
      </w:pPr>
      <w:r>
        <w:rPr>
          <w:lang w:val="es-ES"/>
        </w:rPr>
        <w:br w:type="page"/>
      </w:r>
    </w:p>
    <w:p w14:paraId="58A58B59" w14:textId="77777777" w:rsidR="00FC43F2" w:rsidRPr="009A0F05" w:rsidRDefault="00FC43F2" w:rsidP="00FC43F2">
      <w:pPr>
        <w:tabs>
          <w:tab w:val="left" w:pos="1440"/>
          <w:tab w:val="left" w:pos="3060"/>
        </w:tabs>
        <w:spacing w:before="0"/>
        <w:jc w:val="center"/>
        <w:rPr>
          <w:rFonts w:ascii="Arial" w:eastAsia="Times New Roman" w:hAnsi="Arial" w:cs="Arial"/>
          <w:b/>
          <w:smallCaps/>
          <w:sz w:val="22"/>
          <w:lang w:val="es-ES"/>
        </w:rPr>
      </w:pPr>
      <w:r w:rsidRPr="009A0F05">
        <w:rPr>
          <w:rFonts w:ascii="Arial" w:eastAsia="Times New Roman" w:hAnsi="Arial" w:cs="Arial"/>
          <w:b/>
          <w:smallCaps/>
          <w:sz w:val="22"/>
          <w:lang w:val="es-ES"/>
        </w:rPr>
        <w:lastRenderedPageBreak/>
        <w:t>Honduras</w:t>
      </w:r>
    </w:p>
    <w:p w14:paraId="61DFB05E" w14:textId="77777777" w:rsidR="00FC43F2" w:rsidRPr="009A0F05" w:rsidRDefault="00FC43F2" w:rsidP="00FC43F2">
      <w:pPr>
        <w:spacing w:before="0"/>
        <w:jc w:val="center"/>
        <w:rPr>
          <w:rFonts w:ascii="Arial" w:eastAsia="Times New Roman" w:hAnsi="Arial" w:cs="Arial"/>
          <w:b/>
          <w:sz w:val="22"/>
          <w:lang w:val="es-ES"/>
        </w:rPr>
      </w:pPr>
      <w:r w:rsidRPr="009A0F05">
        <w:rPr>
          <w:rFonts w:ascii="Arial" w:eastAsia="Times New Roman" w:hAnsi="Arial" w:cs="Arial"/>
          <w:b/>
          <w:sz w:val="22"/>
          <w:lang w:val="es-ES"/>
        </w:rPr>
        <w:t>Apoyo Programático a Reformas Estructurales del Sector Eléctrico</w:t>
      </w:r>
    </w:p>
    <w:p w14:paraId="5D7DFA96" w14:textId="77777777" w:rsidR="00FC43F2" w:rsidRPr="009A0F05" w:rsidRDefault="00FC43F2" w:rsidP="00FC43F2">
      <w:pPr>
        <w:spacing w:before="240"/>
        <w:jc w:val="center"/>
        <w:rPr>
          <w:rFonts w:ascii="Arial" w:eastAsia="Times New Roman" w:hAnsi="Arial" w:cs="Arial"/>
          <w:b/>
          <w:sz w:val="22"/>
          <w:lang w:val="es-ES"/>
        </w:rPr>
      </w:pPr>
      <w:r w:rsidRPr="009A0F05">
        <w:rPr>
          <w:rFonts w:ascii="Arial" w:eastAsia="Times New Roman" w:hAnsi="Arial" w:cs="Arial"/>
          <w:b/>
          <w:sz w:val="22"/>
          <w:lang w:val="es-ES"/>
        </w:rPr>
        <w:t>Tercer Préstamo</w:t>
      </w:r>
    </w:p>
    <w:p w14:paraId="450330AC" w14:textId="77777777" w:rsidR="00FC43F2" w:rsidRPr="009A0F05" w:rsidRDefault="00FC43F2" w:rsidP="00FC43F2">
      <w:pPr>
        <w:tabs>
          <w:tab w:val="left" w:pos="1440"/>
          <w:tab w:val="left" w:pos="3060"/>
        </w:tabs>
        <w:spacing w:before="0"/>
        <w:jc w:val="center"/>
        <w:rPr>
          <w:rFonts w:ascii="Arial" w:eastAsia="Times New Roman" w:hAnsi="Arial" w:cs="Arial"/>
          <w:b/>
          <w:smallCaps/>
          <w:sz w:val="22"/>
          <w:lang w:val="es-ES"/>
        </w:rPr>
      </w:pPr>
      <w:r w:rsidRPr="009A0F05">
        <w:rPr>
          <w:rFonts w:ascii="Arial" w:eastAsia="Times New Roman" w:hAnsi="Arial" w:cs="Arial"/>
          <w:b/>
          <w:smallCaps/>
          <w:sz w:val="22"/>
          <w:lang w:val="es-ES"/>
        </w:rPr>
        <w:t>HO-L1189</w:t>
      </w:r>
    </w:p>
    <w:p w14:paraId="266F0AB5" w14:textId="77777777" w:rsidR="00FC43F2" w:rsidRPr="009A0F05" w:rsidRDefault="00FC43F2" w:rsidP="00FC43F2">
      <w:pPr>
        <w:pStyle w:val="TOC2"/>
      </w:pPr>
    </w:p>
    <w:p w14:paraId="0CFA7B87" w14:textId="77777777" w:rsidR="00FC43F2" w:rsidRPr="009A0F05" w:rsidRDefault="00FC43F2" w:rsidP="00FC43F2">
      <w:pPr>
        <w:spacing w:before="0"/>
        <w:jc w:val="center"/>
        <w:rPr>
          <w:rFonts w:ascii="Arial" w:eastAsia="Times New Roman" w:hAnsi="Arial" w:cs="Arial"/>
          <w:b/>
          <w:sz w:val="22"/>
          <w:lang w:val="es-ES"/>
        </w:rPr>
      </w:pPr>
      <w:r w:rsidRPr="009A0F05">
        <w:rPr>
          <w:rFonts w:ascii="Arial" w:eastAsia="Times New Roman" w:hAnsi="Arial" w:cs="Arial"/>
          <w:b/>
          <w:sz w:val="22"/>
          <w:lang w:val="es-ES"/>
        </w:rPr>
        <w:t>Evaluación Económica</w:t>
      </w:r>
    </w:p>
    <w:p w14:paraId="00619F3F" w14:textId="77777777" w:rsidR="00FC43F2" w:rsidRPr="00343584" w:rsidRDefault="00FC43F2" w:rsidP="00FC43F2">
      <w:pPr>
        <w:pStyle w:val="Heading1"/>
        <w:spacing w:before="120"/>
        <w:rPr>
          <w:rFonts w:ascii="Arial" w:hAnsi="Arial" w:cs="Arial"/>
          <w:color w:val="auto"/>
          <w:sz w:val="22"/>
          <w:szCs w:val="22"/>
          <w:lang w:val="es-ES"/>
        </w:rPr>
      </w:pPr>
      <w:bookmarkStart w:id="2" w:name="_Toc496828296"/>
      <w:r w:rsidRPr="00343584">
        <w:rPr>
          <w:rFonts w:ascii="Arial" w:hAnsi="Arial" w:cs="Arial"/>
          <w:color w:val="auto"/>
          <w:sz w:val="22"/>
          <w:szCs w:val="22"/>
          <w:lang w:val="es-ES"/>
        </w:rPr>
        <w:t>I.</w:t>
      </w:r>
      <w:r w:rsidRPr="00343584">
        <w:rPr>
          <w:rFonts w:ascii="Arial" w:hAnsi="Arial" w:cs="Arial"/>
          <w:color w:val="auto"/>
          <w:sz w:val="22"/>
          <w:szCs w:val="22"/>
          <w:lang w:val="es-ES"/>
        </w:rPr>
        <w:tab/>
        <w:t>Introducción</w:t>
      </w:r>
      <w:bookmarkEnd w:id="2"/>
    </w:p>
    <w:p w14:paraId="3C26E604" w14:textId="77777777" w:rsidR="00FC43F2" w:rsidRPr="00534199" w:rsidRDefault="00FC43F2" w:rsidP="00FC43F2">
      <w:pPr>
        <w:pStyle w:val="ListParagraph"/>
        <w:numPr>
          <w:ilvl w:val="1"/>
          <w:numId w:val="28"/>
        </w:numPr>
        <w:ind w:left="720" w:hanging="720"/>
        <w:contextualSpacing w:val="0"/>
        <w:jc w:val="both"/>
        <w:rPr>
          <w:rFonts w:ascii="Arial" w:hAnsi="Arial" w:cs="Arial"/>
          <w:sz w:val="22"/>
          <w:lang w:val="es-ES"/>
        </w:rPr>
      </w:pPr>
      <w:r w:rsidRPr="00CE5C12">
        <w:rPr>
          <w:rFonts w:ascii="Arial" w:hAnsi="Arial" w:cs="Arial"/>
          <w:b/>
          <w:sz w:val="22"/>
          <w:lang w:val="es-ES_tradnl"/>
        </w:rPr>
        <w:t>Descripción del Programa</w:t>
      </w:r>
      <w:r>
        <w:rPr>
          <w:rFonts w:ascii="Arial" w:hAnsi="Arial" w:cs="Arial"/>
          <w:sz w:val="22"/>
          <w:lang w:val="es-ES"/>
        </w:rPr>
        <w:t xml:space="preserve">. </w:t>
      </w:r>
      <w:r w:rsidRPr="00AA66ED">
        <w:rPr>
          <w:rFonts w:ascii="Arial" w:hAnsi="Arial" w:cs="Arial"/>
          <w:sz w:val="22"/>
          <w:lang w:val="es-ES"/>
        </w:rPr>
        <w:t>Este programa se estructur</w:t>
      </w:r>
      <w:r>
        <w:rPr>
          <w:rFonts w:ascii="Arial" w:hAnsi="Arial" w:cs="Arial"/>
          <w:sz w:val="22"/>
          <w:lang w:val="es-ES"/>
        </w:rPr>
        <w:t>ó</w:t>
      </w:r>
      <w:r>
        <w:rPr>
          <w:rFonts w:ascii="Arial" w:hAnsi="Arial" w:cs="Arial"/>
          <w:b/>
          <w:sz w:val="22"/>
          <w:lang w:val="es-ES"/>
        </w:rPr>
        <w:t xml:space="preserve"> </w:t>
      </w:r>
      <w:r w:rsidRPr="00AA66ED">
        <w:rPr>
          <w:rFonts w:ascii="Arial" w:hAnsi="Arial" w:cs="Arial"/>
          <w:sz w:val="22"/>
          <w:lang w:val="es-ES"/>
        </w:rPr>
        <w:t xml:space="preserve">como </w:t>
      </w:r>
      <w:r w:rsidRPr="00AA66ED">
        <w:rPr>
          <w:rFonts w:ascii="Arial" w:hAnsi="Arial" w:cs="Arial"/>
          <w:sz w:val="22"/>
          <w:lang w:val="es-ES_tradnl"/>
        </w:rPr>
        <w:t>un préstamo Programático Basado en Política (PBP)</w:t>
      </w:r>
      <w:r>
        <w:rPr>
          <w:rFonts w:ascii="Arial" w:hAnsi="Arial" w:cs="Arial"/>
          <w:sz w:val="22"/>
          <w:lang w:val="es-ES_tradnl"/>
        </w:rPr>
        <w:t xml:space="preserve">. </w:t>
      </w:r>
      <w:r w:rsidRPr="00AA66ED">
        <w:rPr>
          <w:rFonts w:ascii="Arial" w:hAnsi="Arial" w:cs="Arial"/>
          <w:sz w:val="22"/>
          <w:lang w:val="es-ES_tradnl"/>
        </w:rPr>
        <w:t>Se diseñó con una serie de tres operaciones</w:t>
      </w:r>
      <w:r w:rsidRPr="00AA66ED">
        <w:rPr>
          <w:rFonts w:ascii="Arial" w:hAnsi="Arial" w:cs="Arial"/>
          <w:sz w:val="22"/>
          <w:lang w:val="es-ES"/>
        </w:rPr>
        <w:t xml:space="preserve"> cuyo objetivo general es apoyar al Gobierno de Honduras (GHO) en la implementación de las reformas y políticas sectoriales necesarias para mejorar la sostenibilidad financiera, la eficiencia operativa y la seguridad del suministro en su sector eléctrico. Los objetivos específicos son: (i) fortalecer la capacidad institucional y el marco regulatorio sectorial; (ii) mejorar la sostenibilidad financiera y eficiencia operativa; y (iii) adoptar políticas energéticas orientadas a garantizar la seguridad del suministro eléctrico.</w:t>
      </w:r>
      <w:r>
        <w:rPr>
          <w:rFonts w:ascii="Arial" w:hAnsi="Arial" w:cs="Arial"/>
          <w:sz w:val="22"/>
          <w:lang w:val="es-ES"/>
        </w:rPr>
        <w:t xml:space="preserve"> Esta es la</w:t>
      </w:r>
      <w:r w:rsidRPr="00FE34A3">
        <w:rPr>
          <w:rFonts w:ascii="Arial" w:hAnsi="Arial" w:cs="Arial"/>
          <w:sz w:val="22"/>
          <w:lang w:val="es-ES"/>
        </w:rPr>
        <w:t xml:space="preserve"> tercera y última operación programática </w:t>
      </w:r>
      <w:r>
        <w:rPr>
          <w:rFonts w:ascii="Arial" w:hAnsi="Arial" w:cs="Arial"/>
          <w:sz w:val="22"/>
          <w:lang w:val="es-ES"/>
        </w:rPr>
        <w:t>de la serie PBP.</w:t>
      </w:r>
    </w:p>
    <w:p w14:paraId="3B52EEC9" w14:textId="77777777" w:rsidR="00FC43F2" w:rsidRDefault="00FC43F2" w:rsidP="00FC43F2">
      <w:pPr>
        <w:pStyle w:val="ListParagraph"/>
        <w:numPr>
          <w:ilvl w:val="1"/>
          <w:numId w:val="28"/>
        </w:numPr>
        <w:ind w:left="720" w:hanging="720"/>
        <w:contextualSpacing w:val="0"/>
        <w:jc w:val="both"/>
        <w:rPr>
          <w:rFonts w:ascii="Arial" w:hAnsi="Arial" w:cs="Arial"/>
          <w:sz w:val="22"/>
          <w:lang w:val="es-ES"/>
        </w:rPr>
      </w:pPr>
      <w:r>
        <w:rPr>
          <w:rFonts w:ascii="Arial" w:hAnsi="Arial" w:cs="Arial"/>
          <w:b/>
          <w:sz w:val="22"/>
          <w:lang w:val="es-ES"/>
        </w:rPr>
        <w:t>Lógica del a</w:t>
      </w:r>
      <w:r w:rsidRPr="00BB44D6">
        <w:rPr>
          <w:rFonts w:ascii="Arial" w:hAnsi="Arial" w:cs="Arial"/>
          <w:b/>
          <w:sz w:val="22"/>
          <w:lang w:val="es-ES"/>
        </w:rPr>
        <w:t xml:space="preserve">nálisis de </w:t>
      </w:r>
      <w:r>
        <w:rPr>
          <w:rFonts w:ascii="Arial" w:hAnsi="Arial" w:cs="Arial"/>
          <w:b/>
          <w:sz w:val="22"/>
          <w:lang w:val="es-ES"/>
        </w:rPr>
        <w:t>b</w:t>
      </w:r>
      <w:r w:rsidRPr="00BB44D6">
        <w:rPr>
          <w:rFonts w:ascii="Arial" w:hAnsi="Arial" w:cs="Arial"/>
          <w:b/>
          <w:sz w:val="22"/>
          <w:lang w:val="es-ES"/>
        </w:rPr>
        <w:t>eneficio-</w:t>
      </w:r>
      <w:r>
        <w:rPr>
          <w:rFonts w:ascii="Arial" w:hAnsi="Arial" w:cs="Arial"/>
          <w:b/>
          <w:sz w:val="22"/>
          <w:lang w:val="es-ES"/>
        </w:rPr>
        <w:t>c</w:t>
      </w:r>
      <w:r w:rsidRPr="00BB44D6">
        <w:rPr>
          <w:rFonts w:ascii="Arial" w:hAnsi="Arial" w:cs="Arial"/>
          <w:b/>
          <w:sz w:val="22"/>
          <w:lang w:val="es-ES"/>
        </w:rPr>
        <w:t>osto</w:t>
      </w:r>
      <w:r>
        <w:rPr>
          <w:rFonts w:ascii="Arial" w:hAnsi="Arial" w:cs="Arial"/>
          <w:b/>
          <w:sz w:val="22"/>
          <w:lang w:val="es-ES"/>
        </w:rPr>
        <w:t xml:space="preserve">. </w:t>
      </w:r>
      <w:r w:rsidRPr="00BB44D6">
        <w:rPr>
          <w:rFonts w:ascii="Arial" w:hAnsi="Arial" w:cs="Arial"/>
          <w:sz w:val="22"/>
          <w:lang w:val="es-ES"/>
        </w:rPr>
        <w:t>La evaluación económica de instrumentos basados en políticas difiere de la evaluación de proyectos de inversión</w:t>
      </w:r>
      <w:r>
        <w:rPr>
          <w:rFonts w:ascii="Arial" w:hAnsi="Arial" w:cs="Arial"/>
          <w:sz w:val="22"/>
          <w:lang w:val="es-ES"/>
        </w:rPr>
        <w:t>,</w:t>
      </w:r>
      <w:r w:rsidRPr="00BB44D6">
        <w:rPr>
          <w:rFonts w:ascii="Arial" w:hAnsi="Arial" w:cs="Arial"/>
          <w:sz w:val="22"/>
          <w:lang w:val="es-ES"/>
        </w:rPr>
        <w:t xml:space="preserve"> puesto que habitualmente no hay un vínculo directo entre </w:t>
      </w:r>
      <w:r>
        <w:rPr>
          <w:rFonts w:ascii="Arial" w:hAnsi="Arial" w:cs="Arial"/>
          <w:sz w:val="22"/>
          <w:lang w:val="es-ES"/>
        </w:rPr>
        <w:t xml:space="preserve">el destino de </w:t>
      </w:r>
      <w:r w:rsidRPr="00BB44D6">
        <w:rPr>
          <w:rFonts w:ascii="Arial" w:hAnsi="Arial" w:cs="Arial"/>
          <w:sz w:val="22"/>
          <w:lang w:val="es-ES"/>
        </w:rPr>
        <w:t xml:space="preserve">los recursos </w:t>
      </w:r>
      <w:r>
        <w:rPr>
          <w:rFonts w:ascii="Arial" w:hAnsi="Arial" w:cs="Arial"/>
          <w:sz w:val="22"/>
          <w:lang w:val="es-ES"/>
        </w:rPr>
        <w:t xml:space="preserve">desembolsados </w:t>
      </w:r>
      <w:r w:rsidRPr="00BB44D6">
        <w:rPr>
          <w:rFonts w:ascii="Arial" w:hAnsi="Arial" w:cs="Arial"/>
          <w:sz w:val="22"/>
          <w:lang w:val="es-ES"/>
        </w:rPr>
        <w:t>y los resultados específicos del programa al cual se brinda apoyo. Sin embargo, la implementación de políticas juega un papel crítico al</w:t>
      </w:r>
      <w:r>
        <w:rPr>
          <w:rFonts w:ascii="Arial" w:hAnsi="Arial" w:cs="Arial"/>
          <w:sz w:val="22"/>
          <w:lang w:val="es-ES"/>
        </w:rPr>
        <w:t xml:space="preserve"> inducir reformas e introducir incentivos que</w:t>
      </w:r>
      <w:r w:rsidRPr="00BB44D6">
        <w:rPr>
          <w:rFonts w:ascii="Arial" w:hAnsi="Arial" w:cs="Arial"/>
          <w:sz w:val="22"/>
          <w:lang w:val="es-ES"/>
        </w:rPr>
        <w:t xml:space="preserve"> facilita</w:t>
      </w:r>
      <w:r>
        <w:rPr>
          <w:rFonts w:ascii="Arial" w:hAnsi="Arial" w:cs="Arial"/>
          <w:sz w:val="22"/>
          <w:lang w:val="es-ES"/>
        </w:rPr>
        <w:t>n</w:t>
      </w:r>
      <w:r w:rsidRPr="00BB44D6">
        <w:rPr>
          <w:rFonts w:ascii="Arial" w:hAnsi="Arial" w:cs="Arial"/>
          <w:sz w:val="22"/>
          <w:lang w:val="es-ES"/>
        </w:rPr>
        <w:t xml:space="preserve"> la ejecución de programas y proyectos específicos, y por lo tanto tiene </w:t>
      </w:r>
      <w:r w:rsidRPr="00BB44D6">
        <w:rPr>
          <w:rFonts w:ascii="Arial" w:hAnsi="Arial" w:cs="Arial"/>
          <w:i/>
          <w:sz w:val="22"/>
          <w:lang w:val="es-ES"/>
        </w:rPr>
        <w:t>per se</w:t>
      </w:r>
      <w:r w:rsidRPr="00BB44D6">
        <w:rPr>
          <w:rFonts w:ascii="Arial" w:hAnsi="Arial" w:cs="Arial"/>
          <w:sz w:val="22"/>
          <w:lang w:val="es-ES"/>
        </w:rPr>
        <w:t xml:space="preserve"> un</w:t>
      </w:r>
      <w:r>
        <w:rPr>
          <w:rFonts w:ascii="Arial" w:hAnsi="Arial" w:cs="Arial"/>
          <w:sz w:val="22"/>
          <w:lang w:val="es-ES"/>
        </w:rPr>
        <w:t xml:space="preserve"> </w:t>
      </w:r>
      <w:r w:rsidRPr="00BB44D6">
        <w:rPr>
          <w:rFonts w:ascii="Arial" w:hAnsi="Arial" w:cs="Arial"/>
          <w:sz w:val="22"/>
          <w:lang w:val="es-ES"/>
        </w:rPr>
        <w:t xml:space="preserve">valor económico.  Este </w:t>
      </w:r>
      <w:r>
        <w:rPr>
          <w:rFonts w:ascii="Arial" w:hAnsi="Arial" w:cs="Arial"/>
          <w:sz w:val="22"/>
          <w:lang w:val="es-ES"/>
        </w:rPr>
        <w:t xml:space="preserve">documento </w:t>
      </w:r>
      <w:r w:rsidRPr="00BB44D6">
        <w:rPr>
          <w:rFonts w:ascii="Arial" w:hAnsi="Arial" w:cs="Arial"/>
          <w:sz w:val="22"/>
          <w:lang w:val="es-ES"/>
        </w:rPr>
        <w:t xml:space="preserve">provee una reseña cualitativa y cuantitativa de los diferentes resultados que se obtendrían con los indicadores asociados con la agenda de reformas estructurales del sector de </w:t>
      </w:r>
      <w:r>
        <w:rPr>
          <w:rFonts w:ascii="Arial" w:hAnsi="Arial" w:cs="Arial"/>
          <w:sz w:val="22"/>
          <w:lang w:val="es-ES"/>
        </w:rPr>
        <w:t xml:space="preserve">energía eléctrica en Honduras. </w:t>
      </w:r>
      <w:r w:rsidRPr="00BB44D6">
        <w:rPr>
          <w:rFonts w:ascii="Arial" w:hAnsi="Arial" w:cs="Arial"/>
          <w:sz w:val="22"/>
          <w:lang w:val="es-ES"/>
        </w:rPr>
        <w:t xml:space="preserve">No se intentó correlacionar el monto de la operación—destinado al Tesoro y determinado con base en necesidades de financiación y liquidez de Hacienda—con los resultados de los diferentes programas que se facilitarían. </w:t>
      </w:r>
    </w:p>
    <w:p w14:paraId="779F7A3F" w14:textId="77777777" w:rsidR="00FC43F2" w:rsidRDefault="00FC43F2" w:rsidP="00FC43F2">
      <w:pPr>
        <w:pStyle w:val="ListParagraph"/>
        <w:numPr>
          <w:ilvl w:val="1"/>
          <w:numId w:val="28"/>
        </w:numPr>
        <w:ind w:left="720" w:hanging="720"/>
        <w:contextualSpacing w:val="0"/>
        <w:jc w:val="both"/>
        <w:rPr>
          <w:rFonts w:ascii="Arial" w:hAnsi="Arial" w:cs="Arial"/>
          <w:sz w:val="22"/>
          <w:lang w:val="es-ES"/>
        </w:rPr>
      </w:pPr>
      <w:r w:rsidRPr="001B56B1">
        <w:rPr>
          <w:rFonts w:ascii="Arial" w:hAnsi="Arial" w:cs="Arial"/>
          <w:sz w:val="22"/>
          <w:lang w:val="es-ES"/>
        </w:rPr>
        <w:t xml:space="preserve">El </w:t>
      </w:r>
      <w:r w:rsidRPr="00534199">
        <w:rPr>
          <w:rFonts w:ascii="Arial" w:hAnsi="Arial" w:cs="Arial"/>
          <w:sz w:val="22"/>
          <w:lang w:val="es-ES"/>
        </w:rPr>
        <w:t xml:space="preserve">marco de referencia del análisis de beneficio-costo lo provee la Matriz de Política. Esta Matriz, a su vez, se interpreta en términos de resultados específicos que se buscan en el PBP (Matriz de Resultados) y estos resultados son los sujetos </w:t>
      </w:r>
      <w:r>
        <w:rPr>
          <w:rFonts w:ascii="Arial" w:hAnsi="Arial" w:cs="Arial"/>
          <w:sz w:val="22"/>
          <w:lang w:val="es-ES"/>
        </w:rPr>
        <w:t>de</w:t>
      </w:r>
      <w:r w:rsidRPr="00534199">
        <w:rPr>
          <w:rFonts w:ascii="Arial" w:hAnsi="Arial" w:cs="Arial"/>
          <w:sz w:val="22"/>
          <w:lang w:val="es-ES"/>
        </w:rPr>
        <w:t xml:space="preserve"> análisis de costo-beneficio. Para medir el logro de </w:t>
      </w:r>
      <w:r>
        <w:rPr>
          <w:rFonts w:ascii="Arial" w:hAnsi="Arial" w:cs="Arial"/>
          <w:sz w:val="22"/>
          <w:lang w:val="es-ES"/>
        </w:rPr>
        <w:t>lo</w:t>
      </w:r>
      <w:r w:rsidRPr="00534199">
        <w:rPr>
          <w:rFonts w:ascii="Arial" w:hAnsi="Arial" w:cs="Arial"/>
          <w:sz w:val="22"/>
          <w:lang w:val="es-ES"/>
        </w:rPr>
        <w:t>s objetivos</w:t>
      </w:r>
      <w:r>
        <w:rPr>
          <w:rFonts w:ascii="Arial" w:hAnsi="Arial" w:cs="Arial"/>
          <w:sz w:val="22"/>
          <w:lang w:val="es-ES"/>
        </w:rPr>
        <w:t xml:space="preserve"> del PBP</w:t>
      </w:r>
      <w:r w:rsidRPr="00534199">
        <w:rPr>
          <w:rFonts w:ascii="Arial" w:hAnsi="Arial" w:cs="Arial"/>
          <w:sz w:val="22"/>
          <w:lang w:val="es-ES"/>
        </w:rPr>
        <w:t>, se establecieron metas con indicadores de impacto y de resultados (Indicadores SMART</w:t>
      </w:r>
      <w:r w:rsidRPr="00534199">
        <w:rPr>
          <w:rStyle w:val="FootnoteReference"/>
          <w:rFonts w:ascii="Arial" w:hAnsi="Arial" w:cs="Arial"/>
          <w:sz w:val="22"/>
          <w:lang w:val="es-ES"/>
        </w:rPr>
        <w:footnoteReference w:id="1"/>
      </w:r>
      <w:r w:rsidRPr="00534199">
        <w:rPr>
          <w:rFonts w:ascii="Arial" w:hAnsi="Arial" w:cs="Arial"/>
          <w:sz w:val="22"/>
          <w:lang w:val="es-ES"/>
        </w:rPr>
        <w:t>), seleccionados como representativos de logros evaluables</w:t>
      </w:r>
      <w:r>
        <w:rPr>
          <w:rFonts w:ascii="Arial" w:hAnsi="Arial" w:cs="Arial"/>
          <w:sz w:val="22"/>
          <w:lang w:val="es-ES"/>
        </w:rPr>
        <w:t>,</w:t>
      </w:r>
      <w:r w:rsidRPr="00534199">
        <w:rPr>
          <w:rFonts w:ascii="Arial" w:hAnsi="Arial" w:cs="Arial"/>
          <w:sz w:val="22"/>
          <w:lang w:val="es-ES"/>
        </w:rPr>
        <w:t xml:space="preserve"> esperados de ejecutar la serie programática</w:t>
      </w:r>
      <w:r>
        <w:rPr>
          <w:rFonts w:ascii="Arial" w:hAnsi="Arial" w:cs="Arial"/>
          <w:sz w:val="22"/>
          <w:lang w:val="es-ES"/>
        </w:rPr>
        <w:t>. Estos indicadores</w:t>
      </w:r>
      <w:r w:rsidRPr="00534199">
        <w:rPr>
          <w:rFonts w:ascii="Arial" w:hAnsi="Arial" w:cs="Arial"/>
          <w:sz w:val="22"/>
          <w:lang w:val="es-ES"/>
        </w:rPr>
        <w:t xml:space="preserve"> están reportados en la </w:t>
      </w:r>
      <w:r w:rsidRPr="00A50CE6">
        <w:rPr>
          <w:rFonts w:ascii="Arial" w:hAnsi="Arial" w:cs="Arial"/>
          <w:sz w:val="22"/>
          <w:lang w:val="es-ES"/>
        </w:rPr>
        <w:t>Matriz de Resultados</w:t>
      </w:r>
      <w:r w:rsidRPr="006B026A">
        <w:rPr>
          <w:rFonts w:ascii="Arial" w:hAnsi="Arial" w:cs="Arial"/>
          <w:sz w:val="22"/>
          <w:lang w:val="es-ES"/>
        </w:rPr>
        <w:t xml:space="preserve">: </w:t>
      </w:r>
      <w:r w:rsidRPr="006B026A">
        <w:rPr>
          <w:rFonts w:ascii="Arial" w:hAnsi="Arial" w:cs="Arial"/>
          <w:sz w:val="22"/>
          <w:lang w:val="es-ES_tradnl"/>
        </w:rPr>
        <w:t>(i) el indicador de impacto, “Contribución de la ENEE al Déficit Consolidado del Sector Público / PIB (%)”;</w:t>
      </w:r>
      <w:r w:rsidRPr="005941C0">
        <w:rPr>
          <w:rFonts w:ascii="Arial" w:hAnsi="Arial" w:cs="Arial"/>
          <w:sz w:val="22"/>
          <w:lang w:val="es-ES_tradnl"/>
        </w:rPr>
        <w:t xml:space="preserve">(ii) el indicador de resultado </w:t>
      </w:r>
      <w:r>
        <w:rPr>
          <w:rFonts w:ascii="Arial" w:hAnsi="Arial" w:cs="Arial"/>
          <w:sz w:val="22"/>
          <w:lang w:val="es-ES_tradnl"/>
        </w:rPr>
        <w:t>“</w:t>
      </w:r>
      <w:r w:rsidRPr="008372CB">
        <w:rPr>
          <w:rFonts w:ascii="Arial" w:hAnsi="Arial" w:cs="Arial"/>
          <w:sz w:val="22"/>
          <w:lang w:val="es-ES_tradnl"/>
        </w:rPr>
        <w:t>Índice de pérd</w:t>
      </w:r>
      <w:r>
        <w:rPr>
          <w:rFonts w:ascii="Arial" w:hAnsi="Arial" w:cs="Arial"/>
          <w:sz w:val="22"/>
          <w:lang w:val="es-ES_tradnl"/>
        </w:rPr>
        <w:t xml:space="preserve">idas del sector eléctrico (%); </w:t>
      </w:r>
      <w:r w:rsidRPr="005941C0">
        <w:rPr>
          <w:rFonts w:ascii="Arial" w:hAnsi="Arial" w:cs="Arial"/>
          <w:sz w:val="22"/>
          <w:lang w:val="es-ES_tradnl"/>
        </w:rPr>
        <w:t xml:space="preserve">(iii) </w:t>
      </w:r>
      <w:r w:rsidRPr="006B026A">
        <w:rPr>
          <w:rFonts w:ascii="Arial" w:hAnsi="Arial" w:cs="Arial"/>
          <w:sz w:val="22"/>
          <w:lang w:val="es-ES_tradnl"/>
        </w:rPr>
        <w:t>el indicador de resultado “Generación proveniente de Energías Renovables/Generación total de energía eléctrica”</w:t>
      </w:r>
      <w:r>
        <w:rPr>
          <w:rFonts w:ascii="Arial" w:hAnsi="Arial" w:cs="Arial"/>
          <w:sz w:val="22"/>
          <w:lang w:val="es-ES_tradnl"/>
        </w:rPr>
        <w:t>; (iv</w:t>
      </w:r>
      <w:r w:rsidRPr="006B026A">
        <w:rPr>
          <w:rFonts w:ascii="Arial" w:hAnsi="Arial" w:cs="Arial"/>
          <w:sz w:val="22"/>
          <w:lang w:val="es-ES_tradnl"/>
        </w:rPr>
        <w:t>) el indicador de resultado “Cantidad de energía transada en el MER / energía disponible”.</w:t>
      </w:r>
    </w:p>
    <w:p w14:paraId="3C21ABF0" w14:textId="77777777" w:rsidR="00FC43F2" w:rsidRPr="00534199" w:rsidRDefault="00FC43F2" w:rsidP="00FC43F2">
      <w:pPr>
        <w:pStyle w:val="ListParagraph"/>
        <w:numPr>
          <w:ilvl w:val="1"/>
          <w:numId w:val="28"/>
        </w:numPr>
        <w:ind w:left="720" w:hanging="720"/>
        <w:contextualSpacing w:val="0"/>
        <w:jc w:val="both"/>
        <w:rPr>
          <w:rFonts w:ascii="Arial" w:hAnsi="Arial" w:cs="Arial"/>
          <w:sz w:val="22"/>
          <w:lang w:val="es-ES"/>
        </w:rPr>
      </w:pPr>
      <w:r>
        <w:rPr>
          <w:rFonts w:ascii="Arial" w:hAnsi="Arial" w:cs="Arial"/>
          <w:sz w:val="22"/>
          <w:lang w:val="es-ES"/>
        </w:rPr>
        <w:t xml:space="preserve">Para la elaboración del presente análisis beneficio-costo se seleccionan variables asociadas a los resultados esperados que pueden representar resultados </w:t>
      </w:r>
      <w:r>
        <w:rPr>
          <w:rFonts w:ascii="Arial" w:hAnsi="Arial" w:cs="Arial"/>
          <w:sz w:val="22"/>
          <w:lang w:val="es-ES"/>
        </w:rPr>
        <w:lastRenderedPageBreak/>
        <w:t>económicos evaluables.  El Cuadro 1</w:t>
      </w:r>
      <w:r w:rsidRPr="00534199">
        <w:rPr>
          <w:rFonts w:ascii="Arial" w:hAnsi="Arial" w:cs="Arial"/>
          <w:sz w:val="22"/>
          <w:lang w:val="es-ES"/>
        </w:rPr>
        <w:t xml:space="preserve"> resume los indicadores propuestos y el enlace con los objetivos estratégicos del programa:</w:t>
      </w:r>
    </w:p>
    <w:p w14:paraId="72CDE323" w14:textId="77777777" w:rsidR="00FC43F2" w:rsidRPr="006B026A" w:rsidRDefault="00FC43F2" w:rsidP="00FC43F2">
      <w:pPr>
        <w:pStyle w:val="Bullet"/>
        <w:numPr>
          <w:ilvl w:val="0"/>
          <w:numId w:val="0"/>
        </w:numPr>
        <w:ind w:left="1080"/>
        <w:rPr>
          <w:lang w:val="es-ES"/>
        </w:rPr>
      </w:pPr>
    </w:p>
    <w:tbl>
      <w:tblPr>
        <w:tblStyle w:val="TableGrid"/>
        <w:tblW w:w="9503" w:type="dxa"/>
        <w:tblLook w:val="04A0" w:firstRow="1" w:lastRow="0" w:firstColumn="1" w:lastColumn="0" w:noHBand="0" w:noVBand="1"/>
      </w:tblPr>
      <w:tblGrid>
        <w:gridCol w:w="9503"/>
      </w:tblGrid>
      <w:tr w:rsidR="00FC43F2" w:rsidRPr="003932AB" w14:paraId="6A3D409A" w14:textId="77777777" w:rsidTr="003A49DA">
        <w:trPr>
          <w:trHeight w:val="270"/>
        </w:trPr>
        <w:tc>
          <w:tcPr>
            <w:tcW w:w="9503" w:type="dxa"/>
            <w:tcBorders>
              <w:top w:val="nil"/>
              <w:left w:val="nil"/>
              <w:right w:val="nil"/>
            </w:tcBorders>
            <w:shd w:val="clear" w:color="auto" w:fill="auto"/>
          </w:tcPr>
          <w:p w14:paraId="5F8FA475" w14:textId="77777777" w:rsidR="00FC43F2" w:rsidRDefault="00FC43F2" w:rsidP="003A49DA">
            <w:pPr>
              <w:jc w:val="center"/>
              <w:rPr>
                <w:rFonts w:ascii="Arial" w:hAnsi="Arial" w:cs="Arial"/>
                <w:b/>
                <w:sz w:val="20"/>
                <w:szCs w:val="20"/>
                <w:lang w:val="es-ES"/>
              </w:rPr>
            </w:pPr>
            <w:r>
              <w:rPr>
                <w:rFonts w:ascii="Arial" w:hAnsi="Arial" w:cs="Arial"/>
                <w:b/>
                <w:sz w:val="20"/>
                <w:szCs w:val="20"/>
                <w:lang w:val="es-ES"/>
              </w:rPr>
              <w:t xml:space="preserve">Cuadro 1. </w:t>
            </w:r>
            <w:r w:rsidRPr="004E03BF">
              <w:rPr>
                <w:rFonts w:ascii="Arial" w:hAnsi="Arial" w:cs="Arial"/>
                <w:b/>
                <w:sz w:val="20"/>
                <w:szCs w:val="20"/>
                <w:lang w:val="es-ES"/>
              </w:rPr>
              <w:t xml:space="preserve"> Resumen Indicadores de Resultados y Variable</w:t>
            </w:r>
            <w:r>
              <w:rPr>
                <w:rFonts w:ascii="Arial" w:hAnsi="Arial" w:cs="Arial"/>
                <w:b/>
                <w:sz w:val="20"/>
                <w:szCs w:val="20"/>
                <w:lang w:val="es-ES"/>
              </w:rPr>
              <w:t>s</w:t>
            </w:r>
            <w:r w:rsidRPr="004E03BF">
              <w:rPr>
                <w:rFonts w:ascii="Arial" w:hAnsi="Arial" w:cs="Arial"/>
                <w:b/>
                <w:sz w:val="20"/>
                <w:szCs w:val="20"/>
                <w:lang w:val="es-ES"/>
              </w:rPr>
              <w:t xml:space="preserve"> Evaluable</w:t>
            </w:r>
            <w:r>
              <w:rPr>
                <w:rFonts w:ascii="Arial" w:hAnsi="Arial" w:cs="Arial"/>
                <w:b/>
                <w:sz w:val="20"/>
                <w:szCs w:val="20"/>
                <w:lang w:val="es-ES"/>
              </w:rPr>
              <w:t>s</w:t>
            </w:r>
          </w:p>
          <w:p w14:paraId="24A50854" w14:textId="77777777" w:rsidR="00FC43F2" w:rsidRPr="004E03BF" w:rsidRDefault="00FC43F2" w:rsidP="003A49DA">
            <w:pPr>
              <w:spacing w:before="0"/>
              <w:jc w:val="center"/>
              <w:rPr>
                <w:rFonts w:ascii="Arial" w:hAnsi="Arial" w:cs="Arial"/>
                <w:b/>
                <w:sz w:val="20"/>
                <w:szCs w:val="20"/>
                <w:lang w:val="es-ES"/>
              </w:rPr>
            </w:pPr>
          </w:p>
        </w:tc>
      </w:tr>
    </w:tbl>
    <w:tbl>
      <w:tblPr>
        <w:tblW w:w="54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63"/>
        <w:gridCol w:w="3131"/>
        <w:gridCol w:w="1155"/>
        <w:gridCol w:w="1139"/>
        <w:gridCol w:w="1139"/>
        <w:gridCol w:w="1140"/>
      </w:tblGrid>
      <w:tr w:rsidR="00FC43F2" w:rsidRPr="00EC7614" w14:paraId="662FA82B" w14:textId="77777777" w:rsidTr="003D0165">
        <w:trPr>
          <w:cantSplit/>
          <w:jc w:val="center"/>
        </w:trPr>
        <w:tc>
          <w:tcPr>
            <w:tcW w:w="2363" w:type="dxa"/>
            <w:vMerge w:val="restart"/>
            <w:shd w:val="clear" w:color="auto" w:fill="DBE5F1" w:themeFill="accent1" w:themeFillTint="33"/>
            <w:vAlign w:val="center"/>
          </w:tcPr>
          <w:p w14:paraId="4AE435BA" w14:textId="77777777" w:rsidR="00FC43F2" w:rsidRPr="00EC7614" w:rsidRDefault="00FC43F2" w:rsidP="003A49DA">
            <w:pPr>
              <w:pStyle w:val="Header"/>
              <w:spacing w:beforeLines="40" w:before="96" w:afterLines="40" w:after="96"/>
              <w:jc w:val="center"/>
              <w:rPr>
                <w:rFonts w:ascii="Arial" w:hAnsi="Arial" w:cs="Arial"/>
                <w:b/>
                <w:sz w:val="18"/>
                <w:szCs w:val="18"/>
                <w:lang w:val="es-ES_tradnl"/>
              </w:rPr>
            </w:pPr>
            <w:r w:rsidRPr="00EC7614">
              <w:rPr>
                <w:rFonts w:ascii="Arial" w:hAnsi="Arial" w:cs="Arial"/>
                <w:b/>
                <w:sz w:val="18"/>
                <w:szCs w:val="18"/>
                <w:lang w:val="es-ES_tradnl"/>
              </w:rPr>
              <w:t>Resultado</w:t>
            </w:r>
          </w:p>
        </w:tc>
        <w:tc>
          <w:tcPr>
            <w:tcW w:w="3131" w:type="dxa"/>
            <w:vMerge w:val="restart"/>
            <w:shd w:val="clear" w:color="auto" w:fill="DBE5F1" w:themeFill="accent1" w:themeFillTint="33"/>
            <w:vAlign w:val="center"/>
          </w:tcPr>
          <w:p w14:paraId="2FEDFBFC" w14:textId="77777777" w:rsidR="00FC43F2" w:rsidRPr="00EC7614" w:rsidRDefault="00FC43F2" w:rsidP="003A49DA">
            <w:pPr>
              <w:pStyle w:val="ListParagraph"/>
              <w:ind w:left="156"/>
              <w:jc w:val="center"/>
              <w:rPr>
                <w:rFonts w:ascii="Arial" w:hAnsi="Arial" w:cs="Arial"/>
                <w:b/>
                <w:sz w:val="18"/>
                <w:szCs w:val="18"/>
                <w:lang w:val="es-ES_tradnl"/>
              </w:rPr>
            </w:pPr>
            <w:r w:rsidRPr="00EC7614">
              <w:rPr>
                <w:rFonts w:ascii="Arial" w:hAnsi="Arial" w:cs="Arial"/>
                <w:b/>
                <w:sz w:val="18"/>
                <w:szCs w:val="18"/>
                <w:lang w:val="es-ES_tradnl"/>
              </w:rPr>
              <w:t>Indicador</w:t>
            </w:r>
          </w:p>
        </w:tc>
        <w:tc>
          <w:tcPr>
            <w:tcW w:w="1155" w:type="dxa"/>
            <w:vMerge w:val="restart"/>
            <w:shd w:val="clear" w:color="auto" w:fill="DBE5F1" w:themeFill="accent1" w:themeFillTint="33"/>
            <w:vAlign w:val="center"/>
          </w:tcPr>
          <w:p w14:paraId="57E8BD19" w14:textId="77777777" w:rsidR="00FC43F2" w:rsidRPr="00EC7614" w:rsidRDefault="00FC43F2" w:rsidP="003A49DA">
            <w:pPr>
              <w:pStyle w:val="ListParagraph"/>
              <w:spacing w:line="276" w:lineRule="auto"/>
              <w:ind w:left="156"/>
              <w:jc w:val="center"/>
              <w:rPr>
                <w:rFonts w:ascii="Arial" w:hAnsi="Arial" w:cs="Arial"/>
                <w:b/>
                <w:sz w:val="18"/>
                <w:szCs w:val="18"/>
                <w:lang w:val="es-ES_tradnl"/>
              </w:rPr>
            </w:pPr>
            <w:r w:rsidRPr="00EC7614">
              <w:rPr>
                <w:rFonts w:ascii="Arial" w:hAnsi="Arial" w:cs="Arial"/>
                <w:b/>
                <w:sz w:val="18"/>
                <w:szCs w:val="18"/>
                <w:lang w:val="es-ES_tradnl"/>
              </w:rPr>
              <w:t>Base</w:t>
            </w:r>
          </w:p>
          <w:p w14:paraId="16AB5E06" w14:textId="2892DD0A" w:rsidR="00FC43F2" w:rsidRPr="00EC7614" w:rsidRDefault="00FC43F2" w:rsidP="003A49DA">
            <w:pPr>
              <w:pStyle w:val="ListParagraph"/>
              <w:spacing w:line="276" w:lineRule="auto"/>
              <w:ind w:left="156"/>
              <w:jc w:val="center"/>
              <w:rPr>
                <w:rFonts w:ascii="Arial" w:hAnsi="Arial" w:cs="Arial"/>
                <w:b/>
                <w:sz w:val="18"/>
                <w:szCs w:val="18"/>
                <w:lang w:val="es-ES_tradnl"/>
              </w:rPr>
            </w:pPr>
            <w:r w:rsidRPr="00EC7614">
              <w:rPr>
                <w:rFonts w:ascii="Arial" w:hAnsi="Arial" w:cs="Arial"/>
                <w:b/>
                <w:sz w:val="18"/>
                <w:szCs w:val="18"/>
                <w:lang w:val="es-ES_tradnl"/>
              </w:rPr>
              <w:t>(201</w:t>
            </w:r>
            <w:r w:rsidR="003D0165">
              <w:rPr>
                <w:rFonts w:ascii="Arial" w:hAnsi="Arial" w:cs="Arial"/>
                <w:b/>
                <w:sz w:val="18"/>
                <w:szCs w:val="18"/>
                <w:lang w:val="es-ES_tradnl"/>
              </w:rPr>
              <w:t>3</w:t>
            </w:r>
            <w:r w:rsidRPr="00EC7614">
              <w:rPr>
                <w:rFonts w:ascii="Arial" w:hAnsi="Arial" w:cs="Arial"/>
                <w:b/>
                <w:sz w:val="18"/>
                <w:szCs w:val="18"/>
                <w:lang w:val="es-ES_tradnl"/>
              </w:rPr>
              <w:t>)</w:t>
            </w:r>
          </w:p>
        </w:tc>
        <w:tc>
          <w:tcPr>
            <w:tcW w:w="3418" w:type="dxa"/>
            <w:gridSpan w:val="3"/>
            <w:tcBorders>
              <w:right w:val="single" w:sz="4" w:space="0" w:color="auto"/>
            </w:tcBorders>
            <w:shd w:val="clear" w:color="auto" w:fill="DBE5F1" w:themeFill="accent1" w:themeFillTint="33"/>
          </w:tcPr>
          <w:p w14:paraId="4742BBE9" w14:textId="77777777" w:rsidR="00FC43F2" w:rsidRPr="00EC7614" w:rsidRDefault="00FC43F2" w:rsidP="003A49DA">
            <w:pPr>
              <w:pStyle w:val="BodyText"/>
              <w:spacing w:beforeLines="40" w:before="96" w:afterLines="40" w:after="96"/>
              <w:rPr>
                <w:rFonts w:ascii="Arial" w:hAnsi="Arial" w:cs="Arial"/>
                <w:b/>
                <w:sz w:val="18"/>
                <w:szCs w:val="18"/>
                <w:lang w:val="es-ES_tradnl"/>
              </w:rPr>
            </w:pPr>
            <w:r w:rsidRPr="00EC7614">
              <w:rPr>
                <w:rFonts w:ascii="Arial" w:hAnsi="Arial" w:cs="Arial"/>
                <w:b/>
                <w:sz w:val="18"/>
                <w:szCs w:val="18"/>
                <w:lang w:val="es-ES_tradnl"/>
              </w:rPr>
              <w:t>Meta</w:t>
            </w:r>
          </w:p>
        </w:tc>
      </w:tr>
      <w:tr w:rsidR="00FC43F2" w:rsidRPr="00EC7614" w14:paraId="47FE2B30" w14:textId="77777777" w:rsidTr="003D0165">
        <w:trPr>
          <w:cantSplit/>
          <w:jc w:val="center"/>
        </w:trPr>
        <w:tc>
          <w:tcPr>
            <w:tcW w:w="2363" w:type="dxa"/>
            <w:vMerge/>
            <w:shd w:val="clear" w:color="auto" w:fill="DBE5F1" w:themeFill="accent1" w:themeFillTint="33"/>
          </w:tcPr>
          <w:p w14:paraId="4D53613F" w14:textId="77777777" w:rsidR="00FC43F2" w:rsidRPr="00EC7614" w:rsidRDefault="00FC43F2" w:rsidP="003A49DA">
            <w:pPr>
              <w:pStyle w:val="Header"/>
              <w:spacing w:beforeLines="40" w:before="96" w:afterLines="40" w:after="96"/>
              <w:jc w:val="center"/>
              <w:rPr>
                <w:rFonts w:ascii="Arial" w:hAnsi="Arial" w:cs="Arial"/>
                <w:sz w:val="18"/>
                <w:szCs w:val="18"/>
                <w:lang w:val="es-ES_tradnl"/>
              </w:rPr>
            </w:pPr>
          </w:p>
        </w:tc>
        <w:tc>
          <w:tcPr>
            <w:tcW w:w="3131" w:type="dxa"/>
            <w:vMerge/>
            <w:shd w:val="clear" w:color="auto" w:fill="DBE5F1" w:themeFill="accent1" w:themeFillTint="33"/>
            <w:vAlign w:val="center"/>
          </w:tcPr>
          <w:p w14:paraId="12C68FBF" w14:textId="77777777" w:rsidR="00FC43F2" w:rsidRPr="00EC7614" w:rsidRDefault="00FC43F2" w:rsidP="003A49DA">
            <w:pPr>
              <w:pStyle w:val="ListParagraph"/>
              <w:spacing w:line="276" w:lineRule="auto"/>
              <w:ind w:left="156"/>
              <w:jc w:val="center"/>
              <w:rPr>
                <w:rFonts w:ascii="Arial" w:hAnsi="Arial" w:cs="Arial"/>
                <w:sz w:val="18"/>
                <w:szCs w:val="18"/>
                <w:lang w:val="es-ES_tradnl"/>
              </w:rPr>
            </w:pPr>
          </w:p>
        </w:tc>
        <w:tc>
          <w:tcPr>
            <w:tcW w:w="1155" w:type="dxa"/>
            <w:vMerge/>
            <w:shd w:val="clear" w:color="auto" w:fill="DBE5F1" w:themeFill="accent1" w:themeFillTint="33"/>
          </w:tcPr>
          <w:p w14:paraId="66854E67" w14:textId="77777777" w:rsidR="00FC43F2" w:rsidRPr="00EC7614" w:rsidRDefault="00FC43F2" w:rsidP="003A49DA">
            <w:pPr>
              <w:pStyle w:val="BodyText"/>
              <w:spacing w:beforeLines="40" w:before="96" w:afterLines="40" w:after="96"/>
              <w:rPr>
                <w:rFonts w:ascii="Arial" w:hAnsi="Arial" w:cs="Arial"/>
                <w:b/>
                <w:sz w:val="18"/>
                <w:szCs w:val="18"/>
                <w:lang w:val="es-ES_tradnl"/>
              </w:rPr>
            </w:pPr>
          </w:p>
        </w:tc>
        <w:tc>
          <w:tcPr>
            <w:tcW w:w="1139" w:type="dxa"/>
            <w:shd w:val="clear" w:color="auto" w:fill="DBE5F1" w:themeFill="accent1" w:themeFillTint="33"/>
            <w:vAlign w:val="center"/>
          </w:tcPr>
          <w:p w14:paraId="231DB237" w14:textId="77777777" w:rsidR="00FC43F2" w:rsidRPr="00EC7614" w:rsidRDefault="00FC43F2" w:rsidP="003A49DA">
            <w:pPr>
              <w:pStyle w:val="BodyText"/>
              <w:spacing w:beforeLines="40" w:before="96" w:afterLines="40" w:after="96"/>
              <w:rPr>
                <w:rFonts w:ascii="Arial" w:hAnsi="Arial" w:cs="Arial"/>
                <w:b/>
                <w:sz w:val="18"/>
                <w:szCs w:val="18"/>
                <w:lang w:val="es-ES_tradnl"/>
              </w:rPr>
            </w:pPr>
            <w:r w:rsidRPr="00EC7614">
              <w:rPr>
                <w:rFonts w:ascii="Arial" w:hAnsi="Arial" w:cs="Arial"/>
                <w:b/>
                <w:sz w:val="18"/>
                <w:szCs w:val="18"/>
                <w:lang w:val="es-ES_tradnl"/>
              </w:rPr>
              <w:t>2015</w:t>
            </w:r>
          </w:p>
        </w:tc>
        <w:tc>
          <w:tcPr>
            <w:tcW w:w="1139" w:type="dxa"/>
            <w:shd w:val="clear" w:color="auto" w:fill="DBE5F1" w:themeFill="accent1" w:themeFillTint="33"/>
            <w:vAlign w:val="center"/>
          </w:tcPr>
          <w:p w14:paraId="454AB7EE" w14:textId="77777777" w:rsidR="00FC43F2" w:rsidRPr="00EC7614" w:rsidRDefault="00FC43F2" w:rsidP="003A49DA">
            <w:pPr>
              <w:pStyle w:val="BodyText"/>
              <w:spacing w:beforeLines="40" w:before="96" w:afterLines="40" w:after="96"/>
              <w:rPr>
                <w:rFonts w:ascii="Arial" w:hAnsi="Arial" w:cs="Arial"/>
                <w:b/>
                <w:sz w:val="18"/>
                <w:szCs w:val="18"/>
                <w:lang w:val="es-ES_tradnl"/>
              </w:rPr>
            </w:pPr>
            <w:r w:rsidRPr="00EC7614">
              <w:rPr>
                <w:rFonts w:ascii="Arial" w:hAnsi="Arial" w:cs="Arial"/>
                <w:b/>
                <w:sz w:val="18"/>
                <w:szCs w:val="18"/>
                <w:lang w:val="es-ES_tradnl"/>
              </w:rPr>
              <w:t>2016</w:t>
            </w:r>
          </w:p>
        </w:tc>
        <w:tc>
          <w:tcPr>
            <w:tcW w:w="1140" w:type="dxa"/>
            <w:tcBorders>
              <w:right w:val="single" w:sz="4" w:space="0" w:color="auto"/>
            </w:tcBorders>
            <w:shd w:val="clear" w:color="auto" w:fill="DBE5F1" w:themeFill="accent1" w:themeFillTint="33"/>
          </w:tcPr>
          <w:p w14:paraId="5E7EF808" w14:textId="77777777" w:rsidR="00FC43F2" w:rsidRPr="00EC7614" w:rsidRDefault="00FC43F2" w:rsidP="003A49DA">
            <w:pPr>
              <w:pStyle w:val="BodyText"/>
              <w:spacing w:beforeLines="40" w:before="96" w:afterLines="40" w:after="96"/>
              <w:rPr>
                <w:rFonts w:ascii="Arial" w:hAnsi="Arial" w:cs="Arial"/>
                <w:b/>
                <w:sz w:val="18"/>
                <w:szCs w:val="18"/>
                <w:lang w:val="es-ES_tradnl"/>
              </w:rPr>
            </w:pPr>
            <w:r w:rsidRPr="00EC7614">
              <w:rPr>
                <w:rFonts w:ascii="Arial" w:hAnsi="Arial" w:cs="Arial"/>
                <w:b/>
                <w:sz w:val="18"/>
                <w:szCs w:val="18"/>
                <w:lang w:val="es-ES_tradnl"/>
              </w:rPr>
              <w:t>201</w:t>
            </w:r>
            <w:r>
              <w:rPr>
                <w:rFonts w:ascii="Arial" w:hAnsi="Arial" w:cs="Arial"/>
                <w:b/>
                <w:sz w:val="18"/>
                <w:szCs w:val="18"/>
                <w:lang w:val="es-ES_tradnl"/>
              </w:rPr>
              <w:t>8</w:t>
            </w:r>
          </w:p>
        </w:tc>
      </w:tr>
      <w:tr w:rsidR="003D0165" w:rsidRPr="00EC7614" w14:paraId="02E37E12" w14:textId="77777777" w:rsidTr="003D0165">
        <w:trPr>
          <w:cantSplit/>
          <w:jc w:val="center"/>
        </w:trPr>
        <w:tc>
          <w:tcPr>
            <w:tcW w:w="2363" w:type="dxa"/>
            <w:vAlign w:val="center"/>
          </w:tcPr>
          <w:p w14:paraId="7CCBB9EF" w14:textId="77777777" w:rsidR="003D0165" w:rsidRPr="00B436D8" w:rsidRDefault="003D0165" w:rsidP="003D0165">
            <w:pPr>
              <w:jc w:val="both"/>
              <w:rPr>
                <w:rFonts w:ascii="Arial" w:hAnsi="Arial" w:cs="Arial"/>
                <w:sz w:val="18"/>
                <w:szCs w:val="18"/>
                <w:lang w:val="es-US"/>
              </w:rPr>
            </w:pPr>
            <w:r w:rsidRPr="00B436D8">
              <w:rPr>
                <w:rFonts w:ascii="Arial" w:hAnsi="Arial" w:cs="Arial"/>
                <w:sz w:val="18"/>
                <w:szCs w:val="18"/>
                <w:lang w:val="es-US"/>
              </w:rPr>
              <w:t>Mejora en la eficiencia operativa y comercial del sector eléctrico.</w:t>
            </w:r>
          </w:p>
        </w:tc>
        <w:tc>
          <w:tcPr>
            <w:tcW w:w="3131" w:type="dxa"/>
            <w:vAlign w:val="center"/>
          </w:tcPr>
          <w:p w14:paraId="2EA8FC70" w14:textId="77777777" w:rsidR="003D0165" w:rsidRPr="00EC7614" w:rsidRDefault="003D0165" w:rsidP="003D0165">
            <w:pPr>
              <w:autoSpaceDE w:val="0"/>
              <w:autoSpaceDN w:val="0"/>
              <w:jc w:val="both"/>
              <w:rPr>
                <w:rFonts w:ascii="Arial" w:hAnsi="Arial" w:cs="Arial"/>
                <w:sz w:val="18"/>
                <w:szCs w:val="18"/>
                <w:lang w:val="es-ES_tradnl"/>
              </w:rPr>
            </w:pPr>
            <w:r w:rsidRPr="00EC7614">
              <w:rPr>
                <w:rFonts w:ascii="Arial" w:hAnsi="Arial" w:cs="Arial"/>
                <w:sz w:val="18"/>
                <w:szCs w:val="18"/>
                <w:lang w:val="es-ES_tradnl"/>
              </w:rPr>
              <w:t>Índice de pérdidas del sector eléctrico (%).</w:t>
            </w:r>
          </w:p>
          <w:p w14:paraId="23E91CD8" w14:textId="77777777" w:rsidR="003D0165" w:rsidRPr="00EC7614" w:rsidRDefault="003D0165" w:rsidP="003D0165">
            <w:pPr>
              <w:autoSpaceDE w:val="0"/>
              <w:autoSpaceDN w:val="0"/>
              <w:jc w:val="both"/>
              <w:rPr>
                <w:rFonts w:ascii="Arial" w:eastAsiaTheme="minorHAnsi" w:hAnsi="Arial" w:cs="Arial"/>
                <w:sz w:val="18"/>
                <w:szCs w:val="18"/>
                <w:lang w:val="es-ES_tradnl"/>
              </w:rPr>
            </w:pPr>
          </w:p>
        </w:tc>
        <w:tc>
          <w:tcPr>
            <w:tcW w:w="1155" w:type="dxa"/>
            <w:vAlign w:val="center"/>
          </w:tcPr>
          <w:p w14:paraId="4104613C" w14:textId="36B70AAC" w:rsidR="003D0165" w:rsidRPr="00EC7614" w:rsidRDefault="003D0165" w:rsidP="003D0165">
            <w:pPr>
              <w:autoSpaceDE w:val="0"/>
              <w:autoSpaceDN w:val="0"/>
              <w:adjustRightInd w:val="0"/>
              <w:jc w:val="center"/>
              <w:rPr>
                <w:rFonts w:ascii="Arial" w:hAnsi="Arial" w:cs="Arial"/>
                <w:sz w:val="18"/>
                <w:szCs w:val="18"/>
                <w:lang w:val="es-BO"/>
              </w:rPr>
            </w:pPr>
            <w:r w:rsidRPr="00EC7614">
              <w:rPr>
                <w:rFonts w:ascii="Arial" w:hAnsi="Arial" w:cs="Arial"/>
                <w:sz w:val="18"/>
                <w:szCs w:val="18"/>
                <w:lang w:val="es-BO"/>
              </w:rPr>
              <w:t>31</w:t>
            </w:r>
            <w:r>
              <w:rPr>
                <w:rFonts w:ascii="Arial" w:hAnsi="Arial" w:cs="Arial"/>
                <w:sz w:val="18"/>
                <w:szCs w:val="18"/>
                <w:lang w:val="es-BO"/>
              </w:rPr>
              <w:t>,3</w:t>
            </w:r>
            <w:r w:rsidRPr="00EC7614">
              <w:rPr>
                <w:rFonts w:ascii="Arial" w:hAnsi="Arial" w:cs="Arial"/>
                <w:sz w:val="18"/>
                <w:szCs w:val="18"/>
                <w:lang w:val="es-ES_tradnl"/>
              </w:rPr>
              <w:t>%</w:t>
            </w:r>
          </w:p>
        </w:tc>
        <w:tc>
          <w:tcPr>
            <w:tcW w:w="1139" w:type="dxa"/>
            <w:vAlign w:val="center"/>
          </w:tcPr>
          <w:p w14:paraId="601321AC" w14:textId="40341042" w:rsidR="003D0165" w:rsidRPr="00EC7614" w:rsidRDefault="003D0165" w:rsidP="003D0165">
            <w:pPr>
              <w:pStyle w:val="Default"/>
              <w:tabs>
                <w:tab w:val="center" w:pos="4320"/>
                <w:tab w:val="right" w:pos="8640"/>
              </w:tabs>
              <w:jc w:val="center"/>
              <w:rPr>
                <w:rFonts w:ascii="Arial" w:hAnsi="Arial" w:cs="Arial"/>
                <w:color w:val="auto"/>
                <w:sz w:val="18"/>
                <w:szCs w:val="18"/>
                <w:lang w:val="es-ES_tradnl"/>
              </w:rPr>
            </w:pPr>
            <w:r w:rsidRPr="00EC7614">
              <w:rPr>
                <w:rFonts w:ascii="Arial" w:hAnsi="Arial" w:cs="Arial"/>
                <w:color w:val="auto"/>
                <w:sz w:val="18"/>
                <w:szCs w:val="18"/>
                <w:lang w:val="es-ES_tradnl"/>
              </w:rPr>
              <w:t>31</w:t>
            </w:r>
            <w:r w:rsidRPr="00EC7614">
              <w:rPr>
                <w:rFonts w:ascii="Arial" w:hAnsi="Arial" w:cs="Arial"/>
                <w:sz w:val="18"/>
                <w:szCs w:val="18"/>
                <w:lang w:val="es-ES_tradnl"/>
              </w:rPr>
              <w:t>%</w:t>
            </w:r>
          </w:p>
        </w:tc>
        <w:tc>
          <w:tcPr>
            <w:tcW w:w="1139" w:type="dxa"/>
            <w:tcBorders>
              <w:top w:val="nil"/>
            </w:tcBorders>
            <w:vAlign w:val="center"/>
          </w:tcPr>
          <w:p w14:paraId="58FFAC62" w14:textId="28608C52" w:rsidR="003D0165" w:rsidRPr="00EC7614" w:rsidRDefault="003D0165" w:rsidP="003D0165">
            <w:pPr>
              <w:pStyle w:val="BodyText"/>
              <w:rPr>
                <w:rFonts w:ascii="Arial" w:hAnsi="Arial" w:cs="Arial"/>
                <w:sz w:val="18"/>
                <w:szCs w:val="18"/>
                <w:lang w:val="es-ES_tradnl"/>
              </w:rPr>
            </w:pPr>
            <w:r w:rsidRPr="00EC7614">
              <w:rPr>
                <w:rFonts w:ascii="Arial" w:hAnsi="Arial" w:cs="Arial"/>
                <w:sz w:val="18"/>
                <w:szCs w:val="18"/>
                <w:lang w:val="es-ES_tradnl"/>
              </w:rPr>
              <w:t>28%</w:t>
            </w:r>
          </w:p>
        </w:tc>
        <w:tc>
          <w:tcPr>
            <w:tcW w:w="1140" w:type="dxa"/>
            <w:tcBorders>
              <w:top w:val="nil"/>
            </w:tcBorders>
            <w:vAlign w:val="center"/>
          </w:tcPr>
          <w:p w14:paraId="638510D4" w14:textId="7C2804A0" w:rsidR="003D0165" w:rsidRPr="00EC7614" w:rsidRDefault="003D0165" w:rsidP="003D0165">
            <w:pPr>
              <w:pStyle w:val="Default"/>
              <w:tabs>
                <w:tab w:val="center" w:pos="4320"/>
                <w:tab w:val="right" w:pos="8640"/>
              </w:tabs>
              <w:jc w:val="center"/>
              <w:rPr>
                <w:rFonts w:ascii="Arial" w:hAnsi="Arial" w:cs="Arial"/>
                <w:color w:val="auto"/>
                <w:sz w:val="18"/>
                <w:szCs w:val="18"/>
                <w:lang w:val="es-ES_tradnl"/>
              </w:rPr>
            </w:pPr>
            <w:r w:rsidRPr="00EC7614">
              <w:rPr>
                <w:rFonts w:ascii="Arial" w:hAnsi="Arial" w:cs="Arial"/>
                <w:color w:val="auto"/>
                <w:sz w:val="18"/>
                <w:szCs w:val="18"/>
                <w:lang w:val="es-ES_tradnl"/>
              </w:rPr>
              <w:t>24</w:t>
            </w:r>
            <w:r w:rsidRPr="00EC7614">
              <w:rPr>
                <w:rFonts w:ascii="Arial" w:hAnsi="Arial" w:cs="Arial"/>
                <w:sz w:val="18"/>
                <w:szCs w:val="18"/>
                <w:lang w:val="es-ES_tradnl"/>
              </w:rPr>
              <w:t>%</w:t>
            </w:r>
          </w:p>
        </w:tc>
      </w:tr>
      <w:tr w:rsidR="003D0165" w:rsidRPr="00EC7614" w14:paraId="488B679D" w14:textId="77777777" w:rsidTr="003D0165">
        <w:trPr>
          <w:cantSplit/>
          <w:jc w:val="center"/>
        </w:trPr>
        <w:tc>
          <w:tcPr>
            <w:tcW w:w="2363" w:type="dxa"/>
            <w:vAlign w:val="center"/>
          </w:tcPr>
          <w:p w14:paraId="6C681EFA" w14:textId="77777777" w:rsidR="003D0165" w:rsidRPr="00B436D8" w:rsidRDefault="003D0165" w:rsidP="003D0165">
            <w:pPr>
              <w:jc w:val="both"/>
              <w:rPr>
                <w:rFonts w:ascii="Arial" w:hAnsi="Arial" w:cs="Arial"/>
                <w:sz w:val="18"/>
                <w:szCs w:val="18"/>
                <w:lang w:val="es-US"/>
              </w:rPr>
            </w:pPr>
            <w:r w:rsidRPr="00B436D8">
              <w:rPr>
                <w:rFonts w:ascii="Arial" w:hAnsi="Arial" w:cs="Arial"/>
                <w:sz w:val="18"/>
                <w:szCs w:val="18"/>
                <w:lang w:val="es-US"/>
              </w:rPr>
              <w:t>Aumento de la participación de fuentes renovables en la matriz de generación eléctrica.</w:t>
            </w:r>
          </w:p>
        </w:tc>
        <w:tc>
          <w:tcPr>
            <w:tcW w:w="3131" w:type="dxa"/>
            <w:vAlign w:val="center"/>
          </w:tcPr>
          <w:p w14:paraId="71793DA1" w14:textId="77777777" w:rsidR="003D0165" w:rsidRPr="00EC7614" w:rsidRDefault="003D0165" w:rsidP="003D0165">
            <w:pPr>
              <w:autoSpaceDE w:val="0"/>
              <w:autoSpaceDN w:val="0"/>
              <w:jc w:val="both"/>
              <w:rPr>
                <w:rFonts w:ascii="Arial" w:eastAsiaTheme="minorHAnsi" w:hAnsi="Arial" w:cs="Arial"/>
                <w:sz w:val="18"/>
                <w:szCs w:val="18"/>
                <w:lang w:val="es-BO"/>
              </w:rPr>
            </w:pPr>
            <w:r w:rsidRPr="00EC7614">
              <w:rPr>
                <w:rFonts w:ascii="Arial" w:hAnsi="Arial" w:cs="Arial"/>
                <w:sz w:val="18"/>
                <w:szCs w:val="18"/>
                <w:lang w:val="es-ES_tradnl"/>
              </w:rPr>
              <w:t>Generación proveniente de Energías Renovables / Generación total de energía eléctrica (%)</w:t>
            </w:r>
            <w:r w:rsidRPr="00EC7614">
              <w:rPr>
                <w:rStyle w:val="FootnoteReference"/>
                <w:sz w:val="18"/>
                <w:szCs w:val="18"/>
                <w:lang w:val="es-BO"/>
              </w:rPr>
              <w:footnoteReference w:id="2"/>
            </w:r>
            <w:r w:rsidRPr="00EC7614">
              <w:rPr>
                <w:rFonts w:ascii="Arial" w:hAnsi="Arial" w:cs="Arial"/>
                <w:sz w:val="18"/>
                <w:szCs w:val="18"/>
                <w:lang w:val="es-ES_tradnl"/>
              </w:rPr>
              <w:t>.</w:t>
            </w:r>
          </w:p>
        </w:tc>
        <w:tc>
          <w:tcPr>
            <w:tcW w:w="1155" w:type="dxa"/>
            <w:vAlign w:val="center"/>
          </w:tcPr>
          <w:p w14:paraId="533E2E1E" w14:textId="264659F3" w:rsidR="003D0165" w:rsidRPr="00EC7614" w:rsidRDefault="003D0165" w:rsidP="003D0165">
            <w:pPr>
              <w:autoSpaceDE w:val="0"/>
              <w:autoSpaceDN w:val="0"/>
              <w:adjustRightInd w:val="0"/>
              <w:jc w:val="center"/>
              <w:rPr>
                <w:rFonts w:ascii="Arial" w:hAnsi="Arial" w:cs="Arial"/>
                <w:sz w:val="18"/>
                <w:szCs w:val="18"/>
                <w:lang w:val="es-BO"/>
              </w:rPr>
            </w:pPr>
            <w:r>
              <w:rPr>
                <w:rFonts w:ascii="Arial" w:hAnsi="Arial" w:cs="Arial"/>
                <w:sz w:val="18"/>
                <w:szCs w:val="18"/>
                <w:lang w:val="es-BO"/>
              </w:rPr>
              <w:t>40,7</w:t>
            </w:r>
            <w:r w:rsidRPr="00EC7614">
              <w:rPr>
                <w:rFonts w:ascii="Arial" w:hAnsi="Arial" w:cs="Arial"/>
                <w:sz w:val="18"/>
                <w:szCs w:val="18"/>
                <w:lang w:val="es-BO"/>
              </w:rPr>
              <w:t>%</w:t>
            </w:r>
          </w:p>
        </w:tc>
        <w:tc>
          <w:tcPr>
            <w:tcW w:w="1139" w:type="dxa"/>
            <w:vAlign w:val="center"/>
          </w:tcPr>
          <w:p w14:paraId="137C0CA4" w14:textId="73F58170" w:rsidR="003D0165" w:rsidRPr="00EC7614" w:rsidRDefault="003D0165" w:rsidP="003D0165">
            <w:pPr>
              <w:pStyle w:val="Default"/>
              <w:tabs>
                <w:tab w:val="center" w:pos="4320"/>
                <w:tab w:val="right" w:pos="8640"/>
              </w:tabs>
              <w:jc w:val="center"/>
              <w:rPr>
                <w:rFonts w:ascii="Arial" w:hAnsi="Arial" w:cs="Arial"/>
                <w:color w:val="auto"/>
                <w:sz w:val="18"/>
                <w:szCs w:val="18"/>
                <w:lang w:val="es-ES_tradnl"/>
              </w:rPr>
            </w:pPr>
            <w:r w:rsidRPr="00EC7614">
              <w:rPr>
                <w:rFonts w:ascii="Arial" w:hAnsi="Arial" w:cs="Arial"/>
                <w:color w:val="auto"/>
                <w:sz w:val="18"/>
                <w:szCs w:val="18"/>
                <w:lang w:val="es-ES_tradnl"/>
              </w:rPr>
              <w:t>43%</w:t>
            </w:r>
          </w:p>
        </w:tc>
        <w:tc>
          <w:tcPr>
            <w:tcW w:w="1139" w:type="dxa"/>
            <w:vAlign w:val="center"/>
          </w:tcPr>
          <w:p w14:paraId="18FDBDF5" w14:textId="2C738E70" w:rsidR="003D0165" w:rsidRPr="00EC7614" w:rsidRDefault="003D0165" w:rsidP="003D0165">
            <w:pPr>
              <w:pStyle w:val="BodyText"/>
              <w:rPr>
                <w:rFonts w:ascii="Arial" w:hAnsi="Arial" w:cs="Arial"/>
                <w:sz w:val="18"/>
                <w:szCs w:val="18"/>
                <w:lang w:val="es-ES_tradnl"/>
              </w:rPr>
            </w:pPr>
            <w:r w:rsidRPr="00EC7614">
              <w:rPr>
                <w:rFonts w:ascii="Arial" w:hAnsi="Arial" w:cs="Arial"/>
                <w:sz w:val="18"/>
                <w:szCs w:val="18"/>
                <w:lang w:val="es-ES_tradnl"/>
              </w:rPr>
              <w:t>48%</w:t>
            </w:r>
          </w:p>
        </w:tc>
        <w:tc>
          <w:tcPr>
            <w:tcW w:w="1140" w:type="dxa"/>
            <w:vAlign w:val="center"/>
          </w:tcPr>
          <w:p w14:paraId="596D1354" w14:textId="682C3620" w:rsidR="003D0165" w:rsidRPr="00EC7614" w:rsidRDefault="003D0165" w:rsidP="003D0165">
            <w:pPr>
              <w:pStyle w:val="Default"/>
              <w:tabs>
                <w:tab w:val="center" w:pos="4320"/>
                <w:tab w:val="right" w:pos="8640"/>
              </w:tabs>
              <w:jc w:val="center"/>
              <w:rPr>
                <w:rFonts w:ascii="Arial" w:hAnsi="Arial" w:cs="Arial"/>
                <w:color w:val="auto"/>
                <w:sz w:val="18"/>
                <w:szCs w:val="18"/>
                <w:highlight w:val="yellow"/>
                <w:lang w:val="es-ES_tradnl"/>
              </w:rPr>
            </w:pPr>
            <w:r w:rsidRPr="00EC7614">
              <w:rPr>
                <w:rFonts w:ascii="Arial" w:hAnsi="Arial" w:cs="Arial"/>
                <w:sz w:val="18"/>
                <w:szCs w:val="18"/>
                <w:lang w:val="es-ES_tradnl"/>
              </w:rPr>
              <w:t>50%</w:t>
            </w:r>
          </w:p>
        </w:tc>
      </w:tr>
      <w:tr w:rsidR="003D0165" w:rsidRPr="00EC7614" w14:paraId="2E1D012F" w14:textId="77777777" w:rsidTr="003D0165">
        <w:trPr>
          <w:cantSplit/>
          <w:jc w:val="center"/>
        </w:trPr>
        <w:tc>
          <w:tcPr>
            <w:tcW w:w="2363" w:type="dxa"/>
            <w:vAlign w:val="center"/>
          </w:tcPr>
          <w:p w14:paraId="2712D3AB" w14:textId="77777777" w:rsidR="003D0165" w:rsidRPr="00B436D8" w:rsidRDefault="003D0165" w:rsidP="003D0165">
            <w:pPr>
              <w:jc w:val="both"/>
              <w:rPr>
                <w:rFonts w:ascii="Arial" w:hAnsi="Arial" w:cs="Arial"/>
                <w:sz w:val="18"/>
                <w:szCs w:val="18"/>
                <w:lang w:val="es-US"/>
              </w:rPr>
            </w:pPr>
            <w:r w:rsidRPr="00B436D8">
              <w:rPr>
                <w:rFonts w:ascii="Arial" w:hAnsi="Arial" w:cs="Arial"/>
                <w:sz w:val="18"/>
                <w:szCs w:val="18"/>
                <w:lang w:val="es-US"/>
              </w:rPr>
              <w:t>Aumento en las transacciones de energía en el MER.</w:t>
            </w:r>
          </w:p>
        </w:tc>
        <w:tc>
          <w:tcPr>
            <w:tcW w:w="3131" w:type="dxa"/>
            <w:vAlign w:val="center"/>
          </w:tcPr>
          <w:p w14:paraId="184F149A" w14:textId="77777777" w:rsidR="003D0165" w:rsidRPr="00EC7614" w:rsidRDefault="003D0165" w:rsidP="003D0165">
            <w:pPr>
              <w:autoSpaceDE w:val="0"/>
              <w:autoSpaceDN w:val="0"/>
              <w:jc w:val="both"/>
              <w:rPr>
                <w:rFonts w:ascii="Arial" w:eastAsiaTheme="minorHAnsi" w:hAnsi="Arial" w:cs="Arial"/>
                <w:sz w:val="18"/>
                <w:szCs w:val="18"/>
                <w:lang w:val="es-BO"/>
              </w:rPr>
            </w:pPr>
            <w:r w:rsidRPr="00EC7614">
              <w:rPr>
                <w:rFonts w:ascii="Arial" w:hAnsi="Arial" w:cs="Arial"/>
                <w:sz w:val="18"/>
                <w:szCs w:val="18"/>
                <w:lang w:val="es-BO"/>
              </w:rPr>
              <w:t>Cantidad de energía transada en el MER / Energía Disponible (%).</w:t>
            </w:r>
          </w:p>
        </w:tc>
        <w:tc>
          <w:tcPr>
            <w:tcW w:w="1155" w:type="dxa"/>
            <w:vAlign w:val="center"/>
          </w:tcPr>
          <w:p w14:paraId="2CD60461" w14:textId="032568DB" w:rsidR="003D0165" w:rsidRPr="00EC7614" w:rsidRDefault="003D0165" w:rsidP="003D0165">
            <w:pPr>
              <w:autoSpaceDE w:val="0"/>
              <w:autoSpaceDN w:val="0"/>
              <w:spacing w:line="276" w:lineRule="auto"/>
              <w:jc w:val="center"/>
              <w:rPr>
                <w:rFonts w:ascii="Arial" w:eastAsiaTheme="minorHAnsi" w:hAnsi="Arial" w:cs="Arial"/>
                <w:sz w:val="18"/>
                <w:szCs w:val="18"/>
                <w:lang w:val="es-BO"/>
              </w:rPr>
            </w:pPr>
            <w:r>
              <w:rPr>
                <w:rFonts w:ascii="Arial" w:hAnsi="Arial" w:cs="Arial"/>
                <w:sz w:val="18"/>
                <w:szCs w:val="18"/>
                <w:lang w:val="es-BO"/>
              </w:rPr>
              <w:t>1,4</w:t>
            </w:r>
            <w:r w:rsidRPr="00EC7614">
              <w:rPr>
                <w:rFonts w:ascii="Arial" w:hAnsi="Arial" w:cs="Arial"/>
                <w:sz w:val="18"/>
                <w:szCs w:val="18"/>
                <w:lang w:val="es-BO"/>
              </w:rPr>
              <w:t>%</w:t>
            </w:r>
          </w:p>
        </w:tc>
        <w:tc>
          <w:tcPr>
            <w:tcW w:w="1139" w:type="dxa"/>
            <w:vAlign w:val="center"/>
          </w:tcPr>
          <w:p w14:paraId="2972CC11" w14:textId="4D345D5E" w:rsidR="003D0165" w:rsidRPr="00EC7614" w:rsidRDefault="003D0165" w:rsidP="003D0165">
            <w:pPr>
              <w:pStyle w:val="Default"/>
              <w:spacing w:line="276" w:lineRule="auto"/>
              <w:jc w:val="center"/>
              <w:rPr>
                <w:rFonts w:ascii="Arial" w:hAnsi="Arial" w:cs="Arial"/>
                <w:color w:val="auto"/>
                <w:sz w:val="18"/>
                <w:szCs w:val="18"/>
                <w:lang w:val="es-ES_tradnl"/>
              </w:rPr>
            </w:pPr>
            <w:r w:rsidRPr="00EC7614">
              <w:rPr>
                <w:rFonts w:ascii="Arial" w:hAnsi="Arial" w:cs="Arial"/>
                <w:color w:val="auto"/>
                <w:sz w:val="18"/>
                <w:szCs w:val="18"/>
                <w:lang w:val="es-ES_tradnl"/>
              </w:rPr>
              <w:t>1,7%</w:t>
            </w:r>
          </w:p>
        </w:tc>
        <w:tc>
          <w:tcPr>
            <w:tcW w:w="1139" w:type="dxa"/>
            <w:vAlign w:val="center"/>
          </w:tcPr>
          <w:p w14:paraId="340B5EF3" w14:textId="6CEEC7C0" w:rsidR="003D0165" w:rsidRPr="00EC7614" w:rsidRDefault="003D0165" w:rsidP="003D0165">
            <w:pPr>
              <w:pStyle w:val="BodyText"/>
              <w:spacing w:line="276" w:lineRule="auto"/>
              <w:rPr>
                <w:rFonts w:ascii="Arial" w:hAnsi="Arial" w:cs="Arial"/>
                <w:sz w:val="18"/>
                <w:szCs w:val="18"/>
                <w:lang w:val="es-ES_tradnl"/>
              </w:rPr>
            </w:pPr>
            <w:r w:rsidRPr="00EC7614">
              <w:rPr>
                <w:rFonts w:ascii="Arial" w:hAnsi="Arial" w:cs="Arial"/>
                <w:sz w:val="18"/>
                <w:szCs w:val="18"/>
                <w:lang w:val="es-ES_tradnl"/>
              </w:rPr>
              <w:t>2,0%</w:t>
            </w:r>
          </w:p>
        </w:tc>
        <w:tc>
          <w:tcPr>
            <w:tcW w:w="1140" w:type="dxa"/>
            <w:vAlign w:val="center"/>
          </w:tcPr>
          <w:p w14:paraId="334661A7" w14:textId="1F71F11C" w:rsidR="003D0165" w:rsidRPr="00EC7614" w:rsidRDefault="003D0165" w:rsidP="003D0165">
            <w:pPr>
              <w:pStyle w:val="BodyText"/>
              <w:spacing w:line="276" w:lineRule="auto"/>
              <w:rPr>
                <w:rFonts w:ascii="Arial" w:hAnsi="Arial" w:cs="Arial"/>
                <w:sz w:val="18"/>
                <w:szCs w:val="18"/>
                <w:lang w:val="es-ES_tradnl"/>
              </w:rPr>
            </w:pPr>
            <w:r w:rsidRPr="00EC7614">
              <w:rPr>
                <w:rFonts w:ascii="Arial" w:hAnsi="Arial" w:cs="Arial"/>
                <w:sz w:val="18"/>
                <w:szCs w:val="18"/>
                <w:lang w:val="es-ES_tradnl"/>
              </w:rPr>
              <w:t>2,5%</w:t>
            </w:r>
          </w:p>
        </w:tc>
      </w:tr>
      <w:tr w:rsidR="003D0165" w:rsidRPr="00EC7614" w14:paraId="1E53D4E5" w14:textId="77777777" w:rsidTr="003D0165">
        <w:trPr>
          <w:cantSplit/>
          <w:jc w:val="center"/>
        </w:trPr>
        <w:tc>
          <w:tcPr>
            <w:tcW w:w="2363" w:type="dxa"/>
            <w:vAlign w:val="center"/>
          </w:tcPr>
          <w:p w14:paraId="028302A1" w14:textId="1E6955A1" w:rsidR="003D0165" w:rsidRPr="00B436D8" w:rsidRDefault="003D0165" w:rsidP="003D0165">
            <w:pPr>
              <w:jc w:val="both"/>
              <w:rPr>
                <w:rFonts w:ascii="Arial" w:hAnsi="Arial" w:cs="Arial"/>
                <w:sz w:val="18"/>
                <w:szCs w:val="18"/>
                <w:lang w:val="es-US"/>
              </w:rPr>
            </w:pPr>
            <w:r w:rsidRPr="003932AB">
              <w:rPr>
                <w:rFonts w:ascii="Arial" w:hAnsi="Arial" w:cs="Arial"/>
                <w:sz w:val="18"/>
                <w:szCs w:val="18"/>
                <w:lang w:val="es-ES_tradnl"/>
              </w:rPr>
              <w:t>Mejora en las capacidades de planificación y gestión del sector energético.</w:t>
            </w:r>
          </w:p>
        </w:tc>
        <w:tc>
          <w:tcPr>
            <w:tcW w:w="3131" w:type="dxa"/>
            <w:vAlign w:val="center"/>
          </w:tcPr>
          <w:p w14:paraId="77088EC9" w14:textId="4A06B377" w:rsidR="003D0165" w:rsidRPr="00EC7614" w:rsidRDefault="003D0165" w:rsidP="003D0165">
            <w:pPr>
              <w:autoSpaceDE w:val="0"/>
              <w:autoSpaceDN w:val="0"/>
              <w:jc w:val="both"/>
              <w:rPr>
                <w:rFonts w:ascii="Arial" w:hAnsi="Arial" w:cs="Arial"/>
                <w:sz w:val="18"/>
                <w:szCs w:val="18"/>
                <w:lang w:val="es-BO"/>
              </w:rPr>
            </w:pPr>
            <w:r>
              <w:rPr>
                <w:rFonts w:ascii="Arial" w:hAnsi="Arial" w:cs="Arial"/>
                <w:sz w:val="18"/>
                <w:szCs w:val="18"/>
              </w:rPr>
              <w:t>Secretaria de Energía establecida.</w:t>
            </w:r>
          </w:p>
        </w:tc>
        <w:tc>
          <w:tcPr>
            <w:tcW w:w="1155" w:type="dxa"/>
            <w:vAlign w:val="center"/>
          </w:tcPr>
          <w:p w14:paraId="1E5AACFC" w14:textId="7E1FBBFC" w:rsidR="003D0165" w:rsidRDefault="003D0165" w:rsidP="003D0165">
            <w:pPr>
              <w:autoSpaceDE w:val="0"/>
              <w:autoSpaceDN w:val="0"/>
              <w:spacing w:line="276" w:lineRule="auto"/>
              <w:jc w:val="center"/>
              <w:rPr>
                <w:rFonts w:ascii="Arial" w:hAnsi="Arial" w:cs="Arial"/>
                <w:sz w:val="18"/>
                <w:szCs w:val="18"/>
                <w:lang w:val="es-BO"/>
              </w:rPr>
            </w:pPr>
            <w:r>
              <w:rPr>
                <w:rFonts w:ascii="Arial" w:hAnsi="Arial" w:cs="Arial"/>
                <w:sz w:val="18"/>
                <w:szCs w:val="18"/>
                <w:lang w:val="es-BO"/>
              </w:rPr>
              <w:t>0</w:t>
            </w:r>
          </w:p>
        </w:tc>
        <w:tc>
          <w:tcPr>
            <w:tcW w:w="1139" w:type="dxa"/>
            <w:vAlign w:val="center"/>
          </w:tcPr>
          <w:p w14:paraId="17AB029C" w14:textId="227BB7FF" w:rsidR="003D0165" w:rsidRPr="00EC7614" w:rsidRDefault="003D0165" w:rsidP="003D0165">
            <w:pPr>
              <w:pStyle w:val="Default"/>
              <w:spacing w:line="276" w:lineRule="auto"/>
              <w:jc w:val="center"/>
              <w:rPr>
                <w:rFonts w:ascii="Arial" w:hAnsi="Arial" w:cs="Arial"/>
                <w:color w:val="auto"/>
                <w:sz w:val="18"/>
                <w:szCs w:val="18"/>
                <w:lang w:val="es-ES_tradnl"/>
              </w:rPr>
            </w:pPr>
            <w:r>
              <w:rPr>
                <w:rFonts w:ascii="Arial" w:hAnsi="Arial" w:cs="Arial"/>
                <w:color w:val="auto"/>
                <w:sz w:val="18"/>
                <w:szCs w:val="18"/>
                <w:lang w:val="es-ES_tradnl"/>
              </w:rPr>
              <w:t>0</w:t>
            </w:r>
          </w:p>
        </w:tc>
        <w:tc>
          <w:tcPr>
            <w:tcW w:w="1139" w:type="dxa"/>
            <w:vAlign w:val="center"/>
          </w:tcPr>
          <w:p w14:paraId="168FE3F4" w14:textId="7F4E7871" w:rsidR="003D0165" w:rsidRPr="00EC7614" w:rsidRDefault="003D0165" w:rsidP="003D0165">
            <w:pPr>
              <w:pStyle w:val="BodyText"/>
              <w:spacing w:line="276" w:lineRule="auto"/>
              <w:rPr>
                <w:rFonts w:ascii="Arial" w:hAnsi="Arial" w:cs="Arial"/>
                <w:sz w:val="18"/>
                <w:szCs w:val="18"/>
                <w:lang w:val="es-ES_tradnl"/>
              </w:rPr>
            </w:pPr>
            <w:r>
              <w:rPr>
                <w:rFonts w:ascii="Arial" w:hAnsi="Arial" w:cs="Arial"/>
                <w:sz w:val="18"/>
                <w:szCs w:val="18"/>
                <w:lang w:val="es-ES_tradnl"/>
              </w:rPr>
              <w:t>0</w:t>
            </w:r>
          </w:p>
        </w:tc>
        <w:tc>
          <w:tcPr>
            <w:tcW w:w="1140" w:type="dxa"/>
            <w:vAlign w:val="center"/>
          </w:tcPr>
          <w:p w14:paraId="2928D3D8" w14:textId="006F79D8" w:rsidR="003D0165" w:rsidRPr="00EC7614" w:rsidRDefault="003D0165" w:rsidP="003D0165">
            <w:pPr>
              <w:pStyle w:val="BodyText"/>
              <w:spacing w:line="276" w:lineRule="auto"/>
              <w:rPr>
                <w:rFonts w:ascii="Arial" w:hAnsi="Arial" w:cs="Arial"/>
                <w:sz w:val="18"/>
                <w:szCs w:val="18"/>
                <w:lang w:val="es-ES_tradnl"/>
              </w:rPr>
            </w:pPr>
            <w:r>
              <w:rPr>
                <w:rFonts w:ascii="Arial" w:hAnsi="Arial" w:cs="Arial"/>
                <w:sz w:val="18"/>
                <w:szCs w:val="18"/>
                <w:lang w:val="es-ES_tradnl"/>
              </w:rPr>
              <w:t>1</w:t>
            </w:r>
          </w:p>
        </w:tc>
      </w:tr>
    </w:tbl>
    <w:p w14:paraId="29C346C9" w14:textId="77777777" w:rsidR="00FC43F2" w:rsidRPr="00906E37" w:rsidRDefault="00FC43F2" w:rsidP="00FC43F2">
      <w:pPr>
        <w:pStyle w:val="Heading1"/>
        <w:jc w:val="center"/>
        <w:rPr>
          <w:rFonts w:ascii="Arial" w:hAnsi="Arial" w:cs="Arial"/>
          <w:b w:val="0"/>
          <w:color w:val="auto"/>
          <w:sz w:val="22"/>
          <w:szCs w:val="22"/>
          <w:lang w:val="es-ES"/>
        </w:rPr>
      </w:pPr>
      <w:bookmarkStart w:id="3" w:name="_Toc496828297"/>
      <w:r w:rsidRPr="00906E37">
        <w:rPr>
          <w:rFonts w:ascii="Arial" w:hAnsi="Arial" w:cs="Arial"/>
          <w:color w:val="auto"/>
          <w:sz w:val="22"/>
          <w:szCs w:val="22"/>
          <w:lang w:val="es-ES"/>
        </w:rPr>
        <w:t>II.</w:t>
      </w:r>
      <w:r w:rsidRPr="00906E37">
        <w:rPr>
          <w:rFonts w:ascii="Arial" w:hAnsi="Arial" w:cs="Arial"/>
          <w:color w:val="auto"/>
          <w:sz w:val="22"/>
          <w:szCs w:val="22"/>
          <w:lang w:val="es-ES"/>
        </w:rPr>
        <w:tab/>
        <w:t>Evaluación de resultados</w:t>
      </w:r>
      <w:bookmarkEnd w:id="3"/>
    </w:p>
    <w:p w14:paraId="437F5746" w14:textId="77777777" w:rsidR="00FC43F2" w:rsidRPr="00906E37" w:rsidRDefault="00FC43F2" w:rsidP="00FC43F2">
      <w:pPr>
        <w:pStyle w:val="Heading2"/>
        <w:numPr>
          <w:ilvl w:val="0"/>
          <w:numId w:val="31"/>
        </w:numPr>
        <w:rPr>
          <w:rFonts w:ascii="Arial" w:hAnsi="Arial" w:cs="Arial"/>
          <w:b w:val="0"/>
          <w:color w:val="auto"/>
          <w:sz w:val="22"/>
          <w:szCs w:val="22"/>
          <w:lang w:val="es-ES"/>
        </w:rPr>
      </w:pPr>
      <w:bookmarkStart w:id="4" w:name="_Toc496828298"/>
      <w:r>
        <w:rPr>
          <w:rFonts w:ascii="Arial" w:hAnsi="Arial" w:cs="Arial"/>
          <w:color w:val="auto"/>
          <w:sz w:val="22"/>
          <w:szCs w:val="22"/>
          <w:lang w:val="es-ES"/>
        </w:rPr>
        <w:t>R</w:t>
      </w:r>
      <w:r w:rsidRPr="00906E37">
        <w:rPr>
          <w:rFonts w:ascii="Arial" w:hAnsi="Arial" w:cs="Arial"/>
          <w:color w:val="auto"/>
          <w:sz w:val="22"/>
          <w:szCs w:val="22"/>
          <w:lang w:val="es-ES"/>
        </w:rPr>
        <w:t>educción de pérdidas comerciales</w:t>
      </w:r>
      <w:bookmarkEnd w:id="4"/>
    </w:p>
    <w:p w14:paraId="0743F27F" w14:textId="77777777" w:rsidR="00FC43F2" w:rsidRDefault="00FC43F2" w:rsidP="00FC43F2">
      <w:pPr>
        <w:pStyle w:val="ListParagraph"/>
        <w:numPr>
          <w:ilvl w:val="1"/>
          <w:numId w:val="29"/>
        </w:numPr>
        <w:ind w:left="720" w:hanging="720"/>
        <w:contextualSpacing w:val="0"/>
        <w:jc w:val="both"/>
        <w:rPr>
          <w:rFonts w:ascii="Arial" w:hAnsi="Arial" w:cs="Arial"/>
          <w:sz w:val="22"/>
          <w:lang w:val="es-ES"/>
        </w:rPr>
      </w:pPr>
      <w:r w:rsidRPr="00AA60C7">
        <w:rPr>
          <w:rFonts w:ascii="Arial" w:hAnsi="Arial" w:cs="Arial"/>
          <w:b/>
          <w:sz w:val="22"/>
          <w:lang w:val="es-ES"/>
        </w:rPr>
        <w:t xml:space="preserve">Suposiciones y Metodología. </w:t>
      </w:r>
      <w:r w:rsidRPr="00AA60C7">
        <w:rPr>
          <w:rFonts w:ascii="Arial" w:hAnsi="Arial" w:cs="Arial"/>
          <w:sz w:val="22"/>
          <w:lang w:val="es-ES"/>
        </w:rPr>
        <w:t>La reducción de pérdidas totales tiene dos componentes: pérdidas técnicas, asociadas con energía perdida en los elementos de transmisión y distribución</w:t>
      </w:r>
      <w:r>
        <w:rPr>
          <w:rFonts w:ascii="Arial" w:hAnsi="Arial" w:cs="Arial"/>
          <w:sz w:val="22"/>
          <w:lang w:val="es-ES"/>
        </w:rPr>
        <w:t>;</w:t>
      </w:r>
      <w:r w:rsidRPr="00AA60C7">
        <w:rPr>
          <w:rFonts w:ascii="Arial" w:hAnsi="Arial" w:cs="Arial"/>
          <w:sz w:val="22"/>
          <w:lang w:val="es-ES"/>
        </w:rPr>
        <w:t xml:space="preserve"> y pérdidas comerciales, asociadas con</w:t>
      </w:r>
      <w:r>
        <w:rPr>
          <w:rFonts w:ascii="Arial" w:hAnsi="Arial" w:cs="Arial"/>
          <w:sz w:val="22"/>
          <w:lang w:val="es-ES"/>
        </w:rPr>
        <w:t xml:space="preserve"> energía suministrada pero no pagada por</w:t>
      </w:r>
      <w:r w:rsidRPr="00AA60C7">
        <w:rPr>
          <w:rFonts w:ascii="Arial" w:hAnsi="Arial" w:cs="Arial"/>
          <w:sz w:val="22"/>
          <w:lang w:val="es-ES"/>
        </w:rPr>
        <w:t xml:space="preserve"> consumidores sin medidor, con hurto de energía o con mediciones defectuosas. La discriminación de pérdidas entre técnicas y comerciales de manera exacta no es fácil, pero sí se tienen valores generalmente aceptados: en el caso de ENEE las pérdidas técnicas se sitúan en el orden de 9 a 11 por ciento y las pérdidas comerciales alrededor de 20 a 22 por ciento en 201</w:t>
      </w:r>
      <w:r>
        <w:rPr>
          <w:rFonts w:ascii="Arial" w:hAnsi="Arial" w:cs="Arial"/>
          <w:sz w:val="22"/>
          <w:lang w:val="es-ES"/>
        </w:rPr>
        <w:t>6</w:t>
      </w:r>
      <w:r w:rsidRPr="00AA60C7">
        <w:rPr>
          <w:rFonts w:ascii="Arial" w:hAnsi="Arial" w:cs="Arial"/>
          <w:sz w:val="22"/>
          <w:lang w:val="es-ES"/>
        </w:rPr>
        <w:t>.</w:t>
      </w:r>
    </w:p>
    <w:p w14:paraId="54BAB259" w14:textId="77777777" w:rsidR="00FC43F2" w:rsidRDefault="00FC43F2" w:rsidP="00FC43F2">
      <w:pPr>
        <w:pStyle w:val="ListParagraph"/>
        <w:numPr>
          <w:ilvl w:val="1"/>
          <w:numId w:val="29"/>
        </w:numPr>
        <w:ind w:left="720" w:hanging="720"/>
        <w:contextualSpacing w:val="0"/>
        <w:jc w:val="both"/>
        <w:rPr>
          <w:rFonts w:ascii="Arial" w:hAnsi="Arial" w:cs="Arial"/>
          <w:sz w:val="22"/>
          <w:lang w:val="es-ES"/>
        </w:rPr>
      </w:pPr>
      <w:r w:rsidRPr="00A91FB3">
        <w:rPr>
          <w:lang w:val="es-ES"/>
        </w:rPr>
        <w:t xml:space="preserve">La </w:t>
      </w:r>
      <w:r w:rsidRPr="00333F26">
        <w:rPr>
          <w:rFonts w:ascii="Arial" w:hAnsi="Arial" w:cs="Arial"/>
          <w:sz w:val="22"/>
          <w:lang w:val="es-ES"/>
        </w:rPr>
        <w:t xml:space="preserve">reducción de pérdidas es de vital importancia para la supervivencia financiera de la Empresa Nacional de Energía Eléctrica (ENEE).  En 2007 </w:t>
      </w:r>
      <w:r w:rsidRPr="002A7BBE">
        <w:rPr>
          <w:rFonts w:ascii="Arial" w:hAnsi="Arial" w:cs="Arial"/>
          <w:sz w:val="22"/>
          <w:lang w:val="es-ES_tradnl"/>
        </w:rPr>
        <w:t>ENEE</w:t>
      </w:r>
      <w:r w:rsidRPr="00333F26">
        <w:rPr>
          <w:rFonts w:ascii="Arial" w:hAnsi="Arial" w:cs="Arial"/>
          <w:sz w:val="22"/>
          <w:lang w:val="es-ES"/>
        </w:rPr>
        <w:t xml:space="preserve"> implementó un plan de reducción de pérdidas, orientado sobre todo a las pérdidas comerciales, mediante la instalación de medidores de medición remota, y la instalación de medidores a consumidores sin medición.  Como resultado, las pérdidas se redujeron en 2007 (4 puntos porcentuales) y 2008 (0.6 puntos porcentuales).  Desde entonces </w:t>
      </w:r>
      <w:r w:rsidRPr="00333F26">
        <w:rPr>
          <w:rFonts w:ascii="Arial" w:hAnsi="Arial" w:cs="Arial"/>
          <w:sz w:val="22"/>
          <w:lang w:val="es-ES"/>
        </w:rPr>
        <w:lastRenderedPageBreak/>
        <w:t xml:space="preserve">las </w:t>
      </w:r>
      <w:r w:rsidRPr="002A7BBE">
        <w:rPr>
          <w:rFonts w:ascii="Arial" w:hAnsi="Arial" w:cs="Arial"/>
          <w:sz w:val="22"/>
          <w:lang w:val="es-ES_tradnl"/>
        </w:rPr>
        <w:t>pérdidas han venido en aumento. Las</w:t>
      </w:r>
      <w:r w:rsidRPr="00333F26">
        <w:rPr>
          <w:rFonts w:ascii="Arial" w:hAnsi="Arial" w:cs="Arial"/>
          <w:sz w:val="22"/>
          <w:lang w:val="es-ES"/>
        </w:rPr>
        <w:t xml:space="preserve"> pérdidas totales pasaron de menos de 21% en 2008 a </w:t>
      </w:r>
      <w:r>
        <w:rPr>
          <w:rFonts w:ascii="Arial" w:hAnsi="Arial" w:cs="Arial"/>
          <w:sz w:val="22"/>
          <w:lang w:val="es-ES"/>
        </w:rPr>
        <w:t>cerca de</w:t>
      </w:r>
      <w:r w:rsidRPr="00333F26">
        <w:rPr>
          <w:rFonts w:ascii="Arial" w:hAnsi="Arial" w:cs="Arial"/>
          <w:sz w:val="22"/>
          <w:lang w:val="es-ES"/>
        </w:rPr>
        <w:t xml:space="preserve"> </w:t>
      </w:r>
      <w:r w:rsidRPr="002A7BBE">
        <w:rPr>
          <w:rFonts w:ascii="Arial" w:hAnsi="Arial" w:cs="Arial"/>
          <w:sz w:val="22"/>
          <w:lang w:val="es-ES_tradnl"/>
        </w:rPr>
        <w:t>30</w:t>
      </w:r>
      <w:r w:rsidRPr="00333F26">
        <w:rPr>
          <w:rFonts w:ascii="Arial" w:hAnsi="Arial" w:cs="Arial"/>
          <w:sz w:val="22"/>
          <w:lang w:val="es-ES"/>
        </w:rPr>
        <w:t>% en 201</w:t>
      </w:r>
      <w:r>
        <w:rPr>
          <w:rFonts w:ascii="Arial" w:hAnsi="Arial" w:cs="Arial"/>
          <w:sz w:val="22"/>
          <w:lang w:val="es-ES"/>
        </w:rPr>
        <w:t>6.</w:t>
      </w:r>
      <w:r>
        <w:rPr>
          <w:rStyle w:val="FootnoteReference"/>
          <w:rFonts w:ascii="Arial" w:hAnsi="Arial" w:cs="Arial"/>
          <w:sz w:val="22"/>
          <w:lang w:val="es-ES"/>
        </w:rPr>
        <w:footnoteReference w:id="3"/>
      </w:r>
      <w:r>
        <w:rPr>
          <w:rFonts w:ascii="Arial" w:hAnsi="Arial" w:cs="Arial"/>
          <w:sz w:val="22"/>
          <w:lang w:val="es-ES"/>
        </w:rPr>
        <w:t xml:space="preserve"> </w:t>
      </w:r>
    </w:p>
    <w:p w14:paraId="1958F3B9" w14:textId="77777777" w:rsidR="00FC43F2" w:rsidRPr="00805198" w:rsidRDefault="00FC43F2" w:rsidP="00FC43F2">
      <w:pPr>
        <w:pStyle w:val="ListParagraph"/>
        <w:numPr>
          <w:ilvl w:val="1"/>
          <w:numId w:val="29"/>
        </w:numPr>
        <w:ind w:left="720" w:hanging="720"/>
        <w:contextualSpacing w:val="0"/>
        <w:jc w:val="both"/>
        <w:rPr>
          <w:rFonts w:ascii="Arial" w:hAnsi="Arial" w:cs="Arial"/>
          <w:sz w:val="22"/>
          <w:lang w:val="es-ES"/>
        </w:rPr>
      </w:pPr>
      <w:r w:rsidRPr="00AB368B">
        <w:rPr>
          <w:rFonts w:ascii="Arial" w:hAnsi="Arial" w:cs="Arial"/>
          <w:sz w:val="22"/>
          <w:lang w:val="es-ES"/>
        </w:rPr>
        <w:t>L</w:t>
      </w:r>
      <w:r w:rsidRPr="00AB368B">
        <w:rPr>
          <w:rFonts w:ascii="Arial" w:hAnsi="Arial" w:cs="Arial"/>
          <w:sz w:val="22"/>
          <w:lang w:val="es-ES_tradnl"/>
        </w:rPr>
        <w:t>a incorporación en 2016 de un operador/gestor en distribución</w:t>
      </w:r>
      <w:r>
        <w:rPr>
          <w:rFonts w:ascii="Arial" w:hAnsi="Arial" w:cs="Arial"/>
          <w:sz w:val="22"/>
          <w:lang w:val="es-ES_tradnl"/>
        </w:rPr>
        <w:t>,</w:t>
      </w:r>
      <w:r w:rsidRPr="00AB368B">
        <w:rPr>
          <w:rFonts w:ascii="Arial" w:hAnsi="Arial" w:cs="Arial"/>
          <w:sz w:val="22"/>
          <w:lang w:val="es-ES_tradnl"/>
        </w:rPr>
        <w:t xml:space="preserve"> con la contratación del Consorcio Empresa Energía </w:t>
      </w:r>
      <w:r w:rsidRPr="00AB368B">
        <w:rPr>
          <w:rFonts w:ascii="Arial" w:hAnsi="Arial" w:cs="Arial"/>
          <w:sz w:val="22"/>
          <w:lang w:val="es-ES"/>
        </w:rPr>
        <w:t>Honduras</w:t>
      </w:r>
      <w:r w:rsidRPr="00AB368B">
        <w:rPr>
          <w:rFonts w:ascii="Arial" w:hAnsi="Arial" w:cs="Arial"/>
          <w:sz w:val="22"/>
          <w:lang w:val="es-ES_tradnl"/>
        </w:rPr>
        <w:t xml:space="preserve"> EEH</w:t>
      </w:r>
      <w:r>
        <w:rPr>
          <w:rFonts w:ascii="Arial" w:hAnsi="Arial" w:cs="Arial"/>
          <w:sz w:val="22"/>
          <w:lang w:val="es-ES_tradnl"/>
        </w:rPr>
        <w:t>,</w:t>
      </w:r>
      <w:r w:rsidRPr="00AB368B">
        <w:rPr>
          <w:rFonts w:ascii="Arial" w:hAnsi="Arial" w:cs="Arial"/>
          <w:sz w:val="22"/>
          <w:lang w:val="es-ES_tradnl"/>
        </w:rPr>
        <w:t xml:space="preserve"> se persigue mejorar la calidad de servicio a los clientes, reducir las pérdidas comerciales, mejorar los ingresos por facturación y cobranza y reducir la mora. Las acciones buscan optimizar los costos operacionales, ampliar el portafolio de clientes, desarrollar un sistema de información eficiente, y que </w:t>
      </w:r>
      <w:r>
        <w:rPr>
          <w:rFonts w:ascii="Arial" w:hAnsi="Arial" w:cs="Arial"/>
          <w:sz w:val="22"/>
          <w:lang w:val="es-ES_tradnl"/>
        </w:rPr>
        <w:t xml:space="preserve">las mejoras </w:t>
      </w:r>
      <w:r w:rsidRPr="00AB368B">
        <w:rPr>
          <w:rFonts w:ascii="Arial" w:hAnsi="Arial" w:cs="Arial"/>
          <w:sz w:val="22"/>
          <w:lang w:val="es-ES_tradnl"/>
        </w:rPr>
        <w:t>perdure</w:t>
      </w:r>
      <w:r>
        <w:rPr>
          <w:rFonts w:ascii="Arial" w:hAnsi="Arial" w:cs="Arial"/>
          <w:sz w:val="22"/>
          <w:lang w:val="es-ES_tradnl"/>
        </w:rPr>
        <w:t>n</w:t>
      </w:r>
      <w:r w:rsidRPr="00AB368B">
        <w:rPr>
          <w:rFonts w:ascii="Arial" w:hAnsi="Arial" w:cs="Arial"/>
          <w:sz w:val="22"/>
          <w:lang w:val="es-ES_tradnl"/>
        </w:rPr>
        <w:t xml:space="preserve"> en el tiempo y que </w:t>
      </w:r>
      <w:r>
        <w:rPr>
          <w:rFonts w:ascii="Arial" w:hAnsi="Arial" w:cs="Arial"/>
          <w:sz w:val="22"/>
          <w:lang w:val="es-ES_tradnl"/>
        </w:rPr>
        <w:t xml:space="preserve">la gestión </w:t>
      </w:r>
      <w:r w:rsidRPr="00AB368B">
        <w:rPr>
          <w:rFonts w:ascii="Arial" w:hAnsi="Arial" w:cs="Arial"/>
          <w:sz w:val="22"/>
          <w:lang w:val="es-ES_tradnl"/>
        </w:rPr>
        <w:t xml:space="preserve">sea transferible a ENEE luego que el tiempo de concesión (7 años) finalice. </w:t>
      </w:r>
      <w:r>
        <w:rPr>
          <w:rFonts w:ascii="Arial" w:hAnsi="Arial" w:cs="Arial"/>
          <w:sz w:val="22"/>
          <w:lang w:val="es-ES_tradnl"/>
        </w:rPr>
        <w:t>Las metas anuales de reducción</w:t>
      </w:r>
      <w:r w:rsidRPr="00AB368B">
        <w:rPr>
          <w:rFonts w:ascii="Arial" w:hAnsi="Arial" w:cs="Arial"/>
          <w:sz w:val="22"/>
          <w:lang w:val="es-ES_tradnl"/>
        </w:rPr>
        <w:t xml:space="preserve"> de pérdidas </w:t>
      </w:r>
      <w:r>
        <w:rPr>
          <w:rFonts w:ascii="Arial" w:hAnsi="Arial" w:cs="Arial"/>
          <w:sz w:val="22"/>
          <w:lang w:val="es-ES_tradnl"/>
        </w:rPr>
        <w:t>bajo la responsabilidad de EEH aspiran a alcanzar un nivel de 12% en 2013, con inversiones totales en capacidad comercial. cercana a los US$150 millones (Cuadro 2).</w:t>
      </w:r>
    </w:p>
    <w:tbl>
      <w:tblPr>
        <w:tblStyle w:val="TableGrid"/>
        <w:tblW w:w="0" w:type="auto"/>
        <w:tblInd w:w="720" w:type="dxa"/>
        <w:tblLook w:val="04A0" w:firstRow="1" w:lastRow="0" w:firstColumn="1" w:lastColumn="0" w:noHBand="0" w:noVBand="1"/>
      </w:tblPr>
      <w:tblGrid>
        <w:gridCol w:w="1278"/>
        <w:gridCol w:w="1800"/>
        <w:gridCol w:w="1976"/>
        <w:gridCol w:w="1984"/>
        <w:gridCol w:w="1541"/>
      </w:tblGrid>
      <w:tr w:rsidR="00FC43F2" w:rsidRPr="003932AB" w14:paraId="5C496223" w14:textId="77777777" w:rsidTr="003A49DA">
        <w:tc>
          <w:tcPr>
            <w:tcW w:w="8579" w:type="dxa"/>
            <w:gridSpan w:val="5"/>
            <w:tcBorders>
              <w:top w:val="nil"/>
              <w:left w:val="nil"/>
              <w:right w:val="nil"/>
            </w:tcBorders>
            <w:shd w:val="clear" w:color="auto" w:fill="auto"/>
            <w:vAlign w:val="center"/>
          </w:tcPr>
          <w:p w14:paraId="048ACF8F" w14:textId="77777777" w:rsidR="00FC43F2" w:rsidRPr="007E0F3E" w:rsidRDefault="00FC43F2" w:rsidP="003A49DA">
            <w:pPr>
              <w:pStyle w:val="ListParagraph"/>
              <w:ind w:left="0"/>
              <w:contextualSpacing w:val="0"/>
              <w:jc w:val="center"/>
              <w:rPr>
                <w:rFonts w:ascii="Arial" w:hAnsi="Arial" w:cs="Arial"/>
                <w:b/>
                <w:sz w:val="22"/>
                <w:lang w:val="es-ES"/>
              </w:rPr>
            </w:pPr>
            <w:r w:rsidRPr="00805198">
              <w:rPr>
                <w:rFonts w:ascii="Arial" w:hAnsi="Arial" w:cs="Arial"/>
                <w:b/>
                <w:sz w:val="22"/>
                <w:lang w:val="es-ES_tradnl"/>
              </w:rPr>
              <w:t>Cuadro 2 -  Plan de Inversiones y de reducción de pérdidas EEH</w:t>
            </w:r>
          </w:p>
        </w:tc>
      </w:tr>
      <w:tr w:rsidR="00FC43F2" w14:paraId="3D432E35" w14:textId="77777777" w:rsidTr="003A49DA">
        <w:tc>
          <w:tcPr>
            <w:tcW w:w="1278" w:type="dxa"/>
            <w:shd w:val="clear" w:color="auto" w:fill="DBE5F1" w:themeFill="accent1" w:themeFillTint="33"/>
            <w:vAlign w:val="center"/>
          </w:tcPr>
          <w:p w14:paraId="0646B39B" w14:textId="77777777" w:rsidR="00FC43F2" w:rsidRPr="007E0F3E" w:rsidRDefault="00FC43F2" w:rsidP="003A49DA">
            <w:pPr>
              <w:pStyle w:val="ListParagraph"/>
              <w:ind w:left="0"/>
              <w:contextualSpacing w:val="0"/>
              <w:jc w:val="center"/>
              <w:rPr>
                <w:rFonts w:ascii="Arial" w:hAnsi="Arial" w:cs="Arial"/>
                <w:b/>
                <w:sz w:val="22"/>
                <w:lang w:val="es-ES"/>
              </w:rPr>
            </w:pPr>
            <w:r w:rsidRPr="007E0F3E">
              <w:rPr>
                <w:rFonts w:ascii="Arial" w:hAnsi="Arial" w:cs="Arial"/>
                <w:b/>
                <w:sz w:val="22"/>
                <w:lang w:val="es-ES"/>
              </w:rPr>
              <w:t>Período</w:t>
            </w:r>
            <w:r>
              <w:rPr>
                <w:rFonts w:ascii="Arial" w:hAnsi="Arial" w:cs="Arial"/>
                <w:b/>
                <w:sz w:val="22"/>
                <w:lang w:val="es-ES"/>
              </w:rPr>
              <w:t xml:space="preserve"> (año)</w:t>
            </w:r>
          </w:p>
        </w:tc>
        <w:tc>
          <w:tcPr>
            <w:tcW w:w="1800" w:type="dxa"/>
            <w:shd w:val="clear" w:color="auto" w:fill="DBE5F1" w:themeFill="accent1" w:themeFillTint="33"/>
            <w:vAlign w:val="center"/>
          </w:tcPr>
          <w:p w14:paraId="61650172" w14:textId="77777777" w:rsidR="00FC43F2" w:rsidRPr="007E0F3E" w:rsidRDefault="00FC43F2" w:rsidP="003A49DA">
            <w:pPr>
              <w:pStyle w:val="ListParagraph"/>
              <w:ind w:left="0"/>
              <w:contextualSpacing w:val="0"/>
              <w:jc w:val="center"/>
              <w:rPr>
                <w:rFonts w:ascii="Arial" w:hAnsi="Arial" w:cs="Arial"/>
                <w:b/>
                <w:sz w:val="22"/>
                <w:lang w:val="es-ES"/>
              </w:rPr>
            </w:pPr>
            <w:r>
              <w:rPr>
                <w:rFonts w:ascii="Arial" w:hAnsi="Arial" w:cs="Arial"/>
                <w:b/>
                <w:sz w:val="22"/>
                <w:lang w:val="es-ES"/>
              </w:rPr>
              <w:t>Inversión (m</w:t>
            </w:r>
            <w:r w:rsidRPr="007E0F3E">
              <w:rPr>
                <w:rFonts w:ascii="Arial" w:hAnsi="Arial" w:cs="Arial"/>
                <w:b/>
                <w:sz w:val="22"/>
                <w:lang w:val="es-ES"/>
              </w:rPr>
              <w:t>illones US$)</w:t>
            </w:r>
          </w:p>
        </w:tc>
        <w:tc>
          <w:tcPr>
            <w:tcW w:w="1976" w:type="dxa"/>
            <w:shd w:val="clear" w:color="auto" w:fill="DBE5F1" w:themeFill="accent1" w:themeFillTint="33"/>
            <w:vAlign w:val="center"/>
          </w:tcPr>
          <w:p w14:paraId="7AF55ED5" w14:textId="77777777" w:rsidR="00FC43F2" w:rsidRPr="007E0F3E" w:rsidRDefault="00FC43F2" w:rsidP="003A49DA">
            <w:pPr>
              <w:pStyle w:val="ListParagraph"/>
              <w:ind w:left="0"/>
              <w:contextualSpacing w:val="0"/>
              <w:jc w:val="center"/>
              <w:rPr>
                <w:rFonts w:ascii="Arial" w:hAnsi="Arial" w:cs="Arial"/>
                <w:b/>
                <w:sz w:val="22"/>
                <w:lang w:val="es-ES"/>
              </w:rPr>
            </w:pPr>
            <w:r w:rsidRPr="007E0F3E">
              <w:rPr>
                <w:rFonts w:ascii="Arial" w:hAnsi="Arial" w:cs="Arial"/>
                <w:b/>
                <w:sz w:val="22"/>
                <w:lang w:val="es-ES"/>
              </w:rPr>
              <w:t>Ingresos</w:t>
            </w:r>
            <w:r>
              <w:rPr>
                <w:rFonts w:ascii="Arial" w:hAnsi="Arial" w:cs="Arial"/>
                <w:b/>
                <w:sz w:val="22"/>
                <w:lang w:val="es-ES"/>
              </w:rPr>
              <w:t xml:space="preserve"> (millones US$)</w:t>
            </w:r>
          </w:p>
        </w:tc>
        <w:tc>
          <w:tcPr>
            <w:tcW w:w="1984" w:type="dxa"/>
            <w:shd w:val="clear" w:color="auto" w:fill="DBE5F1" w:themeFill="accent1" w:themeFillTint="33"/>
            <w:vAlign w:val="center"/>
          </w:tcPr>
          <w:p w14:paraId="32440B37" w14:textId="77777777" w:rsidR="00FC43F2" w:rsidRDefault="00FC43F2" w:rsidP="003A49DA">
            <w:pPr>
              <w:pStyle w:val="ListParagraph"/>
              <w:spacing w:before="0"/>
              <w:ind w:left="0"/>
              <w:contextualSpacing w:val="0"/>
              <w:jc w:val="center"/>
              <w:rPr>
                <w:rFonts w:ascii="Arial" w:hAnsi="Arial" w:cs="Arial"/>
                <w:b/>
                <w:sz w:val="22"/>
                <w:lang w:val="es-ES"/>
              </w:rPr>
            </w:pPr>
            <w:r w:rsidRPr="007E0F3E">
              <w:rPr>
                <w:rFonts w:ascii="Arial" w:hAnsi="Arial" w:cs="Arial"/>
                <w:b/>
                <w:sz w:val="22"/>
                <w:lang w:val="es-ES"/>
              </w:rPr>
              <w:t>Niveles de Pérdidas de Distribución</w:t>
            </w:r>
            <w:r>
              <w:rPr>
                <w:rFonts w:ascii="Arial" w:hAnsi="Arial" w:cs="Arial"/>
                <w:b/>
                <w:sz w:val="22"/>
                <w:lang w:val="es-ES"/>
              </w:rPr>
              <w:t xml:space="preserve"> </w:t>
            </w:r>
          </w:p>
          <w:p w14:paraId="776EFDF1" w14:textId="77777777" w:rsidR="00FC43F2" w:rsidRPr="007E0F3E" w:rsidRDefault="00FC43F2" w:rsidP="003A49DA">
            <w:pPr>
              <w:pStyle w:val="ListParagraph"/>
              <w:spacing w:before="0"/>
              <w:ind w:left="0"/>
              <w:contextualSpacing w:val="0"/>
              <w:jc w:val="center"/>
              <w:rPr>
                <w:rFonts w:ascii="Arial" w:hAnsi="Arial" w:cs="Arial"/>
                <w:b/>
                <w:sz w:val="22"/>
                <w:lang w:val="es-ES"/>
              </w:rPr>
            </w:pPr>
            <w:r>
              <w:rPr>
                <w:rFonts w:ascii="Arial" w:hAnsi="Arial" w:cs="Arial"/>
                <w:b/>
                <w:sz w:val="22"/>
                <w:lang w:val="es-ES"/>
              </w:rPr>
              <w:t>(%)</w:t>
            </w:r>
          </w:p>
        </w:tc>
        <w:tc>
          <w:tcPr>
            <w:tcW w:w="1541" w:type="dxa"/>
            <w:shd w:val="clear" w:color="auto" w:fill="DBE5F1" w:themeFill="accent1" w:themeFillTint="33"/>
            <w:vAlign w:val="center"/>
          </w:tcPr>
          <w:p w14:paraId="7810F2E5" w14:textId="77777777" w:rsidR="00FC43F2" w:rsidRPr="007E0F3E" w:rsidRDefault="00FC43F2" w:rsidP="003A49DA">
            <w:pPr>
              <w:pStyle w:val="ListParagraph"/>
              <w:spacing w:before="0"/>
              <w:ind w:left="0"/>
              <w:contextualSpacing w:val="0"/>
              <w:jc w:val="center"/>
              <w:rPr>
                <w:rFonts w:ascii="Arial" w:hAnsi="Arial" w:cs="Arial"/>
                <w:b/>
                <w:sz w:val="22"/>
                <w:lang w:val="es-ES"/>
              </w:rPr>
            </w:pPr>
            <w:r w:rsidRPr="007E0F3E">
              <w:rPr>
                <w:rFonts w:ascii="Arial" w:hAnsi="Arial" w:cs="Arial"/>
                <w:b/>
                <w:sz w:val="22"/>
                <w:lang w:val="es-ES"/>
              </w:rPr>
              <w:t>Senda de Disminución</w:t>
            </w:r>
            <w:r>
              <w:rPr>
                <w:rFonts w:ascii="Arial" w:hAnsi="Arial" w:cs="Arial"/>
                <w:b/>
                <w:sz w:val="22"/>
                <w:lang w:val="es-ES"/>
              </w:rPr>
              <w:t xml:space="preserve"> Pérdidas</w:t>
            </w:r>
            <w:r w:rsidRPr="007E0F3E">
              <w:rPr>
                <w:rFonts w:ascii="Arial" w:hAnsi="Arial" w:cs="Arial"/>
                <w:b/>
                <w:sz w:val="22"/>
                <w:lang w:val="es-ES"/>
              </w:rPr>
              <w:t xml:space="preserve"> (%)</w:t>
            </w:r>
          </w:p>
        </w:tc>
      </w:tr>
      <w:tr w:rsidR="00FC43F2" w14:paraId="49410CD5" w14:textId="77777777" w:rsidTr="003A49DA">
        <w:tc>
          <w:tcPr>
            <w:tcW w:w="1278" w:type="dxa"/>
          </w:tcPr>
          <w:p w14:paraId="55507A33"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0</w:t>
            </w:r>
          </w:p>
        </w:tc>
        <w:tc>
          <w:tcPr>
            <w:tcW w:w="1800" w:type="dxa"/>
          </w:tcPr>
          <w:p w14:paraId="0B6CD34B"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1,0</w:t>
            </w:r>
          </w:p>
        </w:tc>
        <w:tc>
          <w:tcPr>
            <w:tcW w:w="1976" w:type="dxa"/>
          </w:tcPr>
          <w:p w14:paraId="68F292C6"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w:t>
            </w:r>
          </w:p>
        </w:tc>
        <w:tc>
          <w:tcPr>
            <w:tcW w:w="1984" w:type="dxa"/>
          </w:tcPr>
          <w:p w14:paraId="3CF5AE6A"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29</w:t>
            </w:r>
          </w:p>
        </w:tc>
        <w:tc>
          <w:tcPr>
            <w:tcW w:w="1541" w:type="dxa"/>
          </w:tcPr>
          <w:p w14:paraId="3830F558" w14:textId="77777777" w:rsidR="00FC43F2" w:rsidRDefault="00FC43F2" w:rsidP="003A49DA">
            <w:pPr>
              <w:pStyle w:val="ListParagraph"/>
              <w:ind w:left="0"/>
              <w:contextualSpacing w:val="0"/>
              <w:jc w:val="center"/>
              <w:rPr>
                <w:rFonts w:ascii="Arial" w:hAnsi="Arial" w:cs="Arial"/>
                <w:sz w:val="22"/>
                <w:lang w:val="es-ES"/>
              </w:rPr>
            </w:pPr>
          </w:p>
        </w:tc>
      </w:tr>
      <w:tr w:rsidR="00FC43F2" w14:paraId="38B08AB5" w14:textId="77777777" w:rsidTr="003A49DA">
        <w:tc>
          <w:tcPr>
            <w:tcW w:w="1278" w:type="dxa"/>
          </w:tcPr>
          <w:p w14:paraId="5F961561"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1</w:t>
            </w:r>
          </w:p>
        </w:tc>
        <w:tc>
          <w:tcPr>
            <w:tcW w:w="1800" w:type="dxa"/>
          </w:tcPr>
          <w:p w14:paraId="1BBF0774"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72,5</w:t>
            </w:r>
          </w:p>
        </w:tc>
        <w:tc>
          <w:tcPr>
            <w:tcW w:w="1976" w:type="dxa"/>
          </w:tcPr>
          <w:p w14:paraId="0A8D9F1F"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18,0</w:t>
            </w:r>
          </w:p>
        </w:tc>
        <w:tc>
          <w:tcPr>
            <w:tcW w:w="1984" w:type="dxa"/>
          </w:tcPr>
          <w:p w14:paraId="761E21A7"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25</w:t>
            </w:r>
          </w:p>
        </w:tc>
        <w:tc>
          <w:tcPr>
            <w:tcW w:w="1541" w:type="dxa"/>
          </w:tcPr>
          <w:p w14:paraId="7CFE091D"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4</w:t>
            </w:r>
          </w:p>
        </w:tc>
      </w:tr>
      <w:tr w:rsidR="00FC43F2" w14:paraId="6E425B1E" w14:textId="77777777" w:rsidTr="003A49DA">
        <w:tc>
          <w:tcPr>
            <w:tcW w:w="1278" w:type="dxa"/>
          </w:tcPr>
          <w:p w14:paraId="67C60E41"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2</w:t>
            </w:r>
          </w:p>
        </w:tc>
        <w:tc>
          <w:tcPr>
            <w:tcW w:w="1800" w:type="dxa"/>
          </w:tcPr>
          <w:p w14:paraId="341DBEE9"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66,0</w:t>
            </w:r>
          </w:p>
        </w:tc>
        <w:tc>
          <w:tcPr>
            <w:tcW w:w="1976" w:type="dxa"/>
          </w:tcPr>
          <w:p w14:paraId="7431CEAD"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71,8</w:t>
            </w:r>
          </w:p>
        </w:tc>
        <w:tc>
          <w:tcPr>
            <w:tcW w:w="1984" w:type="dxa"/>
          </w:tcPr>
          <w:p w14:paraId="35D2C17A"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22</w:t>
            </w:r>
          </w:p>
        </w:tc>
        <w:tc>
          <w:tcPr>
            <w:tcW w:w="1541" w:type="dxa"/>
          </w:tcPr>
          <w:p w14:paraId="71553E42"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3</w:t>
            </w:r>
          </w:p>
        </w:tc>
      </w:tr>
      <w:tr w:rsidR="00FC43F2" w14:paraId="5954AB32" w14:textId="77777777" w:rsidTr="003A49DA">
        <w:tc>
          <w:tcPr>
            <w:tcW w:w="1278" w:type="dxa"/>
          </w:tcPr>
          <w:p w14:paraId="02AE7288"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3</w:t>
            </w:r>
          </w:p>
        </w:tc>
        <w:tc>
          <w:tcPr>
            <w:tcW w:w="1800" w:type="dxa"/>
          </w:tcPr>
          <w:p w14:paraId="796C7CC8"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70,0</w:t>
            </w:r>
          </w:p>
        </w:tc>
        <w:tc>
          <w:tcPr>
            <w:tcW w:w="1976" w:type="dxa"/>
          </w:tcPr>
          <w:p w14:paraId="51FBF965"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119,8</w:t>
            </w:r>
          </w:p>
        </w:tc>
        <w:tc>
          <w:tcPr>
            <w:tcW w:w="1984" w:type="dxa"/>
          </w:tcPr>
          <w:p w14:paraId="4A9B8875"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19</w:t>
            </w:r>
          </w:p>
        </w:tc>
        <w:tc>
          <w:tcPr>
            <w:tcW w:w="1541" w:type="dxa"/>
          </w:tcPr>
          <w:p w14:paraId="4BCED881"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3</w:t>
            </w:r>
          </w:p>
        </w:tc>
      </w:tr>
      <w:tr w:rsidR="00FC43F2" w14:paraId="10EA9918" w14:textId="77777777" w:rsidTr="003A49DA">
        <w:tc>
          <w:tcPr>
            <w:tcW w:w="1278" w:type="dxa"/>
          </w:tcPr>
          <w:p w14:paraId="2038914E"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4</w:t>
            </w:r>
          </w:p>
        </w:tc>
        <w:tc>
          <w:tcPr>
            <w:tcW w:w="1800" w:type="dxa"/>
          </w:tcPr>
          <w:p w14:paraId="352B25A5"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61,6</w:t>
            </w:r>
          </w:p>
        </w:tc>
        <w:tc>
          <w:tcPr>
            <w:tcW w:w="1976" w:type="dxa"/>
          </w:tcPr>
          <w:p w14:paraId="534FE948"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168,5</w:t>
            </w:r>
          </w:p>
        </w:tc>
        <w:tc>
          <w:tcPr>
            <w:tcW w:w="1984" w:type="dxa"/>
          </w:tcPr>
          <w:p w14:paraId="3BB54DCB"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16</w:t>
            </w:r>
          </w:p>
        </w:tc>
        <w:tc>
          <w:tcPr>
            <w:tcW w:w="1541" w:type="dxa"/>
          </w:tcPr>
          <w:p w14:paraId="35762808"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3</w:t>
            </w:r>
          </w:p>
        </w:tc>
      </w:tr>
      <w:tr w:rsidR="00FC43F2" w14:paraId="26121BA4" w14:textId="77777777" w:rsidTr="003A49DA">
        <w:tc>
          <w:tcPr>
            <w:tcW w:w="1278" w:type="dxa"/>
          </w:tcPr>
          <w:p w14:paraId="12FFED90"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5</w:t>
            </w:r>
          </w:p>
        </w:tc>
        <w:tc>
          <w:tcPr>
            <w:tcW w:w="1800" w:type="dxa"/>
          </w:tcPr>
          <w:p w14:paraId="7F49577E"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52,7</w:t>
            </w:r>
          </w:p>
        </w:tc>
        <w:tc>
          <w:tcPr>
            <w:tcW w:w="1976" w:type="dxa"/>
          </w:tcPr>
          <w:p w14:paraId="3BAE8717"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214,1</w:t>
            </w:r>
          </w:p>
        </w:tc>
        <w:tc>
          <w:tcPr>
            <w:tcW w:w="1984" w:type="dxa"/>
          </w:tcPr>
          <w:p w14:paraId="3181632F"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14</w:t>
            </w:r>
          </w:p>
        </w:tc>
        <w:tc>
          <w:tcPr>
            <w:tcW w:w="1541" w:type="dxa"/>
          </w:tcPr>
          <w:p w14:paraId="4BC6D625"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2</w:t>
            </w:r>
          </w:p>
        </w:tc>
      </w:tr>
      <w:tr w:rsidR="00FC43F2" w14:paraId="4A666A86" w14:textId="77777777" w:rsidTr="003A49DA">
        <w:tc>
          <w:tcPr>
            <w:tcW w:w="1278" w:type="dxa"/>
          </w:tcPr>
          <w:p w14:paraId="1FBB2006"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6</w:t>
            </w:r>
          </w:p>
        </w:tc>
        <w:tc>
          <w:tcPr>
            <w:tcW w:w="1800" w:type="dxa"/>
          </w:tcPr>
          <w:p w14:paraId="68C8378E"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16,4</w:t>
            </w:r>
          </w:p>
        </w:tc>
        <w:tc>
          <w:tcPr>
            <w:tcW w:w="1976" w:type="dxa"/>
          </w:tcPr>
          <w:p w14:paraId="64083753"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247,9</w:t>
            </w:r>
          </w:p>
        </w:tc>
        <w:tc>
          <w:tcPr>
            <w:tcW w:w="1984" w:type="dxa"/>
          </w:tcPr>
          <w:p w14:paraId="2A3F44D8"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13</w:t>
            </w:r>
          </w:p>
        </w:tc>
        <w:tc>
          <w:tcPr>
            <w:tcW w:w="1541" w:type="dxa"/>
          </w:tcPr>
          <w:p w14:paraId="5840D634"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1</w:t>
            </w:r>
          </w:p>
        </w:tc>
      </w:tr>
      <w:tr w:rsidR="00FC43F2" w14:paraId="6F9FACB8" w14:textId="77777777" w:rsidTr="003A49DA">
        <w:tc>
          <w:tcPr>
            <w:tcW w:w="1278" w:type="dxa"/>
          </w:tcPr>
          <w:p w14:paraId="56116428"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7</w:t>
            </w:r>
          </w:p>
        </w:tc>
        <w:tc>
          <w:tcPr>
            <w:tcW w:w="1800" w:type="dxa"/>
          </w:tcPr>
          <w:p w14:paraId="743C2553"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17,8</w:t>
            </w:r>
          </w:p>
        </w:tc>
        <w:tc>
          <w:tcPr>
            <w:tcW w:w="1976" w:type="dxa"/>
          </w:tcPr>
          <w:p w14:paraId="4270D657"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273,2</w:t>
            </w:r>
          </w:p>
        </w:tc>
        <w:tc>
          <w:tcPr>
            <w:tcW w:w="1984" w:type="dxa"/>
          </w:tcPr>
          <w:p w14:paraId="7DDBA4BD"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12</w:t>
            </w:r>
          </w:p>
        </w:tc>
        <w:tc>
          <w:tcPr>
            <w:tcW w:w="1541" w:type="dxa"/>
          </w:tcPr>
          <w:p w14:paraId="6E4BDE65"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1</w:t>
            </w:r>
          </w:p>
        </w:tc>
      </w:tr>
      <w:tr w:rsidR="00FC43F2" w14:paraId="492D96CF" w14:textId="77777777" w:rsidTr="003A49DA">
        <w:trPr>
          <w:trHeight w:val="440"/>
        </w:trPr>
        <w:tc>
          <w:tcPr>
            <w:tcW w:w="1278" w:type="dxa"/>
          </w:tcPr>
          <w:p w14:paraId="5BB1FB90" w14:textId="77777777" w:rsidR="00FC43F2" w:rsidRPr="007E0F3E" w:rsidRDefault="00FC43F2" w:rsidP="003A49DA">
            <w:pPr>
              <w:pStyle w:val="ListParagraph"/>
              <w:ind w:left="0"/>
              <w:contextualSpacing w:val="0"/>
              <w:jc w:val="center"/>
              <w:rPr>
                <w:rFonts w:ascii="Arial" w:hAnsi="Arial" w:cs="Arial"/>
                <w:b/>
                <w:sz w:val="22"/>
                <w:lang w:val="es-ES"/>
              </w:rPr>
            </w:pPr>
            <w:r w:rsidRPr="007E0F3E">
              <w:rPr>
                <w:rFonts w:ascii="Arial" w:hAnsi="Arial" w:cs="Arial"/>
                <w:b/>
                <w:sz w:val="22"/>
                <w:lang w:val="es-ES"/>
              </w:rPr>
              <w:t>Total</w:t>
            </w:r>
          </w:p>
        </w:tc>
        <w:tc>
          <w:tcPr>
            <w:tcW w:w="1800" w:type="dxa"/>
          </w:tcPr>
          <w:p w14:paraId="560CB2BB" w14:textId="77777777" w:rsidR="00FC43F2" w:rsidRPr="007E0F3E" w:rsidRDefault="00FC43F2" w:rsidP="003A49DA">
            <w:pPr>
              <w:pStyle w:val="ListParagraph"/>
              <w:ind w:left="0"/>
              <w:contextualSpacing w:val="0"/>
              <w:jc w:val="center"/>
              <w:rPr>
                <w:rFonts w:ascii="Arial" w:hAnsi="Arial" w:cs="Arial"/>
                <w:b/>
                <w:sz w:val="22"/>
                <w:lang w:val="es-ES"/>
              </w:rPr>
            </w:pPr>
            <w:r w:rsidRPr="007E0F3E">
              <w:rPr>
                <w:rFonts w:ascii="Arial" w:hAnsi="Arial" w:cs="Arial"/>
                <w:b/>
                <w:sz w:val="22"/>
                <w:lang w:val="es-ES"/>
              </w:rPr>
              <w:t>358,2</w:t>
            </w:r>
          </w:p>
        </w:tc>
        <w:tc>
          <w:tcPr>
            <w:tcW w:w="1976" w:type="dxa"/>
          </w:tcPr>
          <w:p w14:paraId="40318D98" w14:textId="77777777" w:rsidR="00FC43F2" w:rsidRPr="007E0F3E" w:rsidRDefault="00FC43F2" w:rsidP="003A49DA">
            <w:pPr>
              <w:pStyle w:val="ListParagraph"/>
              <w:ind w:left="0"/>
              <w:contextualSpacing w:val="0"/>
              <w:jc w:val="center"/>
              <w:rPr>
                <w:rFonts w:ascii="Arial" w:hAnsi="Arial" w:cs="Arial"/>
                <w:b/>
                <w:sz w:val="22"/>
                <w:lang w:val="es-ES"/>
              </w:rPr>
            </w:pPr>
            <w:r>
              <w:rPr>
                <w:rFonts w:ascii="Arial" w:hAnsi="Arial" w:cs="Arial"/>
                <w:b/>
                <w:sz w:val="22"/>
                <w:lang w:val="es-ES"/>
              </w:rPr>
              <w:t>1.113,3</w:t>
            </w:r>
          </w:p>
        </w:tc>
        <w:tc>
          <w:tcPr>
            <w:tcW w:w="1984" w:type="dxa"/>
          </w:tcPr>
          <w:p w14:paraId="4811DC01" w14:textId="77777777" w:rsidR="00FC43F2" w:rsidRDefault="00FC43F2" w:rsidP="003A49DA">
            <w:pPr>
              <w:pStyle w:val="ListParagraph"/>
              <w:ind w:left="0"/>
              <w:contextualSpacing w:val="0"/>
              <w:jc w:val="center"/>
              <w:rPr>
                <w:rFonts w:ascii="Arial" w:hAnsi="Arial" w:cs="Arial"/>
                <w:sz w:val="22"/>
                <w:lang w:val="es-ES"/>
              </w:rPr>
            </w:pPr>
          </w:p>
        </w:tc>
        <w:tc>
          <w:tcPr>
            <w:tcW w:w="1541" w:type="dxa"/>
          </w:tcPr>
          <w:p w14:paraId="7031FFC2" w14:textId="77777777" w:rsidR="00FC43F2" w:rsidRDefault="00FC43F2" w:rsidP="003A49DA">
            <w:pPr>
              <w:pStyle w:val="ListParagraph"/>
              <w:ind w:left="0"/>
              <w:contextualSpacing w:val="0"/>
              <w:jc w:val="center"/>
              <w:rPr>
                <w:rFonts w:ascii="Arial" w:hAnsi="Arial" w:cs="Arial"/>
                <w:sz w:val="22"/>
                <w:lang w:val="es-ES"/>
              </w:rPr>
            </w:pPr>
            <w:r>
              <w:rPr>
                <w:rFonts w:ascii="Arial" w:hAnsi="Arial" w:cs="Arial"/>
                <w:sz w:val="22"/>
                <w:lang w:val="es-ES"/>
              </w:rPr>
              <w:t>17</w:t>
            </w:r>
          </w:p>
        </w:tc>
      </w:tr>
    </w:tbl>
    <w:p w14:paraId="74FF5B3D" w14:textId="77777777" w:rsidR="00FC43F2" w:rsidRPr="00AB368B" w:rsidRDefault="00FC43F2" w:rsidP="00FC43F2">
      <w:pPr>
        <w:pStyle w:val="ListParagraph"/>
        <w:contextualSpacing w:val="0"/>
        <w:rPr>
          <w:rFonts w:ascii="Arial" w:hAnsi="Arial" w:cs="Arial"/>
          <w:sz w:val="22"/>
          <w:lang w:val="es-ES"/>
        </w:rPr>
      </w:pPr>
      <w:r>
        <w:rPr>
          <w:rFonts w:ascii="Arial" w:hAnsi="Arial" w:cs="Arial"/>
          <w:sz w:val="22"/>
          <w:lang w:val="es-ES"/>
        </w:rPr>
        <w:t>Fuente: ENEE. Plan de Inversiones Mediano Plazo con Financiamiento del Operador-Inversionista de Distribución (EEH)</w:t>
      </w:r>
    </w:p>
    <w:p w14:paraId="035C1D6A" w14:textId="77777777" w:rsidR="00FC43F2" w:rsidRPr="00F86BB6" w:rsidRDefault="00FC43F2" w:rsidP="00FC43F2">
      <w:pPr>
        <w:pStyle w:val="ListParagraph"/>
        <w:numPr>
          <w:ilvl w:val="1"/>
          <w:numId w:val="29"/>
        </w:numPr>
        <w:ind w:left="720" w:hanging="720"/>
        <w:contextualSpacing w:val="0"/>
        <w:jc w:val="both"/>
        <w:rPr>
          <w:rFonts w:ascii="Arial" w:hAnsi="Arial" w:cs="Arial"/>
          <w:lang w:val="es-ES"/>
        </w:rPr>
      </w:pPr>
      <w:r w:rsidRPr="00F86BB6">
        <w:rPr>
          <w:rFonts w:ascii="Arial" w:hAnsi="Arial" w:cs="Arial"/>
          <w:lang w:val="es-ES"/>
        </w:rPr>
        <w:t>La</w:t>
      </w:r>
      <w:r>
        <w:rPr>
          <w:rFonts w:ascii="Arial" w:hAnsi="Arial" w:cs="Arial"/>
          <w:lang w:val="es-ES"/>
        </w:rPr>
        <w:t xml:space="preserve"> reducción de</w:t>
      </w:r>
      <w:r w:rsidRPr="00F86BB6">
        <w:rPr>
          <w:rFonts w:ascii="Arial" w:hAnsi="Arial" w:cs="Arial"/>
          <w:lang w:val="es-ES"/>
        </w:rPr>
        <w:t xml:space="preserve"> </w:t>
      </w:r>
      <w:r>
        <w:rPr>
          <w:rFonts w:ascii="Arial" w:hAnsi="Arial" w:cs="Arial"/>
          <w:lang w:val="es-ES"/>
        </w:rPr>
        <w:t>las pérdidas comerciales tiene</w:t>
      </w:r>
      <w:r w:rsidRPr="00F86BB6">
        <w:rPr>
          <w:rFonts w:ascii="Arial" w:hAnsi="Arial" w:cs="Arial"/>
          <w:lang w:val="es-ES"/>
        </w:rPr>
        <w:t xml:space="preserve"> dos tipos de beneficios:</w:t>
      </w:r>
    </w:p>
    <w:p w14:paraId="7FE10E7F" w14:textId="77777777" w:rsidR="00FC43F2" w:rsidRPr="005D17C7" w:rsidRDefault="00FC43F2" w:rsidP="00FC43F2">
      <w:pPr>
        <w:pStyle w:val="Bullet"/>
        <w:jc w:val="both"/>
        <w:rPr>
          <w:rFonts w:ascii="Arial" w:hAnsi="Arial" w:cs="Arial"/>
          <w:sz w:val="22"/>
          <w:lang w:val="es-ES"/>
        </w:rPr>
      </w:pPr>
      <w:r w:rsidRPr="005D17C7">
        <w:rPr>
          <w:rFonts w:ascii="Arial" w:hAnsi="Arial" w:cs="Arial"/>
          <w:sz w:val="22"/>
          <w:lang w:val="es-ES"/>
        </w:rPr>
        <w:t xml:space="preserve">Beneficios económicos asociados a la reacción de usuarios que tienen </w:t>
      </w:r>
      <w:r>
        <w:rPr>
          <w:rFonts w:ascii="Arial" w:hAnsi="Arial" w:cs="Arial"/>
          <w:sz w:val="22"/>
          <w:lang w:val="es-ES"/>
        </w:rPr>
        <w:t xml:space="preserve">ahora </w:t>
      </w:r>
      <w:r w:rsidRPr="005D17C7">
        <w:rPr>
          <w:rFonts w:ascii="Arial" w:hAnsi="Arial" w:cs="Arial"/>
          <w:sz w:val="22"/>
          <w:lang w:val="es-ES"/>
        </w:rPr>
        <w:t>que pagar por la energía consumida y por lo tanto reducen su consumo debido al efecto de elasticidad-precio. La reducción de las pérdidas no técnicas</w:t>
      </w:r>
      <w:r>
        <w:rPr>
          <w:rFonts w:ascii="Arial" w:hAnsi="Arial" w:cs="Arial"/>
          <w:sz w:val="22"/>
          <w:lang w:val="es-ES"/>
        </w:rPr>
        <w:t>,</w:t>
      </w:r>
      <w:r w:rsidRPr="005D17C7">
        <w:rPr>
          <w:rFonts w:ascii="Arial" w:hAnsi="Arial" w:cs="Arial"/>
          <w:sz w:val="22"/>
          <w:lang w:val="es-ES"/>
        </w:rPr>
        <w:t xml:space="preserve"> o comerciales</w:t>
      </w:r>
      <w:r>
        <w:rPr>
          <w:rFonts w:ascii="Arial" w:hAnsi="Arial" w:cs="Arial"/>
          <w:sz w:val="22"/>
          <w:lang w:val="es-ES"/>
        </w:rPr>
        <w:t>,</w:t>
      </w:r>
      <w:r w:rsidRPr="005D17C7">
        <w:rPr>
          <w:rFonts w:ascii="Arial" w:hAnsi="Arial" w:cs="Arial"/>
          <w:sz w:val="22"/>
          <w:lang w:val="es-ES"/>
        </w:rPr>
        <w:t xml:space="preserve"> se produce dada la normalización de clientes que no pagan por el servicio o que se les factura una cantidad menor de energía</w:t>
      </w:r>
      <w:r>
        <w:rPr>
          <w:rFonts w:ascii="Arial" w:hAnsi="Arial" w:cs="Arial"/>
          <w:sz w:val="22"/>
          <w:lang w:val="es-ES"/>
        </w:rPr>
        <w:t xml:space="preserve"> de la consumida</w:t>
      </w:r>
      <w:r w:rsidRPr="005D17C7">
        <w:rPr>
          <w:rFonts w:ascii="Arial" w:hAnsi="Arial" w:cs="Arial"/>
          <w:sz w:val="22"/>
          <w:lang w:val="es-ES"/>
        </w:rPr>
        <w:t>, por razones como falta de medición del consumo, conexión fraudulenta o por no estar incluidos en las bases de datos de la</w:t>
      </w:r>
      <w:r>
        <w:rPr>
          <w:rFonts w:ascii="Arial" w:hAnsi="Arial" w:cs="Arial"/>
          <w:sz w:val="22"/>
          <w:lang w:val="es-ES"/>
        </w:rPr>
        <w:t xml:space="preserve"> empresa</w:t>
      </w:r>
      <w:r w:rsidRPr="005D17C7">
        <w:rPr>
          <w:rFonts w:ascii="Arial" w:hAnsi="Arial" w:cs="Arial"/>
          <w:sz w:val="22"/>
          <w:lang w:val="es-ES"/>
        </w:rPr>
        <w:t xml:space="preserve">. Una vez la instalación de un </w:t>
      </w:r>
      <w:r w:rsidRPr="005D17C7">
        <w:rPr>
          <w:rFonts w:ascii="Arial" w:hAnsi="Arial" w:cs="Arial"/>
          <w:sz w:val="22"/>
          <w:lang w:val="es-ES"/>
        </w:rPr>
        <w:lastRenderedPageBreak/>
        <w:t>cliente es normalizada y el servicio es facturado correctamente</w:t>
      </w:r>
      <w:r>
        <w:rPr>
          <w:rFonts w:ascii="Arial" w:hAnsi="Arial" w:cs="Arial"/>
          <w:sz w:val="22"/>
          <w:lang w:val="es-ES"/>
        </w:rPr>
        <w:t>,</w:t>
      </w:r>
      <w:r w:rsidRPr="005D17C7">
        <w:rPr>
          <w:rFonts w:ascii="Arial" w:hAnsi="Arial" w:cs="Arial"/>
          <w:sz w:val="22"/>
          <w:lang w:val="es-ES"/>
        </w:rPr>
        <w:t xml:space="preserve"> se espera que el cliente reduzca su consumo frente a lo que solía consumir cuando no pagaba por el servicio. Se propone valorar estos beneficios como la ganancia neta</w:t>
      </w:r>
      <w:r>
        <w:rPr>
          <w:rFonts w:ascii="Arial" w:hAnsi="Arial" w:cs="Arial"/>
          <w:sz w:val="22"/>
          <w:lang w:val="es-ES"/>
        </w:rPr>
        <w:t>,</w:t>
      </w:r>
      <w:r w:rsidRPr="005D17C7">
        <w:rPr>
          <w:rFonts w:ascii="Arial" w:hAnsi="Arial" w:cs="Arial"/>
          <w:sz w:val="22"/>
          <w:lang w:val="es-ES"/>
        </w:rPr>
        <w:t xml:space="preserve"> teniendo en cuenta la variación del excedente del consumidor y el costo de generación ahorrado.</w:t>
      </w:r>
    </w:p>
    <w:p w14:paraId="77F617AB" w14:textId="77777777" w:rsidR="00FC43F2" w:rsidRPr="00F86BB6" w:rsidRDefault="00FC43F2" w:rsidP="00FC43F2">
      <w:pPr>
        <w:pStyle w:val="Bullet"/>
        <w:jc w:val="both"/>
        <w:rPr>
          <w:rFonts w:ascii="Arial" w:hAnsi="Arial" w:cs="Arial"/>
          <w:lang w:val="es-ES"/>
        </w:rPr>
      </w:pPr>
      <w:r w:rsidRPr="00F86BB6">
        <w:rPr>
          <w:rFonts w:ascii="Arial" w:hAnsi="Arial" w:cs="Arial"/>
          <w:lang w:val="es-ES"/>
        </w:rPr>
        <w:t xml:space="preserve">Beneficios financieros asociados con la transferencia del excedente del consumidor de los usuarios al productor, </w:t>
      </w:r>
      <w:r>
        <w:rPr>
          <w:rFonts w:ascii="Arial" w:hAnsi="Arial" w:cs="Arial"/>
          <w:lang w:val="es-ES"/>
        </w:rPr>
        <w:t>o</w:t>
      </w:r>
      <w:r w:rsidRPr="00F86BB6">
        <w:rPr>
          <w:rFonts w:ascii="Arial" w:hAnsi="Arial" w:cs="Arial"/>
          <w:lang w:val="es-ES"/>
        </w:rPr>
        <w:t xml:space="preserve"> recuperación de energía no facturada. Se propone valorar esta energía de acuerdo con la tarifa media de venta de la empresa, además del menor costo de generación.</w:t>
      </w:r>
    </w:p>
    <w:p w14:paraId="36F6ECF0" w14:textId="77777777" w:rsidR="00FC43F2" w:rsidRPr="00DA03D1" w:rsidRDefault="00FC43F2" w:rsidP="00FC43F2">
      <w:pPr>
        <w:pStyle w:val="ListParagraph"/>
        <w:numPr>
          <w:ilvl w:val="1"/>
          <w:numId w:val="29"/>
        </w:numPr>
        <w:ind w:left="720" w:hanging="720"/>
        <w:contextualSpacing w:val="0"/>
        <w:jc w:val="both"/>
        <w:rPr>
          <w:rFonts w:ascii="Arial" w:hAnsi="Arial" w:cs="Arial"/>
          <w:lang w:val="es-ES"/>
        </w:rPr>
      </w:pPr>
      <w:r w:rsidRPr="00F86BB6">
        <w:rPr>
          <w:rFonts w:ascii="Arial" w:hAnsi="Arial" w:cs="Arial"/>
          <w:lang w:val="es-ES"/>
        </w:rPr>
        <w:t>La metodología se ilustra en la Figura 1:</w:t>
      </w:r>
      <w:r w:rsidRPr="00DA03D1">
        <w:rPr>
          <w:rFonts w:ascii="Arial" w:hAnsi="Arial" w:cs="Arial"/>
          <w:b/>
          <w:sz w:val="22"/>
          <w:lang w:val="es-ES"/>
        </w:rPr>
        <w:t xml:space="preserve"> </w:t>
      </w:r>
    </w:p>
    <w:p w14:paraId="39EC89BB" w14:textId="77777777" w:rsidR="00FC43F2" w:rsidRDefault="00FC43F2" w:rsidP="00FC43F2">
      <w:pPr>
        <w:pStyle w:val="ListParagraph"/>
        <w:contextualSpacing w:val="0"/>
        <w:jc w:val="center"/>
        <w:rPr>
          <w:rFonts w:ascii="Arial" w:hAnsi="Arial" w:cs="Arial"/>
          <w:b/>
          <w:sz w:val="22"/>
          <w:lang w:val="es-ES"/>
        </w:rPr>
      </w:pPr>
    </w:p>
    <w:p w14:paraId="426C9CE8" w14:textId="77777777" w:rsidR="00FC43F2" w:rsidRPr="00F86BB6" w:rsidRDefault="00FC43F2" w:rsidP="00FC43F2">
      <w:pPr>
        <w:pStyle w:val="ListParagraph"/>
        <w:contextualSpacing w:val="0"/>
        <w:jc w:val="center"/>
        <w:rPr>
          <w:rFonts w:ascii="Arial" w:hAnsi="Arial" w:cs="Arial"/>
          <w:lang w:val="es-ES"/>
        </w:rPr>
      </w:pPr>
      <w:r w:rsidRPr="004E03BF">
        <w:rPr>
          <w:rFonts w:ascii="Arial" w:hAnsi="Arial" w:cs="Arial"/>
          <w:b/>
          <w:sz w:val="22"/>
          <w:lang w:val="es-ES"/>
        </w:rPr>
        <w:t>Figura 1—Curva de Demanda antes y después de medidas de reducción de pérdidas</w:t>
      </w:r>
    </w:p>
    <w:p w14:paraId="5BCC3F2E" w14:textId="77777777" w:rsidR="00FC43F2" w:rsidRDefault="00FC43F2" w:rsidP="00FC43F2">
      <w:pPr>
        <w:rPr>
          <w:lang w:val="es-ES"/>
        </w:rPr>
      </w:pPr>
      <w:r>
        <w:rPr>
          <w:noProof/>
        </w:rPr>
        <w:drawing>
          <wp:inline distT="0" distB="0" distL="0" distR="0" wp14:anchorId="438E005C" wp14:editId="39B099D2">
            <wp:extent cx="5600700" cy="2907938"/>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606467" cy="2910932"/>
                    </a:xfrm>
                    <a:prstGeom prst="rect">
                      <a:avLst/>
                    </a:prstGeom>
                    <a:noFill/>
                    <a:ln w="9525">
                      <a:noFill/>
                      <a:miter lim="800000"/>
                      <a:headEnd/>
                      <a:tailEnd/>
                    </a:ln>
                  </pic:spPr>
                </pic:pic>
              </a:graphicData>
            </a:graphic>
          </wp:inline>
        </w:drawing>
      </w:r>
    </w:p>
    <w:p w14:paraId="45A0ABD1" w14:textId="77777777" w:rsidR="00FC43F2" w:rsidRPr="006D5D4D" w:rsidRDefault="00FC43F2" w:rsidP="00FC43F2">
      <w:pPr>
        <w:pStyle w:val="ListParagraph"/>
        <w:numPr>
          <w:ilvl w:val="1"/>
          <w:numId w:val="29"/>
        </w:numPr>
        <w:spacing w:before="240"/>
        <w:ind w:left="720" w:hanging="720"/>
        <w:contextualSpacing w:val="0"/>
        <w:jc w:val="both"/>
        <w:rPr>
          <w:rFonts w:ascii="Arial" w:hAnsi="Arial" w:cs="Arial"/>
          <w:sz w:val="22"/>
          <w:lang w:val="es-ES"/>
        </w:rPr>
      </w:pPr>
      <w:r w:rsidRPr="006D5D4D">
        <w:rPr>
          <w:rFonts w:ascii="Arial" w:hAnsi="Arial" w:cs="Arial"/>
          <w:sz w:val="22"/>
          <w:lang w:val="es-ES"/>
        </w:rPr>
        <w:t>El punto de consumo inicial es (P</w:t>
      </w:r>
      <w:r w:rsidRPr="006D5D4D">
        <w:rPr>
          <w:rFonts w:ascii="Arial" w:hAnsi="Arial" w:cs="Arial"/>
          <w:sz w:val="22"/>
          <w:vertAlign w:val="subscript"/>
          <w:lang w:val="es-ES"/>
        </w:rPr>
        <w:t>0</w:t>
      </w:r>
      <w:r w:rsidRPr="006D5D4D">
        <w:rPr>
          <w:rFonts w:ascii="Arial" w:hAnsi="Arial" w:cs="Arial"/>
          <w:sz w:val="22"/>
          <w:lang w:val="es-ES"/>
        </w:rPr>
        <w:t>, Q</w:t>
      </w:r>
      <w:r w:rsidRPr="006D5D4D">
        <w:rPr>
          <w:rFonts w:ascii="Arial" w:hAnsi="Arial" w:cs="Arial"/>
          <w:sz w:val="22"/>
          <w:vertAlign w:val="subscript"/>
          <w:lang w:val="es-ES"/>
        </w:rPr>
        <w:t>0</w:t>
      </w:r>
      <w:r w:rsidRPr="006D5D4D">
        <w:rPr>
          <w:rFonts w:ascii="Arial" w:hAnsi="Arial" w:cs="Arial"/>
          <w:sz w:val="22"/>
          <w:lang w:val="es-ES"/>
        </w:rPr>
        <w:t>), con precio bajo y consumo alto. Al recuperar las pérdidas comerciales, el nuevo punto de consumo es (P</w:t>
      </w:r>
      <w:r w:rsidRPr="006D5D4D">
        <w:rPr>
          <w:rFonts w:ascii="Arial" w:hAnsi="Arial" w:cs="Arial"/>
          <w:sz w:val="22"/>
          <w:vertAlign w:val="subscript"/>
          <w:lang w:val="es-ES"/>
        </w:rPr>
        <w:t>1</w:t>
      </w:r>
      <w:r w:rsidRPr="006D5D4D">
        <w:rPr>
          <w:rFonts w:ascii="Arial" w:hAnsi="Arial" w:cs="Arial"/>
          <w:sz w:val="22"/>
          <w:lang w:val="es-ES"/>
        </w:rPr>
        <w:t>, Q</w:t>
      </w:r>
      <w:r w:rsidRPr="006D5D4D">
        <w:rPr>
          <w:rFonts w:ascii="Arial" w:hAnsi="Arial" w:cs="Arial"/>
          <w:sz w:val="22"/>
          <w:vertAlign w:val="subscript"/>
          <w:lang w:val="es-ES"/>
        </w:rPr>
        <w:t>1</w:t>
      </w:r>
      <w:r w:rsidRPr="006D5D4D">
        <w:rPr>
          <w:rFonts w:ascii="Arial" w:hAnsi="Arial" w:cs="Arial"/>
          <w:sz w:val="22"/>
          <w:lang w:val="es-ES"/>
        </w:rPr>
        <w:t xml:space="preserve">), resultante de la mayor facturación al consumidor.  </w:t>
      </w:r>
    </w:p>
    <w:p w14:paraId="3FEC3E2D" w14:textId="77777777" w:rsidR="00FC43F2" w:rsidRPr="006D5D4D" w:rsidRDefault="00FC43F2" w:rsidP="00FC43F2">
      <w:pPr>
        <w:pStyle w:val="ListParagraph"/>
        <w:numPr>
          <w:ilvl w:val="1"/>
          <w:numId w:val="29"/>
        </w:numPr>
        <w:ind w:left="720" w:hanging="720"/>
        <w:contextualSpacing w:val="0"/>
        <w:jc w:val="both"/>
        <w:rPr>
          <w:rFonts w:ascii="Arial" w:hAnsi="Arial" w:cs="Arial"/>
          <w:sz w:val="22"/>
          <w:lang w:val="es-ES"/>
        </w:rPr>
      </w:pPr>
      <w:r w:rsidRPr="006D5D4D">
        <w:rPr>
          <w:rFonts w:ascii="Arial" w:hAnsi="Arial" w:cs="Arial"/>
          <w:sz w:val="22"/>
          <w:lang w:val="es-ES"/>
        </w:rPr>
        <w:t>Desde el punto de vista económico, en el proceso ocurre:</w:t>
      </w:r>
    </w:p>
    <w:p w14:paraId="651A289A" w14:textId="77777777" w:rsidR="00FC43F2" w:rsidRPr="006D5D4D" w:rsidRDefault="00FC43F2" w:rsidP="00FC43F2">
      <w:pPr>
        <w:pStyle w:val="Bullet"/>
        <w:rPr>
          <w:rFonts w:ascii="Arial" w:hAnsi="Arial" w:cs="Arial"/>
          <w:sz w:val="22"/>
          <w:lang w:val="es-ES"/>
        </w:rPr>
      </w:pPr>
      <w:r w:rsidRPr="006D5D4D">
        <w:rPr>
          <w:rFonts w:ascii="Arial" w:hAnsi="Arial" w:cs="Arial"/>
          <w:sz w:val="22"/>
          <w:lang w:val="es-ES"/>
        </w:rPr>
        <w:t>El excedente del consumidor se reduce por un valor igual al área D;</w:t>
      </w:r>
    </w:p>
    <w:p w14:paraId="37947722" w14:textId="77777777" w:rsidR="00FC43F2" w:rsidRPr="006D5D4D" w:rsidRDefault="00FC43F2" w:rsidP="00FC43F2">
      <w:pPr>
        <w:pStyle w:val="Bullet"/>
        <w:rPr>
          <w:rFonts w:ascii="Arial" w:hAnsi="Arial" w:cs="Arial"/>
          <w:sz w:val="22"/>
          <w:lang w:val="es-ES"/>
        </w:rPr>
      </w:pPr>
      <w:r w:rsidRPr="006D5D4D">
        <w:rPr>
          <w:rFonts w:ascii="Arial" w:hAnsi="Arial" w:cs="Arial"/>
          <w:sz w:val="22"/>
          <w:lang w:val="es-ES"/>
        </w:rPr>
        <w:t>El productor ahorra la totalidad del costo para suministrar el consumo Q</w:t>
      </w:r>
      <w:r w:rsidRPr="006D5D4D">
        <w:rPr>
          <w:rFonts w:ascii="Arial" w:hAnsi="Arial" w:cs="Arial"/>
          <w:sz w:val="22"/>
          <w:vertAlign w:val="subscript"/>
          <w:lang w:val="es-ES"/>
        </w:rPr>
        <w:t>0</w:t>
      </w:r>
      <w:r w:rsidRPr="006D5D4D">
        <w:rPr>
          <w:rFonts w:ascii="Arial" w:hAnsi="Arial" w:cs="Arial"/>
          <w:sz w:val="22"/>
          <w:lang w:val="es-ES"/>
        </w:rPr>
        <w:t>-Q</w:t>
      </w:r>
      <w:r w:rsidRPr="006D5D4D">
        <w:rPr>
          <w:rFonts w:ascii="Arial" w:hAnsi="Arial" w:cs="Arial"/>
          <w:sz w:val="22"/>
          <w:vertAlign w:val="subscript"/>
          <w:lang w:val="es-ES"/>
        </w:rPr>
        <w:t>1</w:t>
      </w:r>
      <w:r w:rsidRPr="006D5D4D">
        <w:rPr>
          <w:rFonts w:ascii="Arial" w:hAnsi="Arial" w:cs="Arial"/>
          <w:sz w:val="22"/>
          <w:lang w:val="es-ES"/>
        </w:rPr>
        <w:t>, equivalente al área E+D+G.  Como el consumidor estaba pagando el área G, el ahorro del productor es D+E;</w:t>
      </w:r>
    </w:p>
    <w:p w14:paraId="55AB2F5D" w14:textId="77777777" w:rsidR="00FC43F2" w:rsidRPr="006D5D4D" w:rsidRDefault="00FC43F2" w:rsidP="00FC43F2">
      <w:pPr>
        <w:pStyle w:val="Bullet"/>
        <w:rPr>
          <w:rFonts w:ascii="Arial" w:hAnsi="Arial" w:cs="Arial"/>
          <w:sz w:val="22"/>
          <w:lang w:val="es-ES"/>
        </w:rPr>
      </w:pPr>
      <w:r w:rsidRPr="006D5D4D">
        <w:rPr>
          <w:rFonts w:ascii="Arial" w:hAnsi="Arial" w:cs="Arial"/>
          <w:sz w:val="22"/>
          <w:lang w:val="es-ES"/>
        </w:rPr>
        <w:t>El bienestar neto total recuperado es por lo tanto D+E-D= Área E.  Esto constituye el beneficio económico de la reducción de pérdidas.</w:t>
      </w:r>
    </w:p>
    <w:p w14:paraId="2344DEB9" w14:textId="77777777" w:rsidR="00FC43F2" w:rsidRPr="006D5D4D" w:rsidRDefault="00FC43F2" w:rsidP="00FC43F2">
      <w:pPr>
        <w:pStyle w:val="ListParagraph"/>
        <w:numPr>
          <w:ilvl w:val="1"/>
          <w:numId w:val="29"/>
        </w:numPr>
        <w:ind w:left="720" w:hanging="720"/>
        <w:contextualSpacing w:val="0"/>
        <w:jc w:val="both"/>
        <w:rPr>
          <w:rFonts w:ascii="Arial" w:hAnsi="Arial" w:cs="Arial"/>
          <w:sz w:val="22"/>
          <w:lang w:val="es-ES"/>
        </w:rPr>
      </w:pPr>
      <w:r w:rsidRPr="006D5D4D">
        <w:rPr>
          <w:rFonts w:ascii="Arial" w:hAnsi="Arial" w:cs="Arial"/>
          <w:sz w:val="22"/>
          <w:lang w:val="es-ES"/>
        </w:rPr>
        <w:t>Desde el punto de vista financiero:</w:t>
      </w:r>
    </w:p>
    <w:p w14:paraId="2421342E" w14:textId="77777777" w:rsidR="00FC43F2" w:rsidRPr="006D5D4D" w:rsidRDefault="00FC43F2" w:rsidP="00FC43F2">
      <w:pPr>
        <w:pStyle w:val="Bullet"/>
        <w:rPr>
          <w:rFonts w:ascii="Arial" w:hAnsi="Arial" w:cs="Arial"/>
          <w:sz w:val="22"/>
          <w:lang w:val="es-ES"/>
        </w:rPr>
      </w:pPr>
      <w:r w:rsidRPr="006D5D4D">
        <w:rPr>
          <w:rFonts w:ascii="Arial" w:hAnsi="Arial" w:cs="Arial"/>
          <w:sz w:val="22"/>
          <w:lang w:val="es-ES"/>
        </w:rPr>
        <w:t xml:space="preserve">El productor ahorra las áreas D+E por el menor consumo; </w:t>
      </w:r>
    </w:p>
    <w:p w14:paraId="28DB7B70" w14:textId="77777777" w:rsidR="00FC43F2" w:rsidRPr="006D5D4D" w:rsidRDefault="00FC43F2" w:rsidP="00FC43F2">
      <w:pPr>
        <w:pStyle w:val="Bullet"/>
        <w:rPr>
          <w:rFonts w:ascii="Arial" w:hAnsi="Arial" w:cs="Arial"/>
          <w:sz w:val="22"/>
          <w:lang w:val="es-ES"/>
        </w:rPr>
      </w:pPr>
      <w:r w:rsidRPr="006D5D4D">
        <w:rPr>
          <w:rFonts w:ascii="Arial" w:hAnsi="Arial" w:cs="Arial"/>
          <w:sz w:val="22"/>
          <w:lang w:val="es-ES"/>
        </w:rPr>
        <w:lastRenderedPageBreak/>
        <w:t>Los consumidores pagan ahora el área C +F, de la cual antes no pagaban C;</w:t>
      </w:r>
    </w:p>
    <w:p w14:paraId="071B5068" w14:textId="77777777" w:rsidR="00FC43F2" w:rsidRPr="006D5D4D" w:rsidRDefault="00FC43F2" w:rsidP="00FC43F2">
      <w:pPr>
        <w:pStyle w:val="Bullet"/>
        <w:rPr>
          <w:rFonts w:ascii="Arial" w:hAnsi="Arial" w:cs="Arial"/>
          <w:sz w:val="22"/>
          <w:lang w:val="es-ES"/>
        </w:rPr>
      </w:pPr>
      <w:r>
        <w:rPr>
          <w:rFonts w:ascii="Arial" w:hAnsi="Arial" w:cs="Arial"/>
          <w:sz w:val="22"/>
          <w:lang w:val="es-ES"/>
        </w:rPr>
        <w:t>El</w:t>
      </w:r>
      <w:r w:rsidRPr="006D5D4D">
        <w:rPr>
          <w:rFonts w:ascii="Arial" w:hAnsi="Arial" w:cs="Arial"/>
          <w:sz w:val="22"/>
          <w:lang w:val="es-ES"/>
        </w:rPr>
        <w:t xml:space="preserve"> beneficio financiero total de la reducción de pérdidas está dado por el área C+E+D-G.</w:t>
      </w:r>
    </w:p>
    <w:p w14:paraId="3DE85BA8" w14:textId="77777777" w:rsidR="00FC43F2" w:rsidRPr="004864D2" w:rsidRDefault="00FC43F2" w:rsidP="00FC43F2">
      <w:pPr>
        <w:pStyle w:val="ListParagraph"/>
        <w:numPr>
          <w:ilvl w:val="1"/>
          <w:numId w:val="29"/>
        </w:numPr>
        <w:spacing w:before="240"/>
        <w:ind w:left="720" w:hanging="720"/>
        <w:contextualSpacing w:val="0"/>
        <w:jc w:val="both"/>
        <w:rPr>
          <w:rFonts w:ascii="Arial" w:hAnsi="Arial" w:cs="Arial"/>
          <w:sz w:val="22"/>
          <w:lang w:val="es-ES"/>
        </w:rPr>
      </w:pPr>
      <w:r w:rsidRPr="00B208A1">
        <w:rPr>
          <w:rFonts w:ascii="Arial" w:hAnsi="Arial" w:cs="Arial"/>
          <w:sz w:val="22"/>
          <w:lang w:val="es-ES"/>
        </w:rPr>
        <w:t xml:space="preserve">Ante un incremento en precio resultante de un cobro por consumo que antes no era facturado, el usuario ajusta su consumo, reduciéndolo al nivel correspondiente a ese nuevo precio que enfrenta con la facturación.  Para la empresa prestadora del servicio, esta alza en el precio resultante del cobro por nueva facturación de energía que estaba suministrando sin cobro, representa una recuperación financiera total del valor del volumen que antes no era cobrado, en parte por un ahorro en costos de la porción que ya no se consume, y en parte por el pago de lo ahora facturado. </w:t>
      </w:r>
      <w:r>
        <w:rPr>
          <w:rFonts w:ascii="Arial" w:hAnsi="Arial" w:cs="Arial"/>
          <w:sz w:val="22"/>
          <w:lang w:val="es-ES"/>
        </w:rPr>
        <w:t>Los</w:t>
      </w:r>
      <w:r w:rsidRPr="004864D2">
        <w:rPr>
          <w:rFonts w:ascii="Arial" w:hAnsi="Arial" w:cs="Arial"/>
          <w:sz w:val="22"/>
          <w:lang w:val="es-ES"/>
        </w:rPr>
        <w:t xml:space="preserve"> beneficios anotados se generan aunque el costo de suministro esté todavía por encima de la tarifa P</w:t>
      </w:r>
      <w:r w:rsidRPr="004864D2">
        <w:rPr>
          <w:rFonts w:ascii="Arial" w:hAnsi="Arial" w:cs="Arial"/>
          <w:sz w:val="22"/>
          <w:vertAlign w:val="subscript"/>
          <w:lang w:val="es-ES"/>
        </w:rPr>
        <w:t>1</w:t>
      </w:r>
      <w:r w:rsidRPr="004864D2">
        <w:rPr>
          <w:rFonts w:ascii="Arial" w:hAnsi="Arial" w:cs="Arial"/>
          <w:sz w:val="22"/>
          <w:lang w:val="es-ES"/>
        </w:rPr>
        <w:t>.</w:t>
      </w:r>
    </w:p>
    <w:p w14:paraId="16110683" w14:textId="77777777" w:rsidR="00FC43F2" w:rsidRDefault="00FC43F2" w:rsidP="00FC43F2">
      <w:pPr>
        <w:pStyle w:val="ListParagraph"/>
        <w:numPr>
          <w:ilvl w:val="1"/>
          <w:numId w:val="29"/>
        </w:numPr>
        <w:spacing w:before="240" w:after="240"/>
        <w:ind w:left="720" w:hanging="720"/>
        <w:contextualSpacing w:val="0"/>
        <w:jc w:val="both"/>
        <w:rPr>
          <w:rFonts w:ascii="Arial" w:hAnsi="Arial" w:cs="Arial"/>
          <w:sz w:val="22"/>
          <w:lang w:val="es-ES"/>
        </w:rPr>
      </w:pPr>
      <w:r w:rsidRPr="004864D2">
        <w:rPr>
          <w:rFonts w:ascii="Arial" w:hAnsi="Arial" w:cs="Arial"/>
          <w:b/>
          <w:sz w:val="22"/>
          <w:lang w:val="es-ES"/>
        </w:rPr>
        <w:t>Beneficios económicos y financieros</w:t>
      </w:r>
      <w:r w:rsidRPr="004864D2">
        <w:rPr>
          <w:rFonts w:ascii="Arial" w:hAnsi="Arial" w:cs="Arial"/>
          <w:sz w:val="22"/>
          <w:lang w:val="es-ES"/>
        </w:rPr>
        <w:t xml:space="preserve"> Los beneficios económicos de las medidas de reducción de pérdidas medidos de acuerdo con la metodología indicada en el punto anterior, arrojan los valores</w:t>
      </w:r>
      <w:r>
        <w:rPr>
          <w:rFonts w:ascii="Arial" w:hAnsi="Arial" w:cs="Arial"/>
          <w:sz w:val="22"/>
          <w:lang w:val="es-ES"/>
        </w:rPr>
        <w:t xml:space="preserve"> mostrados en el Cuadro 3. </w:t>
      </w:r>
      <w:r w:rsidRPr="00B9598E">
        <w:rPr>
          <w:rFonts w:ascii="Arial" w:hAnsi="Arial" w:cs="Arial"/>
          <w:sz w:val="22"/>
          <w:lang w:val="es-ES"/>
        </w:rPr>
        <w:t>Los flujos de beneficios se construyen proyectando la generación total estimada por ENEE, con sus propios supuestos de crecimiento.  Se les aplica el porcentaje de pérdidas proyectadas, establecidas como meta en sus planes de inversión y de gestión de la distribución eléctrica.  Con estos datos y la elasticidad estimada para la industria (-0,4),</w:t>
      </w:r>
      <w:r>
        <w:rPr>
          <w:rStyle w:val="FootnoteReference"/>
          <w:rFonts w:ascii="Arial" w:hAnsi="Arial" w:cs="Arial"/>
          <w:sz w:val="22"/>
          <w:lang w:val="es-ES"/>
        </w:rPr>
        <w:footnoteReference w:id="4"/>
      </w:r>
      <w:r w:rsidRPr="00B9598E">
        <w:rPr>
          <w:rFonts w:ascii="Arial" w:hAnsi="Arial" w:cs="Arial"/>
          <w:sz w:val="22"/>
          <w:lang w:val="es-ES"/>
        </w:rPr>
        <w:t xml:space="preserve"> se estiman los desplazamientos de precios y cantidades demandadas.  Para la evaluación económica se calcula el valor equivalente al área E de la Figura 1 como beneficio. </w:t>
      </w:r>
    </w:p>
    <w:p w14:paraId="26339832" w14:textId="77777777" w:rsidR="00FC43F2" w:rsidRDefault="00FC43F2" w:rsidP="00FC43F2">
      <w:pPr>
        <w:pStyle w:val="ListParagraph"/>
        <w:ind w:left="-540" w:hanging="720"/>
        <w:contextualSpacing w:val="0"/>
        <w:jc w:val="center"/>
        <w:rPr>
          <w:lang w:val="es-US"/>
        </w:rPr>
      </w:pPr>
      <w:r w:rsidRPr="003133C3">
        <w:rPr>
          <w:rFonts w:ascii="Arial" w:hAnsi="Arial" w:cs="Arial"/>
          <w:b/>
          <w:sz w:val="20"/>
          <w:szCs w:val="20"/>
          <w:lang w:val="es-ES"/>
        </w:rPr>
        <w:t xml:space="preserve">Cuadro </w:t>
      </w:r>
      <w:r>
        <w:rPr>
          <w:rFonts w:ascii="Arial" w:hAnsi="Arial" w:cs="Arial"/>
          <w:b/>
          <w:sz w:val="20"/>
          <w:szCs w:val="20"/>
          <w:lang w:val="es-ES"/>
        </w:rPr>
        <w:t>3</w:t>
      </w:r>
      <w:r w:rsidRPr="003133C3">
        <w:rPr>
          <w:rFonts w:ascii="Arial" w:hAnsi="Arial" w:cs="Arial"/>
          <w:b/>
          <w:sz w:val="20"/>
          <w:szCs w:val="20"/>
          <w:lang w:val="es-ES"/>
        </w:rPr>
        <w:t xml:space="preserve"> – Evaluación </w:t>
      </w:r>
      <w:r>
        <w:rPr>
          <w:rFonts w:ascii="Arial" w:hAnsi="Arial" w:cs="Arial"/>
          <w:b/>
          <w:sz w:val="20"/>
          <w:szCs w:val="20"/>
          <w:lang w:val="es-ES"/>
        </w:rPr>
        <w:t>Económica</w:t>
      </w:r>
      <w:r w:rsidRPr="003133C3">
        <w:rPr>
          <w:rFonts w:ascii="Arial" w:hAnsi="Arial" w:cs="Arial"/>
          <w:b/>
          <w:sz w:val="20"/>
          <w:szCs w:val="20"/>
          <w:lang w:val="es-ES"/>
        </w:rPr>
        <w:t xml:space="preserve"> –</w:t>
      </w:r>
      <w:r>
        <w:rPr>
          <w:rFonts w:ascii="Arial" w:hAnsi="Arial" w:cs="Arial"/>
          <w:b/>
          <w:sz w:val="20"/>
          <w:szCs w:val="20"/>
          <w:lang w:val="es-ES"/>
        </w:rPr>
        <w:t xml:space="preserve"> Reducción de Pérdidas</w:t>
      </w:r>
      <w:r w:rsidRPr="003133C3">
        <w:rPr>
          <w:rFonts w:ascii="Arial" w:hAnsi="Arial" w:cs="Arial"/>
          <w:b/>
          <w:sz w:val="20"/>
          <w:szCs w:val="20"/>
          <w:lang w:val="es-ES"/>
        </w:rPr>
        <w:t xml:space="preserve"> Caso </w:t>
      </w:r>
      <w:r>
        <w:rPr>
          <w:rFonts w:ascii="Arial" w:hAnsi="Arial" w:cs="Arial"/>
          <w:b/>
          <w:sz w:val="20"/>
          <w:szCs w:val="20"/>
          <w:lang w:val="es-ES"/>
        </w:rPr>
        <w:t>B</w:t>
      </w:r>
      <w:r w:rsidRPr="003133C3">
        <w:rPr>
          <w:rFonts w:ascii="Arial" w:hAnsi="Arial" w:cs="Arial"/>
          <w:b/>
          <w:sz w:val="20"/>
          <w:szCs w:val="20"/>
          <w:lang w:val="es-ES"/>
        </w:rPr>
        <w:t>ase</w:t>
      </w:r>
    </w:p>
    <w:p w14:paraId="24629061" w14:textId="77777777" w:rsidR="00FC43F2" w:rsidRPr="003133C3" w:rsidRDefault="00FC43F2" w:rsidP="00FC43F2">
      <w:pPr>
        <w:pStyle w:val="ListParagraph"/>
        <w:ind w:left="-540" w:hanging="270"/>
        <w:contextualSpacing w:val="0"/>
        <w:jc w:val="center"/>
        <w:rPr>
          <w:rFonts w:ascii="Arial" w:hAnsi="Arial" w:cs="Arial"/>
          <w:b/>
          <w:sz w:val="20"/>
          <w:szCs w:val="20"/>
          <w:lang w:val="es-ES"/>
        </w:rPr>
      </w:pPr>
      <w:r w:rsidRPr="002C6FDC">
        <w:rPr>
          <w:noProof/>
        </w:rPr>
        <w:lastRenderedPageBreak/>
        <w:drawing>
          <wp:inline distT="0" distB="0" distL="0" distR="0" wp14:anchorId="4709E34E" wp14:editId="61621541">
            <wp:extent cx="7023960" cy="3206663"/>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70081" cy="3227719"/>
                    </a:xfrm>
                    <a:prstGeom prst="rect">
                      <a:avLst/>
                    </a:prstGeom>
                    <a:noFill/>
                    <a:ln>
                      <a:noFill/>
                    </a:ln>
                  </pic:spPr>
                </pic:pic>
              </a:graphicData>
            </a:graphic>
          </wp:inline>
        </w:drawing>
      </w:r>
    </w:p>
    <w:p w14:paraId="7449A763" w14:textId="77777777" w:rsidR="00FC43F2" w:rsidRDefault="00FC43F2" w:rsidP="00FC43F2">
      <w:pPr>
        <w:pStyle w:val="ListParagraph"/>
        <w:numPr>
          <w:ilvl w:val="1"/>
          <w:numId w:val="29"/>
        </w:numPr>
        <w:spacing w:before="240" w:after="240"/>
        <w:ind w:left="720" w:hanging="720"/>
        <w:contextualSpacing w:val="0"/>
        <w:jc w:val="both"/>
        <w:rPr>
          <w:rFonts w:ascii="Arial" w:hAnsi="Arial" w:cs="Arial"/>
          <w:sz w:val="22"/>
          <w:lang w:val="es-ES"/>
        </w:rPr>
      </w:pPr>
      <w:r w:rsidRPr="002A7BBE">
        <w:rPr>
          <w:rFonts w:ascii="Arial" w:hAnsi="Arial" w:cs="Arial"/>
          <w:sz w:val="22"/>
          <w:lang w:val="es-ES"/>
        </w:rPr>
        <w:t>De manera semejante se obtienen los beneficios financieros de la reducción de pérdidas</w:t>
      </w:r>
      <w:r>
        <w:rPr>
          <w:rFonts w:ascii="Arial" w:hAnsi="Arial" w:cs="Arial"/>
          <w:sz w:val="22"/>
          <w:lang w:val="es-ES"/>
        </w:rPr>
        <w:t xml:space="preserve">, mostrados en el Cuadro 4. </w:t>
      </w:r>
      <w:r w:rsidRPr="00B9598E">
        <w:rPr>
          <w:rFonts w:ascii="Arial" w:hAnsi="Arial" w:cs="Arial"/>
          <w:sz w:val="22"/>
          <w:lang w:val="es-ES"/>
        </w:rPr>
        <w:t>Para la evaluación financiera se calcula como beneficio, el valor equivalente al área C+E+D</w:t>
      </w:r>
      <w:r>
        <w:rPr>
          <w:rFonts w:ascii="Arial" w:hAnsi="Arial" w:cs="Arial"/>
          <w:sz w:val="22"/>
          <w:lang w:val="es-ES"/>
        </w:rPr>
        <w:t>-</w:t>
      </w:r>
      <w:r w:rsidRPr="00B9598E">
        <w:rPr>
          <w:rFonts w:ascii="Arial" w:hAnsi="Arial" w:cs="Arial"/>
          <w:sz w:val="22"/>
          <w:lang w:val="es-ES"/>
        </w:rPr>
        <w:t>G en la Figura 1.</w:t>
      </w:r>
    </w:p>
    <w:p w14:paraId="48A76C1D" w14:textId="77777777" w:rsidR="00FC43F2" w:rsidRDefault="00FC43F2" w:rsidP="00FC43F2">
      <w:pPr>
        <w:spacing w:before="240" w:after="240"/>
        <w:jc w:val="both"/>
        <w:rPr>
          <w:rFonts w:ascii="Arial" w:hAnsi="Arial" w:cs="Arial"/>
          <w:sz w:val="22"/>
          <w:lang w:val="es-ES"/>
        </w:rPr>
      </w:pPr>
    </w:p>
    <w:p w14:paraId="59EB64C8" w14:textId="77777777" w:rsidR="00FC43F2" w:rsidRPr="00B9598E" w:rsidRDefault="00FC43F2" w:rsidP="00FC43F2">
      <w:pPr>
        <w:spacing w:before="240" w:after="240"/>
        <w:jc w:val="both"/>
        <w:rPr>
          <w:rFonts w:ascii="Arial" w:hAnsi="Arial" w:cs="Arial"/>
          <w:sz w:val="22"/>
          <w:lang w:val="es-ES"/>
        </w:rPr>
      </w:pPr>
    </w:p>
    <w:p w14:paraId="36863B1A" w14:textId="77777777" w:rsidR="00FC43F2" w:rsidRPr="003133C3" w:rsidRDefault="00FC43F2" w:rsidP="00FC43F2">
      <w:pPr>
        <w:pStyle w:val="ListParagraph"/>
        <w:contextualSpacing w:val="0"/>
        <w:jc w:val="center"/>
        <w:rPr>
          <w:rFonts w:ascii="Arial" w:hAnsi="Arial" w:cs="Arial"/>
          <w:b/>
          <w:sz w:val="20"/>
          <w:szCs w:val="20"/>
          <w:lang w:val="es-ES"/>
        </w:rPr>
      </w:pPr>
      <w:r>
        <w:rPr>
          <w:rFonts w:ascii="Arial" w:hAnsi="Arial" w:cs="Arial"/>
          <w:b/>
          <w:sz w:val="20"/>
          <w:szCs w:val="20"/>
          <w:lang w:val="es-ES"/>
        </w:rPr>
        <w:t>Cuadro 4</w:t>
      </w:r>
      <w:r w:rsidRPr="003133C3">
        <w:rPr>
          <w:rFonts w:ascii="Arial" w:hAnsi="Arial" w:cs="Arial"/>
          <w:b/>
          <w:sz w:val="20"/>
          <w:szCs w:val="20"/>
          <w:lang w:val="es-ES"/>
        </w:rPr>
        <w:t xml:space="preserve"> – Evaluación Financiera – </w:t>
      </w:r>
      <w:r w:rsidRPr="00B42B5A">
        <w:rPr>
          <w:rFonts w:ascii="Arial" w:hAnsi="Arial" w:cs="Arial"/>
          <w:b/>
          <w:sz w:val="20"/>
          <w:szCs w:val="20"/>
          <w:lang w:val="es-ES"/>
        </w:rPr>
        <w:t xml:space="preserve">Reducción de Pérdidas </w:t>
      </w:r>
      <w:r w:rsidRPr="003133C3">
        <w:rPr>
          <w:rFonts w:ascii="Arial" w:hAnsi="Arial" w:cs="Arial"/>
          <w:b/>
          <w:sz w:val="20"/>
          <w:szCs w:val="20"/>
          <w:lang w:val="es-ES"/>
        </w:rPr>
        <w:t xml:space="preserve">Caso </w:t>
      </w:r>
      <w:r>
        <w:rPr>
          <w:rFonts w:ascii="Arial" w:hAnsi="Arial" w:cs="Arial"/>
          <w:b/>
          <w:sz w:val="20"/>
          <w:szCs w:val="20"/>
          <w:lang w:val="es-ES"/>
        </w:rPr>
        <w:t>B</w:t>
      </w:r>
      <w:r w:rsidRPr="003133C3">
        <w:rPr>
          <w:rFonts w:ascii="Arial" w:hAnsi="Arial" w:cs="Arial"/>
          <w:b/>
          <w:sz w:val="20"/>
          <w:szCs w:val="20"/>
          <w:lang w:val="es-ES"/>
        </w:rPr>
        <w:t>ase</w:t>
      </w:r>
    </w:p>
    <w:p w14:paraId="5696243E" w14:textId="77777777" w:rsidR="00FC43F2" w:rsidRPr="002A7BBE" w:rsidRDefault="00FC43F2" w:rsidP="00FC43F2">
      <w:pPr>
        <w:pStyle w:val="ListParagraph"/>
        <w:ind w:left="-450" w:hanging="810"/>
        <w:contextualSpacing w:val="0"/>
        <w:jc w:val="both"/>
        <w:rPr>
          <w:rFonts w:ascii="Arial" w:hAnsi="Arial" w:cs="Arial"/>
          <w:sz w:val="22"/>
          <w:lang w:val="es-ES"/>
        </w:rPr>
      </w:pPr>
      <w:r w:rsidRPr="00A47511">
        <w:rPr>
          <w:noProof/>
        </w:rPr>
        <w:drawing>
          <wp:inline distT="0" distB="0" distL="0" distR="0" wp14:anchorId="0AD64A5D" wp14:editId="59EF8CE7">
            <wp:extent cx="7342701" cy="2906038"/>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04808" cy="2930618"/>
                    </a:xfrm>
                    <a:prstGeom prst="rect">
                      <a:avLst/>
                    </a:prstGeom>
                    <a:noFill/>
                    <a:ln>
                      <a:noFill/>
                    </a:ln>
                  </pic:spPr>
                </pic:pic>
              </a:graphicData>
            </a:graphic>
          </wp:inline>
        </w:drawing>
      </w:r>
    </w:p>
    <w:p w14:paraId="58F94985" w14:textId="77777777" w:rsidR="00FC43F2" w:rsidRPr="002A7BBE" w:rsidRDefault="00FC43F2" w:rsidP="00FC43F2">
      <w:pPr>
        <w:pStyle w:val="ListParagraph"/>
        <w:numPr>
          <w:ilvl w:val="1"/>
          <w:numId w:val="29"/>
        </w:numPr>
        <w:spacing w:before="240" w:after="240"/>
        <w:ind w:left="720" w:hanging="720"/>
        <w:contextualSpacing w:val="0"/>
        <w:jc w:val="both"/>
        <w:rPr>
          <w:rFonts w:ascii="Arial" w:hAnsi="Arial" w:cs="Arial"/>
          <w:sz w:val="22"/>
          <w:lang w:val="es-ES"/>
        </w:rPr>
      </w:pPr>
      <w:r w:rsidRPr="002A7BBE">
        <w:rPr>
          <w:rFonts w:ascii="Arial" w:hAnsi="Arial" w:cs="Arial"/>
          <w:sz w:val="22"/>
          <w:lang w:val="es-ES"/>
        </w:rPr>
        <w:t xml:space="preserve">Las medidas de reducción de pérdidas se traducen principalmente en beneficios financieros para la empresa eléctrica, al incrementar el ingreso por cobro de la </w:t>
      </w:r>
      <w:r w:rsidRPr="002A7BBE">
        <w:rPr>
          <w:rFonts w:ascii="Arial" w:hAnsi="Arial" w:cs="Arial"/>
          <w:sz w:val="22"/>
          <w:lang w:val="es-ES"/>
        </w:rPr>
        <w:lastRenderedPageBreak/>
        <w:t xml:space="preserve">energía recuperada. Los beneficios económicos son de magnitud reducida dado que la disminución de las pérdidas comerciales no rebaja el beneficio que el consumidor </w:t>
      </w:r>
      <w:r>
        <w:rPr>
          <w:rFonts w:ascii="Arial" w:hAnsi="Arial" w:cs="Arial"/>
          <w:sz w:val="22"/>
          <w:lang w:val="es-ES"/>
        </w:rPr>
        <w:t xml:space="preserve">ya </w:t>
      </w:r>
      <w:r w:rsidRPr="002A7BBE">
        <w:rPr>
          <w:rFonts w:ascii="Arial" w:hAnsi="Arial" w:cs="Arial"/>
          <w:sz w:val="22"/>
          <w:lang w:val="es-ES"/>
        </w:rPr>
        <w:t>recibe por acceder al servicio eléctrico.</w:t>
      </w:r>
    </w:p>
    <w:p w14:paraId="6E865BD7" w14:textId="77777777" w:rsidR="00FC43F2" w:rsidRDefault="00FC43F2" w:rsidP="00FC43F2">
      <w:pPr>
        <w:pStyle w:val="ListParagraph"/>
        <w:numPr>
          <w:ilvl w:val="1"/>
          <w:numId w:val="29"/>
        </w:numPr>
        <w:spacing w:before="240"/>
        <w:ind w:left="720" w:hanging="720"/>
        <w:contextualSpacing w:val="0"/>
        <w:jc w:val="both"/>
        <w:rPr>
          <w:rFonts w:ascii="Arial" w:hAnsi="Arial" w:cs="Arial"/>
          <w:sz w:val="22"/>
          <w:lang w:val="es-ES"/>
        </w:rPr>
      </w:pPr>
      <w:r w:rsidRPr="002A7BBE">
        <w:rPr>
          <w:rFonts w:ascii="Arial" w:hAnsi="Arial" w:cs="Arial"/>
          <w:b/>
          <w:sz w:val="22"/>
          <w:lang w:val="es-ES"/>
        </w:rPr>
        <w:t>Costos Económicos.</w:t>
      </w:r>
      <w:r w:rsidRPr="002A7BBE">
        <w:rPr>
          <w:rFonts w:ascii="Arial" w:hAnsi="Arial" w:cs="Arial"/>
          <w:sz w:val="22"/>
          <w:lang w:val="es-ES"/>
        </w:rPr>
        <w:t xml:space="preserve"> Los costos económicos de la reducción de pérdidas corresponden a las inversiones necesarias para llevar a cabo el programa, y son </w:t>
      </w:r>
      <w:r w:rsidRPr="003133C3">
        <w:rPr>
          <w:rFonts w:ascii="Arial" w:hAnsi="Arial" w:cs="Arial"/>
          <w:sz w:val="22"/>
          <w:lang w:val="es-ES"/>
        </w:rPr>
        <w:t>principalmente inversiones en sistemas de control y en instalación de medidores</w:t>
      </w:r>
      <w:r>
        <w:rPr>
          <w:rFonts w:ascii="Arial" w:hAnsi="Arial" w:cs="Arial"/>
          <w:sz w:val="22"/>
          <w:lang w:val="es-ES"/>
        </w:rPr>
        <w:t xml:space="preserve"> con tecnologías apropiadas por tipo de cliente (m</w:t>
      </w:r>
      <w:r w:rsidRPr="00445F86">
        <w:rPr>
          <w:rFonts w:ascii="Arial" w:hAnsi="Arial" w:cs="Arial"/>
          <w:sz w:val="22"/>
          <w:lang w:val="es-ES"/>
        </w:rPr>
        <w:t>edición focalizada</w:t>
      </w:r>
      <w:r w:rsidRPr="003133C3">
        <w:rPr>
          <w:rFonts w:ascii="Arial" w:hAnsi="Arial" w:cs="Arial"/>
          <w:sz w:val="22"/>
          <w:lang w:val="es-ES"/>
        </w:rPr>
        <w:t xml:space="preserve">, </w:t>
      </w:r>
      <w:r>
        <w:rPr>
          <w:rFonts w:ascii="Arial" w:hAnsi="Arial" w:cs="Arial"/>
          <w:sz w:val="22"/>
          <w:lang w:val="es-ES"/>
        </w:rPr>
        <w:t>m</w:t>
      </w:r>
      <w:r w:rsidRPr="00445F86">
        <w:rPr>
          <w:rFonts w:ascii="Arial" w:hAnsi="Arial" w:cs="Arial"/>
          <w:sz w:val="22"/>
          <w:lang w:val="es-ES"/>
        </w:rPr>
        <w:t>edic</w:t>
      </w:r>
      <w:r>
        <w:rPr>
          <w:rFonts w:ascii="Arial" w:hAnsi="Arial" w:cs="Arial"/>
          <w:sz w:val="22"/>
          <w:lang w:val="es-ES"/>
        </w:rPr>
        <w:t>ión y normalización de usuarios, m</w:t>
      </w:r>
      <w:r w:rsidRPr="00445F86">
        <w:rPr>
          <w:rFonts w:ascii="Arial" w:hAnsi="Arial" w:cs="Arial"/>
          <w:sz w:val="22"/>
          <w:lang w:val="es-ES"/>
        </w:rPr>
        <w:t>edición AMI centralizada</w:t>
      </w:r>
      <w:r>
        <w:rPr>
          <w:rFonts w:ascii="Arial" w:hAnsi="Arial" w:cs="Arial"/>
          <w:sz w:val="22"/>
          <w:lang w:val="es-ES"/>
        </w:rPr>
        <w:t>,  m</w:t>
      </w:r>
      <w:r w:rsidRPr="00445F86">
        <w:rPr>
          <w:rFonts w:ascii="Arial" w:hAnsi="Arial" w:cs="Arial"/>
          <w:sz w:val="22"/>
          <w:lang w:val="es-ES"/>
        </w:rPr>
        <w:t>edición en circuitos de subestaciones, generación distribuida y grandes clientes tele-gestionados</w:t>
      </w:r>
      <w:r>
        <w:rPr>
          <w:rFonts w:ascii="Arial" w:hAnsi="Arial" w:cs="Arial"/>
          <w:sz w:val="22"/>
          <w:lang w:val="es-ES"/>
        </w:rPr>
        <w:t>,  m</w:t>
      </w:r>
      <w:r w:rsidRPr="00445F86">
        <w:rPr>
          <w:rFonts w:ascii="Arial" w:hAnsi="Arial" w:cs="Arial"/>
          <w:sz w:val="22"/>
          <w:lang w:val="es-ES"/>
        </w:rPr>
        <w:t>acro medidores</w:t>
      </w:r>
      <w:r>
        <w:rPr>
          <w:rFonts w:ascii="Arial" w:hAnsi="Arial" w:cs="Arial"/>
          <w:sz w:val="22"/>
          <w:lang w:val="es-ES"/>
        </w:rPr>
        <w:t xml:space="preserve">), </w:t>
      </w:r>
      <w:r w:rsidRPr="003133C3">
        <w:rPr>
          <w:rFonts w:ascii="Arial" w:hAnsi="Arial" w:cs="Arial"/>
          <w:sz w:val="22"/>
          <w:lang w:val="es-ES"/>
        </w:rPr>
        <w:t>además de los costos de operación y mantenimiento</w:t>
      </w:r>
      <w:r>
        <w:rPr>
          <w:rFonts w:ascii="Arial" w:hAnsi="Arial" w:cs="Arial"/>
          <w:sz w:val="22"/>
          <w:lang w:val="es-ES"/>
        </w:rPr>
        <w:t>. El Operador (EEH) está contratado desde 2016 y tiene el compromiso contractual de realizar inversiones para cubrir estos costos, de por lo menos US$150 millones durante siete años, para lograr el nivel de pérdidas establecido como meta en su contrato.</w:t>
      </w:r>
    </w:p>
    <w:p w14:paraId="337E2FDB" w14:textId="77777777" w:rsidR="00FC43F2" w:rsidRPr="003133C3" w:rsidRDefault="00FC43F2" w:rsidP="00FC43F2">
      <w:pPr>
        <w:pStyle w:val="ListParagraph"/>
        <w:numPr>
          <w:ilvl w:val="1"/>
          <w:numId w:val="29"/>
        </w:numPr>
        <w:ind w:left="720" w:hanging="720"/>
        <w:contextualSpacing w:val="0"/>
        <w:jc w:val="both"/>
        <w:rPr>
          <w:rFonts w:ascii="Arial" w:hAnsi="Arial" w:cs="Arial"/>
          <w:sz w:val="22"/>
          <w:lang w:val="es-ES"/>
        </w:rPr>
      </w:pPr>
      <w:r w:rsidRPr="000B52F4">
        <w:rPr>
          <w:rFonts w:ascii="Arial" w:hAnsi="Arial" w:cs="Arial"/>
          <w:b/>
          <w:sz w:val="22"/>
          <w:lang w:val="es-ES"/>
        </w:rPr>
        <w:t>Resultados</w:t>
      </w:r>
      <w:r>
        <w:rPr>
          <w:rFonts w:ascii="Arial" w:hAnsi="Arial" w:cs="Arial"/>
          <w:sz w:val="22"/>
          <w:lang w:val="es-ES"/>
        </w:rPr>
        <w:t xml:space="preserve">. </w:t>
      </w:r>
      <w:r w:rsidRPr="003133C3">
        <w:rPr>
          <w:rFonts w:ascii="Arial" w:hAnsi="Arial" w:cs="Arial"/>
          <w:sz w:val="22"/>
          <w:lang w:val="es-ES"/>
        </w:rPr>
        <w:t xml:space="preserve">La Tasa Interna de Retorno Económico (TIRE) y el valor presente económico neto (VPNE) </w:t>
      </w:r>
      <w:r>
        <w:rPr>
          <w:rFonts w:ascii="Arial" w:hAnsi="Arial" w:cs="Arial"/>
          <w:sz w:val="22"/>
          <w:lang w:val="es-ES"/>
        </w:rPr>
        <w:t xml:space="preserve">por reducción de pérdidas </w:t>
      </w:r>
      <w:r w:rsidRPr="003133C3">
        <w:rPr>
          <w:rFonts w:ascii="Arial" w:hAnsi="Arial" w:cs="Arial"/>
          <w:sz w:val="22"/>
          <w:lang w:val="es-ES"/>
        </w:rPr>
        <w:t xml:space="preserve">se obtienen asociando los beneficios económicos y los costos del proyecto, obteniéndose así el Beneficio Económico, mostrado en el Cuadro </w:t>
      </w:r>
      <w:r>
        <w:rPr>
          <w:rFonts w:ascii="Arial" w:hAnsi="Arial" w:cs="Arial"/>
          <w:sz w:val="22"/>
          <w:lang w:val="es-ES"/>
        </w:rPr>
        <w:t>3</w:t>
      </w:r>
      <w:r w:rsidRPr="003133C3">
        <w:rPr>
          <w:rFonts w:ascii="Arial" w:hAnsi="Arial" w:cs="Arial"/>
          <w:sz w:val="22"/>
          <w:lang w:val="es-ES"/>
        </w:rPr>
        <w:t xml:space="preserve">. Evaluando </w:t>
      </w:r>
      <w:r>
        <w:rPr>
          <w:rFonts w:ascii="Arial" w:hAnsi="Arial" w:cs="Arial"/>
          <w:sz w:val="22"/>
          <w:lang w:val="es-ES"/>
        </w:rPr>
        <w:t>este</w:t>
      </w:r>
      <w:r w:rsidRPr="003133C3">
        <w:rPr>
          <w:rFonts w:ascii="Arial" w:hAnsi="Arial" w:cs="Arial"/>
          <w:sz w:val="22"/>
          <w:lang w:val="es-ES"/>
        </w:rPr>
        <w:t xml:space="preserve"> flujo con una tasa de descuento de 12%, se traduce en los siguientes resultados:</w:t>
      </w:r>
    </w:p>
    <w:p w14:paraId="0AFEBC01" w14:textId="77777777" w:rsidR="00FC43F2" w:rsidRPr="000F3809" w:rsidRDefault="00FC43F2" w:rsidP="00FC43F2">
      <w:pPr>
        <w:ind w:left="1440"/>
        <w:rPr>
          <w:rFonts w:ascii="Arial" w:hAnsi="Arial" w:cs="Arial"/>
          <w:sz w:val="22"/>
          <w:lang w:val="es-ES"/>
        </w:rPr>
      </w:pPr>
      <w:r w:rsidRPr="000F3809">
        <w:rPr>
          <w:rFonts w:ascii="Arial" w:hAnsi="Arial" w:cs="Arial"/>
          <w:sz w:val="22"/>
          <w:lang w:val="es-ES"/>
        </w:rPr>
        <w:t>VP costos: $</w:t>
      </w:r>
      <w:r>
        <w:rPr>
          <w:rFonts w:ascii="Arial" w:hAnsi="Arial" w:cs="Arial"/>
          <w:sz w:val="22"/>
          <w:lang w:val="es-ES"/>
        </w:rPr>
        <w:t>92,32</w:t>
      </w:r>
      <w:r w:rsidRPr="000F3809">
        <w:rPr>
          <w:rFonts w:ascii="Arial" w:hAnsi="Arial" w:cs="Arial"/>
          <w:sz w:val="22"/>
          <w:lang w:val="es-ES"/>
        </w:rPr>
        <w:t>M</w:t>
      </w:r>
    </w:p>
    <w:p w14:paraId="697F24DD" w14:textId="77777777" w:rsidR="00FC43F2" w:rsidRPr="000F3809" w:rsidRDefault="00FC43F2" w:rsidP="00FC43F2">
      <w:pPr>
        <w:ind w:left="1440"/>
        <w:rPr>
          <w:rFonts w:ascii="Arial" w:hAnsi="Arial" w:cs="Arial"/>
          <w:sz w:val="22"/>
          <w:lang w:val="es-ES"/>
        </w:rPr>
      </w:pPr>
      <w:r w:rsidRPr="000F3809">
        <w:rPr>
          <w:rFonts w:ascii="Arial" w:hAnsi="Arial" w:cs="Arial"/>
          <w:sz w:val="22"/>
          <w:lang w:val="es-ES"/>
        </w:rPr>
        <w:t>VP beneficios económicos: $</w:t>
      </w:r>
      <w:r>
        <w:rPr>
          <w:rFonts w:ascii="Arial" w:hAnsi="Arial" w:cs="Arial"/>
          <w:sz w:val="22"/>
          <w:lang w:val="es-ES"/>
        </w:rPr>
        <w:t>17,78</w:t>
      </w:r>
      <w:r w:rsidRPr="000F3809">
        <w:rPr>
          <w:rFonts w:ascii="Arial" w:hAnsi="Arial" w:cs="Arial"/>
          <w:sz w:val="22"/>
          <w:lang w:val="es-ES"/>
        </w:rPr>
        <w:t>M</w:t>
      </w:r>
    </w:p>
    <w:p w14:paraId="4DB61C75" w14:textId="77777777" w:rsidR="00FC43F2" w:rsidRPr="000F3809" w:rsidRDefault="00FC43F2" w:rsidP="00FC43F2">
      <w:pPr>
        <w:ind w:left="1440"/>
        <w:rPr>
          <w:rFonts w:ascii="Arial" w:hAnsi="Arial" w:cs="Arial"/>
          <w:sz w:val="22"/>
          <w:lang w:val="es-ES"/>
        </w:rPr>
      </w:pPr>
      <w:r w:rsidRPr="000F3809">
        <w:rPr>
          <w:rFonts w:ascii="Arial" w:hAnsi="Arial" w:cs="Arial"/>
          <w:sz w:val="22"/>
          <w:lang w:val="es-ES"/>
        </w:rPr>
        <w:t>VPN económico: $-</w:t>
      </w:r>
      <w:r>
        <w:rPr>
          <w:rFonts w:ascii="Arial" w:hAnsi="Arial" w:cs="Arial"/>
          <w:sz w:val="22"/>
          <w:lang w:val="es-ES"/>
        </w:rPr>
        <w:t>74,54</w:t>
      </w:r>
      <w:r w:rsidRPr="000F3809">
        <w:rPr>
          <w:rFonts w:ascii="Arial" w:hAnsi="Arial" w:cs="Arial"/>
          <w:sz w:val="22"/>
          <w:lang w:val="es-ES"/>
        </w:rPr>
        <w:t>M</w:t>
      </w:r>
    </w:p>
    <w:p w14:paraId="5E6E9D1A" w14:textId="77777777" w:rsidR="00FC43F2" w:rsidRPr="000F3809" w:rsidRDefault="00FC43F2" w:rsidP="00FC43F2">
      <w:pPr>
        <w:ind w:left="1440"/>
        <w:rPr>
          <w:rFonts w:ascii="Arial" w:hAnsi="Arial" w:cs="Arial"/>
          <w:sz w:val="22"/>
          <w:lang w:val="es-ES"/>
        </w:rPr>
      </w:pPr>
      <w:r w:rsidRPr="000F3809">
        <w:rPr>
          <w:rFonts w:ascii="Arial" w:hAnsi="Arial" w:cs="Arial"/>
          <w:sz w:val="22"/>
          <w:lang w:val="es-ES"/>
        </w:rPr>
        <w:t>TIR económica: negativa</w:t>
      </w:r>
    </w:p>
    <w:p w14:paraId="548DDE2A" w14:textId="77777777" w:rsidR="00FC43F2" w:rsidRDefault="00FC43F2" w:rsidP="00FC43F2">
      <w:pPr>
        <w:pStyle w:val="ListParagraph"/>
        <w:numPr>
          <w:ilvl w:val="1"/>
          <w:numId w:val="29"/>
        </w:numPr>
        <w:ind w:left="720" w:hanging="720"/>
        <w:contextualSpacing w:val="0"/>
        <w:jc w:val="both"/>
        <w:rPr>
          <w:rFonts w:ascii="Arial" w:hAnsi="Arial" w:cs="Arial"/>
          <w:sz w:val="22"/>
          <w:lang w:val="es-ES"/>
        </w:rPr>
      </w:pPr>
      <w:r w:rsidRPr="000F3809">
        <w:rPr>
          <w:rFonts w:ascii="Arial" w:hAnsi="Arial" w:cs="Arial"/>
          <w:sz w:val="22"/>
          <w:lang w:val="es-ES"/>
        </w:rPr>
        <w:t>La TIR financiera y el VPN se obtienen asociando los beneficios financieros y los costos del proyecto, obteniéndose así el flujo financiero</w:t>
      </w:r>
      <w:r>
        <w:rPr>
          <w:rFonts w:ascii="Arial" w:hAnsi="Arial" w:cs="Arial"/>
          <w:sz w:val="22"/>
          <w:lang w:val="es-ES"/>
        </w:rPr>
        <w:t xml:space="preserve"> neto mostrado en el Cuadro 4.  Usando una tasa de descuento del 12% se obtienen los siguientes </w:t>
      </w:r>
      <w:r w:rsidRPr="000F3809">
        <w:rPr>
          <w:rFonts w:ascii="Arial" w:hAnsi="Arial" w:cs="Arial"/>
          <w:sz w:val="22"/>
          <w:lang w:val="es-ES"/>
        </w:rPr>
        <w:t>resultados:</w:t>
      </w:r>
    </w:p>
    <w:p w14:paraId="6190C46D" w14:textId="77777777" w:rsidR="00FC43F2" w:rsidRPr="000F3809" w:rsidRDefault="00FC43F2" w:rsidP="00FC43F2">
      <w:pPr>
        <w:ind w:left="1440"/>
        <w:rPr>
          <w:rFonts w:ascii="Arial" w:hAnsi="Arial" w:cs="Arial"/>
          <w:sz w:val="22"/>
          <w:lang w:val="es-ES"/>
        </w:rPr>
      </w:pPr>
      <w:r w:rsidRPr="000F3809">
        <w:rPr>
          <w:rFonts w:ascii="Arial" w:hAnsi="Arial" w:cs="Arial"/>
          <w:sz w:val="22"/>
          <w:lang w:val="es-ES"/>
        </w:rPr>
        <w:t>VP costos: $</w:t>
      </w:r>
      <w:r>
        <w:rPr>
          <w:rFonts w:ascii="Arial" w:hAnsi="Arial" w:cs="Arial"/>
          <w:sz w:val="22"/>
          <w:lang w:val="es-ES"/>
        </w:rPr>
        <w:t>92,32M</w:t>
      </w:r>
    </w:p>
    <w:p w14:paraId="09CC7B44" w14:textId="77777777" w:rsidR="00FC43F2" w:rsidRPr="000F3809" w:rsidRDefault="00FC43F2" w:rsidP="00FC43F2">
      <w:pPr>
        <w:ind w:left="1440"/>
        <w:rPr>
          <w:rFonts w:ascii="Arial" w:hAnsi="Arial" w:cs="Arial"/>
          <w:sz w:val="22"/>
          <w:lang w:val="es-ES"/>
        </w:rPr>
      </w:pPr>
      <w:r w:rsidRPr="000F3809">
        <w:rPr>
          <w:rFonts w:ascii="Arial" w:hAnsi="Arial" w:cs="Arial"/>
          <w:sz w:val="22"/>
          <w:lang w:val="es-ES"/>
        </w:rPr>
        <w:t>VP beneficios financieros: $</w:t>
      </w:r>
      <w:r>
        <w:rPr>
          <w:rFonts w:ascii="Arial" w:hAnsi="Arial" w:cs="Arial"/>
          <w:sz w:val="22"/>
          <w:lang w:val="es-ES"/>
        </w:rPr>
        <w:t>159,64</w:t>
      </w:r>
      <w:r w:rsidRPr="000F3809">
        <w:rPr>
          <w:rFonts w:ascii="Arial" w:hAnsi="Arial" w:cs="Arial"/>
          <w:sz w:val="22"/>
          <w:lang w:val="es-ES"/>
        </w:rPr>
        <w:t>M</w:t>
      </w:r>
    </w:p>
    <w:p w14:paraId="04A1A83D" w14:textId="77777777" w:rsidR="00FC43F2" w:rsidRPr="000F3809" w:rsidRDefault="00FC43F2" w:rsidP="00FC43F2">
      <w:pPr>
        <w:ind w:left="1440"/>
        <w:rPr>
          <w:rFonts w:ascii="Arial" w:hAnsi="Arial" w:cs="Arial"/>
          <w:sz w:val="22"/>
          <w:lang w:val="es-ES"/>
        </w:rPr>
      </w:pPr>
      <w:r w:rsidRPr="000F3809">
        <w:rPr>
          <w:rFonts w:ascii="Arial" w:hAnsi="Arial" w:cs="Arial"/>
          <w:sz w:val="22"/>
          <w:lang w:val="es-ES"/>
        </w:rPr>
        <w:t>VPN financiero: $</w:t>
      </w:r>
      <w:r>
        <w:rPr>
          <w:rFonts w:ascii="Arial" w:hAnsi="Arial" w:cs="Arial"/>
          <w:sz w:val="22"/>
          <w:lang w:val="es-ES"/>
        </w:rPr>
        <w:t>67,32M</w:t>
      </w:r>
    </w:p>
    <w:p w14:paraId="48BFD90B" w14:textId="77777777" w:rsidR="00FC43F2" w:rsidRDefault="00FC43F2" w:rsidP="00FC43F2">
      <w:pPr>
        <w:ind w:left="1440"/>
        <w:rPr>
          <w:rFonts w:ascii="Arial" w:hAnsi="Arial" w:cs="Arial"/>
          <w:sz w:val="22"/>
          <w:lang w:val="es-ES"/>
        </w:rPr>
      </w:pPr>
      <w:r w:rsidRPr="000F3809">
        <w:rPr>
          <w:rFonts w:ascii="Arial" w:hAnsi="Arial" w:cs="Arial"/>
          <w:sz w:val="22"/>
          <w:lang w:val="es-ES"/>
        </w:rPr>
        <w:t xml:space="preserve">TIR financiera: </w:t>
      </w:r>
      <w:r>
        <w:rPr>
          <w:rFonts w:ascii="Arial" w:hAnsi="Arial" w:cs="Arial"/>
          <w:sz w:val="22"/>
          <w:lang w:val="es-ES"/>
        </w:rPr>
        <w:t>148,5%</w:t>
      </w:r>
    </w:p>
    <w:p w14:paraId="02F64D45" w14:textId="77777777" w:rsidR="00FC43F2" w:rsidRDefault="00FC43F2" w:rsidP="00FC43F2">
      <w:pPr>
        <w:pStyle w:val="ListParagraph"/>
        <w:numPr>
          <w:ilvl w:val="1"/>
          <w:numId w:val="29"/>
        </w:numPr>
        <w:spacing w:before="240"/>
        <w:ind w:left="720" w:hanging="720"/>
        <w:contextualSpacing w:val="0"/>
        <w:jc w:val="both"/>
        <w:rPr>
          <w:rFonts w:ascii="Arial" w:hAnsi="Arial" w:cs="Arial"/>
          <w:sz w:val="22"/>
          <w:lang w:val="es-ES"/>
        </w:rPr>
      </w:pPr>
      <w:r w:rsidRPr="00216A18">
        <w:rPr>
          <w:rFonts w:ascii="Arial" w:hAnsi="Arial" w:cs="Arial"/>
          <w:b/>
          <w:sz w:val="22"/>
          <w:lang w:val="es-ES"/>
        </w:rPr>
        <w:t>Análisis de sensibilidad</w:t>
      </w:r>
      <w:r>
        <w:rPr>
          <w:rFonts w:ascii="Arial" w:hAnsi="Arial" w:cs="Arial"/>
          <w:sz w:val="22"/>
          <w:lang w:val="es-ES"/>
        </w:rPr>
        <w:t xml:space="preserve">. </w:t>
      </w:r>
      <w:r w:rsidRPr="00CC2530">
        <w:rPr>
          <w:rFonts w:ascii="Arial" w:hAnsi="Arial" w:cs="Arial"/>
          <w:sz w:val="22"/>
          <w:lang w:val="es-ES"/>
        </w:rPr>
        <w:t>El análisis de sensibilidad</w:t>
      </w:r>
      <w:r>
        <w:rPr>
          <w:rFonts w:ascii="Arial" w:hAnsi="Arial" w:cs="Arial"/>
          <w:sz w:val="22"/>
          <w:lang w:val="es-ES"/>
        </w:rPr>
        <w:t xml:space="preserve"> a los resultados </w:t>
      </w:r>
      <w:r w:rsidRPr="00CC2530">
        <w:rPr>
          <w:rFonts w:ascii="Arial" w:hAnsi="Arial" w:cs="Arial"/>
          <w:sz w:val="22"/>
          <w:lang w:val="es-ES"/>
        </w:rPr>
        <w:t xml:space="preserve">se llevó a cabo proponiendo escenarios de variación en </w:t>
      </w:r>
      <w:r>
        <w:rPr>
          <w:rFonts w:ascii="Arial" w:hAnsi="Arial" w:cs="Arial"/>
          <w:sz w:val="22"/>
          <w:lang w:val="es-ES"/>
        </w:rPr>
        <w:t>varios</w:t>
      </w:r>
      <w:r w:rsidRPr="00CC2530">
        <w:rPr>
          <w:rFonts w:ascii="Arial" w:hAnsi="Arial" w:cs="Arial"/>
          <w:sz w:val="22"/>
          <w:lang w:val="es-ES"/>
        </w:rPr>
        <w:t xml:space="preserve"> parámetros: la elasticidad precio de la demanda y</w:t>
      </w:r>
      <w:r>
        <w:rPr>
          <w:rFonts w:ascii="Arial" w:hAnsi="Arial" w:cs="Arial"/>
          <w:sz w:val="22"/>
          <w:lang w:val="es-ES"/>
        </w:rPr>
        <w:t xml:space="preserve"> un alza de 10% en</w:t>
      </w:r>
      <w:r w:rsidRPr="00CC2530">
        <w:rPr>
          <w:rFonts w:ascii="Arial" w:hAnsi="Arial" w:cs="Arial"/>
          <w:sz w:val="22"/>
          <w:lang w:val="es-ES"/>
        </w:rPr>
        <w:t xml:space="preserve"> la </w:t>
      </w:r>
      <w:r>
        <w:rPr>
          <w:rFonts w:ascii="Arial" w:hAnsi="Arial" w:cs="Arial"/>
          <w:sz w:val="22"/>
          <w:lang w:val="es-ES"/>
        </w:rPr>
        <w:t>tarifa en lempiras y una tasa de descuento menor (8%)</w:t>
      </w:r>
      <w:r w:rsidRPr="00CC2530">
        <w:rPr>
          <w:rFonts w:ascii="Arial" w:hAnsi="Arial" w:cs="Arial"/>
          <w:sz w:val="22"/>
          <w:lang w:val="es-ES"/>
        </w:rPr>
        <w:t xml:space="preserve">.  Los resultados se resumen en </w:t>
      </w:r>
      <w:r>
        <w:rPr>
          <w:rFonts w:ascii="Arial" w:hAnsi="Arial" w:cs="Arial"/>
          <w:sz w:val="22"/>
          <w:lang w:val="es-ES"/>
        </w:rPr>
        <w:t>el Cuadro 5</w:t>
      </w:r>
      <w:r w:rsidRPr="00CC2530">
        <w:rPr>
          <w:rFonts w:ascii="Arial" w:hAnsi="Arial" w:cs="Arial"/>
          <w:sz w:val="22"/>
          <w:lang w:val="es-ES"/>
        </w:rPr>
        <w:t>:</w:t>
      </w:r>
    </w:p>
    <w:p w14:paraId="3DFF147A" w14:textId="77777777" w:rsidR="00FC43F2" w:rsidRPr="00AC57E3" w:rsidRDefault="00FC43F2" w:rsidP="00FC43F2">
      <w:pPr>
        <w:pStyle w:val="ListParagraph"/>
        <w:spacing w:before="240"/>
        <w:contextualSpacing w:val="0"/>
        <w:jc w:val="both"/>
        <w:rPr>
          <w:rFonts w:ascii="Arial" w:hAnsi="Arial" w:cs="Arial"/>
          <w:b/>
          <w:sz w:val="20"/>
          <w:szCs w:val="20"/>
          <w:lang w:val="es-ES"/>
        </w:rPr>
      </w:pPr>
      <w:r>
        <w:rPr>
          <w:rFonts w:ascii="Arial" w:hAnsi="Arial" w:cs="Arial"/>
          <w:b/>
          <w:sz w:val="20"/>
          <w:szCs w:val="20"/>
          <w:lang w:val="es-ES"/>
        </w:rPr>
        <w:t>Cuadro</w:t>
      </w:r>
      <w:r w:rsidRPr="00AC57E3">
        <w:rPr>
          <w:rFonts w:ascii="Arial" w:hAnsi="Arial" w:cs="Arial"/>
          <w:b/>
          <w:sz w:val="20"/>
          <w:szCs w:val="20"/>
          <w:lang w:val="es-ES"/>
        </w:rPr>
        <w:t xml:space="preserve"> </w:t>
      </w:r>
      <w:r>
        <w:rPr>
          <w:rFonts w:ascii="Arial" w:hAnsi="Arial" w:cs="Arial"/>
          <w:b/>
          <w:sz w:val="20"/>
          <w:szCs w:val="20"/>
          <w:lang w:val="es-ES"/>
        </w:rPr>
        <w:t>5.</w:t>
      </w:r>
      <w:r w:rsidRPr="00AC57E3">
        <w:rPr>
          <w:rFonts w:ascii="Arial" w:hAnsi="Arial" w:cs="Arial"/>
          <w:b/>
          <w:sz w:val="20"/>
          <w:szCs w:val="20"/>
          <w:lang w:val="es-ES"/>
        </w:rPr>
        <w:t xml:space="preserve">   Resumen Análisis de Sensibilidad – Reducción de Pérdidas</w:t>
      </w:r>
    </w:p>
    <w:tbl>
      <w:tblPr>
        <w:tblStyle w:val="TableGrid"/>
        <w:tblW w:w="0" w:type="auto"/>
        <w:tblInd w:w="198" w:type="dxa"/>
        <w:tblLook w:val="04A0" w:firstRow="1" w:lastRow="0" w:firstColumn="1" w:lastColumn="0" w:noHBand="0" w:noVBand="1"/>
      </w:tblPr>
      <w:tblGrid>
        <w:gridCol w:w="1873"/>
        <w:gridCol w:w="1602"/>
        <w:gridCol w:w="1732"/>
        <w:gridCol w:w="2187"/>
        <w:gridCol w:w="1707"/>
      </w:tblGrid>
      <w:tr w:rsidR="00FC43F2" w:rsidRPr="00E64E3C" w14:paraId="17E5444F" w14:textId="77777777" w:rsidTr="003A49DA">
        <w:tc>
          <w:tcPr>
            <w:tcW w:w="1873" w:type="dxa"/>
            <w:tcBorders>
              <w:left w:val="single" w:sz="4" w:space="0" w:color="auto"/>
              <w:bottom w:val="single" w:sz="4" w:space="0" w:color="000000"/>
              <w:right w:val="single" w:sz="4" w:space="0" w:color="auto"/>
            </w:tcBorders>
            <w:shd w:val="clear" w:color="auto" w:fill="DBE5F1" w:themeFill="accent1" w:themeFillTint="33"/>
          </w:tcPr>
          <w:p w14:paraId="7DC15FF0" w14:textId="77777777" w:rsidR="00FC43F2" w:rsidRPr="00AC57E3" w:rsidRDefault="00FC43F2" w:rsidP="003A49DA">
            <w:pPr>
              <w:rPr>
                <w:rFonts w:ascii="Arial" w:hAnsi="Arial" w:cs="Arial"/>
                <w:sz w:val="20"/>
                <w:szCs w:val="20"/>
                <w:lang w:val="es-ES"/>
              </w:rPr>
            </w:pPr>
          </w:p>
        </w:tc>
        <w:tc>
          <w:tcPr>
            <w:tcW w:w="1602" w:type="dxa"/>
            <w:tcBorders>
              <w:left w:val="single" w:sz="4" w:space="0" w:color="auto"/>
              <w:bottom w:val="single" w:sz="4" w:space="0" w:color="000000"/>
              <w:right w:val="single" w:sz="4" w:space="0" w:color="auto"/>
            </w:tcBorders>
            <w:shd w:val="clear" w:color="auto" w:fill="DBE5F1" w:themeFill="accent1" w:themeFillTint="33"/>
          </w:tcPr>
          <w:p w14:paraId="7E8A864D" w14:textId="77777777" w:rsidR="00FC43F2" w:rsidRPr="00AC57E3" w:rsidRDefault="00FC43F2" w:rsidP="003A49DA">
            <w:pPr>
              <w:jc w:val="center"/>
              <w:rPr>
                <w:rFonts w:ascii="Arial" w:hAnsi="Arial" w:cs="Arial"/>
                <w:sz w:val="20"/>
                <w:szCs w:val="20"/>
                <w:lang w:val="es-ES"/>
              </w:rPr>
            </w:pPr>
            <w:r w:rsidRPr="00AC57E3">
              <w:rPr>
                <w:rFonts w:ascii="Arial" w:hAnsi="Arial" w:cs="Arial"/>
                <w:sz w:val="20"/>
                <w:szCs w:val="20"/>
                <w:lang w:val="es-ES"/>
              </w:rPr>
              <w:t>Caso Base</w:t>
            </w:r>
          </w:p>
        </w:tc>
        <w:tc>
          <w:tcPr>
            <w:tcW w:w="1732" w:type="dxa"/>
            <w:tcBorders>
              <w:left w:val="single" w:sz="4" w:space="0" w:color="auto"/>
              <w:bottom w:val="single" w:sz="4" w:space="0" w:color="000000"/>
              <w:right w:val="single" w:sz="4" w:space="0" w:color="auto"/>
            </w:tcBorders>
            <w:shd w:val="clear" w:color="auto" w:fill="DBE5F1" w:themeFill="accent1" w:themeFillTint="33"/>
          </w:tcPr>
          <w:p w14:paraId="234F2B97" w14:textId="77777777" w:rsidR="00FC43F2" w:rsidRPr="00AC57E3" w:rsidRDefault="00FC43F2" w:rsidP="003A49DA">
            <w:pPr>
              <w:jc w:val="center"/>
              <w:rPr>
                <w:rFonts w:ascii="Arial" w:hAnsi="Arial" w:cs="Arial"/>
                <w:sz w:val="20"/>
                <w:szCs w:val="20"/>
                <w:lang w:val="es-ES"/>
              </w:rPr>
            </w:pPr>
            <w:r w:rsidRPr="00AC57E3">
              <w:rPr>
                <w:rFonts w:ascii="Arial" w:hAnsi="Arial" w:cs="Arial"/>
                <w:sz w:val="20"/>
                <w:szCs w:val="20"/>
                <w:lang w:val="es-ES"/>
              </w:rPr>
              <w:t>Elasticidad Precio=</w:t>
            </w:r>
            <w:r>
              <w:rPr>
                <w:rFonts w:ascii="Arial" w:hAnsi="Arial" w:cs="Arial"/>
                <w:sz w:val="20"/>
                <w:szCs w:val="20"/>
                <w:lang w:val="es-ES"/>
              </w:rPr>
              <w:t xml:space="preserve"> </w:t>
            </w:r>
            <w:r w:rsidRPr="00AC57E3">
              <w:rPr>
                <w:rFonts w:ascii="Arial" w:hAnsi="Arial" w:cs="Arial"/>
                <w:sz w:val="20"/>
                <w:szCs w:val="20"/>
                <w:lang w:val="es-ES"/>
              </w:rPr>
              <w:t>-0.1</w:t>
            </w:r>
          </w:p>
        </w:tc>
        <w:tc>
          <w:tcPr>
            <w:tcW w:w="2187" w:type="dxa"/>
            <w:tcBorders>
              <w:left w:val="single" w:sz="4" w:space="0" w:color="auto"/>
              <w:bottom w:val="single" w:sz="4" w:space="0" w:color="000000"/>
              <w:right w:val="single" w:sz="4" w:space="0" w:color="auto"/>
            </w:tcBorders>
            <w:shd w:val="clear" w:color="auto" w:fill="DBE5F1" w:themeFill="accent1" w:themeFillTint="33"/>
          </w:tcPr>
          <w:p w14:paraId="2F47FDD3" w14:textId="77777777" w:rsidR="00FC43F2" w:rsidRPr="00AC57E3" w:rsidRDefault="00FC43F2" w:rsidP="003A49DA">
            <w:pPr>
              <w:jc w:val="center"/>
              <w:rPr>
                <w:rFonts w:ascii="Arial" w:hAnsi="Arial" w:cs="Arial"/>
                <w:sz w:val="20"/>
                <w:szCs w:val="20"/>
                <w:lang w:val="es-ES"/>
              </w:rPr>
            </w:pPr>
            <w:r>
              <w:rPr>
                <w:rFonts w:ascii="Arial" w:hAnsi="Arial" w:cs="Arial"/>
                <w:noProof/>
                <w:sz w:val="20"/>
                <w:szCs w:val="20"/>
              </w:rPr>
              <mc:AlternateContent>
                <mc:Choice Requires="wps">
                  <w:drawing>
                    <wp:anchor distT="0" distB="0" distL="114300" distR="114300" simplePos="0" relativeHeight="251659264" behindDoc="0" locked="0" layoutInCell="1" allowOverlap="1" wp14:anchorId="55FD5FD2" wp14:editId="7451D653">
                      <wp:simplePos x="0" y="0"/>
                      <wp:positionH relativeFrom="column">
                        <wp:posOffset>1041400</wp:posOffset>
                      </wp:positionH>
                      <wp:positionV relativeFrom="paragraph">
                        <wp:posOffset>215900</wp:posOffset>
                      </wp:positionV>
                      <wp:extent cx="0" cy="133350"/>
                      <wp:effectExtent l="95250" t="38100" r="57150" b="19050"/>
                      <wp:wrapNone/>
                      <wp:docPr id="17" name="Straight Arrow Connector 17"/>
                      <wp:cNvGraphicFramePr/>
                      <a:graphic xmlns:a="http://schemas.openxmlformats.org/drawingml/2006/main">
                        <a:graphicData uri="http://schemas.microsoft.com/office/word/2010/wordprocessingShape">
                          <wps:wsp>
                            <wps:cNvCnPr/>
                            <wps:spPr>
                              <a:xfrm flipV="1">
                                <a:off x="0" y="0"/>
                                <a:ext cx="0" cy="13335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3D17F95" id="_x0000_t32" coordsize="21600,21600" o:spt="32" o:oned="t" path="m,l21600,21600e" filled="f">
                      <v:path arrowok="t" fillok="f" o:connecttype="none"/>
                      <o:lock v:ext="edit" shapetype="t"/>
                    </v:shapetype>
                    <v:shape id="Straight Arrow Connector 17" o:spid="_x0000_s1026" type="#_x0000_t32" style="position:absolute;margin-left:82pt;margin-top:17pt;width:0;height:10.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" strokecolor="black [3213]">
                      <v:stroke endarrow="open"/>
                    </v:shape>
                  </w:pict>
                </mc:Fallback>
              </mc:AlternateContent>
            </w:r>
            <w:r>
              <w:rPr>
                <w:rFonts w:ascii="Arial" w:hAnsi="Arial" w:cs="Arial"/>
                <w:sz w:val="20"/>
                <w:szCs w:val="20"/>
                <w:lang w:val="es-ES"/>
              </w:rPr>
              <w:t xml:space="preserve">Tarifa en lempiras 10%  </w:t>
            </w:r>
          </w:p>
        </w:tc>
        <w:tc>
          <w:tcPr>
            <w:tcW w:w="1707" w:type="dxa"/>
            <w:tcBorders>
              <w:left w:val="single" w:sz="4" w:space="0" w:color="auto"/>
              <w:bottom w:val="single" w:sz="4" w:space="0" w:color="000000"/>
              <w:right w:val="single" w:sz="4" w:space="0" w:color="auto"/>
            </w:tcBorders>
            <w:shd w:val="clear" w:color="auto" w:fill="DBE5F1" w:themeFill="accent1" w:themeFillTint="33"/>
          </w:tcPr>
          <w:p w14:paraId="77E14371" w14:textId="77777777" w:rsidR="00FC43F2" w:rsidRPr="00E64E3C" w:rsidRDefault="00FC43F2" w:rsidP="003A49DA">
            <w:pPr>
              <w:jc w:val="center"/>
              <w:rPr>
                <w:rFonts w:ascii="Arial" w:hAnsi="Arial" w:cs="Arial"/>
                <w:noProof/>
                <w:sz w:val="20"/>
                <w:szCs w:val="20"/>
                <w:lang w:val="es-US"/>
              </w:rPr>
            </w:pPr>
            <w:r w:rsidRPr="00E64E3C">
              <w:rPr>
                <w:rFonts w:ascii="Arial" w:hAnsi="Arial" w:cs="Arial"/>
                <w:noProof/>
                <w:sz w:val="20"/>
                <w:szCs w:val="20"/>
                <w:lang w:val="es-US"/>
              </w:rPr>
              <w:t>Tasa de descuento 8%</w:t>
            </w:r>
          </w:p>
        </w:tc>
      </w:tr>
      <w:tr w:rsidR="00FC43F2" w:rsidRPr="00E64E3C" w14:paraId="5E613339" w14:textId="77777777" w:rsidTr="003A49DA">
        <w:tc>
          <w:tcPr>
            <w:tcW w:w="1873" w:type="dxa"/>
            <w:tcBorders>
              <w:left w:val="single" w:sz="4" w:space="0" w:color="auto"/>
              <w:bottom w:val="single" w:sz="4" w:space="0" w:color="000000"/>
              <w:right w:val="single" w:sz="4" w:space="0" w:color="auto"/>
            </w:tcBorders>
          </w:tcPr>
          <w:p w14:paraId="517A40B9" w14:textId="77777777" w:rsidR="00FC43F2" w:rsidRPr="00AC57E3" w:rsidRDefault="00FC43F2" w:rsidP="003A49DA">
            <w:pPr>
              <w:rPr>
                <w:rFonts w:ascii="Arial" w:hAnsi="Arial" w:cs="Arial"/>
                <w:sz w:val="20"/>
                <w:szCs w:val="20"/>
                <w:lang w:val="es-ES"/>
              </w:rPr>
            </w:pPr>
            <w:r w:rsidRPr="00AC57E3">
              <w:rPr>
                <w:rFonts w:ascii="Arial" w:hAnsi="Arial" w:cs="Arial"/>
                <w:sz w:val="20"/>
                <w:szCs w:val="20"/>
                <w:lang w:val="es-ES"/>
              </w:rPr>
              <w:t>VPNE</w:t>
            </w:r>
          </w:p>
        </w:tc>
        <w:tc>
          <w:tcPr>
            <w:tcW w:w="1602" w:type="dxa"/>
            <w:tcBorders>
              <w:left w:val="single" w:sz="4" w:space="0" w:color="auto"/>
              <w:bottom w:val="single" w:sz="4" w:space="0" w:color="000000"/>
              <w:right w:val="single" w:sz="4" w:space="0" w:color="auto"/>
            </w:tcBorders>
          </w:tcPr>
          <w:p w14:paraId="5A11D19F" w14:textId="77777777" w:rsidR="00FC43F2" w:rsidRPr="00AC57E3" w:rsidRDefault="00FC43F2" w:rsidP="003A49DA">
            <w:pPr>
              <w:jc w:val="center"/>
              <w:rPr>
                <w:rFonts w:ascii="Arial" w:hAnsi="Arial" w:cs="Arial"/>
                <w:sz w:val="20"/>
                <w:szCs w:val="20"/>
                <w:lang w:val="es-ES"/>
              </w:rPr>
            </w:pPr>
            <w:r w:rsidRPr="00180C32">
              <w:rPr>
                <w:rFonts w:ascii="Arial" w:hAnsi="Arial" w:cs="Arial"/>
                <w:sz w:val="20"/>
                <w:szCs w:val="20"/>
                <w:lang w:val="es-ES"/>
              </w:rPr>
              <w:t>-</w:t>
            </w:r>
            <w:r>
              <w:rPr>
                <w:rFonts w:ascii="Arial" w:hAnsi="Arial" w:cs="Arial"/>
                <w:sz w:val="20"/>
                <w:szCs w:val="20"/>
                <w:lang w:val="es-ES"/>
              </w:rPr>
              <w:t>74,54</w:t>
            </w:r>
            <w:r w:rsidRPr="00180C32">
              <w:rPr>
                <w:rFonts w:ascii="Arial" w:hAnsi="Arial" w:cs="Arial"/>
                <w:sz w:val="20"/>
                <w:szCs w:val="20"/>
                <w:lang w:val="es-ES"/>
              </w:rPr>
              <w:t xml:space="preserve">M </w:t>
            </w:r>
            <w:r w:rsidRPr="00AC57E3">
              <w:rPr>
                <w:rFonts w:ascii="Arial" w:hAnsi="Arial" w:cs="Arial"/>
                <w:sz w:val="20"/>
                <w:szCs w:val="20"/>
                <w:lang w:val="es-ES"/>
              </w:rPr>
              <w:t>$</w:t>
            </w:r>
          </w:p>
        </w:tc>
        <w:tc>
          <w:tcPr>
            <w:tcW w:w="1732" w:type="dxa"/>
            <w:tcBorders>
              <w:left w:val="single" w:sz="4" w:space="0" w:color="auto"/>
              <w:bottom w:val="single" w:sz="4" w:space="0" w:color="000000"/>
              <w:right w:val="single" w:sz="4" w:space="0" w:color="auto"/>
            </w:tcBorders>
          </w:tcPr>
          <w:p w14:paraId="78A3A77C" w14:textId="77777777" w:rsidR="00FC43F2" w:rsidRPr="00AC57E3" w:rsidRDefault="00FC43F2" w:rsidP="003A49DA">
            <w:pPr>
              <w:jc w:val="center"/>
              <w:rPr>
                <w:rFonts w:ascii="Arial" w:hAnsi="Arial" w:cs="Arial"/>
                <w:sz w:val="20"/>
                <w:szCs w:val="20"/>
                <w:lang w:val="es-ES"/>
              </w:rPr>
            </w:pPr>
            <w:r w:rsidRPr="00AC57E3">
              <w:rPr>
                <w:rFonts w:ascii="Arial" w:hAnsi="Arial" w:cs="Arial"/>
                <w:sz w:val="20"/>
                <w:szCs w:val="20"/>
                <w:lang w:val="es-ES"/>
              </w:rPr>
              <w:t>-</w:t>
            </w:r>
            <w:r>
              <w:rPr>
                <w:rFonts w:ascii="Arial" w:hAnsi="Arial" w:cs="Arial"/>
                <w:sz w:val="20"/>
                <w:szCs w:val="20"/>
                <w:lang w:val="es-ES"/>
              </w:rPr>
              <w:t>97,34</w:t>
            </w:r>
            <w:r w:rsidRPr="00AC57E3">
              <w:rPr>
                <w:rFonts w:ascii="Arial" w:hAnsi="Arial" w:cs="Arial"/>
                <w:sz w:val="20"/>
                <w:szCs w:val="20"/>
                <w:lang w:val="es-ES"/>
              </w:rPr>
              <w:t>M$</w:t>
            </w:r>
          </w:p>
        </w:tc>
        <w:tc>
          <w:tcPr>
            <w:tcW w:w="2187" w:type="dxa"/>
            <w:tcBorders>
              <w:left w:val="single" w:sz="4" w:space="0" w:color="auto"/>
              <w:bottom w:val="single" w:sz="4" w:space="0" w:color="000000"/>
              <w:right w:val="single" w:sz="4" w:space="0" w:color="auto"/>
            </w:tcBorders>
          </w:tcPr>
          <w:p w14:paraId="395D4160" w14:textId="77777777" w:rsidR="00FC43F2" w:rsidRPr="00AC57E3" w:rsidRDefault="00FC43F2" w:rsidP="003A49DA">
            <w:pPr>
              <w:jc w:val="center"/>
              <w:rPr>
                <w:rFonts w:ascii="Arial" w:hAnsi="Arial" w:cs="Arial"/>
                <w:sz w:val="20"/>
                <w:szCs w:val="20"/>
                <w:lang w:val="es-ES"/>
              </w:rPr>
            </w:pPr>
            <w:r w:rsidRPr="00AC57E3">
              <w:rPr>
                <w:rFonts w:ascii="Arial" w:hAnsi="Arial" w:cs="Arial"/>
                <w:sz w:val="20"/>
                <w:szCs w:val="20"/>
                <w:lang w:val="es-ES"/>
              </w:rPr>
              <w:t>-</w:t>
            </w:r>
            <w:r>
              <w:rPr>
                <w:rFonts w:ascii="Arial" w:hAnsi="Arial" w:cs="Arial"/>
                <w:sz w:val="20"/>
                <w:szCs w:val="20"/>
                <w:lang w:val="es-ES"/>
              </w:rPr>
              <w:t>77,83</w:t>
            </w:r>
            <w:r w:rsidRPr="00AC57E3">
              <w:rPr>
                <w:rFonts w:ascii="Arial" w:hAnsi="Arial" w:cs="Arial"/>
                <w:sz w:val="20"/>
                <w:szCs w:val="20"/>
                <w:lang w:val="es-ES"/>
              </w:rPr>
              <w:t>M$</w:t>
            </w:r>
          </w:p>
        </w:tc>
        <w:tc>
          <w:tcPr>
            <w:tcW w:w="1707" w:type="dxa"/>
            <w:tcBorders>
              <w:left w:val="single" w:sz="4" w:space="0" w:color="auto"/>
              <w:bottom w:val="single" w:sz="4" w:space="0" w:color="000000"/>
              <w:right w:val="single" w:sz="4" w:space="0" w:color="auto"/>
            </w:tcBorders>
          </w:tcPr>
          <w:p w14:paraId="49A1C722" w14:textId="77777777" w:rsidR="00FC43F2" w:rsidRPr="00AC57E3" w:rsidRDefault="00FC43F2" w:rsidP="003A49DA">
            <w:pPr>
              <w:jc w:val="center"/>
              <w:rPr>
                <w:rFonts w:ascii="Arial" w:hAnsi="Arial" w:cs="Arial"/>
                <w:sz w:val="20"/>
                <w:szCs w:val="20"/>
                <w:lang w:val="es-ES"/>
              </w:rPr>
            </w:pPr>
            <w:r>
              <w:rPr>
                <w:rFonts w:ascii="Arial" w:hAnsi="Arial" w:cs="Arial"/>
                <w:sz w:val="20"/>
                <w:szCs w:val="20"/>
                <w:lang w:val="es-ES"/>
              </w:rPr>
              <w:t>-83,86M$</w:t>
            </w:r>
          </w:p>
        </w:tc>
      </w:tr>
      <w:tr w:rsidR="00FC43F2" w:rsidRPr="00AC57E3" w14:paraId="49B6FD7D" w14:textId="77777777" w:rsidTr="003A49DA">
        <w:tc>
          <w:tcPr>
            <w:tcW w:w="1873" w:type="dxa"/>
            <w:tcBorders>
              <w:top w:val="single" w:sz="4" w:space="0" w:color="000000"/>
              <w:left w:val="single" w:sz="4" w:space="0" w:color="auto"/>
              <w:bottom w:val="single" w:sz="4" w:space="0" w:color="000000"/>
              <w:right w:val="single" w:sz="4" w:space="0" w:color="auto"/>
            </w:tcBorders>
          </w:tcPr>
          <w:p w14:paraId="51F703AC" w14:textId="77777777" w:rsidR="00FC43F2" w:rsidRPr="00AC57E3" w:rsidRDefault="00FC43F2" w:rsidP="003A49DA">
            <w:pPr>
              <w:rPr>
                <w:rFonts w:ascii="Arial" w:hAnsi="Arial" w:cs="Arial"/>
                <w:sz w:val="20"/>
                <w:szCs w:val="20"/>
                <w:lang w:val="es-ES"/>
              </w:rPr>
            </w:pPr>
            <w:r w:rsidRPr="00AC57E3">
              <w:rPr>
                <w:rFonts w:ascii="Arial" w:hAnsi="Arial" w:cs="Arial"/>
                <w:sz w:val="20"/>
                <w:szCs w:val="20"/>
                <w:lang w:val="es-ES"/>
              </w:rPr>
              <w:t>VPN Financiero</w:t>
            </w:r>
          </w:p>
        </w:tc>
        <w:tc>
          <w:tcPr>
            <w:tcW w:w="1602" w:type="dxa"/>
            <w:tcBorders>
              <w:top w:val="single" w:sz="4" w:space="0" w:color="000000"/>
              <w:left w:val="single" w:sz="4" w:space="0" w:color="auto"/>
              <w:bottom w:val="single" w:sz="4" w:space="0" w:color="000000"/>
              <w:right w:val="single" w:sz="4" w:space="0" w:color="auto"/>
            </w:tcBorders>
          </w:tcPr>
          <w:p w14:paraId="0C54C1E4" w14:textId="77777777" w:rsidR="00FC43F2" w:rsidRPr="00AC57E3" w:rsidRDefault="00FC43F2" w:rsidP="003A49DA">
            <w:pPr>
              <w:jc w:val="center"/>
              <w:rPr>
                <w:rFonts w:ascii="Arial" w:hAnsi="Arial" w:cs="Arial"/>
                <w:sz w:val="20"/>
                <w:szCs w:val="20"/>
                <w:lang w:val="es-ES"/>
              </w:rPr>
            </w:pPr>
            <w:r>
              <w:rPr>
                <w:rFonts w:ascii="Arial" w:hAnsi="Arial" w:cs="Arial"/>
                <w:sz w:val="20"/>
                <w:szCs w:val="20"/>
                <w:lang w:val="es-ES"/>
              </w:rPr>
              <w:t>67,32</w:t>
            </w:r>
            <w:r w:rsidRPr="00180C32">
              <w:rPr>
                <w:rFonts w:ascii="Arial" w:hAnsi="Arial" w:cs="Arial"/>
                <w:sz w:val="20"/>
                <w:szCs w:val="20"/>
                <w:lang w:val="es-ES"/>
              </w:rPr>
              <w:t xml:space="preserve">M </w:t>
            </w:r>
            <w:r w:rsidRPr="00AC57E3">
              <w:rPr>
                <w:rFonts w:ascii="Arial" w:hAnsi="Arial" w:cs="Arial"/>
                <w:sz w:val="20"/>
                <w:szCs w:val="20"/>
                <w:lang w:val="es-ES"/>
              </w:rPr>
              <w:t>$</w:t>
            </w:r>
          </w:p>
        </w:tc>
        <w:tc>
          <w:tcPr>
            <w:tcW w:w="1732" w:type="dxa"/>
            <w:tcBorders>
              <w:top w:val="single" w:sz="4" w:space="0" w:color="000000"/>
              <w:left w:val="single" w:sz="4" w:space="0" w:color="auto"/>
              <w:bottom w:val="single" w:sz="4" w:space="0" w:color="000000"/>
              <w:right w:val="single" w:sz="4" w:space="0" w:color="auto"/>
            </w:tcBorders>
          </w:tcPr>
          <w:p w14:paraId="2A9F0A97" w14:textId="77777777" w:rsidR="00FC43F2" w:rsidRPr="00AC57E3" w:rsidRDefault="00FC43F2" w:rsidP="003A49DA">
            <w:pPr>
              <w:jc w:val="center"/>
              <w:rPr>
                <w:rFonts w:ascii="Arial" w:hAnsi="Arial" w:cs="Arial"/>
                <w:sz w:val="20"/>
                <w:szCs w:val="20"/>
                <w:lang w:val="es-ES"/>
              </w:rPr>
            </w:pPr>
            <w:r>
              <w:rPr>
                <w:rFonts w:ascii="Arial" w:hAnsi="Arial" w:cs="Arial"/>
                <w:sz w:val="20"/>
                <w:szCs w:val="20"/>
                <w:lang w:val="es-ES"/>
              </w:rPr>
              <w:t>67,32M</w:t>
            </w:r>
            <w:r w:rsidRPr="00AC57E3">
              <w:rPr>
                <w:rFonts w:ascii="Arial" w:hAnsi="Arial" w:cs="Arial"/>
                <w:sz w:val="20"/>
                <w:szCs w:val="20"/>
                <w:lang w:val="es-ES"/>
              </w:rPr>
              <w:t>$</w:t>
            </w:r>
          </w:p>
        </w:tc>
        <w:tc>
          <w:tcPr>
            <w:tcW w:w="2187" w:type="dxa"/>
            <w:tcBorders>
              <w:top w:val="single" w:sz="4" w:space="0" w:color="000000"/>
              <w:left w:val="single" w:sz="4" w:space="0" w:color="auto"/>
              <w:bottom w:val="single" w:sz="4" w:space="0" w:color="000000"/>
              <w:right w:val="single" w:sz="4" w:space="0" w:color="auto"/>
            </w:tcBorders>
          </w:tcPr>
          <w:p w14:paraId="326616A0" w14:textId="77777777" w:rsidR="00FC43F2" w:rsidRPr="00AC57E3" w:rsidRDefault="00FC43F2" w:rsidP="003A49DA">
            <w:pPr>
              <w:jc w:val="center"/>
              <w:rPr>
                <w:rFonts w:ascii="Arial" w:hAnsi="Arial" w:cs="Arial"/>
                <w:sz w:val="20"/>
                <w:szCs w:val="20"/>
                <w:lang w:val="es-ES"/>
              </w:rPr>
            </w:pPr>
            <w:r>
              <w:rPr>
                <w:rFonts w:ascii="Arial" w:hAnsi="Arial" w:cs="Arial"/>
                <w:sz w:val="20"/>
                <w:szCs w:val="20"/>
                <w:lang w:val="es-ES"/>
              </w:rPr>
              <w:t>58,339</w:t>
            </w:r>
            <w:r w:rsidRPr="00AC57E3">
              <w:rPr>
                <w:rFonts w:ascii="Arial" w:hAnsi="Arial" w:cs="Arial"/>
                <w:sz w:val="20"/>
                <w:szCs w:val="20"/>
                <w:lang w:val="es-ES"/>
              </w:rPr>
              <w:t>M$</w:t>
            </w:r>
          </w:p>
        </w:tc>
        <w:tc>
          <w:tcPr>
            <w:tcW w:w="1707" w:type="dxa"/>
            <w:tcBorders>
              <w:top w:val="single" w:sz="4" w:space="0" w:color="000000"/>
              <w:left w:val="single" w:sz="4" w:space="0" w:color="auto"/>
              <w:bottom w:val="single" w:sz="4" w:space="0" w:color="000000"/>
              <w:right w:val="single" w:sz="4" w:space="0" w:color="auto"/>
            </w:tcBorders>
          </w:tcPr>
          <w:p w14:paraId="117ED4D1" w14:textId="77777777" w:rsidR="00FC43F2" w:rsidRDefault="00FC43F2" w:rsidP="003A49DA">
            <w:pPr>
              <w:jc w:val="center"/>
              <w:rPr>
                <w:rFonts w:ascii="Arial" w:hAnsi="Arial" w:cs="Arial"/>
                <w:sz w:val="20"/>
                <w:szCs w:val="20"/>
                <w:lang w:val="es-ES"/>
              </w:rPr>
            </w:pPr>
            <w:r>
              <w:rPr>
                <w:rFonts w:ascii="Arial" w:hAnsi="Arial" w:cs="Arial"/>
                <w:sz w:val="20"/>
                <w:szCs w:val="20"/>
                <w:lang w:val="es-ES"/>
              </w:rPr>
              <w:t>84,39M$</w:t>
            </w:r>
          </w:p>
        </w:tc>
      </w:tr>
      <w:tr w:rsidR="00FC43F2" w:rsidRPr="00AC57E3" w14:paraId="1AF64AC0" w14:textId="77777777" w:rsidTr="003A49DA">
        <w:tc>
          <w:tcPr>
            <w:tcW w:w="1873" w:type="dxa"/>
            <w:tcBorders>
              <w:top w:val="single" w:sz="4" w:space="0" w:color="000000"/>
              <w:left w:val="single" w:sz="4" w:space="0" w:color="auto"/>
              <w:bottom w:val="single" w:sz="4" w:space="0" w:color="000000"/>
              <w:right w:val="single" w:sz="4" w:space="0" w:color="auto"/>
            </w:tcBorders>
          </w:tcPr>
          <w:p w14:paraId="0C277AA8" w14:textId="77777777" w:rsidR="00FC43F2" w:rsidRPr="00AC57E3" w:rsidRDefault="00FC43F2" w:rsidP="003A49DA">
            <w:pPr>
              <w:rPr>
                <w:rFonts w:ascii="Arial" w:hAnsi="Arial" w:cs="Arial"/>
                <w:sz w:val="20"/>
                <w:szCs w:val="20"/>
                <w:lang w:val="es-ES"/>
              </w:rPr>
            </w:pPr>
            <w:r w:rsidRPr="00AC57E3">
              <w:rPr>
                <w:rFonts w:ascii="Arial" w:hAnsi="Arial" w:cs="Arial"/>
                <w:sz w:val="20"/>
                <w:szCs w:val="20"/>
                <w:lang w:val="es-ES"/>
              </w:rPr>
              <w:t>TIRE</w:t>
            </w:r>
          </w:p>
        </w:tc>
        <w:tc>
          <w:tcPr>
            <w:tcW w:w="1602" w:type="dxa"/>
            <w:tcBorders>
              <w:top w:val="single" w:sz="4" w:space="0" w:color="000000"/>
              <w:left w:val="single" w:sz="4" w:space="0" w:color="auto"/>
              <w:bottom w:val="single" w:sz="4" w:space="0" w:color="000000"/>
              <w:right w:val="single" w:sz="4" w:space="0" w:color="auto"/>
            </w:tcBorders>
          </w:tcPr>
          <w:p w14:paraId="61993521" w14:textId="77777777" w:rsidR="00FC43F2" w:rsidRPr="00AC57E3" w:rsidRDefault="00FC43F2" w:rsidP="003A49DA">
            <w:pPr>
              <w:jc w:val="center"/>
              <w:rPr>
                <w:rFonts w:ascii="Arial" w:hAnsi="Arial" w:cs="Arial"/>
                <w:sz w:val="20"/>
                <w:szCs w:val="20"/>
                <w:lang w:val="es-ES"/>
              </w:rPr>
            </w:pPr>
            <w:r w:rsidRPr="00AC57E3">
              <w:rPr>
                <w:rFonts w:ascii="Arial" w:hAnsi="Arial" w:cs="Arial"/>
                <w:sz w:val="20"/>
                <w:szCs w:val="20"/>
                <w:lang w:val="es-ES"/>
              </w:rPr>
              <w:t>&lt;0</w:t>
            </w:r>
          </w:p>
        </w:tc>
        <w:tc>
          <w:tcPr>
            <w:tcW w:w="1732" w:type="dxa"/>
            <w:tcBorders>
              <w:top w:val="single" w:sz="4" w:space="0" w:color="000000"/>
              <w:left w:val="single" w:sz="4" w:space="0" w:color="auto"/>
              <w:bottom w:val="single" w:sz="4" w:space="0" w:color="000000"/>
              <w:right w:val="single" w:sz="4" w:space="0" w:color="auto"/>
            </w:tcBorders>
          </w:tcPr>
          <w:p w14:paraId="4D98125F" w14:textId="77777777" w:rsidR="00FC43F2" w:rsidRPr="00AC57E3" w:rsidRDefault="00FC43F2" w:rsidP="003A49DA">
            <w:pPr>
              <w:jc w:val="center"/>
              <w:rPr>
                <w:rFonts w:ascii="Arial" w:hAnsi="Arial" w:cs="Arial"/>
                <w:sz w:val="20"/>
                <w:szCs w:val="20"/>
                <w:lang w:val="es-ES"/>
              </w:rPr>
            </w:pPr>
            <w:r w:rsidRPr="00AC57E3">
              <w:rPr>
                <w:rFonts w:ascii="Arial" w:hAnsi="Arial" w:cs="Arial"/>
                <w:sz w:val="20"/>
                <w:szCs w:val="20"/>
                <w:lang w:val="es-ES"/>
              </w:rPr>
              <w:t>&lt;0</w:t>
            </w:r>
          </w:p>
        </w:tc>
        <w:tc>
          <w:tcPr>
            <w:tcW w:w="2187" w:type="dxa"/>
            <w:tcBorders>
              <w:top w:val="single" w:sz="4" w:space="0" w:color="000000"/>
              <w:left w:val="single" w:sz="4" w:space="0" w:color="auto"/>
              <w:bottom w:val="single" w:sz="4" w:space="0" w:color="000000"/>
              <w:right w:val="single" w:sz="4" w:space="0" w:color="auto"/>
            </w:tcBorders>
          </w:tcPr>
          <w:p w14:paraId="5E05A91E" w14:textId="77777777" w:rsidR="00FC43F2" w:rsidRPr="00AC57E3" w:rsidRDefault="00FC43F2" w:rsidP="003A49DA">
            <w:pPr>
              <w:jc w:val="center"/>
              <w:rPr>
                <w:rFonts w:ascii="Arial" w:hAnsi="Arial" w:cs="Arial"/>
                <w:sz w:val="20"/>
                <w:szCs w:val="20"/>
                <w:lang w:val="es-ES"/>
              </w:rPr>
            </w:pPr>
            <w:r w:rsidRPr="00AC57E3">
              <w:rPr>
                <w:rFonts w:ascii="Arial" w:hAnsi="Arial" w:cs="Arial"/>
                <w:sz w:val="20"/>
                <w:szCs w:val="20"/>
                <w:lang w:val="es-ES"/>
              </w:rPr>
              <w:t>&lt;0</w:t>
            </w:r>
          </w:p>
        </w:tc>
        <w:tc>
          <w:tcPr>
            <w:tcW w:w="1707" w:type="dxa"/>
            <w:tcBorders>
              <w:top w:val="single" w:sz="4" w:space="0" w:color="000000"/>
              <w:left w:val="single" w:sz="4" w:space="0" w:color="auto"/>
              <w:bottom w:val="single" w:sz="4" w:space="0" w:color="000000"/>
              <w:right w:val="single" w:sz="4" w:space="0" w:color="auto"/>
            </w:tcBorders>
          </w:tcPr>
          <w:p w14:paraId="1A35BF3D" w14:textId="77777777" w:rsidR="00FC43F2" w:rsidRPr="00AC57E3" w:rsidRDefault="00FC43F2" w:rsidP="003A49DA">
            <w:pPr>
              <w:jc w:val="center"/>
              <w:rPr>
                <w:rFonts w:ascii="Arial" w:hAnsi="Arial" w:cs="Arial"/>
                <w:sz w:val="20"/>
                <w:szCs w:val="20"/>
                <w:lang w:val="es-ES"/>
              </w:rPr>
            </w:pPr>
            <w:r>
              <w:rPr>
                <w:rFonts w:ascii="Arial" w:hAnsi="Arial" w:cs="Arial"/>
                <w:sz w:val="20"/>
                <w:szCs w:val="20"/>
                <w:lang w:val="es-ES"/>
              </w:rPr>
              <w:t>&lt;0</w:t>
            </w:r>
          </w:p>
        </w:tc>
      </w:tr>
      <w:tr w:rsidR="00FC43F2" w:rsidRPr="00AC57E3" w14:paraId="16A5531E" w14:textId="77777777" w:rsidTr="003A49DA">
        <w:trPr>
          <w:trHeight w:val="404"/>
        </w:trPr>
        <w:tc>
          <w:tcPr>
            <w:tcW w:w="1873" w:type="dxa"/>
            <w:tcBorders>
              <w:top w:val="single" w:sz="4" w:space="0" w:color="000000"/>
              <w:left w:val="single" w:sz="4" w:space="0" w:color="auto"/>
              <w:right w:val="single" w:sz="4" w:space="0" w:color="auto"/>
            </w:tcBorders>
          </w:tcPr>
          <w:p w14:paraId="759E5514" w14:textId="77777777" w:rsidR="00FC43F2" w:rsidRPr="00AC57E3" w:rsidRDefault="00FC43F2" w:rsidP="003A49DA">
            <w:pPr>
              <w:rPr>
                <w:rFonts w:ascii="Arial" w:hAnsi="Arial" w:cs="Arial"/>
                <w:sz w:val="20"/>
                <w:szCs w:val="20"/>
                <w:lang w:val="es-ES"/>
              </w:rPr>
            </w:pPr>
            <w:r w:rsidRPr="00AC57E3">
              <w:rPr>
                <w:rFonts w:ascii="Arial" w:hAnsi="Arial" w:cs="Arial"/>
                <w:sz w:val="20"/>
                <w:szCs w:val="20"/>
                <w:lang w:val="es-ES"/>
              </w:rPr>
              <w:t>TIR Financiera</w:t>
            </w:r>
          </w:p>
        </w:tc>
        <w:tc>
          <w:tcPr>
            <w:tcW w:w="1602" w:type="dxa"/>
            <w:tcBorders>
              <w:top w:val="single" w:sz="4" w:space="0" w:color="000000"/>
              <w:left w:val="single" w:sz="4" w:space="0" w:color="auto"/>
              <w:right w:val="single" w:sz="4" w:space="0" w:color="auto"/>
            </w:tcBorders>
          </w:tcPr>
          <w:p w14:paraId="5632DC59" w14:textId="77777777" w:rsidR="00FC43F2" w:rsidRPr="00AC57E3" w:rsidRDefault="00FC43F2" w:rsidP="003A49DA">
            <w:pPr>
              <w:jc w:val="center"/>
              <w:rPr>
                <w:rFonts w:ascii="Arial" w:hAnsi="Arial" w:cs="Arial"/>
                <w:sz w:val="20"/>
                <w:szCs w:val="20"/>
                <w:lang w:val="es-ES"/>
              </w:rPr>
            </w:pPr>
            <w:r>
              <w:rPr>
                <w:rFonts w:ascii="Arial" w:hAnsi="Arial" w:cs="Arial"/>
                <w:sz w:val="20"/>
                <w:szCs w:val="20"/>
                <w:lang w:val="es-ES"/>
              </w:rPr>
              <w:t>148,5</w:t>
            </w:r>
            <w:r w:rsidRPr="00AC57E3">
              <w:rPr>
                <w:rFonts w:ascii="Arial" w:hAnsi="Arial" w:cs="Arial"/>
                <w:sz w:val="20"/>
                <w:szCs w:val="20"/>
                <w:lang w:val="es-ES"/>
              </w:rPr>
              <w:t>%</w:t>
            </w:r>
          </w:p>
        </w:tc>
        <w:tc>
          <w:tcPr>
            <w:tcW w:w="1732" w:type="dxa"/>
            <w:tcBorders>
              <w:top w:val="single" w:sz="4" w:space="0" w:color="000000"/>
              <w:left w:val="single" w:sz="4" w:space="0" w:color="auto"/>
              <w:right w:val="single" w:sz="4" w:space="0" w:color="auto"/>
            </w:tcBorders>
          </w:tcPr>
          <w:p w14:paraId="783C1460" w14:textId="77777777" w:rsidR="00FC43F2" w:rsidRPr="00AC57E3" w:rsidRDefault="00FC43F2" w:rsidP="003A49DA">
            <w:pPr>
              <w:jc w:val="center"/>
              <w:rPr>
                <w:rFonts w:ascii="Arial" w:hAnsi="Arial" w:cs="Arial"/>
                <w:sz w:val="20"/>
                <w:szCs w:val="20"/>
                <w:lang w:val="es-ES"/>
              </w:rPr>
            </w:pPr>
            <w:r>
              <w:rPr>
                <w:rFonts w:ascii="Arial" w:hAnsi="Arial" w:cs="Arial"/>
                <w:sz w:val="20"/>
                <w:szCs w:val="20"/>
                <w:lang w:val="es-ES"/>
              </w:rPr>
              <w:t>148,5</w:t>
            </w:r>
            <w:r w:rsidRPr="00AC57E3">
              <w:rPr>
                <w:rFonts w:ascii="Arial" w:hAnsi="Arial" w:cs="Arial"/>
                <w:sz w:val="20"/>
                <w:szCs w:val="20"/>
                <w:lang w:val="es-ES"/>
              </w:rPr>
              <w:t>%</w:t>
            </w:r>
          </w:p>
        </w:tc>
        <w:tc>
          <w:tcPr>
            <w:tcW w:w="2187" w:type="dxa"/>
            <w:tcBorders>
              <w:top w:val="single" w:sz="4" w:space="0" w:color="000000"/>
              <w:left w:val="single" w:sz="4" w:space="0" w:color="auto"/>
              <w:right w:val="single" w:sz="4" w:space="0" w:color="auto"/>
            </w:tcBorders>
          </w:tcPr>
          <w:p w14:paraId="33E6A31B" w14:textId="77777777" w:rsidR="00FC43F2" w:rsidRPr="00AC57E3" w:rsidRDefault="00FC43F2" w:rsidP="003A49DA">
            <w:pPr>
              <w:jc w:val="center"/>
              <w:rPr>
                <w:rFonts w:ascii="Arial" w:hAnsi="Arial" w:cs="Arial"/>
                <w:sz w:val="20"/>
                <w:szCs w:val="20"/>
                <w:lang w:val="es-ES"/>
              </w:rPr>
            </w:pPr>
            <w:r>
              <w:rPr>
                <w:rFonts w:ascii="Arial" w:hAnsi="Arial" w:cs="Arial"/>
                <w:sz w:val="20"/>
                <w:szCs w:val="20"/>
                <w:lang w:val="es-ES"/>
              </w:rPr>
              <w:t>87</w:t>
            </w:r>
            <w:r w:rsidRPr="00AC57E3">
              <w:rPr>
                <w:rFonts w:ascii="Arial" w:hAnsi="Arial" w:cs="Arial"/>
                <w:sz w:val="20"/>
                <w:szCs w:val="20"/>
                <w:lang w:val="es-ES"/>
              </w:rPr>
              <w:t>%</w:t>
            </w:r>
          </w:p>
        </w:tc>
        <w:tc>
          <w:tcPr>
            <w:tcW w:w="1707" w:type="dxa"/>
            <w:tcBorders>
              <w:top w:val="single" w:sz="4" w:space="0" w:color="000000"/>
              <w:left w:val="single" w:sz="4" w:space="0" w:color="auto"/>
              <w:right w:val="single" w:sz="4" w:space="0" w:color="auto"/>
            </w:tcBorders>
          </w:tcPr>
          <w:p w14:paraId="320C22F1" w14:textId="77777777" w:rsidR="00FC43F2" w:rsidRDefault="00FC43F2" w:rsidP="003A49DA">
            <w:pPr>
              <w:jc w:val="center"/>
              <w:rPr>
                <w:rFonts w:ascii="Arial" w:hAnsi="Arial" w:cs="Arial"/>
                <w:sz w:val="20"/>
                <w:szCs w:val="20"/>
                <w:lang w:val="es-ES"/>
              </w:rPr>
            </w:pPr>
            <w:r w:rsidRPr="00215709">
              <w:rPr>
                <w:rFonts w:ascii="Arial" w:hAnsi="Arial" w:cs="Arial"/>
                <w:sz w:val="20"/>
                <w:szCs w:val="20"/>
                <w:lang w:val="es-ES"/>
              </w:rPr>
              <w:t>148,5%</w:t>
            </w:r>
          </w:p>
        </w:tc>
      </w:tr>
    </w:tbl>
    <w:p w14:paraId="5F725806" w14:textId="77777777" w:rsidR="00FC43F2" w:rsidRDefault="00FC43F2" w:rsidP="00FC43F2">
      <w:pPr>
        <w:pStyle w:val="ListParagraph"/>
        <w:numPr>
          <w:ilvl w:val="1"/>
          <w:numId w:val="29"/>
        </w:numPr>
        <w:spacing w:before="240"/>
        <w:ind w:left="720" w:hanging="720"/>
        <w:contextualSpacing w:val="0"/>
        <w:jc w:val="both"/>
        <w:rPr>
          <w:rFonts w:ascii="Arial" w:hAnsi="Arial" w:cs="Arial"/>
          <w:sz w:val="22"/>
          <w:lang w:val="es-ES"/>
        </w:rPr>
      </w:pPr>
      <w:r w:rsidRPr="00854465">
        <w:rPr>
          <w:rFonts w:ascii="Arial" w:hAnsi="Arial" w:cs="Arial"/>
          <w:sz w:val="22"/>
          <w:lang w:val="es-ES"/>
        </w:rPr>
        <w:lastRenderedPageBreak/>
        <w:t>Se espera que un aumento en las tarifas produzca el efecto de reducción en el consumo. Al reducir el consumo, se espera se reduzcan los ingresos esperados por la empresa como resultados de los esfuerzos realizados para la reducción de pérdidas.  El ejercicio de sensibilidad intenta mostrar qu</w:t>
      </w:r>
      <w:r>
        <w:rPr>
          <w:rFonts w:ascii="Arial" w:hAnsi="Arial" w:cs="Arial"/>
          <w:sz w:val="22"/>
          <w:lang w:val="es-ES"/>
        </w:rPr>
        <w:t>é</w:t>
      </w:r>
      <w:r w:rsidRPr="00854465">
        <w:rPr>
          <w:rFonts w:ascii="Arial" w:hAnsi="Arial" w:cs="Arial"/>
          <w:sz w:val="22"/>
          <w:lang w:val="es-ES"/>
        </w:rPr>
        <w:t xml:space="preserve"> tan vulnerable es el resultado esperado a esa reducción en las tarifas.  De una menor elasticidad se espera menor respuesta del usuario de su nivel de consumo ante un cambio en el precio, reduciendo los beneficios económicos.</w:t>
      </w:r>
    </w:p>
    <w:p w14:paraId="40A7CBE0" w14:textId="77777777" w:rsidR="00FC43F2" w:rsidRDefault="00FC43F2" w:rsidP="00FC43F2">
      <w:pPr>
        <w:pStyle w:val="ListParagraph"/>
        <w:numPr>
          <w:ilvl w:val="1"/>
          <w:numId w:val="29"/>
        </w:numPr>
        <w:spacing w:before="240"/>
        <w:ind w:left="720" w:hanging="720"/>
        <w:contextualSpacing w:val="0"/>
        <w:jc w:val="both"/>
        <w:rPr>
          <w:rFonts w:ascii="Arial" w:hAnsi="Arial" w:cs="Arial"/>
          <w:sz w:val="22"/>
          <w:lang w:val="es-ES"/>
        </w:rPr>
      </w:pPr>
      <w:r w:rsidRPr="00954596">
        <w:rPr>
          <w:rFonts w:ascii="Arial" w:hAnsi="Arial" w:cs="Arial"/>
          <w:sz w:val="22"/>
          <w:lang w:val="es-ES"/>
        </w:rPr>
        <w:t>El análisis de sensibilidad arroja resultados en línea con el caso base, con una TIRE negativa y una alta TIR financiera.  El análisis de sensibilidad muestra la robustez de los resultados a un cambio en la estructura de demanda</w:t>
      </w:r>
      <w:r>
        <w:rPr>
          <w:rFonts w:ascii="Arial" w:hAnsi="Arial" w:cs="Arial"/>
          <w:sz w:val="22"/>
          <w:lang w:val="es-ES"/>
        </w:rPr>
        <w:t>, a pesar de la</w:t>
      </w:r>
      <w:r w:rsidRPr="00954596">
        <w:rPr>
          <w:rFonts w:ascii="Arial" w:hAnsi="Arial" w:cs="Arial"/>
          <w:sz w:val="22"/>
          <w:lang w:val="es-ES"/>
        </w:rPr>
        <w:t xml:space="preserve"> mayor rigidez en el nivel de consumo ante cambios en los precios; y </w:t>
      </w:r>
      <w:r>
        <w:rPr>
          <w:rFonts w:ascii="Arial" w:hAnsi="Arial" w:cs="Arial"/>
          <w:sz w:val="22"/>
          <w:lang w:val="es-ES"/>
        </w:rPr>
        <w:t xml:space="preserve">un fortalecimiento de los resultados </w:t>
      </w:r>
      <w:r w:rsidRPr="00954596">
        <w:rPr>
          <w:rFonts w:ascii="Arial" w:hAnsi="Arial" w:cs="Arial"/>
          <w:sz w:val="22"/>
          <w:lang w:val="es-ES"/>
        </w:rPr>
        <w:t>ante aumentos en el valor de las tarifas.</w:t>
      </w:r>
    </w:p>
    <w:p w14:paraId="00452739" w14:textId="77777777" w:rsidR="00FC43F2" w:rsidRPr="00216A18" w:rsidRDefault="00FC43F2" w:rsidP="00FC43F2">
      <w:pPr>
        <w:pStyle w:val="Heading2"/>
        <w:numPr>
          <w:ilvl w:val="0"/>
          <w:numId w:val="31"/>
        </w:numPr>
        <w:jc w:val="center"/>
        <w:rPr>
          <w:rFonts w:ascii="Arial" w:hAnsi="Arial" w:cs="Arial"/>
          <w:b w:val="0"/>
          <w:color w:val="auto"/>
          <w:sz w:val="22"/>
          <w:szCs w:val="22"/>
          <w:lang w:val="es-ES"/>
        </w:rPr>
      </w:pPr>
      <w:bookmarkStart w:id="5" w:name="_Toc496828299"/>
      <w:r w:rsidRPr="00216A18">
        <w:rPr>
          <w:rFonts w:ascii="Arial" w:hAnsi="Arial" w:cs="Arial"/>
          <w:color w:val="auto"/>
          <w:sz w:val="22"/>
          <w:szCs w:val="22"/>
          <w:lang w:val="es-ES"/>
        </w:rPr>
        <w:t>Focalización de subsidios.</w:t>
      </w:r>
      <w:bookmarkEnd w:id="5"/>
    </w:p>
    <w:p w14:paraId="77FE56D2" w14:textId="77777777" w:rsidR="00FC43F2" w:rsidRPr="00BD540F" w:rsidRDefault="00FC43F2" w:rsidP="00FC43F2">
      <w:pPr>
        <w:pStyle w:val="ListParagraph"/>
        <w:numPr>
          <w:ilvl w:val="1"/>
          <w:numId w:val="29"/>
        </w:numPr>
        <w:spacing w:before="240"/>
        <w:ind w:left="720" w:hanging="720"/>
        <w:contextualSpacing w:val="0"/>
        <w:jc w:val="both"/>
        <w:rPr>
          <w:rFonts w:ascii="Arial" w:hAnsi="Arial" w:cs="Arial"/>
          <w:sz w:val="22"/>
          <w:lang w:val="es-ES"/>
        </w:rPr>
      </w:pPr>
      <w:r w:rsidRPr="00BD540F">
        <w:rPr>
          <w:rFonts w:ascii="Arial" w:hAnsi="Arial" w:cs="Arial"/>
          <w:b/>
          <w:sz w:val="22"/>
          <w:lang w:val="es-ES"/>
        </w:rPr>
        <w:t>Suposiciones y Metodología</w:t>
      </w:r>
      <w:r w:rsidRPr="00BD540F">
        <w:rPr>
          <w:rFonts w:ascii="Arial" w:hAnsi="Arial" w:cs="Arial"/>
          <w:sz w:val="22"/>
          <w:lang w:val="es-ES"/>
        </w:rPr>
        <w:t xml:space="preserve">. La focalización de subsidios tiene como objetivo ajustar las tarifas de sectores residenciales subsidiados para reflejar mejor los costos del servicio y enfocar los apoyos al consumo en los grupos de menor capacidad de pago.  </w:t>
      </w:r>
      <w:r>
        <w:rPr>
          <w:rFonts w:ascii="Arial" w:hAnsi="Arial" w:cs="Arial"/>
          <w:sz w:val="22"/>
          <w:lang w:val="es-ES"/>
        </w:rPr>
        <w:t>En l</w:t>
      </w:r>
      <w:r w:rsidRPr="00BD540F">
        <w:rPr>
          <w:rFonts w:ascii="Arial" w:hAnsi="Arial" w:cs="Arial"/>
          <w:sz w:val="22"/>
          <w:lang w:val="es-ES"/>
        </w:rPr>
        <w:t>a estructura tarifaria actual</w:t>
      </w:r>
      <w:r>
        <w:rPr>
          <w:rFonts w:ascii="Arial" w:hAnsi="Arial" w:cs="Arial"/>
          <w:sz w:val="22"/>
          <w:lang w:val="es-ES"/>
        </w:rPr>
        <w:t>,</w:t>
      </w:r>
      <w:r w:rsidRPr="00BD540F">
        <w:rPr>
          <w:rFonts w:ascii="Arial" w:hAnsi="Arial" w:cs="Arial"/>
          <w:sz w:val="22"/>
          <w:lang w:val="es-ES"/>
        </w:rPr>
        <w:t xml:space="preserve"> el segmento de los subsidios abarca un gran rango de categorías de consumidores</w:t>
      </w:r>
      <w:r>
        <w:rPr>
          <w:rFonts w:ascii="Arial" w:hAnsi="Arial" w:cs="Arial"/>
          <w:sz w:val="22"/>
          <w:lang w:val="es-ES"/>
        </w:rPr>
        <w:t xml:space="preserve">. </w:t>
      </w:r>
      <w:r w:rsidRPr="00BD540F">
        <w:rPr>
          <w:rFonts w:ascii="Arial" w:hAnsi="Arial" w:cs="Arial"/>
          <w:sz w:val="22"/>
          <w:lang w:val="es-ES"/>
        </w:rPr>
        <w:t xml:space="preserve">El objetivo de la medida de focalización consiste en reducir el rango de manera sustancial.  Los beneficios económicos de la focalización de subsidios para un rango de consumo residencial consisten en las consecuencias de un aumento tarifario que incide sobre el </w:t>
      </w:r>
      <w:r>
        <w:rPr>
          <w:rFonts w:ascii="Arial" w:hAnsi="Arial" w:cs="Arial"/>
          <w:sz w:val="22"/>
          <w:lang w:val="es-ES"/>
        </w:rPr>
        <w:t xml:space="preserve">nivel de </w:t>
      </w:r>
      <w:r w:rsidRPr="00BD540F">
        <w:rPr>
          <w:rFonts w:ascii="Arial" w:hAnsi="Arial" w:cs="Arial"/>
          <w:sz w:val="22"/>
          <w:lang w:val="es-ES"/>
        </w:rPr>
        <w:t>consumo de los usuarios en el rango analizado. La reducción de consumo que acompaña el aumento de la tarifa lleva a una mejor asignación de recursos, que se explica en la Figura 2:</w:t>
      </w:r>
    </w:p>
    <w:p w14:paraId="7355C16E" w14:textId="77777777" w:rsidR="00FC43F2" w:rsidRDefault="00FC43F2" w:rsidP="00FC43F2">
      <w:pPr>
        <w:rPr>
          <w:lang w:val="es-ES"/>
        </w:rPr>
      </w:pPr>
      <w:r>
        <w:rPr>
          <w:noProof/>
        </w:rPr>
        <w:drawing>
          <wp:inline distT="0" distB="0" distL="0" distR="0" wp14:anchorId="02982298" wp14:editId="2173DF30">
            <wp:extent cx="5400675" cy="280408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414984" cy="2811512"/>
                    </a:xfrm>
                    <a:prstGeom prst="rect">
                      <a:avLst/>
                    </a:prstGeom>
                    <a:noFill/>
                    <a:ln w="9525">
                      <a:noFill/>
                      <a:miter lim="800000"/>
                      <a:headEnd/>
                      <a:tailEnd/>
                    </a:ln>
                  </pic:spPr>
                </pic:pic>
              </a:graphicData>
            </a:graphic>
          </wp:inline>
        </w:drawing>
      </w:r>
    </w:p>
    <w:p w14:paraId="3BEA8D07" w14:textId="77777777" w:rsidR="00FC43F2" w:rsidRPr="004E03BF" w:rsidRDefault="00FC43F2" w:rsidP="00FC43F2">
      <w:pPr>
        <w:pStyle w:val="ListParagraph"/>
        <w:spacing w:before="0"/>
        <w:ind w:left="360"/>
        <w:contextualSpacing w:val="0"/>
        <w:jc w:val="both"/>
        <w:rPr>
          <w:rFonts w:ascii="Arial" w:hAnsi="Arial" w:cs="Arial"/>
          <w:b/>
          <w:sz w:val="22"/>
          <w:lang w:val="es-ES"/>
        </w:rPr>
      </w:pPr>
      <w:r w:rsidRPr="004E03BF">
        <w:rPr>
          <w:rFonts w:ascii="Arial" w:hAnsi="Arial" w:cs="Arial"/>
          <w:b/>
          <w:sz w:val="22"/>
          <w:lang w:val="es-ES"/>
        </w:rPr>
        <w:t xml:space="preserve">Figura 2: Curva de Demanda antes y después de </w:t>
      </w:r>
      <w:r>
        <w:rPr>
          <w:rFonts w:ascii="Arial" w:hAnsi="Arial" w:cs="Arial"/>
          <w:b/>
          <w:sz w:val="22"/>
          <w:lang w:val="es-ES"/>
        </w:rPr>
        <w:t>focalización de subsidio</w:t>
      </w:r>
    </w:p>
    <w:p w14:paraId="303106F5" w14:textId="77777777" w:rsidR="00FC43F2" w:rsidRPr="00C4698B" w:rsidRDefault="00FC43F2" w:rsidP="00FC43F2">
      <w:pPr>
        <w:pStyle w:val="ListParagraph"/>
        <w:numPr>
          <w:ilvl w:val="1"/>
          <w:numId w:val="29"/>
        </w:numPr>
        <w:spacing w:before="240"/>
        <w:ind w:left="720" w:hanging="720"/>
        <w:contextualSpacing w:val="0"/>
        <w:jc w:val="both"/>
        <w:rPr>
          <w:rFonts w:ascii="Arial" w:hAnsi="Arial" w:cs="Arial"/>
          <w:sz w:val="22"/>
          <w:lang w:val="es-ES"/>
        </w:rPr>
      </w:pPr>
      <w:r w:rsidRPr="00C4698B">
        <w:rPr>
          <w:rFonts w:ascii="Arial" w:hAnsi="Arial" w:cs="Arial"/>
          <w:sz w:val="22"/>
          <w:lang w:val="es-ES"/>
        </w:rPr>
        <w:t>El eje de las abscisas representa el consumo de usuarios en un determinado rango.  Q</w:t>
      </w:r>
      <w:r w:rsidRPr="00C4698B">
        <w:rPr>
          <w:rFonts w:ascii="Arial" w:hAnsi="Arial" w:cs="Arial"/>
          <w:sz w:val="22"/>
          <w:vertAlign w:val="subscript"/>
          <w:lang w:val="es-ES"/>
        </w:rPr>
        <w:t>0</w:t>
      </w:r>
      <w:r w:rsidRPr="00C4698B">
        <w:rPr>
          <w:rFonts w:ascii="Arial" w:hAnsi="Arial" w:cs="Arial"/>
          <w:sz w:val="22"/>
          <w:lang w:val="es-ES"/>
        </w:rPr>
        <w:t xml:space="preserve"> es el consumo previo al ajuste, con un precio P</w:t>
      </w:r>
      <w:r w:rsidRPr="00C4698B">
        <w:rPr>
          <w:rFonts w:ascii="Arial" w:hAnsi="Arial" w:cs="Arial"/>
          <w:sz w:val="22"/>
          <w:vertAlign w:val="subscript"/>
          <w:lang w:val="es-ES"/>
        </w:rPr>
        <w:t>0</w:t>
      </w:r>
      <w:r w:rsidRPr="00C4698B">
        <w:rPr>
          <w:rFonts w:ascii="Arial" w:hAnsi="Arial" w:cs="Arial"/>
          <w:sz w:val="22"/>
          <w:lang w:val="es-ES"/>
        </w:rPr>
        <w:t>.  Al ajustarse la tarifa a P</w:t>
      </w:r>
      <w:r w:rsidRPr="00C4698B">
        <w:rPr>
          <w:rFonts w:ascii="Arial" w:hAnsi="Arial" w:cs="Arial"/>
          <w:sz w:val="22"/>
          <w:vertAlign w:val="subscript"/>
          <w:lang w:val="es-ES"/>
        </w:rPr>
        <w:t>1</w:t>
      </w:r>
      <w:r w:rsidRPr="00C4698B">
        <w:rPr>
          <w:rFonts w:ascii="Arial" w:hAnsi="Arial" w:cs="Arial"/>
          <w:sz w:val="22"/>
          <w:lang w:val="es-ES"/>
        </w:rPr>
        <w:t>, el consumo disminuye hasta Q</w:t>
      </w:r>
      <w:r w:rsidRPr="00C4698B">
        <w:rPr>
          <w:rFonts w:ascii="Arial" w:hAnsi="Arial" w:cs="Arial"/>
          <w:sz w:val="22"/>
          <w:vertAlign w:val="subscript"/>
          <w:lang w:val="es-ES"/>
        </w:rPr>
        <w:t>1</w:t>
      </w:r>
      <w:r w:rsidRPr="00C4698B">
        <w:rPr>
          <w:rFonts w:ascii="Arial" w:hAnsi="Arial" w:cs="Arial"/>
          <w:sz w:val="22"/>
          <w:lang w:val="es-ES"/>
        </w:rPr>
        <w:t xml:space="preserve">.  En el proceso, se recupera el costo de las áreas D+E, y los consumidores pierden el excedente del área D.  El beneficio económico neto está representado por el área E.  Los beneficios financieros de la empresa están </w:t>
      </w:r>
      <w:r w:rsidRPr="00C4698B">
        <w:rPr>
          <w:rFonts w:ascii="Arial" w:hAnsi="Arial" w:cs="Arial"/>
          <w:sz w:val="22"/>
          <w:lang w:val="es-ES"/>
        </w:rPr>
        <w:lastRenderedPageBreak/>
        <w:t>representados por los incrementos en facturación y el ahorro neto en costos de suministro, iguales a las áreas C+D+E.</w:t>
      </w:r>
    </w:p>
    <w:p w14:paraId="63E4AE6F" w14:textId="77777777" w:rsidR="00FC43F2" w:rsidRPr="00D93A7C" w:rsidRDefault="00FC43F2" w:rsidP="00FC43F2">
      <w:pPr>
        <w:pStyle w:val="ListParagraph"/>
        <w:numPr>
          <w:ilvl w:val="1"/>
          <w:numId w:val="29"/>
        </w:numPr>
        <w:spacing w:before="240" w:after="240"/>
        <w:ind w:left="720" w:hanging="720"/>
        <w:contextualSpacing w:val="0"/>
        <w:jc w:val="both"/>
        <w:rPr>
          <w:rFonts w:ascii="Arial" w:hAnsi="Arial" w:cs="Arial"/>
          <w:sz w:val="22"/>
          <w:lang w:val="es-ES"/>
        </w:rPr>
      </w:pPr>
      <w:r w:rsidRPr="00D93A7C">
        <w:rPr>
          <w:rFonts w:ascii="Arial" w:hAnsi="Arial" w:cs="Arial"/>
          <w:b/>
          <w:sz w:val="22"/>
          <w:lang w:val="es-ES"/>
        </w:rPr>
        <w:t xml:space="preserve">Beneficios económicos y financieros. </w:t>
      </w:r>
      <w:r w:rsidRPr="00D93A7C">
        <w:rPr>
          <w:rFonts w:ascii="Arial" w:hAnsi="Arial" w:cs="Arial"/>
          <w:sz w:val="22"/>
          <w:lang w:val="es-ES"/>
        </w:rPr>
        <w:t>La aplicación de la metodología arroja los resultados que se ilustran en detalle para el rango de 0-50kWh en el Cuadro 6.</w:t>
      </w:r>
    </w:p>
    <w:p w14:paraId="5704B276" w14:textId="77777777" w:rsidR="00FC43F2" w:rsidRDefault="00FC43F2" w:rsidP="00FC43F2">
      <w:pPr>
        <w:spacing w:before="0"/>
        <w:jc w:val="center"/>
        <w:rPr>
          <w:rFonts w:ascii="Arial" w:hAnsi="Arial" w:cs="Arial"/>
          <w:b/>
          <w:sz w:val="22"/>
          <w:lang w:val="es-ES"/>
        </w:rPr>
      </w:pPr>
      <w:r w:rsidRPr="004E03BF">
        <w:rPr>
          <w:rFonts w:ascii="Arial" w:hAnsi="Arial" w:cs="Arial"/>
          <w:b/>
          <w:sz w:val="22"/>
          <w:lang w:val="es-ES"/>
        </w:rPr>
        <w:t xml:space="preserve">Cuadro </w:t>
      </w:r>
      <w:r>
        <w:rPr>
          <w:rFonts w:ascii="Arial" w:hAnsi="Arial" w:cs="Arial"/>
          <w:b/>
          <w:sz w:val="22"/>
          <w:lang w:val="es-ES"/>
        </w:rPr>
        <w:t>6</w:t>
      </w:r>
      <w:r w:rsidRPr="004E03BF">
        <w:rPr>
          <w:rFonts w:ascii="Arial" w:hAnsi="Arial" w:cs="Arial"/>
          <w:b/>
          <w:sz w:val="22"/>
          <w:lang w:val="es-ES"/>
        </w:rPr>
        <w:t xml:space="preserve"> – Evaluación </w:t>
      </w:r>
      <w:r>
        <w:rPr>
          <w:rFonts w:ascii="Arial" w:hAnsi="Arial" w:cs="Arial"/>
          <w:b/>
          <w:sz w:val="22"/>
          <w:lang w:val="es-ES"/>
        </w:rPr>
        <w:t xml:space="preserve">Económica y </w:t>
      </w:r>
      <w:r w:rsidRPr="004E03BF">
        <w:rPr>
          <w:rFonts w:ascii="Arial" w:hAnsi="Arial" w:cs="Arial"/>
          <w:b/>
          <w:sz w:val="22"/>
          <w:lang w:val="es-ES"/>
        </w:rPr>
        <w:t xml:space="preserve">Financiera </w:t>
      </w:r>
      <w:r>
        <w:rPr>
          <w:rFonts w:ascii="Arial" w:hAnsi="Arial" w:cs="Arial"/>
          <w:b/>
          <w:sz w:val="22"/>
          <w:lang w:val="es-ES"/>
        </w:rPr>
        <w:t>Focalización Subsidio</w:t>
      </w:r>
    </w:p>
    <w:p w14:paraId="6A3F4669" w14:textId="77777777" w:rsidR="00FC43F2" w:rsidRPr="004E03BF" w:rsidRDefault="00FC43F2" w:rsidP="00FC43F2">
      <w:pPr>
        <w:spacing w:before="0"/>
        <w:jc w:val="center"/>
        <w:rPr>
          <w:rFonts w:ascii="Arial" w:hAnsi="Arial" w:cs="Arial"/>
          <w:b/>
          <w:sz w:val="22"/>
          <w:lang w:val="es-ES"/>
        </w:rPr>
      </w:pPr>
      <w:r>
        <w:rPr>
          <w:rFonts w:ascii="Arial" w:hAnsi="Arial" w:cs="Arial"/>
          <w:b/>
          <w:sz w:val="22"/>
          <w:lang w:val="es-ES"/>
        </w:rPr>
        <w:t>Caso consumo 0-50 kWh/mes</w:t>
      </w:r>
    </w:p>
    <w:p w14:paraId="187D196A" w14:textId="77777777" w:rsidR="00FC43F2" w:rsidRDefault="00FC43F2" w:rsidP="00FC43F2">
      <w:pPr>
        <w:ind w:left="-900" w:hanging="270"/>
        <w:rPr>
          <w:lang w:val="es-ES"/>
        </w:rPr>
      </w:pPr>
      <w:r w:rsidRPr="00350185">
        <w:rPr>
          <w:noProof/>
        </w:rPr>
        <w:drawing>
          <wp:inline distT="0" distB="0" distL="0" distR="0" wp14:anchorId="7545F03B" wp14:editId="171DF655">
            <wp:extent cx="7067550" cy="284123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4647" cy="2860171"/>
                    </a:xfrm>
                    <a:prstGeom prst="rect">
                      <a:avLst/>
                    </a:prstGeom>
                    <a:noFill/>
                    <a:ln>
                      <a:noFill/>
                    </a:ln>
                  </pic:spPr>
                </pic:pic>
              </a:graphicData>
            </a:graphic>
          </wp:inline>
        </w:drawing>
      </w:r>
    </w:p>
    <w:p w14:paraId="1244C73C" w14:textId="77777777" w:rsidR="00FC43F2" w:rsidRDefault="00FC43F2" w:rsidP="00FC43F2">
      <w:pPr>
        <w:pStyle w:val="ListParagraph"/>
        <w:numPr>
          <w:ilvl w:val="1"/>
          <w:numId w:val="29"/>
        </w:numPr>
        <w:spacing w:before="240" w:after="240"/>
        <w:ind w:left="720" w:hanging="720"/>
        <w:contextualSpacing w:val="0"/>
        <w:jc w:val="both"/>
        <w:rPr>
          <w:rFonts w:ascii="Arial" w:hAnsi="Arial" w:cs="Arial"/>
          <w:lang w:val="es-ES"/>
        </w:rPr>
      </w:pPr>
      <w:r w:rsidRPr="000E4AE7">
        <w:rPr>
          <w:rFonts w:ascii="Arial" w:hAnsi="Arial" w:cs="Arial"/>
          <w:lang w:val="es-ES"/>
        </w:rPr>
        <w:t xml:space="preserve">Los beneficios económicos y financieros totales del modelo </w:t>
      </w:r>
      <w:r>
        <w:rPr>
          <w:rFonts w:ascii="Arial" w:hAnsi="Arial" w:cs="Arial"/>
          <w:lang w:val="es-ES"/>
        </w:rPr>
        <w:t xml:space="preserve">para los diferentes estratos de consumo </w:t>
      </w:r>
      <w:r w:rsidRPr="000E4AE7">
        <w:rPr>
          <w:rFonts w:ascii="Arial" w:hAnsi="Arial" w:cs="Arial"/>
          <w:lang w:val="es-ES"/>
        </w:rPr>
        <w:t xml:space="preserve">se resumen en </w:t>
      </w:r>
      <w:r>
        <w:rPr>
          <w:rFonts w:ascii="Arial" w:hAnsi="Arial" w:cs="Arial"/>
          <w:lang w:val="es-ES"/>
        </w:rPr>
        <w:t>el Cuadro 7.</w:t>
      </w:r>
    </w:p>
    <w:p w14:paraId="739C0676" w14:textId="77777777" w:rsidR="00FC43F2" w:rsidRDefault="00FC43F2" w:rsidP="00FC43F2">
      <w:pPr>
        <w:spacing w:before="0"/>
        <w:jc w:val="center"/>
        <w:rPr>
          <w:rFonts w:ascii="Arial" w:hAnsi="Arial" w:cs="Arial"/>
          <w:b/>
          <w:sz w:val="22"/>
          <w:lang w:val="es-ES"/>
        </w:rPr>
      </w:pPr>
    </w:p>
    <w:p w14:paraId="43B0C983" w14:textId="77777777" w:rsidR="00FC43F2" w:rsidRDefault="00FC43F2" w:rsidP="00FC43F2">
      <w:pPr>
        <w:spacing w:before="0"/>
        <w:jc w:val="center"/>
        <w:rPr>
          <w:rFonts w:ascii="Arial" w:hAnsi="Arial" w:cs="Arial"/>
          <w:b/>
          <w:sz w:val="22"/>
          <w:lang w:val="es-ES"/>
        </w:rPr>
      </w:pPr>
      <w:r w:rsidRPr="004E03BF">
        <w:rPr>
          <w:rFonts w:ascii="Arial" w:hAnsi="Arial" w:cs="Arial"/>
          <w:b/>
          <w:sz w:val="22"/>
          <w:lang w:val="es-ES"/>
        </w:rPr>
        <w:t xml:space="preserve">Cuadro </w:t>
      </w:r>
      <w:r>
        <w:rPr>
          <w:rFonts w:ascii="Arial" w:hAnsi="Arial" w:cs="Arial"/>
          <w:b/>
          <w:sz w:val="22"/>
          <w:lang w:val="es-ES"/>
        </w:rPr>
        <w:t>7</w:t>
      </w:r>
      <w:r w:rsidRPr="004E03BF">
        <w:rPr>
          <w:rFonts w:ascii="Arial" w:hAnsi="Arial" w:cs="Arial"/>
          <w:b/>
          <w:sz w:val="22"/>
          <w:lang w:val="es-ES"/>
        </w:rPr>
        <w:t xml:space="preserve"> – Evaluación </w:t>
      </w:r>
      <w:r>
        <w:rPr>
          <w:rFonts w:ascii="Arial" w:hAnsi="Arial" w:cs="Arial"/>
          <w:b/>
          <w:sz w:val="22"/>
          <w:lang w:val="es-ES"/>
        </w:rPr>
        <w:t xml:space="preserve">Económica y </w:t>
      </w:r>
      <w:r w:rsidRPr="004E03BF">
        <w:rPr>
          <w:rFonts w:ascii="Arial" w:hAnsi="Arial" w:cs="Arial"/>
          <w:b/>
          <w:sz w:val="22"/>
          <w:lang w:val="es-ES"/>
        </w:rPr>
        <w:t xml:space="preserve">Financiera </w:t>
      </w:r>
    </w:p>
    <w:p w14:paraId="702F8F1D" w14:textId="77777777" w:rsidR="00FC43F2" w:rsidRDefault="00FC43F2" w:rsidP="00FC43F2">
      <w:pPr>
        <w:spacing w:before="0"/>
        <w:jc w:val="center"/>
        <w:rPr>
          <w:rFonts w:ascii="Arial" w:hAnsi="Arial" w:cs="Arial"/>
          <w:b/>
          <w:sz w:val="22"/>
          <w:lang w:val="es-ES"/>
        </w:rPr>
      </w:pPr>
      <w:r>
        <w:rPr>
          <w:rFonts w:ascii="Arial" w:hAnsi="Arial" w:cs="Arial"/>
          <w:b/>
          <w:sz w:val="22"/>
          <w:lang w:val="es-ES"/>
        </w:rPr>
        <w:t>Focalización Subsidio - Total rangos de consumo</w:t>
      </w:r>
    </w:p>
    <w:p w14:paraId="6B923448" w14:textId="77777777" w:rsidR="00FC43F2" w:rsidRDefault="00FC43F2" w:rsidP="00FC43F2">
      <w:pPr>
        <w:ind w:left="-900" w:right="-7" w:hanging="270"/>
        <w:jc w:val="both"/>
        <w:rPr>
          <w:lang w:val="es-ES"/>
        </w:rPr>
      </w:pPr>
      <w:r w:rsidRPr="00EA097E">
        <w:rPr>
          <w:noProof/>
        </w:rPr>
        <w:lastRenderedPageBreak/>
        <w:drawing>
          <wp:inline distT="0" distB="0" distL="0" distR="0" wp14:anchorId="737FC7C2" wp14:editId="081F561D">
            <wp:extent cx="7339321" cy="3025356"/>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391007" cy="3046662"/>
                    </a:xfrm>
                    <a:prstGeom prst="rect">
                      <a:avLst/>
                    </a:prstGeom>
                    <a:noFill/>
                    <a:ln>
                      <a:noFill/>
                    </a:ln>
                  </pic:spPr>
                </pic:pic>
              </a:graphicData>
            </a:graphic>
          </wp:inline>
        </w:drawing>
      </w:r>
    </w:p>
    <w:p w14:paraId="62ECABF6" w14:textId="77777777" w:rsidR="00FC43F2" w:rsidRPr="00187A15" w:rsidRDefault="00FC43F2" w:rsidP="00FC43F2">
      <w:pPr>
        <w:pStyle w:val="ListParagraph"/>
        <w:spacing w:before="240" w:after="240"/>
        <w:contextualSpacing w:val="0"/>
        <w:jc w:val="both"/>
        <w:rPr>
          <w:rFonts w:ascii="Arial" w:hAnsi="Arial" w:cs="Arial"/>
          <w:sz w:val="22"/>
          <w:lang w:val="es-ES"/>
        </w:rPr>
      </w:pPr>
    </w:p>
    <w:p w14:paraId="2C8DD54F" w14:textId="77777777" w:rsidR="00FC43F2" w:rsidRDefault="00FC43F2" w:rsidP="00FC43F2">
      <w:pPr>
        <w:pStyle w:val="ListParagraph"/>
        <w:numPr>
          <w:ilvl w:val="1"/>
          <w:numId w:val="29"/>
        </w:numPr>
        <w:spacing w:before="240" w:after="240"/>
        <w:ind w:left="720" w:hanging="720"/>
        <w:contextualSpacing w:val="0"/>
        <w:jc w:val="both"/>
        <w:rPr>
          <w:rFonts w:ascii="Arial" w:hAnsi="Arial" w:cs="Arial"/>
          <w:sz w:val="22"/>
          <w:lang w:val="es-ES"/>
        </w:rPr>
      </w:pPr>
      <w:r w:rsidRPr="000E4AE7">
        <w:rPr>
          <w:rFonts w:ascii="Arial" w:hAnsi="Arial" w:cs="Arial"/>
          <w:b/>
          <w:sz w:val="22"/>
          <w:lang w:val="es-ES"/>
        </w:rPr>
        <w:t>Costos Económicos</w:t>
      </w:r>
      <w:r>
        <w:rPr>
          <w:rFonts w:ascii="Arial" w:hAnsi="Arial" w:cs="Arial"/>
          <w:b/>
          <w:sz w:val="22"/>
          <w:lang w:val="es-ES"/>
        </w:rPr>
        <w:t xml:space="preserve">. </w:t>
      </w:r>
      <w:r w:rsidRPr="000E4AE7">
        <w:rPr>
          <w:rFonts w:ascii="Arial" w:hAnsi="Arial" w:cs="Arial"/>
          <w:sz w:val="22"/>
          <w:lang w:val="es-ES"/>
        </w:rPr>
        <w:t xml:space="preserve">La focalización de subsidios se logra con medidas administrativas </w:t>
      </w:r>
      <w:r>
        <w:rPr>
          <w:rFonts w:ascii="Arial" w:hAnsi="Arial" w:cs="Arial"/>
          <w:sz w:val="22"/>
          <w:lang w:val="es-ES"/>
        </w:rPr>
        <w:t>de bajo costo</w:t>
      </w:r>
      <w:r w:rsidRPr="000E4AE7">
        <w:rPr>
          <w:rFonts w:ascii="Arial" w:hAnsi="Arial" w:cs="Arial"/>
          <w:sz w:val="22"/>
          <w:lang w:val="es-ES"/>
        </w:rPr>
        <w:t xml:space="preserve">.  Es posible que se requiera alguna inversión en una campaña de divulgación para explicar a los consumidores la racionalidad detrás de los ajustes tarifarios y </w:t>
      </w:r>
      <w:r w:rsidRPr="000A3FE2">
        <w:rPr>
          <w:rFonts w:ascii="Arial" w:hAnsi="Arial" w:cs="Arial"/>
          <w:lang w:val="es-ES"/>
        </w:rPr>
        <w:t>maneras</w:t>
      </w:r>
      <w:r w:rsidRPr="000E4AE7">
        <w:rPr>
          <w:rFonts w:ascii="Arial" w:hAnsi="Arial" w:cs="Arial"/>
          <w:sz w:val="22"/>
          <w:lang w:val="es-ES"/>
        </w:rPr>
        <w:t xml:space="preserve"> de enfrentarlos, por ejemplo</w:t>
      </w:r>
      <w:r>
        <w:rPr>
          <w:rFonts w:ascii="Arial" w:hAnsi="Arial" w:cs="Arial"/>
          <w:sz w:val="22"/>
          <w:lang w:val="es-ES"/>
        </w:rPr>
        <w:t>,</w:t>
      </w:r>
      <w:r w:rsidRPr="000E4AE7">
        <w:rPr>
          <w:rFonts w:ascii="Arial" w:hAnsi="Arial" w:cs="Arial"/>
          <w:sz w:val="22"/>
          <w:lang w:val="es-ES"/>
        </w:rPr>
        <w:t xml:space="preserve"> mediante el uso de electrodomésticos más eficientes y el ahorro de energía.  Este tipo de acciones no tiene un costo que supere los US$2 millones.</w:t>
      </w:r>
      <w:r>
        <w:rPr>
          <w:rFonts w:ascii="Arial" w:hAnsi="Arial" w:cs="Arial"/>
          <w:sz w:val="22"/>
          <w:lang w:val="es-ES"/>
        </w:rPr>
        <w:t xml:space="preserve"> Por ser este monto de inversión relativamente bajo, comparado con los beneficios de la focalización del subsidio, las TIR económica y financiera resultantes son muy altas.</w:t>
      </w:r>
    </w:p>
    <w:p w14:paraId="583D027A" w14:textId="77777777" w:rsidR="00FC43F2" w:rsidRPr="000E4AE7" w:rsidRDefault="00FC43F2" w:rsidP="00FC43F2">
      <w:pPr>
        <w:pStyle w:val="ListParagraph"/>
        <w:numPr>
          <w:ilvl w:val="1"/>
          <w:numId w:val="29"/>
        </w:numPr>
        <w:spacing w:before="240" w:after="240"/>
        <w:ind w:left="720" w:hanging="720"/>
        <w:contextualSpacing w:val="0"/>
        <w:jc w:val="both"/>
        <w:rPr>
          <w:rFonts w:ascii="Arial" w:hAnsi="Arial" w:cs="Arial"/>
          <w:sz w:val="22"/>
          <w:lang w:val="es-ES"/>
        </w:rPr>
      </w:pPr>
      <w:r w:rsidRPr="005D33E4">
        <w:rPr>
          <w:rFonts w:ascii="Arial" w:hAnsi="Arial" w:cs="Arial"/>
          <w:b/>
          <w:sz w:val="22"/>
          <w:lang w:val="es-ES"/>
        </w:rPr>
        <w:t>Tasa interna de</w:t>
      </w:r>
      <w:r w:rsidRPr="000E4AE7">
        <w:rPr>
          <w:rFonts w:ascii="Arial" w:hAnsi="Arial" w:cs="Arial"/>
          <w:b/>
          <w:sz w:val="22"/>
          <w:lang w:val="es-ES"/>
        </w:rPr>
        <w:t xml:space="preserve"> retorno y valor presente neto</w:t>
      </w:r>
      <w:r>
        <w:rPr>
          <w:rFonts w:ascii="Arial" w:hAnsi="Arial" w:cs="Arial"/>
          <w:sz w:val="22"/>
          <w:lang w:val="es-ES"/>
        </w:rPr>
        <w:t xml:space="preserve">. </w:t>
      </w:r>
      <w:r w:rsidRPr="000E4AE7">
        <w:rPr>
          <w:rFonts w:ascii="Arial" w:hAnsi="Arial" w:cs="Arial"/>
          <w:sz w:val="22"/>
          <w:lang w:val="es-ES"/>
        </w:rPr>
        <w:t xml:space="preserve">Los </w:t>
      </w:r>
      <w:r>
        <w:rPr>
          <w:rFonts w:ascii="Arial" w:hAnsi="Arial" w:cs="Arial"/>
          <w:sz w:val="22"/>
          <w:lang w:val="es-ES"/>
        </w:rPr>
        <w:t>beneficios económicos y financieros</w:t>
      </w:r>
      <w:r w:rsidRPr="000E4AE7">
        <w:rPr>
          <w:rFonts w:ascii="Arial" w:hAnsi="Arial" w:cs="Arial"/>
          <w:sz w:val="22"/>
          <w:lang w:val="es-ES"/>
        </w:rPr>
        <w:t xml:space="preserve"> </w:t>
      </w:r>
      <w:r>
        <w:rPr>
          <w:rFonts w:ascii="Arial" w:hAnsi="Arial" w:cs="Arial"/>
          <w:sz w:val="22"/>
          <w:lang w:val="es-ES"/>
        </w:rPr>
        <w:t xml:space="preserve">por reducción de subsidios, agregados en valor presente para todos los estratos de consumo considerados </w:t>
      </w:r>
      <w:r w:rsidRPr="000E4AE7">
        <w:rPr>
          <w:rFonts w:ascii="Arial" w:hAnsi="Arial" w:cs="Arial"/>
          <w:sz w:val="22"/>
          <w:lang w:val="es-ES"/>
        </w:rPr>
        <w:t>se calcularon con una tasa de descuento de 12%, arrojando los siguientes valores:</w:t>
      </w:r>
    </w:p>
    <w:p w14:paraId="3794E6CD" w14:textId="77777777" w:rsidR="00FC43F2" w:rsidRPr="000E4AE7" w:rsidRDefault="00FC43F2" w:rsidP="00FC43F2">
      <w:pPr>
        <w:ind w:left="1440"/>
        <w:rPr>
          <w:rFonts w:ascii="Arial" w:hAnsi="Arial" w:cs="Arial"/>
          <w:sz w:val="22"/>
          <w:lang w:val="es-ES"/>
        </w:rPr>
      </w:pPr>
      <w:r>
        <w:rPr>
          <w:rFonts w:ascii="Arial" w:hAnsi="Arial" w:cs="Arial"/>
          <w:sz w:val="22"/>
          <w:lang w:val="es-ES"/>
        </w:rPr>
        <w:t xml:space="preserve">VP </w:t>
      </w:r>
      <w:r w:rsidRPr="000E4AE7">
        <w:rPr>
          <w:rFonts w:ascii="Arial" w:hAnsi="Arial" w:cs="Arial"/>
          <w:sz w:val="22"/>
          <w:lang w:val="es-ES"/>
        </w:rPr>
        <w:t>Beneficios económicos: $</w:t>
      </w:r>
      <w:r>
        <w:rPr>
          <w:rFonts w:ascii="Arial" w:hAnsi="Arial" w:cs="Arial"/>
          <w:sz w:val="22"/>
          <w:lang w:val="es-ES"/>
        </w:rPr>
        <w:t>102,82</w:t>
      </w:r>
      <w:r w:rsidRPr="000E4AE7">
        <w:rPr>
          <w:rFonts w:ascii="Arial" w:hAnsi="Arial" w:cs="Arial"/>
          <w:sz w:val="22"/>
          <w:lang w:val="es-ES"/>
        </w:rPr>
        <w:t xml:space="preserve"> millones</w:t>
      </w:r>
    </w:p>
    <w:p w14:paraId="66671033" w14:textId="77777777" w:rsidR="00FC43F2" w:rsidRPr="000E4AE7" w:rsidRDefault="00FC43F2" w:rsidP="00FC43F2">
      <w:pPr>
        <w:ind w:left="1440"/>
        <w:rPr>
          <w:rFonts w:ascii="Arial" w:hAnsi="Arial" w:cs="Arial"/>
          <w:sz w:val="22"/>
          <w:lang w:val="es-ES"/>
        </w:rPr>
      </w:pPr>
      <w:r>
        <w:rPr>
          <w:rFonts w:ascii="Arial" w:hAnsi="Arial" w:cs="Arial"/>
          <w:sz w:val="22"/>
          <w:lang w:val="es-ES"/>
        </w:rPr>
        <w:t xml:space="preserve">VP </w:t>
      </w:r>
      <w:r w:rsidRPr="000E4AE7">
        <w:rPr>
          <w:rFonts w:ascii="Arial" w:hAnsi="Arial" w:cs="Arial"/>
          <w:sz w:val="22"/>
          <w:lang w:val="es-ES"/>
        </w:rPr>
        <w:t>Beneficios financieros: $</w:t>
      </w:r>
      <w:r>
        <w:rPr>
          <w:rFonts w:ascii="Arial" w:hAnsi="Arial" w:cs="Arial"/>
          <w:sz w:val="22"/>
          <w:lang w:val="es-ES"/>
        </w:rPr>
        <w:t xml:space="preserve">687,74 </w:t>
      </w:r>
      <w:r w:rsidRPr="000E4AE7">
        <w:rPr>
          <w:rFonts w:ascii="Arial" w:hAnsi="Arial" w:cs="Arial"/>
          <w:sz w:val="22"/>
          <w:lang w:val="es-ES"/>
        </w:rPr>
        <w:t>millones</w:t>
      </w:r>
    </w:p>
    <w:p w14:paraId="1AE56A8B" w14:textId="77777777" w:rsidR="00FC43F2" w:rsidRPr="005D33E4" w:rsidRDefault="00FC43F2" w:rsidP="00FC43F2">
      <w:pPr>
        <w:pStyle w:val="ListParagraph"/>
        <w:numPr>
          <w:ilvl w:val="1"/>
          <w:numId w:val="29"/>
        </w:numPr>
        <w:spacing w:before="240" w:after="240"/>
        <w:ind w:left="720" w:hanging="720"/>
        <w:contextualSpacing w:val="0"/>
        <w:jc w:val="both"/>
        <w:rPr>
          <w:rFonts w:ascii="Arial" w:hAnsi="Arial" w:cs="Arial"/>
          <w:sz w:val="22"/>
          <w:lang w:val="es-ES"/>
        </w:rPr>
      </w:pPr>
      <w:r w:rsidRPr="005D33E4">
        <w:rPr>
          <w:rFonts w:ascii="Arial" w:hAnsi="Arial" w:cs="Arial"/>
          <w:sz w:val="22"/>
          <w:lang w:val="es-ES"/>
        </w:rPr>
        <w:t>Dado que los costos de la focalización de subsidios están en órdenes de magnitud muy por debajo de los beneficios, las TIR correspondientes son prácticamente infinitas.</w:t>
      </w:r>
    </w:p>
    <w:p w14:paraId="6E350D31" w14:textId="77777777" w:rsidR="00FC43F2" w:rsidRPr="000A3FE2" w:rsidRDefault="00FC43F2" w:rsidP="00FC43F2">
      <w:pPr>
        <w:pStyle w:val="ListParagraph"/>
        <w:numPr>
          <w:ilvl w:val="1"/>
          <w:numId w:val="29"/>
        </w:numPr>
        <w:spacing w:before="240" w:after="240"/>
        <w:ind w:left="720" w:hanging="720"/>
        <w:contextualSpacing w:val="0"/>
        <w:jc w:val="both"/>
        <w:rPr>
          <w:rFonts w:ascii="Arial" w:hAnsi="Arial" w:cs="Arial"/>
          <w:sz w:val="22"/>
          <w:lang w:val="es-ES"/>
        </w:rPr>
      </w:pPr>
      <w:r w:rsidRPr="000A3FE2">
        <w:rPr>
          <w:rFonts w:ascii="Arial" w:hAnsi="Arial" w:cs="Arial"/>
          <w:b/>
          <w:sz w:val="22"/>
          <w:lang w:val="es-ES"/>
        </w:rPr>
        <w:t xml:space="preserve">Análisis de sensibilidad.  </w:t>
      </w:r>
      <w:r w:rsidRPr="000A3FE2">
        <w:rPr>
          <w:rFonts w:ascii="Arial" w:hAnsi="Arial" w:cs="Arial"/>
          <w:sz w:val="22"/>
          <w:lang w:val="es-ES"/>
        </w:rPr>
        <w:t>Se llevó a cabo un análisis de sensibilidad respecto a la elasticidad precio de la demanda</w:t>
      </w:r>
      <w:r>
        <w:rPr>
          <w:rFonts w:ascii="Arial" w:hAnsi="Arial" w:cs="Arial"/>
          <w:sz w:val="22"/>
          <w:lang w:val="es-ES"/>
        </w:rPr>
        <w:t>, con el fin de medir la vulnerabilidad de los resultados económicos a una menor respuesta al nivel de demanda, como resultado de un aumento en los precios representado por la reducción del subsidio;</w:t>
      </w:r>
      <w:r w:rsidRPr="000A3FE2">
        <w:rPr>
          <w:rFonts w:ascii="Arial" w:hAnsi="Arial" w:cs="Arial"/>
          <w:sz w:val="22"/>
          <w:lang w:val="es-ES"/>
        </w:rPr>
        <w:t xml:space="preserve"> y a </w:t>
      </w:r>
      <w:r>
        <w:rPr>
          <w:rFonts w:ascii="Arial" w:hAnsi="Arial" w:cs="Arial"/>
          <w:sz w:val="22"/>
          <w:lang w:val="es-ES"/>
        </w:rPr>
        <w:t>un menor ajuste en el subsidio del menor estrato de consumo (65% en lugar de 55% de subsidio)</w:t>
      </w:r>
      <w:r w:rsidRPr="000A3FE2">
        <w:rPr>
          <w:rFonts w:ascii="Arial" w:hAnsi="Arial" w:cs="Arial"/>
          <w:sz w:val="22"/>
          <w:lang w:val="es-ES"/>
        </w:rPr>
        <w:t xml:space="preserve">, </w:t>
      </w:r>
      <w:r>
        <w:rPr>
          <w:rFonts w:ascii="Arial" w:hAnsi="Arial" w:cs="Arial"/>
          <w:sz w:val="22"/>
          <w:lang w:val="es-ES"/>
        </w:rPr>
        <w:t>para analizar el impacto en los beneficios de las medidas, si el estrato de menor consumo disfruta de mayor subsidio.  Los</w:t>
      </w:r>
      <w:r w:rsidRPr="000A3FE2">
        <w:rPr>
          <w:rFonts w:ascii="Arial" w:hAnsi="Arial" w:cs="Arial"/>
          <w:sz w:val="22"/>
          <w:lang w:val="es-ES"/>
        </w:rPr>
        <w:t xml:space="preserve"> resultados se resumen en el Cuadro </w:t>
      </w:r>
      <w:r>
        <w:rPr>
          <w:rFonts w:ascii="Arial" w:hAnsi="Arial" w:cs="Arial"/>
          <w:sz w:val="22"/>
          <w:lang w:val="es-ES"/>
        </w:rPr>
        <w:t>8.</w:t>
      </w:r>
    </w:p>
    <w:tbl>
      <w:tblPr>
        <w:tblStyle w:val="TableGrid"/>
        <w:tblW w:w="0" w:type="auto"/>
        <w:tblLook w:val="04A0" w:firstRow="1" w:lastRow="0" w:firstColumn="1" w:lastColumn="0" w:noHBand="0" w:noVBand="1"/>
      </w:tblPr>
      <w:tblGrid>
        <w:gridCol w:w="2327"/>
        <w:gridCol w:w="1797"/>
        <w:gridCol w:w="2493"/>
        <w:gridCol w:w="2682"/>
      </w:tblGrid>
      <w:tr w:rsidR="00FC43F2" w:rsidRPr="003932AB" w14:paraId="5970FFC0" w14:textId="77777777" w:rsidTr="003A49DA">
        <w:tc>
          <w:tcPr>
            <w:tcW w:w="9389" w:type="dxa"/>
            <w:gridSpan w:val="4"/>
            <w:tcBorders>
              <w:top w:val="nil"/>
              <w:left w:val="nil"/>
              <w:bottom w:val="single" w:sz="4" w:space="0" w:color="000000"/>
              <w:right w:val="nil"/>
            </w:tcBorders>
          </w:tcPr>
          <w:p w14:paraId="04480192" w14:textId="77777777" w:rsidR="00FC43F2" w:rsidRPr="004E03BF" w:rsidRDefault="00FC43F2" w:rsidP="003A49DA">
            <w:pPr>
              <w:jc w:val="center"/>
              <w:rPr>
                <w:rFonts w:ascii="Arial" w:hAnsi="Arial" w:cs="Arial"/>
                <w:b/>
                <w:sz w:val="20"/>
                <w:szCs w:val="20"/>
                <w:lang w:val="es-ES"/>
              </w:rPr>
            </w:pPr>
            <w:r>
              <w:rPr>
                <w:rFonts w:ascii="Arial" w:hAnsi="Arial" w:cs="Arial"/>
                <w:b/>
                <w:sz w:val="20"/>
                <w:szCs w:val="20"/>
                <w:lang w:val="es-ES"/>
              </w:rPr>
              <w:lastRenderedPageBreak/>
              <w:t>Cuadro</w:t>
            </w:r>
            <w:r w:rsidRPr="004E03BF">
              <w:rPr>
                <w:rFonts w:ascii="Arial" w:hAnsi="Arial" w:cs="Arial"/>
                <w:b/>
                <w:sz w:val="20"/>
                <w:szCs w:val="20"/>
                <w:lang w:val="es-ES"/>
              </w:rPr>
              <w:t xml:space="preserve"> </w:t>
            </w:r>
            <w:r>
              <w:rPr>
                <w:rFonts w:ascii="Arial" w:hAnsi="Arial" w:cs="Arial"/>
                <w:b/>
                <w:sz w:val="20"/>
                <w:szCs w:val="20"/>
                <w:lang w:val="es-ES"/>
              </w:rPr>
              <w:t xml:space="preserve">8 </w:t>
            </w:r>
            <w:r w:rsidRPr="004E03BF">
              <w:rPr>
                <w:rFonts w:ascii="Arial" w:hAnsi="Arial" w:cs="Arial"/>
                <w:b/>
                <w:sz w:val="20"/>
                <w:szCs w:val="20"/>
                <w:lang w:val="es-ES"/>
              </w:rPr>
              <w:t xml:space="preserve">  Resumen Análi</w:t>
            </w:r>
            <w:r>
              <w:rPr>
                <w:rFonts w:ascii="Arial" w:hAnsi="Arial" w:cs="Arial"/>
                <w:b/>
                <w:sz w:val="20"/>
                <w:szCs w:val="20"/>
                <w:lang w:val="es-ES"/>
              </w:rPr>
              <w:t>sis de Sensibilidad –  Focalización Subsidios</w:t>
            </w:r>
          </w:p>
        </w:tc>
      </w:tr>
      <w:tr w:rsidR="00FC43F2" w:rsidRPr="003932AB" w14:paraId="2F107B7C" w14:textId="77777777" w:rsidTr="003A49DA">
        <w:tc>
          <w:tcPr>
            <w:tcW w:w="2347" w:type="dxa"/>
            <w:tcBorders>
              <w:left w:val="nil"/>
              <w:bottom w:val="single" w:sz="4" w:space="0" w:color="000000"/>
              <w:right w:val="nil"/>
            </w:tcBorders>
            <w:shd w:val="clear" w:color="auto" w:fill="DBE5F1" w:themeFill="accent1" w:themeFillTint="33"/>
          </w:tcPr>
          <w:p w14:paraId="5F104E0D" w14:textId="77777777" w:rsidR="00FC43F2" w:rsidRPr="00D73A07" w:rsidRDefault="00FC43F2" w:rsidP="003A49DA">
            <w:pPr>
              <w:rPr>
                <w:rFonts w:ascii="Arial" w:hAnsi="Arial" w:cs="Arial"/>
                <w:sz w:val="20"/>
                <w:szCs w:val="20"/>
                <w:lang w:val="es-ES"/>
              </w:rPr>
            </w:pPr>
          </w:p>
        </w:tc>
        <w:tc>
          <w:tcPr>
            <w:tcW w:w="1811" w:type="dxa"/>
            <w:tcBorders>
              <w:left w:val="nil"/>
              <w:bottom w:val="single" w:sz="4" w:space="0" w:color="000000"/>
              <w:right w:val="nil"/>
            </w:tcBorders>
            <w:shd w:val="clear" w:color="auto" w:fill="DBE5F1" w:themeFill="accent1" w:themeFillTint="33"/>
          </w:tcPr>
          <w:p w14:paraId="0F8F38BE" w14:textId="77777777" w:rsidR="00FC43F2" w:rsidRPr="00D73A07" w:rsidRDefault="00FC43F2" w:rsidP="003A49DA">
            <w:pPr>
              <w:jc w:val="center"/>
              <w:rPr>
                <w:rFonts w:ascii="Arial" w:hAnsi="Arial" w:cs="Arial"/>
                <w:sz w:val="20"/>
                <w:szCs w:val="20"/>
                <w:lang w:val="es-ES"/>
              </w:rPr>
            </w:pPr>
            <w:r w:rsidRPr="00D73A07">
              <w:rPr>
                <w:rFonts w:ascii="Arial" w:hAnsi="Arial" w:cs="Arial"/>
                <w:sz w:val="20"/>
                <w:szCs w:val="20"/>
                <w:lang w:val="es-ES"/>
              </w:rPr>
              <w:t>Caso Base</w:t>
            </w:r>
          </w:p>
        </w:tc>
        <w:tc>
          <w:tcPr>
            <w:tcW w:w="2520" w:type="dxa"/>
            <w:tcBorders>
              <w:left w:val="nil"/>
              <w:bottom w:val="single" w:sz="4" w:space="0" w:color="000000"/>
              <w:right w:val="nil"/>
            </w:tcBorders>
            <w:shd w:val="clear" w:color="auto" w:fill="DBE5F1" w:themeFill="accent1" w:themeFillTint="33"/>
          </w:tcPr>
          <w:p w14:paraId="048099B5" w14:textId="77777777" w:rsidR="00FC43F2" w:rsidRPr="00D73A07" w:rsidRDefault="00FC43F2" w:rsidP="003A49DA">
            <w:pPr>
              <w:jc w:val="center"/>
              <w:rPr>
                <w:rFonts w:ascii="Arial" w:hAnsi="Arial" w:cs="Arial"/>
                <w:sz w:val="20"/>
                <w:szCs w:val="20"/>
                <w:lang w:val="es-ES"/>
              </w:rPr>
            </w:pPr>
            <w:r w:rsidRPr="00D73A07">
              <w:rPr>
                <w:rFonts w:ascii="Arial" w:hAnsi="Arial" w:cs="Arial"/>
                <w:sz w:val="20"/>
                <w:szCs w:val="20"/>
                <w:lang w:val="es-ES"/>
              </w:rPr>
              <w:t>Elasticidad Precio=-0.1</w:t>
            </w:r>
          </w:p>
        </w:tc>
        <w:tc>
          <w:tcPr>
            <w:tcW w:w="2711" w:type="dxa"/>
            <w:tcBorders>
              <w:left w:val="nil"/>
              <w:bottom w:val="single" w:sz="4" w:space="0" w:color="000000"/>
              <w:right w:val="nil"/>
            </w:tcBorders>
            <w:shd w:val="clear" w:color="auto" w:fill="DBE5F1" w:themeFill="accent1" w:themeFillTint="33"/>
          </w:tcPr>
          <w:p w14:paraId="54956F92" w14:textId="77777777" w:rsidR="00FC43F2" w:rsidRDefault="00FC43F2" w:rsidP="003A49DA">
            <w:pPr>
              <w:spacing w:before="0"/>
              <w:jc w:val="center"/>
              <w:rPr>
                <w:rFonts w:ascii="Arial" w:hAnsi="Arial" w:cs="Arial"/>
                <w:sz w:val="20"/>
                <w:szCs w:val="20"/>
                <w:lang w:val="es-ES"/>
              </w:rPr>
            </w:pPr>
            <w:r w:rsidRPr="00996B73">
              <w:rPr>
                <w:rFonts w:ascii="Arial" w:hAnsi="Arial" w:cs="Arial"/>
                <w:sz w:val="20"/>
                <w:szCs w:val="20"/>
                <w:lang w:val="es-ES"/>
              </w:rPr>
              <w:t>Estrato: 0-50kWh/mes</w:t>
            </w:r>
          </w:p>
          <w:p w14:paraId="03E6246F" w14:textId="77777777" w:rsidR="00FC43F2" w:rsidRPr="00D73A07" w:rsidRDefault="00FC43F2" w:rsidP="003A49DA">
            <w:pPr>
              <w:spacing w:before="0"/>
              <w:jc w:val="center"/>
              <w:rPr>
                <w:rFonts w:ascii="Arial" w:hAnsi="Arial" w:cs="Arial"/>
                <w:sz w:val="20"/>
                <w:szCs w:val="20"/>
                <w:lang w:val="es-ES"/>
              </w:rPr>
            </w:pPr>
            <w:r>
              <w:rPr>
                <w:rFonts w:ascii="Arial" w:hAnsi="Arial" w:cs="Arial"/>
                <w:sz w:val="20"/>
                <w:szCs w:val="20"/>
                <w:lang w:val="es-ES"/>
              </w:rPr>
              <w:t>Subsidio en 65%</w:t>
            </w:r>
          </w:p>
        </w:tc>
      </w:tr>
      <w:tr w:rsidR="00FC43F2" w:rsidRPr="00D73A07" w14:paraId="31DC38B7" w14:textId="77777777" w:rsidTr="003A49DA">
        <w:tc>
          <w:tcPr>
            <w:tcW w:w="2347" w:type="dxa"/>
            <w:tcBorders>
              <w:left w:val="nil"/>
              <w:bottom w:val="single" w:sz="4" w:space="0" w:color="000000"/>
              <w:right w:val="nil"/>
            </w:tcBorders>
          </w:tcPr>
          <w:p w14:paraId="265E10A0" w14:textId="77777777" w:rsidR="00FC43F2" w:rsidRPr="00D73A07" w:rsidRDefault="00FC43F2" w:rsidP="003A49DA">
            <w:pPr>
              <w:rPr>
                <w:rFonts w:ascii="Arial" w:hAnsi="Arial" w:cs="Arial"/>
                <w:sz w:val="20"/>
                <w:szCs w:val="20"/>
                <w:lang w:val="es-ES"/>
              </w:rPr>
            </w:pPr>
            <w:r w:rsidRPr="00D73A07">
              <w:rPr>
                <w:rFonts w:ascii="Arial" w:hAnsi="Arial" w:cs="Arial"/>
                <w:sz w:val="20"/>
                <w:szCs w:val="20"/>
                <w:lang w:val="es-ES"/>
              </w:rPr>
              <w:t>VPN Beneficios Económicos</w:t>
            </w:r>
          </w:p>
        </w:tc>
        <w:tc>
          <w:tcPr>
            <w:tcW w:w="1811" w:type="dxa"/>
            <w:tcBorders>
              <w:left w:val="nil"/>
              <w:bottom w:val="single" w:sz="4" w:space="0" w:color="000000"/>
              <w:right w:val="nil"/>
            </w:tcBorders>
          </w:tcPr>
          <w:p w14:paraId="01B09608" w14:textId="77777777" w:rsidR="00FC43F2" w:rsidRPr="00D73A07" w:rsidRDefault="00FC43F2" w:rsidP="003A49DA">
            <w:pPr>
              <w:jc w:val="center"/>
              <w:rPr>
                <w:rFonts w:ascii="Arial" w:hAnsi="Arial" w:cs="Arial"/>
                <w:sz w:val="20"/>
                <w:szCs w:val="20"/>
                <w:lang w:val="es-ES"/>
              </w:rPr>
            </w:pPr>
            <w:r w:rsidRPr="005F26D1">
              <w:rPr>
                <w:rFonts w:ascii="Arial" w:hAnsi="Arial" w:cs="Arial"/>
                <w:sz w:val="20"/>
                <w:szCs w:val="20"/>
                <w:lang w:val="es-ES"/>
              </w:rPr>
              <w:t>1</w:t>
            </w:r>
            <w:r>
              <w:rPr>
                <w:rFonts w:ascii="Arial" w:hAnsi="Arial" w:cs="Arial"/>
                <w:sz w:val="20"/>
                <w:szCs w:val="20"/>
                <w:lang w:val="es-ES"/>
              </w:rPr>
              <w:t>0</w:t>
            </w:r>
            <w:r w:rsidRPr="005F26D1">
              <w:rPr>
                <w:rFonts w:ascii="Arial" w:hAnsi="Arial" w:cs="Arial"/>
                <w:sz w:val="20"/>
                <w:szCs w:val="20"/>
                <w:lang w:val="es-ES"/>
              </w:rPr>
              <w:t>2</w:t>
            </w:r>
            <w:r>
              <w:rPr>
                <w:rFonts w:ascii="Arial" w:hAnsi="Arial" w:cs="Arial"/>
                <w:sz w:val="20"/>
                <w:szCs w:val="20"/>
                <w:lang w:val="es-ES"/>
              </w:rPr>
              <w:t>,82</w:t>
            </w:r>
            <w:r w:rsidRPr="00D73A07">
              <w:rPr>
                <w:rFonts w:ascii="Arial" w:hAnsi="Arial" w:cs="Arial"/>
                <w:sz w:val="20"/>
                <w:szCs w:val="20"/>
                <w:lang w:val="es-ES"/>
              </w:rPr>
              <w:t>M$</w:t>
            </w:r>
          </w:p>
        </w:tc>
        <w:tc>
          <w:tcPr>
            <w:tcW w:w="2520" w:type="dxa"/>
            <w:tcBorders>
              <w:left w:val="nil"/>
              <w:bottom w:val="single" w:sz="4" w:space="0" w:color="000000"/>
              <w:right w:val="nil"/>
            </w:tcBorders>
          </w:tcPr>
          <w:p w14:paraId="6E786474" w14:textId="77777777" w:rsidR="00FC43F2" w:rsidRPr="00D73A07" w:rsidRDefault="00FC43F2" w:rsidP="003A49DA">
            <w:pPr>
              <w:jc w:val="center"/>
              <w:rPr>
                <w:rFonts w:ascii="Arial" w:hAnsi="Arial" w:cs="Arial"/>
                <w:sz w:val="20"/>
                <w:szCs w:val="20"/>
                <w:lang w:val="es-ES"/>
              </w:rPr>
            </w:pPr>
            <w:r>
              <w:rPr>
                <w:rFonts w:ascii="Arial" w:hAnsi="Arial" w:cs="Arial"/>
                <w:sz w:val="20"/>
                <w:szCs w:val="20"/>
                <w:lang w:val="es-ES"/>
              </w:rPr>
              <w:t>25,70</w:t>
            </w:r>
            <w:r w:rsidRPr="00D73A07">
              <w:rPr>
                <w:rFonts w:ascii="Arial" w:hAnsi="Arial" w:cs="Arial"/>
                <w:sz w:val="20"/>
                <w:szCs w:val="20"/>
                <w:lang w:val="es-ES"/>
              </w:rPr>
              <w:t>$</w:t>
            </w:r>
          </w:p>
        </w:tc>
        <w:tc>
          <w:tcPr>
            <w:tcW w:w="2711" w:type="dxa"/>
            <w:tcBorders>
              <w:left w:val="nil"/>
              <w:bottom w:val="single" w:sz="4" w:space="0" w:color="000000"/>
              <w:right w:val="nil"/>
            </w:tcBorders>
          </w:tcPr>
          <w:p w14:paraId="1BB2B526" w14:textId="77777777" w:rsidR="00FC43F2" w:rsidRPr="00D73A07" w:rsidRDefault="00FC43F2" w:rsidP="003A49DA">
            <w:pPr>
              <w:jc w:val="center"/>
              <w:rPr>
                <w:rFonts w:ascii="Arial" w:hAnsi="Arial" w:cs="Arial"/>
                <w:sz w:val="20"/>
                <w:szCs w:val="20"/>
                <w:lang w:val="es-ES"/>
              </w:rPr>
            </w:pPr>
            <w:r>
              <w:rPr>
                <w:rFonts w:ascii="Arial" w:hAnsi="Arial" w:cs="Arial"/>
                <w:sz w:val="20"/>
                <w:szCs w:val="20"/>
                <w:lang w:val="es-ES"/>
              </w:rPr>
              <w:t>93,12</w:t>
            </w:r>
            <w:r w:rsidRPr="00D73A07">
              <w:rPr>
                <w:rFonts w:ascii="Arial" w:hAnsi="Arial" w:cs="Arial"/>
                <w:sz w:val="20"/>
                <w:szCs w:val="20"/>
                <w:lang w:val="es-ES"/>
              </w:rPr>
              <w:t>M$</w:t>
            </w:r>
          </w:p>
        </w:tc>
      </w:tr>
      <w:tr w:rsidR="00FC43F2" w:rsidRPr="00D73A07" w14:paraId="11825064" w14:textId="77777777" w:rsidTr="003A49DA">
        <w:tc>
          <w:tcPr>
            <w:tcW w:w="2347" w:type="dxa"/>
            <w:tcBorders>
              <w:top w:val="single" w:sz="4" w:space="0" w:color="000000"/>
              <w:left w:val="nil"/>
              <w:bottom w:val="single" w:sz="4" w:space="0" w:color="000000"/>
              <w:right w:val="nil"/>
            </w:tcBorders>
          </w:tcPr>
          <w:p w14:paraId="68788A03" w14:textId="77777777" w:rsidR="00FC43F2" w:rsidRPr="00D73A07" w:rsidRDefault="00FC43F2" w:rsidP="003A49DA">
            <w:pPr>
              <w:rPr>
                <w:rFonts w:ascii="Arial" w:hAnsi="Arial" w:cs="Arial"/>
                <w:sz w:val="20"/>
                <w:szCs w:val="20"/>
                <w:lang w:val="es-ES"/>
              </w:rPr>
            </w:pPr>
            <w:r w:rsidRPr="00D73A07">
              <w:rPr>
                <w:rFonts w:ascii="Arial" w:hAnsi="Arial" w:cs="Arial"/>
                <w:sz w:val="20"/>
                <w:szCs w:val="20"/>
                <w:lang w:val="es-ES"/>
              </w:rPr>
              <w:t>VPN Beneficios Financieros</w:t>
            </w:r>
          </w:p>
        </w:tc>
        <w:tc>
          <w:tcPr>
            <w:tcW w:w="1811" w:type="dxa"/>
            <w:tcBorders>
              <w:top w:val="single" w:sz="4" w:space="0" w:color="000000"/>
              <w:left w:val="nil"/>
              <w:bottom w:val="single" w:sz="4" w:space="0" w:color="000000"/>
              <w:right w:val="nil"/>
            </w:tcBorders>
          </w:tcPr>
          <w:p w14:paraId="73538481" w14:textId="77777777" w:rsidR="00FC43F2" w:rsidRPr="00D73A07" w:rsidRDefault="00FC43F2" w:rsidP="003A49DA">
            <w:pPr>
              <w:jc w:val="center"/>
              <w:rPr>
                <w:rFonts w:ascii="Arial" w:hAnsi="Arial" w:cs="Arial"/>
                <w:sz w:val="20"/>
                <w:szCs w:val="20"/>
                <w:lang w:val="es-ES"/>
              </w:rPr>
            </w:pPr>
            <w:r w:rsidRPr="00187A15">
              <w:rPr>
                <w:rFonts w:ascii="Arial" w:hAnsi="Arial" w:cs="Arial"/>
                <w:sz w:val="20"/>
                <w:szCs w:val="20"/>
                <w:lang w:val="es-ES"/>
              </w:rPr>
              <w:t xml:space="preserve">687,74 </w:t>
            </w:r>
            <w:r w:rsidRPr="00D73A07">
              <w:rPr>
                <w:rFonts w:ascii="Arial" w:hAnsi="Arial" w:cs="Arial"/>
                <w:sz w:val="20"/>
                <w:szCs w:val="20"/>
                <w:lang w:val="es-ES"/>
              </w:rPr>
              <w:t>M$</w:t>
            </w:r>
          </w:p>
        </w:tc>
        <w:tc>
          <w:tcPr>
            <w:tcW w:w="2520" w:type="dxa"/>
            <w:tcBorders>
              <w:top w:val="single" w:sz="4" w:space="0" w:color="000000"/>
              <w:left w:val="nil"/>
              <w:bottom w:val="single" w:sz="4" w:space="0" w:color="000000"/>
              <w:right w:val="nil"/>
            </w:tcBorders>
          </w:tcPr>
          <w:p w14:paraId="660F4CE3" w14:textId="77777777" w:rsidR="00FC43F2" w:rsidRPr="00D73A07" w:rsidRDefault="00FC43F2" w:rsidP="003A49DA">
            <w:pPr>
              <w:jc w:val="center"/>
              <w:rPr>
                <w:rFonts w:ascii="Arial" w:hAnsi="Arial" w:cs="Arial"/>
                <w:sz w:val="20"/>
                <w:szCs w:val="20"/>
                <w:lang w:val="es-ES"/>
              </w:rPr>
            </w:pPr>
            <w:r>
              <w:rPr>
                <w:rFonts w:ascii="Arial" w:hAnsi="Arial" w:cs="Arial"/>
                <w:sz w:val="20"/>
                <w:szCs w:val="20"/>
                <w:lang w:val="es-ES"/>
              </w:rPr>
              <w:t>650,06</w:t>
            </w:r>
            <w:r w:rsidRPr="00D73A07">
              <w:rPr>
                <w:rFonts w:ascii="Arial" w:hAnsi="Arial" w:cs="Arial"/>
                <w:sz w:val="20"/>
                <w:szCs w:val="20"/>
                <w:lang w:val="es-ES"/>
              </w:rPr>
              <w:t>M$</w:t>
            </w:r>
          </w:p>
        </w:tc>
        <w:tc>
          <w:tcPr>
            <w:tcW w:w="2711" w:type="dxa"/>
            <w:tcBorders>
              <w:top w:val="single" w:sz="4" w:space="0" w:color="000000"/>
              <w:left w:val="nil"/>
              <w:bottom w:val="single" w:sz="4" w:space="0" w:color="000000"/>
              <w:right w:val="nil"/>
            </w:tcBorders>
          </w:tcPr>
          <w:p w14:paraId="74057C66" w14:textId="77777777" w:rsidR="00FC43F2" w:rsidRPr="00D73A07" w:rsidRDefault="00FC43F2" w:rsidP="003A49DA">
            <w:pPr>
              <w:jc w:val="center"/>
              <w:rPr>
                <w:rFonts w:ascii="Arial" w:hAnsi="Arial" w:cs="Arial"/>
                <w:sz w:val="20"/>
                <w:szCs w:val="20"/>
                <w:lang w:val="es-ES"/>
              </w:rPr>
            </w:pPr>
            <w:r>
              <w:rPr>
                <w:rFonts w:ascii="Arial" w:hAnsi="Arial" w:cs="Arial"/>
                <w:sz w:val="20"/>
                <w:szCs w:val="20"/>
                <w:lang w:val="es-ES"/>
              </w:rPr>
              <w:t>655,97</w:t>
            </w:r>
            <w:r w:rsidRPr="00D73A07">
              <w:rPr>
                <w:rFonts w:ascii="Arial" w:hAnsi="Arial" w:cs="Arial"/>
                <w:sz w:val="20"/>
                <w:szCs w:val="20"/>
                <w:lang w:val="es-ES"/>
              </w:rPr>
              <w:t>M$</w:t>
            </w:r>
          </w:p>
        </w:tc>
      </w:tr>
    </w:tbl>
    <w:p w14:paraId="4F52BF34" w14:textId="77777777" w:rsidR="00FC43F2" w:rsidRDefault="00FC43F2" w:rsidP="00FC43F2">
      <w:pPr>
        <w:rPr>
          <w:rFonts w:ascii="Arial" w:hAnsi="Arial" w:cs="Arial"/>
          <w:sz w:val="22"/>
          <w:lang w:val="es-ES"/>
        </w:rPr>
      </w:pPr>
      <w:r w:rsidRPr="00D73A07">
        <w:rPr>
          <w:rFonts w:ascii="Arial" w:hAnsi="Arial" w:cs="Arial"/>
          <w:sz w:val="22"/>
          <w:lang w:val="es-ES"/>
        </w:rPr>
        <w:t>Los resultados corroboran la bondad de ajustar las tarifas para reflejar los costos de servicio.</w:t>
      </w:r>
    </w:p>
    <w:p w14:paraId="347E148B" w14:textId="77777777" w:rsidR="00FC43F2" w:rsidRDefault="00FC43F2" w:rsidP="00FC43F2">
      <w:pPr>
        <w:rPr>
          <w:rFonts w:ascii="Arial" w:hAnsi="Arial" w:cs="Arial"/>
          <w:sz w:val="22"/>
          <w:lang w:val="es-ES"/>
        </w:rPr>
      </w:pPr>
    </w:p>
    <w:p w14:paraId="63E6EC7D" w14:textId="77777777" w:rsidR="00FC43F2" w:rsidRPr="00100C93" w:rsidRDefault="00FC43F2" w:rsidP="00FC43F2">
      <w:pPr>
        <w:pStyle w:val="Heading2"/>
        <w:numPr>
          <w:ilvl w:val="0"/>
          <w:numId w:val="31"/>
        </w:numPr>
        <w:jc w:val="center"/>
        <w:rPr>
          <w:rFonts w:ascii="Arial" w:hAnsi="Arial" w:cs="Arial"/>
          <w:b w:val="0"/>
          <w:color w:val="auto"/>
          <w:sz w:val="22"/>
          <w:szCs w:val="22"/>
          <w:lang w:val="es-ES"/>
        </w:rPr>
      </w:pPr>
      <w:bookmarkStart w:id="6" w:name="_Toc496828300"/>
      <w:r w:rsidRPr="00100C93">
        <w:rPr>
          <w:rFonts w:ascii="Arial" w:hAnsi="Arial" w:cs="Arial"/>
          <w:color w:val="auto"/>
          <w:sz w:val="22"/>
          <w:szCs w:val="22"/>
          <w:lang w:val="es-ES"/>
        </w:rPr>
        <w:t>Instalación de Energía Renovable</w:t>
      </w:r>
      <w:bookmarkEnd w:id="6"/>
    </w:p>
    <w:p w14:paraId="2D0B6901" w14:textId="77777777" w:rsidR="00FC43F2" w:rsidRDefault="00FC43F2" w:rsidP="00FC43F2">
      <w:pPr>
        <w:pStyle w:val="ListParagraph"/>
        <w:numPr>
          <w:ilvl w:val="1"/>
          <w:numId w:val="29"/>
        </w:numPr>
        <w:spacing w:before="240" w:after="240"/>
        <w:ind w:left="720" w:hanging="720"/>
        <w:contextualSpacing w:val="0"/>
        <w:jc w:val="both"/>
        <w:rPr>
          <w:rFonts w:ascii="Arial" w:hAnsi="Arial" w:cs="Arial"/>
          <w:sz w:val="22"/>
          <w:lang w:val="es-ES"/>
        </w:rPr>
      </w:pPr>
      <w:r w:rsidRPr="00D45CC1">
        <w:rPr>
          <w:rFonts w:ascii="Arial" w:hAnsi="Arial" w:cs="Arial"/>
          <w:b/>
          <w:sz w:val="22"/>
          <w:lang w:val="es-ES"/>
        </w:rPr>
        <w:t xml:space="preserve">Suposiciones y Metodología. </w:t>
      </w:r>
      <w:r w:rsidRPr="00D45CC1">
        <w:rPr>
          <w:rFonts w:ascii="Arial" w:hAnsi="Arial" w:cs="Arial"/>
          <w:sz w:val="22"/>
          <w:lang w:val="es-ES"/>
        </w:rPr>
        <w:t xml:space="preserve"> El valor económico de la energía renovable está en el potencial de competir con los costos marginales de la ENEE que actualmente están representados por el costo de compra de energía térmica. Se considera la nueva capacidad de generación de energía renovable con diferentes tecnologías que se espera entre en producción entre 2015-2020.  Se hace el supuesto que esta nueva generación desplaza la generación térmica. Con base en las licitaciones y PPA aprobadas, se considera el Plan de Expansión del Cuadro </w:t>
      </w:r>
      <w:r>
        <w:rPr>
          <w:rFonts w:ascii="Arial" w:hAnsi="Arial" w:cs="Arial"/>
          <w:sz w:val="22"/>
          <w:lang w:val="es-ES"/>
        </w:rPr>
        <w:t>9.</w:t>
      </w:r>
    </w:p>
    <w:p w14:paraId="29C80CED" w14:textId="77777777" w:rsidR="00FC43F2" w:rsidRPr="000A5631" w:rsidRDefault="00FC43F2" w:rsidP="00FC43F2">
      <w:pPr>
        <w:spacing w:before="240"/>
        <w:jc w:val="center"/>
        <w:rPr>
          <w:rFonts w:ascii="Arial" w:hAnsi="Arial" w:cs="Arial"/>
          <w:b/>
          <w:sz w:val="20"/>
          <w:szCs w:val="20"/>
          <w:lang w:val="es-ES"/>
        </w:rPr>
      </w:pPr>
      <w:r w:rsidRPr="000A5631">
        <w:rPr>
          <w:rFonts w:ascii="Arial" w:hAnsi="Arial" w:cs="Arial"/>
          <w:b/>
          <w:sz w:val="20"/>
          <w:szCs w:val="20"/>
          <w:lang w:val="es-ES"/>
        </w:rPr>
        <w:t xml:space="preserve">Cuadro </w:t>
      </w:r>
      <w:r>
        <w:rPr>
          <w:rFonts w:ascii="Arial" w:hAnsi="Arial" w:cs="Arial"/>
          <w:b/>
          <w:sz w:val="20"/>
          <w:szCs w:val="20"/>
          <w:lang w:val="es-ES"/>
        </w:rPr>
        <w:t>9</w:t>
      </w:r>
      <w:r w:rsidRPr="000A5631">
        <w:rPr>
          <w:rFonts w:ascii="Arial" w:hAnsi="Arial" w:cs="Arial"/>
          <w:b/>
          <w:sz w:val="20"/>
          <w:szCs w:val="20"/>
          <w:lang w:val="es-ES"/>
        </w:rPr>
        <w:t xml:space="preserve"> - Plan de Expansión de Energía por Tecnología (MW)</w:t>
      </w:r>
    </w:p>
    <w:p w14:paraId="7AA4B776" w14:textId="77777777" w:rsidR="00FC43F2" w:rsidRPr="00D45CC1" w:rsidRDefault="00FC43F2" w:rsidP="00FC43F2">
      <w:pPr>
        <w:ind w:hanging="1080"/>
        <w:jc w:val="both"/>
        <w:rPr>
          <w:rFonts w:ascii="Arial" w:hAnsi="Arial" w:cs="Arial"/>
          <w:sz w:val="22"/>
          <w:lang w:val="es-ES"/>
        </w:rPr>
      </w:pPr>
      <w:r w:rsidRPr="0027520F">
        <w:rPr>
          <w:noProof/>
        </w:rPr>
        <w:drawing>
          <wp:inline distT="0" distB="0" distL="0" distR="0" wp14:anchorId="35375B18" wp14:editId="27AE8947">
            <wp:extent cx="7272053" cy="2843408"/>
            <wp:effectExtent l="0" t="0" r="508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351250" cy="2874375"/>
                    </a:xfrm>
                    <a:prstGeom prst="rect">
                      <a:avLst/>
                    </a:prstGeom>
                    <a:noFill/>
                    <a:ln>
                      <a:noFill/>
                    </a:ln>
                  </pic:spPr>
                </pic:pic>
              </a:graphicData>
            </a:graphic>
          </wp:inline>
        </w:drawing>
      </w:r>
    </w:p>
    <w:p w14:paraId="1C1F2221" w14:textId="77777777" w:rsidR="00FC43F2" w:rsidRPr="00E64E3C" w:rsidRDefault="00FC43F2" w:rsidP="00FC43F2">
      <w:pPr>
        <w:pStyle w:val="ListParagraph"/>
        <w:numPr>
          <w:ilvl w:val="1"/>
          <w:numId w:val="29"/>
        </w:numPr>
        <w:spacing w:before="240" w:after="240"/>
        <w:ind w:left="720" w:hanging="720"/>
        <w:contextualSpacing w:val="0"/>
        <w:jc w:val="both"/>
        <w:rPr>
          <w:sz w:val="22"/>
          <w:lang w:val="es-ES"/>
        </w:rPr>
      </w:pPr>
      <w:r w:rsidRPr="00D45CC1">
        <w:rPr>
          <w:rFonts w:ascii="Arial" w:hAnsi="Arial" w:cs="Arial"/>
          <w:sz w:val="22"/>
          <w:lang w:val="es-ES"/>
        </w:rPr>
        <w:t>En 201</w:t>
      </w:r>
      <w:r>
        <w:rPr>
          <w:rFonts w:ascii="Arial" w:hAnsi="Arial" w:cs="Arial"/>
          <w:sz w:val="22"/>
          <w:lang w:val="es-ES"/>
        </w:rPr>
        <w:t>5</w:t>
      </w:r>
      <w:r w:rsidRPr="00D45CC1">
        <w:rPr>
          <w:rFonts w:ascii="Arial" w:hAnsi="Arial" w:cs="Arial"/>
          <w:sz w:val="22"/>
          <w:lang w:val="es-ES"/>
        </w:rPr>
        <w:t xml:space="preserve"> la capacidad instalada de generación fue de </w:t>
      </w:r>
      <w:r>
        <w:rPr>
          <w:rFonts w:ascii="Arial" w:hAnsi="Arial" w:cs="Arial"/>
          <w:sz w:val="22"/>
          <w:lang w:val="es-ES"/>
        </w:rPr>
        <w:t>2269</w:t>
      </w:r>
      <w:r w:rsidRPr="00D45CC1">
        <w:rPr>
          <w:rFonts w:ascii="Arial" w:hAnsi="Arial" w:cs="Arial"/>
          <w:sz w:val="22"/>
          <w:lang w:val="es-ES"/>
        </w:rPr>
        <w:t xml:space="preserve"> MW, de los cuales </w:t>
      </w:r>
      <w:r>
        <w:rPr>
          <w:rFonts w:ascii="Arial" w:hAnsi="Arial" w:cs="Arial"/>
          <w:sz w:val="22"/>
          <w:lang w:val="es-ES"/>
        </w:rPr>
        <w:t>1364</w:t>
      </w:r>
      <w:r w:rsidRPr="00D45CC1">
        <w:rPr>
          <w:rFonts w:ascii="Arial" w:hAnsi="Arial" w:cs="Arial"/>
          <w:sz w:val="22"/>
          <w:lang w:val="es-ES"/>
        </w:rPr>
        <w:t xml:space="preserve"> MW son de energía renovable (hidráulicas, </w:t>
      </w:r>
      <w:r>
        <w:rPr>
          <w:rFonts w:ascii="Arial" w:hAnsi="Arial" w:cs="Arial"/>
          <w:sz w:val="22"/>
          <w:lang w:val="es-ES"/>
        </w:rPr>
        <w:t xml:space="preserve">solar, biomasa, y eólicas). </w:t>
      </w:r>
      <w:r w:rsidRPr="00D45CC1">
        <w:rPr>
          <w:rFonts w:ascii="Arial" w:hAnsi="Arial" w:cs="Arial"/>
          <w:sz w:val="22"/>
          <w:lang w:val="es-ES"/>
        </w:rPr>
        <w:t xml:space="preserve">La </w:t>
      </w:r>
      <w:r w:rsidRPr="00E64E3C">
        <w:rPr>
          <w:rFonts w:ascii="Arial" w:hAnsi="Arial" w:cs="Arial"/>
          <w:sz w:val="22"/>
          <w:lang w:val="es-ES"/>
        </w:rPr>
        <w:t xml:space="preserve">capacidad térmica es 97% privada.  El precio de compra a los generadores térmicos durante 2015 varió entre $0.150 y $0.164 por kWh, dependiendo del precio del combustible y de las condiciones de los contratos (cargo variable, cargo fijo y factor de planta).  Este costo puede variar considerablemente dependiendo del generador y la eficiencia de sus plantas. </w:t>
      </w:r>
    </w:p>
    <w:p w14:paraId="716D13FE" w14:textId="76066607" w:rsidR="00FC43F2" w:rsidRPr="002D7268" w:rsidRDefault="00FC43F2" w:rsidP="00FC43F2">
      <w:pPr>
        <w:pStyle w:val="ListParagraph"/>
        <w:numPr>
          <w:ilvl w:val="1"/>
          <w:numId w:val="29"/>
        </w:numPr>
        <w:spacing w:before="240" w:after="240"/>
        <w:ind w:left="720" w:hanging="720"/>
        <w:contextualSpacing w:val="0"/>
        <w:jc w:val="both"/>
        <w:rPr>
          <w:rFonts w:ascii="Arial" w:hAnsi="Arial" w:cs="Arial"/>
          <w:sz w:val="22"/>
          <w:lang w:val="es-ES"/>
        </w:rPr>
      </w:pPr>
      <w:r w:rsidRPr="00E64E3C">
        <w:rPr>
          <w:rFonts w:ascii="Arial" w:hAnsi="Arial" w:cs="Arial"/>
          <w:sz w:val="22"/>
          <w:lang w:val="es-ES"/>
        </w:rPr>
        <w:lastRenderedPageBreak/>
        <w:t>Un análisis de los precios ofertados por los distintos generadores de energía renovable</w:t>
      </w:r>
      <w:r w:rsidRPr="00D45CC1">
        <w:rPr>
          <w:rFonts w:ascii="Arial" w:hAnsi="Arial" w:cs="Arial"/>
          <w:sz w:val="22"/>
          <w:lang w:val="es-ES"/>
        </w:rPr>
        <w:t xml:space="preserve"> arroja un costo de inversión por kW instalado implícito que varía entre $</w:t>
      </w:r>
      <w:r>
        <w:rPr>
          <w:rFonts w:ascii="Arial" w:hAnsi="Arial" w:cs="Arial"/>
          <w:sz w:val="22"/>
          <w:lang w:val="es-ES"/>
        </w:rPr>
        <w:t>16</w:t>
      </w:r>
      <w:r w:rsidRPr="00D45CC1">
        <w:rPr>
          <w:rFonts w:ascii="Arial" w:hAnsi="Arial" w:cs="Arial"/>
          <w:sz w:val="22"/>
          <w:lang w:val="es-ES"/>
        </w:rPr>
        <w:t>00</w:t>
      </w:r>
      <w:r>
        <w:rPr>
          <w:rFonts w:ascii="Arial" w:hAnsi="Arial" w:cs="Arial"/>
          <w:sz w:val="22"/>
          <w:lang w:val="es-ES"/>
        </w:rPr>
        <w:t>-$3000</w:t>
      </w:r>
      <w:r w:rsidRPr="00D45CC1">
        <w:rPr>
          <w:rFonts w:ascii="Arial" w:hAnsi="Arial" w:cs="Arial"/>
          <w:sz w:val="22"/>
          <w:lang w:val="es-ES"/>
        </w:rPr>
        <w:t xml:space="preserve"> para solar, $2500</w:t>
      </w:r>
      <w:r>
        <w:rPr>
          <w:rFonts w:ascii="Arial" w:hAnsi="Arial" w:cs="Arial"/>
          <w:sz w:val="22"/>
          <w:lang w:val="es-ES"/>
        </w:rPr>
        <w:t>-$4000</w:t>
      </w:r>
      <w:r w:rsidRPr="00A348BF">
        <w:rPr>
          <w:lang w:val="es-US"/>
        </w:rPr>
        <w:t xml:space="preserve"> </w:t>
      </w:r>
      <w:r w:rsidRPr="00A97FFB">
        <w:rPr>
          <w:rFonts w:ascii="Arial" w:hAnsi="Arial" w:cs="Arial"/>
          <w:sz w:val="22"/>
          <w:lang w:val="es-ES"/>
        </w:rPr>
        <w:t>para hidroeléctrica; $1900-$2500 para eólica y $4200 para geotermia (incluyendo pre-inversión)</w:t>
      </w:r>
      <w:r w:rsidRPr="00D45CC1">
        <w:rPr>
          <w:rFonts w:ascii="Arial" w:hAnsi="Arial" w:cs="Arial"/>
          <w:sz w:val="22"/>
          <w:lang w:val="es-ES"/>
        </w:rPr>
        <w:t>. La puesta en servicio de los diferentes proyect</w:t>
      </w:r>
      <w:r>
        <w:rPr>
          <w:rFonts w:ascii="Arial" w:hAnsi="Arial" w:cs="Arial"/>
          <w:sz w:val="22"/>
          <w:lang w:val="es-ES"/>
        </w:rPr>
        <w:t>os requiere un plazo prudencial de inversión</w:t>
      </w:r>
      <w:r w:rsidRPr="002D7268">
        <w:rPr>
          <w:rFonts w:ascii="Arial" w:hAnsi="Arial" w:cs="Arial"/>
          <w:sz w:val="22"/>
          <w:lang w:val="es-ES"/>
        </w:rPr>
        <w:t>.</w:t>
      </w:r>
      <w:r>
        <w:rPr>
          <w:rFonts w:ascii="Arial" w:hAnsi="Arial" w:cs="Arial"/>
          <w:sz w:val="22"/>
          <w:lang w:val="es-ES"/>
        </w:rPr>
        <w:t xml:space="preserve"> La generación esperada se calcula con base en factores de potencia por tecnología.</w:t>
      </w:r>
    </w:p>
    <w:p w14:paraId="00A4E679" w14:textId="77777777" w:rsidR="00FC43F2" w:rsidRPr="002D7268" w:rsidRDefault="00FC43F2" w:rsidP="00FC43F2">
      <w:pPr>
        <w:pStyle w:val="ListParagraph"/>
        <w:numPr>
          <w:ilvl w:val="1"/>
          <w:numId w:val="29"/>
        </w:numPr>
        <w:spacing w:before="240" w:after="240"/>
        <w:ind w:left="720" w:hanging="720"/>
        <w:contextualSpacing w:val="0"/>
        <w:jc w:val="both"/>
        <w:rPr>
          <w:rFonts w:ascii="Arial" w:hAnsi="Arial" w:cs="Arial"/>
          <w:sz w:val="22"/>
          <w:lang w:val="es-ES"/>
        </w:rPr>
      </w:pPr>
      <w:r w:rsidRPr="002D7268">
        <w:rPr>
          <w:rFonts w:ascii="Arial" w:hAnsi="Arial" w:cs="Arial"/>
          <w:sz w:val="22"/>
          <w:lang w:val="es-ES"/>
        </w:rPr>
        <w:t xml:space="preserve">La metodología aplicada consistió en (a) establecer un plan de inversión de referencia sobre un período de </w:t>
      </w:r>
      <w:r>
        <w:rPr>
          <w:rFonts w:ascii="Arial" w:hAnsi="Arial" w:cs="Arial"/>
          <w:sz w:val="22"/>
          <w:lang w:val="es-ES"/>
        </w:rPr>
        <w:t>15</w:t>
      </w:r>
      <w:r w:rsidRPr="002D7268">
        <w:rPr>
          <w:rFonts w:ascii="Arial" w:hAnsi="Arial" w:cs="Arial"/>
          <w:sz w:val="22"/>
          <w:lang w:val="es-ES"/>
        </w:rPr>
        <w:t xml:space="preserve"> años, con entradas en servicio escalonadas para las diferentes plantas a partir de 201</w:t>
      </w:r>
      <w:r>
        <w:rPr>
          <w:rFonts w:ascii="Arial" w:hAnsi="Arial" w:cs="Arial"/>
          <w:sz w:val="22"/>
          <w:lang w:val="es-ES"/>
        </w:rPr>
        <w:t>6</w:t>
      </w:r>
      <w:r w:rsidRPr="002D7268">
        <w:rPr>
          <w:rFonts w:ascii="Arial" w:hAnsi="Arial" w:cs="Arial"/>
          <w:sz w:val="22"/>
          <w:lang w:val="es-ES"/>
        </w:rPr>
        <w:t xml:space="preserve">; y (b) estimar los beneficios con base en los ahorros de sustitución de energía térmica tomando un costo </w:t>
      </w:r>
      <w:r>
        <w:rPr>
          <w:rFonts w:ascii="Arial" w:hAnsi="Arial" w:cs="Arial"/>
          <w:sz w:val="22"/>
          <w:lang w:val="es-ES"/>
        </w:rPr>
        <w:t xml:space="preserve">base </w:t>
      </w:r>
      <w:r w:rsidRPr="002D7268">
        <w:rPr>
          <w:rFonts w:ascii="Arial" w:hAnsi="Arial" w:cs="Arial"/>
          <w:sz w:val="22"/>
          <w:lang w:val="es-ES"/>
        </w:rPr>
        <w:t>de $0.164/kWh.</w:t>
      </w:r>
    </w:p>
    <w:p w14:paraId="512A5259" w14:textId="77777777" w:rsidR="00FC43F2" w:rsidRDefault="00FC43F2" w:rsidP="00FC43F2">
      <w:pPr>
        <w:pStyle w:val="ListParagraph"/>
        <w:numPr>
          <w:ilvl w:val="1"/>
          <w:numId w:val="29"/>
        </w:numPr>
        <w:spacing w:before="240" w:after="240"/>
        <w:ind w:left="720" w:hanging="720"/>
        <w:contextualSpacing w:val="0"/>
        <w:jc w:val="both"/>
        <w:rPr>
          <w:rFonts w:ascii="Arial" w:hAnsi="Arial" w:cs="Arial"/>
          <w:sz w:val="22"/>
          <w:lang w:val="es-ES"/>
        </w:rPr>
      </w:pPr>
      <w:r w:rsidRPr="00512A29">
        <w:rPr>
          <w:rFonts w:ascii="Arial" w:hAnsi="Arial" w:cs="Arial"/>
          <w:b/>
          <w:sz w:val="22"/>
          <w:lang w:val="es-ES"/>
        </w:rPr>
        <w:t xml:space="preserve">Beneficios Económicos. </w:t>
      </w:r>
      <w:r w:rsidRPr="00512A29">
        <w:rPr>
          <w:rFonts w:ascii="Arial" w:hAnsi="Arial" w:cs="Arial"/>
          <w:sz w:val="22"/>
          <w:lang w:val="es-ES"/>
        </w:rPr>
        <w:t xml:space="preserve">Los beneficios económicos se estiman de acuerdo con el costo de compra evitado cuando las nuevas plantas de energía renovable </w:t>
      </w:r>
      <w:r>
        <w:rPr>
          <w:rFonts w:ascii="Arial" w:hAnsi="Arial" w:cs="Arial"/>
          <w:sz w:val="22"/>
          <w:lang w:val="es-ES"/>
        </w:rPr>
        <w:t>entran</w:t>
      </w:r>
      <w:r w:rsidRPr="00512A29">
        <w:rPr>
          <w:rFonts w:ascii="Arial" w:hAnsi="Arial" w:cs="Arial"/>
          <w:sz w:val="22"/>
          <w:lang w:val="es-ES"/>
        </w:rPr>
        <w:t xml:space="preserve"> en operación</w:t>
      </w:r>
      <w:r>
        <w:rPr>
          <w:rFonts w:ascii="Arial" w:hAnsi="Arial" w:cs="Arial"/>
          <w:sz w:val="22"/>
          <w:lang w:val="es-ES"/>
        </w:rPr>
        <w:t>. S</w:t>
      </w:r>
      <w:r w:rsidRPr="00512A29">
        <w:rPr>
          <w:rFonts w:ascii="Arial" w:hAnsi="Arial" w:cs="Arial"/>
          <w:sz w:val="22"/>
          <w:lang w:val="es-ES"/>
        </w:rPr>
        <w:t xml:space="preserve">e resumen en el Cuadro </w:t>
      </w:r>
      <w:r>
        <w:rPr>
          <w:rFonts w:ascii="Arial" w:hAnsi="Arial" w:cs="Arial"/>
          <w:sz w:val="22"/>
          <w:lang w:val="es-ES"/>
        </w:rPr>
        <w:t>10.</w:t>
      </w:r>
    </w:p>
    <w:p w14:paraId="5FA6087B" w14:textId="77777777" w:rsidR="00FC43F2" w:rsidRDefault="00FC43F2" w:rsidP="00FC43F2">
      <w:pPr>
        <w:jc w:val="center"/>
        <w:rPr>
          <w:rFonts w:ascii="Arial" w:hAnsi="Arial" w:cs="Arial"/>
          <w:b/>
          <w:sz w:val="20"/>
          <w:szCs w:val="20"/>
          <w:lang w:val="es-ES"/>
        </w:rPr>
      </w:pPr>
    </w:p>
    <w:p w14:paraId="7FA04E6A" w14:textId="77777777" w:rsidR="00FC43F2" w:rsidRPr="00512A29" w:rsidRDefault="00FC43F2" w:rsidP="00FC43F2">
      <w:pPr>
        <w:jc w:val="center"/>
        <w:rPr>
          <w:rFonts w:ascii="Arial" w:hAnsi="Arial" w:cs="Arial"/>
          <w:b/>
          <w:sz w:val="20"/>
          <w:szCs w:val="20"/>
          <w:lang w:val="es-ES"/>
        </w:rPr>
      </w:pPr>
      <w:r w:rsidRPr="00512A29">
        <w:rPr>
          <w:rFonts w:ascii="Arial" w:hAnsi="Arial" w:cs="Arial"/>
          <w:b/>
          <w:sz w:val="20"/>
          <w:szCs w:val="20"/>
          <w:lang w:val="es-ES"/>
        </w:rPr>
        <w:t xml:space="preserve">Cuadro </w:t>
      </w:r>
      <w:r>
        <w:rPr>
          <w:rFonts w:ascii="Arial" w:hAnsi="Arial" w:cs="Arial"/>
          <w:b/>
          <w:sz w:val="20"/>
          <w:szCs w:val="20"/>
          <w:lang w:val="es-ES"/>
        </w:rPr>
        <w:t xml:space="preserve">10. </w:t>
      </w:r>
      <w:r w:rsidRPr="00512A29">
        <w:rPr>
          <w:rFonts w:ascii="Arial" w:hAnsi="Arial" w:cs="Arial"/>
          <w:b/>
          <w:sz w:val="20"/>
          <w:szCs w:val="20"/>
          <w:lang w:val="es-ES"/>
        </w:rPr>
        <w:t xml:space="preserve"> Beneficios Económicos de nueva generación con fuentes renovables</w:t>
      </w:r>
    </w:p>
    <w:p w14:paraId="43ED42C0" w14:textId="77777777" w:rsidR="00FC43F2" w:rsidRDefault="00FC43F2" w:rsidP="00FC43F2">
      <w:pPr>
        <w:ind w:hanging="1080"/>
        <w:rPr>
          <w:lang w:val="es-ES"/>
        </w:rPr>
      </w:pPr>
      <w:r w:rsidRPr="006B5C9F">
        <w:rPr>
          <w:noProof/>
        </w:rPr>
        <w:drawing>
          <wp:inline distT="0" distB="0" distL="0" distR="0" wp14:anchorId="6DD52F4C" wp14:editId="268473E4">
            <wp:extent cx="7227708" cy="4953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252068" cy="496969"/>
                    </a:xfrm>
                    <a:prstGeom prst="rect">
                      <a:avLst/>
                    </a:prstGeom>
                    <a:noFill/>
                    <a:ln>
                      <a:noFill/>
                    </a:ln>
                  </pic:spPr>
                </pic:pic>
              </a:graphicData>
            </a:graphic>
          </wp:inline>
        </w:drawing>
      </w:r>
    </w:p>
    <w:p w14:paraId="00269E8A" w14:textId="77777777" w:rsidR="00FC43F2" w:rsidRDefault="00FC43F2" w:rsidP="00FC43F2">
      <w:pPr>
        <w:rPr>
          <w:rFonts w:ascii="Arial" w:hAnsi="Arial" w:cs="Arial"/>
          <w:b/>
          <w:sz w:val="22"/>
          <w:lang w:val="es-ES"/>
        </w:rPr>
      </w:pPr>
    </w:p>
    <w:p w14:paraId="649CBEFD" w14:textId="77777777" w:rsidR="00FC43F2" w:rsidRDefault="00FC43F2" w:rsidP="00FC43F2">
      <w:pPr>
        <w:pStyle w:val="ListParagraph"/>
        <w:numPr>
          <w:ilvl w:val="1"/>
          <w:numId w:val="29"/>
        </w:numPr>
        <w:spacing w:before="240" w:after="240"/>
        <w:ind w:left="720" w:hanging="720"/>
        <w:contextualSpacing w:val="0"/>
        <w:jc w:val="both"/>
        <w:rPr>
          <w:rFonts w:ascii="Arial" w:hAnsi="Arial" w:cs="Arial"/>
          <w:sz w:val="22"/>
          <w:lang w:val="es-ES"/>
        </w:rPr>
      </w:pPr>
      <w:r w:rsidRPr="00115C11">
        <w:rPr>
          <w:rFonts w:ascii="Arial" w:hAnsi="Arial" w:cs="Arial"/>
          <w:b/>
          <w:sz w:val="22"/>
          <w:lang w:val="es-ES"/>
        </w:rPr>
        <w:t xml:space="preserve">Costos Económicos. </w:t>
      </w:r>
      <w:r w:rsidRPr="00115C11">
        <w:rPr>
          <w:rFonts w:ascii="Arial" w:hAnsi="Arial" w:cs="Arial"/>
          <w:sz w:val="22"/>
          <w:lang w:val="es-ES"/>
        </w:rPr>
        <w:t xml:space="preserve">Los costos económicos incluyen los costos de inversión de las centrales y los costos de operación y mantenimiento.  Se resumen </w:t>
      </w:r>
      <w:r>
        <w:rPr>
          <w:rFonts w:ascii="Arial" w:hAnsi="Arial" w:cs="Arial"/>
          <w:sz w:val="22"/>
          <w:lang w:val="es-ES"/>
        </w:rPr>
        <w:t>en el Cuadro 11.</w:t>
      </w:r>
    </w:p>
    <w:p w14:paraId="6C57EC37" w14:textId="77777777" w:rsidR="00FC43F2" w:rsidRPr="00CE6F3F" w:rsidRDefault="00FC43F2" w:rsidP="00FC43F2">
      <w:pPr>
        <w:jc w:val="center"/>
        <w:rPr>
          <w:rFonts w:ascii="Arial" w:hAnsi="Arial" w:cs="Arial"/>
          <w:b/>
          <w:sz w:val="20"/>
          <w:szCs w:val="20"/>
          <w:lang w:val="es-ES"/>
        </w:rPr>
      </w:pPr>
      <w:r>
        <w:rPr>
          <w:rFonts w:ascii="Arial" w:hAnsi="Arial" w:cs="Arial"/>
          <w:b/>
          <w:sz w:val="20"/>
          <w:szCs w:val="20"/>
          <w:lang w:val="es-ES"/>
        </w:rPr>
        <w:t xml:space="preserve">Cuadro 11. </w:t>
      </w:r>
      <w:r w:rsidRPr="00CE6F3F">
        <w:rPr>
          <w:rFonts w:ascii="Arial" w:hAnsi="Arial" w:cs="Arial"/>
          <w:b/>
          <w:sz w:val="20"/>
          <w:szCs w:val="20"/>
          <w:lang w:val="es-ES"/>
        </w:rPr>
        <w:t xml:space="preserve">  </w:t>
      </w:r>
      <w:r>
        <w:rPr>
          <w:rFonts w:ascii="Arial" w:hAnsi="Arial" w:cs="Arial"/>
          <w:b/>
          <w:sz w:val="20"/>
          <w:szCs w:val="20"/>
          <w:lang w:val="es-ES"/>
        </w:rPr>
        <w:t>Costos</w:t>
      </w:r>
      <w:r w:rsidRPr="00CE6F3F">
        <w:rPr>
          <w:rFonts w:ascii="Arial" w:hAnsi="Arial" w:cs="Arial"/>
          <w:b/>
          <w:sz w:val="20"/>
          <w:szCs w:val="20"/>
          <w:lang w:val="es-ES"/>
        </w:rPr>
        <w:t xml:space="preserve"> de nueva generación con fuentes renovables</w:t>
      </w:r>
    </w:p>
    <w:p w14:paraId="040DEF52" w14:textId="77777777" w:rsidR="00FC43F2" w:rsidRPr="0084431B" w:rsidRDefault="00FC43F2" w:rsidP="00FC43F2">
      <w:pPr>
        <w:ind w:hanging="900"/>
        <w:rPr>
          <w:noProof/>
          <w:lang w:val="es-US"/>
        </w:rPr>
      </w:pPr>
      <w:r w:rsidRPr="006B5C9F">
        <w:rPr>
          <w:noProof/>
        </w:rPr>
        <w:drawing>
          <wp:inline distT="0" distB="0" distL="0" distR="0" wp14:anchorId="425EC047" wp14:editId="48034473">
            <wp:extent cx="6994601" cy="7429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005444" cy="744102"/>
                    </a:xfrm>
                    <a:prstGeom prst="rect">
                      <a:avLst/>
                    </a:prstGeom>
                    <a:noFill/>
                    <a:ln>
                      <a:noFill/>
                    </a:ln>
                  </pic:spPr>
                </pic:pic>
              </a:graphicData>
            </a:graphic>
          </wp:inline>
        </w:drawing>
      </w:r>
    </w:p>
    <w:p w14:paraId="25A2E1A6" w14:textId="77777777" w:rsidR="00FC43F2" w:rsidRPr="00CE6F3F" w:rsidRDefault="00FC43F2" w:rsidP="00FC43F2">
      <w:pPr>
        <w:pStyle w:val="ListParagraph"/>
        <w:numPr>
          <w:ilvl w:val="1"/>
          <w:numId w:val="29"/>
        </w:numPr>
        <w:spacing w:before="240" w:after="240"/>
        <w:ind w:left="720" w:hanging="720"/>
        <w:contextualSpacing w:val="0"/>
        <w:jc w:val="both"/>
        <w:rPr>
          <w:rFonts w:ascii="Arial" w:hAnsi="Arial" w:cs="Arial"/>
          <w:sz w:val="22"/>
          <w:lang w:val="es-ES"/>
        </w:rPr>
      </w:pPr>
      <w:r>
        <w:rPr>
          <w:rFonts w:ascii="Arial" w:hAnsi="Arial" w:cs="Arial"/>
          <w:b/>
          <w:sz w:val="22"/>
          <w:lang w:val="es-ES"/>
        </w:rPr>
        <w:t>Tasa Interna de R</w:t>
      </w:r>
      <w:r w:rsidRPr="00CE6F3F">
        <w:rPr>
          <w:rFonts w:ascii="Arial" w:hAnsi="Arial" w:cs="Arial"/>
          <w:b/>
          <w:sz w:val="22"/>
          <w:lang w:val="es-ES"/>
        </w:rPr>
        <w:t xml:space="preserve">etorno y Valor Presente Neto.  </w:t>
      </w:r>
      <w:r w:rsidRPr="00CE6F3F">
        <w:rPr>
          <w:rFonts w:ascii="Arial" w:hAnsi="Arial" w:cs="Arial"/>
          <w:sz w:val="22"/>
          <w:lang w:val="es-ES"/>
        </w:rPr>
        <w:t>Los</w:t>
      </w:r>
      <w:r>
        <w:rPr>
          <w:rFonts w:ascii="Arial" w:hAnsi="Arial" w:cs="Arial"/>
          <w:sz w:val="22"/>
          <w:lang w:val="es-ES"/>
        </w:rPr>
        <w:t xml:space="preserve"> flujos de</w:t>
      </w:r>
      <w:r w:rsidRPr="00CE6F3F">
        <w:rPr>
          <w:rFonts w:ascii="Arial" w:hAnsi="Arial" w:cs="Arial"/>
          <w:sz w:val="22"/>
          <w:lang w:val="es-ES"/>
        </w:rPr>
        <w:t xml:space="preserve"> costos y beneficios </w:t>
      </w:r>
      <w:r>
        <w:rPr>
          <w:rFonts w:ascii="Arial" w:hAnsi="Arial" w:cs="Arial"/>
          <w:sz w:val="22"/>
          <w:lang w:val="es-ES"/>
        </w:rPr>
        <w:t xml:space="preserve">proyectados hasta 2035 </w:t>
      </w:r>
      <w:r w:rsidRPr="00CE6F3F">
        <w:rPr>
          <w:rFonts w:ascii="Arial" w:hAnsi="Arial" w:cs="Arial"/>
          <w:sz w:val="22"/>
          <w:lang w:val="es-ES"/>
        </w:rPr>
        <w:t>arrojan los siguientes valores</w:t>
      </w:r>
      <w:r>
        <w:rPr>
          <w:rFonts w:ascii="Arial" w:hAnsi="Arial" w:cs="Arial"/>
          <w:sz w:val="22"/>
          <w:lang w:val="es-ES"/>
        </w:rPr>
        <w:t>,</w:t>
      </w:r>
      <w:r w:rsidRPr="00CE6F3F">
        <w:rPr>
          <w:rFonts w:ascii="Arial" w:hAnsi="Arial" w:cs="Arial"/>
          <w:sz w:val="22"/>
          <w:lang w:val="es-ES"/>
        </w:rPr>
        <w:t xml:space="preserve"> con una tasa de descuento de 12%:</w:t>
      </w:r>
    </w:p>
    <w:p w14:paraId="74B7745E" w14:textId="77777777" w:rsidR="00FC43F2" w:rsidRPr="00CE6F3F" w:rsidRDefault="00FC43F2" w:rsidP="00FC43F2">
      <w:pPr>
        <w:ind w:left="720"/>
        <w:rPr>
          <w:rFonts w:ascii="Arial" w:hAnsi="Arial" w:cs="Arial"/>
          <w:sz w:val="22"/>
          <w:lang w:val="es-ES"/>
        </w:rPr>
      </w:pPr>
      <w:r w:rsidRPr="00CE6F3F">
        <w:rPr>
          <w:rFonts w:ascii="Arial" w:hAnsi="Arial" w:cs="Arial"/>
          <w:sz w:val="22"/>
          <w:lang w:val="es-ES"/>
        </w:rPr>
        <w:t xml:space="preserve">VP </w:t>
      </w:r>
      <w:r>
        <w:rPr>
          <w:rFonts w:ascii="Arial" w:hAnsi="Arial" w:cs="Arial"/>
          <w:sz w:val="22"/>
          <w:lang w:val="es-ES"/>
        </w:rPr>
        <w:t>B</w:t>
      </w:r>
      <w:r w:rsidRPr="00CE6F3F">
        <w:rPr>
          <w:rFonts w:ascii="Arial" w:hAnsi="Arial" w:cs="Arial"/>
          <w:sz w:val="22"/>
          <w:lang w:val="es-ES"/>
        </w:rPr>
        <w:t xml:space="preserve">eneficios económicos: </w:t>
      </w:r>
      <w:r w:rsidRPr="00CE6F3F">
        <w:rPr>
          <w:rFonts w:ascii="Arial" w:hAnsi="Arial" w:cs="Arial"/>
          <w:sz w:val="22"/>
          <w:lang w:val="es-ES"/>
        </w:rPr>
        <w:tab/>
      </w:r>
      <w:r>
        <w:rPr>
          <w:rFonts w:ascii="Arial" w:hAnsi="Arial" w:cs="Arial"/>
          <w:sz w:val="22"/>
          <w:lang w:val="es-ES"/>
        </w:rPr>
        <w:t>3596</w:t>
      </w:r>
      <w:r w:rsidRPr="00CE6F3F">
        <w:rPr>
          <w:rFonts w:ascii="Arial" w:hAnsi="Arial" w:cs="Arial"/>
          <w:sz w:val="22"/>
          <w:lang w:val="es-ES"/>
        </w:rPr>
        <w:t>M$</w:t>
      </w:r>
    </w:p>
    <w:p w14:paraId="3CF83CE6" w14:textId="77777777" w:rsidR="00FC43F2" w:rsidRPr="006230E3" w:rsidRDefault="00FC43F2" w:rsidP="00FC43F2">
      <w:pPr>
        <w:ind w:left="720"/>
        <w:rPr>
          <w:rFonts w:ascii="Arial" w:hAnsi="Arial" w:cs="Arial"/>
          <w:sz w:val="22"/>
          <w:lang w:val="es-ES"/>
        </w:rPr>
      </w:pPr>
      <w:r w:rsidRPr="006230E3">
        <w:rPr>
          <w:rFonts w:ascii="Arial" w:hAnsi="Arial" w:cs="Arial"/>
          <w:sz w:val="22"/>
          <w:lang w:val="es-ES"/>
        </w:rPr>
        <w:t>VP Costos:</w:t>
      </w:r>
      <w:r w:rsidRPr="006230E3">
        <w:rPr>
          <w:rFonts w:ascii="Arial" w:hAnsi="Arial" w:cs="Arial"/>
          <w:sz w:val="22"/>
          <w:lang w:val="es-ES"/>
        </w:rPr>
        <w:tab/>
      </w:r>
      <w:r>
        <w:rPr>
          <w:rFonts w:ascii="Arial" w:hAnsi="Arial" w:cs="Arial"/>
          <w:sz w:val="22"/>
          <w:lang w:val="es-ES"/>
        </w:rPr>
        <w:tab/>
      </w:r>
      <w:r>
        <w:rPr>
          <w:rFonts w:ascii="Arial" w:hAnsi="Arial" w:cs="Arial"/>
          <w:sz w:val="22"/>
          <w:lang w:val="es-ES"/>
        </w:rPr>
        <w:tab/>
        <w:t>2653</w:t>
      </w:r>
      <w:r w:rsidRPr="006230E3">
        <w:rPr>
          <w:rFonts w:ascii="Arial" w:hAnsi="Arial" w:cs="Arial"/>
          <w:sz w:val="22"/>
          <w:lang w:val="es-ES"/>
        </w:rPr>
        <w:t>M$</w:t>
      </w:r>
    </w:p>
    <w:p w14:paraId="1A451C0C" w14:textId="77777777" w:rsidR="00FC43F2" w:rsidRPr="006230E3" w:rsidRDefault="00FC43F2" w:rsidP="00FC43F2">
      <w:pPr>
        <w:ind w:left="720"/>
        <w:rPr>
          <w:rFonts w:ascii="Arial" w:hAnsi="Arial" w:cs="Arial"/>
          <w:sz w:val="22"/>
          <w:lang w:val="es-ES"/>
        </w:rPr>
      </w:pPr>
      <w:r w:rsidRPr="006230E3">
        <w:rPr>
          <w:rFonts w:ascii="Arial" w:hAnsi="Arial" w:cs="Arial"/>
          <w:sz w:val="22"/>
          <w:lang w:val="es-ES"/>
        </w:rPr>
        <w:t>VPN</w:t>
      </w:r>
      <w:r>
        <w:rPr>
          <w:rFonts w:ascii="Arial" w:hAnsi="Arial" w:cs="Arial"/>
          <w:sz w:val="22"/>
          <w:lang w:val="es-ES"/>
        </w:rPr>
        <w:t>E</w:t>
      </w:r>
      <w:r w:rsidRPr="006230E3">
        <w:rPr>
          <w:rFonts w:ascii="Arial" w:hAnsi="Arial" w:cs="Arial"/>
          <w:sz w:val="22"/>
          <w:lang w:val="es-ES"/>
        </w:rPr>
        <w:t>:</w:t>
      </w:r>
      <w:r w:rsidRPr="006230E3">
        <w:rPr>
          <w:rFonts w:ascii="Arial" w:hAnsi="Arial" w:cs="Arial"/>
          <w:sz w:val="22"/>
          <w:lang w:val="es-ES"/>
        </w:rPr>
        <w:tab/>
      </w:r>
      <w:r w:rsidRPr="006230E3">
        <w:rPr>
          <w:rFonts w:ascii="Arial" w:hAnsi="Arial" w:cs="Arial"/>
          <w:sz w:val="22"/>
          <w:lang w:val="es-ES"/>
        </w:rPr>
        <w:tab/>
      </w:r>
      <w:r>
        <w:rPr>
          <w:rFonts w:ascii="Arial" w:hAnsi="Arial" w:cs="Arial"/>
          <w:sz w:val="22"/>
          <w:lang w:val="es-ES"/>
        </w:rPr>
        <w:tab/>
      </w:r>
      <w:r>
        <w:rPr>
          <w:rFonts w:ascii="Arial" w:hAnsi="Arial" w:cs="Arial"/>
          <w:sz w:val="22"/>
          <w:lang w:val="es-ES"/>
        </w:rPr>
        <w:tab/>
        <w:t>943</w:t>
      </w:r>
      <w:r w:rsidRPr="006230E3">
        <w:rPr>
          <w:rFonts w:ascii="Arial" w:hAnsi="Arial" w:cs="Arial"/>
          <w:sz w:val="22"/>
          <w:lang w:val="es-ES"/>
        </w:rPr>
        <w:t>M$</w:t>
      </w:r>
    </w:p>
    <w:p w14:paraId="6851BFB0" w14:textId="77777777" w:rsidR="00FC43F2" w:rsidRDefault="00FC43F2" w:rsidP="00FC43F2">
      <w:pPr>
        <w:pStyle w:val="ListParagraph"/>
        <w:numPr>
          <w:ilvl w:val="1"/>
          <w:numId w:val="29"/>
        </w:numPr>
        <w:spacing w:before="240" w:after="240"/>
        <w:ind w:left="720" w:hanging="720"/>
        <w:contextualSpacing w:val="0"/>
        <w:jc w:val="both"/>
        <w:rPr>
          <w:rFonts w:ascii="Arial" w:hAnsi="Arial" w:cs="Arial"/>
          <w:sz w:val="22"/>
          <w:lang w:val="es-ES"/>
        </w:rPr>
      </w:pPr>
      <w:r w:rsidRPr="006230E3">
        <w:rPr>
          <w:rFonts w:ascii="Arial" w:hAnsi="Arial" w:cs="Arial"/>
          <w:sz w:val="22"/>
          <w:lang w:val="es-ES"/>
        </w:rPr>
        <w:t xml:space="preserve">El flujo neto de costos y beneficios se resume en el Cuadro </w:t>
      </w:r>
      <w:r>
        <w:rPr>
          <w:rFonts w:ascii="Arial" w:hAnsi="Arial" w:cs="Arial"/>
          <w:sz w:val="22"/>
          <w:lang w:val="es-ES"/>
        </w:rPr>
        <w:t>12</w:t>
      </w:r>
      <w:r w:rsidRPr="006230E3">
        <w:rPr>
          <w:rFonts w:ascii="Arial" w:hAnsi="Arial" w:cs="Arial"/>
          <w:sz w:val="22"/>
          <w:lang w:val="es-ES"/>
        </w:rPr>
        <w:t>. Este flujo arroja una TIRE de 3</w:t>
      </w:r>
      <w:r>
        <w:rPr>
          <w:rFonts w:ascii="Arial" w:hAnsi="Arial" w:cs="Arial"/>
          <w:sz w:val="22"/>
          <w:lang w:val="es-ES"/>
        </w:rPr>
        <w:t>0,3</w:t>
      </w:r>
      <w:r w:rsidRPr="006230E3">
        <w:rPr>
          <w:rFonts w:ascii="Arial" w:hAnsi="Arial" w:cs="Arial"/>
          <w:sz w:val="22"/>
          <w:lang w:val="es-ES"/>
        </w:rPr>
        <w:t>%, superior a la tasa de descuento de referencia de 12%.</w:t>
      </w:r>
    </w:p>
    <w:p w14:paraId="135F12ED" w14:textId="77777777" w:rsidR="00FC43F2" w:rsidRPr="00CE6F3F" w:rsidRDefault="00FC43F2" w:rsidP="00FC43F2">
      <w:pPr>
        <w:spacing w:before="240"/>
        <w:jc w:val="center"/>
        <w:rPr>
          <w:rFonts w:ascii="Arial" w:hAnsi="Arial" w:cs="Arial"/>
          <w:b/>
          <w:sz w:val="20"/>
          <w:szCs w:val="20"/>
          <w:lang w:val="es-ES"/>
        </w:rPr>
      </w:pPr>
      <w:r w:rsidRPr="006230E3">
        <w:rPr>
          <w:rFonts w:ascii="Arial" w:hAnsi="Arial" w:cs="Arial"/>
          <w:b/>
          <w:sz w:val="20"/>
          <w:szCs w:val="20"/>
          <w:lang w:val="es-ES"/>
        </w:rPr>
        <w:t xml:space="preserve">Cuadro </w:t>
      </w:r>
      <w:r>
        <w:rPr>
          <w:rFonts w:ascii="Arial" w:hAnsi="Arial" w:cs="Arial"/>
          <w:b/>
          <w:sz w:val="20"/>
          <w:szCs w:val="20"/>
          <w:lang w:val="es-ES"/>
        </w:rPr>
        <w:t xml:space="preserve">12. </w:t>
      </w:r>
      <w:r w:rsidRPr="006230E3">
        <w:rPr>
          <w:rFonts w:ascii="Arial" w:hAnsi="Arial" w:cs="Arial"/>
          <w:b/>
          <w:sz w:val="20"/>
          <w:szCs w:val="20"/>
          <w:lang w:val="es-ES"/>
        </w:rPr>
        <w:t xml:space="preserve">  </w:t>
      </w:r>
      <w:r>
        <w:rPr>
          <w:rFonts w:ascii="Arial" w:hAnsi="Arial" w:cs="Arial"/>
          <w:b/>
          <w:sz w:val="20"/>
          <w:szCs w:val="20"/>
          <w:lang w:val="es-ES"/>
        </w:rPr>
        <w:t>Flujo neto de beneficios y costos</w:t>
      </w:r>
      <w:r w:rsidRPr="006230E3">
        <w:rPr>
          <w:rFonts w:ascii="Arial" w:hAnsi="Arial" w:cs="Arial"/>
          <w:b/>
          <w:sz w:val="20"/>
          <w:szCs w:val="20"/>
          <w:lang w:val="es-ES"/>
        </w:rPr>
        <w:t xml:space="preserve"> de nueva generación con</w:t>
      </w:r>
      <w:r w:rsidRPr="00CE6F3F">
        <w:rPr>
          <w:rFonts w:ascii="Arial" w:hAnsi="Arial" w:cs="Arial"/>
          <w:b/>
          <w:sz w:val="20"/>
          <w:szCs w:val="20"/>
          <w:lang w:val="es-ES"/>
        </w:rPr>
        <w:t xml:space="preserve"> fuentes renovable</w:t>
      </w:r>
    </w:p>
    <w:p w14:paraId="4165CC83" w14:textId="77777777" w:rsidR="00FC43F2" w:rsidRDefault="00FC43F2" w:rsidP="00FC43F2">
      <w:pPr>
        <w:ind w:hanging="900"/>
        <w:rPr>
          <w:lang w:val="es-ES"/>
        </w:rPr>
      </w:pPr>
      <w:r w:rsidRPr="006B5C9F">
        <w:rPr>
          <w:noProof/>
        </w:rPr>
        <w:drawing>
          <wp:inline distT="0" distB="0" distL="0" distR="0" wp14:anchorId="4065D5C1" wp14:editId="1DC62F1F">
            <wp:extent cx="6993906" cy="25717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93906" cy="257175"/>
                    </a:xfrm>
                    <a:prstGeom prst="rect">
                      <a:avLst/>
                    </a:prstGeom>
                    <a:noFill/>
                    <a:ln>
                      <a:noFill/>
                    </a:ln>
                  </pic:spPr>
                </pic:pic>
              </a:graphicData>
            </a:graphic>
          </wp:inline>
        </w:drawing>
      </w:r>
    </w:p>
    <w:p w14:paraId="7963A330" w14:textId="77777777" w:rsidR="00FC43F2" w:rsidRDefault="00FC43F2" w:rsidP="00FC43F2">
      <w:pPr>
        <w:rPr>
          <w:lang w:val="es-ES"/>
        </w:rPr>
      </w:pPr>
    </w:p>
    <w:p w14:paraId="7E787453" w14:textId="444A47B5" w:rsidR="00FC43F2" w:rsidRDefault="00FC43F2" w:rsidP="00FC43F2">
      <w:pPr>
        <w:pStyle w:val="ListParagraph"/>
        <w:numPr>
          <w:ilvl w:val="1"/>
          <w:numId w:val="29"/>
        </w:numPr>
        <w:spacing w:before="240" w:after="240"/>
        <w:ind w:left="720" w:hanging="720"/>
        <w:contextualSpacing w:val="0"/>
        <w:jc w:val="both"/>
        <w:rPr>
          <w:rFonts w:ascii="Arial" w:hAnsi="Arial" w:cs="Arial"/>
          <w:sz w:val="22"/>
          <w:lang w:val="es-ES"/>
        </w:rPr>
      </w:pPr>
      <w:r w:rsidRPr="00842A07">
        <w:rPr>
          <w:rFonts w:ascii="Arial" w:hAnsi="Arial" w:cs="Arial"/>
          <w:b/>
          <w:sz w:val="22"/>
          <w:lang w:val="es-ES"/>
        </w:rPr>
        <w:lastRenderedPageBreak/>
        <w:t xml:space="preserve">Análisis de sensibilidad.  </w:t>
      </w:r>
      <w:r w:rsidRPr="00842A07">
        <w:rPr>
          <w:rFonts w:ascii="Arial" w:hAnsi="Arial" w:cs="Arial"/>
          <w:sz w:val="22"/>
          <w:lang w:val="es-ES"/>
        </w:rPr>
        <w:t>Para examinar la robustez de los resultados, se analizó el efecto de</w:t>
      </w:r>
      <w:r>
        <w:rPr>
          <w:rFonts w:ascii="Arial" w:hAnsi="Arial" w:cs="Arial"/>
          <w:sz w:val="22"/>
          <w:lang w:val="es-ES"/>
        </w:rPr>
        <w:t xml:space="preserve">: (i) </w:t>
      </w:r>
      <w:r w:rsidRPr="00842A07">
        <w:rPr>
          <w:rFonts w:ascii="Arial" w:hAnsi="Arial" w:cs="Arial"/>
          <w:sz w:val="22"/>
          <w:lang w:val="es-ES"/>
        </w:rPr>
        <w:t>una reducción de 1</w:t>
      </w:r>
      <w:r>
        <w:rPr>
          <w:rFonts w:ascii="Arial" w:hAnsi="Arial" w:cs="Arial"/>
          <w:sz w:val="22"/>
          <w:lang w:val="es-ES"/>
        </w:rPr>
        <w:t>5</w:t>
      </w:r>
      <w:r w:rsidRPr="00842A07">
        <w:rPr>
          <w:rFonts w:ascii="Arial" w:hAnsi="Arial" w:cs="Arial"/>
          <w:sz w:val="22"/>
          <w:lang w:val="es-ES"/>
        </w:rPr>
        <w:t>% en el costo</w:t>
      </w:r>
      <w:r>
        <w:rPr>
          <w:rFonts w:ascii="Arial" w:hAnsi="Arial" w:cs="Arial"/>
          <w:sz w:val="22"/>
          <w:lang w:val="es-ES"/>
        </w:rPr>
        <w:t xml:space="preserve"> de energía térmica que representa el costo</w:t>
      </w:r>
      <w:r w:rsidRPr="00842A07">
        <w:rPr>
          <w:rFonts w:ascii="Arial" w:hAnsi="Arial" w:cs="Arial"/>
          <w:sz w:val="22"/>
          <w:lang w:val="es-ES"/>
        </w:rPr>
        <w:t xml:space="preserve"> evitado de compra</w:t>
      </w:r>
      <w:r>
        <w:rPr>
          <w:rFonts w:ascii="Arial" w:hAnsi="Arial" w:cs="Arial"/>
          <w:sz w:val="22"/>
          <w:lang w:val="es-ES"/>
        </w:rPr>
        <w:t>. Este costo representa el ahorro que causa la introducción de renovables.  Si el precio de energía térmica baja, las ventajas de los renovables se espera sea reducida;</w:t>
      </w:r>
      <w:r w:rsidRPr="00842A07">
        <w:rPr>
          <w:rFonts w:ascii="Arial" w:hAnsi="Arial" w:cs="Arial"/>
          <w:sz w:val="22"/>
          <w:lang w:val="es-ES"/>
        </w:rPr>
        <w:t xml:space="preserve"> y </w:t>
      </w:r>
      <w:r>
        <w:rPr>
          <w:rFonts w:ascii="Arial" w:hAnsi="Arial" w:cs="Arial"/>
          <w:sz w:val="22"/>
          <w:lang w:val="es-ES"/>
        </w:rPr>
        <w:t>(ii) aumento en el costo de la inversión del</w:t>
      </w:r>
      <w:r w:rsidRPr="00842A07">
        <w:rPr>
          <w:rFonts w:ascii="Arial" w:hAnsi="Arial" w:cs="Arial"/>
          <w:sz w:val="22"/>
          <w:lang w:val="es-ES"/>
        </w:rPr>
        <w:t xml:space="preserve"> 10%</w:t>
      </w:r>
      <w:r>
        <w:rPr>
          <w:rFonts w:ascii="Arial" w:hAnsi="Arial" w:cs="Arial"/>
          <w:sz w:val="22"/>
          <w:lang w:val="es-ES"/>
        </w:rPr>
        <w:t xml:space="preserve"> para determinar la vulnerabilidad de los resultados ante cambios en los precios de estas tecnologías de renovables</w:t>
      </w:r>
      <w:r w:rsidRPr="00842A07">
        <w:rPr>
          <w:rFonts w:ascii="Arial" w:hAnsi="Arial" w:cs="Arial"/>
          <w:sz w:val="22"/>
          <w:lang w:val="es-ES"/>
        </w:rPr>
        <w:t xml:space="preserve">.  Los resultados obtenidos se resumen </w:t>
      </w:r>
      <w:r>
        <w:rPr>
          <w:rFonts w:ascii="Arial" w:hAnsi="Arial" w:cs="Arial"/>
          <w:sz w:val="22"/>
          <w:lang w:val="es-ES"/>
        </w:rPr>
        <w:t>en el Cuadro 13.</w:t>
      </w:r>
    </w:p>
    <w:p w14:paraId="6E139926" w14:textId="77777777" w:rsidR="00FC43F2" w:rsidRPr="00EF21A2" w:rsidRDefault="00FC43F2" w:rsidP="00FC43F2">
      <w:pPr>
        <w:rPr>
          <w:rFonts w:ascii="Arial" w:hAnsi="Arial" w:cs="Arial"/>
          <w:sz w:val="22"/>
          <w:lang w:val="es-ES"/>
        </w:rPr>
      </w:pPr>
      <w:r w:rsidRPr="00EF21A2">
        <w:rPr>
          <w:rFonts w:ascii="Arial" w:hAnsi="Arial" w:cs="Arial"/>
          <w:b/>
          <w:sz w:val="22"/>
          <w:lang w:val="es-ES"/>
        </w:rPr>
        <w:t>Cuadro 13.  Resumen Análisis de Sensibilidad –  Energía Renovable</w:t>
      </w:r>
    </w:p>
    <w:tbl>
      <w:tblPr>
        <w:tblStyle w:val="TableGrid"/>
        <w:tblW w:w="0" w:type="auto"/>
        <w:tblLook w:val="04A0" w:firstRow="1" w:lastRow="0" w:firstColumn="1" w:lastColumn="0" w:noHBand="0" w:noVBand="1"/>
      </w:tblPr>
      <w:tblGrid>
        <w:gridCol w:w="2327"/>
        <w:gridCol w:w="1797"/>
        <w:gridCol w:w="2492"/>
        <w:gridCol w:w="2683"/>
      </w:tblGrid>
      <w:tr w:rsidR="00FC43F2" w:rsidRPr="00EF21A2" w14:paraId="3C7ECF0C" w14:textId="77777777" w:rsidTr="003A49DA">
        <w:tc>
          <w:tcPr>
            <w:tcW w:w="2347" w:type="dxa"/>
            <w:tcBorders>
              <w:left w:val="nil"/>
              <w:bottom w:val="single" w:sz="4" w:space="0" w:color="000000"/>
              <w:right w:val="nil"/>
            </w:tcBorders>
            <w:shd w:val="clear" w:color="auto" w:fill="DBE5F1" w:themeFill="accent1" w:themeFillTint="33"/>
          </w:tcPr>
          <w:p w14:paraId="00E73088" w14:textId="77777777" w:rsidR="00FC43F2" w:rsidRPr="00EF21A2" w:rsidRDefault="00FC43F2" w:rsidP="003A49DA">
            <w:pPr>
              <w:rPr>
                <w:rFonts w:ascii="Arial" w:hAnsi="Arial" w:cs="Arial"/>
                <w:sz w:val="22"/>
                <w:lang w:val="es-ES"/>
              </w:rPr>
            </w:pPr>
          </w:p>
        </w:tc>
        <w:tc>
          <w:tcPr>
            <w:tcW w:w="1811" w:type="dxa"/>
            <w:tcBorders>
              <w:left w:val="nil"/>
              <w:bottom w:val="single" w:sz="4" w:space="0" w:color="000000"/>
              <w:right w:val="nil"/>
            </w:tcBorders>
            <w:shd w:val="clear" w:color="auto" w:fill="DBE5F1" w:themeFill="accent1" w:themeFillTint="33"/>
          </w:tcPr>
          <w:p w14:paraId="403D9045" w14:textId="77777777" w:rsidR="00FC43F2" w:rsidRPr="00EF21A2" w:rsidRDefault="00FC43F2" w:rsidP="003A49DA">
            <w:pPr>
              <w:jc w:val="center"/>
              <w:rPr>
                <w:rFonts w:ascii="Arial" w:hAnsi="Arial" w:cs="Arial"/>
                <w:sz w:val="22"/>
                <w:lang w:val="es-ES"/>
              </w:rPr>
            </w:pPr>
            <w:r w:rsidRPr="00EF21A2">
              <w:rPr>
                <w:rFonts w:ascii="Arial" w:hAnsi="Arial" w:cs="Arial"/>
                <w:sz w:val="22"/>
                <w:lang w:val="es-ES"/>
              </w:rPr>
              <w:t>Caso Base</w:t>
            </w:r>
          </w:p>
        </w:tc>
        <w:tc>
          <w:tcPr>
            <w:tcW w:w="2520" w:type="dxa"/>
            <w:tcBorders>
              <w:left w:val="nil"/>
              <w:bottom w:val="single" w:sz="4" w:space="0" w:color="000000"/>
              <w:right w:val="nil"/>
            </w:tcBorders>
            <w:shd w:val="clear" w:color="auto" w:fill="DBE5F1" w:themeFill="accent1" w:themeFillTint="33"/>
          </w:tcPr>
          <w:p w14:paraId="14D4901F" w14:textId="77777777" w:rsidR="00FC43F2" w:rsidRPr="00EF21A2" w:rsidRDefault="00FC43F2" w:rsidP="003A49DA">
            <w:pPr>
              <w:jc w:val="center"/>
              <w:rPr>
                <w:rFonts w:ascii="Arial" w:hAnsi="Arial" w:cs="Arial"/>
                <w:sz w:val="22"/>
                <w:lang w:val="es-ES"/>
              </w:rPr>
            </w:pPr>
            <w:r w:rsidRPr="00EF21A2">
              <w:rPr>
                <w:rFonts w:ascii="Arial" w:hAnsi="Arial" w:cs="Arial"/>
                <w:sz w:val="22"/>
                <w:lang w:val="es-ES"/>
              </w:rPr>
              <w:t>Costo evitado -15%</w:t>
            </w:r>
          </w:p>
        </w:tc>
        <w:tc>
          <w:tcPr>
            <w:tcW w:w="2711" w:type="dxa"/>
            <w:tcBorders>
              <w:left w:val="nil"/>
              <w:bottom w:val="single" w:sz="4" w:space="0" w:color="000000"/>
              <w:right w:val="nil"/>
            </w:tcBorders>
            <w:shd w:val="clear" w:color="auto" w:fill="DBE5F1" w:themeFill="accent1" w:themeFillTint="33"/>
          </w:tcPr>
          <w:p w14:paraId="39A9A72A" w14:textId="77777777" w:rsidR="00FC43F2" w:rsidRPr="00EF21A2" w:rsidRDefault="00FC43F2" w:rsidP="003A49DA">
            <w:pPr>
              <w:jc w:val="center"/>
              <w:rPr>
                <w:rFonts w:ascii="Arial" w:hAnsi="Arial" w:cs="Arial"/>
                <w:sz w:val="22"/>
                <w:lang w:val="es-ES"/>
              </w:rPr>
            </w:pPr>
            <w:r w:rsidRPr="00EF21A2">
              <w:rPr>
                <w:rFonts w:ascii="Arial" w:hAnsi="Arial" w:cs="Arial"/>
                <w:sz w:val="22"/>
                <w:lang w:val="es-ES"/>
              </w:rPr>
              <w:t>Aumento costo inversión 10%</w:t>
            </w:r>
          </w:p>
        </w:tc>
      </w:tr>
      <w:tr w:rsidR="00FC43F2" w:rsidRPr="00EF21A2" w14:paraId="53FB4F75" w14:textId="77777777" w:rsidTr="003A49DA">
        <w:tc>
          <w:tcPr>
            <w:tcW w:w="2347" w:type="dxa"/>
            <w:tcBorders>
              <w:left w:val="nil"/>
              <w:bottom w:val="single" w:sz="4" w:space="0" w:color="000000"/>
              <w:right w:val="nil"/>
            </w:tcBorders>
          </w:tcPr>
          <w:p w14:paraId="67D9E290" w14:textId="77777777" w:rsidR="00FC43F2" w:rsidRPr="00EF21A2" w:rsidRDefault="00FC43F2" w:rsidP="003A49DA">
            <w:pPr>
              <w:rPr>
                <w:rFonts w:ascii="Arial" w:hAnsi="Arial" w:cs="Arial"/>
                <w:sz w:val="22"/>
                <w:lang w:val="es-ES"/>
              </w:rPr>
            </w:pPr>
            <w:r w:rsidRPr="00EF21A2">
              <w:rPr>
                <w:rFonts w:ascii="Arial" w:hAnsi="Arial" w:cs="Arial"/>
                <w:sz w:val="22"/>
                <w:lang w:val="es-ES"/>
              </w:rPr>
              <w:t>VP Costos</w:t>
            </w:r>
          </w:p>
        </w:tc>
        <w:tc>
          <w:tcPr>
            <w:tcW w:w="1811" w:type="dxa"/>
            <w:tcBorders>
              <w:left w:val="nil"/>
              <w:bottom w:val="single" w:sz="4" w:space="0" w:color="000000"/>
              <w:right w:val="nil"/>
            </w:tcBorders>
          </w:tcPr>
          <w:p w14:paraId="2CD59B09" w14:textId="77777777" w:rsidR="00FC43F2" w:rsidRPr="00EF21A2" w:rsidRDefault="00FC43F2" w:rsidP="003A49DA">
            <w:pPr>
              <w:jc w:val="center"/>
              <w:rPr>
                <w:rFonts w:ascii="Arial" w:hAnsi="Arial" w:cs="Arial"/>
                <w:sz w:val="22"/>
                <w:lang w:val="es-ES"/>
              </w:rPr>
            </w:pPr>
            <w:r w:rsidRPr="00EF21A2">
              <w:rPr>
                <w:rFonts w:ascii="Arial" w:hAnsi="Arial" w:cs="Arial"/>
                <w:sz w:val="22"/>
                <w:lang w:val="es-ES"/>
              </w:rPr>
              <w:t>2653M$</w:t>
            </w:r>
          </w:p>
        </w:tc>
        <w:tc>
          <w:tcPr>
            <w:tcW w:w="2520" w:type="dxa"/>
            <w:tcBorders>
              <w:left w:val="nil"/>
              <w:bottom w:val="single" w:sz="4" w:space="0" w:color="000000"/>
              <w:right w:val="nil"/>
            </w:tcBorders>
          </w:tcPr>
          <w:p w14:paraId="19A97141" w14:textId="77777777" w:rsidR="00FC43F2" w:rsidRPr="00EF21A2" w:rsidRDefault="00FC43F2" w:rsidP="003A49DA">
            <w:pPr>
              <w:jc w:val="center"/>
              <w:rPr>
                <w:rFonts w:ascii="Arial" w:hAnsi="Arial" w:cs="Arial"/>
                <w:sz w:val="22"/>
                <w:lang w:val="es-ES"/>
              </w:rPr>
            </w:pPr>
            <w:r w:rsidRPr="00EF21A2">
              <w:rPr>
                <w:rFonts w:ascii="Arial" w:hAnsi="Arial" w:cs="Arial"/>
                <w:sz w:val="22"/>
                <w:lang w:val="es-ES"/>
              </w:rPr>
              <w:t>2639 M$</w:t>
            </w:r>
          </w:p>
        </w:tc>
        <w:tc>
          <w:tcPr>
            <w:tcW w:w="2711" w:type="dxa"/>
            <w:tcBorders>
              <w:left w:val="nil"/>
              <w:bottom w:val="single" w:sz="4" w:space="0" w:color="000000"/>
              <w:right w:val="nil"/>
            </w:tcBorders>
          </w:tcPr>
          <w:p w14:paraId="146A7AF2" w14:textId="77777777" w:rsidR="00FC43F2" w:rsidRPr="00EF21A2" w:rsidRDefault="00FC43F2" w:rsidP="003A49DA">
            <w:pPr>
              <w:jc w:val="center"/>
              <w:rPr>
                <w:rFonts w:ascii="Arial" w:hAnsi="Arial" w:cs="Arial"/>
                <w:sz w:val="22"/>
                <w:lang w:val="es-ES"/>
              </w:rPr>
            </w:pPr>
            <w:r w:rsidRPr="00EF21A2">
              <w:rPr>
                <w:rFonts w:ascii="Arial" w:hAnsi="Arial" w:cs="Arial"/>
                <w:sz w:val="22"/>
                <w:lang w:val="es-ES"/>
              </w:rPr>
              <w:t>2865 M$</w:t>
            </w:r>
          </w:p>
        </w:tc>
      </w:tr>
      <w:tr w:rsidR="00FC43F2" w:rsidRPr="00EF21A2" w14:paraId="31C455C9" w14:textId="77777777" w:rsidTr="003A49DA">
        <w:tc>
          <w:tcPr>
            <w:tcW w:w="2347" w:type="dxa"/>
            <w:tcBorders>
              <w:top w:val="single" w:sz="4" w:space="0" w:color="000000"/>
              <w:left w:val="nil"/>
              <w:bottom w:val="single" w:sz="4" w:space="0" w:color="000000"/>
              <w:right w:val="nil"/>
            </w:tcBorders>
          </w:tcPr>
          <w:p w14:paraId="6B242886" w14:textId="77777777" w:rsidR="00FC43F2" w:rsidRPr="00EF21A2" w:rsidRDefault="00FC43F2" w:rsidP="003A49DA">
            <w:pPr>
              <w:rPr>
                <w:rFonts w:ascii="Arial" w:hAnsi="Arial" w:cs="Arial"/>
                <w:sz w:val="22"/>
                <w:lang w:val="es-ES"/>
              </w:rPr>
            </w:pPr>
            <w:r w:rsidRPr="00EF21A2">
              <w:rPr>
                <w:rFonts w:ascii="Arial" w:hAnsi="Arial" w:cs="Arial"/>
                <w:sz w:val="22"/>
                <w:lang w:val="es-ES"/>
              </w:rPr>
              <w:t>VP Beneficios</w:t>
            </w:r>
          </w:p>
        </w:tc>
        <w:tc>
          <w:tcPr>
            <w:tcW w:w="1811" w:type="dxa"/>
            <w:tcBorders>
              <w:top w:val="single" w:sz="4" w:space="0" w:color="000000"/>
              <w:left w:val="nil"/>
              <w:bottom w:val="single" w:sz="4" w:space="0" w:color="000000"/>
              <w:right w:val="nil"/>
            </w:tcBorders>
          </w:tcPr>
          <w:p w14:paraId="65338188" w14:textId="77777777" w:rsidR="00FC43F2" w:rsidRPr="00EF21A2" w:rsidRDefault="00FC43F2" w:rsidP="003A49DA">
            <w:pPr>
              <w:jc w:val="center"/>
              <w:rPr>
                <w:rFonts w:ascii="Arial" w:hAnsi="Arial" w:cs="Arial"/>
                <w:sz w:val="22"/>
                <w:lang w:val="es-ES"/>
              </w:rPr>
            </w:pPr>
            <w:r w:rsidRPr="00EF21A2">
              <w:rPr>
                <w:rFonts w:ascii="Arial" w:hAnsi="Arial" w:cs="Arial"/>
                <w:sz w:val="22"/>
                <w:lang w:val="es-ES"/>
              </w:rPr>
              <w:t>3596 M$</w:t>
            </w:r>
          </w:p>
        </w:tc>
        <w:tc>
          <w:tcPr>
            <w:tcW w:w="2520" w:type="dxa"/>
            <w:tcBorders>
              <w:top w:val="single" w:sz="4" w:space="0" w:color="000000"/>
              <w:left w:val="nil"/>
              <w:bottom w:val="single" w:sz="4" w:space="0" w:color="000000"/>
              <w:right w:val="nil"/>
            </w:tcBorders>
          </w:tcPr>
          <w:p w14:paraId="03FD2B22" w14:textId="77777777" w:rsidR="00FC43F2" w:rsidRPr="00EF21A2" w:rsidRDefault="00FC43F2" w:rsidP="003A49DA">
            <w:pPr>
              <w:jc w:val="center"/>
              <w:rPr>
                <w:rFonts w:ascii="Arial" w:hAnsi="Arial" w:cs="Arial"/>
                <w:sz w:val="22"/>
                <w:lang w:val="es-ES"/>
              </w:rPr>
            </w:pPr>
            <w:r w:rsidRPr="00EF21A2">
              <w:rPr>
                <w:rFonts w:ascii="Arial" w:hAnsi="Arial" w:cs="Arial"/>
                <w:sz w:val="22"/>
                <w:lang w:val="es-ES"/>
              </w:rPr>
              <w:t>3056 M$</w:t>
            </w:r>
          </w:p>
        </w:tc>
        <w:tc>
          <w:tcPr>
            <w:tcW w:w="2711" w:type="dxa"/>
            <w:tcBorders>
              <w:top w:val="single" w:sz="4" w:space="0" w:color="000000"/>
              <w:left w:val="nil"/>
              <w:bottom w:val="single" w:sz="4" w:space="0" w:color="000000"/>
              <w:right w:val="nil"/>
            </w:tcBorders>
          </w:tcPr>
          <w:p w14:paraId="226C59F8" w14:textId="77777777" w:rsidR="00FC43F2" w:rsidRPr="00EF21A2" w:rsidRDefault="00FC43F2" w:rsidP="003A49DA">
            <w:pPr>
              <w:jc w:val="center"/>
              <w:rPr>
                <w:rFonts w:ascii="Arial" w:hAnsi="Arial" w:cs="Arial"/>
                <w:sz w:val="22"/>
                <w:lang w:val="es-ES"/>
              </w:rPr>
            </w:pPr>
            <w:r w:rsidRPr="00EF21A2">
              <w:rPr>
                <w:rFonts w:ascii="Arial" w:hAnsi="Arial" w:cs="Arial"/>
                <w:sz w:val="22"/>
                <w:lang w:val="es-ES"/>
              </w:rPr>
              <w:t>3056 M$</w:t>
            </w:r>
          </w:p>
        </w:tc>
      </w:tr>
      <w:tr w:rsidR="00FC43F2" w:rsidRPr="00EF21A2" w14:paraId="621CD432" w14:textId="77777777" w:rsidTr="003A49DA">
        <w:trPr>
          <w:trHeight w:val="305"/>
        </w:trPr>
        <w:tc>
          <w:tcPr>
            <w:tcW w:w="2347" w:type="dxa"/>
            <w:tcBorders>
              <w:top w:val="single" w:sz="4" w:space="0" w:color="000000"/>
              <w:left w:val="nil"/>
              <w:bottom w:val="single" w:sz="4" w:space="0" w:color="000000"/>
              <w:right w:val="nil"/>
            </w:tcBorders>
          </w:tcPr>
          <w:p w14:paraId="541BDFED" w14:textId="77777777" w:rsidR="00FC43F2" w:rsidRPr="00EF21A2" w:rsidRDefault="00FC43F2" w:rsidP="003A49DA">
            <w:pPr>
              <w:rPr>
                <w:rFonts w:ascii="Arial" w:hAnsi="Arial" w:cs="Arial"/>
                <w:sz w:val="22"/>
                <w:lang w:val="es-ES"/>
              </w:rPr>
            </w:pPr>
            <w:r w:rsidRPr="00EF21A2">
              <w:rPr>
                <w:rFonts w:ascii="Arial" w:hAnsi="Arial" w:cs="Arial"/>
                <w:sz w:val="22"/>
                <w:lang w:val="es-ES"/>
              </w:rPr>
              <w:t>VPN</w:t>
            </w:r>
          </w:p>
        </w:tc>
        <w:tc>
          <w:tcPr>
            <w:tcW w:w="1811" w:type="dxa"/>
            <w:tcBorders>
              <w:top w:val="single" w:sz="4" w:space="0" w:color="000000"/>
              <w:left w:val="nil"/>
              <w:bottom w:val="single" w:sz="4" w:space="0" w:color="000000"/>
              <w:right w:val="nil"/>
            </w:tcBorders>
          </w:tcPr>
          <w:p w14:paraId="4C6A741E" w14:textId="77777777" w:rsidR="00FC43F2" w:rsidRPr="00EF21A2" w:rsidRDefault="00FC43F2" w:rsidP="003A49DA">
            <w:pPr>
              <w:jc w:val="center"/>
              <w:rPr>
                <w:rFonts w:ascii="Arial" w:hAnsi="Arial" w:cs="Arial"/>
                <w:sz w:val="22"/>
                <w:lang w:val="es-ES"/>
              </w:rPr>
            </w:pPr>
            <w:r w:rsidRPr="00EF21A2">
              <w:rPr>
                <w:rFonts w:ascii="Arial" w:hAnsi="Arial" w:cs="Arial"/>
                <w:sz w:val="22"/>
                <w:lang w:val="es-ES"/>
              </w:rPr>
              <w:t>943 M$</w:t>
            </w:r>
          </w:p>
        </w:tc>
        <w:tc>
          <w:tcPr>
            <w:tcW w:w="2520" w:type="dxa"/>
            <w:tcBorders>
              <w:top w:val="single" w:sz="4" w:space="0" w:color="000000"/>
              <w:left w:val="nil"/>
              <w:bottom w:val="single" w:sz="4" w:space="0" w:color="000000"/>
              <w:right w:val="nil"/>
            </w:tcBorders>
          </w:tcPr>
          <w:p w14:paraId="2AF587C1" w14:textId="77777777" w:rsidR="00FC43F2" w:rsidRPr="00EF21A2" w:rsidRDefault="00FC43F2" w:rsidP="003A49DA">
            <w:pPr>
              <w:jc w:val="center"/>
              <w:rPr>
                <w:rFonts w:ascii="Arial" w:hAnsi="Arial" w:cs="Arial"/>
                <w:sz w:val="22"/>
                <w:lang w:val="es-ES"/>
              </w:rPr>
            </w:pPr>
            <w:r w:rsidRPr="00EF21A2">
              <w:rPr>
                <w:rFonts w:ascii="Arial" w:hAnsi="Arial" w:cs="Arial"/>
                <w:sz w:val="22"/>
                <w:lang w:val="es-ES"/>
              </w:rPr>
              <w:t>417 M$</w:t>
            </w:r>
          </w:p>
        </w:tc>
        <w:tc>
          <w:tcPr>
            <w:tcW w:w="2711" w:type="dxa"/>
            <w:tcBorders>
              <w:top w:val="single" w:sz="4" w:space="0" w:color="000000"/>
              <w:left w:val="nil"/>
              <w:bottom w:val="single" w:sz="4" w:space="0" w:color="000000"/>
              <w:right w:val="nil"/>
            </w:tcBorders>
          </w:tcPr>
          <w:p w14:paraId="2865BD53" w14:textId="77777777" w:rsidR="00FC43F2" w:rsidRPr="00EF21A2" w:rsidRDefault="00FC43F2" w:rsidP="003A49DA">
            <w:pPr>
              <w:jc w:val="center"/>
              <w:rPr>
                <w:rFonts w:ascii="Arial" w:hAnsi="Arial" w:cs="Arial"/>
                <w:sz w:val="22"/>
                <w:lang w:val="es-ES"/>
              </w:rPr>
            </w:pPr>
            <w:r w:rsidRPr="00EF21A2">
              <w:rPr>
                <w:rFonts w:ascii="Arial" w:hAnsi="Arial" w:cs="Arial"/>
                <w:sz w:val="22"/>
                <w:lang w:val="es-ES"/>
              </w:rPr>
              <w:t>161 M$</w:t>
            </w:r>
          </w:p>
        </w:tc>
      </w:tr>
      <w:tr w:rsidR="00FC43F2" w:rsidRPr="00EF21A2" w14:paraId="5F14E77A" w14:textId="77777777" w:rsidTr="003A49DA">
        <w:tc>
          <w:tcPr>
            <w:tcW w:w="2347" w:type="dxa"/>
            <w:tcBorders>
              <w:top w:val="single" w:sz="4" w:space="0" w:color="000000"/>
              <w:left w:val="nil"/>
              <w:right w:val="nil"/>
            </w:tcBorders>
          </w:tcPr>
          <w:p w14:paraId="0705611A" w14:textId="77777777" w:rsidR="00FC43F2" w:rsidRPr="00EF21A2" w:rsidRDefault="00FC43F2" w:rsidP="003A49DA">
            <w:pPr>
              <w:rPr>
                <w:rFonts w:ascii="Arial" w:hAnsi="Arial" w:cs="Arial"/>
                <w:sz w:val="22"/>
                <w:lang w:val="es-ES"/>
              </w:rPr>
            </w:pPr>
            <w:r w:rsidRPr="00EF21A2">
              <w:rPr>
                <w:rFonts w:ascii="Arial" w:hAnsi="Arial" w:cs="Arial"/>
                <w:sz w:val="22"/>
                <w:lang w:val="es-ES"/>
              </w:rPr>
              <w:t>TIRE</w:t>
            </w:r>
          </w:p>
        </w:tc>
        <w:tc>
          <w:tcPr>
            <w:tcW w:w="1811" w:type="dxa"/>
            <w:tcBorders>
              <w:top w:val="single" w:sz="4" w:space="0" w:color="000000"/>
              <w:left w:val="nil"/>
              <w:right w:val="nil"/>
            </w:tcBorders>
          </w:tcPr>
          <w:p w14:paraId="746ADB3D" w14:textId="77777777" w:rsidR="00FC43F2" w:rsidRPr="00EF21A2" w:rsidRDefault="00FC43F2" w:rsidP="003A49DA">
            <w:pPr>
              <w:jc w:val="center"/>
              <w:rPr>
                <w:rFonts w:ascii="Arial" w:hAnsi="Arial" w:cs="Arial"/>
                <w:sz w:val="22"/>
                <w:lang w:val="es-ES"/>
              </w:rPr>
            </w:pPr>
            <w:r w:rsidRPr="00EF21A2">
              <w:rPr>
                <w:rFonts w:ascii="Arial" w:hAnsi="Arial" w:cs="Arial"/>
                <w:sz w:val="22"/>
                <w:lang w:val="es-ES"/>
              </w:rPr>
              <w:t>30,3%</w:t>
            </w:r>
          </w:p>
        </w:tc>
        <w:tc>
          <w:tcPr>
            <w:tcW w:w="2520" w:type="dxa"/>
            <w:tcBorders>
              <w:top w:val="single" w:sz="4" w:space="0" w:color="000000"/>
              <w:left w:val="nil"/>
              <w:right w:val="nil"/>
            </w:tcBorders>
          </w:tcPr>
          <w:p w14:paraId="4269A739" w14:textId="77777777" w:rsidR="00FC43F2" w:rsidRPr="00EF21A2" w:rsidRDefault="00FC43F2" w:rsidP="003A49DA">
            <w:pPr>
              <w:jc w:val="center"/>
              <w:rPr>
                <w:rFonts w:ascii="Arial" w:hAnsi="Arial" w:cs="Arial"/>
                <w:sz w:val="22"/>
                <w:lang w:val="es-ES"/>
              </w:rPr>
            </w:pPr>
            <w:r w:rsidRPr="00EF21A2">
              <w:rPr>
                <w:rFonts w:ascii="Arial" w:hAnsi="Arial" w:cs="Arial"/>
                <w:sz w:val="22"/>
                <w:lang w:val="es-ES"/>
              </w:rPr>
              <w:t>20,2%</w:t>
            </w:r>
          </w:p>
        </w:tc>
        <w:tc>
          <w:tcPr>
            <w:tcW w:w="2711" w:type="dxa"/>
            <w:tcBorders>
              <w:top w:val="single" w:sz="4" w:space="0" w:color="000000"/>
              <w:left w:val="nil"/>
              <w:right w:val="nil"/>
            </w:tcBorders>
          </w:tcPr>
          <w:p w14:paraId="6A411D7B" w14:textId="77777777" w:rsidR="00FC43F2" w:rsidRPr="00EF21A2" w:rsidRDefault="00FC43F2" w:rsidP="003A49DA">
            <w:pPr>
              <w:jc w:val="center"/>
              <w:rPr>
                <w:rFonts w:ascii="Arial" w:hAnsi="Arial" w:cs="Arial"/>
                <w:sz w:val="22"/>
                <w:lang w:val="es-ES"/>
              </w:rPr>
            </w:pPr>
            <w:r w:rsidRPr="00EF21A2">
              <w:rPr>
                <w:rFonts w:ascii="Arial" w:hAnsi="Arial" w:cs="Arial"/>
                <w:sz w:val="22"/>
                <w:lang w:val="es-ES"/>
              </w:rPr>
              <w:t>14,9%</w:t>
            </w:r>
          </w:p>
        </w:tc>
      </w:tr>
    </w:tbl>
    <w:p w14:paraId="40010D76" w14:textId="77777777" w:rsidR="00FC43F2" w:rsidRDefault="00FC43F2" w:rsidP="00FC43F2">
      <w:pPr>
        <w:pStyle w:val="ListParagraph"/>
        <w:numPr>
          <w:ilvl w:val="1"/>
          <w:numId w:val="29"/>
        </w:numPr>
        <w:spacing w:before="240" w:after="240"/>
        <w:ind w:left="720" w:hanging="720"/>
        <w:contextualSpacing w:val="0"/>
        <w:jc w:val="both"/>
        <w:rPr>
          <w:rFonts w:ascii="Arial" w:hAnsi="Arial" w:cs="Arial"/>
          <w:sz w:val="22"/>
          <w:lang w:val="es-ES"/>
        </w:rPr>
      </w:pPr>
      <w:r w:rsidRPr="00540A77">
        <w:rPr>
          <w:rFonts w:ascii="Arial" w:hAnsi="Arial" w:cs="Arial"/>
          <w:sz w:val="22"/>
          <w:lang w:val="es-ES"/>
        </w:rPr>
        <w:t>El proyecto de desarrollo de renovables es sensible al costo evitado de generación térmica</w:t>
      </w:r>
      <w:r>
        <w:rPr>
          <w:rFonts w:ascii="Arial" w:hAnsi="Arial" w:cs="Arial"/>
          <w:sz w:val="22"/>
          <w:lang w:val="es-ES"/>
        </w:rPr>
        <w:t xml:space="preserve"> y al costo de la inversión</w:t>
      </w:r>
      <w:r w:rsidRPr="00540A77">
        <w:rPr>
          <w:rFonts w:ascii="Arial" w:hAnsi="Arial" w:cs="Arial"/>
          <w:sz w:val="22"/>
          <w:lang w:val="es-ES"/>
        </w:rPr>
        <w:t xml:space="preserve">, pero arroja resultados positivos, </w:t>
      </w:r>
      <w:r>
        <w:rPr>
          <w:rFonts w:ascii="Arial" w:hAnsi="Arial" w:cs="Arial"/>
          <w:sz w:val="22"/>
          <w:lang w:val="es-ES"/>
        </w:rPr>
        <w:t>aún con la reducción del costo de energía térmica en un 15% y aumento en costo de la inversión en 10%.</w:t>
      </w:r>
    </w:p>
    <w:p w14:paraId="036E2F0E" w14:textId="77777777" w:rsidR="00FC43F2" w:rsidRPr="00F6492B" w:rsidRDefault="00FC43F2" w:rsidP="00FC43F2">
      <w:pPr>
        <w:pStyle w:val="Heading2"/>
        <w:numPr>
          <w:ilvl w:val="0"/>
          <w:numId w:val="31"/>
        </w:numPr>
        <w:jc w:val="center"/>
        <w:rPr>
          <w:rFonts w:ascii="Arial" w:hAnsi="Arial" w:cs="Arial"/>
          <w:color w:val="auto"/>
          <w:sz w:val="22"/>
          <w:szCs w:val="22"/>
          <w:lang w:val="es-ES"/>
        </w:rPr>
      </w:pPr>
      <w:bookmarkStart w:id="7" w:name="_Toc496828301"/>
      <w:r w:rsidRPr="00F6492B">
        <w:rPr>
          <w:rFonts w:ascii="Arial" w:hAnsi="Arial" w:cs="Arial"/>
          <w:color w:val="auto"/>
          <w:sz w:val="22"/>
          <w:szCs w:val="22"/>
          <w:lang w:val="es-ES"/>
        </w:rPr>
        <w:t>Resultados agregados</w:t>
      </w:r>
      <w:bookmarkEnd w:id="7"/>
    </w:p>
    <w:p w14:paraId="350FCEA1" w14:textId="77777777" w:rsidR="00FC43F2" w:rsidRPr="00F43497" w:rsidRDefault="00FC43F2" w:rsidP="00FC43F2">
      <w:pPr>
        <w:pStyle w:val="ListParagraph"/>
        <w:numPr>
          <w:ilvl w:val="1"/>
          <w:numId w:val="29"/>
        </w:numPr>
        <w:spacing w:before="240" w:after="240"/>
        <w:ind w:left="720" w:hanging="720"/>
        <w:contextualSpacing w:val="0"/>
        <w:jc w:val="both"/>
        <w:rPr>
          <w:rFonts w:ascii="Arial" w:hAnsi="Arial" w:cs="Arial"/>
          <w:sz w:val="22"/>
          <w:lang w:val="es-ES"/>
        </w:rPr>
      </w:pPr>
      <w:r w:rsidRPr="00F43497">
        <w:rPr>
          <w:rFonts w:ascii="Arial" w:hAnsi="Arial" w:cs="Arial"/>
          <w:sz w:val="22"/>
          <w:lang w:val="es-ES"/>
        </w:rPr>
        <w:t>Considerando las inversiones en los proyectos de generación y de reducción de pérdidas inducidos por las reformas propuestas, el resultado del análisis muestra una TIR Económica agregada del 29,6% y un VPN de US$977.7 millones.</w:t>
      </w:r>
    </w:p>
    <w:p w14:paraId="3A76C636" w14:textId="77777777" w:rsidR="00FC43F2" w:rsidRDefault="00FC43F2" w:rsidP="00FC43F2">
      <w:pPr>
        <w:ind w:left="-630"/>
        <w:jc w:val="both"/>
        <w:rPr>
          <w:rFonts w:ascii="Arial" w:hAnsi="Arial" w:cs="Arial"/>
          <w:lang w:val="es-ES"/>
        </w:rPr>
      </w:pPr>
      <w:r w:rsidRPr="00035F1E">
        <w:rPr>
          <w:noProof/>
        </w:rPr>
        <w:drawing>
          <wp:inline distT="0" distB="0" distL="0" distR="0" wp14:anchorId="570A8237" wp14:editId="49325C89">
            <wp:extent cx="6451248" cy="638175"/>
            <wp:effectExtent l="0" t="0" r="698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72213" cy="640249"/>
                    </a:xfrm>
                    <a:prstGeom prst="rect">
                      <a:avLst/>
                    </a:prstGeom>
                    <a:noFill/>
                    <a:ln>
                      <a:noFill/>
                    </a:ln>
                  </pic:spPr>
                </pic:pic>
              </a:graphicData>
            </a:graphic>
          </wp:inline>
        </w:drawing>
      </w:r>
    </w:p>
    <w:p w14:paraId="799EE9A5" w14:textId="77777777" w:rsidR="00FC43F2" w:rsidRDefault="00FC43F2" w:rsidP="00FC43F2">
      <w:pPr>
        <w:spacing w:before="0"/>
        <w:rPr>
          <w:rFonts w:ascii="Arial" w:hAnsi="Arial" w:cs="Arial"/>
          <w:b/>
          <w:sz w:val="22"/>
          <w:lang w:val="es-ES"/>
        </w:rPr>
      </w:pPr>
      <w:r>
        <w:rPr>
          <w:rFonts w:ascii="Arial" w:hAnsi="Arial" w:cs="Arial"/>
          <w:b/>
          <w:sz w:val="22"/>
          <w:lang w:val="es-ES"/>
        </w:rPr>
        <w:br w:type="page"/>
      </w:r>
    </w:p>
    <w:p w14:paraId="60764B96" w14:textId="77777777" w:rsidR="00FC43F2" w:rsidRDefault="00FC43F2" w:rsidP="00FC43F2">
      <w:pPr>
        <w:pStyle w:val="ListParagraph"/>
        <w:ind w:left="1080"/>
        <w:outlineLvl w:val="0"/>
        <w:rPr>
          <w:rFonts w:ascii="Arial" w:hAnsi="Arial" w:cs="Arial"/>
          <w:b/>
          <w:sz w:val="22"/>
          <w:lang w:val="es-ES"/>
        </w:rPr>
      </w:pPr>
    </w:p>
    <w:p w14:paraId="353EA205" w14:textId="77777777" w:rsidR="00FC43F2" w:rsidRPr="00203103" w:rsidRDefault="00FC43F2" w:rsidP="00FC43F2">
      <w:pPr>
        <w:pStyle w:val="ListParagraph"/>
        <w:numPr>
          <w:ilvl w:val="0"/>
          <w:numId w:val="37"/>
        </w:numPr>
        <w:jc w:val="center"/>
        <w:outlineLvl w:val="0"/>
        <w:rPr>
          <w:rFonts w:ascii="Arial" w:hAnsi="Arial" w:cs="Arial"/>
          <w:b/>
          <w:sz w:val="22"/>
          <w:lang w:val="es-ES"/>
        </w:rPr>
      </w:pPr>
      <w:bookmarkStart w:id="8" w:name="_Toc496828302"/>
      <w:r w:rsidRPr="00203103">
        <w:rPr>
          <w:rFonts w:ascii="Arial" w:hAnsi="Arial" w:cs="Arial"/>
          <w:b/>
          <w:sz w:val="22"/>
          <w:lang w:val="es-ES"/>
        </w:rPr>
        <w:t>Conclusiones</w:t>
      </w:r>
      <w:bookmarkEnd w:id="8"/>
    </w:p>
    <w:p w14:paraId="3EDA5C34" w14:textId="77777777" w:rsidR="00FC43F2" w:rsidRPr="00A97FFB" w:rsidRDefault="00FC43F2" w:rsidP="00FC43F2">
      <w:pPr>
        <w:pStyle w:val="ListParagraph"/>
        <w:numPr>
          <w:ilvl w:val="1"/>
          <w:numId w:val="37"/>
        </w:numPr>
        <w:spacing w:before="240" w:after="240"/>
        <w:ind w:left="720" w:hanging="720"/>
        <w:contextualSpacing w:val="0"/>
        <w:jc w:val="both"/>
        <w:rPr>
          <w:rFonts w:ascii="Arial" w:hAnsi="Arial" w:cs="Arial"/>
          <w:sz w:val="22"/>
          <w:lang w:val="es-ES"/>
        </w:rPr>
      </w:pPr>
      <w:r w:rsidRPr="00A97FFB">
        <w:rPr>
          <w:rFonts w:ascii="Arial" w:hAnsi="Arial" w:cs="Arial"/>
          <w:sz w:val="22"/>
          <w:lang w:val="es-ES"/>
        </w:rPr>
        <w:t xml:space="preserve">Se evaluó el impacto económico de las reformas planteadas en el programa, considerando la diversificación de la matriz de generación, la focalización de subsidios y la reducción de las pérdidas de energía. La evaluación incluye un análisis de sensibilidad sobre variables críticas, </w:t>
      </w:r>
      <w:r w:rsidRPr="00A97FFB">
        <w:rPr>
          <w:rFonts w:ascii="Arial" w:hAnsi="Arial" w:cs="Arial"/>
          <w:lang w:val="es-ES"/>
        </w:rPr>
        <w:t>tales</w:t>
      </w:r>
      <w:r w:rsidRPr="00A97FFB">
        <w:rPr>
          <w:rFonts w:ascii="Arial" w:hAnsi="Arial" w:cs="Arial"/>
          <w:sz w:val="22"/>
          <w:lang w:val="es-ES"/>
        </w:rPr>
        <w:t xml:space="preserve"> como la elasticidad precio de la demanda, las tarifas, el costo de la electricidad térmica, la tasa de descuento y el costo de la inversión. </w:t>
      </w:r>
    </w:p>
    <w:p w14:paraId="5A100E2E" w14:textId="77777777" w:rsidR="00FC43F2" w:rsidRDefault="00FC43F2" w:rsidP="00FC43F2">
      <w:pPr>
        <w:pStyle w:val="ListParagraph"/>
        <w:numPr>
          <w:ilvl w:val="1"/>
          <w:numId w:val="37"/>
        </w:numPr>
        <w:spacing w:before="240" w:after="240"/>
        <w:ind w:left="720" w:hanging="720"/>
        <w:contextualSpacing w:val="0"/>
        <w:jc w:val="both"/>
        <w:rPr>
          <w:rFonts w:ascii="Arial" w:hAnsi="Arial" w:cs="Arial"/>
          <w:sz w:val="22"/>
          <w:lang w:val="es-ES"/>
        </w:rPr>
      </w:pPr>
      <w:r>
        <w:rPr>
          <w:rFonts w:ascii="Arial" w:hAnsi="Arial" w:cs="Arial"/>
          <w:sz w:val="22"/>
          <w:lang w:val="es-ES"/>
        </w:rPr>
        <w:t xml:space="preserve">De acuerdo con los resultados de la evaluación, se concluye que las medidas promovidas por el programa conllevan al logro de los objetivos. </w:t>
      </w:r>
      <w:r w:rsidRPr="00203103">
        <w:rPr>
          <w:rFonts w:ascii="Arial" w:hAnsi="Arial" w:cs="Arial"/>
          <w:sz w:val="22"/>
          <w:lang w:val="es-ES"/>
        </w:rPr>
        <w:t xml:space="preserve">Considerando las inversiones en los proyectos de generación </w:t>
      </w:r>
      <w:r>
        <w:rPr>
          <w:rFonts w:ascii="Arial" w:hAnsi="Arial" w:cs="Arial"/>
          <w:sz w:val="22"/>
          <w:lang w:val="es-ES"/>
        </w:rPr>
        <w:t>con fuentes renovables,</w:t>
      </w:r>
      <w:r w:rsidRPr="00203103">
        <w:rPr>
          <w:rFonts w:ascii="Arial" w:hAnsi="Arial" w:cs="Arial"/>
          <w:sz w:val="22"/>
          <w:lang w:val="es-ES"/>
        </w:rPr>
        <w:t xml:space="preserve"> en los programas de reducción de pérdidas inducidos por las reformas propuestas,</w:t>
      </w:r>
      <w:r>
        <w:rPr>
          <w:rFonts w:ascii="Arial" w:hAnsi="Arial" w:cs="Arial"/>
          <w:sz w:val="22"/>
          <w:lang w:val="es-ES"/>
        </w:rPr>
        <w:t xml:space="preserve"> y las medidas de focalización del subsidio, l</w:t>
      </w:r>
      <w:r w:rsidRPr="00203103">
        <w:rPr>
          <w:rFonts w:ascii="Arial" w:hAnsi="Arial" w:cs="Arial"/>
          <w:sz w:val="22"/>
          <w:lang w:val="es-ES"/>
        </w:rPr>
        <w:t xml:space="preserve">os beneficios esperados de estas medidas </w:t>
      </w:r>
      <w:r>
        <w:rPr>
          <w:rFonts w:ascii="Arial" w:hAnsi="Arial" w:cs="Arial"/>
          <w:sz w:val="22"/>
          <w:lang w:val="es-ES"/>
        </w:rPr>
        <w:t xml:space="preserve">impactan positivamente la sostenibilidad financiera de la ENEE, el objetivo del programa. Estos beneficios </w:t>
      </w:r>
      <w:r w:rsidRPr="00203103">
        <w:rPr>
          <w:rFonts w:ascii="Arial" w:hAnsi="Arial" w:cs="Arial"/>
          <w:sz w:val="22"/>
          <w:lang w:val="es-ES"/>
        </w:rPr>
        <w:t>están asociados con: (i) un incremento en la participación de las energías renovables en la producción de energía que deriva en la reducción del costo de generación por menor generación de energía térmica; (ii) generación evitada, dada la respuesta en reducción del consumo de aquellos usuarios con capacidad de pago que ahora tendrán un menor subsidio y por t</w:t>
      </w:r>
      <w:r>
        <w:rPr>
          <w:rFonts w:ascii="Arial" w:hAnsi="Arial" w:cs="Arial"/>
          <w:sz w:val="22"/>
          <w:lang w:val="es-ES"/>
        </w:rPr>
        <w:t xml:space="preserve">anto una tarifa mayor; y (iii) </w:t>
      </w:r>
      <w:r w:rsidRPr="00203103">
        <w:rPr>
          <w:rFonts w:ascii="Arial" w:hAnsi="Arial" w:cs="Arial"/>
          <w:sz w:val="22"/>
          <w:lang w:val="es-ES"/>
        </w:rPr>
        <w:t>generación evitada</w:t>
      </w:r>
      <w:r>
        <w:rPr>
          <w:rFonts w:ascii="Arial" w:hAnsi="Arial" w:cs="Arial"/>
          <w:sz w:val="22"/>
          <w:lang w:val="es-ES"/>
        </w:rPr>
        <w:t>,</w:t>
      </w:r>
      <w:r w:rsidRPr="00203103">
        <w:rPr>
          <w:rFonts w:ascii="Arial" w:hAnsi="Arial" w:cs="Arial"/>
          <w:sz w:val="22"/>
          <w:lang w:val="es-ES"/>
        </w:rPr>
        <w:t xml:space="preserve"> dada la respuesta en el consumo de aquellos usuarios que ven un aumento en el precio del servicio que antes no </w:t>
      </w:r>
      <w:r>
        <w:rPr>
          <w:rFonts w:ascii="Arial" w:hAnsi="Arial" w:cs="Arial"/>
          <w:sz w:val="22"/>
          <w:lang w:val="es-ES"/>
        </w:rPr>
        <w:t xml:space="preserve">les </w:t>
      </w:r>
      <w:r w:rsidRPr="00203103">
        <w:rPr>
          <w:rFonts w:ascii="Arial" w:hAnsi="Arial" w:cs="Arial"/>
          <w:sz w:val="22"/>
          <w:lang w:val="es-ES"/>
        </w:rPr>
        <w:t xml:space="preserve">era cobrado. </w:t>
      </w:r>
    </w:p>
    <w:p w14:paraId="34FCEC01" w14:textId="77777777" w:rsidR="00FC43F2" w:rsidRDefault="00FC43F2" w:rsidP="00FC43F2">
      <w:pPr>
        <w:pStyle w:val="ListParagraph"/>
        <w:numPr>
          <w:ilvl w:val="1"/>
          <w:numId w:val="37"/>
        </w:numPr>
        <w:spacing w:before="240" w:after="240"/>
        <w:ind w:left="720" w:hanging="720"/>
        <w:contextualSpacing w:val="0"/>
        <w:jc w:val="both"/>
        <w:rPr>
          <w:rFonts w:ascii="Arial" w:hAnsi="Arial" w:cs="Arial"/>
          <w:sz w:val="22"/>
          <w:lang w:val="es-ES"/>
        </w:rPr>
      </w:pPr>
      <w:r w:rsidRPr="000E183F">
        <w:rPr>
          <w:rFonts w:ascii="Arial" w:hAnsi="Arial" w:cs="Arial"/>
          <w:sz w:val="22"/>
          <w:lang w:val="es-ES"/>
        </w:rPr>
        <w:t>La evaluación incluye un análisis de sensibilidad sobre variables críticas, tales como la elasticidad precio de la demanda, el nivel de pérdidas y el costo de la electricidad. Este análisis demostró la robustez de los resultados de los casos básicos considerado</w:t>
      </w:r>
      <w:r>
        <w:rPr>
          <w:rFonts w:ascii="Arial" w:hAnsi="Arial" w:cs="Arial"/>
          <w:sz w:val="22"/>
          <w:lang w:val="es-ES"/>
        </w:rPr>
        <w:t>s.</w:t>
      </w:r>
    </w:p>
    <w:p w14:paraId="65F6AE6A" w14:textId="77777777" w:rsidR="00FC43F2" w:rsidRPr="00203103" w:rsidRDefault="00FC43F2" w:rsidP="00FC43F2">
      <w:pPr>
        <w:pStyle w:val="ListParagraph"/>
        <w:numPr>
          <w:ilvl w:val="1"/>
          <w:numId w:val="37"/>
        </w:numPr>
        <w:spacing w:before="240" w:after="240"/>
        <w:ind w:left="720" w:hanging="720"/>
        <w:contextualSpacing w:val="0"/>
        <w:jc w:val="both"/>
        <w:rPr>
          <w:rFonts w:ascii="Arial" w:hAnsi="Arial" w:cs="Arial"/>
          <w:sz w:val="22"/>
          <w:lang w:val="es-ES"/>
        </w:rPr>
      </w:pPr>
      <w:r>
        <w:rPr>
          <w:rFonts w:ascii="Arial" w:hAnsi="Arial" w:cs="Arial"/>
          <w:sz w:val="22"/>
          <w:lang w:val="es-ES"/>
        </w:rPr>
        <w:t>Existen beneficios adicionales no cuantificados, tales como la mayor posibilidad de participación de Honduras en el Mercado Eléctrico Regional del SIEPAC. El acceso a compras de energía a precios más competitivos y la inversión en generación nueva que podría evitarse representan beneficios potenciales importantes desde el punto de vista económico y financiero para la economía como un todo y para el consumidor individual.</w:t>
      </w:r>
    </w:p>
    <w:p w14:paraId="4D4FC5F3" w14:textId="6CBF81F9" w:rsidR="00203103" w:rsidRPr="00FC43F2" w:rsidRDefault="00203103" w:rsidP="00FC43F2">
      <w:pPr>
        <w:rPr>
          <w:lang w:val="es-ES"/>
        </w:rPr>
      </w:pPr>
    </w:p>
    <w:sectPr w:rsidR="00203103" w:rsidRPr="00FC43F2" w:rsidSect="00B42B5A">
      <w:headerReference w:type="even" r:id="rId18"/>
      <w:headerReference w:type="default" r:id="rId19"/>
      <w:footnotePr>
        <w:numRestart w:val="eachPage"/>
      </w:footnotePr>
      <w:pgSz w:w="12240" w:h="15840"/>
      <w:pgMar w:top="1440" w:right="1530" w:bottom="1440" w:left="162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16EE2A" w14:textId="77777777" w:rsidR="007E60CC" w:rsidRDefault="007E60CC" w:rsidP="00CF5271">
      <w:r>
        <w:separator/>
      </w:r>
    </w:p>
  </w:endnote>
  <w:endnote w:type="continuationSeparator" w:id="0">
    <w:p w14:paraId="2C7A21F8" w14:textId="77777777" w:rsidR="007E60CC" w:rsidRDefault="007E60CC" w:rsidP="00CF5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F48E6C" w14:textId="77777777" w:rsidR="007E60CC" w:rsidRDefault="007E60CC" w:rsidP="00CF5271">
      <w:r>
        <w:separator/>
      </w:r>
    </w:p>
  </w:footnote>
  <w:footnote w:type="continuationSeparator" w:id="0">
    <w:p w14:paraId="67BFEE17" w14:textId="77777777" w:rsidR="007E60CC" w:rsidRDefault="007E60CC" w:rsidP="00CF5271">
      <w:r>
        <w:continuationSeparator/>
      </w:r>
    </w:p>
  </w:footnote>
  <w:footnote w:id="1">
    <w:p w14:paraId="2C14C478" w14:textId="77777777" w:rsidR="00FC43F2" w:rsidRPr="00A20C8F" w:rsidRDefault="00FC43F2" w:rsidP="00FC43F2">
      <w:pPr>
        <w:pStyle w:val="FootnoteText"/>
        <w:spacing w:after="0"/>
        <w:rPr>
          <w:rFonts w:ascii="Arial" w:hAnsi="Arial" w:cs="Arial"/>
          <w:sz w:val="18"/>
          <w:szCs w:val="18"/>
        </w:rPr>
      </w:pPr>
      <w:r w:rsidRPr="00A20C8F">
        <w:rPr>
          <w:rStyle w:val="FootnoteReference"/>
          <w:rFonts w:ascii="Arial" w:hAnsi="Arial" w:cs="Arial"/>
          <w:sz w:val="18"/>
          <w:szCs w:val="18"/>
        </w:rPr>
        <w:footnoteRef/>
      </w:r>
      <w:r w:rsidRPr="00A20C8F">
        <w:rPr>
          <w:rFonts w:ascii="Arial" w:hAnsi="Arial" w:cs="Arial"/>
          <w:i/>
          <w:sz w:val="18"/>
          <w:szCs w:val="18"/>
        </w:rPr>
        <w:t xml:space="preserve"> </w:t>
      </w:r>
      <w:r w:rsidRPr="00A20C8F">
        <w:rPr>
          <w:rFonts w:ascii="Arial" w:hAnsi="Arial" w:cs="Arial"/>
          <w:sz w:val="18"/>
          <w:szCs w:val="18"/>
        </w:rPr>
        <w:t>SMART</w:t>
      </w:r>
      <w:r w:rsidRPr="00A20C8F">
        <w:rPr>
          <w:rFonts w:ascii="Arial" w:hAnsi="Arial" w:cs="Arial"/>
          <w:i/>
          <w:sz w:val="18"/>
          <w:szCs w:val="18"/>
        </w:rPr>
        <w:t>: Specific; Measurable; Attributable; Realistic and relevant; and Time-bound</w:t>
      </w:r>
      <w:r w:rsidRPr="00A20C8F">
        <w:rPr>
          <w:rFonts w:ascii="Arial" w:hAnsi="Arial" w:cs="Arial"/>
          <w:sz w:val="18"/>
          <w:szCs w:val="18"/>
        </w:rPr>
        <w:t>.</w:t>
      </w:r>
    </w:p>
  </w:footnote>
  <w:footnote w:id="2">
    <w:p w14:paraId="33C1FB1F" w14:textId="77777777" w:rsidR="003D0165" w:rsidRPr="00327C5E" w:rsidRDefault="003D0165" w:rsidP="00FC43F2">
      <w:pPr>
        <w:pStyle w:val="FootnoteText"/>
        <w:ind w:left="270" w:hanging="270"/>
        <w:rPr>
          <w:rFonts w:ascii="Arial" w:hAnsi="Arial" w:cs="Arial"/>
          <w:sz w:val="18"/>
          <w:szCs w:val="18"/>
          <w:lang w:val="es-US"/>
        </w:rPr>
      </w:pPr>
      <w:r w:rsidRPr="004A61D9">
        <w:rPr>
          <w:rStyle w:val="FootnoteReference"/>
          <w:sz w:val="18"/>
          <w:szCs w:val="18"/>
        </w:rPr>
        <w:footnoteRef/>
      </w:r>
      <w:r w:rsidRPr="00B436D8">
        <w:rPr>
          <w:rFonts w:ascii="Arial" w:hAnsi="Arial" w:cs="Arial"/>
          <w:sz w:val="18"/>
          <w:szCs w:val="18"/>
          <w:lang w:val="es-US"/>
        </w:rPr>
        <w:t xml:space="preserve"> </w:t>
      </w:r>
      <w:r w:rsidRPr="00B436D8">
        <w:rPr>
          <w:rFonts w:ascii="Arial" w:hAnsi="Arial" w:cs="Arial"/>
          <w:sz w:val="18"/>
          <w:szCs w:val="18"/>
          <w:lang w:val="es-US"/>
        </w:rPr>
        <w:tab/>
      </w:r>
      <w:r w:rsidRPr="00327C5E">
        <w:rPr>
          <w:rFonts w:ascii="Arial" w:hAnsi="Arial" w:cs="Arial"/>
          <w:sz w:val="18"/>
          <w:szCs w:val="18"/>
          <w:lang w:val="es-US"/>
        </w:rPr>
        <w:t>El indicador se considera en términos de la energía generada, en lugar de capacidad instalada, ya que permite medir mejor el resultado, mostrando la producción efectiva de energía renovable.</w:t>
      </w:r>
    </w:p>
  </w:footnote>
  <w:footnote w:id="3">
    <w:p w14:paraId="33CBB1B3" w14:textId="70ADB801" w:rsidR="00FC43F2" w:rsidRPr="00327C5E" w:rsidRDefault="00FC43F2" w:rsidP="00FC43F2">
      <w:pPr>
        <w:pStyle w:val="FootnoteText"/>
        <w:ind w:left="270" w:hanging="270"/>
        <w:rPr>
          <w:lang w:val="es-US"/>
        </w:rPr>
      </w:pPr>
      <w:r w:rsidRPr="00327C5E">
        <w:rPr>
          <w:rStyle w:val="FootnoteReference"/>
          <w:rFonts w:ascii="Arial" w:hAnsi="Arial" w:cs="Arial"/>
          <w:sz w:val="18"/>
          <w:szCs w:val="18"/>
        </w:rPr>
        <w:footnoteRef/>
      </w:r>
      <w:r w:rsidRPr="00327C5E">
        <w:rPr>
          <w:rFonts w:ascii="Arial" w:hAnsi="Arial" w:cs="Arial"/>
          <w:sz w:val="18"/>
          <w:szCs w:val="18"/>
          <w:lang w:val="es-US"/>
        </w:rPr>
        <w:t xml:space="preserve"> </w:t>
      </w:r>
      <w:r>
        <w:rPr>
          <w:rFonts w:ascii="Arial" w:hAnsi="Arial" w:cs="Arial"/>
          <w:sz w:val="18"/>
          <w:szCs w:val="18"/>
          <w:lang w:val="es-US"/>
        </w:rPr>
        <w:tab/>
      </w:r>
      <w:r w:rsidRPr="00327C5E">
        <w:rPr>
          <w:rFonts w:ascii="Arial" w:hAnsi="Arial" w:cs="Arial"/>
          <w:sz w:val="18"/>
          <w:szCs w:val="18"/>
          <w:lang w:val="es-US"/>
        </w:rPr>
        <w:t>El valor de referencia regional de pérdidas totales de energía en sistemas de distribución es alrededor del 14</w:t>
      </w:r>
      <w:r>
        <w:rPr>
          <w:rFonts w:ascii="Arial" w:hAnsi="Arial" w:cs="Arial"/>
          <w:sz w:val="18"/>
          <w:szCs w:val="18"/>
          <w:lang w:val="es-US"/>
        </w:rPr>
        <w:t>%</w:t>
      </w:r>
      <w:r w:rsidRPr="00327C5E">
        <w:rPr>
          <w:rFonts w:ascii="Arial" w:hAnsi="Arial" w:cs="Arial"/>
          <w:sz w:val="18"/>
          <w:szCs w:val="18"/>
          <w:lang w:val="es-US"/>
        </w:rPr>
        <w:t>. Según informes de la Comisión de Integración Energética Regional (CIER), San Salvador (Brasil), Electricaribe y Electrocosta (Costa Norte de Colombia) y Regiones del Norte y Sur de Chile son ejemplos de sistemas comparables con el sistema hondureños en cuanto a poca densidad, niveles socioeconómicos con capacidad de pago media o baja, presencia de marginalidad y dispersión, los cuales han alcanzado niveles de pérdidas totales que no superan el 14%.</w:t>
      </w:r>
    </w:p>
  </w:footnote>
  <w:footnote w:id="4">
    <w:p w14:paraId="286CE6E9" w14:textId="77777777" w:rsidR="00FC43F2" w:rsidRPr="00032AE4" w:rsidRDefault="00FC43F2" w:rsidP="00FC43F2">
      <w:pPr>
        <w:pStyle w:val="FootnoteText"/>
        <w:rPr>
          <w:lang w:val="es-US"/>
        </w:rPr>
      </w:pPr>
      <w:r>
        <w:rPr>
          <w:rStyle w:val="FootnoteReference"/>
        </w:rPr>
        <w:footnoteRef/>
      </w:r>
      <w:r w:rsidRPr="00032AE4">
        <w:rPr>
          <w:lang w:val="es-US"/>
        </w:rPr>
        <w:t xml:space="preserve"> </w:t>
      </w:r>
      <w:r>
        <w:rPr>
          <w:lang w:val="es-US"/>
        </w:rPr>
        <w:tab/>
      </w:r>
      <w:r w:rsidRPr="00032AE4">
        <w:rPr>
          <w:rFonts w:ascii="Arial" w:hAnsi="Arial" w:cs="Arial"/>
          <w:sz w:val="18"/>
          <w:szCs w:val="18"/>
          <w:lang w:val="es-US"/>
        </w:rPr>
        <w:t xml:space="preserve">Aunque no se disponen estudios de elasticidad precio para Honduras, para efectos del análisis se ha supuesto un valor de elasticidad de largo plazo, cuyo valor en sí puede variar considerablemente de acuerdo con la fuente del estudio. En este caso se ha asumido un valor de -0.4 que ha sido utilizado en evaluaciones similares en varios países de la región y se fundamenta, en los estudios de G. Westley en el BID en la década de los ochentas y noventas. El </w:t>
      </w:r>
      <w:r w:rsidRPr="00032AE4">
        <w:rPr>
          <w:rFonts w:ascii="Arial" w:hAnsi="Arial" w:cs="Arial"/>
          <w:i/>
          <w:sz w:val="18"/>
          <w:szCs w:val="18"/>
          <w:lang w:val="es-US"/>
        </w:rPr>
        <w:t>Federal Energy Regulatory Commission</w:t>
      </w:r>
      <w:r w:rsidRPr="00032AE4">
        <w:rPr>
          <w:rFonts w:ascii="Arial" w:hAnsi="Arial" w:cs="Arial"/>
          <w:sz w:val="18"/>
          <w:szCs w:val="18"/>
          <w:lang w:val="es-US"/>
        </w:rPr>
        <w:t xml:space="preserve"> llevó a cabo un estudio comparativo más reciente </w:t>
      </w:r>
      <w:r w:rsidRPr="00032AE4">
        <w:rPr>
          <w:rFonts w:ascii="Arial" w:hAnsi="Arial" w:cs="Arial"/>
          <w:i/>
          <w:sz w:val="18"/>
          <w:szCs w:val="18"/>
          <w:lang w:val="es-US"/>
        </w:rPr>
        <w:t>“Demand Responsiveness in Electricity Markets</w:t>
      </w:r>
      <w:r w:rsidRPr="00032AE4">
        <w:rPr>
          <w:rFonts w:ascii="Arial" w:hAnsi="Arial" w:cs="Arial"/>
          <w:sz w:val="18"/>
          <w:szCs w:val="18"/>
          <w:lang w:val="es-US"/>
        </w:rPr>
        <w:t>”, Lafferty et.all.). Esta cifra coincide con otros estudios recientes realizados en Chile que indican elasticidades precio entre -0,37 y -0,44 (Marshall 2010, entre otros, ref. "La Demanda Residencial de Energía Eléctrica en Chile, Revista Economía Chilena", volumen 15, No 3, diciembre 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B457E" w14:textId="77777777" w:rsidR="00805198" w:rsidRDefault="00805198" w:rsidP="0080519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53ACE12" w14:textId="77777777" w:rsidR="00805198" w:rsidRDefault="008051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5C9EA" w14:textId="0B229744" w:rsidR="00805198" w:rsidRDefault="00805198" w:rsidP="0080519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932AB">
      <w:rPr>
        <w:rStyle w:val="PageNumber"/>
        <w:noProof/>
      </w:rPr>
      <w:t>13</w:t>
    </w:r>
    <w:r>
      <w:rPr>
        <w:rStyle w:val="PageNumber"/>
      </w:rPr>
      <w:fldChar w:fldCharType="end"/>
    </w:r>
  </w:p>
  <w:p w14:paraId="72DCB6A9" w14:textId="77777777" w:rsidR="00805198" w:rsidRDefault="008051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A633E"/>
    <w:multiLevelType w:val="hybridMultilevel"/>
    <w:tmpl w:val="D7FC9A5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00504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B6CF3"/>
    <w:multiLevelType w:val="hybridMultilevel"/>
    <w:tmpl w:val="7F2077CE"/>
    <w:lvl w:ilvl="0" w:tplc="8FF89194">
      <w:start w:val="1"/>
      <w:numFmt w:val="bullet"/>
      <w:pStyle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272419E"/>
    <w:multiLevelType w:val="hybridMultilevel"/>
    <w:tmpl w:val="B5946D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B07290"/>
    <w:multiLevelType w:val="multilevel"/>
    <w:tmpl w:val="3B2800F6"/>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20FF2140"/>
    <w:multiLevelType w:val="multilevel"/>
    <w:tmpl w:val="F91EBD36"/>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1741A53"/>
    <w:multiLevelType w:val="hybridMultilevel"/>
    <w:tmpl w:val="3144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8076D6"/>
    <w:multiLevelType w:val="multilevel"/>
    <w:tmpl w:val="AAD2AE38"/>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21F1610B"/>
    <w:multiLevelType w:val="multilevel"/>
    <w:tmpl w:val="486EF174"/>
    <w:lvl w:ilvl="0">
      <w:start w:val="1"/>
      <w:numFmt w:val="decimal"/>
      <w:lvlText w:val="%1"/>
      <w:lvlJc w:val="left"/>
      <w:pPr>
        <w:ind w:left="360" w:hanging="360"/>
      </w:pPr>
      <w:rPr>
        <w:rFonts w:ascii="Arial" w:hAnsi="Arial" w:cs="Arial" w:hint="default"/>
        <w:b/>
        <w:sz w:val="22"/>
      </w:rPr>
    </w:lvl>
    <w:lvl w:ilvl="1">
      <w:start w:val="1"/>
      <w:numFmt w:val="decimal"/>
      <w:lvlText w:val="%1.%2"/>
      <w:lvlJc w:val="left"/>
      <w:pPr>
        <w:ind w:left="360" w:hanging="360"/>
      </w:pPr>
      <w:rPr>
        <w:rFonts w:ascii="Arial" w:hAnsi="Arial" w:cs="Arial" w:hint="default"/>
        <w:b w:val="0"/>
        <w:sz w:val="22"/>
      </w:rPr>
    </w:lvl>
    <w:lvl w:ilvl="2">
      <w:start w:val="1"/>
      <w:numFmt w:val="decimal"/>
      <w:lvlText w:val="%1.%2.%3"/>
      <w:lvlJc w:val="left"/>
      <w:pPr>
        <w:ind w:left="720" w:hanging="720"/>
      </w:pPr>
      <w:rPr>
        <w:rFonts w:ascii="Arial" w:hAnsi="Arial" w:cs="Arial" w:hint="default"/>
        <w:b/>
        <w:sz w:val="22"/>
      </w:rPr>
    </w:lvl>
    <w:lvl w:ilvl="3">
      <w:start w:val="1"/>
      <w:numFmt w:val="decimal"/>
      <w:lvlText w:val="%1.%2.%3.%4"/>
      <w:lvlJc w:val="left"/>
      <w:pPr>
        <w:ind w:left="720" w:hanging="720"/>
      </w:pPr>
      <w:rPr>
        <w:rFonts w:ascii="Arial" w:hAnsi="Arial" w:cs="Arial" w:hint="default"/>
        <w:b/>
        <w:sz w:val="22"/>
      </w:rPr>
    </w:lvl>
    <w:lvl w:ilvl="4">
      <w:start w:val="1"/>
      <w:numFmt w:val="decimal"/>
      <w:lvlText w:val="%1.%2.%3.%4.%5"/>
      <w:lvlJc w:val="left"/>
      <w:pPr>
        <w:ind w:left="1080" w:hanging="1080"/>
      </w:pPr>
      <w:rPr>
        <w:rFonts w:ascii="Arial" w:hAnsi="Arial" w:cs="Arial" w:hint="default"/>
        <w:b/>
        <w:sz w:val="22"/>
      </w:rPr>
    </w:lvl>
    <w:lvl w:ilvl="5">
      <w:start w:val="1"/>
      <w:numFmt w:val="decimal"/>
      <w:lvlText w:val="%1.%2.%3.%4.%5.%6"/>
      <w:lvlJc w:val="left"/>
      <w:pPr>
        <w:ind w:left="1080" w:hanging="1080"/>
      </w:pPr>
      <w:rPr>
        <w:rFonts w:ascii="Arial" w:hAnsi="Arial" w:cs="Arial" w:hint="default"/>
        <w:b/>
        <w:sz w:val="22"/>
      </w:rPr>
    </w:lvl>
    <w:lvl w:ilvl="6">
      <w:start w:val="1"/>
      <w:numFmt w:val="decimal"/>
      <w:lvlText w:val="%1.%2.%3.%4.%5.%6.%7"/>
      <w:lvlJc w:val="left"/>
      <w:pPr>
        <w:ind w:left="1440" w:hanging="1440"/>
      </w:pPr>
      <w:rPr>
        <w:rFonts w:ascii="Arial" w:hAnsi="Arial" w:cs="Arial" w:hint="default"/>
        <w:b/>
        <w:sz w:val="22"/>
      </w:rPr>
    </w:lvl>
    <w:lvl w:ilvl="7">
      <w:start w:val="1"/>
      <w:numFmt w:val="decimal"/>
      <w:lvlText w:val="%1.%2.%3.%4.%5.%6.%7.%8"/>
      <w:lvlJc w:val="left"/>
      <w:pPr>
        <w:ind w:left="1440" w:hanging="1440"/>
      </w:pPr>
      <w:rPr>
        <w:rFonts w:ascii="Arial" w:hAnsi="Arial" w:cs="Arial" w:hint="default"/>
        <w:b/>
        <w:sz w:val="22"/>
      </w:rPr>
    </w:lvl>
    <w:lvl w:ilvl="8">
      <w:start w:val="1"/>
      <w:numFmt w:val="decimal"/>
      <w:lvlText w:val="%1.%2.%3.%4.%5.%6.%7.%8.%9"/>
      <w:lvlJc w:val="left"/>
      <w:pPr>
        <w:ind w:left="1800" w:hanging="1800"/>
      </w:pPr>
      <w:rPr>
        <w:rFonts w:ascii="Arial" w:hAnsi="Arial" w:cs="Arial" w:hint="default"/>
        <w:b/>
        <w:sz w:val="22"/>
      </w:rPr>
    </w:lvl>
  </w:abstractNum>
  <w:abstractNum w:abstractNumId="8" w15:restartNumberingAfterBreak="0">
    <w:nsid w:val="231C121F"/>
    <w:multiLevelType w:val="hybridMultilevel"/>
    <w:tmpl w:val="BDCAA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1E6007"/>
    <w:multiLevelType w:val="multilevel"/>
    <w:tmpl w:val="B09AB72A"/>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8073EFF"/>
    <w:multiLevelType w:val="multilevel"/>
    <w:tmpl w:val="F2DCA8E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ascii="Arial" w:hAnsi="Arial" w:cs="Arial"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29DE69A6"/>
    <w:multiLevelType w:val="multilevel"/>
    <w:tmpl w:val="BC6ABD5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CC4232B"/>
    <w:multiLevelType w:val="hybridMultilevel"/>
    <w:tmpl w:val="5448A330"/>
    <w:lvl w:ilvl="0" w:tplc="0E3C676A">
      <w:start w:val="1"/>
      <w:numFmt w:val="decimal"/>
      <w:pStyle w:val="Banknumbered"/>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6956E2"/>
    <w:multiLevelType w:val="multilevel"/>
    <w:tmpl w:val="175A357C"/>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746"/>
        </w:tabs>
        <w:ind w:left="1746"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5" w15:restartNumberingAfterBreak="0">
    <w:nsid w:val="36214709"/>
    <w:multiLevelType w:val="hybridMultilevel"/>
    <w:tmpl w:val="594ABFE4"/>
    <w:lvl w:ilvl="0" w:tplc="07A6ACDC">
      <w:start w:val="1"/>
      <w:numFmt w:val="upp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3C72F3"/>
    <w:multiLevelType w:val="multilevel"/>
    <w:tmpl w:val="77009F50"/>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7" w15:restartNumberingAfterBreak="0">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C928FB"/>
    <w:multiLevelType w:val="hybridMultilevel"/>
    <w:tmpl w:val="D9B8F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0" w15:restartNumberingAfterBreak="0">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2" w15:restartNumberingAfterBreak="0">
    <w:nsid w:val="64E3192F"/>
    <w:multiLevelType w:val="multilevel"/>
    <w:tmpl w:val="E46E1616"/>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6602255E"/>
    <w:multiLevelType w:val="multilevel"/>
    <w:tmpl w:val="76CC0888"/>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6666313F"/>
    <w:multiLevelType w:val="multilevel"/>
    <w:tmpl w:val="0E3A3A50"/>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5" w15:restartNumberingAfterBreak="0">
    <w:nsid w:val="6727022C"/>
    <w:multiLevelType w:val="multilevel"/>
    <w:tmpl w:val="13EA714A"/>
    <w:lvl w:ilvl="0">
      <w:start w:val="1"/>
      <w:numFmt w:val="bullet"/>
      <w:lvlText w:val=""/>
      <w:lvlJc w:val="left"/>
      <w:pPr>
        <w:ind w:left="36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15:restartNumberingAfterBreak="0">
    <w:nsid w:val="67B42508"/>
    <w:multiLevelType w:val="multilevel"/>
    <w:tmpl w:val="D6425E24"/>
    <w:lvl w:ilvl="0">
      <w:start w:val="1"/>
      <w:numFmt w:val="decimal"/>
      <w:lvlText w:val="%1"/>
      <w:lvlJc w:val="left"/>
      <w:pPr>
        <w:ind w:left="360" w:hanging="360"/>
      </w:pPr>
      <w:rPr>
        <w:rFonts w:ascii="Arial" w:hAnsi="Arial" w:cs="Arial" w:hint="default"/>
        <w:b/>
        <w:sz w:val="22"/>
      </w:rPr>
    </w:lvl>
    <w:lvl w:ilvl="1">
      <w:start w:val="1"/>
      <w:numFmt w:val="decimal"/>
      <w:lvlText w:val="%1.%2"/>
      <w:lvlJc w:val="left"/>
      <w:pPr>
        <w:ind w:left="720" w:hanging="360"/>
      </w:pPr>
      <w:rPr>
        <w:rFonts w:ascii="Arial" w:hAnsi="Arial" w:cs="Arial" w:hint="default"/>
        <w:b/>
        <w:sz w:val="22"/>
      </w:rPr>
    </w:lvl>
    <w:lvl w:ilvl="2">
      <w:start w:val="1"/>
      <w:numFmt w:val="decimal"/>
      <w:lvlText w:val="%1.%2.%3"/>
      <w:lvlJc w:val="left"/>
      <w:pPr>
        <w:ind w:left="1440" w:hanging="720"/>
      </w:pPr>
      <w:rPr>
        <w:rFonts w:ascii="Arial" w:hAnsi="Arial" w:cs="Arial" w:hint="default"/>
        <w:b/>
        <w:sz w:val="22"/>
      </w:rPr>
    </w:lvl>
    <w:lvl w:ilvl="3">
      <w:start w:val="1"/>
      <w:numFmt w:val="decimal"/>
      <w:lvlText w:val="%1.%2.%3.%4"/>
      <w:lvlJc w:val="left"/>
      <w:pPr>
        <w:ind w:left="1800" w:hanging="720"/>
      </w:pPr>
      <w:rPr>
        <w:rFonts w:ascii="Arial" w:hAnsi="Arial" w:cs="Arial" w:hint="default"/>
        <w:b/>
        <w:sz w:val="22"/>
      </w:rPr>
    </w:lvl>
    <w:lvl w:ilvl="4">
      <w:start w:val="1"/>
      <w:numFmt w:val="decimal"/>
      <w:lvlText w:val="%1.%2.%3.%4.%5"/>
      <w:lvlJc w:val="left"/>
      <w:pPr>
        <w:ind w:left="2520" w:hanging="1080"/>
      </w:pPr>
      <w:rPr>
        <w:rFonts w:ascii="Arial" w:hAnsi="Arial" w:cs="Arial" w:hint="default"/>
        <w:b/>
        <w:sz w:val="22"/>
      </w:rPr>
    </w:lvl>
    <w:lvl w:ilvl="5">
      <w:start w:val="1"/>
      <w:numFmt w:val="decimal"/>
      <w:lvlText w:val="%1.%2.%3.%4.%5.%6"/>
      <w:lvlJc w:val="left"/>
      <w:pPr>
        <w:ind w:left="2880" w:hanging="1080"/>
      </w:pPr>
      <w:rPr>
        <w:rFonts w:ascii="Arial" w:hAnsi="Arial" w:cs="Arial" w:hint="default"/>
        <w:b/>
        <w:sz w:val="22"/>
      </w:rPr>
    </w:lvl>
    <w:lvl w:ilvl="6">
      <w:start w:val="1"/>
      <w:numFmt w:val="decimal"/>
      <w:lvlText w:val="%1.%2.%3.%4.%5.%6.%7"/>
      <w:lvlJc w:val="left"/>
      <w:pPr>
        <w:ind w:left="3600" w:hanging="1440"/>
      </w:pPr>
      <w:rPr>
        <w:rFonts w:ascii="Arial" w:hAnsi="Arial" w:cs="Arial" w:hint="default"/>
        <w:b/>
        <w:sz w:val="22"/>
      </w:rPr>
    </w:lvl>
    <w:lvl w:ilvl="7">
      <w:start w:val="1"/>
      <w:numFmt w:val="decimal"/>
      <w:lvlText w:val="%1.%2.%3.%4.%5.%6.%7.%8"/>
      <w:lvlJc w:val="left"/>
      <w:pPr>
        <w:ind w:left="3960" w:hanging="1440"/>
      </w:pPr>
      <w:rPr>
        <w:rFonts w:ascii="Arial" w:hAnsi="Arial" w:cs="Arial" w:hint="default"/>
        <w:b/>
        <w:sz w:val="22"/>
      </w:rPr>
    </w:lvl>
    <w:lvl w:ilvl="8">
      <w:start w:val="1"/>
      <w:numFmt w:val="decimal"/>
      <w:lvlText w:val="%1.%2.%3.%4.%5.%6.%7.%8.%9"/>
      <w:lvlJc w:val="left"/>
      <w:pPr>
        <w:ind w:left="4680" w:hanging="1800"/>
      </w:pPr>
      <w:rPr>
        <w:rFonts w:ascii="Arial" w:hAnsi="Arial" w:cs="Arial" w:hint="default"/>
        <w:b/>
        <w:sz w:val="22"/>
      </w:rPr>
    </w:lvl>
  </w:abstractNum>
  <w:abstractNum w:abstractNumId="27" w15:restartNumberingAfterBreak="0">
    <w:nsid w:val="684E55F8"/>
    <w:multiLevelType w:val="hybridMultilevel"/>
    <w:tmpl w:val="6020176C"/>
    <w:lvl w:ilvl="0" w:tplc="9D8C8C50">
      <w:start w:val="3"/>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762FCB"/>
    <w:multiLevelType w:val="hybridMultilevel"/>
    <w:tmpl w:val="8A86D42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Arial"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Arial"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Arial" w:hint="default"/>
      </w:rPr>
    </w:lvl>
    <w:lvl w:ilvl="8" w:tplc="04090005" w:tentative="1">
      <w:start w:val="1"/>
      <w:numFmt w:val="bullet"/>
      <w:lvlText w:val=""/>
      <w:lvlJc w:val="left"/>
      <w:pPr>
        <w:ind w:left="6530" w:hanging="360"/>
      </w:pPr>
      <w:rPr>
        <w:rFonts w:ascii="Wingdings" w:hAnsi="Wingdings" w:hint="default"/>
      </w:rPr>
    </w:lvl>
  </w:abstractNum>
  <w:abstractNum w:abstractNumId="30" w15:restartNumberingAfterBreak="0">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0"/>
  </w:num>
  <w:num w:numId="3">
    <w:abstractNumId w:val="20"/>
  </w:num>
  <w:num w:numId="4">
    <w:abstractNumId w:val="31"/>
  </w:num>
  <w:num w:numId="5">
    <w:abstractNumId w:val="16"/>
  </w:num>
  <w:num w:numId="6">
    <w:abstractNumId w:val="8"/>
  </w:num>
  <w:num w:numId="7">
    <w:abstractNumId w:val="29"/>
  </w:num>
  <w:num w:numId="8">
    <w:abstractNumId w:val="5"/>
  </w:num>
  <w:num w:numId="9">
    <w:abstractNumId w:val="18"/>
  </w:num>
  <w:num w:numId="10">
    <w:abstractNumId w:val="19"/>
  </w:num>
  <w:num w:numId="11">
    <w:abstractNumId w:val="28"/>
  </w:num>
  <w:num w:numId="12">
    <w:abstractNumId w:val="30"/>
  </w:num>
  <w:num w:numId="13">
    <w:abstractNumId w:val="25"/>
  </w:num>
  <w:num w:numId="14">
    <w:abstractNumId w:val="21"/>
  </w:num>
  <w:num w:numId="15">
    <w:abstractNumId w:val="12"/>
  </w:num>
  <w:num w:numId="16">
    <w:abstractNumId w:val="1"/>
  </w:num>
  <w:num w:numId="17">
    <w:abstractNumId w:val="12"/>
    <w:lvlOverride w:ilvl="0">
      <w:startOverride w:val="1"/>
    </w:lvlOverride>
  </w:num>
  <w:num w:numId="18">
    <w:abstractNumId w:val="2"/>
  </w:num>
  <w:num w:numId="19">
    <w:abstractNumId w:val="3"/>
  </w:num>
  <w:num w:numId="20">
    <w:abstractNumId w:val="23"/>
  </w:num>
  <w:num w:numId="21">
    <w:abstractNumId w:val="4"/>
  </w:num>
  <w:num w:numId="22">
    <w:abstractNumId w:val="13"/>
  </w:num>
  <w:num w:numId="23">
    <w:abstractNumId w:val="11"/>
  </w:num>
  <w:num w:numId="24">
    <w:abstractNumId w:val="9"/>
  </w:num>
  <w:num w:numId="25">
    <w:abstractNumId w:val="22"/>
  </w:num>
  <w:num w:numId="26">
    <w:abstractNumId w:val="6"/>
  </w:num>
  <w:num w:numId="27">
    <w:abstractNumId w:val="26"/>
  </w:num>
  <w:num w:numId="28">
    <w:abstractNumId w:val="7"/>
  </w:num>
  <w:num w:numId="29">
    <w:abstractNumId w:val="10"/>
  </w:num>
  <w:num w:numId="30">
    <w:abstractNumId w:val="24"/>
  </w:num>
  <w:num w:numId="31">
    <w:abstractNumId w:val="15"/>
  </w:num>
  <w:num w:numId="32">
    <w:abstractNumId w:val="3"/>
  </w:num>
  <w:num w:numId="33">
    <w:abstractNumId w:val="14"/>
  </w:num>
  <w:num w:numId="34">
    <w:abstractNumId w:val="3"/>
  </w:num>
  <w:num w:numId="35">
    <w:abstractNumId w:val="3"/>
  </w:num>
  <w:num w:numId="36">
    <w:abstractNumId w:val="3"/>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drawingGridHorizontalSpacing w:val="110"/>
  <w:displayHorizont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84"/>
    <w:rsid w:val="00012A8F"/>
    <w:rsid w:val="00014B04"/>
    <w:rsid w:val="00017FFD"/>
    <w:rsid w:val="00034FB0"/>
    <w:rsid w:val="00035F0C"/>
    <w:rsid w:val="0003600D"/>
    <w:rsid w:val="00072C0D"/>
    <w:rsid w:val="00076207"/>
    <w:rsid w:val="0008078E"/>
    <w:rsid w:val="000810E7"/>
    <w:rsid w:val="00083C85"/>
    <w:rsid w:val="000A09BE"/>
    <w:rsid w:val="000A3FE2"/>
    <w:rsid w:val="000A5631"/>
    <w:rsid w:val="000B2165"/>
    <w:rsid w:val="000B3313"/>
    <w:rsid w:val="000B5008"/>
    <w:rsid w:val="000C30AA"/>
    <w:rsid w:val="000C55F0"/>
    <w:rsid w:val="000E4AE7"/>
    <w:rsid w:val="000E69DB"/>
    <w:rsid w:val="000F3809"/>
    <w:rsid w:val="000F4BF7"/>
    <w:rsid w:val="001007A8"/>
    <w:rsid w:val="00100C93"/>
    <w:rsid w:val="00111647"/>
    <w:rsid w:val="00115C11"/>
    <w:rsid w:val="00117ED4"/>
    <w:rsid w:val="001440F2"/>
    <w:rsid w:val="00144DB9"/>
    <w:rsid w:val="00163344"/>
    <w:rsid w:val="00164A2A"/>
    <w:rsid w:val="00173762"/>
    <w:rsid w:val="00180C32"/>
    <w:rsid w:val="001906EE"/>
    <w:rsid w:val="001B56B1"/>
    <w:rsid w:val="001C3DCA"/>
    <w:rsid w:val="001C4234"/>
    <w:rsid w:val="00203103"/>
    <w:rsid w:val="00205132"/>
    <w:rsid w:val="002151E4"/>
    <w:rsid w:val="00216A18"/>
    <w:rsid w:val="0024011F"/>
    <w:rsid w:val="00251822"/>
    <w:rsid w:val="002730A1"/>
    <w:rsid w:val="00282817"/>
    <w:rsid w:val="002919CA"/>
    <w:rsid w:val="002A7BBE"/>
    <w:rsid w:val="002B1774"/>
    <w:rsid w:val="002B2CCB"/>
    <w:rsid w:val="002B54FB"/>
    <w:rsid w:val="002D7268"/>
    <w:rsid w:val="002D7EE6"/>
    <w:rsid w:val="002E6C1F"/>
    <w:rsid w:val="003002B3"/>
    <w:rsid w:val="0030597B"/>
    <w:rsid w:val="003133C3"/>
    <w:rsid w:val="00327C10"/>
    <w:rsid w:val="00333F26"/>
    <w:rsid w:val="00335DEB"/>
    <w:rsid w:val="00343584"/>
    <w:rsid w:val="00344398"/>
    <w:rsid w:val="003520BC"/>
    <w:rsid w:val="003528D7"/>
    <w:rsid w:val="00370387"/>
    <w:rsid w:val="0037154F"/>
    <w:rsid w:val="00375CB9"/>
    <w:rsid w:val="003779ED"/>
    <w:rsid w:val="0038023E"/>
    <w:rsid w:val="00380DBB"/>
    <w:rsid w:val="00382446"/>
    <w:rsid w:val="003932AB"/>
    <w:rsid w:val="00396A70"/>
    <w:rsid w:val="003B010E"/>
    <w:rsid w:val="003B4C10"/>
    <w:rsid w:val="003C0446"/>
    <w:rsid w:val="003D0165"/>
    <w:rsid w:val="003E0C17"/>
    <w:rsid w:val="00401906"/>
    <w:rsid w:val="0040674A"/>
    <w:rsid w:val="00445F86"/>
    <w:rsid w:val="004479F5"/>
    <w:rsid w:val="004547F9"/>
    <w:rsid w:val="004864D2"/>
    <w:rsid w:val="0049085F"/>
    <w:rsid w:val="00493340"/>
    <w:rsid w:val="0049734F"/>
    <w:rsid w:val="004A3E21"/>
    <w:rsid w:val="004A7EF3"/>
    <w:rsid w:val="004B3EC2"/>
    <w:rsid w:val="004B4A9B"/>
    <w:rsid w:val="004B71B6"/>
    <w:rsid w:val="004B7EAD"/>
    <w:rsid w:val="004C3F13"/>
    <w:rsid w:val="004E03BF"/>
    <w:rsid w:val="004F3C37"/>
    <w:rsid w:val="00505B58"/>
    <w:rsid w:val="00512A29"/>
    <w:rsid w:val="00534199"/>
    <w:rsid w:val="00537EFD"/>
    <w:rsid w:val="00540A77"/>
    <w:rsid w:val="00545FDC"/>
    <w:rsid w:val="005611AB"/>
    <w:rsid w:val="00570301"/>
    <w:rsid w:val="00574B66"/>
    <w:rsid w:val="005836C7"/>
    <w:rsid w:val="00591402"/>
    <w:rsid w:val="005941C0"/>
    <w:rsid w:val="005C6B10"/>
    <w:rsid w:val="005D16B6"/>
    <w:rsid w:val="005D17C7"/>
    <w:rsid w:val="005D33E4"/>
    <w:rsid w:val="005F26D1"/>
    <w:rsid w:val="006022C9"/>
    <w:rsid w:val="0060569D"/>
    <w:rsid w:val="006230E3"/>
    <w:rsid w:val="00637A31"/>
    <w:rsid w:val="006508EE"/>
    <w:rsid w:val="00680582"/>
    <w:rsid w:val="00681C23"/>
    <w:rsid w:val="006820A5"/>
    <w:rsid w:val="0069202A"/>
    <w:rsid w:val="00697361"/>
    <w:rsid w:val="006A1042"/>
    <w:rsid w:val="006B026A"/>
    <w:rsid w:val="006B347B"/>
    <w:rsid w:val="006B5C9F"/>
    <w:rsid w:val="006D5D4D"/>
    <w:rsid w:val="006E3056"/>
    <w:rsid w:val="007332DD"/>
    <w:rsid w:val="0074040B"/>
    <w:rsid w:val="007426AE"/>
    <w:rsid w:val="00752410"/>
    <w:rsid w:val="00783587"/>
    <w:rsid w:val="00793B15"/>
    <w:rsid w:val="007C7853"/>
    <w:rsid w:val="007D4E4F"/>
    <w:rsid w:val="007E60CC"/>
    <w:rsid w:val="007F074A"/>
    <w:rsid w:val="008029B3"/>
    <w:rsid w:val="00805198"/>
    <w:rsid w:val="00812E8E"/>
    <w:rsid w:val="00820C12"/>
    <w:rsid w:val="008367A1"/>
    <w:rsid w:val="00842A07"/>
    <w:rsid w:val="0084431B"/>
    <w:rsid w:val="00857699"/>
    <w:rsid w:val="0087273B"/>
    <w:rsid w:val="00872F70"/>
    <w:rsid w:val="00877E9F"/>
    <w:rsid w:val="008E3429"/>
    <w:rsid w:val="00906E37"/>
    <w:rsid w:val="00914368"/>
    <w:rsid w:val="00954596"/>
    <w:rsid w:val="009616CF"/>
    <w:rsid w:val="00963DCD"/>
    <w:rsid w:val="00973FCF"/>
    <w:rsid w:val="009747E2"/>
    <w:rsid w:val="00991534"/>
    <w:rsid w:val="00996B73"/>
    <w:rsid w:val="009972F8"/>
    <w:rsid w:val="009D341B"/>
    <w:rsid w:val="009E2A00"/>
    <w:rsid w:val="009E3A2B"/>
    <w:rsid w:val="00A011E7"/>
    <w:rsid w:val="00A06259"/>
    <w:rsid w:val="00A07DFD"/>
    <w:rsid w:val="00A20C8F"/>
    <w:rsid w:val="00A46AD8"/>
    <w:rsid w:val="00A50CE6"/>
    <w:rsid w:val="00A522D5"/>
    <w:rsid w:val="00A57E8A"/>
    <w:rsid w:val="00A756F3"/>
    <w:rsid w:val="00A827EC"/>
    <w:rsid w:val="00A91FB3"/>
    <w:rsid w:val="00AA60C7"/>
    <w:rsid w:val="00AA66ED"/>
    <w:rsid w:val="00AB368B"/>
    <w:rsid w:val="00AB4880"/>
    <w:rsid w:val="00AB6A93"/>
    <w:rsid w:val="00AC5430"/>
    <w:rsid w:val="00AC57E3"/>
    <w:rsid w:val="00AE2B44"/>
    <w:rsid w:val="00B03D6F"/>
    <w:rsid w:val="00B11E41"/>
    <w:rsid w:val="00B1596E"/>
    <w:rsid w:val="00B222C4"/>
    <w:rsid w:val="00B24B67"/>
    <w:rsid w:val="00B42B5A"/>
    <w:rsid w:val="00B436D8"/>
    <w:rsid w:val="00B5344E"/>
    <w:rsid w:val="00B65DAD"/>
    <w:rsid w:val="00B73F90"/>
    <w:rsid w:val="00B75896"/>
    <w:rsid w:val="00B8455B"/>
    <w:rsid w:val="00B9701A"/>
    <w:rsid w:val="00B978DA"/>
    <w:rsid w:val="00BA7BC2"/>
    <w:rsid w:val="00BB36B6"/>
    <w:rsid w:val="00BB43BA"/>
    <w:rsid w:val="00BB44D6"/>
    <w:rsid w:val="00BB6E62"/>
    <w:rsid w:val="00BC3EDF"/>
    <w:rsid w:val="00BD0806"/>
    <w:rsid w:val="00BD175D"/>
    <w:rsid w:val="00BD540F"/>
    <w:rsid w:val="00BE0A56"/>
    <w:rsid w:val="00BE60FB"/>
    <w:rsid w:val="00BF649F"/>
    <w:rsid w:val="00BF7BCE"/>
    <w:rsid w:val="00C12040"/>
    <w:rsid w:val="00C1477E"/>
    <w:rsid w:val="00C32A84"/>
    <w:rsid w:val="00C34B25"/>
    <w:rsid w:val="00C4698B"/>
    <w:rsid w:val="00C56610"/>
    <w:rsid w:val="00C635CF"/>
    <w:rsid w:val="00C671F3"/>
    <w:rsid w:val="00C73DEF"/>
    <w:rsid w:val="00C8361E"/>
    <w:rsid w:val="00CB2FC4"/>
    <w:rsid w:val="00CC2530"/>
    <w:rsid w:val="00CE5C12"/>
    <w:rsid w:val="00CE6F3F"/>
    <w:rsid w:val="00CE776D"/>
    <w:rsid w:val="00CF5271"/>
    <w:rsid w:val="00D04E4F"/>
    <w:rsid w:val="00D113C5"/>
    <w:rsid w:val="00D1557C"/>
    <w:rsid w:val="00D332FF"/>
    <w:rsid w:val="00D33626"/>
    <w:rsid w:val="00D35D23"/>
    <w:rsid w:val="00D448D0"/>
    <w:rsid w:val="00D45CC1"/>
    <w:rsid w:val="00D55606"/>
    <w:rsid w:val="00D73A07"/>
    <w:rsid w:val="00D824B6"/>
    <w:rsid w:val="00D82961"/>
    <w:rsid w:val="00D8618C"/>
    <w:rsid w:val="00D92287"/>
    <w:rsid w:val="00DA03C6"/>
    <w:rsid w:val="00DA7BAB"/>
    <w:rsid w:val="00DF4ABA"/>
    <w:rsid w:val="00E25A7A"/>
    <w:rsid w:val="00E3271F"/>
    <w:rsid w:val="00E46B47"/>
    <w:rsid w:val="00E52A3E"/>
    <w:rsid w:val="00E64E3C"/>
    <w:rsid w:val="00E92C6A"/>
    <w:rsid w:val="00EB1090"/>
    <w:rsid w:val="00EE0318"/>
    <w:rsid w:val="00EE39AF"/>
    <w:rsid w:val="00EF502B"/>
    <w:rsid w:val="00F136B4"/>
    <w:rsid w:val="00F36E0C"/>
    <w:rsid w:val="00F65CEE"/>
    <w:rsid w:val="00F80C60"/>
    <w:rsid w:val="00F86BB6"/>
    <w:rsid w:val="00FA0C4A"/>
    <w:rsid w:val="00FA0DEA"/>
    <w:rsid w:val="00FA7DFF"/>
    <w:rsid w:val="00FB49AE"/>
    <w:rsid w:val="00FC43F2"/>
    <w:rsid w:val="00FD0985"/>
    <w:rsid w:val="00FD483E"/>
    <w:rsid w:val="00FE2CE6"/>
    <w:rsid w:val="00FE34A3"/>
    <w:rsid w:val="00FF29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4468D9"/>
  <w15:docId w15:val="{150C2B07-4458-46CB-8F80-E1645C579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6F3F"/>
    <w:pPr>
      <w:spacing w:before="120"/>
    </w:pPr>
    <w:rPr>
      <w:rFonts w:ascii="Times New Roman" w:hAnsi="Times New Roman"/>
      <w:sz w:val="24"/>
      <w:szCs w:val="22"/>
    </w:rPr>
  </w:style>
  <w:style w:type="paragraph" w:styleId="Heading1">
    <w:name w:val="heading 1"/>
    <w:basedOn w:val="Normal"/>
    <w:next w:val="Normal"/>
    <w:link w:val="Heading1Char"/>
    <w:uiPriority w:val="9"/>
    <w:qFormat/>
    <w:rsid w:val="006B347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B347B"/>
    <w:pPr>
      <w:keepNext/>
      <w:keepLines/>
      <w:numPr>
        <w:ilvl w:val="1"/>
        <w:numId w:val="19"/>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B347B"/>
    <w:pPr>
      <w:keepNext/>
      <w:keepLines/>
      <w:numPr>
        <w:ilvl w:val="2"/>
        <w:numId w:val="19"/>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B347B"/>
    <w:pPr>
      <w:keepNext/>
      <w:keepLines/>
      <w:numPr>
        <w:ilvl w:val="3"/>
        <w:numId w:val="19"/>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B347B"/>
    <w:pPr>
      <w:keepNext/>
      <w:keepLines/>
      <w:numPr>
        <w:ilvl w:val="4"/>
        <w:numId w:val="19"/>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B347B"/>
    <w:pPr>
      <w:keepNext/>
      <w:keepLines/>
      <w:numPr>
        <w:ilvl w:val="5"/>
        <w:numId w:val="1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B347B"/>
    <w:pPr>
      <w:keepNext/>
      <w:keepLines/>
      <w:numPr>
        <w:ilvl w:val="6"/>
        <w:numId w:val="1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B347B"/>
    <w:pPr>
      <w:keepNext/>
      <w:keepLines/>
      <w:numPr>
        <w:ilvl w:val="7"/>
        <w:numId w:val="1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B347B"/>
    <w:pPr>
      <w:keepNext/>
      <w:keepLines/>
      <w:numPr>
        <w:ilvl w:val="8"/>
        <w:numId w:val="1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A6DEC"/>
    <w:pPr>
      <w:ind w:left="720"/>
      <w:contextualSpacing/>
    </w:p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FC0621"/>
    <w:rPr>
      <w:rFonts w:ascii="Tahoma" w:eastAsia="Times New Roman" w:hAnsi="Tahoma" w:cs="Tahoma"/>
      <w:sz w:val="16"/>
      <w:szCs w:val="16"/>
    </w:rPr>
  </w:style>
  <w:style w:type="paragraph" w:styleId="FootnoteText">
    <w:name w:val="footnote text"/>
    <w:basedOn w:val="Normal"/>
    <w:link w:val="FootnoteTextChar"/>
    <w:uiPriority w:val="99"/>
    <w:unhideWhenUsed/>
    <w:rsid w:val="00902F77"/>
    <w:pPr>
      <w:keepNext/>
      <w:keepLines/>
      <w:spacing w:before="0" w:after="120"/>
      <w:ind w:left="288" w:hanging="288"/>
      <w:jc w:val="both"/>
    </w:pPr>
    <w:rPr>
      <w:spacing w:val="-3"/>
      <w:sz w:val="20"/>
      <w:szCs w:val="24"/>
    </w:rPr>
  </w:style>
  <w:style w:type="character" w:customStyle="1" w:styleId="FootnoteTextChar">
    <w:name w:val="Footnote Text Char"/>
    <w:basedOn w:val="DefaultParagraphFont"/>
    <w:link w:val="FootnoteText"/>
    <w:uiPriority w:val="99"/>
    <w:rsid w:val="00902F77"/>
    <w:rPr>
      <w:rFonts w:ascii="Times New Roman" w:hAnsi="Times New Roman"/>
      <w:spacing w:val="-3"/>
      <w:szCs w:val="24"/>
    </w:rPr>
  </w:style>
  <w:style w:type="character" w:styleId="FootnoteReference">
    <w:name w:val="footnote reference"/>
    <w:aliases w:val="FC,16 Point,Superscript 6 Point,Footnote Referencefr,ftref,Style 24,Ref. de nota al pie.,Знак сноски-FN,Ref,de nota al pie,titulo 2,pie pddes,Fußnotenzeichen DISS,BVI fnr,Знак сноски 1,referencia nota al pie,Footnote Referencefra,F1"/>
    <w:basedOn w:val="DefaultParagraphFont"/>
    <w:uiPriority w:val="99"/>
    <w:unhideWhenUsed/>
    <w:qFormat/>
    <w:rsid w:val="00902F77"/>
    <w:rPr>
      <w:vertAlign w:val="superscript"/>
    </w:rPr>
  </w:style>
  <w:style w:type="paragraph" w:styleId="Header">
    <w:name w:val="header"/>
    <w:basedOn w:val="Normal"/>
    <w:link w:val="HeaderChar"/>
    <w:unhideWhenUsed/>
    <w:rsid w:val="002C7B44"/>
    <w:pPr>
      <w:tabs>
        <w:tab w:val="center" w:pos="4320"/>
        <w:tab w:val="right" w:pos="8640"/>
      </w:tabs>
    </w:pPr>
  </w:style>
  <w:style w:type="character" w:customStyle="1" w:styleId="HeaderChar">
    <w:name w:val="Header Char"/>
    <w:basedOn w:val="DefaultParagraphFont"/>
    <w:link w:val="Header"/>
    <w:rsid w:val="002C7B44"/>
  </w:style>
  <w:style w:type="paragraph" w:styleId="Footer">
    <w:name w:val="footer"/>
    <w:basedOn w:val="Normal"/>
    <w:link w:val="FooterChar"/>
    <w:uiPriority w:val="99"/>
    <w:unhideWhenUsed/>
    <w:rsid w:val="002C7B44"/>
    <w:pPr>
      <w:tabs>
        <w:tab w:val="center" w:pos="4320"/>
        <w:tab w:val="right" w:pos="8640"/>
      </w:tabs>
    </w:pPr>
  </w:style>
  <w:style w:type="character" w:customStyle="1" w:styleId="FooterChar">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jc w:val="center"/>
      <w:outlineLvl w:val="0"/>
    </w:pPr>
    <w:rPr>
      <w:rFonts w:eastAsia="Times New Roman"/>
      <w:szCs w:val="20"/>
    </w:rPr>
  </w:style>
  <w:style w:type="character" w:customStyle="1" w:styleId="TitleChar">
    <w:name w:val="Title Char"/>
    <w:basedOn w:val="DefaultParagraphFont"/>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eastAsia="Times New Roman" w:cs="Arial"/>
      <w:b/>
      <w:smallCaps/>
      <w:szCs w:val="20"/>
    </w:rPr>
  </w:style>
  <w:style w:type="paragraph" w:styleId="BodyText">
    <w:name w:val="Body Text"/>
    <w:basedOn w:val="Normal"/>
    <w:link w:val="BodyTextChar"/>
    <w:rsid w:val="00B52681"/>
    <w:pPr>
      <w:tabs>
        <w:tab w:val="left" w:pos="3060"/>
      </w:tabs>
      <w:jc w:val="center"/>
    </w:pPr>
    <w:rPr>
      <w:rFonts w:eastAsia="Times New Roman"/>
      <w:szCs w:val="20"/>
    </w:rPr>
  </w:style>
  <w:style w:type="character" w:customStyle="1" w:styleId="BodyTextChar">
    <w:name w:val="Body Text Char"/>
    <w:basedOn w:val="DefaultParagraphFont"/>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B463BF"/>
    <w:rPr>
      <w:rFonts w:ascii="Arial" w:eastAsia="Times New Roman" w:hAnsi="Arial" w:cs="Arial"/>
      <w:vanish/>
      <w:sz w:val="16"/>
      <w:szCs w:val="16"/>
    </w:rPr>
  </w:style>
  <w:style w:type="character" w:styleId="CommentReference">
    <w:name w:val="annotation reference"/>
    <w:basedOn w:val="DefaultParagraphFont"/>
    <w:rsid w:val="009365EC"/>
    <w:rPr>
      <w:sz w:val="16"/>
      <w:szCs w:val="16"/>
    </w:rPr>
  </w:style>
  <w:style w:type="paragraph" w:styleId="CommentText">
    <w:name w:val="annotation text"/>
    <w:basedOn w:val="Normal"/>
    <w:link w:val="CommentTextChar"/>
    <w:rsid w:val="009365EC"/>
    <w:rPr>
      <w:sz w:val="20"/>
      <w:szCs w:val="20"/>
    </w:rPr>
  </w:style>
  <w:style w:type="character" w:customStyle="1" w:styleId="CommentTextChar">
    <w:name w:val="Comment Text Char"/>
    <w:basedOn w:val="DefaultParagraphFont"/>
    <w:link w:val="CommentText"/>
    <w:rsid w:val="009365EC"/>
  </w:style>
  <w:style w:type="paragraph" w:styleId="CommentSubject">
    <w:name w:val="annotation subject"/>
    <w:basedOn w:val="CommentText"/>
    <w:next w:val="CommentText"/>
    <w:link w:val="CommentSubjectChar"/>
    <w:rsid w:val="009365EC"/>
    <w:rPr>
      <w:b/>
      <w:bCs/>
    </w:rPr>
  </w:style>
  <w:style w:type="character" w:customStyle="1" w:styleId="CommentSubjectChar">
    <w:name w:val="Comment Subject Char"/>
    <w:basedOn w:val="CommentTextChar"/>
    <w:link w:val="CommentSubject"/>
    <w:rsid w:val="009365EC"/>
    <w:rPr>
      <w:b/>
      <w:bCs/>
    </w:rPr>
  </w:style>
  <w:style w:type="table" w:customStyle="1" w:styleId="NoteLevel31">
    <w:name w:val="Note Level 31"/>
    <w:basedOn w:val="TableNormal"/>
    <w:uiPriority w:val="60"/>
    <w:rsid w:val="004102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4102C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4102C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4102C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4102C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4102C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MediumShading2-Accent11">
    <w:name w:val="Medium Shading 2 - Accent 11"/>
    <w:basedOn w:val="TableNormal"/>
    <w:uiPriority w:val="64"/>
    <w:rsid w:val="004102C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Banknumbered">
    <w:name w:val="Bank numbered"/>
    <w:link w:val="BanknumberedChar"/>
    <w:qFormat/>
    <w:rsid w:val="00BF649F"/>
    <w:pPr>
      <w:numPr>
        <w:numId w:val="15"/>
      </w:numPr>
      <w:spacing w:before="120"/>
      <w:ind w:left="0" w:firstLine="0"/>
    </w:pPr>
    <w:rPr>
      <w:rFonts w:ascii="Times New Roman" w:eastAsiaTheme="minorHAnsi" w:hAnsi="Times New Roman" w:cstheme="minorBidi"/>
      <w:sz w:val="24"/>
      <w:szCs w:val="24"/>
    </w:rPr>
  </w:style>
  <w:style w:type="paragraph" w:customStyle="1" w:styleId="Bullet">
    <w:name w:val="Bullet"/>
    <w:basedOn w:val="ListParagraph"/>
    <w:link w:val="BulletChar"/>
    <w:qFormat/>
    <w:rsid w:val="00BF649F"/>
    <w:pPr>
      <w:numPr>
        <w:numId w:val="16"/>
      </w:numPr>
      <w:contextualSpacing w:val="0"/>
    </w:pPr>
    <w:rPr>
      <w:rFonts w:eastAsiaTheme="minorHAnsi" w:cstheme="minorBidi"/>
    </w:rPr>
  </w:style>
  <w:style w:type="character" w:customStyle="1" w:styleId="BanknumberedChar">
    <w:name w:val="Bank numbered Char"/>
    <w:basedOn w:val="DefaultParagraphFont"/>
    <w:link w:val="Banknumbered"/>
    <w:rsid w:val="00BF649F"/>
    <w:rPr>
      <w:rFonts w:ascii="Times New Roman" w:eastAsiaTheme="minorHAnsi" w:hAnsi="Times New Roman" w:cstheme="minorBidi"/>
      <w:sz w:val="24"/>
      <w:szCs w:val="24"/>
    </w:rPr>
  </w:style>
  <w:style w:type="character" w:customStyle="1" w:styleId="BulletChar">
    <w:name w:val="Bullet Char"/>
    <w:basedOn w:val="DefaultParagraphFont"/>
    <w:link w:val="Bullet"/>
    <w:rsid w:val="00BF649F"/>
    <w:rPr>
      <w:rFonts w:ascii="Times New Roman" w:eastAsiaTheme="minorHAnsi" w:hAnsi="Times New Roman" w:cstheme="minorBidi"/>
      <w:sz w:val="24"/>
      <w:szCs w:val="22"/>
    </w:rPr>
  </w:style>
  <w:style w:type="character" w:styleId="PageNumber">
    <w:name w:val="page number"/>
    <w:basedOn w:val="DefaultParagraphFont"/>
    <w:uiPriority w:val="99"/>
    <w:semiHidden/>
    <w:unhideWhenUsed/>
    <w:rsid w:val="002E6C1F"/>
  </w:style>
  <w:style w:type="character" w:customStyle="1" w:styleId="Heading1Char">
    <w:name w:val="Heading 1 Char"/>
    <w:basedOn w:val="DefaultParagraphFont"/>
    <w:link w:val="Heading1"/>
    <w:uiPriority w:val="9"/>
    <w:rsid w:val="006B347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6B347B"/>
    <w:pPr>
      <w:spacing w:line="276" w:lineRule="auto"/>
      <w:outlineLvl w:val="9"/>
    </w:pPr>
    <w:rPr>
      <w:lang w:eastAsia="ja-JP"/>
    </w:rPr>
  </w:style>
  <w:style w:type="paragraph" w:styleId="TOC1">
    <w:name w:val="toc 1"/>
    <w:basedOn w:val="Normal"/>
    <w:next w:val="Normal"/>
    <w:autoRedefine/>
    <w:uiPriority w:val="39"/>
    <w:unhideWhenUsed/>
    <w:qFormat/>
    <w:rsid w:val="00B436D8"/>
    <w:pPr>
      <w:tabs>
        <w:tab w:val="right" w:leader="dot" w:pos="8741"/>
      </w:tabs>
      <w:spacing w:before="240" w:after="240"/>
      <w:ind w:left="547" w:hanging="547"/>
    </w:pPr>
    <w:rPr>
      <w:rFonts w:ascii="Arial" w:hAnsi="Arial"/>
      <w:smallCaps/>
      <w:sz w:val="22"/>
    </w:rPr>
  </w:style>
  <w:style w:type="character" w:styleId="Hyperlink">
    <w:name w:val="Hyperlink"/>
    <w:basedOn w:val="DefaultParagraphFont"/>
    <w:uiPriority w:val="99"/>
    <w:unhideWhenUsed/>
    <w:rsid w:val="006B347B"/>
    <w:rPr>
      <w:color w:val="0000FF" w:themeColor="hyperlink"/>
      <w:u w:val="single"/>
    </w:rPr>
  </w:style>
  <w:style w:type="paragraph" w:customStyle="1" w:styleId="Chapter">
    <w:name w:val="Chapter"/>
    <w:basedOn w:val="Normal"/>
    <w:next w:val="Normal"/>
    <w:link w:val="ChapterChar"/>
    <w:rsid w:val="006B347B"/>
    <w:pPr>
      <w:keepNext/>
      <w:numPr>
        <w:numId w:val="19"/>
      </w:numPr>
      <w:tabs>
        <w:tab w:val="num" w:pos="648"/>
        <w:tab w:val="left" w:pos="1440"/>
      </w:tabs>
      <w:spacing w:before="240" w:after="240"/>
      <w:ind w:left="0" w:firstLine="288"/>
      <w:jc w:val="center"/>
    </w:pPr>
    <w:rPr>
      <w:b/>
      <w:smallCaps/>
      <w:lang w:val="es-ES"/>
    </w:rPr>
  </w:style>
  <w:style w:type="character" w:customStyle="1" w:styleId="ChapterChar">
    <w:name w:val="Chapter Char"/>
    <w:basedOn w:val="DefaultParagraphFont"/>
    <w:link w:val="Chapter"/>
    <w:rsid w:val="006B347B"/>
    <w:rPr>
      <w:rFonts w:ascii="Times New Roman" w:hAnsi="Times New Roman"/>
      <w:b/>
      <w:smallCaps/>
      <w:sz w:val="24"/>
      <w:szCs w:val="22"/>
      <w:lang w:val="es-ES"/>
    </w:rPr>
  </w:style>
  <w:style w:type="paragraph" w:customStyle="1" w:styleId="FirstHeading">
    <w:name w:val="FirstHeading"/>
    <w:basedOn w:val="Normal"/>
    <w:next w:val="Normal"/>
    <w:link w:val="FirstHeadingChar"/>
    <w:rsid w:val="006B347B"/>
    <w:pPr>
      <w:keepNext/>
      <w:tabs>
        <w:tab w:val="left" w:pos="0"/>
        <w:tab w:val="left" w:pos="86"/>
      </w:tabs>
      <w:spacing w:after="120"/>
      <w:ind w:left="720" w:hanging="720"/>
    </w:pPr>
    <w:rPr>
      <w:b/>
      <w:lang w:val="es-ES"/>
    </w:rPr>
  </w:style>
  <w:style w:type="character" w:customStyle="1" w:styleId="FirstHeadingChar">
    <w:name w:val="FirstHeading Char"/>
    <w:basedOn w:val="DefaultParagraphFont"/>
    <w:link w:val="FirstHeading"/>
    <w:rsid w:val="006B347B"/>
    <w:rPr>
      <w:rFonts w:ascii="Times New Roman" w:hAnsi="Times New Roman"/>
      <w:b/>
      <w:sz w:val="24"/>
      <w:szCs w:val="22"/>
      <w:lang w:val="es-ES"/>
    </w:rPr>
  </w:style>
  <w:style w:type="paragraph" w:customStyle="1" w:styleId="SecHeading">
    <w:name w:val="SecHeading"/>
    <w:basedOn w:val="Normal"/>
    <w:next w:val="Paragraph"/>
    <w:link w:val="SecHeadingChar"/>
    <w:rsid w:val="006B347B"/>
    <w:pPr>
      <w:keepNext/>
      <w:tabs>
        <w:tab w:val="num" w:pos="1296"/>
      </w:tabs>
      <w:spacing w:after="120"/>
      <w:ind w:left="1296" w:hanging="576"/>
    </w:pPr>
    <w:rPr>
      <w:b/>
      <w:lang w:val="es-ES"/>
    </w:rPr>
  </w:style>
  <w:style w:type="character" w:customStyle="1" w:styleId="SecHeadingChar">
    <w:name w:val="SecHeading Char"/>
    <w:basedOn w:val="DefaultParagraphFont"/>
    <w:link w:val="SecHeading"/>
    <w:rsid w:val="006B347B"/>
    <w:rPr>
      <w:rFonts w:ascii="Times New Roman" w:hAnsi="Times New Roman"/>
      <w:b/>
      <w:sz w:val="24"/>
      <w:szCs w:val="22"/>
      <w:lang w:val="es-ES"/>
    </w:rPr>
  </w:style>
  <w:style w:type="paragraph" w:customStyle="1" w:styleId="SubHeading1">
    <w:name w:val="SubHeading1"/>
    <w:basedOn w:val="SecHeading"/>
    <w:link w:val="SubHeading1Char"/>
    <w:rsid w:val="006B347B"/>
    <w:pPr>
      <w:tabs>
        <w:tab w:val="clear" w:pos="1296"/>
        <w:tab w:val="num" w:pos="1872"/>
      </w:tabs>
      <w:ind w:left="1872"/>
    </w:pPr>
  </w:style>
  <w:style w:type="character" w:customStyle="1" w:styleId="SubHeading1Char">
    <w:name w:val="SubHeading1 Char"/>
    <w:basedOn w:val="DefaultParagraphFont"/>
    <w:link w:val="SubHeading1"/>
    <w:rsid w:val="006B347B"/>
    <w:rPr>
      <w:rFonts w:ascii="Times New Roman" w:hAnsi="Times New Roman"/>
      <w:b/>
      <w:sz w:val="24"/>
      <w:szCs w:val="22"/>
      <w:lang w:val="es-ES"/>
    </w:rPr>
  </w:style>
  <w:style w:type="paragraph" w:customStyle="1" w:styleId="Subheading2">
    <w:name w:val="Subheading2"/>
    <w:basedOn w:val="SecHeading"/>
    <w:link w:val="Subheading2Char"/>
    <w:rsid w:val="006B347B"/>
    <w:pPr>
      <w:tabs>
        <w:tab w:val="clear" w:pos="1296"/>
        <w:tab w:val="num" w:pos="2376"/>
      </w:tabs>
      <w:ind w:left="2376" w:hanging="288"/>
    </w:pPr>
  </w:style>
  <w:style w:type="character" w:customStyle="1" w:styleId="Subheading2Char">
    <w:name w:val="Subheading2 Char"/>
    <w:basedOn w:val="DefaultParagraphFont"/>
    <w:link w:val="Subheading2"/>
    <w:rsid w:val="006B347B"/>
    <w:rPr>
      <w:rFonts w:ascii="Times New Roman" w:hAnsi="Times New Roman"/>
      <w:b/>
      <w:sz w:val="24"/>
      <w:szCs w:val="22"/>
      <w:lang w:val="es-ES"/>
    </w:rPr>
  </w:style>
  <w:style w:type="paragraph" w:customStyle="1" w:styleId="Paragraph">
    <w:name w:val="Paragraph"/>
    <w:aliases w:val="paragraph,p,PARAGRAPH,PG,pa,at"/>
    <w:basedOn w:val="BodyTextIndent"/>
    <w:link w:val="ParagraphChar"/>
    <w:qFormat/>
    <w:rsid w:val="006B347B"/>
    <w:pPr>
      <w:tabs>
        <w:tab w:val="num" w:pos="720"/>
      </w:tabs>
      <w:ind w:left="720" w:hanging="720"/>
      <w:jc w:val="both"/>
      <w:outlineLvl w:val="1"/>
    </w:pPr>
    <w:rPr>
      <w:lang w:val="es-ES"/>
    </w:rPr>
  </w:style>
  <w:style w:type="character" w:customStyle="1" w:styleId="ParagraphChar">
    <w:name w:val="Paragraph Char"/>
    <w:basedOn w:val="DefaultParagraphFont"/>
    <w:link w:val="Paragraph"/>
    <w:rsid w:val="006B347B"/>
    <w:rPr>
      <w:rFonts w:ascii="Times New Roman" w:hAnsi="Times New Roman"/>
      <w:sz w:val="24"/>
      <w:szCs w:val="22"/>
      <w:lang w:val="es-ES"/>
    </w:rPr>
  </w:style>
  <w:style w:type="paragraph" w:customStyle="1" w:styleId="subpar">
    <w:name w:val="subpar"/>
    <w:basedOn w:val="BodyTextIndent3"/>
    <w:link w:val="subparChar"/>
    <w:rsid w:val="006B347B"/>
    <w:pPr>
      <w:tabs>
        <w:tab w:val="num" w:pos="1152"/>
      </w:tabs>
      <w:ind w:left="1152" w:hanging="432"/>
      <w:jc w:val="both"/>
      <w:outlineLvl w:val="2"/>
    </w:pPr>
    <w:rPr>
      <w:lang w:val="es-ES"/>
    </w:rPr>
  </w:style>
  <w:style w:type="character" w:customStyle="1" w:styleId="subparChar">
    <w:name w:val="subpar Char"/>
    <w:basedOn w:val="DefaultParagraphFont"/>
    <w:link w:val="subpar"/>
    <w:rsid w:val="006B347B"/>
    <w:rPr>
      <w:rFonts w:ascii="Times New Roman" w:hAnsi="Times New Roman"/>
      <w:sz w:val="24"/>
      <w:szCs w:val="16"/>
      <w:lang w:val="es-ES"/>
    </w:rPr>
  </w:style>
  <w:style w:type="paragraph" w:customStyle="1" w:styleId="SubSubPar">
    <w:name w:val="SubSubPar"/>
    <w:basedOn w:val="subpar"/>
    <w:link w:val="SubSubParChar"/>
    <w:uiPriority w:val="99"/>
    <w:rsid w:val="006B347B"/>
    <w:pPr>
      <w:tabs>
        <w:tab w:val="left" w:pos="0"/>
        <w:tab w:val="num" w:pos="1296"/>
      </w:tabs>
      <w:ind w:left="1296" w:hanging="288"/>
    </w:pPr>
  </w:style>
  <w:style w:type="character" w:customStyle="1" w:styleId="SubSubParChar">
    <w:name w:val="SubSubPar Char"/>
    <w:basedOn w:val="DefaultParagraphFont"/>
    <w:link w:val="SubSubPar"/>
    <w:rsid w:val="006B347B"/>
    <w:rPr>
      <w:rFonts w:ascii="Times New Roman" w:hAnsi="Times New Roman"/>
      <w:sz w:val="24"/>
      <w:szCs w:val="16"/>
      <w:lang w:val="es-ES"/>
    </w:rPr>
  </w:style>
  <w:style w:type="paragraph" w:customStyle="1" w:styleId="Regtable">
    <w:name w:val="Regtable"/>
    <w:basedOn w:val="Normal"/>
    <w:link w:val="RegtableChar"/>
    <w:rsid w:val="006B347B"/>
    <w:pPr>
      <w:keepLines/>
      <w:framePr w:wrap="around" w:vAnchor="text" w:hAnchor="text" w:y="1"/>
      <w:spacing w:before="20" w:after="20"/>
    </w:pPr>
    <w:rPr>
      <w:sz w:val="20"/>
      <w:lang w:val="es-ES"/>
    </w:rPr>
  </w:style>
  <w:style w:type="character" w:customStyle="1" w:styleId="RegtableChar">
    <w:name w:val="Regtable Char"/>
    <w:basedOn w:val="DefaultParagraphFont"/>
    <w:link w:val="Regtable"/>
    <w:rsid w:val="006B347B"/>
    <w:rPr>
      <w:rFonts w:ascii="Times New Roman" w:hAnsi="Times New Roman"/>
      <w:szCs w:val="22"/>
      <w:lang w:val="es-ES"/>
    </w:rPr>
  </w:style>
  <w:style w:type="paragraph" w:customStyle="1" w:styleId="TableTitle">
    <w:name w:val="TableTitle"/>
    <w:basedOn w:val="Normal"/>
    <w:link w:val="TableTitleChar"/>
    <w:rsid w:val="006B347B"/>
    <w:pPr>
      <w:keepNext/>
      <w:framePr w:wrap="around" w:vAnchor="text" w:hAnchor="text" w:y="1"/>
      <w:spacing w:before="20" w:after="20"/>
      <w:jc w:val="center"/>
    </w:pPr>
    <w:rPr>
      <w:rFonts w:ascii="Times New Roman Bold" w:hAnsi="Times New Roman Bold"/>
      <w:b/>
      <w:spacing w:val="-3"/>
      <w:sz w:val="20"/>
      <w:lang w:val="es-ES"/>
    </w:rPr>
  </w:style>
  <w:style w:type="character" w:customStyle="1" w:styleId="TableTitleChar">
    <w:name w:val="TableTitle Char"/>
    <w:basedOn w:val="DefaultParagraphFont"/>
    <w:link w:val="TableTitle"/>
    <w:rsid w:val="006B347B"/>
    <w:rPr>
      <w:rFonts w:ascii="Times New Roman Bold" w:hAnsi="Times New Roman Bold"/>
      <w:b/>
      <w:spacing w:val="-3"/>
      <w:szCs w:val="22"/>
      <w:lang w:val="es-ES"/>
    </w:rPr>
  </w:style>
  <w:style w:type="character" w:customStyle="1" w:styleId="Heading2Char">
    <w:name w:val="Heading 2 Char"/>
    <w:basedOn w:val="DefaultParagraphFont"/>
    <w:link w:val="Heading2"/>
    <w:uiPriority w:val="9"/>
    <w:rsid w:val="006B347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B347B"/>
    <w:rPr>
      <w:rFonts w:asciiTheme="majorHAnsi" w:eastAsiaTheme="majorEastAsia" w:hAnsiTheme="majorHAnsi" w:cstheme="majorBidi"/>
      <w:b/>
      <w:bCs/>
      <w:color w:val="4F81BD" w:themeColor="accent1"/>
      <w:sz w:val="24"/>
      <w:szCs w:val="22"/>
    </w:rPr>
  </w:style>
  <w:style w:type="character" w:customStyle="1" w:styleId="Heading4Char">
    <w:name w:val="Heading 4 Char"/>
    <w:basedOn w:val="DefaultParagraphFont"/>
    <w:link w:val="Heading4"/>
    <w:uiPriority w:val="9"/>
    <w:semiHidden/>
    <w:rsid w:val="006B347B"/>
    <w:rPr>
      <w:rFonts w:asciiTheme="majorHAnsi" w:eastAsiaTheme="majorEastAsia" w:hAnsiTheme="majorHAnsi" w:cstheme="majorBidi"/>
      <w:b/>
      <w:bCs/>
      <w:i/>
      <w:iCs/>
      <w:color w:val="4F81BD" w:themeColor="accent1"/>
      <w:sz w:val="24"/>
      <w:szCs w:val="22"/>
    </w:rPr>
  </w:style>
  <w:style w:type="character" w:customStyle="1" w:styleId="Heading5Char">
    <w:name w:val="Heading 5 Char"/>
    <w:basedOn w:val="DefaultParagraphFont"/>
    <w:link w:val="Heading5"/>
    <w:uiPriority w:val="9"/>
    <w:semiHidden/>
    <w:rsid w:val="006B347B"/>
    <w:rPr>
      <w:rFonts w:asciiTheme="majorHAnsi" w:eastAsiaTheme="majorEastAsia" w:hAnsiTheme="majorHAnsi" w:cstheme="majorBidi"/>
      <w:color w:val="243F60" w:themeColor="accent1" w:themeShade="7F"/>
      <w:sz w:val="24"/>
      <w:szCs w:val="22"/>
    </w:rPr>
  </w:style>
  <w:style w:type="character" w:customStyle="1" w:styleId="Heading6Char">
    <w:name w:val="Heading 6 Char"/>
    <w:basedOn w:val="DefaultParagraphFont"/>
    <w:link w:val="Heading6"/>
    <w:uiPriority w:val="9"/>
    <w:semiHidden/>
    <w:rsid w:val="006B347B"/>
    <w:rPr>
      <w:rFonts w:asciiTheme="majorHAnsi" w:eastAsiaTheme="majorEastAsia" w:hAnsiTheme="majorHAnsi" w:cstheme="majorBidi"/>
      <w:i/>
      <w:iCs/>
      <w:color w:val="243F60" w:themeColor="accent1" w:themeShade="7F"/>
      <w:sz w:val="24"/>
      <w:szCs w:val="22"/>
    </w:rPr>
  </w:style>
  <w:style w:type="character" w:customStyle="1" w:styleId="Heading7Char">
    <w:name w:val="Heading 7 Char"/>
    <w:basedOn w:val="DefaultParagraphFont"/>
    <w:link w:val="Heading7"/>
    <w:uiPriority w:val="9"/>
    <w:semiHidden/>
    <w:rsid w:val="006B347B"/>
    <w:rPr>
      <w:rFonts w:asciiTheme="majorHAnsi" w:eastAsiaTheme="majorEastAsia" w:hAnsiTheme="majorHAnsi" w:cstheme="majorBidi"/>
      <w:i/>
      <w:iCs/>
      <w:color w:val="404040" w:themeColor="text1" w:themeTint="BF"/>
      <w:sz w:val="24"/>
      <w:szCs w:val="22"/>
    </w:rPr>
  </w:style>
  <w:style w:type="character" w:customStyle="1" w:styleId="Heading8Char">
    <w:name w:val="Heading 8 Char"/>
    <w:basedOn w:val="DefaultParagraphFont"/>
    <w:link w:val="Heading8"/>
    <w:uiPriority w:val="9"/>
    <w:semiHidden/>
    <w:rsid w:val="006B347B"/>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6B347B"/>
    <w:rPr>
      <w:rFonts w:asciiTheme="majorHAnsi" w:eastAsiaTheme="majorEastAsia" w:hAnsiTheme="majorHAnsi" w:cstheme="majorBidi"/>
      <w:i/>
      <w:iCs/>
      <w:color w:val="404040" w:themeColor="text1" w:themeTint="BF"/>
    </w:rPr>
  </w:style>
  <w:style w:type="paragraph" w:styleId="BodyTextIndent">
    <w:name w:val="Body Text Indent"/>
    <w:basedOn w:val="Normal"/>
    <w:link w:val="BodyTextIndentChar"/>
    <w:uiPriority w:val="99"/>
    <w:semiHidden/>
    <w:unhideWhenUsed/>
    <w:rsid w:val="006B347B"/>
    <w:pPr>
      <w:spacing w:before="0" w:after="120"/>
      <w:ind w:left="360"/>
    </w:pPr>
  </w:style>
  <w:style w:type="character" w:customStyle="1" w:styleId="BodyTextIndentChar">
    <w:name w:val="Body Text Indent Char"/>
    <w:basedOn w:val="DefaultParagraphFont"/>
    <w:link w:val="BodyTextIndent"/>
    <w:uiPriority w:val="99"/>
    <w:semiHidden/>
    <w:rsid w:val="006B347B"/>
    <w:rPr>
      <w:rFonts w:ascii="Times New Roman" w:hAnsi="Times New Roman"/>
      <w:sz w:val="24"/>
      <w:szCs w:val="22"/>
    </w:rPr>
  </w:style>
  <w:style w:type="paragraph" w:styleId="BodyTextIndent3">
    <w:name w:val="Body Text Indent 3"/>
    <w:basedOn w:val="Normal"/>
    <w:link w:val="BodyTextIndent3Char"/>
    <w:uiPriority w:val="99"/>
    <w:semiHidden/>
    <w:unhideWhenUsed/>
    <w:rsid w:val="006B347B"/>
    <w:pPr>
      <w:spacing w:before="0" w:after="120"/>
      <w:ind w:left="360"/>
    </w:pPr>
    <w:rPr>
      <w:szCs w:val="16"/>
    </w:rPr>
  </w:style>
  <w:style w:type="character" w:customStyle="1" w:styleId="BodyTextIndent3Char">
    <w:name w:val="Body Text Indent 3 Char"/>
    <w:basedOn w:val="DefaultParagraphFont"/>
    <w:link w:val="BodyTextIndent3"/>
    <w:uiPriority w:val="99"/>
    <w:semiHidden/>
    <w:rsid w:val="006B347B"/>
    <w:rPr>
      <w:rFonts w:ascii="Times New Roman" w:hAnsi="Times New Roman"/>
      <w:sz w:val="24"/>
      <w:szCs w:val="16"/>
    </w:rPr>
  </w:style>
  <w:style w:type="paragraph" w:styleId="TOC2">
    <w:name w:val="toc 2"/>
    <w:basedOn w:val="Normal"/>
    <w:next w:val="Normal"/>
    <w:autoRedefine/>
    <w:uiPriority w:val="39"/>
    <w:unhideWhenUsed/>
    <w:qFormat/>
    <w:rsid w:val="00B436D8"/>
    <w:pPr>
      <w:tabs>
        <w:tab w:val="left" w:pos="1152"/>
        <w:tab w:val="right" w:leader="dot" w:pos="8741"/>
      </w:tabs>
      <w:spacing w:before="0"/>
      <w:ind w:left="1166" w:hanging="605"/>
      <w:jc w:val="center"/>
    </w:pPr>
    <w:rPr>
      <w:rFonts w:ascii="Arial" w:hAnsi="Arial"/>
      <w:sz w:val="22"/>
      <w:lang w:val="es-ES"/>
    </w:rPr>
  </w:style>
  <w:style w:type="paragraph" w:styleId="TOC3">
    <w:name w:val="toc 3"/>
    <w:basedOn w:val="Normal"/>
    <w:next w:val="Normal"/>
    <w:autoRedefine/>
    <w:uiPriority w:val="39"/>
    <w:semiHidden/>
    <w:unhideWhenUsed/>
    <w:qFormat/>
    <w:rsid w:val="00B436D8"/>
    <w:pPr>
      <w:spacing w:before="0"/>
      <w:ind w:left="1714" w:hanging="562"/>
    </w:pPr>
    <w:rPr>
      <w:rFonts w:ascii="Arial" w:hAnsi="Arial"/>
      <w:sz w:val="22"/>
    </w:rPr>
  </w:style>
  <w:style w:type="character" w:styleId="PlaceholderText">
    <w:name w:val="Placeholder Text"/>
    <w:basedOn w:val="DefaultParagraphFont"/>
    <w:uiPriority w:val="99"/>
    <w:semiHidden/>
    <w:rsid w:val="006508EE"/>
    <w:rPr>
      <w:color w:val="808080"/>
    </w:rPr>
  </w:style>
  <w:style w:type="paragraph" w:customStyle="1" w:styleId="Default">
    <w:name w:val="Default"/>
    <w:rsid w:val="00B436D8"/>
    <w:pPr>
      <w:autoSpaceDE w:val="0"/>
      <w:autoSpaceDN w:val="0"/>
      <w:adjustRightInd w:val="0"/>
    </w:pPr>
    <w:rPr>
      <w:rFonts w:ascii="Times New Roman" w:eastAsia="Times New Roman" w:hAnsi="Times New Roman"/>
      <w:color w:val="000000"/>
      <w:sz w:val="24"/>
      <w:szCs w:val="24"/>
    </w:rPr>
  </w:style>
  <w:style w:type="character" w:customStyle="1" w:styleId="ListParagraphChar">
    <w:name w:val="List Paragraph Char"/>
    <w:basedOn w:val="DefaultParagraphFont"/>
    <w:link w:val="ListParagraph"/>
    <w:uiPriority w:val="34"/>
    <w:rsid w:val="00B436D8"/>
    <w:rPr>
      <w:rFonts w:ascii="Times New Roman" w:hAnsi="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732071">
      <w:bodyDiv w:val="1"/>
      <w:marLeft w:val="0"/>
      <w:marRight w:val="0"/>
      <w:marTop w:val="0"/>
      <w:marBottom w:val="0"/>
      <w:divBdr>
        <w:top w:val="none" w:sz="0" w:space="0" w:color="auto"/>
        <w:left w:val="none" w:sz="0" w:space="0" w:color="auto"/>
        <w:bottom w:val="none" w:sz="0" w:space="0" w:color="auto"/>
        <w:right w:val="none" w:sz="0" w:space="0" w:color="auto"/>
      </w:divBdr>
    </w:div>
    <w:div w:id="141520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D09FD-4969-4F12-A38B-8CCC0EC8B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1512</TotalTime>
  <Pages>16</Pages>
  <Words>3819</Words>
  <Characters>21771</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25539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OF THE INTER-AMERICAN DEVELOPMENT BANK</dc:title>
  <dc:creator>shakirahc</dc:creator>
  <cp:lastModifiedBy>Vanegas Rico, Wilkferg</cp:lastModifiedBy>
  <cp:revision>33</cp:revision>
  <cp:lastPrinted>2012-07-26T22:05:00Z</cp:lastPrinted>
  <dcterms:created xsi:type="dcterms:W3CDTF">2017-10-18T14:06:00Z</dcterms:created>
  <dcterms:modified xsi:type="dcterms:W3CDTF">2017-11-03T19:10:00Z</dcterms:modified>
</cp:coreProperties>
</file>