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60D5F" w14:textId="7313BDD6" w:rsidR="006D5837" w:rsidRPr="0061726B" w:rsidRDefault="00C5681D" w:rsidP="006D5837">
      <w:pPr>
        <w:ind w:firstLine="720"/>
        <w:jc w:val="center"/>
        <w:rPr>
          <w:rFonts w:ascii="Arial" w:hAnsi="Arial" w:cs="Arial"/>
          <w:b/>
          <w:bCs/>
          <w:smallCaps/>
          <w:sz w:val="21"/>
          <w:szCs w:val="21"/>
          <w:lang w:val="es-ES"/>
        </w:rPr>
      </w:pPr>
      <w:r w:rsidRPr="0061726B">
        <w:rPr>
          <w:rFonts w:ascii="Arial" w:hAnsi="Arial" w:cs="Arial"/>
          <w:b/>
          <w:bCs/>
          <w:smallCaps/>
          <w:sz w:val="21"/>
          <w:szCs w:val="21"/>
          <w:lang w:val="es-ES"/>
        </w:rPr>
        <w:t xml:space="preserve">Matriz de </w:t>
      </w:r>
      <w:r w:rsidR="0099340F" w:rsidRPr="0061726B">
        <w:rPr>
          <w:rFonts w:ascii="Arial" w:hAnsi="Arial" w:cs="Arial"/>
          <w:b/>
          <w:bCs/>
          <w:smallCaps/>
          <w:sz w:val="21"/>
          <w:szCs w:val="21"/>
          <w:lang w:val="es-ES"/>
        </w:rPr>
        <w:t xml:space="preserve">Medios </w:t>
      </w:r>
      <w:r w:rsidR="002A23EC">
        <w:rPr>
          <w:rFonts w:ascii="Arial" w:hAnsi="Arial" w:cs="Arial"/>
          <w:b/>
          <w:bCs/>
          <w:smallCaps/>
          <w:sz w:val="21"/>
          <w:szCs w:val="21"/>
          <w:lang w:val="es-ES"/>
        </w:rPr>
        <w:t>Comparativa</w:t>
      </w:r>
    </w:p>
    <w:tbl>
      <w:tblPr>
        <w:tblW w:w="5000" w:type="pct"/>
        <w:tblInd w:w="-368" w:type="dxa"/>
        <w:tblCellMar>
          <w:left w:w="30" w:type="dxa"/>
          <w:right w:w="30" w:type="dxa"/>
        </w:tblCellMar>
        <w:tblLook w:val="04A0" w:firstRow="1" w:lastRow="0" w:firstColumn="1" w:lastColumn="0" w:noHBand="0" w:noVBand="1"/>
      </w:tblPr>
      <w:tblGrid>
        <w:gridCol w:w="2231"/>
        <w:gridCol w:w="3584"/>
        <w:gridCol w:w="3574"/>
        <w:gridCol w:w="3827"/>
      </w:tblGrid>
      <w:tr w:rsidR="000D5CDA" w:rsidRPr="0061726B" w14:paraId="22D8BE38" w14:textId="77777777" w:rsidTr="00ED3AFB">
        <w:trPr>
          <w:trHeight w:val="511"/>
          <w:tblHeader/>
        </w:trPr>
        <w:tc>
          <w:tcPr>
            <w:tcW w:w="844" w:type="pct"/>
            <w:tcBorders>
              <w:top w:val="single" w:sz="6" w:space="0" w:color="auto"/>
              <w:left w:val="single" w:sz="6" w:space="0" w:color="auto"/>
              <w:bottom w:val="single" w:sz="6" w:space="0" w:color="auto"/>
              <w:right w:val="single" w:sz="6" w:space="0" w:color="auto"/>
            </w:tcBorders>
            <w:shd w:val="clear" w:color="auto" w:fill="7F7F7F"/>
          </w:tcPr>
          <w:p w14:paraId="3D3F4A4F" w14:textId="77777777" w:rsidR="000D5CDA" w:rsidRPr="0061726B" w:rsidRDefault="000D5CDA" w:rsidP="00D04947">
            <w:pPr>
              <w:autoSpaceDE w:val="0"/>
              <w:autoSpaceDN w:val="0"/>
              <w:adjustRightInd w:val="0"/>
              <w:jc w:val="center"/>
              <w:rPr>
                <w:b/>
                <w:bCs/>
                <w:color w:val="FFFFFF"/>
                <w:sz w:val="20"/>
                <w:szCs w:val="20"/>
                <w:lang w:val="es-ES_tradnl"/>
              </w:rPr>
            </w:pPr>
          </w:p>
        </w:tc>
        <w:tc>
          <w:tcPr>
            <w:tcW w:w="1356" w:type="pct"/>
            <w:tcBorders>
              <w:top w:val="single" w:sz="6" w:space="0" w:color="auto"/>
              <w:left w:val="single" w:sz="6" w:space="0" w:color="auto"/>
              <w:bottom w:val="single" w:sz="6" w:space="0" w:color="auto"/>
              <w:right w:val="single" w:sz="6" w:space="0" w:color="auto"/>
            </w:tcBorders>
            <w:shd w:val="clear" w:color="auto" w:fill="7F7F7F"/>
            <w:hideMark/>
          </w:tcPr>
          <w:p w14:paraId="40129BAE" w14:textId="77777777" w:rsidR="000D5CDA" w:rsidRPr="0061726B" w:rsidRDefault="000D5CDA" w:rsidP="00D04947">
            <w:pPr>
              <w:autoSpaceDE w:val="0"/>
              <w:autoSpaceDN w:val="0"/>
              <w:adjustRightInd w:val="0"/>
              <w:jc w:val="center"/>
              <w:rPr>
                <w:b/>
                <w:bCs/>
                <w:color w:val="FFFFFF"/>
                <w:sz w:val="20"/>
                <w:szCs w:val="20"/>
                <w:lang w:val="es-ES_tradnl"/>
              </w:rPr>
            </w:pPr>
            <w:r w:rsidRPr="0061726B">
              <w:rPr>
                <w:b/>
                <w:bCs/>
                <w:color w:val="FFFFFF"/>
                <w:sz w:val="20"/>
                <w:szCs w:val="20"/>
                <w:lang w:val="es-ES_tradnl"/>
              </w:rPr>
              <w:t>Mecanismos activadores</w:t>
            </w:r>
          </w:p>
          <w:p w14:paraId="24EB3A07" w14:textId="77777777" w:rsidR="000D5CDA" w:rsidRPr="0061726B" w:rsidRDefault="000D5CDA" w:rsidP="00D04947">
            <w:pPr>
              <w:autoSpaceDE w:val="0"/>
              <w:autoSpaceDN w:val="0"/>
              <w:adjustRightInd w:val="0"/>
              <w:jc w:val="center"/>
              <w:rPr>
                <w:b/>
                <w:bCs/>
                <w:color w:val="FFFFFF"/>
                <w:sz w:val="20"/>
                <w:szCs w:val="20"/>
                <w:lang w:val="es-ES_tradnl"/>
              </w:rPr>
            </w:pPr>
            <w:r w:rsidRPr="0061726B">
              <w:rPr>
                <w:b/>
                <w:bCs/>
                <w:color w:val="FFFFFF"/>
                <w:sz w:val="20"/>
                <w:szCs w:val="20"/>
                <w:lang w:val="es-ES_tradnl"/>
              </w:rPr>
              <w:t>Programático III  (contemplados en la segunda operación de préstamo aprobada en 2015)</w:t>
            </w:r>
          </w:p>
        </w:tc>
        <w:tc>
          <w:tcPr>
            <w:tcW w:w="1352" w:type="pct"/>
            <w:tcBorders>
              <w:top w:val="single" w:sz="6" w:space="0" w:color="auto"/>
              <w:left w:val="single" w:sz="6" w:space="0" w:color="auto"/>
              <w:bottom w:val="single" w:sz="6" w:space="0" w:color="auto"/>
              <w:right w:val="single" w:sz="6" w:space="0" w:color="auto"/>
            </w:tcBorders>
            <w:shd w:val="clear" w:color="auto" w:fill="7F7F7F"/>
          </w:tcPr>
          <w:p w14:paraId="6F1DF3E2" w14:textId="3081221C" w:rsidR="000D5CDA" w:rsidRPr="0061726B" w:rsidRDefault="000D5CDA" w:rsidP="00D04947">
            <w:pPr>
              <w:autoSpaceDE w:val="0"/>
              <w:autoSpaceDN w:val="0"/>
              <w:adjustRightInd w:val="0"/>
              <w:jc w:val="center"/>
              <w:rPr>
                <w:b/>
                <w:bCs/>
                <w:color w:val="FFFFFF"/>
                <w:sz w:val="20"/>
                <w:szCs w:val="20"/>
                <w:lang w:val="es-ES_tradnl"/>
              </w:rPr>
            </w:pPr>
            <w:r w:rsidRPr="0061726B">
              <w:rPr>
                <w:b/>
                <w:bCs/>
                <w:color w:val="FFFFFF"/>
                <w:sz w:val="20"/>
                <w:szCs w:val="20"/>
                <w:lang w:val="es-ES_tradnl"/>
              </w:rPr>
              <w:t>Condiciones</w:t>
            </w:r>
          </w:p>
          <w:p w14:paraId="6B222108" w14:textId="77777777" w:rsidR="000D5CDA" w:rsidRPr="0061726B" w:rsidRDefault="000D5CDA" w:rsidP="00D04947">
            <w:pPr>
              <w:autoSpaceDE w:val="0"/>
              <w:autoSpaceDN w:val="0"/>
              <w:adjustRightInd w:val="0"/>
              <w:jc w:val="center"/>
              <w:rPr>
                <w:b/>
                <w:bCs/>
                <w:color w:val="FFFFFF"/>
                <w:sz w:val="20"/>
                <w:szCs w:val="20"/>
                <w:lang w:val="es-ES_tradnl"/>
              </w:rPr>
            </w:pPr>
            <w:r w:rsidRPr="0061726B">
              <w:rPr>
                <w:b/>
                <w:bCs/>
                <w:color w:val="FFFFFF"/>
                <w:sz w:val="20"/>
                <w:szCs w:val="20"/>
                <w:lang w:val="es-ES_tradnl"/>
              </w:rPr>
              <w:t xml:space="preserve">Programático III  </w:t>
            </w:r>
          </w:p>
        </w:tc>
        <w:tc>
          <w:tcPr>
            <w:tcW w:w="1448" w:type="pct"/>
            <w:tcBorders>
              <w:top w:val="single" w:sz="6" w:space="0" w:color="auto"/>
              <w:left w:val="single" w:sz="6" w:space="0" w:color="auto"/>
              <w:bottom w:val="single" w:sz="6" w:space="0" w:color="auto"/>
              <w:right w:val="single" w:sz="6" w:space="0" w:color="auto"/>
            </w:tcBorders>
            <w:shd w:val="clear" w:color="auto" w:fill="7F7F7F"/>
          </w:tcPr>
          <w:p w14:paraId="76B89929" w14:textId="0C0CBB5E" w:rsidR="000D5CDA" w:rsidRPr="0061726B" w:rsidRDefault="000D5CDA" w:rsidP="00D04947">
            <w:pPr>
              <w:autoSpaceDE w:val="0"/>
              <w:autoSpaceDN w:val="0"/>
              <w:adjustRightInd w:val="0"/>
              <w:jc w:val="center"/>
              <w:rPr>
                <w:b/>
                <w:bCs/>
                <w:color w:val="FFFFFF"/>
                <w:sz w:val="20"/>
                <w:szCs w:val="20"/>
                <w:lang w:val="es-ES_tradnl"/>
              </w:rPr>
            </w:pPr>
            <w:r>
              <w:rPr>
                <w:b/>
                <w:bCs/>
                <w:color w:val="FFFFFF"/>
                <w:sz w:val="20"/>
                <w:szCs w:val="20"/>
                <w:lang w:val="es-ES_tradnl"/>
              </w:rPr>
              <w:t>Justificación de la modificación</w:t>
            </w:r>
          </w:p>
        </w:tc>
      </w:tr>
      <w:tr w:rsidR="000D5CDA" w:rsidRPr="00056C9E" w14:paraId="4E0EB324" w14:textId="77777777" w:rsidTr="00ED3AFB">
        <w:tc>
          <w:tcPr>
            <w:tcW w:w="844" w:type="pct"/>
            <w:tcBorders>
              <w:top w:val="single" w:sz="6" w:space="0" w:color="auto"/>
              <w:left w:val="single" w:sz="6" w:space="0" w:color="auto"/>
              <w:bottom w:val="single" w:sz="6" w:space="0" w:color="auto"/>
              <w:right w:val="single" w:sz="4" w:space="0" w:color="auto"/>
            </w:tcBorders>
            <w:shd w:val="clear" w:color="auto" w:fill="FFFFFF"/>
            <w:hideMark/>
          </w:tcPr>
          <w:p w14:paraId="70063BCA" w14:textId="77777777" w:rsidR="000D5CDA" w:rsidRPr="0061726B" w:rsidRDefault="000D5CDA" w:rsidP="00D04947">
            <w:pPr>
              <w:autoSpaceDE w:val="0"/>
              <w:autoSpaceDN w:val="0"/>
              <w:adjustRightInd w:val="0"/>
              <w:rPr>
                <w:sz w:val="20"/>
                <w:szCs w:val="20"/>
                <w:lang w:val="es-ES_tradnl"/>
              </w:rPr>
            </w:pPr>
            <w:r w:rsidRPr="0061726B">
              <w:rPr>
                <w:b/>
                <w:color w:val="000000"/>
                <w:sz w:val="20"/>
                <w:szCs w:val="20"/>
                <w:lang w:val="es-ES"/>
              </w:rPr>
              <w:t>Estabilidad del Marco General de Políticas Macroeconómicas</w:t>
            </w:r>
          </w:p>
        </w:tc>
        <w:tc>
          <w:tcPr>
            <w:tcW w:w="1356" w:type="pct"/>
            <w:tcBorders>
              <w:top w:val="single" w:sz="6" w:space="0" w:color="auto"/>
              <w:left w:val="single" w:sz="6" w:space="0" w:color="auto"/>
              <w:bottom w:val="single" w:sz="6" w:space="0" w:color="auto"/>
              <w:right w:val="single" w:sz="4" w:space="0" w:color="auto"/>
            </w:tcBorders>
            <w:shd w:val="clear" w:color="auto" w:fill="FFFFFF"/>
            <w:hideMark/>
          </w:tcPr>
          <w:p w14:paraId="3A309F3B" w14:textId="77777777" w:rsidR="000D5CDA" w:rsidRPr="0038434F" w:rsidRDefault="000D5CDA" w:rsidP="00D04947">
            <w:pPr>
              <w:autoSpaceDE w:val="0"/>
              <w:autoSpaceDN w:val="0"/>
              <w:adjustRightInd w:val="0"/>
              <w:rPr>
                <w:b/>
                <w:bCs/>
                <w:color w:val="000000"/>
                <w:sz w:val="20"/>
                <w:szCs w:val="20"/>
                <w:lang w:val="es-ES_tradnl"/>
              </w:rPr>
            </w:pPr>
            <w:r w:rsidRPr="0038434F">
              <w:rPr>
                <w:sz w:val="20"/>
                <w:szCs w:val="20"/>
                <w:lang w:val="es-ES_tradnl"/>
              </w:rPr>
              <w:t>Marco macroeconómico estable y conducente al logro de los objetivos del programa y los lineamientos establecidos en la Carta de Política sectorial.</w:t>
            </w:r>
          </w:p>
        </w:tc>
        <w:tc>
          <w:tcPr>
            <w:tcW w:w="1352" w:type="pct"/>
            <w:tcBorders>
              <w:top w:val="single" w:sz="6" w:space="0" w:color="auto"/>
              <w:left w:val="single" w:sz="6" w:space="0" w:color="auto"/>
              <w:bottom w:val="single" w:sz="6" w:space="0" w:color="auto"/>
              <w:right w:val="single" w:sz="6" w:space="0" w:color="auto"/>
            </w:tcBorders>
            <w:shd w:val="clear" w:color="auto" w:fill="FFFFFF"/>
          </w:tcPr>
          <w:p w14:paraId="7659752B" w14:textId="77777777" w:rsidR="000D5CDA" w:rsidRPr="0038434F" w:rsidRDefault="000D5CDA" w:rsidP="00D04947">
            <w:pPr>
              <w:autoSpaceDE w:val="0"/>
              <w:autoSpaceDN w:val="0"/>
              <w:adjustRightInd w:val="0"/>
              <w:rPr>
                <w:b/>
                <w:bCs/>
                <w:color w:val="000000"/>
                <w:sz w:val="20"/>
                <w:szCs w:val="20"/>
                <w:lang w:val="es-ES_tradnl"/>
              </w:rPr>
            </w:pPr>
            <w:r w:rsidRPr="0038434F">
              <w:rPr>
                <w:sz w:val="20"/>
                <w:szCs w:val="20"/>
                <w:lang w:val="es-ES_tradnl"/>
              </w:rPr>
              <w:t>Marco macroeconómico estable y conducente al logro de los objetivos del programa y los lineamientos establecidos en la Carta de Política sectorial.</w:t>
            </w:r>
          </w:p>
        </w:tc>
        <w:tc>
          <w:tcPr>
            <w:tcW w:w="1448" w:type="pct"/>
            <w:tcBorders>
              <w:top w:val="single" w:sz="6" w:space="0" w:color="auto"/>
              <w:left w:val="single" w:sz="6" w:space="0" w:color="auto"/>
              <w:bottom w:val="single" w:sz="6" w:space="0" w:color="auto"/>
              <w:right w:val="single" w:sz="6" w:space="0" w:color="auto"/>
            </w:tcBorders>
            <w:shd w:val="clear" w:color="auto" w:fill="FFFFFF"/>
          </w:tcPr>
          <w:p w14:paraId="166F7CAD" w14:textId="65EAAB21" w:rsidR="000D5CDA" w:rsidRPr="0038434F" w:rsidRDefault="000D5CDA" w:rsidP="00D04947">
            <w:pPr>
              <w:autoSpaceDE w:val="0"/>
              <w:autoSpaceDN w:val="0"/>
              <w:adjustRightInd w:val="0"/>
              <w:rPr>
                <w:b/>
                <w:sz w:val="20"/>
                <w:szCs w:val="20"/>
                <w:lang w:val="es-ES_tradnl"/>
              </w:rPr>
            </w:pPr>
          </w:p>
        </w:tc>
      </w:tr>
      <w:tr w:rsidR="0009128F" w:rsidRPr="00056C9E" w14:paraId="62DC24DD" w14:textId="77777777" w:rsidTr="00ED3AFB">
        <w:trPr>
          <w:trHeight w:val="2572"/>
        </w:trPr>
        <w:tc>
          <w:tcPr>
            <w:tcW w:w="844" w:type="pct"/>
            <w:vMerge w:val="restart"/>
            <w:tcBorders>
              <w:top w:val="single" w:sz="6" w:space="0" w:color="auto"/>
              <w:left w:val="single" w:sz="6" w:space="0" w:color="auto"/>
              <w:right w:val="single" w:sz="6" w:space="0" w:color="auto"/>
            </w:tcBorders>
            <w:hideMark/>
          </w:tcPr>
          <w:p w14:paraId="4D275D93" w14:textId="77777777" w:rsidR="0009128F" w:rsidRPr="0061726B" w:rsidRDefault="0009128F" w:rsidP="0009128F">
            <w:pPr>
              <w:autoSpaceDE w:val="0"/>
              <w:autoSpaceDN w:val="0"/>
              <w:adjustRightInd w:val="0"/>
              <w:rPr>
                <w:color w:val="000000"/>
                <w:sz w:val="20"/>
                <w:szCs w:val="20"/>
                <w:lang w:val="es-ES_tradnl"/>
              </w:rPr>
            </w:pPr>
            <w:bookmarkStart w:id="0" w:name="_Hlk495661266"/>
            <w:r w:rsidRPr="0061726B">
              <w:rPr>
                <w:b/>
                <w:bCs/>
                <w:sz w:val="20"/>
                <w:szCs w:val="20"/>
                <w:lang w:val="es-ES"/>
              </w:rPr>
              <w:t>I-1 Contar con un marco legal, regulatorio e institucional que permita asegurar la sostenibilidad del sector eléctrico.</w:t>
            </w:r>
          </w:p>
          <w:p w14:paraId="7A3DA18C" w14:textId="7B49CA67" w:rsidR="0009128F" w:rsidRPr="0061726B" w:rsidRDefault="0009128F" w:rsidP="0009128F">
            <w:pPr>
              <w:autoSpaceDE w:val="0"/>
              <w:autoSpaceDN w:val="0"/>
              <w:adjustRightInd w:val="0"/>
              <w:rPr>
                <w:b/>
                <w:bCs/>
                <w:sz w:val="20"/>
                <w:szCs w:val="20"/>
                <w:lang w:val="es-ES"/>
              </w:rPr>
            </w:pPr>
          </w:p>
          <w:p w14:paraId="24FB520F" w14:textId="4475EE75" w:rsidR="0009128F" w:rsidRPr="0061726B" w:rsidRDefault="0009128F" w:rsidP="0009128F">
            <w:pPr>
              <w:autoSpaceDE w:val="0"/>
              <w:autoSpaceDN w:val="0"/>
              <w:adjustRightInd w:val="0"/>
              <w:rPr>
                <w:color w:val="000000"/>
                <w:sz w:val="20"/>
                <w:szCs w:val="20"/>
                <w:lang w:val="es-ES_tradnl"/>
              </w:rPr>
            </w:pPr>
          </w:p>
        </w:tc>
        <w:tc>
          <w:tcPr>
            <w:tcW w:w="1356" w:type="pct"/>
            <w:tcBorders>
              <w:top w:val="single" w:sz="6" w:space="0" w:color="auto"/>
              <w:left w:val="single" w:sz="6" w:space="0" w:color="auto"/>
              <w:bottom w:val="single" w:sz="4" w:space="0" w:color="auto"/>
              <w:right w:val="single" w:sz="6" w:space="0" w:color="auto"/>
            </w:tcBorders>
          </w:tcPr>
          <w:p w14:paraId="44BA476F" w14:textId="1EEFDD5F" w:rsidR="0009128F" w:rsidRPr="0038434F" w:rsidRDefault="0009128F" w:rsidP="0009128F">
            <w:pPr>
              <w:autoSpaceDE w:val="0"/>
              <w:autoSpaceDN w:val="0"/>
              <w:adjustRightInd w:val="0"/>
              <w:rPr>
                <w:sz w:val="20"/>
                <w:szCs w:val="20"/>
                <w:lang w:val="es-ES_tradnl"/>
              </w:rPr>
            </w:pPr>
            <w:r w:rsidRPr="0038434F">
              <w:rPr>
                <w:sz w:val="20"/>
                <w:szCs w:val="20"/>
                <w:lang w:val="es-ES_tradnl"/>
              </w:rPr>
              <w:t xml:space="preserve">La CREE ha completado la emisión de las disposiciones reglamentarias requeridas por la LGIE establecidas en el Plan de Acción, y se encuentran vigentes la LGIE y los reglamentos emitidos. </w:t>
            </w:r>
          </w:p>
          <w:p w14:paraId="39535001" w14:textId="4FF1D48B" w:rsidR="0009128F" w:rsidRPr="0038434F" w:rsidRDefault="0009128F" w:rsidP="0009128F">
            <w:pPr>
              <w:autoSpaceDE w:val="0"/>
              <w:autoSpaceDN w:val="0"/>
              <w:adjustRightInd w:val="0"/>
              <w:rPr>
                <w:sz w:val="20"/>
                <w:szCs w:val="20"/>
                <w:lang w:val="es-ES_tradnl"/>
              </w:rPr>
            </w:pPr>
          </w:p>
          <w:p w14:paraId="4C3118AB" w14:textId="4D2ECCDA" w:rsidR="0009128F" w:rsidRPr="0038434F" w:rsidRDefault="0009128F" w:rsidP="0009128F">
            <w:pPr>
              <w:autoSpaceDE w:val="0"/>
              <w:autoSpaceDN w:val="0"/>
              <w:adjustRightInd w:val="0"/>
              <w:rPr>
                <w:sz w:val="20"/>
                <w:szCs w:val="20"/>
                <w:lang w:val="es-ES_tradnl"/>
              </w:rPr>
            </w:pPr>
          </w:p>
        </w:tc>
        <w:tc>
          <w:tcPr>
            <w:tcW w:w="1352" w:type="pct"/>
            <w:tcBorders>
              <w:top w:val="single" w:sz="6" w:space="0" w:color="auto"/>
              <w:left w:val="single" w:sz="6" w:space="0" w:color="auto"/>
              <w:bottom w:val="single" w:sz="4" w:space="0" w:color="auto"/>
              <w:right w:val="single" w:sz="6" w:space="0" w:color="auto"/>
            </w:tcBorders>
          </w:tcPr>
          <w:p w14:paraId="4EA4B673" w14:textId="77777777" w:rsidR="00ED3AFB" w:rsidRPr="0038434F" w:rsidRDefault="00ED3AFB" w:rsidP="00ED3AFB">
            <w:pPr>
              <w:autoSpaceDE w:val="0"/>
              <w:autoSpaceDN w:val="0"/>
              <w:adjustRightInd w:val="0"/>
              <w:ind w:right="45"/>
              <w:rPr>
                <w:color w:val="000000"/>
                <w:sz w:val="20"/>
                <w:szCs w:val="20"/>
                <w:lang w:val="es-ES"/>
              </w:rPr>
            </w:pPr>
            <w:bookmarkStart w:id="1" w:name="_Hlk498526867"/>
            <w:r w:rsidRPr="0038434F">
              <w:rPr>
                <w:color w:val="000000"/>
                <w:sz w:val="20"/>
                <w:szCs w:val="20"/>
                <w:lang w:val="es-ES"/>
              </w:rPr>
              <w:t>Que la LGIE y los reglamentos emitidos con ocasión de las operaciones anteriores de la serie programática se encuentran vigentes y que la CREE haya completado la emisión de las siguientes disposiciones reglamentarias requeridas por la LGIE y establecidas en el Plan de Acción entregado como parte de la segunda operación individual de la serie programática:</w:t>
            </w:r>
          </w:p>
          <w:p w14:paraId="1FF82ADA" w14:textId="77777777" w:rsidR="00ED3AFB" w:rsidRPr="0038434F" w:rsidRDefault="00ED3AFB" w:rsidP="00ED3AFB">
            <w:pPr>
              <w:autoSpaceDE w:val="0"/>
              <w:autoSpaceDN w:val="0"/>
              <w:adjustRightInd w:val="0"/>
              <w:ind w:right="45"/>
              <w:rPr>
                <w:color w:val="000000"/>
                <w:sz w:val="20"/>
                <w:szCs w:val="20"/>
                <w:lang w:val="es-ES"/>
              </w:rPr>
            </w:pPr>
          </w:p>
          <w:p w14:paraId="0E90B534" w14:textId="77777777" w:rsidR="00ED3AFB" w:rsidRPr="0038434F" w:rsidRDefault="00ED3AFB" w:rsidP="00ED3AFB">
            <w:pPr>
              <w:numPr>
                <w:ilvl w:val="0"/>
                <w:numId w:val="22"/>
              </w:numPr>
              <w:autoSpaceDE w:val="0"/>
              <w:autoSpaceDN w:val="0"/>
              <w:adjustRightInd w:val="0"/>
              <w:ind w:right="45"/>
              <w:rPr>
                <w:color w:val="000000"/>
                <w:sz w:val="20"/>
                <w:szCs w:val="20"/>
                <w:lang w:val="es-ES"/>
              </w:rPr>
            </w:pPr>
            <w:r w:rsidRPr="0038434F">
              <w:rPr>
                <w:color w:val="000000"/>
                <w:sz w:val="20"/>
                <w:szCs w:val="20"/>
                <w:lang w:val="es-ES"/>
              </w:rPr>
              <w:t>Reglamento de tarifas y ajuste tarifario.</w:t>
            </w:r>
          </w:p>
          <w:p w14:paraId="608454B8" w14:textId="77777777" w:rsidR="00ED3AFB" w:rsidRPr="0038434F" w:rsidRDefault="00ED3AFB" w:rsidP="00ED3AFB">
            <w:pPr>
              <w:numPr>
                <w:ilvl w:val="0"/>
                <w:numId w:val="22"/>
              </w:numPr>
              <w:autoSpaceDE w:val="0"/>
              <w:autoSpaceDN w:val="0"/>
              <w:adjustRightInd w:val="0"/>
              <w:ind w:right="45"/>
              <w:rPr>
                <w:color w:val="000000"/>
                <w:sz w:val="20"/>
                <w:szCs w:val="20"/>
                <w:lang w:val="es-ES"/>
              </w:rPr>
            </w:pPr>
            <w:r w:rsidRPr="0038434F">
              <w:rPr>
                <w:color w:val="000000"/>
                <w:sz w:val="20"/>
                <w:szCs w:val="20"/>
                <w:lang w:val="es-ES"/>
              </w:rPr>
              <w:t>Norma Técnica del servicio de distribución, incluyendo calidad de servicio, y contribuciones.</w:t>
            </w:r>
          </w:p>
          <w:p w14:paraId="4FB305F6" w14:textId="77777777" w:rsidR="00ED3AFB" w:rsidRPr="0038434F" w:rsidRDefault="00ED3AFB" w:rsidP="00ED3AFB">
            <w:pPr>
              <w:numPr>
                <w:ilvl w:val="0"/>
                <w:numId w:val="22"/>
              </w:numPr>
              <w:ind w:right="45"/>
              <w:rPr>
                <w:color w:val="000000"/>
                <w:sz w:val="20"/>
                <w:szCs w:val="20"/>
                <w:lang w:val="es-ES"/>
              </w:rPr>
            </w:pPr>
            <w:r w:rsidRPr="0038434F">
              <w:rPr>
                <w:color w:val="000000"/>
                <w:sz w:val="20"/>
                <w:szCs w:val="20"/>
                <w:lang w:val="es-ES"/>
              </w:rPr>
              <w:t xml:space="preserve">Norma Técnica del servicio de transmisión, incluyendo el régimen </w:t>
            </w:r>
            <w:bookmarkEnd w:id="1"/>
            <w:r w:rsidRPr="0038434F">
              <w:rPr>
                <w:color w:val="000000"/>
                <w:sz w:val="20"/>
                <w:szCs w:val="20"/>
                <w:lang w:val="es-ES"/>
              </w:rPr>
              <w:t>de precios aplicables por uso de la red.</w:t>
            </w:r>
          </w:p>
          <w:p w14:paraId="581E2E9F" w14:textId="599545D4" w:rsidR="0009128F" w:rsidRPr="0038434F" w:rsidRDefault="0009128F" w:rsidP="00ED3AFB">
            <w:pPr>
              <w:autoSpaceDE w:val="0"/>
              <w:autoSpaceDN w:val="0"/>
              <w:adjustRightInd w:val="0"/>
              <w:ind w:left="360"/>
              <w:rPr>
                <w:color w:val="000000"/>
                <w:sz w:val="20"/>
                <w:szCs w:val="20"/>
                <w:lang w:val="es-ES_tradnl"/>
              </w:rPr>
            </w:pPr>
          </w:p>
        </w:tc>
        <w:tc>
          <w:tcPr>
            <w:tcW w:w="1448" w:type="pct"/>
            <w:tcBorders>
              <w:top w:val="single" w:sz="6" w:space="0" w:color="auto"/>
              <w:left w:val="single" w:sz="6" w:space="0" w:color="auto"/>
              <w:bottom w:val="single" w:sz="4" w:space="0" w:color="auto"/>
              <w:right w:val="single" w:sz="6" w:space="0" w:color="auto"/>
            </w:tcBorders>
          </w:tcPr>
          <w:p w14:paraId="271B7174" w14:textId="6E27AB36" w:rsidR="0009128F" w:rsidRPr="0038434F" w:rsidRDefault="0009128F" w:rsidP="0009128F">
            <w:pPr>
              <w:autoSpaceDE w:val="0"/>
              <w:autoSpaceDN w:val="0"/>
              <w:adjustRightInd w:val="0"/>
              <w:rPr>
                <w:b/>
                <w:color w:val="000000"/>
                <w:sz w:val="20"/>
                <w:szCs w:val="20"/>
                <w:lang w:val="es-ES_tradnl"/>
              </w:rPr>
            </w:pPr>
            <w:r w:rsidRPr="0038434F">
              <w:rPr>
                <w:color w:val="000000"/>
                <w:sz w:val="20"/>
                <w:szCs w:val="20"/>
                <w:lang w:val="es-ES_tradnl"/>
              </w:rPr>
              <w:t>No se modifica. Solo se ha procedido a detallar los reglamentos que forman parte del plan de acción</w:t>
            </w:r>
          </w:p>
        </w:tc>
      </w:tr>
      <w:tr w:rsidR="0009128F" w:rsidRPr="00056C9E" w14:paraId="288EA2E7" w14:textId="77777777" w:rsidTr="00ED3AFB">
        <w:trPr>
          <w:trHeight w:val="889"/>
        </w:trPr>
        <w:tc>
          <w:tcPr>
            <w:tcW w:w="844" w:type="pct"/>
            <w:vMerge/>
            <w:tcBorders>
              <w:left w:val="single" w:sz="6" w:space="0" w:color="auto"/>
              <w:right w:val="single" w:sz="6" w:space="0" w:color="auto"/>
            </w:tcBorders>
          </w:tcPr>
          <w:p w14:paraId="0721F563" w14:textId="5193F72F" w:rsidR="0009128F" w:rsidRPr="0061726B" w:rsidRDefault="0009128F" w:rsidP="0009128F">
            <w:pPr>
              <w:autoSpaceDE w:val="0"/>
              <w:autoSpaceDN w:val="0"/>
              <w:adjustRightInd w:val="0"/>
              <w:rPr>
                <w:b/>
                <w:bCs/>
                <w:sz w:val="20"/>
                <w:szCs w:val="20"/>
                <w:lang w:val="es-ES"/>
              </w:rPr>
            </w:pPr>
          </w:p>
        </w:tc>
        <w:tc>
          <w:tcPr>
            <w:tcW w:w="1356" w:type="pct"/>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3CCF8113" w14:textId="2B6F1939" w:rsidR="0009128F" w:rsidRPr="0038434F" w:rsidRDefault="0009128F" w:rsidP="0009128F">
            <w:pPr>
              <w:autoSpaceDE w:val="0"/>
              <w:autoSpaceDN w:val="0"/>
              <w:adjustRightInd w:val="0"/>
              <w:rPr>
                <w:sz w:val="20"/>
                <w:szCs w:val="20"/>
                <w:lang w:val="es-ES_tradnl"/>
              </w:rPr>
            </w:pPr>
          </w:p>
        </w:tc>
        <w:tc>
          <w:tcPr>
            <w:tcW w:w="1352" w:type="pct"/>
            <w:tcBorders>
              <w:top w:val="single" w:sz="6" w:space="0" w:color="auto"/>
              <w:left w:val="single" w:sz="6" w:space="0" w:color="auto"/>
              <w:bottom w:val="single" w:sz="4" w:space="0" w:color="auto"/>
              <w:right w:val="single" w:sz="6" w:space="0" w:color="auto"/>
            </w:tcBorders>
          </w:tcPr>
          <w:p w14:paraId="7F9792E3" w14:textId="6EB33C0B" w:rsidR="0009128F" w:rsidRPr="0038434F" w:rsidRDefault="00ED3AFB" w:rsidP="000B58EC">
            <w:pPr>
              <w:autoSpaceDE w:val="0"/>
              <w:autoSpaceDN w:val="0"/>
              <w:adjustRightInd w:val="0"/>
              <w:ind w:left="54"/>
              <w:rPr>
                <w:sz w:val="20"/>
                <w:szCs w:val="20"/>
                <w:lang w:val="es-ES_tradnl"/>
              </w:rPr>
            </w:pPr>
            <w:r w:rsidRPr="0038434F">
              <w:rPr>
                <w:color w:val="000000"/>
                <w:sz w:val="20"/>
                <w:szCs w:val="20"/>
                <w:lang w:val="es-ES"/>
              </w:rPr>
              <w:t>Que se haya iniciado la contratación de consultorías para la elaboración de:</w:t>
            </w:r>
            <w:r w:rsidR="009A44A4">
              <w:rPr>
                <w:color w:val="000000"/>
                <w:sz w:val="20"/>
                <w:szCs w:val="20"/>
                <w:lang w:val="es-ES"/>
              </w:rPr>
              <w:t xml:space="preserve"> (i) </w:t>
            </w:r>
            <w:r w:rsidRPr="0038434F">
              <w:rPr>
                <w:color w:val="000000"/>
                <w:sz w:val="20"/>
                <w:szCs w:val="20"/>
                <w:lang w:val="es-ES"/>
              </w:rPr>
              <w:t>Norma Técnica de servicios complementarios</w:t>
            </w:r>
            <w:r w:rsidR="009A44A4">
              <w:rPr>
                <w:color w:val="000000"/>
                <w:sz w:val="20"/>
                <w:szCs w:val="20"/>
                <w:lang w:val="es-ES"/>
              </w:rPr>
              <w:t xml:space="preserve">; (ii) </w:t>
            </w:r>
            <w:r w:rsidRPr="0038434F">
              <w:rPr>
                <w:color w:val="000000"/>
                <w:sz w:val="20"/>
                <w:szCs w:val="20"/>
                <w:lang w:val="es-ES"/>
              </w:rPr>
              <w:t xml:space="preserve">Norma técnica de usuarios regulados </w:t>
            </w:r>
            <w:proofErr w:type="spellStart"/>
            <w:r w:rsidRPr="0038434F">
              <w:rPr>
                <w:color w:val="000000"/>
                <w:sz w:val="20"/>
                <w:szCs w:val="20"/>
                <w:lang w:val="es-ES"/>
              </w:rPr>
              <w:t>autoproductores</w:t>
            </w:r>
            <w:proofErr w:type="spellEnd"/>
            <w:r w:rsidR="000B58EC">
              <w:rPr>
                <w:color w:val="000000"/>
                <w:sz w:val="20"/>
                <w:szCs w:val="20"/>
                <w:lang w:val="es-ES"/>
              </w:rPr>
              <w:t xml:space="preserve">, y (iii) </w:t>
            </w:r>
            <w:r w:rsidRPr="0038434F">
              <w:rPr>
                <w:color w:val="000000"/>
                <w:sz w:val="20"/>
                <w:szCs w:val="20"/>
                <w:lang w:val="es-ES"/>
              </w:rPr>
              <w:t>Reglamento de régimen tarifario.</w:t>
            </w:r>
          </w:p>
        </w:tc>
        <w:tc>
          <w:tcPr>
            <w:tcW w:w="1448" w:type="pct"/>
            <w:tcBorders>
              <w:top w:val="single" w:sz="6" w:space="0" w:color="auto"/>
              <w:left w:val="single" w:sz="6" w:space="0" w:color="auto"/>
              <w:bottom w:val="single" w:sz="4" w:space="0" w:color="auto"/>
              <w:right w:val="single" w:sz="6" w:space="0" w:color="auto"/>
            </w:tcBorders>
          </w:tcPr>
          <w:p w14:paraId="75430E75" w14:textId="1C83AA07" w:rsidR="0009128F" w:rsidRPr="0038434F" w:rsidRDefault="0009128F" w:rsidP="0009128F">
            <w:pPr>
              <w:autoSpaceDE w:val="0"/>
              <w:autoSpaceDN w:val="0"/>
              <w:adjustRightInd w:val="0"/>
              <w:rPr>
                <w:b/>
                <w:color w:val="000000"/>
                <w:sz w:val="20"/>
                <w:szCs w:val="20"/>
                <w:lang w:val="es-ES_tradnl"/>
              </w:rPr>
            </w:pPr>
            <w:r w:rsidRPr="0038434F">
              <w:rPr>
                <w:color w:val="000000"/>
                <w:sz w:val="20"/>
                <w:szCs w:val="20"/>
                <w:lang w:val="es-ES_tradnl"/>
              </w:rPr>
              <w:t>Nueva condición. La CREE ha decidido avanzar en la preparación de disposiciones reglamentarias adicionales utilizando el financiamiento del Banco Mundial</w:t>
            </w:r>
          </w:p>
        </w:tc>
      </w:tr>
      <w:tr w:rsidR="000D5CDA" w:rsidRPr="00056C9E" w14:paraId="582D6949" w14:textId="77777777" w:rsidTr="00ED3AFB">
        <w:trPr>
          <w:trHeight w:val="1879"/>
        </w:trPr>
        <w:tc>
          <w:tcPr>
            <w:tcW w:w="844" w:type="pct"/>
            <w:vMerge/>
            <w:tcBorders>
              <w:left w:val="single" w:sz="6" w:space="0" w:color="auto"/>
              <w:bottom w:val="single" w:sz="4" w:space="0" w:color="auto"/>
              <w:right w:val="single" w:sz="6" w:space="0" w:color="auto"/>
            </w:tcBorders>
          </w:tcPr>
          <w:p w14:paraId="24793CC3" w14:textId="18641CC9" w:rsidR="000D5CDA" w:rsidRPr="0061726B" w:rsidRDefault="000D5CDA" w:rsidP="009E6747">
            <w:pPr>
              <w:autoSpaceDE w:val="0"/>
              <w:autoSpaceDN w:val="0"/>
              <w:adjustRightInd w:val="0"/>
              <w:rPr>
                <w:b/>
                <w:bCs/>
                <w:sz w:val="20"/>
                <w:szCs w:val="20"/>
                <w:lang w:val="es-ES"/>
              </w:rPr>
            </w:pPr>
          </w:p>
        </w:tc>
        <w:tc>
          <w:tcPr>
            <w:tcW w:w="1356" w:type="pct"/>
            <w:tcBorders>
              <w:top w:val="single" w:sz="6" w:space="0" w:color="auto"/>
              <w:left w:val="single" w:sz="6" w:space="0" w:color="auto"/>
              <w:bottom w:val="single" w:sz="4" w:space="0" w:color="auto"/>
              <w:right w:val="single" w:sz="6" w:space="0" w:color="auto"/>
            </w:tcBorders>
          </w:tcPr>
          <w:p w14:paraId="5A1CD1CA" w14:textId="5CEE7C46" w:rsidR="000D5CDA" w:rsidRPr="0038434F" w:rsidRDefault="000D5CDA" w:rsidP="009E6747">
            <w:pPr>
              <w:autoSpaceDE w:val="0"/>
              <w:autoSpaceDN w:val="0"/>
              <w:adjustRightInd w:val="0"/>
              <w:rPr>
                <w:sz w:val="20"/>
                <w:szCs w:val="20"/>
                <w:lang w:val="es-ES_tradnl"/>
              </w:rPr>
            </w:pPr>
            <w:r w:rsidRPr="0038434F">
              <w:rPr>
                <w:sz w:val="20"/>
                <w:szCs w:val="20"/>
                <w:lang w:val="es-ES_tradnl"/>
              </w:rPr>
              <w:t>El Comité de Conducción (</w:t>
            </w:r>
            <w:proofErr w:type="spellStart"/>
            <w:r w:rsidRPr="0038434F">
              <w:rPr>
                <w:sz w:val="20"/>
                <w:szCs w:val="20"/>
                <w:lang w:val="es-ES_tradnl"/>
              </w:rPr>
              <w:t>Steering</w:t>
            </w:r>
            <w:proofErr w:type="spellEnd"/>
            <w:r w:rsidRPr="0038434F">
              <w:rPr>
                <w:sz w:val="20"/>
                <w:szCs w:val="20"/>
                <w:lang w:val="es-ES_tradnl"/>
              </w:rPr>
              <w:t xml:space="preserve"> </w:t>
            </w:r>
            <w:proofErr w:type="spellStart"/>
            <w:r w:rsidRPr="0038434F">
              <w:rPr>
                <w:sz w:val="20"/>
                <w:szCs w:val="20"/>
                <w:lang w:val="es-ES_tradnl"/>
              </w:rPr>
              <w:t>Committee</w:t>
            </w:r>
            <w:proofErr w:type="spellEnd"/>
            <w:r w:rsidRPr="0038434F">
              <w:rPr>
                <w:sz w:val="20"/>
                <w:szCs w:val="20"/>
                <w:lang w:val="es-ES_tradnl"/>
              </w:rPr>
              <w:t>) presenta un Informe de Terminación del proceso de implementación de la reforma, incluyendo una evaluación independiente del funcionamiento del sector y sus instituciones bajo el marco de la LGIE, y las medidas adicionales que se deban adoptar de ser necesario.</w:t>
            </w:r>
          </w:p>
        </w:tc>
        <w:tc>
          <w:tcPr>
            <w:tcW w:w="1352" w:type="pct"/>
            <w:tcBorders>
              <w:top w:val="single" w:sz="6" w:space="0" w:color="auto"/>
              <w:left w:val="single" w:sz="6" w:space="0" w:color="auto"/>
              <w:bottom w:val="single" w:sz="4" w:space="0" w:color="auto"/>
              <w:right w:val="single" w:sz="6" w:space="0" w:color="auto"/>
            </w:tcBorders>
          </w:tcPr>
          <w:p w14:paraId="1EA92121" w14:textId="54748592" w:rsidR="000D5CDA" w:rsidRPr="0038434F" w:rsidRDefault="0009128F" w:rsidP="009E6747">
            <w:pPr>
              <w:autoSpaceDE w:val="0"/>
              <w:autoSpaceDN w:val="0"/>
              <w:adjustRightInd w:val="0"/>
              <w:rPr>
                <w:sz w:val="20"/>
                <w:szCs w:val="20"/>
                <w:lang w:val="es-ES_tradnl"/>
              </w:rPr>
            </w:pPr>
            <w:bookmarkStart w:id="2" w:name="_Hlk498526991"/>
            <w:r w:rsidRPr="0038434F">
              <w:rPr>
                <w:sz w:val="20"/>
                <w:szCs w:val="20"/>
                <w:lang w:val="es-ES_tradnl"/>
              </w:rPr>
              <w:t>Que el Consejo Nacional de Energía (CONAEN) presente un Informe sobre el avance del proceso de implementación de la reforma, incluyendo una evaluación independiente del funcionamiento del sector y sus instituciones bajo el marco de la LGIE, y las medidas adicionales que se deban adoptar de ser necesario.</w:t>
            </w:r>
            <w:bookmarkEnd w:id="2"/>
          </w:p>
        </w:tc>
        <w:tc>
          <w:tcPr>
            <w:tcW w:w="1448" w:type="pct"/>
            <w:tcBorders>
              <w:top w:val="single" w:sz="6" w:space="0" w:color="auto"/>
              <w:left w:val="single" w:sz="6" w:space="0" w:color="auto"/>
              <w:bottom w:val="single" w:sz="4" w:space="0" w:color="auto"/>
              <w:right w:val="single" w:sz="6" w:space="0" w:color="auto"/>
            </w:tcBorders>
          </w:tcPr>
          <w:p w14:paraId="20D9A220" w14:textId="1BDD55AE" w:rsidR="000D5CDA" w:rsidRPr="0038434F" w:rsidRDefault="00435DA3" w:rsidP="009E6747">
            <w:pPr>
              <w:autoSpaceDE w:val="0"/>
              <w:autoSpaceDN w:val="0"/>
              <w:adjustRightInd w:val="0"/>
              <w:rPr>
                <w:b/>
                <w:color w:val="000000"/>
                <w:sz w:val="20"/>
                <w:szCs w:val="20"/>
                <w:lang w:val="es-ES_tradnl"/>
              </w:rPr>
            </w:pPr>
            <w:r w:rsidRPr="0038434F">
              <w:rPr>
                <w:color w:val="000000"/>
                <w:sz w:val="20"/>
                <w:szCs w:val="20"/>
                <w:lang w:val="es-ES_tradnl"/>
              </w:rPr>
              <w:t xml:space="preserve">Se modifica </w:t>
            </w:r>
            <w:r w:rsidR="00FA00FA" w:rsidRPr="0038434F">
              <w:rPr>
                <w:color w:val="000000"/>
                <w:sz w:val="20"/>
                <w:szCs w:val="20"/>
                <w:lang w:val="es-ES_tradnl"/>
              </w:rPr>
              <w:t>para</w:t>
            </w:r>
            <w:r w:rsidR="00A33A44" w:rsidRPr="0038434F">
              <w:rPr>
                <w:color w:val="000000"/>
                <w:sz w:val="20"/>
                <w:szCs w:val="20"/>
                <w:lang w:val="es-ES_tradnl"/>
              </w:rPr>
              <w:t xml:space="preserve"> corregir que el proceso de reforma no culmina con esta tercera operación. El gobierno seguirá adelantando acciones para dar continuidad con la reforma. De igual manera, la modificación r</w:t>
            </w:r>
            <w:r w:rsidR="00FA00FA" w:rsidRPr="0038434F">
              <w:rPr>
                <w:color w:val="000000"/>
                <w:sz w:val="20"/>
                <w:szCs w:val="20"/>
                <w:lang w:val="es-ES_tradnl"/>
              </w:rPr>
              <w:t xml:space="preserve">efleja la creación </w:t>
            </w:r>
            <w:r w:rsidR="007969CB" w:rsidRPr="0038434F">
              <w:rPr>
                <w:color w:val="000000"/>
                <w:sz w:val="20"/>
                <w:szCs w:val="20"/>
                <w:lang w:val="es-ES_tradnl"/>
              </w:rPr>
              <w:t xml:space="preserve">del CONAEM </w:t>
            </w:r>
            <w:r w:rsidR="00FA00FA" w:rsidRPr="0038434F">
              <w:rPr>
                <w:color w:val="000000"/>
                <w:sz w:val="20"/>
                <w:szCs w:val="20"/>
                <w:lang w:val="es-ES_tradnl"/>
              </w:rPr>
              <w:t>que reemplaza</w:t>
            </w:r>
            <w:r w:rsidR="00E9548E" w:rsidRPr="0038434F">
              <w:rPr>
                <w:color w:val="000000"/>
                <w:sz w:val="20"/>
                <w:szCs w:val="20"/>
                <w:lang w:val="es-ES_tradnl"/>
              </w:rPr>
              <w:t xml:space="preserve"> al </w:t>
            </w:r>
            <w:r w:rsidR="00E9548E" w:rsidRPr="0038434F">
              <w:rPr>
                <w:sz w:val="20"/>
                <w:szCs w:val="20"/>
                <w:lang w:val="es-ES_tradnl"/>
              </w:rPr>
              <w:t>Comité de Conducción de la reforma</w:t>
            </w:r>
            <w:r w:rsidR="00301D2C" w:rsidRPr="0038434F">
              <w:rPr>
                <w:sz w:val="20"/>
                <w:szCs w:val="20"/>
                <w:lang w:val="es-ES_tradnl"/>
              </w:rPr>
              <w:t>, con las mismas funciones</w:t>
            </w:r>
            <w:r w:rsidR="00E9548E" w:rsidRPr="0038434F">
              <w:rPr>
                <w:color w:val="000000"/>
                <w:sz w:val="20"/>
                <w:szCs w:val="20"/>
                <w:lang w:val="es-ES_tradnl"/>
              </w:rPr>
              <w:t>.</w:t>
            </w:r>
            <w:r w:rsidR="00A9494A" w:rsidRPr="0038434F">
              <w:rPr>
                <w:color w:val="000000"/>
                <w:sz w:val="20"/>
                <w:szCs w:val="20"/>
                <w:lang w:val="es-ES_tradnl"/>
              </w:rPr>
              <w:t xml:space="preserve"> </w:t>
            </w:r>
            <w:r w:rsidR="00A9494A" w:rsidRPr="0038434F">
              <w:rPr>
                <w:b/>
                <w:color w:val="000000"/>
                <w:sz w:val="20"/>
                <w:szCs w:val="20"/>
                <w:lang w:val="es-ES_tradnl"/>
              </w:rPr>
              <w:t xml:space="preserve">  </w:t>
            </w:r>
          </w:p>
        </w:tc>
      </w:tr>
      <w:tr w:rsidR="0009128F" w:rsidRPr="00056C9E" w14:paraId="743376A6" w14:textId="77777777" w:rsidTr="00ED3AFB">
        <w:trPr>
          <w:trHeight w:val="502"/>
        </w:trPr>
        <w:tc>
          <w:tcPr>
            <w:tcW w:w="844" w:type="pct"/>
            <w:vMerge w:val="restart"/>
            <w:tcBorders>
              <w:top w:val="single" w:sz="6" w:space="0" w:color="auto"/>
              <w:left w:val="single" w:sz="6" w:space="0" w:color="auto"/>
              <w:right w:val="single" w:sz="6" w:space="0" w:color="auto"/>
            </w:tcBorders>
          </w:tcPr>
          <w:p w14:paraId="327F1531" w14:textId="77777777" w:rsidR="0009128F" w:rsidRPr="0061726B" w:rsidRDefault="0009128F" w:rsidP="0009128F">
            <w:pPr>
              <w:autoSpaceDE w:val="0"/>
              <w:autoSpaceDN w:val="0"/>
              <w:adjustRightInd w:val="0"/>
              <w:ind w:left="-3"/>
              <w:rPr>
                <w:b/>
                <w:bCs/>
                <w:sz w:val="20"/>
                <w:szCs w:val="20"/>
                <w:lang w:val="es-ES"/>
              </w:rPr>
            </w:pPr>
            <w:r w:rsidRPr="0061726B">
              <w:rPr>
                <w:b/>
                <w:bCs/>
                <w:sz w:val="20"/>
                <w:szCs w:val="20"/>
                <w:lang w:val="es-ES"/>
              </w:rPr>
              <w:t>I-2 Contar con capacidad institucional y personal capacitado que permitan asegurar la definición y puesta en marcha de políticas públicas para el sector eléctrico.</w:t>
            </w:r>
          </w:p>
          <w:p w14:paraId="4103876F" w14:textId="73C01C31" w:rsidR="0009128F" w:rsidRPr="0061726B" w:rsidRDefault="0009128F" w:rsidP="0009128F">
            <w:pPr>
              <w:autoSpaceDE w:val="0"/>
              <w:autoSpaceDN w:val="0"/>
              <w:adjustRightInd w:val="0"/>
              <w:ind w:left="-3"/>
              <w:rPr>
                <w:b/>
                <w:bCs/>
                <w:sz w:val="20"/>
                <w:szCs w:val="20"/>
                <w:lang w:val="es-ES"/>
              </w:rPr>
            </w:pPr>
          </w:p>
          <w:p w14:paraId="3F6F81FE" w14:textId="6FDC5BF1" w:rsidR="0009128F" w:rsidRPr="0061726B" w:rsidRDefault="0009128F" w:rsidP="0009128F">
            <w:pPr>
              <w:autoSpaceDE w:val="0"/>
              <w:autoSpaceDN w:val="0"/>
              <w:adjustRightInd w:val="0"/>
              <w:ind w:left="-3"/>
              <w:rPr>
                <w:b/>
                <w:bCs/>
                <w:sz w:val="20"/>
                <w:szCs w:val="20"/>
                <w:lang w:val="es-ES"/>
              </w:rPr>
            </w:pPr>
          </w:p>
          <w:p w14:paraId="33DAD0DB" w14:textId="064A6A4A" w:rsidR="0009128F" w:rsidRPr="0061726B" w:rsidRDefault="0009128F" w:rsidP="0009128F">
            <w:pPr>
              <w:autoSpaceDE w:val="0"/>
              <w:autoSpaceDN w:val="0"/>
              <w:adjustRightInd w:val="0"/>
              <w:ind w:left="-3"/>
              <w:rPr>
                <w:b/>
                <w:bCs/>
                <w:sz w:val="20"/>
                <w:szCs w:val="20"/>
                <w:lang w:val="es-ES"/>
              </w:rPr>
            </w:pPr>
          </w:p>
          <w:p w14:paraId="505CC9A6" w14:textId="766B1D27" w:rsidR="0009128F" w:rsidRPr="0061726B" w:rsidRDefault="0009128F" w:rsidP="0009128F">
            <w:pPr>
              <w:autoSpaceDE w:val="0"/>
              <w:autoSpaceDN w:val="0"/>
              <w:adjustRightInd w:val="0"/>
              <w:ind w:left="-3"/>
              <w:rPr>
                <w:color w:val="000000"/>
                <w:sz w:val="20"/>
                <w:szCs w:val="20"/>
                <w:lang w:val="es-ES"/>
              </w:rPr>
            </w:pPr>
          </w:p>
        </w:tc>
        <w:tc>
          <w:tcPr>
            <w:tcW w:w="1356" w:type="pct"/>
            <w:tcBorders>
              <w:top w:val="single" w:sz="6" w:space="0" w:color="auto"/>
              <w:left w:val="single" w:sz="6" w:space="0" w:color="auto"/>
              <w:bottom w:val="single" w:sz="6" w:space="0" w:color="auto"/>
              <w:right w:val="single" w:sz="6" w:space="0" w:color="auto"/>
            </w:tcBorders>
          </w:tcPr>
          <w:p w14:paraId="7FF74E4E" w14:textId="7AD34B5C" w:rsidR="0009128F" w:rsidRPr="0038434F" w:rsidRDefault="0009128F" w:rsidP="0009128F">
            <w:pPr>
              <w:autoSpaceDE w:val="0"/>
              <w:autoSpaceDN w:val="0"/>
              <w:adjustRightInd w:val="0"/>
              <w:rPr>
                <w:sz w:val="20"/>
                <w:szCs w:val="20"/>
                <w:lang w:val="es-ES_tradnl"/>
              </w:rPr>
            </w:pPr>
            <w:r w:rsidRPr="0038434F">
              <w:rPr>
                <w:sz w:val="20"/>
                <w:szCs w:val="20"/>
                <w:lang w:val="es-ES_tradnl"/>
              </w:rPr>
              <w:t>La autoridad superior del sector eléctrico funciona como ente rector del sector eléctrico asegurando la definición y puesta en marcha y seguimiento de las políticas públicas que orientan las actividades del sector eléctrico.</w:t>
            </w:r>
          </w:p>
        </w:tc>
        <w:tc>
          <w:tcPr>
            <w:tcW w:w="1352" w:type="pct"/>
            <w:tcBorders>
              <w:top w:val="single" w:sz="6" w:space="0" w:color="auto"/>
              <w:left w:val="single" w:sz="6" w:space="0" w:color="auto"/>
              <w:bottom w:val="single" w:sz="4" w:space="0" w:color="auto"/>
              <w:right w:val="single" w:sz="6" w:space="0" w:color="auto"/>
            </w:tcBorders>
          </w:tcPr>
          <w:p w14:paraId="255FB314" w14:textId="683E1AA4" w:rsidR="0009128F" w:rsidRPr="0038434F" w:rsidRDefault="0009128F" w:rsidP="0009128F">
            <w:pPr>
              <w:autoSpaceDE w:val="0"/>
              <w:autoSpaceDN w:val="0"/>
              <w:adjustRightInd w:val="0"/>
              <w:rPr>
                <w:b/>
                <w:color w:val="000000"/>
                <w:sz w:val="20"/>
                <w:szCs w:val="20"/>
                <w:lang w:val="es-ES_tradnl"/>
              </w:rPr>
            </w:pPr>
            <w:bookmarkStart w:id="3" w:name="_Hlk498527015"/>
            <w:r w:rsidRPr="0038434F">
              <w:rPr>
                <w:sz w:val="20"/>
                <w:szCs w:val="20"/>
                <w:lang w:val="es-ES_tradnl"/>
              </w:rPr>
              <w:t xml:space="preserve">Que </w:t>
            </w:r>
            <w:proofErr w:type="spellStart"/>
            <w:r w:rsidRPr="0038434F">
              <w:rPr>
                <w:sz w:val="20"/>
                <w:szCs w:val="20"/>
                <w:lang w:val="es-ES_tradnl"/>
              </w:rPr>
              <w:t>MiAmbiente</w:t>
            </w:r>
            <w:proofErr w:type="spellEnd"/>
            <w:r w:rsidRPr="0038434F">
              <w:rPr>
                <w:sz w:val="20"/>
                <w:szCs w:val="20"/>
                <w:lang w:val="es-ES_tradnl"/>
              </w:rPr>
              <w:t xml:space="preserve"> se encuentre funcionando como ente rector del sector eléctrico asegurando la definición y puesta en marcha y seguimiento de las políticas públicas que orientan las actividades del sector eléctrico durante la transición de funciones a la nueva Secretaría de Estado en el Despacho de Energía</w:t>
            </w:r>
            <w:bookmarkEnd w:id="3"/>
          </w:p>
        </w:tc>
        <w:tc>
          <w:tcPr>
            <w:tcW w:w="1448" w:type="pct"/>
            <w:tcBorders>
              <w:top w:val="single" w:sz="6" w:space="0" w:color="auto"/>
              <w:left w:val="single" w:sz="6" w:space="0" w:color="auto"/>
              <w:bottom w:val="single" w:sz="4" w:space="0" w:color="auto"/>
              <w:right w:val="single" w:sz="6" w:space="0" w:color="auto"/>
            </w:tcBorders>
          </w:tcPr>
          <w:p w14:paraId="266E655D" w14:textId="0F7BB1BF" w:rsidR="0009128F" w:rsidRPr="0038434F" w:rsidRDefault="0009128F" w:rsidP="0009128F">
            <w:pPr>
              <w:autoSpaceDE w:val="0"/>
              <w:autoSpaceDN w:val="0"/>
              <w:adjustRightInd w:val="0"/>
              <w:rPr>
                <w:b/>
                <w:color w:val="000000"/>
                <w:sz w:val="20"/>
                <w:szCs w:val="20"/>
                <w:lang w:val="es-ES_tradnl"/>
              </w:rPr>
            </w:pPr>
            <w:r w:rsidRPr="0038434F">
              <w:rPr>
                <w:color w:val="000000"/>
                <w:sz w:val="20"/>
                <w:szCs w:val="20"/>
                <w:lang w:val="es-ES_tradnl"/>
              </w:rPr>
              <w:t>Se modifica para reflejar la decisión del Gobierno de Honduras de crear una Secretaría de Energía que empezará a funcionar a partir de diciembre 2017.</w:t>
            </w:r>
          </w:p>
        </w:tc>
      </w:tr>
      <w:tr w:rsidR="0009128F" w:rsidRPr="00056C9E" w14:paraId="1D70D448" w14:textId="77777777" w:rsidTr="00ED3AFB">
        <w:trPr>
          <w:trHeight w:val="2149"/>
        </w:trPr>
        <w:tc>
          <w:tcPr>
            <w:tcW w:w="844" w:type="pct"/>
            <w:vMerge/>
            <w:tcBorders>
              <w:left w:val="single" w:sz="6" w:space="0" w:color="auto"/>
              <w:right w:val="single" w:sz="6" w:space="0" w:color="auto"/>
            </w:tcBorders>
          </w:tcPr>
          <w:p w14:paraId="3C0DBBFC" w14:textId="77777777" w:rsidR="0009128F" w:rsidRPr="0061726B" w:rsidRDefault="0009128F" w:rsidP="0009128F">
            <w:pPr>
              <w:autoSpaceDE w:val="0"/>
              <w:autoSpaceDN w:val="0"/>
              <w:adjustRightInd w:val="0"/>
              <w:ind w:left="-3"/>
              <w:rPr>
                <w:b/>
                <w:bCs/>
                <w:sz w:val="20"/>
                <w:szCs w:val="20"/>
                <w:lang w:val="es-ES"/>
              </w:rPr>
            </w:pPr>
          </w:p>
        </w:tc>
        <w:tc>
          <w:tcPr>
            <w:tcW w:w="1356"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5F1759B" w14:textId="77777777" w:rsidR="0009128F" w:rsidRPr="0038434F" w:rsidRDefault="0009128F" w:rsidP="0009128F">
            <w:pPr>
              <w:autoSpaceDE w:val="0"/>
              <w:autoSpaceDN w:val="0"/>
              <w:adjustRightInd w:val="0"/>
              <w:rPr>
                <w:sz w:val="20"/>
                <w:szCs w:val="20"/>
                <w:lang w:val="es-ES_tradnl"/>
              </w:rPr>
            </w:pPr>
          </w:p>
        </w:tc>
        <w:tc>
          <w:tcPr>
            <w:tcW w:w="1352" w:type="pct"/>
            <w:tcBorders>
              <w:top w:val="single" w:sz="6" w:space="0" w:color="auto"/>
              <w:left w:val="single" w:sz="6" w:space="0" w:color="auto"/>
              <w:bottom w:val="single" w:sz="4" w:space="0" w:color="auto"/>
              <w:right w:val="single" w:sz="6" w:space="0" w:color="auto"/>
            </w:tcBorders>
          </w:tcPr>
          <w:p w14:paraId="4B39AAF4" w14:textId="3BF6E008" w:rsidR="0009128F" w:rsidRPr="0038434F" w:rsidRDefault="00B36A0B" w:rsidP="0009128F">
            <w:pPr>
              <w:autoSpaceDE w:val="0"/>
              <w:autoSpaceDN w:val="0"/>
              <w:adjustRightInd w:val="0"/>
              <w:rPr>
                <w:sz w:val="20"/>
                <w:szCs w:val="20"/>
                <w:lang w:val="es-ES"/>
              </w:rPr>
            </w:pPr>
            <w:r>
              <w:rPr>
                <w:color w:val="000000"/>
                <w:sz w:val="20"/>
                <w:szCs w:val="20"/>
                <w:lang w:val="es-ES_tradnl"/>
              </w:rPr>
              <w:t>Q</w:t>
            </w:r>
            <w:proofErr w:type="spellStart"/>
            <w:r w:rsidRPr="00B36A0B">
              <w:rPr>
                <w:color w:val="000000"/>
                <w:sz w:val="20"/>
                <w:szCs w:val="20"/>
                <w:lang w:val="es-ES"/>
              </w:rPr>
              <w:t>ue</w:t>
            </w:r>
            <w:proofErr w:type="spellEnd"/>
            <w:r w:rsidRPr="00B36A0B">
              <w:rPr>
                <w:color w:val="000000"/>
                <w:sz w:val="20"/>
                <w:szCs w:val="20"/>
                <w:lang w:val="es-ES"/>
              </w:rPr>
              <w:t xml:space="preserve"> se haya creado la Secretaria de Estado en el Despacho de Energía como institución rectora del sector energético nacional y de la integración energética regional e internacional y que: (a) se cuente con el personal directivo básico; y (b) cuente con la asignación de presupuesto requerida y un plan de trabajo anua</w:t>
            </w:r>
            <w:r>
              <w:rPr>
                <w:color w:val="000000"/>
                <w:sz w:val="20"/>
                <w:szCs w:val="20"/>
                <w:lang w:val="es-ES"/>
              </w:rPr>
              <w:t>l.</w:t>
            </w:r>
          </w:p>
        </w:tc>
        <w:tc>
          <w:tcPr>
            <w:tcW w:w="1448" w:type="pct"/>
            <w:tcBorders>
              <w:top w:val="single" w:sz="6" w:space="0" w:color="auto"/>
              <w:left w:val="single" w:sz="6" w:space="0" w:color="auto"/>
              <w:bottom w:val="single" w:sz="4" w:space="0" w:color="auto"/>
              <w:right w:val="single" w:sz="6" w:space="0" w:color="auto"/>
            </w:tcBorders>
          </w:tcPr>
          <w:p w14:paraId="4891D3A2" w14:textId="250CE7A4" w:rsidR="0009128F" w:rsidRPr="0038434F" w:rsidRDefault="0009128F" w:rsidP="0009128F">
            <w:pPr>
              <w:autoSpaceDE w:val="0"/>
              <w:autoSpaceDN w:val="0"/>
              <w:adjustRightInd w:val="0"/>
              <w:rPr>
                <w:color w:val="000000"/>
                <w:sz w:val="20"/>
                <w:szCs w:val="20"/>
                <w:lang w:val="es-ES_tradnl"/>
              </w:rPr>
            </w:pPr>
            <w:r w:rsidRPr="0038434F">
              <w:rPr>
                <w:color w:val="000000"/>
                <w:sz w:val="20"/>
                <w:szCs w:val="20"/>
                <w:lang w:val="es-ES_tradnl"/>
              </w:rPr>
              <w:t>Se adiciona para reflejar la decisión del Gobierno de Honduras de crear una nueva Secretaría de Energía elevando la importancia del sector energético y consolidando las funciones de varias entidades bajo la responsabilidad de una sola Secretaría.</w:t>
            </w:r>
          </w:p>
        </w:tc>
      </w:tr>
      <w:tr w:rsidR="0009128F" w:rsidRPr="00056C9E" w14:paraId="3C4C2617" w14:textId="77777777" w:rsidTr="00ED3AFB">
        <w:trPr>
          <w:trHeight w:val="1249"/>
        </w:trPr>
        <w:tc>
          <w:tcPr>
            <w:tcW w:w="844" w:type="pct"/>
            <w:vMerge/>
            <w:tcBorders>
              <w:left w:val="single" w:sz="6" w:space="0" w:color="auto"/>
              <w:right w:val="single" w:sz="6" w:space="0" w:color="auto"/>
            </w:tcBorders>
          </w:tcPr>
          <w:p w14:paraId="22F51BB8" w14:textId="45A8FBE2" w:rsidR="0009128F" w:rsidRPr="0061726B" w:rsidRDefault="0009128F" w:rsidP="0009128F">
            <w:pPr>
              <w:autoSpaceDE w:val="0"/>
              <w:autoSpaceDN w:val="0"/>
              <w:adjustRightInd w:val="0"/>
              <w:ind w:left="-3"/>
              <w:rPr>
                <w:b/>
                <w:bCs/>
                <w:sz w:val="20"/>
                <w:szCs w:val="20"/>
                <w:lang w:val="es-ES"/>
              </w:rPr>
            </w:pPr>
          </w:p>
        </w:tc>
        <w:tc>
          <w:tcPr>
            <w:tcW w:w="1356"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0351C37" w14:textId="77777777" w:rsidR="0009128F" w:rsidRPr="0038434F" w:rsidRDefault="0009128F" w:rsidP="0009128F">
            <w:pPr>
              <w:autoSpaceDE w:val="0"/>
              <w:autoSpaceDN w:val="0"/>
              <w:adjustRightInd w:val="0"/>
              <w:rPr>
                <w:sz w:val="20"/>
                <w:szCs w:val="20"/>
                <w:lang w:val="es-ES_tradnl"/>
              </w:rPr>
            </w:pPr>
          </w:p>
        </w:tc>
        <w:tc>
          <w:tcPr>
            <w:tcW w:w="1352" w:type="pct"/>
            <w:tcBorders>
              <w:top w:val="single" w:sz="6" w:space="0" w:color="auto"/>
              <w:left w:val="single" w:sz="6" w:space="0" w:color="auto"/>
              <w:bottom w:val="single" w:sz="4" w:space="0" w:color="auto"/>
              <w:right w:val="single" w:sz="6" w:space="0" w:color="auto"/>
            </w:tcBorders>
          </w:tcPr>
          <w:p w14:paraId="00883091" w14:textId="46283363" w:rsidR="0009128F" w:rsidRPr="0038434F" w:rsidRDefault="0009128F" w:rsidP="0009128F">
            <w:pPr>
              <w:autoSpaceDE w:val="0"/>
              <w:autoSpaceDN w:val="0"/>
              <w:adjustRightInd w:val="0"/>
              <w:rPr>
                <w:sz w:val="20"/>
                <w:szCs w:val="20"/>
                <w:lang w:val="es-ES_tradnl"/>
              </w:rPr>
            </w:pPr>
            <w:bookmarkStart w:id="4" w:name="_Hlk498527096"/>
            <w:r w:rsidRPr="0038434F">
              <w:rPr>
                <w:sz w:val="20"/>
                <w:szCs w:val="20"/>
                <w:lang w:val="es-ES_tradnl"/>
              </w:rPr>
              <w:t>Que se haya creado y esté operativo el Consejo Nacional de Energía (CONAEN) para llevar adelante la articulación estratégica y coordinación intersectorial del sector energético</w:t>
            </w:r>
            <w:bookmarkEnd w:id="4"/>
            <w:r w:rsidRPr="0038434F">
              <w:rPr>
                <w:sz w:val="20"/>
                <w:szCs w:val="20"/>
                <w:lang w:val="es-ES_tradnl"/>
              </w:rPr>
              <w:t>.</w:t>
            </w:r>
          </w:p>
        </w:tc>
        <w:tc>
          <w:tcPr>
            <w:tcW w:w="1448" w:type="pct"/>
            <w:tcBorders>
              <w:top w:val="single" w:sz="6" w:space="0" w:color="auto"/>
              <w:left w:val="single" w:sz="6" w:space="0" w:color="auto"/>
              <w:bottom w:val="single" w:sz="4" w:space="0" w:color="auto"/>
              <w:right w:val="single" w:sz="6" w:space="0" w:color="auto"/>
            </w:tcBorders>
          </w:tcPr>
          <w:p w14:paraId="219EBEC4" w14:textId="4F3A0C00" w:rsidR="0009128F" w:rsidRPr="0038434F" w:rsidRDefault="0009128F" w:rsidP="0009128F">
            <w:pPr>
              <w:autoSpaceDE w:val="0"/>
              <w:autoSpaceDN w:val="0"/>
              <w:adjustRightInd w:val="0"/>
              <w:rPr>
                <w:color w:val="000000"/>
                <w:sz w:val="20"/>
                <w:szCs w:val="20"/>
                <w:lang w:val="es-ES_tradnl"/>
              </w:rPr>
            </w:pPr>
            <w:r w:rsidRPr="0038434F">
              <w:rPr>
                <w:color w:val="000000"/>
                <w:sz w:val="20"/>
                <w:szCs w:val="20"/>
                <w:lang w:val="es-ES_tradnl"/>
              </w:rPr>
              <w:t>Nueva condición. Se adiciona esta condición para reflejar el avance en articular la coordinación intersectorial por medio de este Consejo</w:t>
            </w:r>
          </w:p>
          <w:p w14:paraId="4852C7CA" w14:textId="77777777" w:rsidR="0009128F" w:rsidRPr="0038434F" w:rsidRDefault="0009128F" w:rsidP="0009128F">
            <w:pPr>
              <w:autoSpaceDE w:val="0"/>
              <w:autoSpaceDN w:val="0"/>
              <w:adjustRightInd w:val="0"/>
              <w:rPr>
                <w:b/>
                <w:color w:val="000000"/>
                <w:sz w:val="20"/>
                <w:szCs w:val="20"/>
                <w:lang w:val="es-ES_tradnl"/>
              </w:rPr>
            </w:pPr>
          </w:p>
          <w:p w14:paraId="0FC2CDAE" w14:textId="77777777" w:rsidR="0009128F" w:rsidRPr="0038434F" w:rsidRDefault="0009128F" w:rsidP="0009128F">
            <w:pPr>
              <w:autoSpaceDE w:val="0"/>
              <w:autoSpaceDN w:val="0"/>
              <w:adjustRightInd w:val="0"/>
              <w:rPr>
                <w:b/>
                <w:color w:val="000000"/>
                <w:sz w:val="20"/>
                <w:szCs w:val="20"/>
                <w:lang w:val="es-ES_tradnl"/>
              </w:rPr>
            </w:pPr>
          </w:p>
          <w:p w14:paraId="59E188DB" w14:textId="7BF56223" w:rsidR="0009128F" w:rsidRPr="0038434F" w:rsidRDefault="0009128F" w:rsidP="0009128F">
            <w:pPr>
              <w:autoSpaceDE w:val="0"/>
              <w:autoSpaceDN w:val="0"/>
              <w:adjustRightInd w:val="0"/>
              <w:rPr>
                <w:b/>
                <w:color w:val="000000"/>
                <w:sz w:val="20"/>
                <w:szCs w:val="20"/>
                <w:lang w:val="es-ES_tradnl"/>
              </w:rPr>
            </w:pPr>
          </w:p>
        </w:tc>
      </w:tr>
      <w:tr w:rsidR="0009128F" w:rsidRPr="00056C9E" w14:paraId="1F48C8AF" w14:textId="77777777" w:rsidTr="00ED3AFB">
        <w:trPr>
          <w:trHeight w:val="1240"/>
        </w:trPr>
        <w:tc>
          <w:tcPr>
            <w:tcW w:w="844" w:type="pct"/>
            <w:vMerge/>
            <w:tcBorders>
              <w:left w:val="single" w:sz="6" w:space="0" w:color="auto"/>
              <w:right w:val="single" w:sz="6" w:space="0" w:color="auto"/>
            </w:tcBorders>
          </w:tcPr>
          <w:p w14:paraId="482FFFC1" w14:textId="00B17BDC" w:rsidR="0009128F" w:rsidRPr="0061726B" w:rsidRDefault="0009128F" w:rsidP="0009128F">
            <w:pPr>
              <w:autoSpaceDE w:val="0"/>
              <w:autoSpaceDN w:val="0"/>
              <w:adjustRightInd w:val="0"/>
              <w:ind w:left="-3"/>
              <w:rPr>
                <w:b/>
                <w:bCs/>
                <w:sz w:val="20"/>
                <w:szCs w:val="20"/>
                <w:lang w:val="es-ES"/>
              </w:rPr>
            </w:pPr>
          </w:p>
        </w:tc>
        <w:tc>
          <w:tcPr>
            <w:tcW w:w="1356"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4736ECB" w14:textId="77777777" w:rsidR="0009128F" w:rsidRPr="0038434F" w:rsidRDefault="0009128F" w:rsidP="0009128F">
            <w:pPr>
              <w:autoSpaceDE w:val="0"/>
              <w:autoSpaceDN w:val="0"/>
              <w:adjustRightInd w:val="0"/>
              <w:rPr>
                <w:sz w:val="20"/>
                <w:szCs w:val="20"/>
                <w:lang w:val="es-ES_tradnl"/>
              </w:rPr>
            </w:pPr>
          </w:p>
        </w:tc>
        <w:tc>
          <w:tcPr>
            <w:tcW w:w="1352" w:type="pct"/>
            <w:tcBorders>
              <w:top w:val="single" w:sz="6" w:space="0" w:color="auto"/>
              <w:left w:val="single" w:sz="6" w:space="0" w:color="auto"/>
              <w:bottom w:val="single" w:sz="4" w:space="0" w:color="auto"/>
              <w:right w:val="single" w:sz="6" w:space="0" w:color="auto"/>
            </w:tcBorders>
          </w:tcPr>
          <w:p w14:paraId="0B6E603B" w14:textId="0F48372F" w:rsidR="0009128F" w:rsidRPr="0038434F" w:rsidRDefault="0009128F" w:rsidP="0009128F">
            <w:pPr>
              <w:autoSpaceDE w:val="0"/>
              <w:autoSpaceDN w:val="0"/>
              <w:adjustRightInd w:val="0"/>
              <w:rPr>
                <w:sz w:val="20"/>
                <w:szCs w:val="20"/>
                <w:lang w:val="es-ES_tradnl"/>
              </w:rPr>
            </w:pPr>
            <w:bookmarkStart w:id="5" w:name="_Hlk498527114"/>
            <w:r w:rsidRPr="0038434F">
              <w:rPr>
                <w:sz w:val="20"/>
                <w:szCs w:val="20"/>
                <w:lang w:val="es-ES_tradnl"/>
              </w:rPr>
              <w:t>Que se haya constituido y se encuentre en funcionamiento la Secretaría Técnica del Consejo Nacional de Energía (CONAEN) y esta tenga la función de apoyo técnico y administrativo del CONAEN.</w:t>
            </w:r>
            <w:bookmarkEnd w:id="5"/>
          </w:p>
        </w:tc>
        <w:tc>
          <w:tcPr>
            <w:tcW w:w="1448" w:type="pct"/>
            <w:tcBorders>
              <w:top w:val="single" w:sz="6" w:space="0" w:color="auto"/>
              <w:left w:val="single" w:sz="6" w:space="0" w:color="auto"/>
              <w:bottom w:val="single" w:sz="4" w:space="0" w:color="auto"/>
              <w:right w:val="single" w:sz="6" w:space="0" w:color="auto"/>
            </w:tcBorders>
          </w:tcPr>
          <w:p w14:paraId="5948D6DB" w14:textId="3FDF4388" w:rsidR="0009128F" w:rsidRPr="0038434F" w:rsidRDefault="0009128F" w:rsidP="0009128F">
            <w:pPr>
              <w:autoSpaceDE w:val="0"/>
              <w:autoSpaceDN w:val="0"/>
              <w:adjustRightInd w:val="0"/>
              <w:rPr>
                <w:color w:val="000000"/>
                <w:sz w:val="20"/>
                <w:szCs w:val="20"/>
                <w:lang w:val="es-ES_tradnl"/>
              </w:rPr>
            </w:pPr>
            <w:r w:rsidRPr="0038434F">
              <w:rPr>
                <w:color w:val="000000"/>
                <w:sz w:val="20"/>
                <w:szCs w:val="20"/>
                <w:lang w:val="es-ES_tradnl"/>
              </w:rPr>
              <w:t xml:space="preserve">Nueva Condición. Se adiciona para reflejar el avance en articular la coordinación intersectorial incluso con el funcionamiento de la Secretaría Técnica del Consejo </w:t>
            </w:r>
          </w:p>
          <w:p w14:paraId="38C9582F" w14:textId="0A00BBCA" w:rsidR="0009128F" w:rsidRPr="0038434F" w:rsidRDefault="0009128F" w:rsidP="0009128F">
            <w:pPr>
              <w:autoSpaceDE w:val="0"/>
              <w:autoSpaceDN w:val="0"/>
              <w:adjustRightInd w:val="0"/>
              <w:rPr>
                <w:b/>
                <w:color w:val="000000"/>
                <w:sz w:val="20"/>
                <w:szCs w:val="20"/>
                <w:lang w:val="es-ES_tradnl"/>
              </w:rPr>
            </w:pPr>
          </w:p>
        </w:tc>
      </w:tr>
      <w:tr w:rsidR="0009128F" w:rsidRPr="00DD6178" w14:paraId="44247ECB" w14:textId="77777777" w:rsidTr="00ED3AFB">
        <w:trPr>
          <w:trHeight w:val="1222"/>
        </w:trPr>
        <w:tc>
          <w:tcPr>
            <w:tcW w:w="844" w:type="pct"/>
            <w:vMerge w:val="restart"/>
            <w:tcBorders>
              <w:top w:val="single" w:sz="6" w:space="0" w:color="auto"/>
              <w:left w:val="single" w:sz="6" w:space="0" w:color="auto"/>
              <w:right w:val="single" w:sz="4" w:space="0" w:color="auto"/>
            </w:tcBorders>
            <w:hideMark/>
          </w:tcPr>
          <w:p w14:paraId="755BC4A6" w14:textId="37D13E65" w:rsidR="0009128F" w:rsidRPr="0061726B" w:rsidRDefault="0009128F" w:rsidP="0009128F">
            <w:pPr>
              <w:autoSpaceDE w:val="0"/>
              <w:autoSpaceDN w:val="0"/>
              <w:adjustRightInd w:val="0"/>
              <w:ind w:left="-3"/>
              <w:rPr>
                <w:b/>
                <w:bCs/>
                <w:color w:val="000000"/>
                <w:sz w:val="20"/>
                <w:szCs w:val="20"/>
                <w:lang w:val="es-ES"/>
              </w:rPr>
            </w:pPr>
            <w:r w:rsidRPr="0061726B">
              <w:rPr>
                <w:b/>
                <w:bCs/>
                <w:sz w:val="20"/>
                <w:szCs w:val="20"/>
                <w:lang w:val="es-ES"/>
              </w:rPr>
              <w:t>I-3 Contar con capacidad institucional y personal capacitado que permitan regular las actividades del sector eléctrico.</w:t>
            </w:r>
          </w:p>
        </w:tc>
        <w:tc>
          <w:tcPr>
            <w:tcW w:w="1356" w:type="pct"/>
            <w:tcBorders>
              <w:top w:val="single" w:sz="6" w:space="0" w:color="auto"/>
              <w:left w:val="single" w:sz="6" w:space="0" w:color="auto"/>
              <w:bottom w:val="single" w:sz="6" w:space="0" w:color="auto"/>
              <w:right w:val="single" w:sz="4" w:space="0" w:color="auto"/>
            </w:tcBorders>
          </w:tcPr>
          <w:p w14:paraId="5C5A25B6" w14:textId="44965030" w:rsidR="0009128F" w:rsidRPr="0038434F" w:rsidRDefault="0009128F" w:rsidP="0009128F">
            <w:pPr>
              <w:autoSpaceDE w:val="0"/>
              <w:autoSpaceDN w:val="0"/>
              <w:adjustRightInd w:val="0"/>
              <w:rPr>
                <w:sz w:val="20"/>
                <w:szCs w:val="20"/>
                <w:lang w:val="es-ES_tradnl"/>
              </w:rPr>
            </w:pPr>
            <w:r w:rsidRPr="0038434F">
              <w:rPr>
                <w:sz w:val="20"/>
                <w:szCs w:val="20"/>
                <w:lang w:val="es-ES_tradnl"/>
              </w:rPr>
              <w:t>La CREE funciona como ente encargado de regular las actividades del sector eléctrico.</w:t>
            </w:r>
          </w:p>
        </w:tc>
        <w:tc>
          <w:tcPr>
            <w:tcW w:w="1352" w:type="pct"/>
            <w:tcBorders>
              <w:top w:val="single" w:sz="6" w:space="0" w:color="auto"/>
              <w:left w:val="single" w:sz="6" w:space="0" w:color="auto"/>
              <w:bottom w:val="single" w:sz="6" w:space="0" w:color="auto"/>
              <w:right w:val="single" w:sz="6" w:space="0" w:color="auto"/>
            </w:tcBorders>
          </w:tcPr>
          <w:p w14:paraId="4A05B607" w14:textId="77777777" w:rsidR="0009128F" w:rsidRPr="0038434F" w:rsidRDefault="0009128F" w:rsidP="0009128F">
            <w:pPr>
              <w:autoSpaceDE w:val="0"/>
              <w:autoSpaceDN w:val="0"/>
              <w:adjustRightInd w:val="0"/>
              <w:rPr>
                <w:sz w:val="20"/>
                <w:szCs w:val="20"/>
                <w:lang w:val="es-ES_tradnl"/>
              </w:rPr>
            </w:pPr>
            <w:bookmarkStart w:id="6" w:name="_Hlk498527138"/>
            <w:r w:rsidRPr="0038434F">
              <w:rPr>
                <w:sz w:val="20"/>
                <w:szCs w:val="20"/>
                <w:lang w:val="es-ES_tradnl"/>
              </w:rPr>
              <w:t>Que la CREE se encuentre funcionando como ente encargado de regular las actividades del sector eléctrico.</w:t>
            </w:r>
          </w:p>
          <w:bookmarkEnd w:id="6"/>
          <w:p w14:paraId="7F0BD36F" w14:textId="370FBC12" w:rsidR="0009128F" w:rsidRPr="0038434F" w:rsidRDefault="0009128F" w:rsidP="0009128F">
            <w:pPr>
              <w:autoSpaceDE w:val="0"/>
              <w:autoSpaceDN w:val="0"/>
              <w:adjustRightInd w:val="0"/>
              <w:rPr>
                <w:b/>
                <w:sz w:val="20"/>
                <w:szCs w:val="20"/>
                <w:lang w:val="es-ES_tradnl"/>
              </w:rPr>
            </w:pPr>
          </w:p>
        </w:tc>
        <w:tc>
          <w:tcPr>
            <w:tcW w:w="1448" w:type="pct"/>
            <w:tcBorders>
              <w:top w:val="single" w:sz="6" w:space="0" w:color="auto"/>
              <w:left w:val="single" w:sz="6" w:space="0" w:color="auto"/>
              <w:bottom w:val="single" w:sz="6" w:space="0" w:color="auto"/>
              <w:right w:val="single" w:sz="6" w:space="0" w:color="auto"/>
            </w:tcBorders>
          </w:tcPr>
          <w:p w14:paraId="50C5824C" w14:textId="37D19A01" w:rsidR="0009128F" w:rsidRPr="0038434F" w:rsidRDefault="0009128F" w:rsidP="0009128F">
            <w:pPr>
              <w:autoSpaceDE w:val="0"/>
              <w:autoSpaceDN w:val="0"/>
              <w:adjustRightInd w:val="0"/>
              <w:rPr>
                <w:color w:val="000000"/>
                <w:sz w:val="20"/>
                <w:szCs w:val="20"/>
                <w:lang w:val="es-ES_tradnl"/>
              </w:rPr>
            </w:pPr>
            <w:r w:rsidRPr="0038434F">
              <w:rPr>
                <w:color w:val="000000"/>
                <w:sz w:val="20"/>
                <w:szCs w:val="20"/>
                <w:lang w:val="es-ES_tradnl"/>
              </w:rPr>
              <w:t>No se modifica</w:t>
            </w:r>
          </w:p>
        </w:tc>
      </w:tr>
      <w:tr w:rsidR="0009128F" w:rsidRPr="00056C9E" w14:paraId="71F57ABF" w14:textId="77777777" w:rsidTr="00ED3AFB">
        <w:trPr>
          <w:trHeight w:val="1402"/>
        </w:trPr>
        <w:tc>
          <w:tcPr>
            <w:tcW w:w="844" w:type="pct"/>
            <w:vMerge/>
            <w:tcBorders>
              <w:left w:val="single" w:sz="6" w:space="0" w:color="auto"/>
              <w:right w:val="single" w:sz="4" w:space="0" w:color="auto"/>
            </w:tcBorders>
          </w:tcPr>
          <w:p w14:paraId="7DD54920" w14:textId="4CDA9A40" w:rsidR="0009128F" w:rsidRPr="0061726B" w:rsidRDefault="0009128F" w:rsidP="0009128F">
            <w:pPr>
              <w:autoSpaceDE w:val="0"/>
              <w:autoSpaceDN w:val="0"/>
              <w:adjustRightInd w:val="0"/>
              <w:ind w:left="-3"/>
              <w:rPr>
                <w:b/>
                <w:bCs/>
                <w:sz w:val="20"/>
                <w:szCs w:val="20"/>
                <w:lang w:val="es-ES"/>
              </w:rPr>
            </w:pPr>
          </w:p>
        </w:tc>
        <w:tc>
          <w:tcPr>
            <w:tcW w:w="1356" w:type="pct"/>
            <w:tcBorders>
              <w:top w:val="single" w:sz="6" w:space="0" w:color="auto"/>
              <w:left w:val="single" w:sz="6" w:space="0" w:color="auto"/>
              <w:bottom w:val="single" w:sz="6" w:space="0" w:color="auto"/>
              <w:right w:val="single" w:sz="4" w:space="0" w:color="auto"/>
            </w:tcBorders>
          </w:tcPr>
          <w:p w14:paraId="7A635578" w14:textId="73390BBE" w:rsidR="0009128F" w:rsidRPr="0038434F" w:rsidRDefault="0009128F" w:rsidP="0009128F">
            <w:pPr>
              <w:autoSpaceDE w:val="0"/>
              <w:autoSpaceDN w:val="0"/>
              <w:adjustRightInd w:val="0"/>
              <w:rPr>
                <w:sz w:val="20"/>
                <w:szCs w:val="20"/>
                <w:lang w:val="es-ES_tradnl"/>
              </w:rPr>
            </w:pPr>
            <w:r w:rsidRPr="0038434F">
              <w:rPr>
                <w:sz w:val="20"/>
                <w:szCs w:val="20"/>
                <w:lang w:val="es-ES_tradnl"/>
              </w:rPr>
              <w:t>La CREE cuenta con personal y capacidad para la regulación del sector.</w:t>
            </w:r>
          </w:p>
        </w:tc>
        <w:tc>
          <w:tcPr>
            <w:tcW w:w="1352" w:type="pct"/>
            <w:tcBorders>
              <w:top w:val="single" w:sz="6" w:space="0" w:color="auto"/>
              <w:left w:val="single" w:sz="6" w:space="0" w:color="auto"/>
              <w:bottom w:val="single" w:sz="6" w:space="0" w:color="auto"/>
              <w:right w:val="single" w:sz="6" w:space="0" w:color="auto"/>
            </w:tcBorders>
          </w:tcPr>
          <w:p w14:paraId="15DAE814" w14:textId="77777777" w:rsidR="0009128F" w:rsidRPr="0038434F" w:rsidRDefault="0009128F" w:rsidP="0009128F">
            <w:pPr>
              <w:autoSpaceDE w:val="0"/>
              <w:autoSpaceDN w:val="0"/>
              <w:adjustRightInd w:val="0"/>
              <w:rPr>
                <w:b/>
                <w:sz w:val="20"/>
                <w:szCs w:val="20"/>
                <w:lang w:val="es-ES_tradnl"/>
              </w:rPr>
            </w:pPr>
            <w:bookmarkStart w:id="7" w:name="_Hlk498527160"/>
            <w:r w:rsidRPr="0038434F">
              <w:rPr>
                <w:sz w:val="20"/>
                <w:szCs w:val="20"/>
                <w:lang w:val="es-ES_tradnl"/>
              </w:rPr>
              <w:t>Que la CREE cuente con los recursos financieros, el personal directivo y haya seleccionado el personal técnico necesario para la regulación del sector.</w:t>
            </w:r>
          </w:p>
          <w:bookmarkEnd w:id="7"/>
          <w:p w14:paraId="0A05FEB7" w14:textId="77777777" w:rsidR="0009128F" w:rsidRPr="0038434F" w:rsidRDefault="0009128F" w:rsidP="0009128F">
            <w:pPr>
              <w:autoSpaceDE w:val="0"/>
              <w:autoSpaceDN w:val="0"/>
              <w:adjustRightInd w:val="0"/>
              <w:rPr>
                <w:b/>
                <w:sz w:val="20"/>
                <w:szCs w:val="20"/>
                <w:lang w:val="es-ES_tradnl"/>
              </w:rPr>
            </w:pPr>
          </w:p>
          <w:p w14:paraId="4FD2DEBE" w14:textId="71AECEA2" w:rsidR="0009128F" w:rsidRPr="0038434F" w:rsidRDefault="0009128F" w:rsidP="0009128F">
            <w:pPr>
              <w:autoSpaceDE w:val="0"/>
              <w:autoSpaceDN w:val="0"/>
              <w:adjustRightInd w:val="0"/>
              <w:rPr>
                <w:sz w:val="20"/>
                <w:szCs w:val="20"/>
                <w:lang w:val="es-ES_tradnl"/>
              </w:rPr>
            </w:pPr>
          </w:p>
        </w:tc>
        <w:tc>
          <w:tcPr>
            <w:tcW w:w="1448" w:type="pct"/>
            <w:tcBorders>
              <w:top w:val="single" w:sz="6" w:space="0" w:color="auto"/>
              <w:left w:val="single" w:sz="6" w:space="0" w:color="auto"/>
              <w:bottom w:val="single" w:sz="6" w:space="0" w:color="auto"/>
              <w:right w:val="single" w:sz="6" w:space="0" w:color="auto"/>
            </w:tcBorders>
          </w:tcPr>
          <w:p w14:paraId="1AC42614" w14:textId="6C0AEB2E" w:rsidR="0009128F" w:rsidRPr="0038434F" w:rsidRDefault="0009128F" w:rsidP="0009128F">
            <w:pPr>
              <w:autoSpaceDE w:val="0"/>
              <w:autoSpaceDN w:val="0"/>
              <w:adjustRightInd w:val="0"/>
              <w:rPr>
                <w:b/>
                <w:sz w:val="20"/>
                <w:szCs w:val="20"/>
                <w:lang w:val="es-ES_tradnl"/>
              </w:rPr>
            </w:pPr>
            <w:r w:rsidRPr="0038434F">
              <w:rPr>
                <w:sz w:val="20"/>
                <w:szCs w:val="20"/>
                <w:lang w:val="es-ES_tradnl"/>
              </w:rPr>
              <w:t>Se modifica</w:t>
            </w:r>
            <w:r w:rsidRPr="0038434F">
              <w:rPr>
                <w:b/>
                <w:sz w:val="20"/>
                <w:szCs w:val="20"/>
                <w:lang w:val="es-ES_tradnl"/>
              </w:rPr>
              <w:t xml:space="preserve"> </w:t>
            </w:r>
            <w:r w:rsidRPr="0038434F">
              <w:rPr>
                <w:sz w:val="20"/>
                <w:szCs w:val="20"/>
                <w:lang w:val="es-ES_tradnl"/>
              </w:rPr>
              <w:t>para precisar la condición.</w:t>
            </w:r>
          </w:p>
        </w:tc>
      </w:tr>
      <w:tr w:rsidR="0009128F" w:rsidRPr="00DD6178" w14:paraId="15BAAD28" w14:textId="77777777" w:rsidTr="00ED3AFB">
        <w:tc>
          <w:tcPr>
            <w:tcW w:w="844" w:type="pct"/>
            <w:vMerge/>
            <w:tcBorders>
              <w:left w:val="single" w:sz="6" w:space="0" w:color="auto"/>
              <w:right w:val="single" w:sz="4" w:space="0" w:color="auto"/>
            </w:tcBorders>
          </w:tcPr>
          <w:p w14:paraId="0740C056" w14:textId="0A396D99" w:rsidR="0009128F" w:rsidRPr="0061726B" w:rsidRDefault="0009128F" w:rsidP="0009128F">
            <w:pPr>
              <w:autoSpaceDE w:val="0"/>
              <w:autoSpaceDN w:val="0"/>
              <w:adjustRightInd w:val="0"/>
              <w:ind w:left="-3"/>
              <w:rPr>
                <w:b/>
                <w:bCs/>
                <w:sz w:val="20"/>
                <w:szCs w:val="20"/>
                <w:lang w:val="es-ES"/>
              </w:rPr>
            </w:pPr>
          </w:p>
        </w:tc>
        <w:tc>
          <w:tcPr>
            <w:tcW w:w="1356" w:type="pct"/>
            <w:tcBorders>
              <w:top w:val="single" w:sz="6" w:space="0" w:color="auto"/>
              <w:left w:val="single" w:sz="6" w:space="0" w:color="auto"/>
              <w:bottom w:val="single" w:sz="6" w:space="0" w:color="auto"/>
              <w:right w:val="single" w:sz="4" w:space="0" w:color="auto"/>
            </w:tcBorders>
          </w:tcPr>
          <w:p w14:paraId="5A1F633B" w14:textId="69924B93" w:rsidR="0009128F" w:rsidRPr="0038434F" w:rsidRDefault="0009128F" w:rsidP="0009128F">
            <w:pPr>
              <w:autoSpaceDE w:val="0"/>
              <w:autoSpaceDN w:val="0"/>
              <w:adjustRightInd w:val="0"/>
              <w:rPr>
                <w:sz w:val="20"/>
                <w:szCs w:val="20"/>
                <w:lang w:val="es-ES_tradnl"/>
              </w:rPr>
            </w:pPr>
            <w:r w:rsidRPr="0038434F">
              <w:rPr>
                <w:sz w:val="20"/>
                <w:szCs w:val="20"/>
                <w:lang w:val="es-ES_tradnl"/>
              </w:rPr>
              <w:t>Las decisiones adoptadas por la CREE son publicadas de acuerdo a lo establecido en la LGIE</w:t>
            </w:r>
          </w:p>
        </w:tc>
        <w:tc>
          <w:tcPr>
            <w:tcW w:w="1352" w:type="pct"/>
            <w:tcBorders>
              <w:top w:val="single" w:sz="6" w:space="0" w:color="auto"/>
              <w:left w:val="single" w:sz="6" w:space="0" w:color="auto"/>
              <w:bottom w:val="single" w:sz="6" w:space="0" w:color="auto"/>
              <w:right w:val="single" w:sz="6" w:space="0" w:color="auto"/>
            </w:tcBorders>
          </w:tcPr>
          <w:p w14:paraId="012EACEC" w14:textId="03794840" w:rsidR="0009128F" w:rsidRPr="0038434F" w:rsidRDefault="0009128F" w:rsidP="0009128F">
            <w:pPr>
              <w:autoSpaceDE w:val="0"/>
              <w:autoSpaceDN w:val="0"/>
              <w:adjustRightInd w:val="0"/>
              <w:rPr>
                <w:sz w:val="20"/>
                <w:szCs w:val="20"/>
                <w:lang w:val="es-ES_tradnl"/>
              </w:rPr>
            </w:pPr>
            <w:bookmarkStart w:id="8" w:name="_Hlk498527192"/>
            <w:r w:rsidRPr="0038434F">
              <w:rPr>
                <w:sz w:val="20"/>
                <w:szCs w:val="20"/>
                <w:lang w:val="es-ES_tradnl"/>
              </w:rPr>
              <w:t>Que las decisiones adoptadas por la CREE estén siendo publicadas de acuerdo con lo establecido en la LGIE.</w:t>
            </w:r>
            <w:bookmarkEnd w:id="8"/>
          </w:p>
        </w:tc>
        <w:tc>
          <w:tcPr>
            <w:tcW w:w="1448" w:type="pct"/>
            <w:tcBorders>
              <w:top w:val="single" w:sz="6" w:space="0" w:color="auto"/>
              <w:left w:val="single" w:sz="6" w:space="0" w:color="auto"/>
              <w:bottom w:val="single" w:sz="6" w:space="0" w:color="auto"/>
              <w:right w:val="single" w:sz="6" w:space="0" w:color="auto"/>
            </w:tcBorders>
          </w:tcPr>
          <w:p w14:paraId="54F9FF0E" w14:textId="236E4495" w:rsidR="0009128F" w:rsidRPr="0038434F" w:rsidRDefault="0009128F" w:rsidP="0009128F">
            <w:pPr>
              <w:autoSpaceDE w:val="0"/>
              <w:autoSpaceDN w:val="0"/>
              <w:adjustRightInd w:val="0"/>
              <w:rPr>
                <w:sz w:val="20"/>
                <w:szCs w:val="20"/>
                <w:lang w:val="es-ES_tradnl"/>
              </w:rPr>
            </w:pPr>
            <w:r w:rsidRPr="0038434F">
              <w:rPr>
                <w:sz w:val="20"/>
                <w:szCs w:val="20"/>
                <w:lang w:val="es-ES_tradnl"/>
              </w:rPr>
              <w:t>No se modifica</w:t>
            </w:r>
          </w:p>
        </w:tc>
      </w:tr>
      <w:tr w:rsidR="0009128F" w:rsidRPr="00A97777" w14:paraId="4D3D8025" w14:textId="77777777" w:rsidTr="00ED3AFB">
        <w:trPr>
          <w:trHeight w:val="1546"/>
        </w:trPr>
        <w:tc>
          <w:tcPr>
            <w:tcW w:w="844" w:type="pct"/>
            <w:vMerge/>
            <w:tcBorders>
              <w:left w:val="single" w:sz="6" w:space="0" w:color="auto"/>
              <w:bottom w:val="single" w:sz="6" w:space="0" w:color="auto"/>
              <w:right w:val="single" w:sz="4" w:space="0" w:color="auto"/>
            </w:tcBorders>
          </w:tcPr>
          <w:p w14:paraId="34F2EBD3" w14:textId="7B3B389E" w:rsidR="0009128F" w:rsidRPr="0061726B" w:rsidRDefault="0009128F" w:rsidP="0009128F">
            <w:pPr>
              <w:autoSpaceDE w:val="0"/>
              <w:autoSpaceDN w:val="0"/>
              <w:adjustRightInd w:val="0"/>
              <w:ind w:left="-3"/>
              <w:rPr>
                <w:b/>
                <w:bCs/>
                <w:sz w:val="20"/>
                <w:szCs w:val="20"/>
                <w:lang w:val="es-ES"/>
              </w:rPr>
            </w:pPr>
          </w:p>
        </w:tc>
        <w:tc>
          <w:tcPr>
            <w:tcW w:w="1356" w:type="pct"/>
            <w:tcBorders>
              <w:top w:val="single" w:sz="6" w:space="0" w:color="auto"/>
              <w:left w:val="single" w:sz="6" w:space="0" w:color="auto"/>
              <w:bottom w:val="single" w:sz="6" w:space="0" w:color="auto"/>
              <w:right w:val="single" w:sz="4" w:space="0" w:color="auto"/>
            </w:tcBorders>
          </w:tcPr>
          <w:p w14:paraId="664DCA01" w14:textId="6248D34C" w:rsidR="0009128F" w:rsidRPr="0038434F" w:rsidRDefault="0009128F" w:rsidP="0009128F">
            <w:pPr>
              <w:autoSpaceDE w:val="0"/>
              <w:autoSpaceDN w:val="0"/>
              <w:adjustRightInd w:val="0"/>
              <w:rPr>
                <w:sz w:val="20"/>
                <w:szCs w:val="20"/>
                <w:lang w:val="es-ES_tradnl"/>
              </w:rPr>
            </w:pPr>
            <w:r w:rsidRPr="0038434F">
              <w:rPr>
                <w:sz w:val="20"/>
                <w:szCs w:val="20"/>
                <w:lang w:val="es-ES_tradnl"/>
              </w:rPr>
              <w:t>La CREE presenta su informe anual al Poder Ejecutivo y al Congreso indicando el funcionamiento del sector y las medidas adicionales que será necesario adoptar.</w:t>
            </w:r>
          </w:p>
        </w:tc>
        <w:tc>
          <w:tcPr>
            <w:tcW w:w="1352" w:type="pct"/>
            <w:tcBorders>
              <w:top w:val="single" w:sz="6" w:space="0" w:color="auto"/>
              <w:left w:val="single" w:sz="6" w:space="0" w:color="auto"/>
              <w:bottom w:val="single" w:sz="6" w:space="0" w:color="auto"/>
              <w:right w:val="single" w:sz="6" w:space="0" w:color="auto"/>
            </w:tcBorders>
          </w:tcPr>
          <w:p w14:paraId="514B65B9" w14:textId="40149EEC" w:rsidR="0009128F" w:rsidRPr="0038434F" w:rsidRDefault="0009128F" w:rsidP="0009128F">
            <w:pPr>
              <w:autoSpaceDE w:val="0"/>
              <w:autoSpaceDN w:val="0"/>
              <w:adjustRightInd w:val="0"/>
              <w:rPr>
                <w:sz w:val="20"/>
                <w:szCs w:val="20"/>
                <w:lang w:val="es-ES_tradnl"/>
              </w:rPr>
            </w:pPr>
            <w:bookmarkStart w:id="9" w:name="_Hlk498527224"/>
            <w:r w:rsidRPr="0038434F">
              <w:rPr>
                <w:sz w:val="20"/>
                <w:szCs w:val="20"/>
                <w:lang w:val="es-ES_tradnl"/>
              </w:rPr>
              <w:t>Que se haya presentado al Poder Ejecutivo y al Congreso el informe anual de la CREE indicando el funcionamiento del sector y las medidas adicionales que será necesario adoptar</w:t>
            </w:r>
            <w:bookmarkEnd w:id="9"/>
            <w:r w:rsidRPr="0038434F">
              <w:rPr>
                <w:sz w:val="20"/>
                <w:szCs w:val="20"/>
                <w:lang w:val="es-ES_tradnl"/>
              </w:rPr>
              <w:t>.</w:t>
            </w:r>
          </w:p>
        </w:tc>
        <w:tc>
          <w:tcPr>
            <w:tcW w:w="1448" w:type="pct"/>
            <w:tcBorders>
              <w:top w:val="single" w:sz="6" w:space="0" w:color="auto"/>
              <w:left w:val="single" w:sz="6" w:space="0" w:color="auto"/>
              <w:bottom w:val="single" w:sz="6" w:space="0" w:color="auto"/>
              <w:right w:val="single" w:sz="6" w:space="0" w:color="auto"/>
            </w:tcBorders>
          </w:tcPr>
          <w:p w14:paraId="593E7C90" w14:textId="2C22549C" w:rsidR="0009128F" w:rsidRPr="0038434F" w:rsidRDefault="0009128F" w:rsidP="0009128F">
            <w:pPr>
              <w:autoSpaceDE w:val="0"/>
              <w:autoSpaceDN w:val="0"/>
              <w:adjustRightInd w:val="0"/>
              <w:rPr>
                <w:sz w:val="20"/>
                <w:szCs w:val="20"/>
                <w:lang w:val="es-ES_tradnl"/>
              </w:rPr>
            </w:pPr>
            <w:r w:rsidRPr="0038434F">
              <w:rPr>
                <w:color w:val="000000"/>
                <w:sz w:val="20"/>
                <w:szCs w:val="20"/>
                <w:lang w:val="es-ES_tradnl"/>
              </w:rPr>
              <w:t xml:space="preserve">Se modifica </w:t>
            </w:r>
            <w:r w:rsidRPr="0038434F">
              <w:rPr>
                <w:sz w:val="20"/>
                <w:szCs w:val="20"/>
                <w:lang w:val="es-ES_tradnl"/>
              </w:rPr>
              <w:t>para reflejar el hecho de que la CREE presenta su informe al Ejecutivo y el Presidente lo hace ante el Congreso.</w:t>
            </w:r>
          </w:p>
        </w:tc>
      </w:tr>
      <w:tr w:rsidR="0009128F" w:rsidRPr="00056C9E" w14:paraId="1DB25A6F" w14:textId="77777777" w:rsidTr="00ED3AFB">
        <w:tc>
          <w:tcPr>
            <w:tcW w:w="844" w:type="pct"/>
            <w:vMerge w:val="restart"/>
            <w:tcBorders>
              <w:top w:val="single" w:sz="6" w:space="0" w:color="auto"/>
              <w:left w:val="single" w:sz="6" w:space="0" w:color="auto"/>
              <w:right w:val="single" w:sz="6" w:space="0" w:color="auto"/>
            </w:tcBorders>
            <w:hideMark/>
          </w:tcPr>
          <w:p w14:paraId="01F7E671" w14:textId="77777777" w:rsidR="0009128F" w:rsidRPr="0061726B" w:rsidRDefault="0009128F" w:rsidP="0009128F">
            <w:pPr>
              <w:rPr>
                <w:b/>
                <w:sz w:val="20"/>
                <w:szCs w:val="20"/>
                <w:lang w:val="es-ES"/>
              </w:rPr>
            </w:pPr>
            <w:r w:rsidRPr="0061726B">
              <w:rPr>
                <w:b/>
                <w:sz w:val="20"/>
                <w:szCs w:val="20"/>
                <w:lang w:val="es-ES"/>
              </w:rPr>
              <w:t xml:space="preserve">I-4 Contar con una entidad y con los reglamentos necesarios para la operación y planificación del sistema eléctrico nacional. </w:t>
            </w:r>
          </w:p>
          <w:p w14:paraId="1E503387" w14:textId="7040C8DE" w:rsidR="0009128F" w:rsidRPr="0061726B" w:rsidRDefault="0009128F" w:rsidP="0009128F">
            <w:pPr>
              <w:rPr>
                <w:b/>
                <w:sz w:val="20"/>
                <w:szCs w:val="20"/>
                <w:lang w:val="es-ES"/>
              </w:rPr>
            </w:pPr>
          </w:p>
          <w:p w14:paraId="05D5778C" w14:textId="52DFD6D0" w:rsidR="0009128F" w:rsidRPr="0061726B" w:rsidRDefault="0009128F" w:rsidP="0009128F">
            <w:pPr>
              <w:rPr>
                <w:b/>
                <w:sz w:val="20"/>
                <w:szCs w:val="20"/>
                <w:lang w:val="es-ES"/>
              </w:rPr>
            </w:pPr>
          </w:p>
          <w:p w14:paraId="6957F47F" w14:textId="22F95934" w:rsidR="0009128F" w:rsidRPr="0061726B" w:rsidRDefault="0009128F" w:rsidP="0009128F">
            <w:pPr>
              <w:rPr>
                <w:b/>
                <w:sz w:val="20"/>
                <w:szCs w:val="20"/>
                <w:lang w:val="es-ES"/>
              </w:rPr>
            </w:pPr>
          </w:p>
          <w:p w14:paraId="4720FBC6" w14:textId="4D892FBE" w:rsidR="0009128F" w:rsidRPr="0061726B" w:rsidRDefault="0009128F" w:rsidP="0009128F">
            <w:pPr>
              <w:rPr>
                <w:b/>
                <w:sz w:val="20"/>
                <w:szCs w:val="20"/>
                <w:lang w:val="es-ES"/>
              </w:rPr>
            </w:pPr>
          </w:p>
        </w:tc>
        <w:tc>
          <w:tcPr>
            <w:tcW w:w="1356" w:type="pct"/>
            <w:tcBorders>
              <w:top w:val="single" w:sz="6" w:space="0" w:color="auto"/>
              <w:left w:val="single" w:sz="6" w:space="0" w:color="auto"/>
              <w:bottom w:val="single" w:sz="4" w:space="0" w:color="auto"/>
              <w:right w:val="single" w:sz="6" w:space="0" w:color="auto"/>
            </w:tcBorders>
          </w:tcPr>
          <w:p w14:paraId="25B3FF3B" w14:textId="6AC4CEE3" w:rsidR="0009128F" w:rsidRPr="0038434F" w:rsidRDefault="0009128F" w:rsidP="0009128F">
            <w:pPr>
              <w:autoSpaceDE w:val="0"/>
              <w:autoSpaceDN w:val="0"/>
              <w:adjustRightInd w:val="0"/>
              <w:rPr>
                <w:sz w:val="20"/>
                <w:szCs w:val="20"/>
                <w:lang w:val="es-ES_tradnl"/>
              </w:rPr>
            </w:pPr>
            <w:r w:rsidRPr="0038434F">
              <w:rPr>
                <w:sz w:val="20"/>
                <w:szCs w:val="20"/>
                <w:lang w:val="es-ES_tradnl"/>
              </w:rPr>
              <w:lastRenderedPageBreak/>
              <w:t>Se ha conformado el Operador del Sistema Eléctrico Nacional, de conformidad con lo dispuesto en la LGIE.</w:t>
            </w:r>
          </w:p>
        </w:tc>
        <w:tc>
          <w:tcPr>
            <w:tcW w:w="1352" w:type="pct"/>
            <w:tcBorders>
              <w:top w:val="single" w:sz="6" w:space="0" w:color="auto"/>
              <w:left w:val="single" w:sz="6" w:space="0" w:color="auto"/>
              <w:bottom w:val="single" w:sz="4" w:space="0" w:color="auto"/>
              <w:right w:val="single" w:sz="6" w:space="0" w:color="auto"/>
            </w:tcBorders>
          </w:tcPr>
          <w:p w14:paraId="73B93FDF" w14:textId="77777777" w:rsidR="0009128F" w:rsidRPr="0038434F" w:rsidRDefault="0009128F" w:rsidP="0009128F">
            <w:pPr>
              <w:autoSpaceDE w:val="0"/>
              <w:autoSpaceDN w:val="0"/>
              <w:adjustRightInd w:val="0"/>
              <w:rPr>
                <w:sz w:val="20"/>
                <w:szCs w:val="20"/>
                <w:lang w:val="es-ES_tradnl"/>
              </w:rPr>
            </w:pPr>
            <w:bookmarkStart w:id="10" w:name="_Hlk498527252"/>
            <w:r w:rsidRPr="0038434F">
              <w:rPr>
                <w:sz w:val="20"/>
                <w:szCs w:val="20"/>
                <w:lang w:val="es-ES_tradnl"/>
              </w:rPr>
              <w:t>Que se haya conformado el Operador del Sistema Eléctrico Nacional, de conformidad con lo dispuesto en la LGIE</w:t>
            </w:r>
          </w:p>
          <w:bookmarkEnd w:id="10"/>
          <w:p w14:paraId="27F7C3B6" w14:textId="77777777" w:rsidR="0009128F" w:rsidRPr="0038434F" w:rsidRDefault="0009128F" w:rsidP="0009128F">
            <w:pPr>
              <w:autoSpaceDE w:val="0"/>
              <w:autoSpaceDN w:val="0"/>
              <w:adjustRightInd w:val="0"/>
              <w:rPr>
                <w:color w:val="000000"/>
                <w:sz w:val="20"/>
                <w:szCs w:val="20"/>
                <w:lang w:val="es-ES_tradnl"/>
              </w:rPr>
            </w:pPr>
          </w:p>
        </w:tc>
        <w:tc>
          <w:tcPr>
            <w:tcW w:w="1448" w:type="pct"/>
            <w:tcBorders>
              <w:top w:val="single" w:sz="6" w:space="0" w:color="auto"/>
              <w:left w:val="single" w:sz="6" w:space="0" w:color="auto"/>
              <w:bottom w:val="single" w:sz="4" w:space="0" w:color="auto"/>
              <w:right w:val="single" w:sz="6" w:space="0" w:color="auto"/>
            </w:tcBorders>
          </w:tcPr>
          <w:p w14:paraId="062D94CE" w14:textId="22A6EE58" w:rsidR="0009128F" w:rsidRPr="0038434F" w:rsidRDefault="0009128F" w:rsidP="0009128F">
            <w:pPr>
              <w:autoSpaceDE w:val="0"/>
              <w:autoSpaceDN w:val="0"/>
              <w:adjustRightInd w:val="0"/>
              <w:rPr>
                <w:sz w:val="20"/>
                <w:szCs w:val="20"/>
                <w:lang w:val="es-ES_tradnl"/>
              </w:rPr>
            </w:pPr>
            <w:r w:rsidRPr="0038434F">
              <w:rPr>
                <w:sz w:val="20"/>
                <w:szCs w:val="20"/>
                <w:lang w:val="es-ES_tradnl"/>
              </w:rPr>
              <w:t>No se modifica. Esta condición se transfirió del segundo al tercer tramo</w:t>
            </w:r>
          </w:p>
        </w:tc>
      </w:tr>
      <w:tr w:rsidR="0009128F" w:rsidRPr="00056C9E" w14:paraId="02BE0EA0" w14:textId="77777777" w:rsidTr="00ED3AFB">
        <w:tc>
          <w:tcPr>
            <w:tcW w:w="844" w:type="pct"/>
            <w:vMerge/>
            <w:tcBorders>
              <w:top w:val="single" w:sz="6" w:space="0" w:color="auto"/>
              <w:left w:val="single" w:sz="6" w:space="0" w:color="auto"/>
              <w:right w:val="single" w:sz="6" w:space="0" w:color="auto"/>
            </w:tcBorders>
          </w:tcPr>
          <w:p w14:paraId="39B5867D" w14:textId="77777777" w:rsidR="0009128F" w:rsidRPr="0061726B" w:rsidRDefault="0009128F" w:rsidP="0009128F">
            <w:pPr>
              <w:rPr>
                <w:b/>
                <w:sz w:val="20"/>
                <w:szCs w:val="20"/>
                <w:lang w:val="es-ES"/>
              </w:rPr>
            </w:pPr>
          </w:p>
        </w:tc>
        <w:tc>
          <w:tcPr>
            <w:tcW w:w="1356" w:type="pct"/>
            <w:tcBorders>
              <w:top w:val="single" w:sz="6" w:space="0" w:color="auto"/>
              <w:left w:val="single" w:sz="6" w:space="0" w:color="auto"/>
              <w:bottom w:val="single" w:sz="4" w:space="0" w:color="auto"/>
              <w:right w:val="single" w:sz="6" w:space="0" w:color="auto"/>
            </w:tcBorders>
          </w:tcPr>
          <w:p w14:paraId="03F548DF" w14:textId="1B41D80C" w:rsidR="0009128F" w:rsidRPr="0038434F" w:rsidRDefault="0009128F" w:rsidP="0009128F">
            <w:pPr>
              <w:autoSpaceDE w:val="0"/>
              <w:autoSpaceDN w:val="0"/>
              <w:adjustRightInd w:val="0"/>
              <w:rPr>
                <w:sz w:val="20"/>
                <w:szCs w:val="20"/>
                <w:lang w:val="es-ES"/>
              </w:rPr>
            </w:pPr>
            <w:r w:rsidRPr="0038434F">
              <w:rPr>
                <w:sz w:val="20"/>
                <w:szCs w:val="20"/>
                <w:lang w:val="es-ES_tradnl"/>
              </w:rPr>
              <w:t>Se ha establecido el Comité de Agentes del Mercado.</w:t>
            </w:r>
          </w:p>
        </w:tc>
        <w:tc>
          <w:tcPr>
            <w:tcW w:w="1352" w:type="pct"/>
            <w:tcBorders>
              <w:top w:val="single" w:sz="6" w:space="0" w:color="auto"/>
              <w:left w:val="single" w:sz="6" w:space="0" w:color="auto"/>
              <w:bottom w:val="single" w:sz="4" w:space="0" w:color="auto"/>
              <w:right w:val="single" w:sz="6" w:space="0" w:color="auto"/>
            </w:tcBorders>
          </w:tcPr>
          <w:p w14:paraId="764F59AC" w14:textId="77777777" w:rsidR="0009128F" w:rsidRPr="0038434F" w:rsidRDefault="0009128F" w:rsidP="0009128F">
            <w:pPr>
              <w:autoSpaceDE w:val="0"/>
              <w:autoSpaceDN w:val="0"/>
              <w:adjustRightInd w:val="0"/>
              <w:rPr>
                <w:sz w:val="20"/>
                <w:szCs w:val="20"/>
                <w:lang w:val="es-ES_tradnl"/>
              </w:rPr>
            </w:pPr>
            <w:bookmarkStart w:id="11" w:name="_Hlk498527280"/>
            <w:r w:rsidRPr="0038434F">
              <w:rPr>
                <w:sz w:val="20"/>
                <w:szCs w:val="20"/>
                <w:lang w:val="es-ES_tradnl"/>
              </w:rPr>
              <w:t>Que se haya establecido el Comité de Agentes del Mercado.</w:t>
            </w:r>
          </w:p>
          <w:bookmarkEnd w:id="11"/>
          <w:p w14:paraId="73F95638" w14:textId="77777777" w:rsidR="0009128F" w:rsidRPr="0038434F" w:rsidRDefault="0009128F" w:rsidP="0009128F">
            <w:pPr>
              <w:autoSpaceDE w:val="0"/>
              <w:autoSpaceDN w:val="0"/>
              <w:adjustRightInd w:val="0"/>
              <w:rPr>
                <w:sz w:val="20"/>
                <w:szCs w:val="20"/>
                <w:lang w:val="es-ES_tradnl"/>
              </w:rPr>
            </w:pPr>
          </w:p>
        </w:tc>
        <w:tc>
          <w:tcPr>
            <w:tcW w:w="1448" w:type="pct"/>
            <w:tcBorders>
              <w:top w:val="single" w:sz="6" w:space="0" w:color="auto"/>
              <w:left w:val="single" w:sz="6" w:space="0" w:color="auto"/>
              <w:bottom w:val="single" w:sz="4" w:space="0" w:color="auto"/>
              <w:right w:val="single" w:sz="6" w:space="0" w:color="auto"/>
            </w:tcBorders>
          </w:tcPr>
          <w:p w14:paraId="6B9D0B0E" w14:textId="3D74074A" w:rsidR="0009128F" w:rsidRPr="0038434F" w:rsidRDefault="0009128F" w:rsidP="0009128F">
            <w:pPr>
              <w:autoSpaceDE w:val="0"/>
              <w:autoSpaceDN w:val="0"/>
              <w:adjustRightInd w:val="0"/>
              <w:rPr>
                <w:color w:val="000000"/>
                <w:sz w:val="20"/>
                <w:szCs w:val="20"/>
                <w:lang w:val="es-ES_tradnl"/>
              </w:rPr>
            </w:pPr>
            <w:r w:rsidRPr="0038434F">
              <w:rPr>
                <w:color w:val="000000"/>
                <w:sz w:val="20"/>
                <w:szCs w:val="20"/>
                <w:lang w:val="es-ES_tradnl"/>
              </w:rPr>
              <w:t>No se modifica. Esta condición se transfirió del segundo al tercer tramo</w:t>
            </w:r>
          </w:p>
        </w:tc>
      </w:tr>
      <w:tr w:rsidR="0009128F" w:rsidRPr="00056C9E" w14:paraId="14DE1A59" w14:textId="77777777" w:rsidTr="00ED3AFB">
        <w:tc>
          <w:tcPr>
            <w:tcW w:w="844" w:type="pct"/>
            <w:vMerge/>
            <w:tcBorders>
              <w:left w:val="single" w:sz="6" w:space="0" w:color="auto"/>
              <w:right w:val="single" w:sz="6" w:space="0" w:color="auto"/>
            </w:tcBorders>
          </w:tcPr>
          <w:p w14:paraId="2003F3F6" w14:textId="2C81EF01" w:rsidR="0009128F" w:rsidRPr="0061726B" w:rsidRDefault="0009128F" w:rsidP="0009128F">
            <w:pPr>
              <w:rPr>
                <w:b/>
                <w:sz w:val="20"/>
                <w:szCs w:val="20"/>
                <w:lang w:val="es-ES"/>
              </w:rPr>
            </w:pPr>
          </w:p>
        </w:tc>
        <w:tc>
          <w:tcPr>
            <w:tcW w:w="1356" w:type="pct"/>
            <w:tcBorders>
              <w:top w:val="single" w:sz="6" w:space="0" w:color="auto"/>
              <w:left w:val="single" w:sz="6" w:space="0" w:color="auto"/>
              <w:bottom w:val="single" w:sz="4" w:space="0" w:color="auto"/>
              <w:right w:val="single" w:sz="6" w:space="0" w:color="auto"/>
            </w:tcBorders>
          </w:tcPr>
          <w:p w14:paraId="52B2F5BD" w14:textId="480A0852" w:rsidR="0009128F" w:rsidRPr="0038434F" w:rsidRDefault="0009128F" w:rsidP="0009128F">
            <w:pPr>
              <w:autoSpaceDE w:val="0"/>
              <w:autoSpaceDN w:val="0"/>
              <w:adjustRightInd w:val="0"/>
              <w:spacing w:before="120"/>
              <w:rPr>
                <w:sz w:val="20"/>
                <w:szCs w:val="20"/>
                <w:lang w:val="es-ES_tradnl"/>
              </w:rPr>
            </w:pPr>
            <w:r w:rsidRPr="0038434F">
              <w:rPr>
                <w:sz w:val="20"/>
                <w:szCs w:val="20"/>
                <w:lang w:val="es-ES_tradnl"/>
              </w:rPr>
              <w:t>El Operador del Sistema define y publica el plan de expansión de generación y transmisión.</w:t>
            </w:r>
          </w:p>
        </w:tc>
        <w:tc>
          <w:tcPr>
            <w:tcW w:w="1352" w:type="pct"/>
            <w:tcBorders>
              <w:top w:val="single" w:sz="6" w:space="0" w:color="auto"/>
              <w:left w:val="single" w:sz="6" w:space="0" w:color="auto"/>
              <w:bottom w:val="single" w:sz="4" w:space="0" w:color="auto"/>
              <w:right w:val="single" w:sz="6" w:space="0" w:color="auto"/>
            </w:tcBorders>
          </w:tcPr>
          <w:p w14:paraId="42F6646E" w14:textId="77777777" w:rsidR="0009128F" w:rsidRPr="0038434F" w:rsidRDefault="0009128F" w:rsidP="0009128F">
            <w:pPr>
              <w:autoSpaceDE w:val="0"/>
              <w:autoSpaceDN w:val="0"/>
              <w:adjustRightInd w:val="0"/>
              <w:rPr>
                <w:sz w:val="20"/>
                <w:szCs w:val="20"/>
                <w:lang w:val="es-ES_tradnl"/>
              </w:rPr>
            </w:pPr>
            <w:bookmarkStart w:id="12" w:name="_Hlk498527303"/>
            <w:r w:rsidRPr="0038434F">
              <w:rPr>
                <w:sz w:val="20"/>
                <w:szCs w:val="20"/>
                <w:lang w:val="es-ES_tradnl"/>
              </w:rPr>
              <w:t>Que el Operador del Sistema haya definido y se haya publicado el plan de expansión de generación y transmisión.</w:t>
            </w:r>
          </w:p>
          <w:bookmarkEnd w:id="12"/>
          <w:p w14:paraId="368A378A" w14:textId="77777777" w:rsidR="0009128F" w:rsidRPr="0038434F" w:rsidRDefault="0009128F" w:rsidP="0009128F">
            <w:pPr>
              <w:autoSpaceDE w:val="0"/>
              <w:autoSpaceDN w:val="0"/>
              <w:adjustRightInd w:val="0"/>
              <w:rPr>
                <w:color w:val="000000"/>
                <w:sz w:val="20"/>
                <w:szCs w:val="20"/>
                <w:lang w:val="es-ES_tradnl"/>
              </w:rPr>
            </w:pPr>
          </w:p>
        </w:tc>
        <w:tc>
          <w:tcPr>
            <w:tcW w:w="1448" w:type="pct"/>
            <w:tcBorders>
              <w:top w:val="single" w:sz="6" w:space="0" w:color="auto"/>
              <w:left w:val="single" w:sz="6" w:space="0" w:color="auto"/>
              <w:bottom w:val="single" w:sz="4" w:space="0" w:color="auto"/>
              <w:right w:val="single" w:sz="6" w:space="0" w:color="auto"/>
            </w:tcBorders>
          </w:tcPr>
          <w:p w14:paraId="574533B9" w14:textId="38913D8B" w:rsidR="0009128F" w:rsidRPr="0038434F" w:rsidRDefault="0009128F" w:rsidP="0009128F">
            <w:pPr>
              <w:autoSpaceDE w:val="0"/>
              <w:autoSpaceDN w:val="0"/>
              <w:adjustRightInd w:val="0"/>
              <w:rPr>
                <w:sz w:val="20"/>
                <w:szCs w:val="20"/>
                <w:lang w:val="es-ES_tradnl"/>
              </w:rPr>
            </w:pPr>
            <w:r w:rsidRPr="0038434F">
              <w:rPr>
                <w:sz w:val="20"/>
                <w:szCs w:val="20"/>
                <w:lang w:val="es-ES_tradnl"/>
              </w:rPr>
              <w:t>No se modifica. Esta condición se transfirió del segundo al tercer tramo.</w:t>
            </w:r>
          </w:p>
        </w:tc>
      </w:tr>
      <w:tr w:rsidR="0009128F" w:rsidRPr="00056C9E" w14:paraId="298FC3A2" w14:textId="77777777" w:rsidTr="00ED3AFB">
        <w:tc>
          <w:tcPr>
            <w:tcW w:w="844" w:type="pct"/>
            <w:vMerge/>
            <w:tcBorders>
              <w:left w:val="single" w:sz="6" w:space="0" w:color="auto"/>
              <w:right w:val="single" w:sz="6" w:space="0" w:color="auto"/>
            </w:tcBorders>
          </w:tcPr>
          <w:p w14:paraId="6F95F5E8" w14:textId="54F9BD70" w:rsidR="0009128F" w:rsidRPr="0061726B" w:rsidRDefault="0009128F" w:rsidP="0009128F">
            <w:pPr>
              <w:rPr>
                <w:b/>
                <w:sz w:val="20"/>
                <w:szCs w:val="20"/>
                <w:lang w:val="es-ES"/>
              </w:rPr>
            </w:pPr>
          </w:p>
        </w:tc>
        <w:tc>
          <w:tcPr>
            <w:tcW w:w="1356" w:type="pct"/>
            <w:tcBorders>
              <w:top w:val="single" w:sz="6" w:space="0" w:color="auto"/>
              <w:left w:val="single" w:sz="6" w:space="0" w:color="auto"/>
              <w:bottom w:val="single" w:sz="4" w:space="0" w:color="auto"/>
              <w:right w:val="single" w:sz="6" w:space="0" w:color="auto"/>
            </w:tcBorders>
          </w:tcPr>
          <w:p w14:paraId="6707A650" w14:textId="45BFC438" w:rsidR="0009128F" w:rsidRPr="0038434F" w:rsidRDefault="0009128F" w:rsidP="0009128F">
            <w:pPr>
              <w:autoSpaceDE w:val="0"/>
              <w:autoSpaceDN w:val="0"/>
              <w:adjustRightInd w:val="0"/>
              <w:spacing w:before="120"/>
              <w:rPr>
                <w:sz w:val="20"/>
                <w:szCs w:val="20"/>
                <w:lang w:val="es-ES_tradnl"/>
              </w:rPr>
            </w:pPr>
            <w:r w:rsidRPr="0038434F">
              <w:rPr>
                <w:sz w:val="20"/>
                <w:szCs w:val="20"/>
                <w:lang w:val="es-ES_tradnl"/>
              </w:rPr>
              <w:t>El Operador del Sistema supervisa y controla las operaciones del Sistema Interconectado Nacional, administra el mercado de oportunidad, calcula el costo marginal en función del despacho al mínimo costo, verifica los costos variables a los generadores y realiza las demás funciones ordenadas en la LGIE.</w:t>
            </w:r>
          </w:p>
        </w:tc>
        <w:tc>
          <w:tcPr>
            <w:tcW w:w="1352" w:type="pct"/>
            <w:tcBorders>
              <w:top w:val="single" w:sz="6" w:space="0" w:color="auto"/>
              <w:left w:val="single" w:sz="6" w:space="0" w:color="auto"/>
              <w:bottom w:val="single" w:sz="4" w:space="0" w:color="auto"/>
              <w:right w:val="single" w:sz="6" w:space="0" w:color="auto"/>
            </w:tcBorders>
          </w:tcPr>
          <w:p w14:paraId="2B842D98" w14:textId="7EE563F6" w:rsidR="0009128F" w:rsidRPr="0038434F" w:rsidRDefault="0009128F" w:rsidP="0009128F">
            <w:pPr>
              <w:autoSpaceDE w:val="0"/>
              <w:autoSpaceDN w:val="0"/>
              <w:adjustRightInd w:val="0"/>
              <w:rPr>
                <w:color w:val="000000"/>
                <w:sz w:val="20"/>
                <w:szCs w:val="20"/>
                <w:lang w:val="es-ES_tradnl"/>
              </w:rPr>
            </w:pPr>
            <w:r w:rsidRPr="0038434F">
              <w:rPr>
                <w:sz w:val="20"/>
                <w:szCs w:val="20"/>
                <w:lang w:val="es-ES_tradnl"/>
              </w:rPr>
              <w:t xml:space="preserve">Que el Operador del Sistema cuente con los recursos financieros, el personal directivo y la infraestructura para supervisar y controlar las operaciones del Sistema Interconectado Nacional y administrar el mercado de oportunidad. </w:t>
            </w:r>
          </w:p>
        </w:tc>
        <w:tc>
          <w:tcPr>
            <w:tcW w:w="1448" w:type="pct"/>
            <w:tcBorders>
              <w:top w:val="single" w:sz="6" w:space="0" w:color="auto"/>
              <w:left w:val="single" w:sz="6" w:space="0" w:color="auto"/>
              <w:bottom w:val="single" w:sz="4" w:space="0" w:color="auto"/>
              <w:right w:val="single" w:sz="6" w:space="0" w:color="auto"/>
            </w:tcBorders>
          </w:tcPr>
          <w:p w14:paraId="0866228A" w14:textId="0009C74C" w:rsidR="0009128F" w:rsidRPr="0038434F" w:rsidRDefault="0009128F" w:rsidP="0009128F">
            <w:pPr>
              <w:rPr>
                <w:color w:val="000000"/>
                <w:sz w:val="20"/>
                <w:szCs w:val="20"/>
                <w:lang w:val="es-ES_tradnl"/>
              </w:rPr>
            </w:pPr>
            <w:r w:rsidRPr="0038434F">
              <w:rPr>
                <w:color w:val="000000"/>
                <w:sz w:val="20"/>
                <w:szCs w:val="20"/>
                <w:lang w:val="es-ES_tradnl"/>
              </w:rPr>
              <w:t>Se modifica para dividir la condición en dos partes.  Esta primera parte reflejar la capacidad institucional con la que debe contar el Operador del sistema y una segunda parte para reflejar las funciones que debe desempeñar</w:t>
            </w:r>
          </w:p>
          <w:p w14:paraId="13150C91" w14:textId="77777777" w:rsidR="0009128F" w:rsidRPr="0038434F" w:rsidRDefault="0009128F" w:rsidP="0009128F">
            <w:pPr>
              <w:rPr>
                <w:sz w:val="20"/>
                <w:szCs w:val="20"/>
                <w:lang w:val="es-ES_tradnl"/>
              </w:rPr>
            </w:pPr>
          </w:p>
        </w:tc>
      </w:tr>
      <w:tr w:rsidR="0009128F" w:rsidRPr="00056C9E" w14:paraId="40153E04" w14:textId="77777777" w:rsidTr="00ED3AFB">
        <w:trPr>
          <w:trHeight w:val="1042"/>
        </w:trPr>
        <w:tc>
          <w:tcPr>
            <w:tcW w:w="844" w:type="pct"/>
            <w:vMerge/>
            <w:tcBorders>
              <w:left w:val="single" w:sz="6" w:space="0" w:color="auto"/>
              <w:right w:val="single" w:sz="6" w:space="0" w:color="auto"/>
            </w:tcBorders>
          </w:tcPr>
          <w:p w14:paraId="4D12CC38" w14:textId="77777777" w:rsidR="0009128F" w:rsidRPr="0061726B" w:rsidRDefault="0009128F" w:rsidP="0009128F">
            <w:pPr>
              <w:rPr>
                <w:b/>
                <w:sz w:val="20"/>
                <w:szCs w:val="20"/>
                <w:lang w:val="es-ES"/>
              </w:rPr>
            </w:pPr>
          </w:p>
        </w:tc>
        <w:tc>
          <w:tcPr>
            <w:tcW w:w="1356" w:type="pct"/>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65316113" w14:textId="77777777" w:rsidR="0009128F" w:rsidRPr="0038434F" w:rsidRDefault="0009128F" w:rsidP="0009128F">
            <w:pPr>
              <w:autoSpaceDE w:val="0"/>
              <w:autoSpaceDN w:val="0"/>
              <w:adjustRightInd w:val="0"/>
              <w:rPr>
                <w:sz w:val="20"/>
                <w:szCs w:val="20"/>
                <w:lang w:val="es-ES_tradnl"/>
              </w:rPr>
            </w:pPr>
          </w:p>
        </w:tc>
        <w:tc>
          <w:tcPr>
            <w:tcW w:w="1352" w:type="pct"/>
            <w:tcBorders>
              <w:top w:val="single" w:sz="6" w:space="0" w:color="auto"/>
              <w:left w:val="single" w:sz="6" w:space="0" w:color="auto"/>
              <w:bottom w:val="single" w:sz="4" w:space="0" w:color="auto"/>
              <w:right w:val="single" w:sz="6" w:space="0" w:color="auto"/>
            </w:tcBorders>
          </w:tcPr>
          <w:p w14:paraId="015CBB07" w14:textId="77777777" w:rsidR="0009128F" w:rsidRPr="0038434F" w:rsidRDefault="0009128F" w:rsidP="0009128F">
            <w:pPr>
              <w:autoSpaceDE w:val="0"/>
              <w:autoSpaceDN w:val="0"/>
              <w:adjustRightInd w:val="0"/>
              <w:rPr>
                <w:sz w:val="20"/>
                <w:szCs w:val="20"/>
                <w:lang w:val="es-ES_tradnl"/>
              </w:rPr>
            </w:pPr>
            <w:bookmarkStart w:id="13" w:name="_Hlk498527374"/>
            <w:r w:rsidRPr="0038434F">
              <w:rPr>
                <w:sz w:val="20"/>
                <w:szCs w:val="20"/>
                <w:lang w:val="es-ES_tradnl"/>
              </w:rPr>
              <w:t>Que el Operador del Sistema calcule y publique: (i) el costo marginal en función del despacho al mínimo costo; (ii) niveles de energía producidos por diferentes tipos de tecnologías; (iii) verifique los costos variables a los generadores; y (iv) elabore el plan operativo anual para el siguiente año, según corresponda (2018 o el año siguiente a aquel en que se realice el desembolso).</w:t>
            </w:r>
          </w:p>
          <w:bookmarkEnd w:id="13"/>
          <w:p w14:paraId="326602D9" w14:textId="77777777" w:rsidR="0009128F" w:rsidRPr="0038434F" w:rsidRDefault="0009128F" w:rsidP="0009128F">
            <w:pPr>
              <w:autoSpaceDE w:val="0"/>
              <w:autoSpaceDN w:val="0"/>
              <w:adjustRightInd w:val="0"/>
              <w:rPr>
                <w:sz w:val="20"/>
                <w:szCs w:val="20"/>
                <w:lang w:val="es-ES_tradnl"/>
              </w:rPr>
            </w:pPr>
          </w:p>
        </w:tc>
        <w:tc>
          <w:tcPr>
            <w:tcW w:w="1448" w:type="pct"/>
            <w:tcBorders>
              <w:top w:val="single" w:sz="6" w:space="0" w:color="auto"/>
              <w:left w:val="single" w:sz="6" w:space="0" w:color="auto"/>
              <w:bottom w:val="single" w:sz="4" w:space="0" w:color="auto"/>
              <w:right w:val="single" w:sz="6" w:space="0" w:color="auto"/>
            </w:tcBorders>
          </w:tcPr>
          <w:p w14:paraId="16C2892D" w14:textId="411B798B" w:rsidR="0009128F" w:rsidRPr="0038434F" w:rsidRDefault="0009128F" w:rsidP="0009128F">
            <w:pPr>
              <w:rPr>
                <w:color w:val="000000"/>
                <w:sz w:val="20"/>
                <w:szCs w:val="20"/>
                <w:lang w:val="es-ES_tradnl"/>
              </w:rPr>
            </w:pPr>
            <w:r w:rsidRPr="0038434F">
              <w:rPr>
                <w:color w:val="000000"/>
                <w:sz w:val="20"/>
                <w:szCs w:val="20"/>
                <w:lang w:val="es-ES_tradnl"/>
              </w:rPr>
              <w:t xml:space="preserve">Se añade producto de la división de la condición en dos partes, como explicado arriba. Se describen las funciones </w:t>
            </w:r>
            <w:r w:rsidR="00A44885" w:rsidRPr="0038434F">
              <w:rPr>
                <w:color w:val="000000"/>
                <w:sz w:val="20"/>
                <w:szCs w:val="20"/>
                <w:lang w:val="es-ES_tradnl"/>
              </w:rPr>
              <w:t>específicas</w:t>
            </w:r>
            <w:r w:rsidRPr="0038434F">
              <w:rPr>
                <w:color w:val="000000"/>
                <w:sz w:val="20"/>
                <w:szCs w:val="20"/>
                <w:lang w:val="es-ES_tradnl"/>
              </w:rPr>
              <w:t xml:space="preserve"> y se solicita el plan de trabajo del 2018</w:t>
            </w:r>
          </w:p>
        </w:tc>
      </w:tr>
      <w:tr w:rsidR="0009128F" w:rsidRPr="00DD6178" w14:paraId="1B554A82" w14:textId="77777777" w:rsidTr="00ED3AFB">
        <w:trPr>
          <w:trHeight w:val="1600"/>
        </w:trPr>
        <w:tc>
          <w:tcPr>
            <w:tcW w:w="844" w:type="pct"/>
            <w:vMerge/>
            <w:tcBorders>
              <w:left w:val="single" w:sz="6" w:space="0" w:color="auto"/>
              <w:right w:val="single" w:sz="6" w:space="0" w:color="auto"/>
            </w:tcBorders>
          </w:tcPr>
          <w:p w14:paraId="5F81A010" w14:textId="7ECED08A" w:rsidR="0009128F" w:rsidRPr="0061726B" w:rsidRDefault="0009128F" w:rsidP="0009128F">
            <w:pPr>
              <w:rPr>
                <w:b/>
                <w:sz w:val="20"/>
                <w:szCs w:val="20"/>
                <w:lang w:val="es-ES"/>
              </w:rPr>
            </w:pPr>
          </w:p>
        </w:tc>
        <w:tc>
          <w:tcPr>
            <w:tcW w:w="1356" w:type="pct"/>
            <w:tcBorders>
              <w:top w:val="single" w:sz="6" w:space="0" w:color="auto"/>
              <w:left w:val="single" w:sz="6" w:space="0" w:color="auto"/>
              <w:bottom w:val="single" w:sz="4" w:space="0" w:color="auto"/>
              <w:right w:val="single" w:sz="6" w:space="0" w:color="auto"/>
            </w:tcBorders>
          </w:tcPr>
          <w:p w14:paraId="0AE66C8B" w14:textId="055D474A" w:rsidR="0009128F" w:rsidRPr="0038434F" w:rsidRDefault="0009128F" w:rsidP="0009128F">
            <w:pPr>
              <w:autoSpaceDE w:val="0"/>
              <w:autoSpaceDN w:val="0"/>
              <w:adjustRightInd w:val="0"/>
              <w:rPr>
                <w:sz w:val="20"/>
                <w:szCs w:val="20"/>
                <w:lang w:val="es-ES_tradnl"/>
              </w:rPr>
            </w:pPr>
            <w:r w:rsidRPr="0038434F">
              <w:rPr>
                <w:sz w:val="20"/>
                <w:szCs w:val="20"/>
                <w:lang w:val="es-ES_tradnl"/>
              </w:rPr>
              <w:t>El Comité de Agentes del Mercado realiza evaluaciones periódicas del desempeño y presenta propuestas de medidas susceptibles de mejorar el funcionamiento del sistema eléctrico y del mercado.</w:t>
            </w:r>
          </w:p>
        </w:tc>
        <w:tc>
          <w:tcPr>
            <w:tcW w:w="1352" w:type="pct"/>
            <w:tcBorders>
              <w:top w:val="single" w:sz="6" w:space="0" w:color="auto"/>
              <w:left w:val="single" w:sz="6" w:space="0" w:color="auto"/>
              <w:bottom w:val="single" w:sz="4" w:space="0" w:color="auto"/>
              <w:right w:val="single" w:sz="6" w:space="0" w:color="auto"/>
            </w:tcBorders>
          </w:tcPr>
          <w:p w14:paraId="44DEC519" w14:textId="7A7756B2" w:rsidR="0009128F" w:rsidRPr="0038434F" w:rsidRDefault="0009128F" w:rsidP="0009128F">
            <w:pPr>
              <w:autoSpaceDE w:val="0"/>
              <w:autoSpaceDN w:val="0"/>
              <w:adjustRightInd w:val="0"/>
              <w:rPr>
                <w:color w:val="000000"/>
                <w:sz w:val="20"/>
                <w:szCs w:val="20"/>
                <w:lang w:val="es-ES_tradnl"/>
              </w:rPr>
            </w:pPr>
            <w:bookmarkStart w:id="14" w:name="_Hlk498527445"/>
            <w:r w:rsidRPr="0038434F">
              <w:rPr>
                <w:sz w:val="20"/>
                <w:szCs w:val="20"/>
                <w:lang w:val="es-ES_tradnl"/>
              </w:rPr>
              <w:t>Que el Comité de Agentes del Mercado  realice evaluaciones periódicas del desempeño y  presente propuestas de medidas susceptibles de mejorar para el funcionamiento del sistema eléctrico y del mercado.</w:t>
            </w:r>
            <w:bookmarkEnd w:id="14"/>
          </w:p>
        </w:tc>
        <w:tc>
          <w:tcPr>
            <w:tcW w:w="1448" w:type="pct"/>
            <w:tcBorders>
              <w:top w:val="single" w:sz="6" w:space="0" w:color="auto"/>
              <w:left w:val="single" w:sz="6" w:space="0" w:color="auto"/>
              <w:bottom w:val="single" w:sz="4" w:space="0" w:color="auto"/>
              <w:right w:val="single" w:sz="6" w:space="0" w:color="auto"/>
            </w:tcBorders>
          </w:tcPr>
          <w:p w14:paraId="695274BC" w14:textId="7E235037" w:rsidR="0009128F" w:rsidRPr="0038434F" w:rsidRDefault="0009128F" w:rsidP="0009128F">
            <w:pPr>
              <w:rPr>
                <w:sz w:val="20"/>
                <w:szCs w:val="20"/>
                <w:lang w:val="es-ES_tradnl"/>
              </w:rPr>
            </w:pPr>
            <w:r w:rsidRPr="0038434F">
              <w:rPr>
                <w:sz w:val="20"/>
                <w:szCs w:val="20"/>
                <w:lang w:val="es-ES_tradnl"/>
              </w:rPr>
              <w:t xml:space="preserve">No se modifica. </w:t>
            </w:r>
          </w:p>
        </w:tc>
      </w:tr>
      <w:tr w:rsidR="0009128F" w:rsidRPr="00DD6178" w14:paraId="5B834638" w14:textId="77777777" w:rsidTr="00ED3AFB">
        <w:tc>
          <w:tcPr>
            <w:tcW w:w="844" w:type="pct"/>
            <w:vMerge w:val="restart"/>
            <w:tcBorders>
              <w:top w:val="single" w:sz="6" w:space="0" w:color="auto"/>
              <w:left w:val="single" w:sz="6" w:space="0" w:color="auto"/>
              <w:right w:val="single" w:sz="6" w:space="0" w:color="auto"/>
            </w:tcBorders>
            <w:hideMark/>
          </w:tcPr>
          <w:p w14:paraId="004EC4F4" w14:textId="77777777" w:rsidR="0009128F" w:rsidRPr="0061726B" w:rsidRDefault="0009128F" w:rsidP="0009128F">
            <w:pPr>
              <w:autoSpaceDE w:val="0"/>
              <w:autoSpaceDN w:val="0"/>
              <w:adjustRightInd w:val="0"/>
              <w:rPr>
                <w:bCs/>
                <w:color w:val="000000"/>
                <w:sz w:val="20"/>
                <w:szCs w:val="20"/>
                <w:lang w:val="es-ES_tradnl"/>
              </w:rPr>
            </w:pPr>
            <w:r w:rsidRPr="0061726B">
              <w:rPr>
                <w:b/>
                <w:bCs/>
                <w:sz w:val="20"/>
                <w:szCs w:val="20"/>
                <w:lang w:val="es-ES"/>
              </w:rPr>
              <w:t xml:space="preserve">II-1 Reestructurar </w:t>
            </w:r>
            <w:r w:rsidRPr="0061726B">
              <w:rPr>
                <w:b/>
                <w:sz w:val="20"/>
                <w:szCs w:val="20"/>
                <w:lang w:val="es-ES"/>
              </w:rPr>
              <w:t>la ENEE para mejorar</w:t>
            </w:r>
            <w:r w:rsidRPr="0061726B">
              <w:rPr>
                <w:b/>
                <w:bCs/>
                <w:color w:val="000000"/>
                <w:sz w:val="20"/>
                <w:szCs w:val="20"/>
                <w:lang w:val="es-ES"/>
              </w:rPr>
              <w:t xml:space="preserve"> el desempeño operativo y financiero del sector</w:t>
            </w:r>
          </w:p>
          <w:p w14:paraId="68E669BA" w14:textId="41CAEE32" w:rsidR="0009128F" w:rsidRPr="0061726B" w:rsidRDefault="0009128F" w:rsidP="0009128F">
            <w:pPr>
              <w:autoSpaceDE w:val="0"/>
              <w:autoSpaceDN w:val="0"/>
              <w:adjustRightInd w:val="0"/>
              <w:rPr>
                <w:b/>
                <w:bCs/>
                <w:sz w:val="20"/>
                <w:szCs w:val="20"/>
                <w:lang w:val="es-ES"/>
              </w:rPr>
            </w:pPr>
          </w:p>
          <w:p w14:paraId="6A730166" w14:textId="4D07DD8B" w:rsidR="0009128F" w:rsidRPr="0061726B" w:rsidRDefault="0009128F" w:rsidP="0009128F">
            <w:pPr>
              <w:autoSpaceDE w:val="0"/>
              <w:autoSpaceDN w:val="0"/>
              <w:adjustRightInd w:val="0"/>
              <w:rPr>
                <w:b/>
                <w:bCs/>
                <w:sz w:val="20"/>
                <w:szCs w:val="20"/>
                <w:lang w:val="es-ES"/>
              </w:rPr>
            </w:pPr>
          </w:p>
          <w:p w14:paraId="5909A5CE" w14:textId="5B7FB321" w:rsidR="0009128F" w:rsidRPr="0061726B" w:rsidRDefault="0009128F" w:rsidP="0009128F">
            <w:pPr>
              <w:autoSpaceDE w:val="0"/>
              <w:autoSpaceDN w:val="0"/>
              <w:adjustRightInd w:val="0"/>
              <w:rPr>
                <w:b/>
                <w:bCs/>
                <w:sz w:val="20"/>
                <w:szCs w:val="20"/>
                <w:lang w:val="es-ES"/>
              </w:rPr>
            </w:pPr>
          </w:p>
          <w:p w14:paraId="622AC46C" w14:textId="3D86127A" w:rsidR="0009128F" w:rsidRPr="0061726B" w:rsidRDefault="0009128F" w:rsidP="0009128F">
            <w:pPr>
              <w:autoSpaceDE w:val="0"/>
              <w:autoSpaceDN w:val="0"/>
              <w:adjustRightInd w:val="0"/>
              <w:rPr>
                <w:b/>
                <w:bCs/>
                <w:sz w:val="20"/>
                <w:szCs w:val="20"/>
                <w:lang w:val="es-ES"/>
              </w:rPr>
            </w:pPr>
          </w:p>
          <w:p w14:paraId="5E44259F" w14:textId="03430792" w:rsidR="0009128F" w:rsidRPr="0061726B" w:rsidRDefault="0009128F" w:rsidP="0009128F">
            <w:pPr>
              <w:autoSpaceDE w:val="0"/>
              <w:autoSpaceDN w:val="0"/>
              <w:adjustRightInd w:val="0"/>
              <w:rPr>
                <w:bCs/>
                <w:color w:val="000000"/>
                <w:sz w:val="20"/>
                <w:szCs w:val="20"/>
                <w:lang w:val="es-ES_tradnl"/>
              </w:rPr>
            </w:pPr>
          </w:p>
        </w:tc>
        <w:tc>
          <w:tcPr>
            <w:tcW w:w="1356" w:type="pct"/>
            <w:tcBorders>
              <w:top w:val="single" w:sz="6" w:space="0" w:color="auto"/>
              <w:left w:val="single" w:sz="6" w:space="0" w:color="auto"/>
              <w:bottom w:val="single" w:sz="4" w:space="0" w:color="auto"/>
              <w:right w:val="single" w:sz="6" w:space="0" w:color="auto"/>
            </w:tcBorders>
          </w:tcPr>
          <w:p w14:paraId="5EB42898" w14:textId="48D91C25" w:rsidR="0009128F" w:rsidRPr="0038434F" w:rsidRDefault="0009128F" w:rsidP="0009128F">
            <w:pPr>
              <w:autoSpaceDE w:val="0"/>
              <w:autoSpaceDN w:val="0"/>
              <w:adjustRightInd w:val="0"/>
              <w:rPr>
                <w:sz w:val="20"/>
                <w:szCs w:val="20"/>
                <w:lang w:val="es-ES_tradnl"/>
              </w:rPr>
            </w:pPr>
            <w:r w:rsidRPr="0038434F">
              <w:rPr>
                <w:sz w:val="20"/>
                <w:szCs w:val="20"/>
                <w:lang w:val="es-ES_tradnl"/>
              </w:rPr>
              <w:lastRenderedPageBreak/>
              <w:t>Se ha fortalecido la unidad de negocio de generación de la ENEE y participa competitivamente en el mercado.</w:t>
            </w:r>
          </w:p>
        </w:tc>
        <w:tc>
          <w:tcPr>
            <w:tcW w:w="1352" w:type="pct"/>
            <w:tcBorders>
              <w:top w:val="single" w:sz="6" w:space="0" w:color="auto"/>
              <w:left w:val="single" w:sz="6" w:space="0" w:color="auto"/>
              <w:bottom w:val="single" w:sz="4" w:space="0" w:color="auto"/>
              <w:right w:val="single" w:sz="6" w:space="0" w:color="auto"/>
            </w:tcBorders>
          </w:tcPr>
          <w:p w14:paraId="353CF24C" w14:textId="77777777" w:rsidR="0009128F" w:rsidRPr="0038434F" w:rsidRDefault="0009128F" w:rsidP="0009128F">
            <w:pPr>
              <w:autoSpaceDE w:val="0"/>
              <w:autoSpaceDN w:val="0"/>
              <w:adjustRightInd w:val="0"/>
              <w:rPr>
                <w:sz w:val="20"/>
                <w:szCs w:val="20"/>
                <w:lang w:val="es-ES_tradnl"/>
              </w:rPr>
            </w:pPr>
            <w:r w:rsidRPr="0038434F">
              <w:rPr>
                <w:sz w:val="20"/>
                <w:szCs w:val="20"/>
                <w:lang w:val="es-ES_tradnl"/>
              </w:rPr>
              <w:t>Que se haya fortalecido la unidad de negocio de generación de la ENEE y esta participa competitivamente en el mercado.</w:t>
            </w:r>
          </w:p>
          <w:p w14:paraId="1642927E" w14:textId="264EBB17" w:rsidR="0009128F" w:rsidRPr="0038434F" w:rsidRDefault="0009128F" w:rsidP="0009128F">
            <w:pPr>
              <w:autoSpaceDE w:val="0"/>
              <w:autoSpaceDN w:val="0"/>
              <w:adjustRightInd w:val="0"/>
              <w:rPr>
                <w:b/>
                <w:sz w:val="20"/>
                <w:szCs w:val="20"/>
                <w:lang w:val="es-ES_tradnl"/>
              </w:rPr>
            </w:pPr>
          </w:p>
        </w:tc>
        <w:tc>
          <w:tcPr>
            <w:tcW w:w="1448" w:type="pct"/>
            <w:tcBorders>
              <w:top w:val="single" w:sz="6" w:space="0" w:color="auto"/>
              <w:left w:val="single" w:sz="6" w:space="0" w:color="auto"/>
              <w:bottom w:val="single" w:sz="4" w:space="0" w:color="auto"/>
              <w:right w:val="single" w:sz="6" w:space="0" w:color="auto"/>
            </w:tcBorders>
          </w:tcPr>
          <w:p w14:paraId="46A8F9C8" w14:textId="0F169747" w:rsidR="0009128F" w:rsidRPr="0038434F" w:rsidRDefault="0009128F" w:rsidP="0009128F">
            <w:pPr>
              <w:autoSpaceDE w:val="0"/>
              <w:autoSpaceDN w:val="0"/>
              <w:adjustRightInd w:val="0"/>
              <w:rPr>
                <w:sz w:val="20"/>
                <w:szCs w:val="20"/>
                <w:lang w:val="es-ES_tradnl"/>
              </w:rPr>
            </w:pPr>
            <w:r w:rsidRPr="0038434F">
              <w:rPr>
                <w:sz w:val="20"/>
                <w:szCs w:val="20"/>
                <w:lang w:val="es-ES_tradnl"/>
              </w:rPr>
              <w:t>No se modifica.</w:t>
            </w:r>
          </w:p>
        </w:tc>
      </w:tr>
      <w:tr w:rsidR="0009128F" w:rsidRPr="00056C9E" w14:paraId="632FE07E" w14:textId="77777777" w:rsidTr="00ED3AFB">
        <w:tc>
          <w:tcPr>
            <w:tcW w:w="844" w:type="pct"/>
            <w:vMerge/>
            <w:tcBorders>
              <w:left w:val="single" w:sz="6" w:space="0" w:color="auto"/>
              <w:right w:val="single" w:sz="6" w:space="0" w:color="auto"/>
            </w:tcBorders>
          </w:tcPr>
          <w:p w14:paraId="407FC8E9" w14:textId="713E0C84" w:rsidR="0009128F" w:rsidRPr="0061726B" w:rsidRDefault="0009128F" w:rsidP="0009128F">
            <w:pPr>
              <w:autoSpaceDE w:val="0"/>
              <w:autoSpaceDN w:val="0"/>
              <w:adjustRightInd w:val="0"/>
              <w:rPr>
                <w:b/>
                <w:bCs/>
                <w:sz w:val="20"/>
                <w:szCs w:val="20"/>
                <w:lang w:val="es-ES"/>
              </w:rPr>
            </w:pPr>
          </w:p>
        </w:tc>
        <w:tc>
          <w:tcPr>
            <w:tcW w:w="1356" w:type="pct"/>
            <w:tcBorders>
              <w:top w:val="single" w:sz="6" w:space="0" w:color="auto"/>
              <w:left w:val="single" w:sz="6" w:space="0" w:color="auto"/>
              <w:bottom w:val="single" w:sz="4" w:space="0" w:color="auto"/>
              <w:right w:val="single" w:sz="6" w:space="0" w:color="auto"/>
            </w:tcBorders>
          </w:tcPr>
          <w:p w14:paraId="014B5975" w14:textId="0D4BB8CC" w:rsidR="0009128F" w:rsidRPr="0038434F" w:rsidRDefault="0009128F" w:rsidP="0009128F">
            <w:pPr>
              <w:autoSpaceDE w:val="0"/>
              <w:autoSpaceDN w:val="0"/>
              <w:adjustRightInd w:val="0"/>
              <w:rPr>
                <w:sz w:val="20"/>
                <w:szCs w:val="20"/>
                <w:lang w:val="es-ES_tradnl"/>
              </w:rPr>
            </w:pPr>
            <w:r w:rsidRPr="0038434F">
              <w:rPr>
                <w:sz w:val="20"/>
                <w:szCs w:val="20"/>
                <w:lang w:val="es-ES_tradnl"/>
              </w:rPr>
              <w:t>Se han establecido los contratos con operadores/gestores privados para los segmentos de transmisión y distribución de la ENEE, y las mismas operan satisfactoriamente.</w:t>
            </w:r>
          </w:p>
        </w:tc>
        <w:tc>
          <w:tcPr>
            <w:tcW w:w="1352" w:type="pct"/>
            <w:tcBorders>
              <w:top w:val="single" w:sz="6" w:space="0" w:color="auto"/>
              <w:left w:val="single" w:sz="6" w:space="0" w:color="auto"/>
              <w:bottom w:val="single" w:sz="4" w:space="0" w:color="auto"/>
              <w:right w:val="single" w:sz="6" w:space="0" w:color="auto"/>
            </w:tcBorders>
          </w:tcPr>
          <w:p w14:paraId="26460EED" w14:textId="77777777" w:rsidR="00ED3AFB" w:rsidRPr="0038434F" w:rsidRDefault="00ED3AFB" w:rsidP="00ED3AFB">
            <w:pPr>
              <w:autoSpaceDE w:val="0"/>
              <w:autoSpaceDN w:val="0"/>
              <w:adjustRightInd w:val="0"/>
              <w:rPr>
                <w:sz w:val="20"/>
                <w:szCs w:val="20"/>
                <w:lang w:val="es-ES"/>
              </w:rPr>
            </w:pPr>
            <w:r w:rsidRPr="0038434F">
              <w:rPr>
                <w:sz w:val="20"/>
                <w:szCs w:val="20"/>
                <w:lang w:val="es-ES"/>
              </w:rPr>
              <w:t>Que se haya establecido el contrato con el operador privado para el segmento de distribución de la ENEE.</w:t>
            </w:r>
            <w:bookmarkStart w:id="15" w:name="_GoBack"/>
            <w:bookmarkEnd w:id="15"/>
          </w:p>
          <w:p w14:paraId="68B75464" w14:textId="77777777" w:rsidR="00ED3AFB" w:rsidRPr="0038434F" w:rsidRDefault="00ED3AFB" w:rsidP="00ED3AFB">
            <w:pPr>
              <w:autoSpaceDE w:val="0"/>
              <w:autoSpaceDN w:val="0"/>
              <w:adjustRightInd w:val="0"/>
              <w:rPr>
                <w:sz w:val="20"/>
                <w:szCs w:val="20"/>
                <w:lang w:val="es-ES"/>
              </w:rPr>
            </w:pPr>
          </w:p>
          <w:p w14:paraId="42B38391" w14:textId="77777777" w:rsidR="0009128F" w:rsidRPr="0038434F" w:rsidRDefault="0009128F" w:rsidP="00ED3AFB">
            <w:pPr>
              <w:autoSpaceDE w:val="0"/>
              <w:autoSpaceDN w:val="0"/>
              <w:adjustRightInd w:val="0"/>
              <w:rPr>
                <w:b/>
                <w:sz w:val="20"/>
                <w:szCs w:val="20"/>
                <w:lang w:val="es-ES"/>
              </w:rPr>
            </w:pPr>
          </w:p>
        </w:tc>
        <w:tc>
          <w:tcPr>
            <w:tcW w:w="1448" w:type="pct"/>
            <w:tcBorders>
              <w:top w:val="single" w:sz="6" w:space="0" w:color="auto"/>
              <w:left w:val="single" w:sz="6" w:space="0" w:color="auto"/>
              <w:bottom w:val="single" w:sz="4" w:space="0" w:color="auto"/>
              <w:right w:val="single" w:sz="6" w:space="0" w:color="auto"/>
            </w:tcBorders>
          </w:tcPr>
          <w:p w14:paraId="3DE3B1FC" w14:textId="00901900" w:rsidR="0009128F" w:rsidRPr="0038434F" w:rsidRDefault="0009128F" w:rsidP="0009128F">
            <w:pPr>
              <w:autoSpaceDE w:val="0"/>
              <w:autoSpaceDN w:val="0"/>
              <w:adjustRightInd w:val="0"/>
              <w:rPr>
                <w:sz w:val="20"/>
                <w:szCs w:val="20"/>
                <w:lang w:val="es-ES_tradnl"/>
              </w:rPr>
            </w:pPr>
            <w:bookmarkStart w:id="16" w:name="_Hlk497914396"/>
            <w:r w:rsidRPr="0038434F">
              <w:rPr>
                <w:color w:val="000000"/>
                <w:sz w:val="20"/>
                <w:szCs w:val="20"/>
                <w:lang w:val="es-ES_tradnl"/>
              </w:rPr>
              <w:t xml:space="preserve">Esta condición se trasladó del segundo al tercer tramo y se modifica para limitar solo a distribución dado que el Gobierno no tuvo éxito en la contratación de un operador de trasmisión a pesar de haberlo intentado en dos ocasiones. El </w:t>
            </w:r>
            <w:proofErr w:type="spellStart"/>
            <w:r w:rsidRPr="0038434F">
              <w:rPr>
                <w:color w:val="000000"/>
                <w:sz w:val="20"/>
                <w:szCs w:val="20"/>
                <w:lang w:val="es-ES_tradnl"/>
              </w:rPr>
              <w:t>GdH</w:t>
            </w:r>
            <w:proofErr w:type="spellEnd"/>
            <w:r w:rsidRPr="0038434F">
              <w:rPr>
                <w:color w:val="000000"/>
                <w:sz w:val="20"/>
                <w:szCs w:val="20"/>
                <w:lang w:val="es-ES_tradnl"/>
              </w:rPr>
              <w:t xml:space="preserve"> decidió avanzar solo con distribución porque los resultados de distribución inciden directamente en la recuperación financiera de ENEE. La modificación no afecta el cumplimiento de los objetivos y metas del programa dado que la recuperación financiera del sector se logra principalmente con participación del operador privado de distribución. Ver más detalles sobre la situación relacionada con el operador de transmisión se encuentran en el párrafo 1.18 de la propuesta de préstamo</w:t>
            </w:r>
            <w:bookmarkEnd w:id="16"/>
            <w:r w:rsidRPr="0038434F">
              <w:rPr>
                <w:color w:val="000000"/>
                <w:sz w:val="20"/>
                <w:szCs w:val="20"/>
                <w:lang w:val="es-ES_tradnl"/>
              </w:rPr>
              <w:t xml:space="preserve"> en el que se explica que a nivel del sector de transmisión son limitadas las inversiones que se han realizado. Se indica que a través del fideicomiso de transmisión creada por </w:t>
            </w:r>
            <w:proofErr w:type="spellStart"/>
            <w:r w:rsidRPr="0038434F">
              <w:rPr>
                <w:color w:val="000000"/>
                <w:sz w:val="20"/>
                <w:szCs w:val="20"/>
                <w:lang w:val="es-ES_tradnl"/>
              </w:rPr>
              <w:t>Coalianza</w:t>
            </w:r>
            <w:proofErr w:type="spellEnd"/>
            <w:r w:rsidRPr="0038434F">
              <w:rPr>
                <w:color w:val="000000"/>
                <w:sz w:val="20"/>
                <w:szCs w:val="20"/>
                <w:lang w:val="es-ES_tradnl"/>
              </w:rPr>
              <w:t xml:space="preserve"> por dos ocasiones se intentó seleccionar a un operador-inversionista del sistema de transmisión, fracasando en ambos intentos y por ello el </w:t>
            </w:r>
            <w:proofErr w:type="spellStart"/>
            <w:r w:rsidRPr="0038434F">
              <w:rPr>
                <w:color w:val="000000"/>
                <w:sz w:val="20"/>
                <w:szCs w:val="20"/>
                <w:lang w:val="es-ES_tradnl"/>
              </w:rPr>
              <w:t>GdH</w:t>
            </w:r>
            <w:proofErr w:type="spellEnd"/>
            <w:r w:rsidRPr="0038434F">
              <w:rPr>
                <w:color w:val="000000"/>
                <w:sz w:val="20"/>
                <w:szCs w:val="20"/>
                <w:lang w:val="es-ES_tradnl"/>
              </w:rPr>
              <w:t xml:space="preserve"> tomó la decisión a inicios del presente año de financiar obras prioritarias de transmisión a través de préstamos con garantía soberana habiendo alcanzado la recuperación financiera de la ENEE. A pesar del limitado financiamiento se construyeron las </w:t>
            </w:r>
            <w:proofErr w:type="spellStart"/>
            <w:r w:rsidRPr="0038434F">
              <w:rPr>
                <w:color w:val="000000"/>
                <w:sz w:val="20"/>
                <w:szCs w:val="20"/>
                <w:lang w:val="es-ES_tradnl"/>
              </w:rPr>
              <w:t>subestaciónes</w:t>
            </w:r>
            <w:proofErr w:type="spellEnd"/>
            <w:r w:rsidRPr="0038434F">
              <w:rPr>
                <w:color w:val="000000"/>
                <w:sz w:val="20"/>
                <w:szCs w:val="20"/>
                <w:lang w:val="es-ES_tradnl"/>
              </w:rPr>
              <w:t xml:space="preserve"> (SE) La </w:t>
            </w:r>
            <w:proofErr w:type="spellStart"/>
            <w:r w:rsidRPr="0038434F">
              <w:rPr>
                <w:color w:val="000000"/>
                <w:sz w:val="20"/>
                <w:szCs w:val="20"/>
                <w:lang w:val="es-ES_tradnl"/>
              </w:rPr>
              <w:t>Amarateca</w:t>
            </w:r>
            <w:proofErr w:type="spellEnd"/>
            <w:r w:rsidRPr="0038434F">
              <w:rPr>
                <w:color w:val="000000"/>
                <w:sz w:val="20"/>
                <w:szCs w:val="20"/>
                <w:lang w:val="es-ES_tradnl"/>
              </w:rPr>
              <w:t xml:space="preserve"> (2015) y La Entrada (2017). El Banco está preparando la operación HO-L1186 mediante la cual se financiarán obras </w:t>
            </w:r>
            <w:r w:rsidRPr="0038434F">
              <w:rPr>
                <w:color w:val="000000"/>
                <w:sz w:val="20"/>
                <w:szCs w:val="20"/>
                <w:lang w:val="es-ES_tradnl"/>
              </w:rPr>
              <w:lastRenderedPageBreak/>
              <w:t>de reforzamiento del Sistema Nacional de Transmisión (STN)</w:t>
            </w:r>
          </w:p>
        </w:tc>
      </w:tr>
      <w:tr w:rsidR="0009128F" w:rsidRPr="00056C9E" w14:paraId="19C996B3" w14:textId="77777777" w:rsidTr="00ED3AFB">
        <w:tc>
          <w:tcPr>
            <w:tcW w:w="844" w:type="pct"/>
            <w:vMerge/>
            <w:tcBorders>
              <w:left w:val="single" w:sz="6" w:space="0" w:color="auto"/>
              <w:right w:val="single" w:sz="6" w:space="0" w:color="auto"/>
            </w:tcBorders>
          </w:tcPr>
          <w:p w14:paraId="0F1B082C" w14:textId="77777777" w:rsidR="0009128F" w:rsidRPr="0061726B" w:rsidRDefault="0009128F" w:rsidP="0009128F">
            <w:pPr>
              <w:autoSpaceDE w:val="0"/>
              <w:autoSpaceDN w:val="0"/>
              <w:adjustRightInd w:val="0"/>
              <w:rPr>
                <w:b/>
                <w:bCs/>
                <w:sz w:val="20"/>
                <w:szCs w:val="20"/>
                <w:lang w:val="es-ES"/>
              </w:rPr>
            </w:pPr>
          </w:p>
        </w:tc>
        <w:tc>
          <w:tcPr>
            <w:tcW w:w="1356" w:type="pct"/>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1B1529A6" w14:textId="77777777" w:rsidR="0009128F" w:rsidRPr="0038434F" w:rsidRDefault="0009128F" w:rsidP="0009128F">
            <w:pPr>
              <w:autoSpaceDE w:val="0"/>
              <w:autoSpaceDN w:val="0"/>
              <w:adjustRightInd w:val="0"/>
              <w:rPr>
                <w:sz w:val="20"/>
                <w:szCs w:val="20"/>
                <w:lang w:val="es-ES_tradnl"/>
              </w:rPr>
            </w:pPr>
          </w:p>
        </w:tc>
        <w:tc>
          <w:tcPr>
            <w:tcW w:w="1352" w:type="pct"/>
            <w:tcBorders>
              <w:top w:val="single" w:sz="6" w:space="0" w:color="auto"/>
              <w:left w:val="single" w:sz="6" w:space="0" w:color="auto"/>
              <w:bottom w:val="single" w:sz="4" w:space="0" w:color="auto"/>
              <w:right w:val="single" w:sz="6" w:space="0" w:color="auto"/>
            </w:tcBorders>
          </w:tcPr>
          <w:p w14:paraId="5C90CC7B" w14:textId="77777777" w:rsidR="00ED3AFB" w:rsidRPr="0038434F" w:rsidRDefault="00ED3AFB" w:rsidP="00ED3AFB">
            <w:pPr>
              <w:autoSpaceDE w:val="0"/>
              <w:autoSpaceDN w:val="0"/>
              <w:adjustRightInd w:val="0"/>
              <w:rPr>
                <w:sz w:val="20"/>
                <w:szCs w:val="20"/>
                <w:lang w:val="es-ES"/>
              </w:rPr>
            </w:pPr>
            <w:r w:rsidRPr="0038434F">
              <w:rPr>
                <w:sz w:val="20"/>
                <w:szCs w:val="20"/>
                <w:lang w:val="es-ES"/>
              </w:rPr>
              <w:t>Que el sector de distribución de la ENEE se encuentre operando con un operador privado y que el mismo esté cumpliendo con las metas de resultados definidas en los contratos de operación.</w:t>
            </w:r>
          </w:p>
          <w:p w14:paraId="15EB787C" w14:textId="77777777" w:rsidR="0009128F" w:rsidRPr="0038434F" w:rsidRDefault="0009128F" w:rsidP="0009128F">
            <w:pPr>
              <w:autoSpaceDE w:val="0"/>
              <w:autoSpaceDN w:val="0"/>
              <w:adjustRightInd w:val="0"/>
              <w:rPr>
                <w:sz w:val="20"/>
                <w:szCs w:val="20"/>
                <w:lang w:val="es-ES"/>
              </w:rPr>
            </w:pPr>
          </w:p>
        </w:tc>
        <w:tc>
          <w:tcPr>
            <w:tcW w:w="1448" w:type="pct"/>
            <w:tcBorders>
              <w:top w:val="single" w:sz="6" w:space="0" w:color="auto"/>
              <w:left w:val="single" w:sz="6" w:space="0" w:color="auto"/>
              <w:bottom w:val="single" w:sz="4" w:space="0" w:color="auto"/>
              <w:right w:val="single" w:sz="6" w:space="0" w:color="auto"/>
            </w:tcBorders>
          </w:tcPr>
          <w:p w14:paraId="30006258" w14:textId="7621149E" w:rsidR="0009128F" w:rsidRPr="0038434F" w:rsidRDefault="0009128F" w:rsidP="0009128F">
            <w:pPr>
              <w:autoSpaceDE w:val="0"/>
              <w:autoSpaceDN w:val="0"/>
              <w:adjustRightInd w:val="0"/>
              <w:rPr>
                <w:b/>
                <w:sz w:val="20"/>
                <w:szCs w:val="20"/>
                <w:lang w:val="es-ES_tradnl"/>
              </w:rPr>
            </w:pPr>
            <w:r w:rsidRPr="0038434F">
              <w:rPr>
                <w:color w:val="000000"/>
                <w:sz w:val="20"/>
                <w:szCs w:val="20"/>
                <w:lang w:val="es-ES_tradnl"/>
              </w:rPr>
              <w:t>Esta condición se relaciona con la anterior y se modifica (relativo a la condición original II.1.2) para especificar la condición</w:t>
            </w:r>
          </w:p>
        </w:tc>
      </w:tr>
      <w:tr w:rsidR="0009128F" w:rsidRPr="00D97A65" w14:paraId="397EE5A6" w14:textId="77777777" w:rsidTr="00ED3AFB">
        <w:tc>
          <w:tcPr>
            <w:tcW w:w="844" w:type="pct"/>
            <w:vMerge/>
            <w:tcBorders>
              <w:left w:val="single" w:sz="6" w:space="0" w:color="auto"/>
              <w:right w:val="single" w:sz="6" w:space="0" w:color="auto"/>
            </w:tcBorders>
          </w:tcPr>
          <w:p w14:paraId="5A6287D3" w14:textId="0BD36B23" w:rsidR="0009128F" w:rsidRPr="0061726B" w:rsidRDefault="0009128F" w:rsidP="0009128F">
            <w:pPr>
              <w:autoSpaceDE w:val="0"/>
              <w:autoSpaceDN w:val="0"/>
              <w:adjustRightInd w:val="0"/>
              <w:rPr>
                <w:b/>
                <w:bCs/>
                <w:sz w:val="20"/>
                <w:szCs w:val="20"/>
                <w:lang w:val="es-ES"/>
              </w:rPr>
            </w:pPr>
          </w:p>
        </w:tc>
        <w:tc>
          <w:tcPr>
            <w:tcW w:w="1356" w:type="pct"/>
            <w:tcBorders>
              <w:top w:val="single" w:sz="6" w:space="0" w:color="auto"/>
              <w:left w:val="single" w:sz="6" w:space="0" w:color="auto"/>
              <w:bottom w:val="single" w:sz="6" w:space="0" w:color="auto"/>
              <w:right w:val="single" w:sz="6" w:space="0" w:color="auto"/>
            </w:tcBorders>
          </w:tcPr>
          <w:p w14:paraId="1101952D" w14:textId="42E07D33" w:rsidR="0009128F" w:rsidRPr="0038434F" w:rsidRDefault="0009128F" w:rsidP="0009128F">
            <w:pPr>
              <w:autoSpaceDE w:val="0"/>
              <w:autoSpaceDN w:val="0"/>
              <w:adjustRightInd w:val="0"/>
              <w:rPr>
                <w:sz w:val="20"/>
                <w:szCs w:val="20"/>
                <w:lang w:val="es-ES_tradnl"/>
              </w:rPr>
            </w:pPr>
            <w:r w:rsidRPr="0038434F">
              <w:rPr>
                <w:sz w:val="20"/>
                <w:szCs w:val="20"/>
                <w:lang w:val="es-ES_tradnl"/>
              </w:rPr>
              <w:t>La ENEE cumple con las metas de déficit consolidado establecidas en el plan de acción del gobierno.</w:t>
            </w:r>
          </w:p>
        </w:tc>
        <w:tc>
          <w:tcPr>
            <w:tcW w:w="1352" w:type="pct"/>
            <w:tcBorders>
              <w:top w:val="single" w:sz="6" w:space="0" w:color="auto"/>
              <w:left w:val="single" w:sz="6" w:space="0" w:color="auto"/>
              <w:bottom w:val="single" w:sz="4" w:space="0" w:color="auto"/>
              <w:right w:val="single" w:sz="6" w:space="0" w:color="auto"/>
            </w:tcBorders>
          </w:tcPr>
          <w:p w14:paraId="4A0E78C7" w14:textId="77777777" w:rsidR="0009128F" w:rsidRPr="0038434F" w:rsidRDefault="0009128F" w:rsidP="0009128F">
            <w:pPr>
              <w:autoSpaceDE w:val="0"/>
              <w:autoSpaceDN w:val="0"/>
              <w:adjustRightInd w:val="0"/>
              <w:rPr>
                <w:sz w:val="20"/>
                <w:szCs w:val="20"/>
                <w:lang w:val="es-ES_tradnl"/>
              </w:rPr>
            </w:pPr>
            <w:r w:rsidRPr="0038434F">
              <w:rPr>
                <w:sz w:val="20"/>
                <w:szCs w:val="20"/>
                <w:lang w:val="es-ES_tradnl"/>
              </w:rPr>
              <w:t>Que la ENEE esté cumpliendo con las metas de déficit consolidado establecidas en el plan de acción del gobierno.</w:t>
            </w:r>
          </w:p>
          <w:p w14:paraId="04C4ABEE" w14:textId="77777777" w:rsidR="0009128F" w:rsidRPr="0038434F" w:rsidRDefault="0009128F" w:rsidP="0009128F">
            <w:pPr>
              <w:autoSpaceDE w:val="0"/>
              <w:autoSpaceDN w:val="0"/>
              <w:adjustRightInd w:val="0"/>
              <w:rPr>
                <w:b/>
                <w:sz w:val="20"/>
                <w:szCs w:val="20"/>
                <w:lang w:val="es-ES_tradnl"/>
              </w:rPr>
            </w:pPr>
          </w:p>
        </w:tc>
        <w:tc>
          <w:tcPr>
            <w:tcW w:w="1448" w:type="pct"/>
            <w:tcBorders>
              <w:top w:val="single" w:sz="6" w:space="0" w:color="auto"/>
              <w:left w:val="single" w:sz="6" w:space="0" w:color="auto"/>
              <w:bottom w:val="single" w:sz="4" w:space="0" w:color="auto"/>
              <w:right w:val="single" w:sz="6" w:space="0" w:color="auto"/>
            </w:tcBorders>
          </w:tcPr>
          <w:p w14:paraId="2D232CEA" w14:textId="5CAC39F4" w:rsidR="0009128F" w:rsidRPr="0038434F" w:rsidRDefault="0009128F" w:rsidP="0009128F">
            <w:pPr>
              <w:autoSpaceDE w:val="0"/>
              <w:autoSpaceDN w:val="0"/>
              <w:adjustRightInd w:val="0"/>
              <w:rPr>
                <w:sz w:val="20"/>
                <w:szCs w:val="20"/>
                <w:lang w:val="es-ES_tradnl"/>
              </w:rPr>
            </w:pPr>
            <w:r w:rsidRPr="0038434F">
              <w:rPr>
                <w:sz w:val="20"/>
                <w:szCs w:val="20"/>
                <w:lang w:val="es-ES_tradnl"/>
              </w:rPr>
              <w:t>No se modifica</w:t>
            </w:r>
          </w:p>
        </w:tc>
      </w:tr>
      <w:tr w:rsidR="0009128F" w:rsidRPr="00056C9E" w14:paraId="484A587A" w14:textId="77777777" w:rsidTr="00ED3AFB">
        <w:tc>
          <w:tcPr>
            <w:tcW w:w="844" w:type="pct"/>
            <w:vMerge/>
            <w:tcBorders>
              <w:left w:val="single" w:sz="6" w:space="0" w:color="auto"/>
              <w:right w:val="single" w:sz="6" w:space="0" w:color="auto"/>
            </w:tcBorders>
          </w:tcPr>
          <w:p w14:paraId="71EC1828" w14:textId="579E6460" w:rsidR="0009128F" w:rsidRPr="0061726B" w:rsidRDefault="0009128F" w:rsidP="0009128F">
            <w:pPr>
              <w:autoSpaceDE w:val="0"/>
              <w:autoSpaceDN w:val="0"/>
              <w:adjustRightInd w:val="0"/>
              <w:rPr>
                <w:b/>
                <w:bCs/>
                <w:sz w:val="20"/>
                <w:szCs w:val="20"/>
                <w:lang w:val="es-ES"/>
              </w:rPr>
            </w:pPr>
          </w:p>
        </w:tc>
        <w:tc>
          <w:tcPr>
            <w:tcW w:w="1356"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9679984" w14:textId="77777777" w:rsidR="0009128F" w:rsidRPr="0038434F" w:rsidRDefault="0009128F" w:rsidP="0009128F">
            <w:pPr>
              <w:autoSpaceDE w:val="0"/>
              <w:autoSpaceDN w:val="0"/>
              <w:adjustRightInd w:val="0"/>
              <w:rPr>
                <w:sz w:val="20"/>
                <w:szCs w:val="20"/>
                <w:lang w:val="es-ES_tradnl"/>
              </w:rPr>
            </w:pPr>
          </w:p>
        </w:tc>
        <w:tc>
          <w:tcPr>
            <w:tcW w:w="1352" w:type="pct"/>
            <w:tcBorders>
              <w:top w:val="single" w:sz="6" w:space="0" w:color="auto"/>
              <w:left w:val="single" w:sz="6" w:space="0" w:color="auto"/>
              <w:bottom w:val="single" w:sz="4" w:space="0" w:color="auto"/>
              <w:right w:val="single" w:sz="6" w:space="0" w:color="auto"/>
            </w:tcBorders>
          </w:tcPr>
          <w:p w14:paraId="3D20D664" w14:textId="77777777" w:rsidR="0009128F" w:rsidRPr="0038434F" w:rsidRDefault="0009128F" w:rsidP="0009128F">
            <w:pPr>
              <w:autoSpaceDE w:val="0"/>
              <w:autoSpaceDN w:val="0"/>
              <w:adjustRightInd w:val="0"/>
              <w:rPr>
                <w:sz w:val="20"/>
                <w:szCs w:val="20"/>
                <w:lang w:val="es-ES_tradnl"/>
              </w:rPr>
            </w:pPr>
            <w:r w:rsidRPr="0038434F">
              <w:rPr>
                <w:sz w:val="20"/>
                <w:szCs w:val="20"/>
                <w:lang w:val="es-ES_tradnl"/>
              </w:rPr>
              <w:t>Que las empresas del Grupo ENEE se hayan escindido legalmente.</w:t>
            </w:r>
          </w:p>
          <w:p w14:paraId="66790E7B" w14:textId="77777777" w:rsidR="0009128F" w:rsidRPr="0038434F" w:rsidRDefault="0009128F" w:rsidP="0009128F">
            <w:pPr>
              <w:autoSpaceDE w:val="0"/>
              <w:autoSpaceDN w:val="0"/>
              <w:adjustRightInd w:val="0"/>
              <w:rPr>
                <w:b/>
                <w:sz w:val="20"/>
                <w:szCs w:val="20"/>
                <w:lang w:val="es-ES_tradnl"/>
              </w:rPr>
            </w:pPr>
          </w:p>
        </w:tc>
        <w:tc>
          <w:tcPr>
            <w:tcW w:w="1448" w:type="pct"/>
            <w:tcBorders>
              <w:top w:val="single" w:sz="6" w:space="0" w:color="auto"/>
              <w:left w:val="single" w:sz="6" w:space="0" w:color="auto"/>
              <w:bottom w:val="single" w:sz="4" w:space="0" w:color="auto"/>
              <w:right w:val="single" w:sz="6" w:space="0" w:color="auto"/>
            </w:tcBorders>
          </w:tcPr>
          <w:p w14:paraId="60EEE815" w14:textId="3A873B50" w:rsidR="0009128F" w:rsidRPr="0038434F" w:rsidRDefault="0009128F" w:rsidP="0009128F">
            <w:pPr>
              <w:autoSpaceDE w:val="0"/>
              <w:autoSpaceDN w:val="0"/>
              <w:adjustRightInd w:val="0"/>
              <w:rPr>
                <w:sz w:val="20"/>
                <w:szCs w:val="20"/>
                <w:lang w:val="es-ES_tradnl"/>
              </w:rPr>
            </w:pPr>
            <w:r w:rsidRPr="0038434F">
              <w:rPr>
                <w:color w:val="000000"/>
                <w:sz w:val="20"/>
                <w:szCs w:val="20"/>
                <w:lang w:val="es-ES_tradnl"/>
              </w:rPr>
              <w:t>Nueva condición.  Se incluye puesto que en la segunda operación se contemplaba la escisión la cual se realizó en materia administrativa principalmente. Con el proceso de escisión legal se formaliza la separación y las empresas tienen autonomía administrativa y financiera</w:t>
            </w:r>
          </w:p>
        </w:tc>
      </w:tr>
      <w:tr w:rsidR="0009128F" w:rsidRPr="00056C9E" w14:paraId="4304D8B8" w14:textId="77777777" w:rsidTr="00ED3AFB">
        <w:tc>
          <w:tcPr>
            <w:tcW w:w="844" w:type="pct"/>
            <w:vMerge/>
            <w:tcBorders>
              <w:left w:val="single" w:sz="6" w:space="0" w:color="auto"/>
              <w:bottom w:val="single" w:sz="4" w:space="0" w:color="auto"/>
              <w:right w:val="single" w:sz="6" w:space="0" w:color="auto"/>
            </w:tcBorders>
          </w:tcPr>
          <w:p w14:paraId="3EB2A6D3" w14:textId="1DD0236F" w:rsidR="0009128F" w:rsidRPr="0061726B" w:rsidRDefault="0009128F" w:rsidP="0009128F">
            <w:pPr>
              <w:autoSpaceDE w:val="0"/>
              <w:autoSpaceDN w:val="0"/>
              <w:adjustRightInd w:val="0"/>
              <w:rPr>
                <w:b/>
                <w:bCs/>
                <w:sz w:val="20"/>
                <w:szCs w:val="20"/>
                <w:lang w:val="es-ES"/>
              </w:rPr>
            </w:pPr>
          </w:p>
        </w:tc>
        <w:tc>
          <w:tcPr>
            <w:tcW w:w="1356"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6B6C61D" w14:textId="4678CDEB" w:rsidR="0009128F" w:rsidRPr="0038434F" w:rsidRDefault="0009128F" w:rsidP="0009128F">
            <w:pPr>
              <w:autoSpaceDE w:val="0"/>
              <w:autoSpaceDN w:val="0"/>
              <w:adjustRightInd w:val="0"/>
              <w:rPr>
                <w:sz w:val="20"/>
                <w:szCs w:val="20"/>
                <w:lang w:val="es-ES_tradnl"/>
              </w:rPr>
            </w:pPr>
          </w:p>
        </w:tc>
        <w:tc>
          <w:tcPr>
            <w:tcW w:w="1352" w:type="pct"/>
            <w:tcBorders>
              <w:top w:val="single" w:sz="6" w:space="0" w:color="auto"/>
              <w:left w:val="single" w:sz="6" w:space="0" w:color="auto"/>
              <w:bottom w:val="single" w:sz="4" w:space="0" w:color="auto"/>
              <w:right w:val="single" w:sz="6" w:space="0" w:color="auto"/>
            </w:tcBorders>
          </w:tcPr>
          <w:p w14:paraId="0CDB4218" w14:textId="080959CD" w:rsidR="0009128F" w:rsidRPr="0038434F" w:rsidRDefault="0009128F" w:rsidP="0009128F">
            <w:pPr>
              <w:autoSpaceDE w:val="0"/>
              <w:autoSpaceDN w:val="0"/>
              <w:adjustRightInd w:val="0"/>
              <w:rPr>
                <w:b/>
                <w:sz w:val="20"/>
                <w:szCs w:val="20"/>
                <w:lang w:val="es-ES_tradnl"/>
              </w:rPr>
            </w:pPr>
            <w:r w:rsidRPr="0038434F">
              <w:rPr>
                <w:sz w:val="20"/>
                <w:szCs w:val="20"/>
                <w:lang w:val="es-ES_tradnl"/>
              </w:rPr>
              <w:t xml:space="preserve">Que la ENEE haya </w:t>
            </w:r>
            <w:r w:rsidR="00ED3AFB" w:rsidRPr="0038434F">
              <w:rPr>
                <w:sz w:val="20"/>
                <w:szCs w:val="20"/>
                <w:lang w:val="es-ES_tradnl"/>
              </w:rPr>
              <w:t>fortalecido</w:t>
            </w:r>
            <w:r w:rsidRPr="0038434F">
              <w:rPr>
                <w:sz w:val="20"/>
                <w:szCs w:val="20"/>
                <w:lang w:val="es-ES_tradnl"/>
              </w:rPr>
              <w:t xml:space="preserve"> su capacidad de elaborar estados financieros conforme a los requerimientos de auditoría independiente</w:t>
            </w:r>
          </w:p>
        </w:tc>
        <w:tc>
          <w:tcPr>
            <w:tcW w:w="1448" w:type="pct"/>
            <w:tcBorders>
              <w:top w:val="single" w:sz="6" w:space="0" w:color="auto"/>
              <w:left w:val="single" w:sz="6" w:space="0" w:color="auto"/>
              <w:bottom w:val="single" w:sz="4" w:space="0" w:color="auto"/>
              <w:right w:val="single" w:sz="6" w:space="0" w:color="auto"/>
            </w:tcBorders>
          </w:tcPr>
          <w:p w14:paraId="142DFB0D" w14:textId="714B50E2" w:rsidR="0009128F" w:rsidRPr="0038434F" w:rsidRDefault="0009128F" w:rsidP="0009128F">
            <w:pPr>
              <w:autoSpaceDE w:val="0"/>
              <w:autoSpaceDN w:val="0"/>
              <w:adjustRightInd w:val="0"/>
              <w:rPr>
                <w:sz w:val="20"/>
                <w:szCs w:val="20"/>
                <w:lang w:val="es-ES_tradnl"/>
              </w:rPr>
            </w:pPr>
            <w:r w:rsidRPr="0038434F">
              <w:rPr>
                <w:color w:val="000000"/>
                <w:sz w:val="20"/>
                <w:szCs w:val="20"/>
                <w:lang w:val="es-ES_tradnl"/>
              </w:rPr>
              <w:t xml:space="preserve">Nueva condición. Se incluye a fin de dar continuidad a la mejora en la capacidad de la subgerencia financiera de la ENEE en fortalecer su capacidad en formular estados financieros  </w:t>
            </w:r>
          </w:p>
        </w:tc>
      </w:tr>
      <w:tr w:rsidR="008A4BB1" w:rsidRPr="00056C9E" w14:paraId="5DD6BAAC" w14:textId="77777777" w:rsidTr="00ED3AFB">
        <w:tc>
          <w:tcPr>
            <w:tcW w:w="844" w:type="pct"/>
            <w:tcBorders>
              <w:left w:val="single" w:sz="6" w:space="0" w:color="auto"/>
              <w:bottom w:val="single" w:sz="4" w:space="0" w:color="auto"/>
              <w:right w:val="single" w:sz="6" w:space="0" w:color="auto"/>
            </w:tcBorders>
          </w:tcPr>
          <w:p w14:paraId="7308B73F" w14:textId="24AD5830" w:rsidR="008A4BB1" w:rsidRPr="0061726B" w:rsidRDefault="008A4BB1" w:rsidP="008A4BB1">
            <w:pPr>
              <w:autoSpaceDE w:val="0"/>
              <w:autoSpaceDN w:val="0"/>
              <w:adjustRightInd w:val="0"/>
              <w:rPr>
                <w:b/>
                <w:bCs/>
                <w:sz w:val="20"/>
                <w:szCs w:val="20"/>
                <w:lang w:val="es-ES"/>
              </w:rPr>
            </w:pPr>
            <w:r w:rsidRPr="0061726B">
              <w:rPr>
                <w:b/>
                <w:bCs/>
                <w:color w:val="000000"/>
                <w:sz w:val="20"/>
                <w:szCs w:val="20"/>
                <w:lang w:val="es-ES"/>
              </w:rPr>
              <w:t xml:space="preserve">II-2 </w:t>
            </w:r>
            <w:r w:rsidRPr="0061726B">
              <w:rPr>
                <w:b/>
                <w:bCs/>
                <w:sz w:val="20"/>
                <w:szCs w:val="20"/>
                <w:lang w:val="es-ES"/>
              </w:rPr>
              <w:t>Promover la competencia en el sector eléctrico y fortalecer el mercado de electricidad, mejorando los procedimientos de compra de energía.</w:t>
            </w:r>
          </w:p>
        </w:tc>
        <w:tc>
          <w:tcPr>
            <w:tcW w:w="1356" w:type="pct"/>
            <w:tcBorders>
              <w:top w:val="single" w:sz="6" w:space="0" w:color="auto"/>
              <w:left w:val="single" w:sz="6" w:space="0" w:color="auto"/>
              <w:bottom w:val="single" w:sz="4" w:space="0" w:color="auto"/>
              <w:right w:val="single" w:sz="6" w:space="0" w:color="auto"/>
            </w:tcBorders>
          </w:tcPr>
          <w:p w14:paraId="306ACF18" w14:textId="490D6076" w:rsidR="008A4BB1" w:rsidRPr="0038434F" w:rsidRDefault="008A4BB1" w:rsidP="008A4BB1">
            <w:pPr>
              <w:autoSpaceDE w:val="0"/>
              <w:autoSpaceDN w:val="0"/>
              <w:adjustRightInd w:val="0"/>
              <w:rPr>
                <w:sz w:val="20"/>
                <w:szCs w:val="20"/>
                <w:lang w:val="es-ES_tradnl"/>
              </w:rPr>
            </w:pPr>
            <w:r w:rsidRPr="0038434F">
              <w:rPr>
                <w:sz w:val="20"/>
                <w:szCs w:val="20"/>
                <w:lang w:val="es-ES_tradnl"/>
              </w:rPr>
              <w:t>Las compras de energía se realizan mediante procedimientos competitivos de licitación, con base en los contratos estándar acordados, y en consistencia con el plan de expansión de generación aprobado.</w:t>
            </w:r>
          </w:p>
        </w:tc>
        <w:tc>
          <w:tcPr>
            <w:tcW w:w="1352" w:type="pct"/>
            <w:tcBorders>
              <w:top w:val="single" w:sz="6" w:space="0" w:color="auto"/>
              <w:left w:val="single" w:sz="6" w:space="0" w:color="auto"/>
              <w:bottom w:val="single" w:sz="4" w:space="0" w:color="auto"/>
              <w:right w:val="single" w:sz="6" w:space="0" w:color="auto"/>
            </w:tcBorders>
          </w:tcPr>
          <w:p w14:paraId="0C979214" w14:textId="7C128BF4" w:rsidR="008A4BB1" w:rsidRPr="0038434F" w:rsidRDefault="0009128F" w:rsidP="008A4BB1">
            <w:pPr>
              <w:autoSpaceDE w:val="0"/>
              <w:autoSpaceDN w:val="0"/>
              <w:adjustRightInd w:val="0"/>
              <w:rPr>
                <w:sz w:val="20"/>
                <w:szCs w:val="20"/>
                <w:lang w:val="es-ES_tradnl"/>
              </w:rPr>
            </w:pPr>
            <w:r w:rsidRPr="0038434F">
              <w:rPr>
                <w:sz w:val="20"/>
                <w:szCs w:val="20"/>
                <w:lang w:val="es-ES_tradnl"/>
              </w:rPr>
              <w:t>Que las compras de energía se estén realizando mediante procedimientos competitivos de licitación, con base en los contratos estándar acordados, y en consistencia con el plan de expansión de generación aprobado.</w:t>
            </w:r>
          </w:p>
        </w:tc>
        <w:tc>
          <w:tcPr>
            <w:tcW w:w="1448" w:type="pct"/>
            <w:tcBorders>
              <w:top w:val="single" w:sz="6" w:space="0" w:color="auto"/>
              <w:left w:val="single" w:sz="6" w:space="0" w:color="auto"/>
              <w:bottom w:val="single" w:sz="4" w:space="0" w:color="auto"/>
              <w:right w:val="single" w:sz="6" w:space="0" w:color="auto"/>
            </w:tcBorders>
          </w:tcPr>
          <w:p w14:paraId="7F4D9193" w14:textId="2B8797A4" w:rsidR="008A4BB1" w:rsidRPr="0038434F" w:rsidRDefault="008A4BB1" w:rsidP="008A4BB1">
            <w:pPr>
              <w:autoSpaceDE w:val="0"/>
              <w:autoSpaceDN w:val="0"/>
              <w:adjustRightInd w:val="0"/>
              <w:rPr>
                <w:sz w:val="20"/>
                <w:szCs w:val="20"/>
                <w:lang w:val="es-ES_tradnl"/>
              </w:rPr>
            </w:pPr>
            <w:r w:rsidRPr="0038434F">
              <w:rPr>
                <w:sz w:val="20"/>
                <w:szCs w:val="20"/>
                <w:lang w:val="es-ES_tradnl"/>
              </w:rPr>
              <w:t>Esta condición se trasladó del segundo al tercer tramo.</w:t>
            </w:r>
          </w:p>
        </w:tc>
      </w:tr>
      <w:tr w:rsidR="0009128F" w:rsidRPr="00056C9E" w14:paraId="3B3899FD" w14:textId="77777777" w:rsidTr="00ED3AFB">
        <w:tc>
          <w:tcPr>
            <w:tcW w:w="844" w:type="pct"/>
            <w:vMerge w:val="restart"/>
            <w:tcBorders>
              <w:top w:val="single" w:sz="6" w:space="0" w:color="auto"/>
              <w:left w:val="single" w:sz="6" w:space="0" w:color="auto"/>
              <w:right w:val="single" w:sz="4" w:space="0" w:color="auto"/>
            </w:tcBorders>
            <w:hideMark/>
          </w:tcPr>
          <w:p w14:paraId="57CE0154" w14:textId="77777777" w:rsidR="0009128F" w:rsidRPr="0061726B" w:rsidRDefault="0009128F" w:rsidP="0009128F">
            <w:pPr>
              <w:autoSpaceDE w:val="0"/>
              <w:autoSpaceDN w:val="0"/>
              <w:adjustRightInd w:val="0"/>
              <w:rPr>
                <w:bCs/>
                <w:color w:val="000000"/>
                <w:sz w:val="20"/>
                <w:szCs w:val="20"/>
                <w:lang w:val="es-ES_tradnl"/>
              </w:rPr>
            </w:pPr>
            <w:r w:rsidRPr="0061726B">
              <w:rPr>
                <w:b/>
                <w:bCs/>
                <w:color w:val="000000"/>
                <w:sz w:val="20"/>
                <w:szCs w:val="20"/>
                <w:lang w:val="es-ES"/>
              </w:rPr>
              <w:t xml:space="preserve">II-3 Contar con un régimen tarifario que permita remunerar adecuadamente a los </w:t>
            </w:r>
            <w:r w:rsidRPr="0061726B">
              <w:rPr>
                <w:b/>
                <w:bCs/>
                <w:color w:val="000000"/>
                <w:sz w:val="20"/>
                <w:szCs w:val="20"/>
                <w:lang w:val="es-ES"/>
              </w:rPr>
              <w:lastRenderedPageBreak/>
              <w:t>agentes de la cadena, unas tarifas competitivas al usuario final y focalizar el subsidio directo a usuarios de bajo consumo.</w:t>
            </w:r>
          </w:p>
          <w:p w14:paraId="1515C5B7" w14:textId="386C947F" w:rsidR="0009128F" w:rsidRPr="0061726B" w:rsidRDefault="0009128F" w:rsidP="0009128F">
            <w:pPr>
              <w:autoSpaceDE w:val="0"/>
              <w:autoSpaceDN w:val="0"/>
              <w:adjustRightInd w:val="0"/>
              <w:rPr>
                <w:b/>
                <w:bCs/>
                <w:color w:val="000000"/>
                <w:sz w:val="20"/>
                <w:szCs w:val="20"/>
                <w:lang w:val="es-ES"/>
              </w:rPr>
            </w:pPr>
          </w:p>
          <w:p w14:paraId="7F4EBAEB" w14:textId="47DB0571" w:rsidR="0009128F" w:rsidRPr="0061726B" w:rsidRDefault="0009128F" w:rsidP="0009128F">
            <w:pPr>
              <w:autoSpaceDE w:val="0"/>
              <w:autoSpaceDN w:val="0"/>
              <w:adjustRightInd w:val="0"/>
              <w:rPr>
                <w:b/>
                <w:bCs/>
                <w:color w:val="000000"/>
                <w:sz w:val="20"/>
                <w:szCs w:val="20"/>
                <w:lang w:val="es-ES"/>
              </w:rPr>
            </w:pPr>
          </w:p>
          <w:p w14:paraId="157A5E1B" w14:textId="6C099D0E" w:rsidR="0009128F" w:rsidRPr="0061726B" w:rsidRDefault="0009128F" w:rsidP="0009128F">
            <w:pPr>
              <w:autoSpaceDE w:val="0"/>
              <w:autoSpaceDN w:val="0"/>
              <w:adjustRightInd w:val="0"/>
              <w:rPr>
                <w:bCs/>
                <w:color w:val="000000"/>
                <w:sz w:val="20"/>
                <w:szCs w:val="20"/>
                <w:lang w:val="es-ES_tradnl"/>
              </w:rPr>
            </w:pPr>
          </w:p>
        </w:tc>
        <w:tc>
          <w:tcPr>
            <w:tcW w:w="1356" w:type="pct"/>
            <w:tcBorders>
              <w:top w:val="single" w:sz="6" w:space="0" w:color="auto"/>
              <w:left w:val="single" w:sz="6" w:space="0" w:color="auto"/>
              <w:bottom w:val="single" w:sz="6" w:space="0" w:color="auto"/>
              <w:right w:val="single" w:sz="4" w:space="0" w:color="auto"/>
            </w:tcBorders>
          </w:tcPr>
          <w:p w14:paraId="51562102" w14:textId="09759CA8" w:rsidR="0009128F" w:rsidRPr="0038434F" w:rsidRDefault="0009128F" w:rsidP="0009128F">
            <w:pPr>
              <w:autoSpaceDE w:val="0"/>
              <w:autoSpaceDN w:val="0"/>
              <w:adjustRightInd w:val="0"/>
              <w:rPr>
                <w:sz w:val="20"/>
                <w:szCs w:val="20"/>
                <w:lang w:val="es-ES_tradnl"/>
              </w:rPr>
            </w:pPr>
            <w:r w:rsidRPr="0038434F">
              <w:rPr>
                <w:sz w:val="20"/>
                <w:szCs w:val="20"/>
                <w:lang w:val="es-ES_tradnl"/>
              </w:rPr>
              <w:lastRenderedPageBreak/>
              <w:t>Se desarrolla y pone en vigencia el reglamento de tarifas.</w:t>
            </w:r>
          </w:p>
        </w:tc>
        <w:tc>
          <w:tcPr>
            <w:tcW w:w="1352" w:type="pct"/>
            <w:tcBorders>
              <w:top w:val="single" w:sz="6" w:space="0" w:color="auto"/>
              <w:left w:val="single" w:sz="6" w:space="0" w:color="auto"/>
              <w:bottom w:val="single" w:sz="6" w:space="0" w:color="auto"/>
              <w:right w:val="single" w:sz="6" w:space="0" w:color="auto"/>
            </w:tcBorders>
          </w:tcPr>
          <w:p w14:paraId="2CE2C9A9" w14:textId="2410AD6F" w:rsidR="0009128F" w:rsidRPr="0038434F" w:rsidRDefault="0009128F" w:rsidP="0009128F">
            <w:pPr>
              <w:autoSpaceDE w:val="0"/>
              <w:autoSpaceDN w:val="0"/>
              <w:adjustRightInd w:val="0"/>
              <w:rPr>
                <w:b/>
                <w:color w:val="000000"/>
                <w:sz w:val="20"/>
                <w:szCs w:val="20"/>
                <w:lang w:val="es-ES_tradnl"/>
              </w:rPr>
            </w:pPr>
            <w:r w:rsidRPr="0038434F">
              <w:rPr>
                <w:sz w:val="20"/>
                <w:szCs w:val="20"/>
                <w:lang w:val="es-ES_tradnl"/>
              </w:rPr>
              <w:t>Que se haya desarrollado y se encuentre en vigencia el Reglamento de tarifas provisionales.</w:t>
            </w:r>
          </w:p>
        </w:tc>
        <w:tc>
          <w:tcPr>
            <w:tcW w:w="1448" w:type="pct"/>
            <w:tcBorders>
              <w:top w:val="single" w:sz="6" w:space="0" w:color="auto"/>
              <w:left w:val="single" w:sz="6" w:space="0" w:color="auto"/>
              <w:bottom w:val="single" w:sz="6" w:space="0" w:color="auto"/>
              <w:right w:val="single" w:sz="6" w:space="0" w:color="auto"/>
            </w:tcBorders>
          </w:tcPr>
          <w:p w14:paraId="1C45C238" w14:textId="6CF0F3F6" w:rsidR="0009128F" w:rsidRPr="0038434F" w:rsidRDefault="0009128F" w:rsidP="0009128F">
            <w:pPr>
              <w:autoSpaceDE w:val="0"/>
              <w:autoSpaceDN w:val="0"/>
              <w:adjustRightInd w:val="0"/>
              <w:rPr>
                <w:bCs/>
                <w:color w:val="000000"/>
                <w:sz w:val="20"/>
                <w:szCs w:val="20"/>
                <w:lang w:val="es-ES_tradnl"/>
              </w:rPr>
            </w:pPr>
            <w:r w:rsidRPr="0038434F">
              <w:rPr>
                <w:bCs/>
                <w:color w:val="000000"/>
                <w:sz w:val="20"/>
                <w:szCs w:val="20"/>
                <w:lang w:val="es-ES_tradnl"/>
              </w:rPr>
              <w:t xml:space="preserve">Esta condición se trasladó del segundo al tercer tramo y se aclara que se trata de un reglamento provisional, sin embargo, con el mismo se cumple el objetivo de contar con un </w:t>
            </w:r>
            <w:r w:rsidRPr="0038434F">
              <w:rPr>
                <w:bCs/>
                <w:color w:val="000000"/>
                <w:sz w:val="20"/>
                <w:szCs w:val="20"/>
                <w:lang w:val="es-ES_tradnl"/>
              </w:rPr>
              <w:lastRenderedPageBreak/>
              <w:t xml:space="preserve">régimen tarifario que permite remunerar adecuadamente a los agentes de la cadena, tarifas competitivas al usuario final y focalizar el subsidio directo a usuarios de bajo consumo. A partir de julio de 2018, la CREEE emitirá un nuevo reglamento de tarifas en el que se actualizarán los cargos de transmisión y distribución considerando los resultados del levantamiento total de activos de los dos subsectores.  </w:t>
            </w:r>
          </w:p>
        </w:tc>
      </w:tr>
      <w:tr w:rsidR="0009128F" w:rsidRPr="00056C9E" w14:paraId="31E25369" w14:textId="77777777" w:rsidTr="00ED3AFB">
        <w:tc>
          <w:tcPr>
            <w:tcW w:w="844" w:type="pct"/>
            <w:vMerge/>
            <w:tcBorders>
              <w:left w:val="single" w:sz="6" w:space="0" w:color="auto"/>
              <w:right w:val="single" w:sz="4" w:space="0" w:color="auto"/>
            </w:tcBorders>
          </w:tcPr>
          <w:p w14:paraId="4E476539" w14:textId="416BA91E" w:rsidR="0009128F" w:rsidRPr="0061726B" w:rsidRDefault="0009128F" w:rsidP="0009128F">
            <w:pPr>
              <w:autoSpaceDE w:val="0"/>
              <w:autoSpaceDN w:val="0"/>
              <w:adjustRightInd w:val="0"/>
              <w:rPr>
                <w:b/>
                <w:bCs/>
                <w:color w:val="000000"/>
                <w:sz w:val="20"/>
                <w:szCs w:val="20"/>
                <w:lang w:val="es-ES"/>
              </w:rPr>
            </w:pPr>
          </w:p>
        </w:tc>
        <w:tc>
          <w:tcPr>
            <w:tcW w:w="1356" w:type="pct"/>
            <w:tcBorders>
              <w:top w:val="single" w:sz="6" w:space="0" w:color="auto"/>
              <w:left w:val="single" w:sz="6" w:space="0" w:color="auto"/>
              <w:bottom w:val="single" w:sz="6" w:space="0" w:color="auto"/>
              <w:right w:val="single" w:sz="4" w:space="0" w:color="auto"/>
            </w:tcBorders>
          </w:tcPr>
          <w:p w14:paraId="24032954" w14:textId="00078D56" w:rsidR="0009128F" w:rsidRPr="0061726B" w:rsidRDefault="0009128F" w:rsidP="0009128F">
            <w:pPr>
              <w:autoSpaceDE w:val="0"/>
              <w:autoSpaceDN w:val="0"/>
              <w:adjustRightInd w:val="0"/>
              <w:rPr>
                <w:sz w:val="20"/>
                <w:szCs w:val="20"/>
                <w:lang w:val="es-ES_tradnl"/>
              </w:rPr>
            </w:pPr>
            <w:r w:rsidRPr="0061726B">
              <w:rPr>
                <w:sz w:val="20"/>
                <w:szCs w:val="20"/>
                <w:lang w:val="es-ES_tradnl"/>
              </w:rPr>
              <w:t>La CREE aprueba los cargos para remunerar las actividades de transmisión y distribución de cada empresa.</w:t>
            </w:r>
          </w:p>
        </w:tc>
        <w:tc>
          <w:tcPr>
            <w:tcW w:w="1352" w:type="pct"/>
            <w:tcBorders>
              <w:top w:val="single" w:sz="6" w:space="0" w:color="auto"/>
              <w:left w:val="single" w:sz="6" w:space="0" w:color="auto"/>
              <w:bottom w:val="single" w:sz="6" w:space="0" w:color="auto"/>
              <w:right w:val="single" w:sz="6" w:space="0" w:color="auto"/>
            </w:tcBorders>
          </w:tcPr>
          <w:p w14:paraId="01A38A18" w14:textId="77777777" w:rsidR="0009128F" w:rsidRPr="0061726B" w:rsidRDefault="0009128F" w:rsidP="0009128F">
            <w:pPr>
              <w:autoSpaceDE w:val="0"/>
              <w:autoSpaceDN w:val="0"/>
              <w:adjustRightInd w:val="0"/>
              <w:rPr>
                <w:sz w:val="20"/>
                <w:szCs w:val="20"/>
                <w:lang w:val="es-ES_tradnl"/>
              </w:rPr>
            </w:pPr>
            <w:r w:rsidRPr="0061726B">
              <w:rPr>
                <w:sz w:val="20"/>
                <w:szCs w:val="20"/>
                <w:lang w:val="es-ES_tradnl"/>
              </w:rPr>
              <w:t xml:space="preserve">Que el Reglamento de tarifas </w:t>
            </w:r>
            <w:r>
              <w:rPr>
                <w:sz w:val="20"/>
                <w:szCs w:val="20"/>
                <w:lang w:val="es-ES_tradnl"/>
              </w:rPr>
              <w:t xml:space="preserve">provisionales </w:t>
            </w:r>
            <w:r w:rsidRPr="0061726B">
              <w:rPr>
                <w:sz w:val="20"/>
                <w:szCs w:val="20"/>
                <w:lang w:val="es-ES_tradnl"/>
              </w:rPr>
              <w:t>contenga los cargos para remunerar las actividades de transmisión y distribución de cada empresa.</w:t>
            </w:r>
          </w:p>
          <w:p w14:paraId="28554B64" w14:textId="77777777" w:rsidR="0009128F" w:rsidRPr="008A4BB1" w:rsidRDefault="0009128F" w:rsidP="0009128F">
            <w:pPr>
              <w:autoSpaceDE w:val="0"/>
              <w:autoSpaceDN w:val="0"/>
              <w:adjustRightInd w:val="0"/>
              <w:rPr>
                <w:b/>
                <w:color w:val="000000"/>
                <w:sz w:val="20"/>
                <w:szCs w:val="20"/>
                <w:lang w:val="es-ES_tradnl"/>
              </w:rPr>
            </w:pPr>
          </w:p>
        </w:tc>
        <w:tc>
          <w:tcPr>
            <w:tcW w:w="1448" w:type="pct"/>
            <w:tcBorders>
              <w:top w:val="single" w:sz="6" w:space="0" w:color="auto"/>
              <w:left w:val="single" w:sz="6" w:space="0" w:color="auto"/>
              <w:bottom w:val="single" w:sz="6" w:space="0" w:color="auto"/>
              <w:right w:val="single" w:sz="6" w:space="0" w:color="auto"/>
            </w:tcBorders>
          </w:tcPr>
          <w:p w14:paraId="2C28BCDE" w14:textId="283711E8" w:rsidR="0009128F" w:rsidRPr="008A4BB1" w:rsidRDefault="0009128F" w:rsidP="0009128F">
            <w:pPr>
              <w:autoSpaceDE w:val="0"/>
              <w:autoSpaceDN w:val="0"/>
              <w:adjustRightInd w:val="0"/>
              <w:rPr>
                <w:bCs/>
                <w:color w:val="000000"/>
                <w:sz w:val="20"/>
                <w:szCs w:val="20"/>
                <w:lang w:val="es-ES_tradnl"/>
              </w:rPr>
            </w:pPr>
            <w:bookmarkStart w:id="17" w:name="_Hlk497914557"/>
            <w:r>
              <w:rPr>
                <w:color w:val="000000"/>
                <w:sz w:val="20"/>
                <w:szCs w:val="20"/>
                <w:lang w:val="es-ES_tradnl"/>
              </w:rPr>
              <w:t>Se modifica para precisar que la</w:t>
            </w:r>
            <w:r w:rsidRPr="00C66378">
              <w:rPr>
                <w:color w:val="000000"/>
                <w:sz w:val="20"/>
                <w:szCs w:val="20"/>
                <w:lang w:val="es-ES_tradnl"/>
              </w:rPr>
              <w:t xml:space="preserve"> CREE aprobó el reglamento de tarifas</w:t>
            </w:r>
            <w:r>
              <w:rPr>
                <w:color w:val="000000"/>
                <w:sz w:val="20"/>
                <w:szCs w:val="20"/>
                <w:lang w:val="es-ES_tradnl"/>
              </w:rPr>
              <w:t>. Este reglamento contiene</w:t>
            </w:r>
            <w:r w:rsidRPr="00C66378">
              <w:rPr>
                <w:color w:val="000000"/>
                <w:sz w:val="20"/>
                <w:szCs w:val="20"/>
                <w:lang w:val="es-ES_tradnl"/>
              </w:rPr>
              <w:t xml:space="preserve"> el reconocimiento de cargos en las actividades de transmisión y distribución</w:t>
            </w:r>
            <w:bookmarkEnd w:id="17"/>
          </w:p>
        </w:tc>
      </w:tr>
      <w:tr w:rsidR="0009128F" w:rsidRPr="00056C9E" w14:paraId="4B316FC6" w14:textId="77777777" w:rsidTr="00ED3AFB">
        <w:tc>
          <w:tcPr>
            <w:tcW w:w="844" w:type="pct"/>
            <w:vMerge/>
            <w:tcBorders>
              <w:left w:val="single" w:sz="6" w:space="0" w:color="auto"/>
              <w:right w:val="single" w:sz="4" w:space="0" w:color="auto"/>
            </w:tcBorders>
          </w:tcPr>
          <w:p w14:paraId="09C06780" w14:textId="611976AA" w:rsidR="0009128F" w:rsidRPr="0061726B" w:rsidRDefault="0009128F" w:rsidP="0009128F">
            <w:pPr>
              <w:autoSpaceDE w:val="0"/>
              <w:autoSpaceDN w:val="0"/>
              <w:adjustRightInd w:val="0"/>
              <w:rPr>
                <w:b/>
                <w:bCs/>
                <w:color w:val="000000"/>
                <w:sz w:val="20"/>
                <w:szCs w:val="20"/>
                <w:lang w:val="es-ES"/>
              </w:rPr>
            </w:pPr>
          </w:p>
        </w:tc>
        <w:tc>
          <w:tcPr>
            <w:tcW w:w="1356" w:type="pct"/>
            <w:tcBorders>
              <w:top w:val="single" w:sz="6" w:space="0" w:color="auto"/>
              <w:left w:val="single" w:sz="6" w:space="0" w:color="auto"/>
              <w:bottom w:val="single" w:sz="6" w:space="0" w:color="auto"/>
              <w:right w:val="single" w:sz="4" w:space="0" w:color="auto"/>
            </w:tcBorders>
          </w:tcPr>
          <w:p w14:paraId="354F506C" w14:textId="5200A3E5" w:rsidR="0009128F" w:rsidRPr="0061726B" w:rsidRDefault="0009128F" w:rsidP="0009128F">
            <w:pPr>
              <w:autoSpaceDE w:val="0"/>
              <w:autoSpaceDN w:val="0"/>
              <w:adjustRightInd w:val="0"/>
              <w:rPr>
                <w:sz w:val="20"/>
                <w:szCs w:val="20"/>
                <w:lang w:val="es-ES_tradnl"/>
              </w:rPr>
            </w:pPr>
            <w:r w:rsidRPr="0061726B">
              <w:rPr>
                <w:sz w:val="20"/>
                <w:szCs w:val="20"/>
                <w:lang w:val="es-ES_tradnl"/>
              </w:rPr>
              <w:t>Las tarifas son ajustadas periódicamente con base en las metodologías aprobadas por la CREE.</w:t>
            </w:r>
          </w:p>
        </w:tc>
        <w:tc>
          <w:tcPr>
            <w:tcW w:w="1352" w:type="pct"/>
            <w:tcBorders>
              <w:top w:val="single" w:sz="6" w:space="0" w:color="auto"/>
              <w:left w:val="single" w:sz="6" w:space="0" w:color="auto"/>
              <w:bottom w:val="single" w:sz="6" w:space="0" w:color="auto"/>
              <w:right w:val="single" w:sz="6" w:space="0" w:color="auto"/>
            </w:tcBorders>
          </w:tcPr>
          <w:p w14:paraId="3ECD1E8B" w14:textId="636C0B22" w:rsidR="0009128F" w:rsidRPr="0061726B" w:rsidRDefault="00A44885" w:rsidP="00A44885">
            <w:pPr>
              <w:rPr>
                <w:b/>
                <w:color w:val="000000"/>
                <w:sz w:val="20"/>
                <w:szCs w:val="20"/>
                <w:lang w:val="es-ES_tradnl"/>
              </w:rPr>
            </w:pPr>
            <w:r w:rsidRPr="007B7840">
              <w:rPr>
                <w:sz w:val="20"/>
                <w:szCs w:val="20"/>
                <w:lang w:val="es-ES_tradnl"/>
              </w:rPr>
              <w:t>Que la CREE haya aprobado el pliego tarifario provisional y que el mismo se esté aplicando para los clientes no residenciales y que los costos de generación y transmisión incorporados en las tarifas se estén actualizando con la pe</w:t>
            </w:r>
            <w:r w:rsidRPr="00E61730">
              <w:rPr>
                <w:sz w:val="20"/>
                <w:szCs w:val="20"/>
                <w:lang w:val="es-ES_tradnl"/>
              </w:rPr>
              <w:t>riodicidad aprobada</w:t>
            </w:r>
            <w:r>
              <w:rPr>
                <w:sz w:val="20"/>
                <w:szCs w:val="20"/>
                <w:lang w:val="es-ES_tradnl"/>
              </w:rPr>
              <w:t xml:space="preserve"> por la CREE.</w:t>
            </w:r>
          </w:p>
        </w:tc>
        <w:tc>
          <w:tcPr>
            <w:tcW w:w="1448" w:type="pct"/>
            <w:tcBorders>
              <w:top w:val="single" w:sz="6" w:space="0" w:color="auto"/>
              <w:left w:val="single" w:sz="6" w:space="0" w:color="auto"/>
              <w:bottom w:val="single" w:sz="6" w:space="0" w:color="auto"/>
              <w:right w:val="single" w:sz="6" w:space="0" w:color="auto"/>
            </w:tcBorders>
          </w:tcPr>
          <w:p w14:paraId="16A175D0" w14:textId="1327135E" w:rsidR="0009128F" w:rsidRPr="0061726B" w:rsidRDefault="003D725F" w:rsidP="00A31375">
            <w:pPr>
              <w:autoSpaceDE w:val="0"/>
              <w:autoSpaceDN w:val="0"/>
              <w:adjustRightInd w:val="0"/>
              <w:spacing w:before="120"/>
              <w:rPr>
                <w:bCs/>
                <w:color w:val="000000"/>
                <w:sz w:val="20"/>
                <w:szCs w:val="20"/>
                <w:lang w:val="es-ES_tradnl"/>
              </w:rPr>
            </w:pPr>
            <w:r>
              <w:rPr>
                <w:color w:val="000000"/>
                <w:sz w:val="20"/>
                <w:szCs w:val="20"/>
                <w:lang w:val="es-ES_tradnl"/>
              </w:rPr>
              <w:t xml:space="preserve">Se modifica para </w:t>
            </w:r>
            <w:r w:rsidR="00056C9E" w:rsidRPr="00056C9E">
              <w:rPr>
                <w:color w:val="000000"/>
                <w:sz w:val="20"/>
                <w:szCs w:val="20"/>
                <w:lang w:val="es-ES_tradnl"/>
              </w:rPr>
              <w:t>reflejar que la CREE aprobó el pliego tarifario provisional y que el mismo se está aplicando para los clientes no residenciales.  Así mismo la condición modificada refleja que la tarifa debe incorporar los costos de generación y transmisión y que se debe actualizar con la periodicidad aprobada por la CREE. La modificación reconoce los avances realizados por el gobierno en relación con la tarifa.  La modificación no afecta los resultados esperados en las mejoras de sostenibilidad financiera de la ENEE.</w:t>
            </w:r>
          </w:p>
        </w:tc>
      </w:tr>
      <w:tr w:rsidR="0009128F" w:rsidRPr="00D97A65" w14:paraId="53C78274" w14:textId="77777777" w:rsidTr="00ED3AFB">
        <w:tc>
          <w:tcPr>
            <w:tcW w:w="844" w:type="pct"/>
            <w:vMerge/>
            <w:tcBorders>
              <w:left w:val="single" w:sz="6" w:space="0" w:color="auto"/>
              <w:bottom w:val="single" w:sz="6" w:space="0" w:color="auto"/>
              <w:right w:val="single" w:sz="4" w:space="0" w:color="auto"/>
            </w:tcBorders>
          </w:tcPr>
          <w:p w14:paraId="44271340" w14:textId="07F8959A" w:rsidR="0009128F" w:rsidRPr="0061726B" w:rsidRDefault="0009128F" w:rsidP="0009128F">
            <w:pPr>
              <w:autoSpaceDE w:val="0"/>
              <w:autoSpaceDN w:val="0"/>
              <w:adjustRightInd w:val="0"/>
              <w:rPr>
                <w:b/>
                <w:bCs/>
                <w:color w:val="000000"/>
                <w:sz w:val="20"/>
                <w:szCs w:val="20"/>
                <w:lang w:val="es-ES"/>
              </w:rPr>
            </w:pPr>
          </w:p>
        </w:tc>
        <w:tc>
          <w:tcPr>
            <w:tcW w:w="1356" w:type="pct"/>
            <w:tcBorders>
              <w:top w:val="single" w:sz="6" w:space="0" w:color="auto"/>
              <w:left w:val="single" w:sz="6" w:space="0" w:color="auto"/>
              <w:bottom w:val="single" w:sz="6" w:space="0" w:color="auto"/>
              <w:right w:val="single" w:sz="4" w:space="0" w:color="auto"/>
            </w:tcBorders>
          </w:tcPr>
          <w:p w14:paraId="2A1A553E" w14:textId="77159449" w:rsidR="0009128F" w:rsidRPr="0061726B" w:rsidRDefault="0009128F" w:rsidP="0009128F">
            <w:pPr>
              <w:autoSpaceDE w:val="0"/>
              <w:autoSpaceDN w:val="0"/>
              <w:adjustRightInd w:val="0"/>
              <w:rPr>
                <w:sz w:val="20"/>
                <w:szCs w:val="20"/>
                <w:lang w:val="es-ES_tradnl"/>
              </w:rPr>
            </w:pPr>
            <w:r w:rsidRPr="0061726B">
              <w:rPr>
                <w:sz w:val="20"/>
                <w:szCs w:val="20"/>
                <w:lang w:val="es-ES_tradnl"/>
              </w:rPr>
              <w:t>Los subsidios se entregan con base en el reglamento y sus disposiciones para la focalización del subsidio.</w:t>
            </w:r>
            <w:r w:rsidRPr="0061726B">
              <w:rPr>
                <w:sz w:val="20"/>
                <w:szCs w:val="20"/>
                <w:lang w:val="es-ES_tradnl"/>
              </w:rPr>
              <w:br/>
            </w:r>
          </w:p>
        </w:tc>
        <w:tc>
          <w:tcPr>
            <w:tcW w:w="1352" w:type="pct"/>
            <w:tcBorders>
              <w:top w:val="single" w:sz="6" w:space="0" w:color="auto"/>
              <w:left w:val="single" w:sz="6" w:space="0" w:color="auto"/>
              <w:bottom w:val="single" w:sz="6" w:space="0" w:color="auto"/>
              <w:right w:val="single" w:sz="6" w:space="0" w:color="auto"/>
            </w:tcBorders>
          </w:tcPr>
          <w:p w14:paraId="4F4500F1" w14:textId="4ACA0738" w:rsidR="0009128F" w:rsidRPr="0061726B" w:rsidRDefault="0009128F" w:rsidP="0009128F">
            <w:pPr>
              <w:autoSpaceDE w:val="0"/>
              <w:autoSpaceDN w:val="0"/>
              <w:adjustRightInd w:val="0"/>
              <w:rPr>
                <w:b/>
                <w:color w:val="000000"/>
                <w:sz w:val="20"/>
                <w:szCs w:val="20"/>
                <w:lang w:val="es-ES_tradnl"/>
              </w:rPr>
            </w:pPr>
            <w:bookmarkStart w:id="18" w:name="_Hlk498359124"/>
            <w:r w:rsidRPr="0061726B">
              <w:rPr>
                <w:sz w:val="20"/>
                <w:szCs w:val="20"/>
                <w:lang w:val="es-ES_tradnl"/>
              </w:rPr>
              <w:t>Que los subsidios se estén entregando con base en el reglamento de subsidios y sus disposiciones para la focalización del subsidio.</w:t>
            </w:r>
            <w:bookmarkEnd w:id="18"/>
          </w:p>
        </w:tc>
        <w:tc>
          <w:tcPr>
            <w:tcW w:w="1448" w:type="pct"/>
            <w:tcBorders>
              <w:top w:val="single" w:sz="6" w:space="0" w:color="auto"/>
              <w:left w:val="single" w:sz="6" w:space="0" w:color="auto"/>
              <w:bottom w:val="single" w:sz="6" w:space="0" w:color="auto"/>
              <w:right w:val="single" w:sz="6" w:space="0" w:color="auto"/>
            </w:tcBorders>
          </w:tcPr>
          <w:p w14:paraId="46E4FCD7" w14:textId="77777777" w:rsidR="0009128F" w:rsidRPr="0061726B" w:rsidRDefault="0009128F" w:rsidP="0009128F">
            <w:pPr>
              <w:autoSpaceDE w:val="0"/>
              <w:autoSpaceDN w:val="0"/>
              <w:adjustRightInd w:val="0"/>
              <w:rPr>
                <w:b/>
                <w:color w:val="000000"/>
                <w:sz w:val="20"/>
                <w:szCs w:val="20"/>
                <w:lang w:val="es-ES_tradnl"/>
              </w:rPr>
            </w:pPr>
          </w:p>
          <w:p w14:paraId="7063D289" w14:textId="3222809E" w:rsidR="0009128F" w:rsidRPr="0061726B" w:rsidRDefault="0009128F" w:rsidP="0009128F">
            <w:pPr>
              <w:autoSpaceDE w:val="0"/>
              <w:autoSpaceDN w:val="0"/>
              <w:adjustRightInd w:val="0"/>
              <w:rPr>
                <w:b/>
                <w:color w:val="000000"/>
                <w:sz w:val="20"/>
                <w:szCs w:val="20"/>
                <w:lang w:val="es-ES_tradnl"/>
              </w:rPr>
            </w:pPr>
            <w:r>
              <w:rPr>
                <w:color w:val="000000"/>
                <w:sz w:val="20"/>
                <w:szCs w:val="20"/>
                <w:lang w:val="es-ES_tradnl"/>
              </w:rPr>
              <w:t>No se modifica</w:t>
            </w:r>
          </w:p>
          <w:p w14:paraId="6F240457" w14:textId="287A217F" w:rsidR="0009128F" w:rsidRPr="0061726B" w:rsidRDefault="0009128F" w:rsidP="0009128F">
            <w:pPr>
              <w:autoSpaceDE w:val="0"/>
              <w:autoSpaceDN w:val="0"/>
              <w:adjustRightInd w:val="0"/>
              <w:rPr>
                <w:bCs/>
                <w:color w:val="000000"/>
                <w:sz w:val="20"/>
                <w:szCs w:val="20"/>
                <w:lang w:val="es-ES_tradnl"/>
              </w:rPr>
            </w:pPr>
          </w:p>
        </w:tc>
      </w:tr>
      <w:tr w:rsidR="000D5CDA" w:rsidRPr="00056C9E" w14:paraId="2FE96A02" w14:textId="77777777" w:rsidTr="00ED3AFB">
        <w:tc>
          <w:tcPr>
            <w:tcW w:w="844" w:type="pct"/>
            <w:vMerge w:val="restart"/>
            <w:tcBorders>
              <w:top w:val="single" w:sz="6" w:space="0" w:color="auto"/>
              <w:left w:val="single" w:sz="6" w:space="0" w:color="auto"/>
              <w:right w:val="single" w:sz="6" w:space="0" w:color="auto"/>
            </w:tcBorders>
          </w:tcPr>
          <w:p w14:paraId="15B16153" w14:textId="77777777" w:rsidR="000D5CDA" w:rsidRPr="0061726B" w:rsidRDefault="000D5CDA" w:rsidP="009E6747">
            <w:pPr>
              <w:autoSpaceDE w:val="0"/>
              <w:autoSpaceDN w:val="0"/>
              <w:rPr>
                <w:color w:val="000000"/>
                <w:sz w:val="20"/>
                <w:szCs w:val="20"/>
                <w:lang w:val="es-ES_tradnl"/>
              </w:rPr>
            </w:pPr>
            <w:r w:rsidRPr="0061726B">
              <w:rPr>
                <w:b/>
                <w:bCs/>
                <w:sz w:val="20"/>
                <w:szCs w:val="20"/>
                <w:lang w:val="es-ES"/>
              </w:rPr>
              <w:lastRenderedPageBreak/>
              <w:t>III- 1 Contar con un marco regulatorio que promueva la diversificación de fuentes de energía limpia y la reducción de costos de generación.</w:t>
            </w:r>
          </w:p>
          <w:p w14:paraId="50EF58D6" w14:textId="2A130D98" w:rsidR="000D5CDA" w:rsidRPr="0061726B" w:rsidRDefault="000D5CDA" w:rsidP="009E6747">
            <w:pPr>
              <w:autoSpaceDE w:val="0"/>
              <w:autoSpaceDN w:val="0"/>
              <w:rPr>
                <w:color w:val="000000"/>
                <w:sz w:val="20"/>
                <w:szCs w:val="20"/>
                <w:lang w:val="es-ES_tradnl"/>
              </w:rPr>
            </w:pPr>
          </w:p>
          <w:p w14:paraId="092FDF9D" w14:textId="1B5514FE" w:rsidR="000D5CDA" w:rsidRPr="0061726B" w:rsidRDefault="000D5CDA" w:rsidP="009E6747">
            <w:pPr>
              <w:autoSpaceDE w:val="0"/>
              <w:autoSpaceDN w:val="0"/>
              <w:rPr>
                <w:color w:val="000000"/>
                <w:sz w:val="20"/>
                <w:szCs w:val="20"/>
                <w:lang w:val="es-ES_tradnl"/>
              </w:rPr>
            </w:pPr>
          </w:p>
          <w:p w14:paraId="057848DE" w14:textId="7B0F76FF" w:rsidR="000D5CDA" w:rsidRPr="0061726B" w:rsidRDefault="000D5CDA" w:rsidP="009E6747">
            <w:pPr>
              <w:autoSpaceDE w:val="0"/>
              <w:autoSpaceDN w:val="0"/>
              <w:rPr>
                <w:color w:val="000000"/>
                <w:sz w:val="20"/>
                <w:szCs w:val="20"/>
                <w:lang w:val="es-ES_tradnl"/>
              </w:rPr>
            </w:pPr>
          </w:p>
        </w:tc>
        <w:tc>
          <w:tcPr>
            <w:tcW w:w="1356" w:type="pct"/>
            <w:tcBorders>
              <w:top w:val="single" w:sz="6" w:space="0" w:color="auto"/>
              <w:left w:val="single" w:sz="6" w:space="0" w:color="auto"/>
              <w:bottom w:val="nil"/>
              <w:right w:val="single" w:sz="6" w:space="0" w:color="auto"/>
            </w:tcBorders>
          </w:tcPr>
          <w:p w14:paraId="0E1AF4D6" w14:textId="3E95F097" w:rsidR="000D5CDA" w:rsidRPr="0061726B" w:rsidRDefault="000D5CDA" w:rsidP="009E6747">
            <w:pPr>
              <w:autoSpaceDE w:val="0"/>
              <w:autoSpaceDN w:val="0"/>
              <w:adjustRightInd w:val="0"/>
              <w:rPr>
                <w:sz w:val="20"/>
                <w:szCs w:val="20"/>
                <w:lang w:val="es-ES_tradnl"/>
              </w:rPr>
            </w:pPr>
            <w:r w:rsidRPr="0061726B">
              <w:rPr>
                <w:sz w:val="20"/>
                <w:szCs w:val="20"/>
                <w:lang w:val="es-ES_tradnl"/>
              </w:rPr>
              <w:t>Se incluyen el mapeo de los recursos renovables no convencionales en el plan de expansión.</w:t>
            </w:r>
          </w:p>
        </w:tc>
        <w:tc>
          <w:tcPr>
            <w:tcW w:w="1352" w:type="pct"/>
            <w:tcBorders>
              <w:top w:val="single" w:sz="6" w:space="0" w:color="auto"/>
              <w:left w:val="single" w:sz="6" w:space="0" w:color="auto"/>
              <w:bottom w:val="nil"/>
              <w:right w:val="single" w:sz="6" w:space="0" w:color="auto"/>
            </w:tcBorders>
          </w:tcPr>
          <w:p w14:paraId="02CF0641" w14:textId="77777777" w:rsidR="0009128F" w:rsidRPr="0061726B" w:rsidRDefault="0009128F" w:rsidP="0009128F">
            <w:pPr>
              <w:autoSpaceDE w:val="0"/>
              <w:autoSpaceDN w:val="0"/>
              <w:adjustRightInd w:val="0"/>
              <w:rPr>
                <w:sz w:val="20"/>
                <w:szCs w:val="20"/>
                <w:lang w:val="es-ES_tradnl"/>
              </w:rPr>
            </w:pPr>
            <w:bookmarkStart w:id="19" w:name="_Hlk498359143"/>
            <w:r w:rsidRPr="0061726B">
              <w:rPr>
                <w:sz w:val="20"/>
                <w:szCs w:val="20"/>
                <w:lang w:val="es-ES_tradnl"/>
              </w:rPr>
              <w:t>Que el plan de expansión de generación incluya proyectos de generación de energía de fuentes renovables no convencional</w:t>
            </w:r>
            <w:r>
              <w:rPr>
                <w:sz w:val="20"/>
                <w:szCs w:val="20"/>
                <w:lang w:val="es-ES_tradnl"/>
              </w:rPr>
              <w:t>es</w:t>
            </w:r>
          </w:p>
          <w:bookmarkEnd w:id="19"/>
          <w:p w14:paraId="19B9B83B" w14:textId="5BF88799" w:rsidR="000D5CDA" w:rsidRPr="0061726B" w:rsidRDefault="000D5CDA" w:rsidP="009E6747">
            <w:pPr>
              <w:autoSpaceDE w:val="0"/>
              <w:autoSpaceDN w:val="0"/>
              <w:adjustRightInd w:val="0"/>
              <w:rPr>
                <w:b/>
                <w:color w:val="000000"/>
                <w:sz w:val="20"/>
                <w:szCs w:val="20"/>
                <w:lang w:val="es-ES_tradnl"/>
              </w:rPr>
            </w:pPr>
          </w:p>
        </w:tc>
        <w:tc>
          <w:tcPr>
            <w:tcW w:w="1448" w:type="pct"/>
            <w:tcBorders>
              <w:top w:val="single" w:sz="6" w:space="0" w:color="auto"/>
              <w:left w:val="single" w:sz="6" w:space="0" w:color="auto"/>
              <w:bottom w:val="nil"/>
              <w:right w:val="single" w:sz="6" w:space="0" w:color="auto"/>
            </w:tcBorders>
          </w:tcPr>
          <w:p w14:paraId="61FFDDB6" w14:textId="53AE6AFE" w:rsidR="000D5CDA" w:rsidRPr="0061726B" w:rsidRDefault="005C47D0" w:rsidP="009E6747">
            <w:pPr>
              <w:autoSpaceDE w:val="0"/>
              <w:autoSpaceDN w:val="0"/>
              <w:adjustRightInd w:val="0"/>
              <w:ind w:left="-3"/>
              <w:rPr>
                <w:b/>
                <w:bCs/>
                <w:color w:val="000000"/>
                <w:sz w:val="20"/>
                <w:szCs w:val="20"/>
                <w:lang w:val="es-ES_tradnl"/>
              </w:rPr>
            </w:pPr>
            <w:r>
              <w:rPr>
                <w:bCs/>
                <w:color w:val="000000"/>
                <w:sz w:val="20"/>
                <w:szCs w:val="20"/>
                <w:lang w:val="es-ES_tradnl"/>
              </w:rPr>
              <w:t xml:space="preserve">Se modifica para reflejar el avance del </w:t>
            </w:r>
            <w:proofErr w:type="spellStart"/>
            <w:r>
              <w:rPr>
                <w:bCs/>
                <w:color w:val="000000"/>
                <w:sz w:val="20"/>
                <w:szCs w:val="20"/>
                <w:lang w:val="es-ES_tradnl"/>
              </w:rPr>
              <w:t>GdH</w:t>
            </w:r>
            <w:proofErr w:type="spellEnd"/>
            <w:r>
              <w:rPr>
                <w:bCs/>
                <w:color w:val="000000"/>
                <w:sz w:val="20"/>
                <w:szCs w:val="20"/>
                <w:lang w:val="es-ES_tradnl"/>
              </w:rPr>
              <w:t xml:space="preserve"> </w:t>
            </w:r>
            <w:r w:rsidR="00A44885">
              <w:rPr>
                <w:bCs/>
                <w:color w:val="000000"/>
                <w:sz w:val="20"/>
                <w:szCs w:val="20"/>
                <w:lang w:val="es-ES_tradnl"/>
              </w:rPr>
              <w:t>más</w:t>
            </w:r>
            <w:r>
              <w:rPr>
                <w:bCs/>
                <w:color w:val="000000"/>
                <w:sz w:val="20"/>
                <w:szCs w:val="20"/>
                <w:lang w:val="es-ES_tradnl"/>
              </w:rPr>
              <w:t xml:space="preserve"> allá del mapeo previsto como mecanismo activador. Se avanzó con el plan de expansión que incluye los proyectos de energía renovable</w:t>
            </w:r>
          </w:p>
        </w:tc>
      </w:tr>
      <w:tr w:rsidR="000D5CDA" w:rsidRPr="0061726B" w14:paraId="01E33C5D" w14:textId="77777777" w:rsidTr="00ED3AFB">
        <w:tc>
          <w:tcPr>
            <w:tcW w:w="844" w:type="pct"/>
            <w:vMerge/>
            <w:tcBorders>
              <w:left w:val="single" w:sz="6" w:space="0" w:color="auto"/>
              <w:right w:val="single" w:sz="6" w:space="0" w:color="auto"/>
            </w:tcBorders>
          </w:tcPr>
          <w:p w14:paraId="1633AB9B" w14:textId="0E8CB529" w:rsidR="000D5CDA" w:rsidRPr="0061726B" w:rsidRDefault="000D5CDA" w:rsidP="009E6747">
            <w:pPr>
              <w:autoSpaceDE w:val="0"/>
              <w:autoSpaceDN w:val="0"/>
              <w:rPr>
                <w:color w:val="000000"/>
                <w:sz w:val="20"/>
                <w:szCs w:val="20"/>
                <w:lang w:val="es-ES_tradnl"/>
              </w:rPr>
            </w:pPr>
          </w:p>
        </w:tc>
        <w:tc>
          <w:tcPr>
            <w:tcW w:w="1356" w:type="pct"/>
            <w:tcBorders>
              <w:top w:val="single" w:sz="6" w:space="0" w:color="auto"/>
              <w:left w:val="single" w:sz="6" w:space="0" w:color="auto"/>
              <w:bottom w:val="nil"/>
              <w:right w:val="single" w:sz="6" w:space="0" w:color="auto"/>
            </w:tcBorders>
          </w:tcPr>
          <w:p w14:paraId="574B073D" w14:textId="331D19AC" w:rsidR="000D5CDA" w:rsidRPr="0061726B" w:rsidRDefault="000D5CDA" w:rsidP="009E6747">
            <w:pPr>
              <w:autoSpaceDE w:val="0"/>
              <w:autoSpaceDN w:val="0"/>
              <w:adjustRightInd w:val="0"/>
              <w:rPr>
                <w:sz w:val="20"/>
                <w:szCs w:val="20"/>
                <w:lang w:val="es-ES_tradnl"/>
              </w:rPr>
            </w:pPr>
            <w:r w:rsidRPr="0061726B">
              <w:rPr>
                <w:sz w:val="20"/>
                <w:szCs w:val="20"/>
                <w:lang w:val="es-ES_tradnl"/>
              </w:rPr>
              <w:t>Se adelantan subastas de compra de energía por tecnología.</w:t>
            </w:r>
          </w:p>
        </w:tc>
        <w:tc>
          <w:tcPr>
            <w:tcW w:w="1352" w:type="pct"/>
            <w:tcBorders>
              <w:top w:val="single" w:sz="6" w:space="0" w:color="auto"/>
              <w:left w:val="single" w:sz="6" w:space="0" w:color="auto"/>
              <w:bottom w:val="nil"/>
              <w:right w:val="single" w:sz="6" w:space="0" w:color="auto"/>
            </w:tcBorders>
          </w:tcPr>
          <w:p w14:paraId="090327D8" w14:textId="77777777" w:rsidR="0009128F" w:rsidRPr="0061726B" w:rsidRDefault="0009128F" w:rsidP="0009128F">
            <w:pPr>
              <w:autoSpaceDE w:val="0"/>
              <w:autoSpaceDN w:val="0"/>
              <w:adjustRightInd w:val="0"/>
              <w:rPr>
                <w:sz w:val="20"/>
                <w:szCs w:val="20"/>
                <w:lang w:val="es-ES_tradnl"/>
              </w:rPr>
            </w:pPr>
            <w:bookmarkStart w:id="20" w:name="_Hlk498359162"/>
            <w:r w:rsidRPr="0061726B">
              <w:rPr>
                <w:sz w:val="20"/>
                <w:szCs w:val="20"/>
                <w:lang w:val="es-ES_tradnl"/>
              </w:rPr>
              <w:t xml:space="preserve">Que se haya realizado subastas de compra de energía </w:t>
            </w:r>
          </w:p>
          <w:bookmarkEnd w:id="20"/>
          <w:p w14:paraId="74619642" w14:textId="77777777" w:rsidR="000D5CDA" w:rsidRPr="0061726B" w:rsidRDefault="000D5CDA" w:rsidP="009E6747">
            <w:pPr>
              <w:autoSpaceDE w:val="0"/>
              <w:autoSpaceDN w:val="0"/>
              <w:adjustRightInd w:val="0"/>
              <w:rPr>
                <w:b/>
                <w:color w:val="000000"/>
                <w:sz w:val="20"/>
                <w:szCs w:val="20"/>
                <w:lang w:val="es-ES_tradnl"/>
              </w:rPr>
            </w:pPr>
          </w:p>
        </w:tc>
        <w:tc>
          <w:tcPr>
            <w:tcW w:w="1448" w:type="pct"/>
            <w:tcBorders>
              <w:top w:val="single" w:sz="6" w:space="0" w:color="auto"/>
              <w:left w:val="single" w:sz="6" w:space="0" w:color="auto"/>
              <w:bottom w:val="nil"/>
              <w:right w:val="single" w:sz="6" w:space="0" w:color="auto"/>
            </w:tcBorders>
          </w:tcPr>
          <w:p w14:paraId="2E3D5499" w14:textId="38EF5301" w:rsidR="000D5CDA" w:rsidRPr="0061726B" w:rsidRDefault="00D97A65" w:rsidP="009E6747">
            <w:pPr>
              <w:autoSpaceDE w:val="0"/>
              <w:autoSpaceDN w:val="0"/>
              <w:adjustRightInd w:val="0"/>
              <w:rPr>
                <w:b/>
                <w:color w:val="000000"/>
                <w:sz w:val="20"/>
                <w:szCs w:val="20"/>
                <w:lang w:val="es-ES_tradnl"/>
              </w:rPr>
            </w:pPr>
            <w:r>
              <w:rPr>
                <w:color w:val="000000"/>
                <w:sz w:val="20"/>
                <w:szCs w:val="20"/>
                <w:lang w:val="es-ES_tradnl"/>
              </w:rPr>
              <w:t>No se modifica</w:t>
            </w:r>
          </w:p>
        </w:tc>
      </w:tr>
      <w:tr w:rsidR="000D5CDA" w:rsidRPr="00056C9E" w14:paraId="4B00C529" w14:textId="77777777" w:rsidTr="00ED3AFB">
        <w:tc>
          <w:tcPr>
            <w:tcW w:w="844" w:type="pct"/>
            <w:vMerge/>
            <w:tcBorders>
              <w:left w:val="single" w:sz="6" w:space="0" w:color="auto"/>
              <w:bottom w:val="nil"/>
              <w:right w:val="single" w:sz="6" w:space="0" w:color="auto"/>
            </w:tcBorders>
          </w:tcPr>
          <w:p w14:paraId="6C72FA09" w14:textId="6E9C8DD1" w:rsidR="000D5CDA" w:rsidRPr="0061726B" w:rsidRDefault="000D5CDA" w:rsidP="009E6747">
            <w:pPr>
              <w:autoSpaceDE w:val="0"/>
              <w:autoSpaceDN w:val="0"/>
              <w:rPr>
                <w:color w:val="000000"/>
                <w:sz w:val="20"/>
                <w:szCs w:val="20"/>
                <w:lang w:val="es-ES_tradnl"/>
              </w:rPr>
            </w:pPr>
          </w:p>
        </w:tc>
        <w:tc>
          <w:tcPr>
            <w:tcW w:w="1356" w:type="pct"/>
            <w:tcBorders>
              <w:top w:val="single" w:sz="6" w:space="0" w:color="auto"/>
              <w:left w:val="single" w:sz="6" w:space="0" w:color="auto"/>
              <w:bottom w:val="nil"/>
              <w:right w:val="single" w:sz="6" w:space="0" w:color="auto"/>
            </w:tcBorders>
          </w:tcPr>
          <w:p w14:paraId="11EF10BA" w14:textId="77A50907" w:rsidR="000D5CDA" w:rsidRPr="0061726B" w:rsidRDefault="000D5CDA" w:rsidP="009E6747">
            <w:pPr>
              <w:autoSpaceDE w:val="0"/>
              <w:autoSpaceDN w:val="0"/>
              <w:adjustRightInd w:val="0"/>
              <w:rPr>
                <w:sz w:val="20"/>
                <w:szCs w:val="20"/>
                <w:lang w:val="es-ES_tradnl"/>
              </w:rPr>
            </w:pPr>
            <w:r w:rsidRPr="0061726B">
              <w:rPr>
                <w:sz w:val="20"/>
                <w:szCs w:val="20"/>
                <w:lang w:val="es-ES_tradnl"/>
              </w:rPr>
              <w:t>Se ha implementado la metodología para la medición y facturación bidireccional.</w:t>
            </w:r>
          </w:p>
        </w:tc>
        <w:tc>
          <w:tcPr>
            <w:tcW w:w="1352" w:type="pct"/>
            <w:tcBorders>
              <w:top w:val="single" w:sz="6" w:space="0" w:color="auto"/>
              <w:left w:val="single" w:sz="6" w:space="0" w:color="auto"/>
              <w:bottom w:val="nil"/>
              <w:right w:val="single" w:sz="6" w:space="0" w:color="auto"/>
            </w:tcBorders>
            <w:shd w:val="clear" w:color="auto" w:fill="BFBFBF" w:themeFill="background1" w:themeFillShade="BF"/>
          </w:tcPr>
          <w:p w14:paraId="1B6160F3" w14:textId="4ED11905" w:rsidR="000D5CDA" w:rsidRPr="0061726B" w:rsidRDefault="000D5CDA" w:rsidP="009E6747">
            <w:pPr>
              <w:autoSpaceDE w:val="0"/>
              <w:autoSpaceDN w:val="0"/>
              <w:adjustRightInd w:val="0"/>
              <w:rPr>
                <w:b/>
                <w:color w:val="000000"/>
                <w:sz w:val="20"/>
                <w:szCs w:val="20"/>
                <w:lang w:val="es-ES_tradnl"/>
              </w:rPr>
            </w:pPr>
          </w:p>
        </w:tc>
        <w:tc>
          <w:tcPr>
            <w:tcW w:w="1448" w:type="pct"/>
            <w:tcBorders>
              <w:top w:val="single" w:sz="6" w:space="0" w:color="auto"/>
              <w:left w:val="single" w:sz="6" w:space="0" w:color="auto"/>
              <w:bottom w:val="nil"/>
              <w:right w:val="single" w:sz="6" w:space="0" w:color="auto"/>
            </w:tcBorders>
          </w:tcPr>
          <w:p w14:paraId="4EDF5380" w14:textId="39077D5D" w:rsidR="000D5CDA" w:rsidRPr="00C66378" w:rsidRDefault="005C47D0" w:rsidP="009E6747">
            <w:pPr>
              <w:autoSpaceDE w:val="0"/>
              <w:autoSpaceDN w:val="0"/>
              <w:adjustRightInd w:val="0"/>
              <w:rPr>
                <w:color w:val="000000"/>
                <w:sz w:val="20"/>
                <w:szCs w:val="20"/>
                <w:lang w:val="es-ES_tradnl"/>
              </w:rPr>
            </w:pPr>
            <w:r>
              <w:rPr>
                <w:color w:val="000000"/>
                <w:sz w:val="20"/>
                <w:szCs w:val="20"/>
                <w:lang w:val="es-ES_tradnl"/>
              </w:rPr>
              <w:t>Esta condición se</w:t>
            </w:r>
            <w:r w:rsidR="001F3FCF">
              <w:rPr>
                <w:color w:val="000000"/>
                <w:sz w:val="20"/>
                <w:szCs w:val="20"/>
                <w:lang w:val="es-ES_tradnl"/>
              </w:rPr>
              <w:t xml:space="preserve"> había </w:t>
            </w:r>
            <w:r>
              <w:rPr>
                <w:color w:val="000000"/>
                <w:sz w:val="20"/>
                <w:szCs w:val="20"/>
                <w:lang w:val="es-ES_tradnl"/>
              </w:rPr>
              <w:t>trans</w:t>
            </w:r>
            <w:r w:rsidR="00852BC7">
              <w:rPr>
                <w:color w:val="000000"/>
                <w:sz w:val="20"/>
                <w:szCs w:val="20"/>
                <w:lang w:val="es-ES_tradnl"/>
              </w:rPr>
              <w:t>f</w:t>
            </w:r>
            <w:r w:rsidR="001F3FCF">
              <w:rPr>
                <w:color w:val="000000"/>
                <w:sz w:val="20"/>
                <w:szCs w:val="20"/>
                <w:lang w:val="es-ES_tradnl"/>
              </w:rPr>
              <w:t>erido</w:t>
            </w:r>
            <w:r w:rsidR="00852BC7">
              <w:rPr>
                <w:color w:val="000000"/>
                <w:sz w:val="20"/>
                <w:szCs w:val="20"/>
                <w:lang w:val="es-ES_tradnl"/>
              </w:rPr>
              <w:t xml:space="preserve"> de la segunda a la tercera </w:t>
            </w:r>
            <w:r>
              <w:rPr>
                <w:color w:val="000000"/>
                <w:sz w:val="20"/>
                <w:szCs w:val="20"/>
                <w:lang w:val="es-ES_tradnl"/>
              </w:rPr>
              <w:t>operación</w:t>
            </w:r>
            <w:r w:rsidR="001F3FCF">
              <w:rPr>
                <w:color w:val="000000"/>
                <w:sz w:val="20"/>
                <w:szCs w:val="20"/>
                <w:lang w:val="es-ES_tradnl"/>
              </w:rPr>
              <w:t>. S</w:t>
            </w:r>
            <w:r>
              <w:rPr>
                <w:color w:val="000000"/>
                <w:sz w:val="20"/>
                <w:szCs w:val="20"/>
                <w:lang w:val="es-ES_tradnl"/>
              </w:rPr>
              <w:t xml:space="preserve">e </w:t>
            </w:r>
            <w:bookmarkStart w:id="21" w:name="_Hlk497914507"/>
            <w:r w:rsidR="001F3FCF">
              <w:rPr>
                <w:color w:val="000000"/>
                <w:sz w:val="20"/>
                <w:szCs w:val="20"/>
                <w:lang w:val="es-ES_tradnl"/>
              </w:rPr>
              <w:t xml:space="preserve">elimina de esta tercera operación   </w:t>
            </w:r>
            <w:r>
              <w:rPr>
                <w:color w:val="000000"/>
                <w:sz w:val="20"/>
                <w:szCs w:val="20"/>
                <w:lang w:val="es-ES_tradnl"/>
              </w:rPr>
              <w:t>ya que la</w:t>
            </w:r>
            <w:r w:rsidR="00C66378" w:rsidRPr="00C66378">
              <w:rPr>
                <w:color w:val="000000"/>
                <w:sz w:val="20"/>
                <w:szCs w:val="20"/>
                <w:lang w:val="es-ES_tradnl"/>
              </w:rPr>
              <w:t xml:space="preserve"> implementación de la metodología demanda la realizaci</w:t>
            </w:r>
            <w:r w:rsidR="00304296">
              <w:rPr>
                <w:color w:val="000000"/>
                <w:sz w:val="20"/>
                <w:szCs w:val="20"/>
                <w:lang w:val="es-ES_tradnl"/>
              </w:rPr>
              <w:t>ón de actividades como estudios de incidencia de generación distribuida en la red eléctrica, elaboración de normas y reglamentos específicos que van a ser realizadas por la CREE.</w:t>
            </w:r>
            <w:r w:rsidR="00FD1668">
              <w:rPr>
                <w:color w:val="000000"/>
                <w:sz w:val="20"/>
                <w:szCs w:val="20"/>
                <w:lang w:val="es-ES_tradnl"/>
              </w:rPr>
              <w:t xml:space="preserve"> La modificación no afecta </w:t>
            </w:r>
            <w:bookmarkEnd w:id="21"/>
            <w:r w:rsidR="00B9668D">
              <w:rPr>
                <w:color w:val="000000"/>
                <w:sz w:val="20"/>
                <w:szCs w:val="20"/>
                <w:lang w:val="es-ES_tradnl"/>
              </w:rPr>
              <w:t xml:space="preserve">las metas de diversificación de la matriz energética, las cuales ya fueron superadas como se muestra en la matriz de resultados. </w:t>
            </w:r>
          </w:p>
          <w:p w14:paraId="4DAB985B" w14:textId="581AC232" w:rsidR="000D5CDA" w:rsidRPr="0061726B" w:rsidRDefault="000D5CDA" w:rsidP="009E6747">
            <w:pPr>
              <w:autoSpaceDE w:val="0"/>
              <w:autoSpaceDN w:val="0"/>
              <w:adjustRightInd w:val="0"/>
              <w:rPr>
                <w:color w:val="000000"/>
                <w:sz w:val="20"/>
                <w:szCs w:val="20"/>
                <w:lang w:val="es-ES_tradnl"/>
              </w:rPr>
            </w:pPr>
          </w:p>
          <w:p w14:paraId="3012669C" w14:textId="77777777" w:rsidR="000D5CDA" w:rsidRPr="0061726B" w:rsidRDefault="000D5CDA" w:rsidP="009E6747">
            <w:pPr>
              <w:jc w:val="right"/>
              <w:rPr>
                <w:sz w:val="20"/>
                <w:szCs w:val="20"/>
                <w:lang w:val="es-ES_tradnl"/>
              </w:rPr>
            </w:pPr>
          </w:p>
        </w:tc>
      </w:tr>
      <w:tr w:rsidR="0009128F" w:rsidRPr="00056C9E" w14:paraId="534B36D5" w14:textId="77777777" w:rsidTr="00ED3AFB">
        <w:trPr>
          <w:trHeight w:val="1060"/>
        </w:trPr>
        <w:tc>
          <w:tcPr>
            <w:tcW w:w="844" w:type="pct"/>
            <w:vMerge w:val="restart"/>
            <w:tcBorders>
              <w:top w:val="single" w:sz="6" w:space="0" w:color="auto"/>
              <w:left w:val="single" w:sz="6" w:space="0" w:color="auto"/>
              <w:right w:val="single" w:sz="4" w:space="0" w:color="auto"/>
            </w:tcBorders>
            <w:hideMark/>
          </w:tcPr>
          <w:p w14:paraId="59A94D6B" w14:textId="77777777" w:rsidR="0009128F" w:rsidRPr="0061726B" w:rsidRDefault="0009128F" w:rsidP="0009128F">
            <w:pPr>
              <w:autoSpaceDE w:val="0"/>
              <w:autoSpaceDN w:val="0"/>
              <w:adjustRightInd w:val="0"/>
              <w:rPr>
                <w:b/>
                <w:bCs/>
                <w:color w:val="000000"/>
                <w:sz w:val="20"/>
                <w:szCs w:val="20"/>
                <w:lang w:val="es-ES"/>
              </w:rPr>
            </w:pPr>
            <w:r w:rsidRPr="0061726B">
              <w:rPr>
                <w:b/>
                <w:bCs/>
                <w:sz w:val="20"/>
                <w:szCs w:val="20"/>
                <w:lang w:val="es-ES"/>
              </w:rPr>
              <w:t>III-2 Contar con un marco regulatorio y unas políticas que promuevan la Eficiencia Energética.</w:t>
            </w:r>
          </w:p>
          <w:p w14:paraId="0B6065DD" w14:textId="72168018" w:rsidR="0009128F" w:rsidRPr="0061726B" w:rsidRDefault="0009128F" w:rsidP="0009128F">
            <w:pPr>
              <w:autoSpaceDE w:val="0"/>
              <w:autoSpaceDN w:val="0"/>
              <w:adjustRightInd w:val="0"/>
              <w:rPr>
                <w:b/>
                <w:bCs/>
                <w:color w:val="000000"/>
                <w:sz w:val="20"/>
                <w:szCs w:val="20"/>
                <w:lang w:val="es-ES"/>
              </w:rPr>
            </w:pPr>
          </w:p>
        </w:tc>
        <w:tc>
          <w:tcPr>
            <w:tcW w:w="1356" w:type="pct"/>
            <w:tcBorders>
              <w:top w:val="single" w:sz="6" w:space="0" w:color="auto"/>
              <w:left w:val="single" w:sz="6" w:space="0" w:color="auto"/>
              <w:bottom w:val="single" w:sz="6" w:space="0" w:color="auto"/>
              <w:right w:val="single" w:sz="4" w:space="0" w:color="auto"/>
            </w:tcBorders>
            <w:hideMark/>
          </w:tcPr>
          <w:p w14:paraId="0C30968C" w14:textId="40459439" w:rsidR="0009128F" w:rsidRPr="0061726B" w:rsidRDefault="0009128F" w:rsidP="0009128F">
            <w:pPr>
              <w:autoSpaceDE w:val="0"/>
              <w:autoSpaceDN w:val="0"/>
              <w:adjustRightInd w:val="0"/>
              <w:rPr>
                <w:sz w:val="20"/>
                <w:szCs w:val="20"/>
                <w:lang w:val="es-ES_tradnl"/>
              </w:rPr>
            </w:pPr>
            <w:r w:rsidRPr="0061726B">
              <w:rPr>
                <w:sz w:val="20"/>
                <w:szCs w:val="20"/>
                <w:lang w:val="es-ES_tradnl"/>
              </w:rPr>
              <w:t>Se ejecutan satisfactoriamente los planes de eficiencia y ahorro energético en las instituciones de la administración pública y se presenta un informe con los resultados de los ahorros obtenidos.</w:t>
            </w:r>
          </w:p>
        </w:tc>
        <w:tc>
          <w:tcPr>
            <w:tcW w:w="1352" w:type="pct"/>
            <w:tcBorders>
              <w:top w:val="single" w:sz="6" w:space="0" w:color="auto"/>
              <w:left w:val="single" w:sz="6" w:space="0" w:color="auto"/>
              <w:bottom w:val="single" w:sz="6" w:space="0" w:color="auto"/>
              <w:right w:val="single" w:sz="6" w:space="0" w:color="auto"/>
            </w:tcBorders>
          </w:tcPr>
          <w:p w14:paraId="36CD166D" w14:textId="77777777" w:rsidR="0009128F" w:rsidRPr="0061726B" w:rsidRDefault="0009128F" w:rsidP="0009128F">
            <w:pPr>
              <w:autoSpaceDE w:val="0"/>
              <w:autoSpaceDN w:val="0"/>
              <w:adjustRightInd w:val="0"/>
              <w:rPr>
                <w:sz w:val="20"/>
                <w:szCs w:val="20"/>
                <w:lang w:val="es-ES_tradnl"/>
              </w:rPr>
            </w:pPr>
            <w:bookmarkStart w:id="22" w:name="_Hlk498359202"/>
            <w:r w:rsidRPr="0061726B">
              <w:rPr>
                <w:sz w:val="20"/>
                <w:szCs w:val="20"/>
                <w:lang w:val="es-ES_tradnl"/>
              </w:rPr>
              <w:t>Que los planes de eficiencia y ahorro energético se estén implementando satisfactoriamente en al menos 10 de las instituciones de la administración pública y se reporten los ahorros obtenidos por la implementación de los mismos</w:t>
            </w:r>
            <w:bookmarkEnd w:id="22"/>
            <w:r w:rsidRPr="0061726B">
              <w:rPr>
                <w:sz w:val="20"/>
                <w:szCs w:val="20"/>
                <w:lang w:val="es-ES_tradnl"/>
              </w:rPr>
              <w:t>.</w:t>
            </w:r>
          </w:p>
          <w:p w14:paraId="3F0C225F" w14:textId="4FE1EDD5" w:rsidR="0009128F" w:rsidRPr="0061726B" w:rsidRDefault="0009128F" w:rsidP="0009128F">
            <w:pPr>
              <w:autoSpaceDE w:val="0"/>
              <w:autoSpaceDN w:val="0"/>
              <w:adjustRightInd w:val="0"/>
              <w:rPr>
                <w:b/>
                <w:color w:val="000000"/>
                <w:sz w:val="20"/>
                <w:szCs w:val="20"/>
                <w:lang w:val="es-ES_tradnl"/>
              </w:rPr>
            </w:pPr>
          </w:p>
        </w:tc>
        <w:tc>
          <w:tcPr>
            <w:tcW w:w="1448" w:type="pct"/>
            <w:tcBorders>
              <w:top w:val="single" w:sz="6" w:space="0" w:color="auto"/>
              <w:left w:val="single" w:sz="6" w:space="0" w:color="auto"/>
              <w:bottom w:val="single" w:sz="6" w:space="0" w:color="auto"/>
              <w:right w:val="single" w:sz="6" w:space="0" w:color="auto"/>
            </w:tcBorders>
          </w:tcPr>
          <w:p w14:paraId="70499E4F" w14:textId="56ECD266" w:rsidR="0009128F" w:rsidRPr="0061726B" w:rsidRDefault="0009128F" w:rsidP="0009128F">
            <w:pPr>
              <w:autoSpaceDE w:val="0"/>
              <w:autoSpaceDN w:val="0"/>
              <w:adjustRightInd w:val="0"/>
              <w:rPr>
                <w:bCs/>
                <w:color w:val="000000"/>
                <w:sz w:val="20"/>
                <w:szCs w:val="20"/>
                <w:lang w:val="es-ES_tradnl"/>
              </w:rPr>
            </w:pPr>
            <w:r>
              <w:rPr>
                <w:color w:val="000000"/>
                <w:sz w:val="20"/>
                <w:szCs w:val="20"/>
                <w:lang w:val="es-ES_tradnl"/>
              </w:rPr>
              <w:t>Se modifica para definir el número mínimo de instituciones de la administración pública dando continuidad a la condición prevista en la operación anterior.</w:t>
            </w:r>
          </w:p>
        </w:tc>
      </w:tr>
      <w:tr w:rsidR="0009128F" w:rsidRPr="00056C9E" w14:paraId="43B88D3C" w14:textId="77777777" w:rsidTr="00ED3AFB">
        <w:trPr>
          <w:trHeight w:val="1060"/>
        </w:trPr>
        <w:tc>
          <w:tcPr>
            <w:tcW w:w="844" w:type="pct"/>
            <w:vMerge/>
            <w:tcBorders>
              <w:left w:val="single" w:sz="6" w:space="0" w:color="auto"/>
              <w:bottom w:val="single" w:sz="6" w:space="0" w:color="auto"/>
              <w:right w:val="single" w:sz="4" w:space="0" w:color="auto"/>
            </w:tcBorders>
          </w:tcPr>
          <w:p w14:paraId="11A48777" w14:textId="30DC9B91" w:rsidR="0009128F" w:rsidRPr="0061726B" w:rsidRDefault="0009128F" w:rsidP="0009128F">
            <w:pPr>
              <w:autoSpaceDE w:val="0"/>
              <w:autoSpaceDN w:val="0"/>
              <w:adjustRightInd w:val="0"/>
              <w:rPr>
                <w:b/>
                <w:bCs/>
                <w:color w:val="000000"/>
                <w:sz w:val="20"/>
                <w:szCs w:val="20"/>
                <w:lang w:val="es-ES"/>
              </w:rPr>
            </w:pPr>
          </w:p>
        </w:tc>
        <w:tc>
          <w:tcPr>
            <w:tcW w:w="1356" w:type="pct"/>
            <w:tcBorders>
              <w:top w:val="single" w:sz="6" w:space="0" w:color="auto"/>
              <w:left w:val="single" w:sz="6" w:space="0" w:color="auto"/>
              <w:bottom w:val="single" w:sz="6" w:space="0" w:color="auto"/>
              <w:right w:val="single" w:sz="4" w:space="0" w:color="auto"/>
            </w:tcBorders>
          </w:tcPr>
          <w:p w14:paraId="6FEDA696" w14:textId="1C3D8F06" w:rsidR="0009128F" w:rsidRPr="0061726B" w:rsidRDefault="0009128F" w:rsidP="0009128F">
            <w:pPr>
              <w:autoSpaceDE w:val="0"/>
              <w:autoSpaceDN w:val="0"/>
              <w:adjustRightInd w:val="0"/>
              <w:rPr>
                <w:sz w:val="20"/>
                <w:szCs w:val="20"/>
                <w:lang w:val="es-ES_tradnl"/>
              </w:rPr>
            </w:pPr>
            <w:r w:rsidRPr="0061726B">
              <w:rPr>
                <w:sz w:val="20"/>
                <w:szCs w:val="20"/>
                <w:lang w:val="es-ES_tradnl"/>
              </w:rPr>
              <w:t xml:space="preserve">Se ha implementado y está vigente el esquema tarifario que incentive el consumo en horas de valle e incrementos en hora de punta (tarifas </w:t>
            </w:r>
            <w:proofErr w:type="spellStart"/>
            <w:r w:rsidRPr="0061726B">
              <w:rPr>
                <w:sz w:val="20"/>
                <w:szCs w:val="20"/>
                <w:lang w:val="es-ES_tradnl"/>
              </w:rPr>
              <w:t>multihorarias</w:t>
            </w:r>
            <w:proofErr w:type="spellEnd"/>
            <w:r w:rsidRPr="0061726B">
              <w:rPr>
                <w:sz w:val="20"/>
                <w:szCs w:val="20"/>
                <w:lang w:val="es-ES_tradnl"/>
              </w:rPr>
              <w:t xml:space="preserve"> en el sector comercial e industrial).</w:t>
            </w:r>
          </w:p>
        </w:tc>
        <w:tc>
          <w:tcPr>
            <w:tcW w:w="1352" w:type="pct"/>
            <w:tcBorders>
              <w:top w:val="single" w:sz="6" w:space="0" w:color="auto"/>
              <w:left w:val="single" w:sz="6" w:space="0" w:color="auto"/>
              <w:bottom w:val="single" w:sz="6" w:space="0" w:color="auto"/>
              <w:right w:val="single" w:sz="6" w:space="0" w:color="auto"/>
            </w:tcBorders>
          </w:tcPr>
          <w:p w14:paraId="0B1CB7D7" w14:textId="6FE6B0B7" w:rsidR="0009128F" w:rsidRPr="0061726B" w:rsidRDefault="0009128F" w:rsidP="0009128F">
            <w:pPr>
              <w:autoSpaceDE w:val="0"/>
              <w:autoSpaceDN w:val="0"/>
              <w:adjustRightInd w:val="0"/>
              <w:rPr>
                <w:sz w:val="20"/>
                <w:szCs w:val="20"/>
                <w:lang w:val="es-ES_tradnl"/>
              </w:rPr>
            </w:pPr>
            <w:r w:rsidRPr="0061726B">
              <w:rPr>
                <w:sz w:val="20"/>
                <w:szCs w:val="20"/>
                <w:lang w:val="es-ES_tradnl"/>
              </w:rPr>
              <w:t>Que el esquema tarifario vigente contemple la posibilidad de facturar el consumo en horas de valle e incrementos en hora de punta (tarifas multi-horarias en el sector comercial e industrial).</w:t>
            </w:r>
          </w:p>
        </w:tc>
        <w:tc>
          <w:tcPr>
            <w:tcW w:w="1448" w:type="pct"/>
            <w:tcBorders>
              <w:top w:val="single" w:sz="6" w:space="0" w:color="auto"/>
              <w:left w:val="single" w:sz="6" w:space="0" w:color="auto"/>
              <w:bottom w:val="single" w:sz="6" w:space="0" w:color="auto"/>
              <w:right w:val="single" w:sz="6" w:space="0" w:color="auto"/>
            </w:tcBorders>
          </w:tcPr>
          <w:p w14:paraId="1A8A38FA" w14:textId="57C6B993" w:rsidR="0009128F" w:rsidRPr="0061726B" w:rsidRDefault="0009128F" w:rsidP="0009128F">
            <w:pPr>
              <w:autoSpaceDE w:val="0"/>
              <w:autoSpaceDN w:val="0"/>
              <w:adjustRightInd w:val="0"/>
              <w:rPr>
                <w:b/>
                <w:color w:val="000000"/>
                <w:sz w:val="20"/>
                <w:szCs w:val="20"/>
                <w:lang w:val="es-ES_tradnl"/>
              </w:rPr>
            </w:pPr>
            <w:r>
              <w:rPr>
                <w:color w:val="000000"/>
                <w:sz w:val="20"/>
                <w:szCs w:val="20"/>
                <w:lang w:val="es-ES_tradnl"/>
              </w:rPr>
              <w:t>Se modifica para reflejar que e</w:t>
            </w:r>
            <w:r w:rsidRPr="00304296">
              <w:rPr>
                <w:color w:val="000000"/>
                <w:sz w:val="20"/>
                <w:szCs w:val="20"/>
                <w:lang w:val="es-ES_tradnl"/>
              </w:rPr>
              <w:t>l esquema tarifario está vigente pero la</w:t>
            </w:r>
            <w:r>
              <w:rPr>
                <w:b/>
                <w:color w:val="000000"/>
                <w:sz w:val="20"/>
                <w:szCs w:val="20"/>
                <w:lang w:val="es-ES_tradnl"/>
              </w:rPr>
              <w:t xml:space="preserve"> </w:t>
            </w:r>
            <w:r>
              <w:rPr>
                <w:color w:val="000000"/>
                <w:sz w:val="20"/>
                <w:szCs w:val="20"/>
                <w:lang w:val="es-ES_tradnl"/>
              </w:rPr>
              <w:t xml:space="preserve">implementación está supeditada a la realización de inversiones de medición comercial a cargo del nuevo </w:t>
            </w:r>
            <w:r w:rsidRPr="00F25133">
              <w:rPr>
                <w:color w:val="000000"/>
                <w:sz w:val="20"/>
                <w:szCs w:val="20"/>
                <w:lang w:val="es-ES_tradnl"/>
              </w:rPr>
              <w:t>operador del sistema de distribución</w:t>
            </w:r>
            <w:r>
              <w:rPr>
                <w:color w:val="000000"/>
                <w:sz w:val="20"/>
                <w:szCs w:val="20"/>
                <w:lang w:val="es-ES_tradnl"/>
              </w:rPr>
              <w:t xml:space="preserve"> contratado recientemente y, a las mejoras en el </w:t>
            </w:r>
            <w:r>
              <w:rPr>
                <w:color w:val="000000"/>
                <w:sz w:val="20"/>
                <w:szCs w:val="20"/>
                <w:lang w:val="es-ES_tradnl"/>
              </w:rPr>
              <w:lastRenderedPageBreak/>
              <w:t xml:space="preserve">sistema de distribución. La modificación no afecta el cumplimiento de los objetivos y metas del programa dado que bajo el esquema actual concientiza al usuario a la adopción de medidas de eficiencia energética. </w:t>
            </w:r>
          </w:p>
        </w:tc>
      </w:tr>
      <w:tr w:rsidR="000D5CDA" w:rsidRPr="00D97A65" w14:paraId="2F32566F" w14:textId="77777777" w:rsidTr="00ED3AFB">
        <w:trPr>
          <w:trHeight w:val="1060"/>
        </w:trPr>
        <w:tc>
          <w:tcPr>
            <w:tcW w:w="844" w:type="pct"/>
            <w:tcBorders>
              <w:top w:val="single" w:sz="6" w:space="0" w:color="auto"/>
              <w:left w:val="single" w:sz="6" w:space="0" w:color="auto"/>
              <w:bottom w:val="single" w:sz="6" w:space="0" w:color="auto"/>
              <w:right w:val="single" w:sz="4" w:space="0" w:color="auto"/>
            </w:tcBorders>
          </w:tcPr>
          <w:p w14:paraId="699EA9B0" w14:textId="0BF95027" w:rsidR="000D5CDA" w:rsidRPr="0061726B" w:rsidRDefault="000D5CDA" w:rsidP="009E6747">
            <w:pPr>
              <w:autoSpaceDE w:val="0"/>
              <w:autoSpaceDN w:val="0"/>
              <w:adjustRightInd w:val="0"/>
              <w:rPr>
                <w:b/>
                <w:bCs/>
                <w:color w:val="000000"/>
                <w:sz w:val="20"/>
                <w:szCs w:val="20"/>
                <w:lang w:val="es-ES"/>
              </w:rPr>
            </w:pPr>
            <w:r w:rsidRPr="0061726B">
              <w:rPr>
                <w:b/>
                <w:bCs/>
                <w:color w:val="000000"/>
                <w:sz w:val="20"/>
                <w:szCs w:val="20"/>
                <w:lang w:val="es-ES"/>
              </w:rPr>
              <w:lastRenderedPageBreak/>
              <w:t xml:space="preserve">III-3 Contar con un marco regulatorio armonizado con el Mercado Eléctrico </w:t>
            </w:r>
            <w:r w:rsidR="00D97A65">
              <w:rPr>
                <w:color w:val="000000"/>
                <w:sz w:val="20"/>
                <w:szCs w:val="20"/>
                <w:lang w:val="es-ES_tradnl"/>
              </w:rPr>
              <w:t>No se modifica</w:t>
            </w:r>
            <w:r w:rsidR="00D97A65" w:rsidRPr="0061726B">
              <w:rPr>
                <w:b/>
                <w:bCs/>
                <w:color w:val="000000"/>
                <w:sz w:val="20"/>
                <w:szCs w:val="20"/>
                <w:lang w:val="es-ES"/>
              </w:rPr>
              <w:t xml:space="preserve"> </w:t>
            </w:r>
            <w:r w:rsidRPr="0061726B">
              <w:rPr>
                <w:b/>
                <w:bCs/>
                <w:color w:val="000000"/>
                <w:sz w:val="20"/>
                <w:szCs w:val="20"/>
                <w:lang w:val="es-ES"/>
              </w:rPr>
              <w:t>Regional.</w:t>
            </w:r>
          </w:p>
        </w:tc>
        <w:tc>
          <w:tcPr>
            <w:tcW w:w="1356" w:type="pct"/>
            <w:tcBorders>
              <w:top w:val="single" w:sz="6" w:space="0" w:color="auto"/>
              <w:left w:val="single" w:sz="6" w:space="0" w:color="auto"/>
              <w:bottom w:val="single" w:sz="6" w:space="0" w:color="auto"/>
              <w:right w:val="single" w:sz="4" w:space="0" w:color="auto"/>
            </w:tcBorders>
          </w:tcPr>
          <w:p w14:paraId="06E0A96C" w14:textId="6A6CA6C5" w:rsidR="000D5CDA" w:rsidRPr="0061726B" w:rsidRDefault="000D5CDA" w:rsidP="009E6747">
            <w:pPr>
              <w:autoSpaceDE w:val="0"/>
              <w:autoSpaceDN w:val="0"/>
              <w:adjustRightInd w:val="0"/>
              <w:rPr>
                <w:sz w:val="20"/>
                <w:szCs w:val="20"/>
                <w:lang w:val="es-ES_tradnl"/>
              </w:rPr>
            </w:pPr>
            <w:r w:rsidRPr="0061726B">
              <w:rPr>
                <w:sz w:val="20"/>
                <w:szCs w:val="20"/>
                <w:lang w:val="es-ES_tradnl"/>
              </w:rPr>
              <w:t>Las licitaciones de compra de energía permiten la participación de generación proveniente de países del MER.</w:t>
            </w:r>
          </w:p>
        </w:tc>
        <w:tc>
          <w:tcPr>
            <w:tcW w:w="1352" w:type="pct"/>
            <w:tcBorders>
              <w:top w:val="single" w:sz="6" w:space="0" w:color="auto"/>
              <w:left w:val="single" w:sz="6" w:space="0" w:color="auto"/>
              <w:bottom w:val="single" w:sz="6" w:space="0" w:color="auto"/>
              <w:right w:val="single" w:sz="6" w:space="0" w:color="auto"/>
            </w:tcBorders>
          </w:tcPr>
          <w:p w14:paraId="73D03799" w14:textId="706AEB4F" w:rsidR="000D5CDA" w:rsidRPr="0061726B" w:rsidRDefault="0009128F" w:rsidP="009E6747">
            <w:pPr>
              <w:autoSpaceDE w:val="0"/>
              <w:autoSpaceDN w:val="0"/>
              <w:adjustRightInd w:val="0"/>
              <w:rPr>
                <w:sz w:val="20"/>
                <w:szCs w:val="20"/>
                <w:lang w:val="es-ES_tradnl"/>
              </w:rPr>
            </w:pPr>
            <w:bookmarkStart w:id="23" w:name="_Hlk498359239"/>
            <w:r w:rsidRPr="0061726B">
              <w:rPr>
                <w:sz w:val="20"/>
                <w:szCs w:val="20"/>
                <w:lang w:val="es-ES_tradnl"/>
              </w:rPr>
              <w:t>Que las licitaciones de compras de energía realizadas hayan establecido la participación de generación proveniente de países del MER.</w:t>
            </w:r>
            <w:bookmarkEnd w:id="23"/>
          </w:p>
        </w:tc>
        <w:tc>
          <w:tcPr>
            <w:tcW w:w="1448" w:type="pct"/>
            <w:tcBorders>
              <w:top w:val="single" w:sz="6" w:space="0" w:color="auto"/>
              <w:left w:val="single" w:sz="6" w:space="0" w:color="auto"/>
              <w:bottom w:val="single" w:sz="6" w:space="0" w:color="auto"/>
              <w:right w:val="single" w:sz="6" w:space="0" w:color="auto"/>
            </w:tcBorders>
          </w:tcPr>
          <w:p w14:paraId="7AF54A5A" w14:textId="61D37AFA" w:rsidR="000D5CDA" w:rsidRPr="006B4736" w:rsidRDefault="00D97A65" w:rsidP="009E6747">
            <w:pPr>
              <w:autoSpaceDE w:val="0"/>
              <w:autoSpaceDN w:val="0"/>
              <w:adjustRightInd w:val="0"/>
              <w:rPr>
                <w:b/>
                <w:color w:val="000000"/>
                <w:sz w:val="20"/>
                <w:szCs w:val="20"/>
                <w:lang w:val="es-ES_tradnl"/>
              </w:rPr>
            </w:pPr>
            <w:r>
              <w:rPr>
                <w:color w:val="000000"/>
                <w:sz w:val="20"/>
                <w:szCs w:val="20"/>
                <w:lang w:val="es-ES_tradnl"/>
              </w:rPr>
              <w:t>No se modifica</w:t>
            </w:r>
          </w:p>
        </w:tc>
      </w:tr>
      <w:bookmarkEnd w:id="0"/>
    </w:tbl>
    <w:p w14:paraId="5C2BC78F" w14:textId="77777777" w:rsidR="004139A0" w:rsidRPr="000735BC" w:rsidRDefault="004139A0" w:rsidP="006D5837">
      <w:pPr>
        <w:ind w:firstLine="720"/>
        <w:jc w:val="center"/>
        <w:rPr>
          <w:rFonts w:ascii="Arial" w:hAnsi="Arial" w:cs="Arial"/>
          <w:b/>
          <w:bCs/>
          <w:smallCaps/>
          <w:sz w:val="21"/>
          <w:szCs w:val="21"/>
          <w:lang w:val="es-ES"/>
        </w:rPr>
      </w:pPr>
    </w:p>
    <w:sectPr w:rsidR="004139A0" w:rsidRPr="000735BC" w:rsidSect="00ED3AFB">
      <w:headerReference w:type="default" r:id="rId14"/>
      <w:pgSz w:w="15840" w:h="12240" w:orient="landscape" w:code="1"/>
      <w:pgMar w:top="851" w:right="1168" w:bottom="1440" w:left="1440" w:header="720" w:footer="61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9EA29" w14:textId="77777777" w:rsidR="00430D55" w:rsidRDefault="00430D55" w:rsidP="00A75E85">
      <w:r>
        <w:separator/>
      </w:r>
    </w:p>
  </w:endnote>
  <w:endnote w:type="continuationSeparator" w:id="0">
    <w:p w14:paraId="71B7D48F" w14:textId="77777777" w:rsidR="00430D55" w:rsidRDefault="00430D55" w:rsidP="00A75E85">
      <w:r>
        <w:continuationSeparator/>
      </w:r>
    </w:p>
  </w:endnote>
  <w:endnote w:type="continuationNotice" w:id="1">
    <w:p w14:paraId="3DB12BB6" w14:textId="77777777" w:rsidR="00430D55" w:rsidRDefault="00430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t-Light">
    <w:panose1 w:val="02010504040101020104"/>
    <w:charset w:val="00"/>
    <w:family w:val="auto"/>
    <w:pitch w:val="variable"/>
    <w:sig w:usb0="8000002F" w:usb1="4000004A" w:usb2="00000000" w:usb3="00000000" w:csb0="00000001" w:csb1="00000000"/>
  </w:font>
  <w:font w:name="Cambria">
    <w:altName w:val="Palatino Linotype"/>
    <w:panose1 w:val="02040503050406030204"/>
    <w:charset w:val="00"/>
    <w:family w:val="roman"/>
    <w:pitch w:val="variable"/>
    <w:sig w:usb0="E00002FF" w:usb1="400004FF" w:usb2="00000000" w:usb3="00000000" w:csb0="0000019F" w:csb1="00000000"/>
  </w:font>
  <w:font w:name="Unit-Medium">
    <w:panose1 w:val="02010504040101020104"/>
    <w:charset w:val="00"/>
    <w:family w:val="auto"/>
    <w:pitch w:val="variable"/>
    <w:sig w:usb0="8000002F" w:usb1="40000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56E2C" w14:textId="77777777" w:rsidR="00430D55" w:rsidRDefault="00430D55" w:rsidP="00A75E85">
      <w:r>
        <w:separator/>
      </w:r>
    </w:p>
  </w:footnote>
  <w:footnote w:type="continuationSeparator" w:id="0">
    <w:p w14:paraId="331D96EE" w14:textId="77777777" w:rsidR="00430D55" w:rsidRDefault="00430D55" w:rsidP="00A75E85">
      <w:r>
        <w:continuationSeparator/>
      </w:r>
    </w:p>
  </w:footnote>
  <w:footnote w:type="continuationNotice" w:id="1">
    <w:p w14:paraId="0F77C19E" w14:textId="77777777" w:rsidR="00430D55" w:rsidRDefault="00430D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9890F" w14:textId="77777777" w:rsidR="0001501E" w:rsidRPr="00BE0332" w:rsidRDefault="0001501E" w:rsidP="00D15F75">
    <w:pPr>
      <w:pStyle w:val="Footer"/>
      <w:jc w:val="right"/>
      <w:rPr>
        <w:rFonts w:ascii="Arial" w:hAnsi="Arial" w:cs="Arial"/>
        <w:sz w:val="20"/>
        <w:szCs w:val="20"/>
        <w:lang w:val="pt-BR"/>
      </w:rPr>
    </w:pPr>
    <w:r>
      <w:rPr>
        <w:szCs w:val="16"/>
        <w:lang w:val="pt-BR"/>
      </w:rPr>
      <w:tab/>
    </w:r>
    <w:r>
      <w:rPr>
        <w:szCs w:val="16"/>
        <w:lang w:val="pt-BR"/>
      </w:rPr>
      <w:tab/>
    </w:r>
    <w:r w:rsidRPr="00BE0332">
      <w:rPr>
        <w:rFonts w:ascii="Arial" w:hAnsi="Arial" w:cs="Arial"/>
        <w:sz w:val="20"/>
        <w:szCs w:val="20"/>
        <w:lang w:val="pt-BR"/>
      </w:rPr>
      <w:t>HO-L11</w:t>
    </w:r>
    <w:r>
      <w:rPr>
        <w:rFonts w:ascii="Arial" w:hAnsi="Arial" w:cs="Arial"/>
        <w:sz w:val="20"/>
        <w:szCs w:val="20"/>
        <w:lang w:val="pt-BR"/>
      </w:rPr>
      <w:t>89</w:t>
    </w:r>
  </w:p>
  <w:p w14:paraId="783BF510" w14:textId="63A340A6" w:rsidR="0001501E" w:rsidRPr="00BE0332" w:rsidRDefault="0001501E" w:rsidP="00D15F75">
    <w:pPr>
      <w:pStyle w:val="Header"/>
      <w:tabs>
        <w:tab w:val="left" w:pos="12064"/>
        <w:tab w:val="right" w:pos="13232"/>
      </w:tabs>
      <w:jc w:val="right"/>
      <w:rPr>
        <w:rFonts w:ascii="Arial" w:hAnsi="Arial" w:cs="Arial"/>
        <w:sz w:val="20"/>
        <w:szCs w:val="20"/>
        <w:lang w:val="es-ES_tradnl"/>
      </w:rPr>
    </w:pPr>
    <w:r w:rsidRPr="00BE0332">
      <w:rPr>
        <w:rFonts w:ascii="Arial" w:hAnsi="Arial" w:cs="Arial"/>
        <w:sz w:val="20"/>
        <w:szCs w:val="20"/>
        <w:lang w:val="pt-BR"/>
      </w:rPr>
      <w:t xml:space="preserve">Página </w:t>
    </w:r>
    <w:r w:rsidRPr="00BE0332">
      <w:rPr>
        <w:rFonts w:ascii="Arial" w:hAnsi="Arial" w:cs="Arial"/>
        <w:sz w:val="20"/>
        <w:szCs w:val="20"/>
        <w:lang w:val="pt-BR"/>
      </w:rPr>
      <w:fldChar w:fldCharType="begin"/>
    </w:r>
    <w:r w:rsidRPr="00BE0332">
      <w:rPr>
        <w:rFonts w:ascii="Arial" w:hAnsi="Arial" w:cs="Arial"/>
        <w:sz w:val="20"/>
        <w:szCs w:val="20"/>
        <w:lang w:val="pt-BR"/>
      </w:rPr>
      <w:instrText xml:space="preserve"> PAGE   \* MERGEFORMAT </w:instrText>
    </w:r>
    <w:r w:rsidRPr="00BE0332">
      <w:rPr>
        <w:rFonts w:ascii="Arial" w:hAnsi="Arial" w:cs="Arial"/>
        <w:sz w:val="20"/>
        <w:szCs w:val="20"/>
        <w:lang w:val="pt-BR"/>
      </w:rPr>
      <w:fldChar w:fldCharType="separate"/>
    </w:r>
    <w:r w:rsidR="00A97777">
      <w:rPr>
        <w:rFonts w:ascii="Arial" w:hAnsi="Arial" w:cs="Arial"/>
        <w:noProof/>
        <w:sz w:val="20"/>
        <w:szCs w:val="20"/>
        <w:lang w:val="pt-BR"/>
      </w:rPr>
      <w:t>9</w:t>
    </w:r>
    <w:r w:rsidRPr="00BE0332">
      <w:rPr>
        <w:rFonts w:ascii="Arial" w:hAnsi="Arial" w:cs="Arial"/>
        <w:noProof/>
        <w:sz w:val="20"/>
        <w:szCs w:val="20"/>
        <w:lang w:val="pt-BR"/>
      </w:rPr>
      <w:fldChar w:fldCharType="end"/>
    </w:r>
    <w:r w:rsidR="00A97777">
      <w:rPr>
        <w:rFonts w:ascii="Arial" w:hAnsi="Arial" w:cs="Arial"/>
        <w:noProof/>
        <w:sz w:val="20"/>
        <w:szCs w:val="20"/>
        <w:lang w:val="pt-BR"/>
      </w:rPr>
      <w:t xml:space="preserve"> de 9</w:t>
    </w:r>
  </w:p>
  <w:p w14:paraId="2F356751" w14:textId="77777777" w:rsidR="0001501E" w:rsidRDefault="0001501E" w:rsidP="00D15F75">
    <w:pPr>
      <w:pStyle w:val="Header"/>
      <w:jc w:val="right"/>
      <w:rPr>
        <w:szCs w:val="16"/>
        <w:lang w:val="pt-BR"/>
      </w:rPr>
    </w:pPr>
  </w:p>
  <w:p w14:paraId="2EC955AF" w14:textId="77777777" w:rsidR="0001501E" w:rsidRPr="00E93E47" w:rsidRDefault="0001501E" w:rsidP="00D15F75">
    <w:pPr>
      <w:pStyle w:val="Header"/>
      <w:jc w:val="right"/>
      <w:rPr>
        <w:szCs w:val="16"/>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5CBB"/>
    <w:multiLevelType w:val="multilevel"/>
    <w:tmpl w:val="1DA817EC"/>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F061CBA"/>
    <w:multiLevelType w:val="hybridMultilevel"/>
    <w:tmpl w:val="926CB562"/>
    <w:lvl w:ilvl="0" w:tplc="B5CC0660">
      <w:start w:val="15"/>
      <w:numFmt w:val="bullet"/>
      <w:lvlText w:val="-"/>
      <w:lvlJc w:val="left"/>
      <w:pPr>
        <w:ind w:left="774"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 w15:restartNumberingAfterBreak="0">
    <w:nsid w:val="12DF2636"/>
    <w:multiLevelType w:val="hybridMultilevel"/>
    <w:tmpl w:val="2FC4D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BA2E90"/>
    <w:multiLevelType w:val="hybridMultilevel"/>
    <w:tmpl w:val="E6F4A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EA4963"/>
    <w:multiLevelType w:val="hybridMultilevel"/>
    <w:tmpl w:val="6BB8EBAE"/>
    <w:lvl w:ilvl="0" w:tplc="631ED40C">
      <w:numFmt w:val="bullet"/>
      <w:pStyle w:val="bulletIDBprint"/>
      <w:lvlText w:val=""/>
      <w:lvlJc w:val="left"/>
      <w:pPr>
        <w:ind w:left="360" w:hanging="360"/>
      </w:pPr>
      <w:rPr>
        <w:rFonts w:ascii="Symbol" w:hAnsi="Symbol" w:cs="Unit-Light" w:hint="default"/>
        <w:b w:val="0"/>
        <w:i w:val="0"/>
        <w:color w:val="0096D7"/>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E3413B"/>
    <w:multiLevelType w:val="multilevel"/>
    <w:tmpl w:val="B508A40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7510039"/>
    <w:multiLevelType w:val="multilevel"/>
    <w:tmpl w:val="83D4CDB0"/>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2F673468"/>
    <w:multiLevelType w:val="multilevel"/>
    <w:tmpl w:val="EEFCE1CE"/>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FBD350C"/>
    <w:multiLevelType w:val="multilevel"/>
    <w:tmpl w:val="3456512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32CC7CC5"/>
    <w:multiLevelType w:val="hybridMultilevel"/>
    <w:tmpl w:val="D81E9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17E66"/>
    <w:multiLevelType w:val="multilevel"/>
    <w:tmpl w:val="03D8F3E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FE30A1F"/>
    <w:multiLevelType w:val="hybridMultilevel"/>
    <w:tmpl w:val="D6A284F4"/>
    <w:lvl w:ilvl="0" w:tplc="B5CC0660">
      <w:start w:val="15"/>
      <w:numFmt w:val="bullet"/>
      <w:lvlText w:val="-"/>
      <w:lvlJc w:val="left"/>
      <w:pPr>
        <w:ind w:left="72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E624DB"/>
    <w:multiLevelType w:val="multilevel"/>
    <w:tmpl w:val="8E48F11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2816681"/>
    <w:multiLevelType w:val="multilevel"/>
    <w:tmpl w:val="3144734C"/>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D3C17D9"/>
    <w:multiLevelType w:val="hybridMultilevel"/>
    <w:tmpl w:val="700C0CE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5" w15:restartNumberingAfterBreak="0">
    <w:nsid w:val="5E923FFF"/>
    <w:multiLevelType w:val="hybridMultilevel"/>
    <w:tmpl w:val="A6488986"/>
    <w:lvl w:ilvl="0" w:tplc="70366A70">
      <w:start w:val="1"/>
      <w:numFmt w:val="upperRoman"/>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2FD4112"/>
    <w:multiLevelType w:val="multilevel"/>
    <w:tmpl w:val="41F2590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63073E8F"/>
    <w:multiLevelType w:val="hybridMultilevel"/>
    <w:tmpl w:val="D678467C"/>
    <w:lvl w:ilvl="0" w:tplc="70366A70">
      <w:start w:val="1"/>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127D63"/>
    <w:multiLevelType w:val="hybridMultilevel"/>
    <w:tmpl w:val="287A54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8D92925"/>
    <w:multiLevelType w:val="hybridMultilevel"/>
    <w:tmpl w:val="51D4BB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90C2E55"/>
    <w:multiLevelType w:val="hybridMultilevel"/>
    <w:tmpl w:val="790E825A"/>
    <w:lvl w:ilvl="0" w:tplc="9ABEDF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num>
  <w:num w:numId="3">
    <w:abstractNumId w:val="4"/>
  </w:num>
  <w:num w:numId="4">
    <w:abstractNumId w:val="4"/>
  </w:num>
  <w:num w:numId="5">
    <w:abstractNumId w:val="0"/>
  </w:num>
  <w:num w:numId="6">
    <w:abstractNumId w:val="13"/>
  </w:num>
  <w:num w:numId="7">
    <w:abstractNumId w:val="10"/>
  </w:num>
  <w:num w:numId="8">
    <w:abstractNumId w:val="5"/>
  </w:num>
  <w:num w:numId="9">
    <w:abstractNumId w:val="8"/>
  </w:num>
  <w:num w:numId="10">
    <w:abstractNumId w:val="6"/>
  </w:num>
  <w:num w:numId="11">
    <w:abstractNumId w:val="16"/>
  </w:num>
  <w:num w:numId="12">
    <w:abstractNumId w:val="12"/>
  </w:num>
  <w:num w:numId="13">
    <w:abstractNumId w:val="20"/>
  </w:num>
  <w:num w:numId="14">
    <w:abstractNumId w:val="7"/>
  </w:num>
  <w:num w:numId="15">
    <w:abstractNumId w:val="3"/>
  </w:num>
  <w:num w:numId="16">
    <w:abstractNumId w:val="17"/>
  </w:num>
  <w:num w:numId="17">
    <w:abstractNumId w:val="14"/>
  </w:num>
  <w:num w:numId="18">
    <w:abstractNumId w:val="19"/>
  </w:num>
  <w:num w:numId="19">
    <w:abstractNumId w:val="18"/>
  </w:num>
  <w:num w:numId="20">
    <w:abstractNumId w:val="2"/>
  </w:num>
  <w:num w:numId="21">
    <w:abstractNumId w:val="15"/>
  </w:num>
  <w:num w:numId="22">
    <w:abstractNumId w:val="11"/>
  </w:num>
  <w:num w:numId="23">
    <w:abstractNumId w:val="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0BB"/>
    <w:rsid w:val="00010A34"/>
    <w:rsid w:val="00011F53"/>
    <w:rsid w:val="0001501E"/>
    <w:rsid w:val="000268FE"/>
    <w:rsid w:val="00030B8F"/>
    <w:rsid w:val="000315FD"/>
    <w:rsid w:val="00035173"/>
    <w:rsid w:val="000352D8"/>
    <w:rsid w:val="00037A3E"/>
    <w:rsid w:val="00044921"/>
    <w:rsid w:val="00056C9E"/>
    <w:rsid w:val="00057D38"/>
    <w:rsid w:val="00061D39"/>
    <w:rsid w:val="00066B11"/>
    <w:rsid w:val="000735BC"/>
    <w:rsid w:val="00073893"/>
    <w:rsid w:val="0009128F"/>
    <w:rsid w:val="000938D8"/>
    <w:rsid w:val="0009446C"/>
    <w:rsid w:val="00097800"/>
    <w:rsid w:val="00097940"/>
    <w:rsid w:val="000A43DB"/>
    <w:rsid w:val="000B3A7A"/>
    <w:rsid w:val="000B58EC"/>
    <w:rsid w:val="000C37F5"/>
    <w:rsid w:val="000C4481"/>
    <w:rsid w:val="000D32BE"/>
    <w:rsid w:val="000D4BDF"/>
    <w:rsid w:val="000D51F3"/>
    <w:rsid w:val="000D5CDA"/>
    <w:rsid w:val="001160D8"/>
    <w:rsid w:val="001169AA"/>
    <w:rsid w:val="00123EE3"/>
    <w:rsid w:val="0013061B"/>
    <w:rsid w:val="0013074B"/>
    <w:rsid w:val="00163CDE"/>
    <w:rsid w:val="001674CB"/>
    <w:rsid w:val="0017282A"/>
    <w:rsid w:val="001C1365"/>
    <w:rsid w:val="001C2698"/>
    <w:rsid w:val="001F3FCF"/>
    <w:rsid w:val="001F5886"/>
    <w:rsid w:val="00204863"/>
    <w:rsid w:val="00211ED7"/>
    <w:rsid w:val="00231F80"/>
    <w:rsid w:val="002330BB"/>
    <w:rsid w:val="002354EC"/>
    <w:rsid w:val="002421B6"/>
    <w:rsid w:val="0024319F"/>
    <w:rsid w:val="00257B61"/>
    <w:rsid w:val="00265C6A"/>
    <w:rsid w:val="0026719C"/>
    <w:rsid w:val="002720EE"/>
    <w:rsid w:val="00272228"/>
    <w:rsid w:val="00290C24"/>
    <w:rsid w:val="00293118"/>
    <w:rsid w:val="00293EB8"/>
    <w:rsid w:val="002A23EC"/>
    <w:rsid w:val="002A5E79"/>
    <w:rsid w:val="002B4035"/>
    <w:rsid w:val="002B7C8A"/>
    <w:rsid w:val="002C0B3C"/>
    <w:rsid w:val="002C2B8F"/>
    <w:rsid w:val="002C4F18"/>
    <w:rsid w:val="002E16FE"/>
    <w:rsid w:val="00301D2C"/>
    <w:rsid w:val="00304296"/>
    <w:rsid w:val="0030690C"/>
    <w:rsid w:val="00313364"/>
    <w:rsid w:val="00316196"/>
    <w:rsid w:val="003202EA"/>
    <w:rsid w:val="0032301F"/>
    <w:rsid w:val="00325217"/>
    <w:rsid w:val="00330E9F"/>
    <w:rsid w:val="003475BD"/>
    <w:rsid w:val="00360F3C"/>
    <w:rsid w:val="00361098"/>
    <w:rsid w:val="00367997"/>
    <w:rsid w:val="0037174C"/>
    <w:rsid w:val="0038434F"/>
    <w:rsid w:val="003A3D61"/>
    <w:rsid w:val="003A705F"/>
    <w:rsid w:val="003B2EB8"/>
    <w:rsid w:val="003C5B4D"/>
    <w:rsid w:val="003C7F4C"/>
    <w:rsid w:val="003D725F"/>
    <w:rsid w:val="003D7D04"/>
    <w:rsid w:val="003D7D08"/>
    <w:rsid w:val="003E0752"/>
    <w:rsid w:val="003E2648"/>
    <w:rsid w:val="003E33BA"/>
    <w:rsid w:val="003F4A18"/>
    <w:rsid w:val="003F749E"/>
    <w:rsid w:val="004113D5"/>
    <w:rsid w:val="004139A0"/>
    <w:rsid w:val="00425E53"/>
    <w:rsid w:val="00430D55"/>
    <w:rsid w:val="0043376E"/>
    <w:rsid w:val="00435DA3"/>
    <w:rsid w:val="004372D1"/>
    <w:rsid w:val="00437B48"/>
    <w:rsid w:val="004450F4"/>
    <w:rsid w:val="00451BFF"/>
    <w:rsid w:val="00455D8E"/>
    <w:rsid w:val="00466C7F"/>
    <w:rsid w:val="00467F81"/>
    <w:rsid w:val="00472A7A"/>
    <w:rsid w:val="004754C5"/>
    <w:rsid w:val="00477CA1"/>
    <w:rsid w:val="004817CA"/>
    <w:rsid w:val="004821F3"/>
    <w:rsid w:val="00487F94"/>
    <w:rsid w:val="0049180C"/>
    <w:rsid w:val="00494E8A"/>
    <w:rsid w:val="004A1576"/>
    <w:rsid w:val="004A2181"/>
    <w:rsid w:val="004A5DAB"/>
    <w:rsid w:val="004B2F82"/>
    <w:rsid w:val="004B64F7"/>
    <w:rsid w:val="004C0A73"/>
    <w:rsid w:val="004D3BC3"/>
    <w:rsid w:val="004E2864"/>
    <w:rsid w:val="004E4E38"/>
    <w:rsid w:val="005018CE"/>
    <w:rsid w:val="00503D28"/>
    <w:rsid w:val="00517419"/>
    <w:rsid w:val="005249B4"/>
    <w:rsid w:val="00525F4B"/>
    <w:rsid w:val="00534FAA"/>
    <w:rsid w:val="00543092"/>
    <w:rsid w:val="00546E45"/>
    <w:rsid w:val="00555F8B"/>
    <w:rsid w:val="00563C49"/>
    <w:rsid w:val="00573641"/>
    <w:rsid w:val="00574110"/>
    <w:rsid w:val="005800D5"/>
    <w:rsid w:val="005934B0"/>
    <w:rsid w:val="005B3D4A"/>
    <w:rsid w:val="005B4BAB"/>
    <w:rsid w:val="005B74F3"/>
    <w:rsid w:val="005B7B7D"/>
    <w:rsid w:val="005C119F"/>
    <w:rsid w:val="005C47D0"/>
    <w:rsid w:val="005D7A25"/>
    <w:rsid w:val="005D7B68"/>
    <w:rsid w:val="005E5BA9"/>
    <w:rsid w:val="00611CBE"/>
    <w:rsid w:val="00615938"/>
    <w:rsid w:val="0061726B"/>
    <w:rsid w:val="006242FC"/>
    <w:rsid w:val="00625967"/>
    <w:rsid w:val="00625C75"/>
    <w:rsid w:val="0063202A"/>
    <w:rsid w:val="0064108F"/>
    <w:rsid w:val="0064432E"/>
    <w:rsid w:val="00670446"/>
    <w:rsid w:val="00681833"/>
    <w:rsid w:val="00683B64"/>
    <w:rsid w:val="006A618F"/>
    <w:rsid w:val="006B4736"/>
    <w:rsid w:val="006C7225"/>
    <w:rsid w:val="006C7B9F"/>
    <w:rsid w:val="006D24EA"/>
    <w:rsid w:val="006D38AB"/>
    <w:rsid w:val="006D482A"/>
    <w:rsid w:val="006D4D5D"/>
    <w:rsid w:val="006D5837"/>
    <w:rsid w:val="006E542B"/>
    <w:rsid w:val="00705961"/>
    <w:rsid w:val="00712BA0"/>
    <w:rsid w:val="00720EFC"/>
    <w:rsid w:val="00732F7E"/>
    <w:rsid w:val="00733488"/>
    <w:rsid w:val="00734B7E"/>
    <w:rsid w:val="00734C20"/>
    <w:rsid w:val="007362DB"/>
    <w:rsid w:val="00750B29"/>
    <w:rsid w:val="007552FD"/>
    <w:rsid w:val="007604F8"/>
    <w:rsid w:val="00761A7E"/>
    <w:rsid w:val="007776EA"/>
    <w:rsid w:val="00781469"/>
    <w:rsid w:val="007861FE"/>
    <w:rsid w:val="007869EE"/>
    <w:rsid w:val="007969CB"/>
    <w:rsid w:val="00796C44"/>
    <w:rsid w:val="007A5F9C"/>
    <w:rsid w:val="007A72A6"/>
    <w:rsid w:val="007B5199"/>
    <w:rsid w:val="007B7ACD"/>
    <w:rsid w:val="007C7C4A"/>
    <w:rsid w:val="007D07AE"/>
    <w:rsid w:val="007D32B4"/>
    <w:rsid w:val="007E26BF"/>
    <w:rsid w:val="007F12F4"/>
    <w:rsid w:val="0080155F"/>
    <w:rsid w:val="00810234"/>
    <w:rsid w:val="008124D7"/>
    <w:rsid w:val="00825114"/>
    <w:rsid w:val="0082687D"/>
    <w:rsid w:val="008478CA"/>
    <w:rsid w:val="00852BC7"/>
    <w:rsid w:val="00856607"/>
    <w:rsid w:val="00860F78"/>
    <w:rsid w:val="00862375"/>
    <w:rsid w:val="00874AB8"/>
    <w:rsid w:val="0087595F"/>
    <w:rsid w:val="00875DF8"/>
    <w:rsid w:val="00877415"/>
    <w:rsid w:val="008816E3"/>
    <w:rsid w:val="008919A3"/>
    <w:rsid w:val="00894A0E"/>
    <w:rsid w:val="008A4BB1"/>
    <w:rsid w:val="008A5A32"/>
    <w:rsid w:val="008B6911"/>
    <w:rsid w:val="008C2B48"/>
    <w:rsid w:val="008D09D6"/>
    <w:rsid w:val="008D29AB"/>
    <w:rsid w:val="008D56A9"/>
    <w:rsid w:val="008E5C1C"/>
    <w:rsid w:val="008F15A1"/>
    <w:rsid w:val="008F3143"/>
    <w:rsid w:val="008F4E2A"/>
    <w:rsid w:val="00900C30"/>
    <w:rsid w:val="009046D6"/>
    <w:rsid w:val="00910930"/>
    <w:rsid w:val="00921B7D"/>
    <w:rsid w:val="00921EE5"/>
    <w:rsid w:val="0093278D"/>
    <w:rsid w:val="00935BA4"/>
    <w:rsid w:val="00936417"/>
    <w:rsid w:val="00943226"/>
    <w:rsid w:val="00947155"/>
    <w:rsid w:val="009501A0"/>
    <w:rsid w:val="00952355"/>
    <w:rsid w:val="0095696F"/>
    <w:rsid w:val="009637FD"/>
    <w:rsid w:val="00971963"/>
    <w:rsid w:val="00973B06"/>
    <w:rsid w:val="00980849"/>
    <w:rsid w:val="00986490"/>
    <w:rsid w:val="0099340F"/>
    <w:rsid w:val="009A0576"/>
    <w:rsid w:val="009A0B0C"/>
    <w:rsid w:val="009A44A4"/>
    <w:rsid w:val="009B3532"/>
    <w:rsid w:val="009C0E18"/>
    <w:rsid w:val="009D3EC8"/>
    <w:rsid w:val="009E34D5"/>
    <w:rsid w:val="009E6747"/>
    <w:rsid w:val="009F77AE"/>
    <w:rsid w:val="00A0331C"/>
    <w:rsid w:val="00A06EB4"/>
    <w:rsid w:val="00A166E9"/>
    <w:rsid w:val="00A31375"/>
    <w:rsid w:val="00A33A44"/>
    <w:rsid w:val="00A35E8B"/>
    <w:rsid w:val="00A44885"/>
    <w:rsid w:val="00A60448"/>
    <w:rsid w:val="00A61D1B"/>
    <w:rsid w:val="00A637DD"/>
    <w:rsid w:val="00A75E85"/>
    <w:rsid w:val="00A80CEA"/>
    <w:rsid w:val="00A90244"/>
    <w:rsid w:val="00A91D4D"/>
    <w:rsid w:val="00A9494A"/>
    <w:rsid w:val="00A96E04"/>
    <w:rsid w:val="00A97777"/>
    <w:rsid w:val="00AA0F05"/>
    <w:rsid w:val="00AB1960"/>
    <w:rsid w:val="00AC0E42"/>
    <w:rsid w:val="00AC5AF5"/>
    <w:rsid w:val="00AD03C0"/>
    <w:rsid w:val="00AD49A5"/>
    <w:rsid w:val="00AE41E7"/>
    <w:rsid w:val="00AF7BF4"/>
    <w:rsid w:val="00B1020A"/>
    <w:rsid w:val="00B13F3A"/>
    <w:rsid w:val="00B144CB"/>
    <w:rsid w:val="00B17570"/>
    <w:rsid w:val="00B368FC"/>
    <w:rsid w:val="00B36A0B"/>
    <w:rsid w:val="00B36E8F"/>
    <w:rsid w:val="00B54DA9"/>
    <w:rsid w:val="00B57B85"/>
    <w:rsid w:val="00B61973"/>
    <w:rsid w:val="00B6688F"/>
    <w:rsid w:val="00B755C6"/>
    <w:rsid w:val="00B7713A"/>
    <w:rsid w:val="00B80C9C"/>
    <w:rsid w:val="00B9668D"/>
    <w:rsid w:val="00BA3080"/>
    <w:rsid w:val="00BB33B8"/>
    <w:rsid w:val="00BB47EF"/>
    <w:rsid w:val="00BC6870"/>
    <w:rsid w:val="00BE0332"/>
    <w:rsid w:val="00BE03CF"/>
    <w:rsid w:val="00BE0DBC"/>
    <w:rsid w:val="00BE5892"/>
    <w:rsid w:val="00BF7CD2"/>
    <w:rsid w:val="00C0258C"/>
    <w:rsid w:val="00C06403"/>
    <w:rsid w:val="00C30065"/>
    <w:rsid w:val="00C47266"/>
    <w:rsid w:val="00C525D5"/>
    <w:rsid w:val="00C5681D"/>
    <w:rsid w:val="00C6623F"/>
    <w:rsid w:val="00C66378"/>
    <w:rsid w:val="00C711AB"/>
    <w:rsid w:val="00C714AE"/>
    <w:rsid w:val="00C741DB"/>
    <w:rsid w:val="00C7438A"/>
    <w:rsid w:val="00C75BAF"/>
    <w:rsid w:val="00C9178B"/>
    <w:rsid w:val="00C93ACF"/>
    <w:rsid w:val="00C953AA"/>
    <w:rsid w:val="00CA0883"/>
    <w:rsid w:val="00CA7793"/>
    <w:rsid w:val="00CC54A2"/>
    <w:rsid w:val="00CD05C1"/>
    <w:rsid w:val="00CD2549"/>
    <w:rsid w:val="00CE4640"/>
    <w:rsid w:val="00CE7C71"/>
    <w:rsid w:val="00CF1195"/>
    <w:rsid w:val="00CF3C57"/>
    <w:rsid w:val="00D004BB"/>
    <w:rsid w:val="00D04947"/>
    <w:rsid w:val="00D07B42"/>
    <w:rsid w:val="00D14137"/>
    <w:rsid w:val="00D15F75"/>
    <w:rsid w:val="00D22E0E"/>
    <w:rsid w:val="00D26D22"/>
    <w:rsid w:val="00D42899"/>
    <w:rsid w:val="00D4354D"/>
    <w:rsid w:val="00D45061"/>
    <w:rsid w:val="00D50632"/>
    <w:rsid w:val="00D531A4"/>
    <w:rsid w:val="00D62216"/>
    <w:rsid w:val="00D969C2"/>
    <w:rsid w:val="00D97561"/>
    <w:rsid w:val="00D9762B"/>
    <w:rsid w:val="00D97A65"/>
    <w:rsid w:val="00DA7B4E"/>
    <w:rsid w:val="00DA7D46"/>
    <w:rsid w:val="00DB4354"/>
    <w:rsid w:val="00DB6DD8"/>
    <w:rsid w:val="00DD11C0"/>
    <w:rsid w:val="00DD6178"/>
    <w:rsid w:val="00DE0B29"/>
    <w:rsid w:val="00DE639E"/>
    <w:rsid w:val="00DF0010"/>
    <w:rsid w:val="00DF1689"/>
    <w:rsid w:val="00DF3C50"/>
    <w:rsid w:val="00E06241"/>
    <w:rsid w:val="00E1290D"/>
    <w:rsid w:val="00E1551E"/>
    <w:rsid w:val="00E34B95"/>
    <w:rsid w:val="00E36667"/>
    <w:rsid w:val="00E41D8D"/>
    <w:rsid w:val="00E42EC8"/>
    <w:rsid w:val="00E61BDB"/>
    <w:rsid w:val="00E67D9F"/>
    <w:rsid w:val="00E703E3"/>
    <w:rsid w:val="00E7150C"/>
    <w:rsid w:val="00E9548E"/>
    <w:rsid w:val="00E9788C"/>
    <w:rsid w:val="00EB22AE"/>
    <w:rsid w:val="00EB7718"/>
    <w:rsid w:val="00EC1514"/>
    <w:rsid w:val="00EC1B12"/>
    <w:rsid w:val="00EC6481"/>
    <w:rsid w:val="00EC714A"/>
    <w:rsid w:val="00EC75CE"/>
    <w:rsid w:val="00ED3AFB"/>
    <w:rsid w:val="00ED7691"/>
    <w:rsid w:val="00EE2184"/>
    <w:rsid w:val="00EF4B39"/>
    <w:rsid w:val="00F03F4E"/>
    <w:rsid w:val="00F15BB7"/>
    <w:rsid w:val="00F25133"/>
    <w:rsid w:val="00F34AAC"/>
    <w:rsid w:val="00F34C5D"/>
    <w:rsid w:val="00F41160"/>
    <w:rsid w:val="00F41190"/>
    <w:rsid w:val="00F5522B"/>
    <w:rsid w:val="00F55F68"/>
    <w:rsid w:val="00F579E6"/>
    <w:rsid w:val="00F63713"/>
    <w:rsid w:val="00F7091A"/>
    <w:rsid w:val="00F762B0"/>
    <w:rsid w:val="00F84224"/>
    <w:rsid w:val="00F93336"/>
    <w:rsid w:val="00FA00FA"/>
    <w:rsid w:val="00FA07A2"/>
    <w:rsid w:val="00FA3DF1"/>
    <w:rsid w:val="00FA662F"/>
    <w:rsid w:val="00FB73C9"/>
    <w:rsid w:val="00FC6C6B"/>
    <w:rsid w:val="00FD1668"/>
    <w:rsid w:val="00FD266D"/>
    <w:rsid w:val="00FD39CB"/>
    <w:rsid w:val="00FE7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C364CB"/>
  <w15:docId w15:val="{256BC50D-BE5D-4DF7-B7BF-DDC797DC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rsid w:val="00D26D22"/>
    <w:rPr>
      <w:sz w:val="24"/>
      <w:szCs w:val="24"/>
    </w:rPr>
  </w:style>
  <w:style w:type="paragraph" w:styleId="Heading2">
    <w:name w:val="heading 2"/>
    <w:basedOn w:val="Normal"/>
    <w:next w:val="Normal"/>
    <w:link w:val="Heading2Char"/>
    <w:semiHidden/>
    <w:unhideWhenUsed/>
    <w:rsid w:val="00F93336"/>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93336"/>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93336"/>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93336"/>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93336"/>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93336"/>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93336"/>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93336"/>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026A31"/>
    <w:pPr>
      <w:widowControl w:val="0"/>
      <w:spacing w:line="480" w:lineRule="auto"/>
    </w:pPr>
    <w:rPr>
      <w:rFonts w:ascii="Unit-Medium" w:hAnsi="Unit-Medium" w:cs="Arial"/>
      <w:color w:val="363832"/>
      <w:kern w:val="28"/>
      <w:sz w:val="40"/>
      <w:szCs w:val="15"/>
    </w:rPr>
  </w:style>
  <w:style w:type="paragraph" w:styleId="BalloonText">
    <w:name w:val="Balloon Text"/>
    <w:basedOn w:val="Normal"/>
    <w:link w:val="BalloonTextChar"/>
    <w:rsid w:val="005C119F"/>
    <w:rPr>
      <w:rFonts w:ascii="Tahoma" w:hAnsi="Tahoma" w:cs="Tahoma"/>
      <w:sz w:val="16"/>
      <w:szCs w:val="16"/>
    </w:rPr>
  </w:style>
  <w:style w:type="character" w:customStyle="1" w:styleId="BalloonTextChar">
    <w:name w:val="Balloon Text Char"/>
    <w:basedOn w:val="DefaultParagraphFont"/>
    <w:link w:val="BalloonText"/>
    <w:rsid w:val="005C119F"/>
    <w:rPr>
      <w:rFonts w:ascii="Tahoma" w:hAnsi="Tahoma" w:cs="Tahoma"/>
      <w:sz w:val="16"/>
      <w:szCs w:val="16"/>
    </w:rPr>
  </w:style>
  <w:style w:type="paragraph" w:styleId="Header">
    <w:name w:val="header"/>
    <w:basedOn w:val="Normal"/>
    <w:link w:val="HeaderChar"/>
    <w:rsid w:val="00A75E85"/>
    <w:pPr>
      <w:tabs>
        <w:tab w:val="center" w:pos="4680"/>
        <w:tab w:val="right" w:pos="9360"/>
      </w:tabs>
    </w:pPr>
  </w:style>
  <w:style w:type="character" w:customStyle="1" w:styleId="HeaderChar">
    <w:name w:val="Header Char"/>
    <w:basedOn w:val="DefaultParagraphFont"/>
    <w:link w:val="Header"/>
    <w:rsid w:val="00A75E85"/>
    <w:rPr>
      <w:sz w:val="24"/>
      <w:szCs w:val="24"/>
    </w:rPr>
  </w:style>
  <w:style w:type="paragraph" w:styleId="Footer">
    <w:name w:val="footer"/>
    <w:basedOn w:val="Normal"/>
    <w:link w:val="FooterChar"/>
    <w:uiPriority w:val="99"/>
    <w:rsid w:val="00A75E85"/>
    <w:pPr>
      <w:tabs>
        <w:tab w:val="center" w:pos="4680"/>
        <w:tab w:val="right" w:pos="9360"/>
      </w:tabs>
    </w:pPr>
  </w:style>
  <w:style w:type="character" w:customStyle="1" w:styleId="FooterChar">
    <w:name w:val="Footer Char"/>
    <w:basedOn w:val="DefaultParagraphFont"/>
    <w:link w:val="Footer"/>
    <w:uiPriority w:val="99"/>
    <w:rsid w:val="00A75E85"/>
    <w:rPr>
      <w:sz w:val="24"/>
      <w:szCs w:val="24"/>
    </w:rPr>
  </w:style>
  <w:style w:type="paragraph" w:customStyle="1" w:styleId="textIDBweb">
    <w:name w:val="text IDB_web"/>
    <w:basedOn w:val="Normal"/>
    <w:link w:val="textIDBwebChar"/>
    <w:qFormat/>
    <w:rsid w:val="00C741DB"/>
    <w:pPr>
      <w:spacing w:line="270" w:lineRule="exact"/>
    </w:pPr>
    <w:rPr>
      <w:rFonts w:ascii="Unit-Light" w:hAnsi="Unit-Light" w:cs="Calibri"/>
      <w:sz w:val="20"/>
    </w:rPr>
  </w:style>
  <w:style w:type="character" w:customStyle="1" w:styleId="textIDBwebChar">
    <w:name w:val="text IDB_web Char"/>
    <w:basedOn w:val="DefaultParagraphFont"/>
    <w:link w:val="textIDBweb"/>
    <w:rsid w:val="00C741DB"/>
    <w:rPr>
      <w:rFonts w:ascii="Unit-Light" w:hAnsi="Unit-Light" w:cs="Calibri"/>
      <w:szCs w:val="24"/>
    </w:rPr>
  </w:style>
  <w:style w:type="paragraph" w:customStyle="1" w:styleId="highlightIDBweb">
    <w:name w:val="highlight IDB_web"/>
    <w:basedOn w:val="Normal"/>
    <w:link w:val="highlightIDBwebChar"/>
    <w:rsid w:val="002B4035"/>
    <w:pPr>
      <w:spacing w:line="270" w:lineRule="exact"/>
    </w:pPr>
    <w:rPr>
      <w:rFonts w:ascii="Calibri" w:hAnsi="Calibri" w:cs="Arial"/>
      <w:color w:val="4F81BD"/>
      <w:sz w:val="20"/>
    </w:rPr>
  </w:style>
  <w:style w:type="character" w:customStyle="1" w:styleId="highlightIDBwebChar">
    <w:name w:val="highlight IDB_web Char"/>
    <w:basedOn w:val="DefaultParagraphFont"/>
    <w:link w:val="highlightIDBweb"/>
    <w:rsid w:val="002B4035"/>
    <w:rPr>
      <w:rFonts w:ascii="Calibri" w:eastAsia="Times New Roman" w:hAnsi="Calibri" w:cs="Arial"/>
      <w:color w:val="4F81BD"/>
      <w:szCs w:val="24"/>
    </w:rPr>
  </w:style>
  <w:style w:type="table" w:customStyle="1" w:styleId="IDB">
    <w:name w:val="IDB"/>
    <w:basedOn w:val="TableNormal"/>
    <w:qFormat/>
    <w:rsid w:val="002B4035"/>
    <w:rPr>
      <w:rFonts w:ascii="Unit-Light" w:hAnsi="Unit-Light"/>
      <w:color w:val="414141"/>
    </w:rPr>
    <w:tblPr>
      <w:tblBorders>
        <w:bottom w:val="single" w:sz="4" w:space="0" w:color="0095D5"/>
        <w:insideH w:val="single" w:sz="4" w:space="0" w:color="0095D5"/>
      </w:tblBorders>
    </w:tblPr>
    <w:tcPr>
      <w:vAlign w:val="center"/>
    </w:tcPr>
    <w:tblStylePr w:type="firstRow">
      <w:pPr>
        <w:jc w:val="left"/>
      </w:pPr>
      <w:rPr>
        <w:rFonts w:ascii="Tahoma" w:hAnsi="Tahoma"/>
        <w:color w:val="FFFFFF"/>
        <w:sz w:val="20"/>
      </w:rPr>
      <w:tblPr/>
      <w:tcPr>
        <w:shd w:val="clear" w:color="auto" w:fill="0095D5"/>
      </w:tcPr>
    </w:tblStylePr>
  </w:style>
  <w:style w:type="paragraph" w:customStyle="1" w:styleId="bulletIDBprint">
    <w:name w:val="bullet IDB_print"/>
    <w:basedOn w:val="Normal"/>
    <w:link w:val="bulletIDBprintChar"/>
    <w:qFormat/>
    <w:rsid w:val="00C741DB"/>
    <w:pPr>
      <w:numPr>
        <w:numId w:val="4"/>
      </w:numPr>
    </w:pPr>
    <w:rPr>
      <w:rFonts w:ascii="Unit-Light" w:hAnsi="Unit-Light" w:cs="Calibri"/>
      <w:color w:val="414141"/>
      <w:sz w:val="20"/>
    </w:rPr>
  </w:style>
  <w:style w:type="character" w:customStyle="1" w:styleId="bulletIDBprintChar">
    <w:name w:val="bullet IDB_print Char"/>
    <w:basedOn w:val="DefaultParagraphFont"/>
    <w:link w:val="bulletIDBprint"/>
    <w:rsid w:val="00C741DB"/>
    <w:rPr>
      <w:rFonts w:ascii="Unit-Light" w:hAnsi="Unit-Light" w:cs="Calibri"/>
      <w:color w:val="414141"/>
      <w:szCs w:val="24"/>
    </w:rPr>
  </w:style>
  <w:style w:type="paragraph" w:customStyle="1" w:styleId="boldIDBprint">
    <w:name w:val="bold IDB_print"/>
    <w:basedOn w:val="Normal"/>
    <w:link w:val="boldIDBprintChar"/>
    <w:qFormat/>
    <w:rsid w:val="00C741DB"/>
    <w:pPr>
      <w:spacing w:line="270" w:lineRule="exact"/>
    </w:pPr>
    <w:rPr>
      <w:rFonts w:ascii="Unit-Medium" w:hAnsi="Unit-Medium" w:cs="Arial"/>
      <w:color w:val="414141"/>
      <w:sz w:val="20"/>
    </w:rPr>
  </w:style>
  <w:style w:type="character" w:customStyle="1" w:styleId="boldIDBprintChar">
    <w:name w:val="bold IDB_print Char"/>
    <w:basedOn w:val="DefaultParagraphFont"/>
    <w:link w:val="boldIDBprint"/>
    <w:rsid w:val="00C741DB"/>
    <w:rPr>
      <w:rFonts w:ascii="Unit-Medium" w:hAnsi="Unit-Medium" w:cs="Arial"/>
      <w:color w:val="414141"/>
      <w:szCs w:val="24"/>
    </w:rPr>
  </w:style>
  <w:style w:type="paragraph" w:customStyle="1" w:styleId="highlightIDBprint">
    <w:name w:val="highlight IDB_print"/>
    <w:basedOn w:val="highlightIDBweb"/>
    <w:link w:val="highlightIDBprintChar"/>
    <w:qFormat/>
    <w:rsid w:val="00C741DB"/>
    <w:rPr>
      <w:rFonts w:cs="Calibri"/>
      <w:color w:val="0096D7"/>
    </w:rPr>
  </w:style>
  <w:style w:type="character" w:customStyle="1" w:styleId="highlightIDBprintChar">
    <w:name w:val="highlight IDB_print Char"/>
    <w:basedOn w:val="DefaultParagraphFont"/>
    <w:link w:val="highlightIDBprint"/>
    <w:rsid w:val="00C741DB"/>
    <w:rPr>
      <w:rFonts w:ascii="Calibri" w:hAnsi="Calibri" w:cs="Calibri"/>
      <w:color w:val="0096D7"/>
      <w:szCs w:val="24"/>
    </w:rPr>
  </w:style>
  <w:style w:type="table" w:styleId="TableGrid">
    <w:name w:val="Table Grid"/>
    <w:basedOn w:val="TableNormal"/>
    <w:rsid w:val="002B4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B47EF"/>
    <w:pPr>
      <w:spacing w:after="120"/>
      <w:ind w:left="360"/>
    </w:pPr>
    <w:rPr>
      <w:szCs w:val="20"/>
    </w:rPr>
  </w:style>
  <w:style w:type="character" w:customStyle="1" w:styleId="BodyTextIndentChar">
    <w:name w:val="Body Text Indent Char"/>
    <w:basedOn w:val="DefaultParagraphFont"/>
    <w:link w:val="BodyTextIndent"/>
    <w:rsid w:val="00BB47EF"/>
    <w:rPr>
      <w:sz w:val="24"/>
    </w:rPr>
  </w:style>
  <w:style w:type="character" w:styleId="Hyperlink">
    <w:name w:val="Hyperlink"/>
    <w:basedOn w:val="DefaultParagraphFont"/>
    <w:rsid w:val="0080155F"/>
    <w:rPr>
      <w:color w:val="0000FF" w:themeColor="hyperlink"/>
      <w:u w:val="single"/>
    </w:rPr>
  </w:style>
  <w:style w:type="paragraph" w:customStyle="1" w:styleId="Chapter">
    <w:name w:val="Chapter"/>
    <w:basedOn w:val="Normal"/>
    <w:next w:val="Normal"/>
    <w:link w:val="ChapterChar"/>
    <w:rsid w:val="00F93336"/>
    <w:pPr>
      <w:keepNext/>
      <w:numPr>
        <w:numId w:val="5"/>
      </w:numPr>
      <w:tabs>
        <w:tab w:val="num" w:pos="648"/>
        <w:tab w:val="left" w:pos="1440"/>
      </w:tabs>
      <w:spacing w:before="240" w:after="240"/>
      <w:ind w:left="0" w:firstLine="288"/>
      <w:jc w:val="center"/>
    </w:pPr>
    <w:rPr>
      <w:b/>
      <w:smallCaps/>
      <w:szCs w:val="20"/>
      <w:lang w:val="es-ES_tradnl"/>
    </w:rPr>
  </w:style>
  <w:style w:type="character" w:customStyle="1" w:styleId="ChapterChar">
    <w:name w:val="Chapter Char"/>
    <w:basedOn w:val="DefaultParagraphFont"/>
    <w:link w:val="Chapter"/>
    <w:rsid w:val="00F93336"/>
    <w:rPr>
      <w:b/>
      <w:smallCaps/>
      <w:sz w:val="24"/>
      <w:lang w:val="es-ES_tradnl"/>
    </w:rPr>
  </w:style>
  <w:style w:type="paragraph" w:customStyle="1" w:styleId="FirstHeading">
    <w:name w:val="FirstHeading"/>
    <w:basedOn w:val="Normal"/>
    <w:next w:val="Normal"/>
    <w:link w:val="FirstHeadingChar"/>
    <w:rsid w:val="00F93336"/>
    <w:pPr>
      <w:keepNext/>
      <w:tabs>
        <w:tab w:val="left" w:pos="0"/>
        <w:tab w:val="left" w:pos="86"/>
      </w:tabs>
      <w:spacing w:before="120" w:after="120"/>
      <w:ind w:left="720" w:hanging="720"/>
    </w:pPr>
    <w:rPr>
      <w:b/>
      <w:szCs w:val="20"/>
      <w:lang w:val="es-ES_tradnl"/>
    </w:rPr>
  </w:style>
  <w:style w:type="character" w:customStyle="1" w:styleId="FirstHeadingChar">
    <w:name w:val="FirstHeading Char"/>
    <w:basedOn w:val="DefaultParagraphFont"/>
    <w:link w:val="FirstHeading"/>
    <w:rsid w:val="00F93336"/>
    <w:rPr>
      <w:b/>
      <w:sz w:val="24"/>
      <w:lang w:val="es-ES_tradnl"/>
    </w:rPr>
  </w:style>
  <w:style w:type="paragraph" w:customStyle="1" w:styleId="SecHeading">
    <w:name w:val="SecHeading"/>
    <w:basedOn w:val="Normal"/>
    <w:next w:val="Paragraph"/>
    <w:link w:val="SecHeadingChar"/>
    <w:rsid w:val="00F93336"/>
    <w:pPr>
      <w:keepNext/>
      <w:tabs>
        <w:tab w:val="num" w:pos="1296"/>
      </w:tabs>
      <w:spacing w:before="120" w:after="120"/>
      <w:ind w:left="1296" w:hanging="576"/>
    </w:pPr>
    <w:rPr>
      <w:b/>
      <w:szCs w:val="20"/>
      <w:lang w:val="es-ES_tradnl"/>
    </w:rPr>
  </w:style>
  <w:style w:type="character" w:customStyle="1" w:styleId="SecHeadingChar">
    <w:name w:val="SecHeading Char"/>
    <w:basedOn w:val="DefaultParagraphFont"/>
    <w:link w:val="SecHeading"/>
    <w:rsid w:val="00F93336"/>
    <w:rPr>
      <w:b/>
      <w:sz w:val="24"/>
      <w:lang w:val="es-ES_tradnl"/>
    </w:rPr>
  </w:style>
  <w:style w:type="paragraph" w:customStyle="1" w:styleId="SubHeading1">
    <w:name w:val="SubHeading1"/>
    <w:basedOn w:val="SecHeading"/>
    <w:link w:val="SubHeading1Char"/>
    <w:rsid w:val="00F93336"/>
    <w:pPr>
      <w:tabs>
        <w:tab w:val="clear" w:pos="1296"/>
        <w:tab w:val="num" w:pos="1872"/>
      </w:tabs>
      <w:ind w:left="1872"/>
    </w:pPr>
  </w:style>
  <w:style w:type="character" w:customStyle="1" w:styleId="SubHeading1Char">
    <w:name w:val="SubHeading1 Char"/>
    <w:basedOn w:val="DefaultParagraphFont"/>
    <w:link w:val="SubHeading1"/>
    <w:rsid w:val="00F93336"/>
    <w:rPr>
      <w:b/>
      <w:sz w:val="24"/>
      <w:lang w:val="es-ES_tradnl"/>
    </w:rPr>
  </w:style>
  <w:style w:type="paragraph" w:customStyle="1" w:styleId="Subheading2">
    <w:name w:val="Subheading2"/>
    <w:basedOn w:val="SecHeading"/>
    <w:link w:val="Subheading2Char"/>
    <w:rsid w:val="00F93336"/>
    <w:pPr>
      <w:tabs>
        <w:tab w:val="clear" w:pos="1296"/>
        <w:tab w:val="num" w:pos="2376"/>
      </w:tabs>
      <w:ind w:left="2376" w:hanging="288"/>
    </w:pPr>
  </w:style>
  <w:style w:type="character" w:customStyle="1" w:styleId="Subheading2Char">
    <w:name w:val="Subheading2 Char"/>
    <w:basedOn w:val="DefaultParagraphFont"/>
    <w:link w:val="Subheading2"/>
    <w:rsid w:val="00F93336"/>
    <w:rPr>
      <w:b/>
      <w:sz w:val="24"/>
      <w:lang w:val="es-ES_tradnl"/>
    </w:rPr>
  </w:style>
  <w:style w:type="paragraph" w:customStyle="1" w:styleId="Paragraph">
    <w:name w:val="Paragraph"/>
    <w:basedOn w:val="BodyTextIndent"/>
    <w:link w:val="ParagraphChar"/>
    <w:rsid w:val="00F93336"/>
    <w:pPr>
      <w:tabs>
        <w:tab w:val="num" w:pos="720"/>
      </w:tabs>
      <w:spacing w:before="120"/>
      <w:ind w:left="720" w:hanging="720"/>
      <w:jc w:val="both"/>
      <w:outlineLvl w:val="1"/>
    </w:pPr>
    <w:rPr>
      <w:lang w:val="es-ES_tradnl"/>
    </w:rPr>
  </w:style>
  <w:style w:type="character" w:customStyle="1" w:styleId="ParagraphChar">
    <w:name w:val="Paragraph Char"/>
    <w:basedOn w:val="DefaultParagraphFont"/>
    <w:link w:val="Paragraph"/>
    <w:rsid w:val="00F93336"/>
    <w:rPr>
      <w:sz w:val="24"/>
      <w:lang w:val="es-ES_tradnl"/>
    </w:rPr>
  </w:style>
  <w:style w:type="paragraph" w:customStyle="1" w:styleId="subpar">
    <w:name w:val="subpar"/>
    <w:basedOn w:val="BodyTextIndent3"/>
    <w:link w:val="subparChar"/>
    <w:rsid w:val="00F93336"/>
    <w:pPr>
      <w:tabs>
        <w:tab w:val="num" w:pos="1152"/>
      </w:tabs>
      <w:spacing w:before="120"/>
      <w:ind w:left="1152" w:hanging="432"/>
      <w:jc w:val="both"/>
      <w:outlineLvl w:val="2"/>
    </w:pPr>
    <w:rPr>
      <w:szCs w:val="20"/>
      <w:lang w:val="es-ES_tradnl"/>
    </w:rPr>
  </w:style>
  <w:style w:type="character" w:customStyle="1" w:styleId="subparChar">
    <w:name w:val="subpar Char"/>
    <w:basedOn w:val="DefaultParagraphFont"/>
    <w:link w:val="subpar"/>
    <w:rsid w:val="00F93336"/>
    <w:rPr>
      <w:sz w:val="24"/>
      <w:lang w:val="es-ES_tradnl"/>
    </w:rPr>
  </w:style>
  <w:style w:type="paragraph" w:customStyle="1" w:styleId="SubSubPar">
    <w:name w:val="SubSubPar"/>
    <w:basedOn w:val="subpar"/>
    <w:link w:val="SubSubParChar"/>
    <w:rsid w:val="00F93336"/>
    <w:pPr>
      <w:tabs>
        <w:tab w:val="left" w:pos="0"/>
        <w:tab w:val="num" w:pos="1296"/>
      </w:tabs>
      <w:ind w:left="1296" w:hanging="288"/>
    </w:pPr>
  </w:style>
  <w:style w:type="character" w:customStyle="1" w:styleId="SubSubParChar">
    <w:name w:val="SubSubPar Char"/>
    <w:basedOn w:val="DefaultParagraphFont"/>
    <w:link w:val="SubSubPar"/>
    <w:rsid w:val="00F93336"/>
    <w:rPr>
      <w:sz w:val="24"/>
      <w:lang w:val="es-ES_tradnl"/>
    </w:rPr>
  </w:style>
  <w:style w:type="paragraph" w:customStyle="1" w:styleId="Regtable">
    <w:name w:val="Regtable"/>
    <w:basedOn w:val="Normal"/>
    <w:link w:val="RegtableChar"/>
    <w:rsid w:val="00F93336"/>
    <w:pPr>
      <w:keepLines/>
      <w:framePr w:wrap="around" w:vAnchor="text" w:hAnchor="text" w:y="1"/>
      <w:spacing w:before="20" w:after="20"/>
    </w:pPr>
    <w:rPr>
      <w:sz w:val="20"/>
      <w:szCs w:val="20"/>
      <w:lang w:val="es-ES_tradnl"/>
    </w:rPr>
  </w:style>
  <w:style w:type="character" w:customStyle="1" w:styleId="RegtableChar">
    <w:name w:val="Regtable Char"/>
    <w:basedOn w:val="DefaultParagraphFont"/>
    <w:link w:val="Regtable"/>
    <w:rsid w:val="00F93336"/>
    <w:rPr>
      <w:lang w:val="es-ES_tradnl"/>
    </w:rPr>
  </w:style>
  <w:style w:type="paragraph" w:customStyle="1" w:styleId="TableTitle">
    <w:name w:val="TableTitle"/>
    <w:basedOn w:val="Normal"/>
    <w:link w:val="TableTitleChar"/>
    <w:rsid w:val="00F93336"/>
    <w:pPr>
      <w:keepNext/>
      <w:framePr w:wrap="around" w:vAnchor="text" w:hAnchor="text" w:y="1"/>
      <w:spacing w:before="20" w:after="20"/>
      <w:jc w:val="center"/>
    </w:pPr>
    <w:rPr>
      <w:rFonts w:ascii="Times New Roman Bold" w:hAnsi="Times New Roman Bold" w:cs="Arial"/>
      <w:b/>
      <w:spacing w:val="-3"/>
      <w:sz w:val="20"/>
      <w:szCs w:val="20"/>
      <w:lang w:val="es-ES_tradnl"/>
    </w:rPr>
  </w:style>
  <w:style w:type="character" w:customStyle="1" w:styleId="TableTitleChar">
    <w:name w:val="TableTitle Char"/>
    <w:basedOn w:val="DefaultParagraphFont"/>
    <w:link w:val="TableTitle"/>
    <w:rsid w:val="00F93336"/>
    <w:rPr>
      <w:rFonts w:ascii="Times New Roman Bold" w:hAnsi="Times New Roman Bold" w:cs="Arial"/>
      <w:b/>
      <w:spacing w:val="-3"/>
      <w:lang w:val="es-ES_tradnl"/>
    </w:rPr>
  </w:style>
  <w:style w:type="character" w:customStyle="1" w:styleId="Heading2Char">
    <w:name w:val="Heading 2 Char"/>
    <w:basedOn w:val="DefaultParagraphFont"/>
    <w:link w:val="Heading2"/>
    <w:semiHidden/>
    <w:rsid w:val="00F9333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93336"/>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F93336"/>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F93336"/>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F93336"/>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F93336"/>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F93336"/>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F93336"/>
    <w:rPr>
      <w:rFonts w:asciiTheme="majorHAnsi" w:eastAsiaTheme="majorEastAsia" w:hAnsiTheme="majorHAnsi" w:cstheme="majorBidi"/>
      <w:i/>
      <w:iCs/>
      <w:color w:val="404040" w:themeColor="text1" w:themeTint="BF"/>
    </w:rPr>
  </w:style>
  <w:style w:type="paragraph" w:styleId="BodyTextIndent3">
    <w:name w:val="Body Text Indent 3"/>
    <w:basedOn w:val="Normal"/>
    <w:link w:val="BodyTextIndent3Char"/>
    <w:rsid w:val="00F93336"/>
    <w:pPr>
      <w:spacing w:after="120"/>
      <w:ind w:left="360"/>
    </w:pPr>
    <w:rPr>
      <w:szCs w:val="16"/>
    </w:rPr>
  </w:style>
  <w:style w:type="character" w:customStyle="1" w:styleId="BodyTextIndent3Char">
    <w:name w:val="Body Text Indent 3 Char"/>
    <w:basedOn w:val="DefaultParagraphFont"/>
    <w:link w:val="BodyTextIndent3"/>
    <w:rsid w:val="00F93336"/>
    <w:rPr>
      <w:sz w:val="24"/>
      <w:szCs w:val="16"/>
    </w:rPr>
  </w:style>
  <w:style w:type="paragraph" w:styleId="FootnoteText">
    <w:name w:val="footnote text"/>
    <w:basedOn w:val="Normal"/>
    <w:link w:val="FootnoteTextChar"/>
    <w:rsid w:val="00F93336"/>
    <w:pPr>
      <w:keepNext/>
      <w:keepLines/>
      <w:spacing w:after="120"/>
      <w:ind w:left="288" w:hanging="288"/>
      <w:jc w:val="both"/>
    </w:pPr>
    <w:rPr>
      <w:spacing w:val="-3"/>
      <w:sz w:val="20"/>
      <w:szCs w:val="20"/>
    </w:rPr>
  </w:style>
  <w:style w:type="character" w:customStyle="1" w:styleId="FootnoteTextChar">
    <w:name w:val="Footnote Text Char"/>
    <w:basedOn w:val="DefaultParagraphFont"/>
    <w:link w:val="FootnoteText"/>
    <w:rsid w:val="00F93336"/>
    <w:rPr>
      <w:spacing w:val="-3"/>
    </w:rPr>
  </w:style>
  <w:style w:type="paragraph" w:styleId="ListParagraph">
    <w:name w:val="List Paragraph"/>
    <w:basedOn w:val="Normal"/>
    <w:uiPriority w:val="34"/>
    <w:qFormat/>
    <w:rsid w:val="00F93336"/>
    <w:pPr>
      <w:ind w:left="720"/>
      <w:contextualSpacing/>
    </w:pPr>
  </w:style>
  <w:style w:type="character" w:styleId="CommentReference">
    <w:name w:val="annotation reference"/>
    <w:basedOn w:val="DefaultParagraphFont"/>
    <w:rsid w:val="00C0258C"/>
    <w:rPr>
      <w:sz w:val="16"/>
      <w:szCs w:val="16"/>
    </w:rPr>
  </w:style>
  <w:style w:type="paragraph" w:styleId="CommentText">
    <w:name w:val="annotation text"/>
    <w:basedOn w:val="Normal"/>
    <w:link w:val="CommentTextChar"/>
    <w:rsid w:val="00C0258C"/>
    <w:rPr>
      <w:sz w:val="20"/>
      <w:szCs w:val="20"/>
    </w:rPr>
  </w:style>
  <w:style w:type="character" w:customStyle="1" w:styleId="CommentTextChar">
    <w:name w:val="Comment Text Char"/>
    <w:basedOn w:val="DefaultParagraphFont"/>
    <w:link w:val="CommentText"/>
    <w:rsid w:val="00C0258C"/>
  </w:style>
  <w:style w:type="paragraph" w:styleId="CommentSubject">
    <w:name w:val="annotation subject"/>
    <w:basedOn w:val="CommentText"/>
    <w:next w:val="CommentText"/>
    <w:link w:val="CommentSubjectChar"/>
    <w:rsid w:val="00C0258C"/>
    <w:rPr>
      <w:b/>
      <w:bCs/>
    </w:rPr>
  </w:style>
  <w:style w:type="character" w:customStyle="1" w:styleId="CommentSubjectChar">
    <w:name w:val="Comment Subject Char"/>
    <w:basedOn w:val="CommentTextChar"/>
    <w:link w:val="CommentSubject"/>
    <w:rsid w:val="00C0258C"/>
    <w:rPr>
      <w:b/>
      <w:bCs/>
    </w:rPr>
  </w:style>
  <w:style w:type="paragraph" w:styleId="Revision">
    <w:name w:val="Revision"/>
    <w:hidden/>
    <w:uiPriority w:val="99"/>
    <w:semiHidden/>
    <w:rsid w:val="006818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71994">
      <w:bodyDiv w:val="1"/>
      <w:marLeft w:val="0"/>
      <w:marRight w:val="0"/>
      <w:marTop w:val="0"/>
      <w:marBottom w:val="0"/>
      <w:divBdr>
        <w:top w:val="none" w:sz="0" w:space="0" w:color="auto"/>
        <w:left w:val="none" w:sz="0" w:space="0" w:color="auto"/>
        <w:bottom w:val="none" w:sz="0" w:space="0" w:color="auto"/>
        <w:right w:val="none" w:sz="0" w:space="0" w:color="auto"/>
      </w:divBdr>
    </w:div>
    <w:div w:id="175388113">
      <w:bodyDiv w:val="1"/>
      <w:marLeft w:val="0"/>
      <w:marRight w:val="0"/>
      <w:marTop w:val="0"/>
      <w:marBottom w:val="0"/>
      <w:divBdr>
        <w:top w:val="none" w:sz="0" w:space="0" w:color="auto"/>
        <w:left w:val="none" w:sz="0" w:space="0" w:color="auto"/>
        <w:bottom w:val="none" w:sz="0" w:space="0" w:color="auto"/>
        <w:right w:val="none" w:sz="0" w:space="0" w:color="auto"/>
      </w:divBdr>
    </w:div>
    <w:div w:id="544021384">
      <w:bodyDiv w:val="1"/>
      <w:marLeft w:val="0"/>
      <w:marRight w:val="0"/>
      <w:marTop w:val="0"/>
      <w:marBottom w:val="0"/>
      <w:divBdr>
        <w:top w:val="none" w:sz="0" w:space="0" w:color="auto"/>
        <w:left w:val="none" w:sz="0" w:space="0" w:color="auto"/>
        <w:bottom w:val="none" w:sz="0" w:space="0" w:color="auto"/>
        <w:right w:val="none" w:sz="0" w:space="0" w:color="auto"/>
      </w:divBdr>
    </w:div>
    <w:div w:id="794106361">
      <w:bodyDiv w:val="1"/>
      <w:marLeft w:val="0"/>
      <w:marRight w:val="0"/>
      <w:marTop w:val="0"/>
      <w:marBottom w:val="0"/>
      <w:divBdr>
        <w:top w:val="none" w:sz="0" w:space="0" w:color="auto"/>
        <w:left w:val="none" w:sz="0" w:space="0" w:color="auto"/>
        <w:bottom w:val="none" w:sz="0" w:space="0" w:color="auto"/>
        <w:right w:val="none" w:sz="0" w:space="0" w:color="auto"/>
      </w:divBdr>
    </w:div>
    <w:div w:id="1466659301">
      <w:bodyDiv w:val="1"/>
      <w:marLeft w:val="0"/>
      <w:marRight w:val="0"/>
      <w:marTop w:val="0"/>
      <w:marBottom w:val="0"/>
      <w:divBdr>
        <w:top w:val="none" w:sz="0" w:space="0" w:color="auto"/>
        <w:left w:val="none" w:sz="0" w:space="0" w:color="auto"/>
        <w:bottom w:val="none" w:sz="0" w:space="0" w:color="auto"/>
        <w:right w:val="none" w:sz="0" w:space="0" w:color="auto"/>
      </w:divBdr>
    </w:div>
    <w:div w:id="175357716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E7C034146CC51847A946F713BC03B474" ma:contentTypeVersion="21" ma:contentTypeDescription="The base project type from which other project content types inherit their information." ma:contentTypeScope="" ma:versionID="44d5726dcf233217bc5cf614b15f7e79">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 xsi:nil="true"/>
    <Division_x0020_or_x0020_Unit xmlns="cdc7663a-08f0-4737-9e8c-148ce897a09c" xsi:nil="true"/>
    <Other_x0020_Author xmlns="cdc7663a-08f0-4737-9e8c-148ce897a09c" xsi:nil="true"/>
    <IDBDocs_x0020_Number xmlns="cdc7663a-08f0-4737-9e8c-148ce897a09c" xsi:nil="true"/>
    <Document_x0020_Author xmlns="cdc7663a-08f0-4737-9e8c-148ce897a09c" xsi:nil="true"/>
    <Operation_x0020_Type xmlns="cdc7663a-08f0-4737-9e8c-148ce897a09c" xsi:nil="true"/>
    <TaxCatchAll xmlns="cdc7663a-08f0-4737-9e8c-148ce897a09c"/>
    <Fiscal_x0020_Year_x0020_IDB xmlns="cdc7663a-08f0-4737-9e8c-148ce897a09c" xsi:nil="true"/>
    <Project_x0020_Number xmlns="cdc7663a-08f0-4737-9e8c-148ce897a09c">HO-L1189</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 xsi:nil="true"/>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 xsi:nil="true"/>
    <From_x003a_ xmlns="cdc7663a-08f0-4737-9e8c-148ce897a09c" xsi:nil="true"/>
    <To_x003a_ xmlns="cdc7663a-08f0-4737-9e8c-148ce897a09c" xsi:nil="true"/>
    <_dlc_DocIdUrl xmlns="cdc7663a-08f0-4737-9e8c-148ce897a09c">
      <Url xsi:nil="true"/>
      <Description xsi:nil="true"/>
    </_dlc_DocIdUrl>
  </documentManagement>
</p:propertie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89499-95BA-4841-B252-696BF7E61A63}">
  <ds:schemaRefs>
    <ds:schemaRef ds:uri="http://schemas.microsoft.com/sharepoint/v3/contenttype/forms/url"/>
  </ds:schemaRefs>
</ds:datastoreItem>
</file>

<file path=customXml/itemProps2.xml><?xml version="1.0" encoding="utf-8"?>
<ds:datastoreItem xmlns:ds="http://schemas.openxmlformats.org/officeDocument/2006/customXml" ds:itemID="{DAAB6F80-74C3-4EEA-8FCB-436F9073C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DB6FE4-56C7-4A6C-BFED-CD0A2101FC3C}">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02FFBFFF-86FC-487D-90D7-E4B6B650A2DC}">
  <ds:schemaRefs>
    <ds:schemaRef ds:uri="Microsoft.SharePoint.Taxonomy.ContentTypeSync"/>
  </ds:schemaRefs>
</ds:datastoreItem>
</file>

<file path=customXml/itemProps5.xml><?xml version="1.0" encoding="utf-8"?>
<ds:datastoreItem xmlns:ds="http://schemas.openxmlformats.org/officeDocument/2006/customXml" ds:itemID="{F213FCB7-E584-4B9E-A50E-C57F145EEA73}">
  <ds:schemaRefs>
    <ds:schemaRef ds:uri="http://schemas.microsoft.com/sharepoint/events"/>
  </ds:schemaRefs>
</ds:datastoreItem>
</file>

<file path=customXml/itemProps6.xml><?xml version="1.0" encoding="utf-8"?>
<ds:datastoreItem xmlns:ds="http://schemas.openxmlformats.org/officeDocument/2006/customXml" ds:itemID="{4D2C1444-AF94-4D89-B786-468FD1A9EFB9}">
  <ds:schemaRefs>
    <ds:schemaRef ds:uri="http://schemas.microsoft.com/sharepoint/v3/contenttype/forms"/>
  </ds:schemaRefs>
</ds:datastoreItem>
</file>

<file path=customXml/itemProps7.xml><?xml version="1.0" encoding="utf-8"?>
<ds:datastoreItem xmlns:ds="http://schemas.openxmlformats.org/officeDocument/2006/customXml" ds:itemID="{A8DA3C50-4380-455C-93D7-BFC5B2833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9</Pages>
  <Words>2758</Words>
  <Characters>15726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EER_3 - Matriz de Medios de Verificación</vt:lpstr>
    </vt:vector>
  </TitlesOfParts>
  <Company>Inter-American Development Bank</Company>
  <LinksUpToDate>false</LinksUpToDate>
  <CharactersWithSpaces>18448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EER_3 - Matriz de Medios de Verificación</dc:title>
  <dc:creator>cecilire</dc:creator>
  <cp:lastModifiedBy>Suber, Stephanie Anne</cp:lastModifiedBy>
  <cp:revision>33</cp:revision>
  <cp:lastPrinted>2017-11-01T13:02:00Z</cp:lastPrinted>
  <dcterms:created xsi:type="dcterms:W3CDTF">2017-11-02T15:42:00Z</dcterms:created>
  <dcterms:modified xsi:type="dcterms:W3CDTF">2017-11-27T17:48:00Z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0x010100ACF722E9F6B0B149B0CD8BE2560A667200E7C034146CC51847A946F713BC03B474</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Sector IDB">
    <vt:lpwstr/>
  </property>
  <property fmtid="{D5CDD505-2E9C-101B-9397-08002B2CF9AE}" pid="12" name="Function Operations IDB">
    <vt:lpwstr/>
  </property>
  <property fmtid="{D5CDD505-2E9C-101B-9397-08002B2CF9AE}" pid="13" name="Disclosure Activity">
    <vt:lpwstr>Loan Proposal</vt:lpwstr>
  </property>
  <property fmtid="{D5CDD505-2E9C-101B-9397-08002B2CF9AE}" pid="14" name="ATI Disclose Document Workflow v5">
    <vt:lpwstr/>
  </property>
  <property fmtid="{D5CDD505-2E9C-101B-9397-08002B2CF9AE}" pid="15" name="Webtopic">
    <vt:lpwstr>Energy</vt:lpwstr>
  </property>
  <property fmtid="{D5CDD505-2E9C-101B-9397-08002B2CF9AE}" pid="16" name="Disclosed">
    <vt:bool>false</vt:bool>
  </property>
  <property fmtid="{D5CDD505-2E9C-101B-9397-08002B2CF9AE}" pid="17" name="ATI Undisclose Document Workflow">
    <vt:lpwstr/>
  </property>
  <property fmtid="{D5CDD505-2E9C-101B-9397-08002B2CF9AE}" pid="18" name="_dlc_DocIdItemGuid">
    <vt:lpwstr>33919313-2615-45c7-88e0-b06d8ca5b1f8</vt:lpwstr>
  </property>
</Properties>
</file>