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48E" w:rsidRPr="00046570" w:rsidRDefault="00C2448E" w:rsidP="00C2448E">
      <w:pPr>
        <w:pStyle w:val="Title"/>
        <w:tabs>
          <w:tab w:val="clear" w:pos="1440"/>
          <w:tab w:val="clear" w:pos="3060"/>
        </w:tabs>
        <w:outlineLvl w:val="9"/>
        <w:rPr>
          <w:smallCaps/>
          <w:szCs w:val="24"/>
          <w:lang w:val="es-ES"/>
        </w:rPr>
      </w:pPr>
      <w:bookmarkStart w:id="0" w:name="_Toc329186121"/>
      <w:r w:rsidRPr="00046570">
        <w:rPr>
          <w:smallCaps/>
          <w:szCs w:val="24"/>
          <w:lang w:val="es-ES"/>
        </w:rPr>
        <w:t>Documento del Banco Interamericano de Desarrollo</w:t>
      </w:r>
      <w:bookmarkEnd w:id="0"/>
    </w:p>
    <w:p w:rsidR="00C2448E" w:rsidRPr="00046570" w:rsidRDefault="00C2448E" w:rsidP="00C2448E">
      <w:pPr>
        <w:pStyle w:val="ListParagraph"/>
        <w:spacing w:before="120"/>
        <w:ind w:left="0"/>
        <w:jc w:val="center"/>
        <w:rPr>
          <w:b/>
          <w:lang w:val="es-ES"/>
        </w:rPr>
      </w:pPr>
    </w:p>
    <w:p w:rsidR="00C2448E" w:rsidRPr="00046570" w:rsidRDefault="00C2448E" w:rsidP="00C2448E">
      <w:pPr>
        <w:tabs>
          <w:tab w:val="left" w:pos="1440"/>
          <w:tab w:val="left" w:pos="3060"/>
        </w:tabs>
        <w:jc w:val="center"/>
        <w:rPr>
          <w:b/>
          <w:smallCaps/>
          <w:lang w:val="es-ES"/>
        </w:rPr>
      </w:pPr>
    </w:p>
    <w:p w:rsidR="00C2448E" w:rsidRPr="00046570" w:rsidRDefault="00C2448E" w:rsidP="00C2448E">
      <w:pPr>
        <w:tabs>
          <w:tab w:val="left" w:pos="1440"/>
          <w:tab w:val="left" w:pos="3060"/>
        </w:tabs>
        <w:jc w:val="center"/>
        <w:rPr>
          <w:b/>
          <w:smallCaps/>
          <w:lang w:val="es-ES"/>
        </w:rPr>
      </w:pPr>
    </w:p>
    <w:p w:rsidR="00C2448E" w:rsidRPr="00862C11" w:rsidRDefault="00A94BF6" w:rsidP="00C2448E">
      <w:pPr>
        <w:tabs>
          <w:tab w:val="left" w:pos="1440"/>
          <w:tab w:val="left" w:pos="3060"/>
        </w:tabs>
        <w:jc w:val="center"/>
        <w:rPr>
          <w:b/>
          <w:smallCaps/>
          <w:lang w:val="es-AR"/>
        </w:rPr>
      </w:pPr>
      <w:r>
        <w:rPr>
          <w:b/>
          <w:smallCaps/>
          <w:lang w:val="es-AR"/>
        </w:rPr>
        <w:t>NICARAGUA</w:t>
      </w:r>
    </w:p>
    <w:p w:rsidR="00C2448E" w:rsidRPr="00046570" w:rsidRDefault="00C2448E" w:rsidP="00C2448E">
      <w:pPr>
        <w:tabs>
          <w:tab w:val="left" w:pos="1440"/>
          <w:tab w:val="left" w:pos="3060"/>
        </w:tabs>
        <w:jc w:val="center"/>
        <w:rPr>
          <w:b/>
          <w:smallCaps/>
          <w:highlight w:val="lightGray"/>
          <w:lang w:val="es-ES"/>
        </w:rPr>
      </w:pPr>
    </w:p>
    <w:p w:rsidR="00C2448E" w:rsidRPr="00046570" w:rsidRDefault="00C2448E" w:rsidP="00C2448E">
      <w:pPr>
        <w:tabs>
          <w:tab w:val="left" w:pos="1440"/>
          <w:tab w:val="left" w:pos="3060"/>
        </w:tabs>
        <w:jc w:val="center"/>
        <w:rPr>
          <w:b/>
          <w:smallCaps/>
          <w:highlight w:val="lightGray"/>
          <w:lang w:val="es-ES"/>
        </w:rPr>
      </w:pPr>
    </w:p>
    <w:p w:rsidR="00C2448E" w:rsidRPr="008054B6" w:rsidRDefault="00C2448E" w:rsidP="00C2448E">
      <w:pPr>
        <w:jc w:val="center"/>
        <w:rPr>
          <w:b/>
          <w:smallCaps/>
          <w:lang w:val="es-AR"/>
        </w:rPr>
      </w:pPr>
      <w:r w:rsidRPr="00F26064">
        <w:rPr>
          <w:b/>
          <w:smallCaps/>
          <w:lang w:val="es-AR"/>
        </w:rPr>
        <w:t xml:space="preserve">Programa de </w:t>
      </w:r>
      <w:r w:rsidR="00A94BF6">
        <w:rPr>
          <w:b/>
          <w:smallCaps/>
          <w:lang w:val="es-AR"/>
        </w:rPr>
        <w:t>Banda Ancha</w:t>
      </w:r>
      <w:r w:rsidRPr="00F26064">
        <w:rPr>
          <w:b/>
          <w:smallCaps/>
          <w:lang w:val="es-AR"/>
        </w:rPr>
        <w:t xml:space="preserve"> </w:t>
      </w:r>
    </w:p>
    <w:p w:rsidR="00C2448E" w:rsidRPr="008054B6" w:rsidRDefault="00C2448E" w:rsidP="00C2448E">
      <w:pPr>
        <w:tabs>
          <w:tab w:val="left" w:pos="1440"/>
          <w:tab w:val="left" w:pos="3060"/>
        </w:tabs>
        <w:jc w:val="center"/>
        <w:rPr>
          <w:b/>
          <w:smallCaps/>
          <w:highlight w:val="lightGray"/>
          <w:lang w:val="es-ES_tradnl"/>
        </w:rPr>
      </w:pPr>
    </w:p>
    <w:p w:rsidR="00C2448E" w:rsidRPr="00873322" w:rsidRDefault="00C2448E" w:rsidP="00C2448E">
      <w:pPr>
        <w:tabs>
          <w:tab w:val="left" w:pos="1440"/>
          <w:tab w:val="left" w:pos="3060"/>
        </w:tabs>
        <w:jc w:val="center"/>
        <w:rPr>
          <w:b/>
          <w:smallCaps/>
          <w:lang w:val="es-ES"/>
        </w:rPr>
      </w:pPr>
      <w:r w:rsidRPr="00862C11">
        <w:rPr>
          <w:b/>
          <w:smallCaps/>
          <w:lang w:val="es-AR"/>
        </w:rPr>
        <w:t>(</w:t>
      </w:r>
      <w:r w:rsidR="00A94BF6">
        <w:rPr>
          <w:b/>
          <w:smallCaps/>
          <w:lang w:val="es-AR"/>
        </w:rPr>
        <w:t>NI</w:t>
      </w:r>
      <w:r w:rsidRPr="00862C11">
        <w:rPr>
          <w:b/>
          <w:smallCaps/>
          <w:lang w:val="es-AR"/>
        </w:rPr>
        <w:t>-L1</w:t>
      </w:r>
      <w:r w:rsidR="00A94BF6">
        <w:rPr>
          <w:b/>
          <w:smallCaps/>
          <w:lang w:val="es-AR"/>
        </w:rPr>
        <w:t>090</w:t>
      </w:r>
      <w:r w:rsidRPr="00862C11">
        <w:rPr>
          <w:b/>
          <w:smallCaps/>
          <w:lang w:val="es-AR"/>
        </w:rPr>
        <w:t>)</w:t>
      </w:r>
    </w:p>
    <w:p w:rsidR="00C2448E" w:rsidRPr="00873322" w:rsidRDefault="00C2448E" w:rsidP="00C2448E">
      <w:pPr>
        <w:pStyle w:val="Newpage"/>
        <w:rPr>
          <w:rFonts w:cs="Times New Roman"/>
          <w:b w:val="0"/>
          <w:caps/>
          <w:smallCaps w:val="0"/>
          <w:szCs w:val="24"/>
          <w:lang w:val="es-ES"/>
        </w:rPr>
      </w:pPr>
    </w:p>
    <w:p w:rsidR="00C2448E" w:rsidRPr="00873322" w:rsidRDefault="00C2448E" w:rsidP="00C2448E">
      <w:pPr>
        <w:tabs>
          <w:tab w:val="left" w:pos="1440"/>
          <w:tab w:val="left" w:pos="3060"/>
        </w:tabs>
        <w:jc w:val="center"/>
        <w:rPr>
          <w:smallCaps/>
          <w:lang w:val="es-ES"/>
        </w:rPr>
      </w:pPr>
    </w:p>
    <w:p w:rsidR="00C2448E" w:rsidRPr="00C2448E" w:rsidRDefault="00C2448E" w:rsidP="00C2448E">
      <w:pPr>
        <w:tabs>
          <w:tab w:val="left" w:pos="3060"/>
        </w:tabs>
        <w:jc w:val="center"/>
        <w:rPr>
          <w:rFonts w:ascii="Times New Roman Bold" w:hAnsi="Times New Roman Bold"/>
          <w:b/>
          <w:smallCaps/>
          <w:lang w:val="es-ES_tradnl"/>
        </w:rPr>
      </w:pPr>
      <w:r>
        <w:rPr>
          <w:rFonts w:ascii="Times New Roman Bold" w:hAnsi="Times New Roman Bold"/>
          <w:b/>
          <w:smallCaps/>
          <w:lang w:val="es-ES_tradnl"/>
        </w:rPr>
        <w:t xml:space="preserve">Análisis del Cumplimiento de la </w:t>
      </w:r>
      <w:r>
        <w:rPr>
          <w:rFonts w:ascii="Times New Roman Bold" w:hAnsi="Times New Roman Bold"/>
          <w:b/>
          <w:smallCaps/>
          <w:lang w:val="es-ES_tradnl"/>
        </w:rPr>
        <w:br/>
      </w:r>
      <w:r w:rsidRPr="00C2448E">
        <w:rPr>
          <w:rFonts w:ascii="Times New Roman Bold" w:hAnsi="Times New Roman Bold"/>
          <w:b/>
          <w:smallCaps/>
          <w:lang w:val="es-ES_tradnl"/>
        </w:rPr>
        <w:t>Política de Servicios Públicos Domiciliarios (</w:t>
      </w:r>
      <w:r w:rsidRPr="00C2448E">
        <w:rPr>
          <w:rFonts w:ascii="Times New Roman Bold" w:hAnsi="Times New Roman Bold"/>
          <w:b/>
          <w:smallCaps/>
          <w:lang w:val="es-ES"/>
        </w:rPr>
        <w:t>GN-2716-4</w:t>
      </w:r>
      <w:r w:rsidRPr="00C2448E">
        <w:rPr>
          <w:rFonts w:ascii="Times New Roman Bold" w:hAnsi="Times New Roman Bold"/>
          <w:b/>
          <w:smallCaps/>
          <w:lang w:val="es-ES_tradnl"/>
        </w:rPr>
        <w:t xml:space="preserve">) </w:t>
      </w:r>
    </w:p>
    <w:p w:rsidR="00C2448E" w:rsidRPr="00C2448E" w:rsidRDefault="00C2448E" w:rsidP="00C2448E">
      <w:pPr>
        <w:jc w:val="center"/>
        <w:rPr>
          <w:b/>
          <w:smallCaps/>
          <w:lang w:val="es-ES_tradnl"/>
        </w:rPr>
      </w:pPr>
    </w:p>
    <w:p w:rsidR="00C2448E" w:rsidRPr="00862C11" w:rsidRDefault="00C2448E" w:rsidP="00C2448E">
      <w:pPr>
        <w:tabs>
          <w:tab w:val="left" w:pos="1440"/>
          <w:tab w:val="left" w:pos="3060"/>
        </w:tabs>
        <w:outlineLvl w:val="0"/>
        <w:rPr>
          <w:b/>
          <w:smallCaps/>
          <w:lang w:val="es-AR"/>
        </w:rPr>
      </w:pPr>
    </w:p>
    <w:p w:rsidR="00C2448E" w:rsidRPr="00862C11" w:rsidRDefault="00C2448E" w:rsidP="00C2448E">
      <w:pPr>
        <w:pStyle w:val="ListParagraph"/>
        <w:spacing w:before="120"/>
        <w:ind w:left="1080"/>
        <w:jc w:val="center"/>
        <w:rPr>
          <w:b/>
          <w:lang w:val="es-AR"/>
        </w:rPr>
      </w:pPr>
    </w:p>
    <w:p w:rsidR="00C2448E" w:rsidRPr="00862C11" w:rsidRDefault="00C2448E" w:rsidP="00C2448E">
      <w:pPr>
        <w:pStyle w:val="ListParagraph"/>
        <w:spacing w:before="120"/>
        <w:ind w:left="1080"/>
        <w:jc w:val="center"/>
        <w:rPr>
          <w:b/>
          <w:lang w:val="es-AR"/>
        </w:rPr>
      </w:pPr>
    </w:p>
    <w:p w:rsidR="00C2448E" w:rsidRPr="00862C11" w:rsidRDefault="00C2448E" w:rsidP="00C2448E">
      <w:pPr>
        <w:pStyle w:val="ListParagraph"/>
        <w:spacing w:before="120"/>
        <w:ind w:left="1080"/>
        <w:jc w:val="center"/>
        <w:rPr>
          <w:b/>
          <w:lang w:val="es-AR"/>
        </w:rPr>
      </w:pPr>
    </w:p>
    <w:p w:rsidR="00C2448E" w:rsidRPr="00862C11" w:rsidRDefault="00C2448E" w:rsidP="00C2448E">
      <w:pPr>
        <w:pStyle w:val="ListParagraph"/>
        <w:spacing w:before="120"/>
        <w:ind w:left="1080"/>
        <w:jc w:val="center"/>
        <w:rPr>
          <w:b/>
          <w:lang w:val="es-AR"/>
        </w:rPr>
      </w:pPr>
    </w:p>
    <w:p w:rsidR="00C2448E" w:rsidRPr="00862C11" w:rsidRDefault="00C2448E" w:rsidP="00C2448E">
      <w:pPr>
        <w:pStyle w:val="ListParagraph"/>
        <w:spacing w:before="120"/>
        <w:ind w:left="1080"/>
        <w:jc w:val="center"/>
        <w:rPr>
          <w:b/>
          <w:lang w:val="es-AR"/>
        </w:rPr>
      </w:pPr>
    </w:p>
    <w:p w:rsidR="00C2448E" w:rsidRPr="00862C11" w:rsidRDefault="00C2448E" w:rsidP="00C2448E">
      <w:pPr>
        <w:pStyle w:val="ListParagraph"/>
        <w:spacing w:before="120"/>
        <w:ind w:left="1080"/>
        <w:jc w:val="center"/>
        <w:rPr>
          <w:b/>
          <w:lang w:val="es-AR"/>
        </w:rPr>
      </w:pPr>
    </w:p>
    <w:p w:rsidR="00C2448E" w:rsidRPr="00862C11" w:rsidRDefault="00C2448E" w:rsidP="00C2448E">
      <w:pPr>
        <w:pStyle w:val="ListParagraph"/>
        <w:spacing w:before="120"/>
        <w:ind w:left="1080"/>
        <w:jc w:val="center"/>
        <w:rPr>
          <w:b/>
          <w:lang w:val="es-AR"/>
        </w:rPr>
      </w:pPr>
    </w:p>
    <w:p w:rsidR="00C2448E" w:rsidRPr="00862C11" w:rsidRDefault="00C2448E" w:rsidP="00C2448E">
      <w:pPr>
        <w:pStyle w:val="ListParagraph"/>
        <w:spacing w:before="120"/>
        <w:ind w:left="1080"/>
        <w:jc w:val="center"/>
        <w:rPr>
          <w:b/>
          <w:lang w:val="es-AR"/>
        </w:rPr>
      </w:pPr>
    </w:p>
    <w:p w:rsidR="00C2448E" w:rsidRPr="00862C11" w:rsidRDefault="00C2448E" w:rsidP="00C2448E">
      <w:pPr>
        <w:pStyle w:val="ListParagraph"/>
        <w:spacing w:before="120"/>
        <w:ind w:left="1080"/>
        <w:jc w:val="center"/>
        <w:rPr>
          <w:b/>
          <w:lang w:val="es-AR"/>
        </w:rPr>
      </w:pPr>
    </w:p>
    <w:p w:rsidR="00C2448E" w:rsidRPr="00862C11" w:rsidRDefault="00C2448E" w:rsidP="00C2448E">
      <w:pPr>
        <w:pStyle w:val="ListParagraph"/>
        <w:spacing w:before="120"/>
        <w:ind w:left="1080"/>
        <w:jc w:val="center"/>
        <w:rPr>
          <w:b/>
          <w:lang w:val="es-AR"/>
        </w:rPr>
      </w:pPr>
    </w:p>
    <w:p w:rsidR="00C2448E" w:rsidRPr="00862C11" w:rsidRDefault="00C2448E" w:rsidP="00C2448E">
      <w:pPr>
        <w:tabs>
          <w:tab w:val="left" w:pos="1440"/>
          <w:tab w:val="left" w:pos="3060"/>
        </w:tabs>
        <w:jc w:val="center"/>
        <w:rPr>
          <w:lang w:val="es-AR"/>
        </w:rPr>
      </w:pPr>
    </w:p>
    <w:p w:rsidR="00C2448E" w:rsidRDefault="00C2448E" w:rsidP="00C2448E">
      <w:pPr>
        <w:autoSpaceDE w:val="0"/>
        <w:autoSpaceDN w:val="0"/>
        <w:adjustRightInd w:val="0"/>
        <w:jc w:val="both"/>
        <w:rPr>
          <w:b/>
          <w:bCs/>
          <w:i/>
          <w:iCs/>
          <w:lang w:val="es-ES"/>
        </w:rPr>
        <w:sectPr w:rsidR="00C2448E" w:rsidSect="00862C11">
          <w:footerReference w:type="default" r:id="rId9"/>
          <w:pgSz w:w="12240" w:h="15840" w:code="1"/>
          <w:pgMar w:top="1440" w:right="1800" w:bottom="1440" w:left="1800" w:header="720" w:footer="432" w:gutter="0"/>
          <w:cols w:space="720"/>
          <w:vAlign w:val="both"/>
          <w:titlePg/>
          <w:docGrid w:linePitch="360"/>
        </w:sectPr>
      </w:pPr>
    </w:p>
    <w:p w:rsidR="00E938DE" w:rsidRDefault="00C2448E" w:rsidP="00600AC8">
      <w:pPr>
        <w:tabs>
          <w:tab w:val="left" w:pos="3060"/>
        </w:tabs>
        <w:jc w:val="center"/>
        <w:rPr>
          <w:rFonts w:ascii="Times New Roman Bold" w:hAnsi="Times New Roman Bold"/>
          <w:b/>
          <w:bCs/>
          <w:smallCaps/>
          <w:lang w:val="es-ES_tradnl"/>
        </w:rPr>
      </w:pPr>
      <w:r w:rsidRPr="00C2448E">
        <w:rPr>
          <w:rFonts w:ascii="Times New Roman Bold" w:hAnsi="Times New Roman Bold"/>
          <w:b/>
          <w:bCs/>
          <w:smallCaps/>
          <w:lang w:val="es-ES_tradnl"/>
        </w:rPr>
        <w:lastRenderedPageBreak/>
        <w:t xml:space="preserve">Programa de </w:t>
      </w:r>
      <w:r w:rsidR="00A94BF6">
        <w:rPr>
          <w:rFonts w:ascii="Times New Roman Bold" w:hAnsi="Times New Roman Bold"/>
          <w:b/>
          <w:bCs/>
          <w:smallCaps/>
          <w:lang w:val="es-ES_tradnl"/>
        </w:rPr>
        <w:t>Banda Ancha</w:t>
      </w:r>
    </w:p>
    <w:p w:rsidR="00C2448E" w:rsidRPr="00C2448E" w:rsidRDefault="00C2448E" w:rsidP="00600AC8">
      <w:pPr>
        <w:tabs>
          <w:tab w:val="left" w:pos="3060"/>
        </w:tabs>
        <w:jc w:val="center"/>
        <w:rPr>
          <w:rFonts w:ascii="Times New Roman Bold" w:hAnsi="Times New Roman Bold"/>
          <w:b/>
          <w:smallCaps/>
          <w:lang w:val="es-ES" w:eastAsia="pt-BR"/>
        </w:rPr>
      </w:pPr>
      <w:r>
        <w:rPr>
          <w:rFonts w:ascii="Times New Roman Bold" w:hAnsi="Times New Roman Bold"/>
          <w:b/>
          <w:bCs/>
          <w:smallCaps/>
          <w:lang w:val="es-ES"/>
        </w:rPr>
        <w:t xml:space="preserve"> </w:t>
      </w:r>
      <w:r w:rsidRPr="00C2448E">
        <w:rPr>
          <w:rFonts w:ascii="Times New Roman Bold" w:hAnsi="Times New Roman Bold"/>
          <w:b/>
          <w:bCs/>
          <w:smallCaps/>
          <w:lang w:val="es-ES"/>
        </w:rPr>
        <w:t xml:space="preserve"> </w:t>
      </w:r>
      <w:bookmarkStart w:id="1" w:name="_Toc329271481"/>
      <w:bookmarkStart w:id="2" w:name="_Toc329338481"/>
      <w:bookmarkStart w:id="3" w:name="_Toc366596096"/>
      <w:bookmarkStart w:id="4" w:name="_Toc366759151"/>
      <w:r w:rsidRPr="00C2448E">
        <w:rPr>
          <w:rFonts w:ascii="Times New Roman Bold" w:hAnsi="Times New Roman Bold"/>
          <w:b/>
          <w:smallCaps/>
          <w:lang w:val="es-ES" w:eastAsia="pt-BR"/>
        </w:rPr>
        <w:t>(</w:t>
      </w:r>
      <w:r w:rsidR="00A94BF6">
        <w:rPr>
          <w:rFonts w:ascii="Times New Roman Bold" w:hAnsi="Times New Roman Bold"/>
          <w:b/>
          <w:smallCaps/>
          <w:lang w:val="es-ES" w:eastAsia="pt-BR"/>
        </w:rPr>
        <w:t>NI</w:t>
      </w:r>
      <w:r w:rsidRPr="00C2448E">
        <w:rPr>
          <w:rFonts w:ascii="Times New Roman Bold" w:hAnsi="Times New Roman Bold"/>
          <w:b/>
          <w:smallCaps/>
          <w:lang w:val="es-ES" w:eastAsia="pt-BR"/>
        </w:rPr>
        <w:t>-L1</w:t>
      </w:r>
      <w:r w:rsidR="00A94BF6">
        <w:rPr>
          <w:rFonts w:ascii="Times New Roman Bold" w:hAnsi="Times New Roman Bold"/>
          <w:b/>
          <w:smallCaps/>
          <w:lang w:val="es-ES" w:eastAsia="pt-BR"/>
        </w:rPr>
        <w:t>090</w:t>
      </w:r>
      <w:r w:rsidRPr="00C2448E">
        <w:rPr>
          <w:rFonts w:ascii="Times New Roman Bold" w:hAnsi="Times New Roman Bold"/>
          <w:b/>
          <w:smallCaps/>
          <w:lang w:val="es-ES" w:eastAsia="pt-BR"/>
        </w:rPr>
        <w:t>)</w:t>
      </w:r>
      <w:bookmarkEnd w:id="1"/>
      <w:bookmarkEnd w:id="2"/>
      <w:bookmarkEnd w:id="3"/>
      <w:bookmarkEnd w:id="4"/>
    </w:p>
    <w:p w:rsidR="000F1306" w:rsidRPr="00C2448E" w:rsidRDefault="000F1306" w:rsidP="00600AC8">
      <w:pPr>
        <w:tabs>
          <w:tab w:val="left" w:pos="3060"/>
        </w:tabs>
        <w:jc w:val="center"/>
        <w:rPr>
          <w:rFonts w:ascii="Times New Roman Bold" w:hAnsi="Times New Roman Bold"/>
          <w:b/>
          <w:smallCaps/>
          <w:lang w:val="es-ES_tradnl"/>
        </w:rPr>
      </w:pPr>
      <w:r w:rsidRPr="00C2448E">
        <w:rPr>
          <w:rFonts w:ascii="Times New Roman Bold" w:hAnsi="Times New Roman Bold"/>
          <w:b/>
          <w:smallCaps/>
          <w:lang w:val="es-ES_tradnl"/>
        </w:rPr>
        <w:t>Análisis del Cumplimiento del Programa de con la</w:t>
      </w:r>
      <w:r w:rsidR="00C2448E" w:rsidRPr="00C2448E">
        <w:rPr>
          <w:rFonts w:ascii="Times New Roman Bold" w:hAnsi="Times New Roman Bold"/>
          <w:b/>
          <w:smallCaps/>
          <w:lang w:val="es-ES_tradnl"/>
        </w:rPr>
        <w:t xml:space="preserve"> Política de Servicios Públicos </w:t>
      </w:r>
      <w:r w:rsidRPr="00C2448E">
        <w:rPr>
          <w:rFonts w:ascii="Times New Roman Bold" w:hAnsi="Times New Roman Bold"/>
          <w:b/>
          <w:smallCaps/>
          <w:lang w:val="es-ES_tradnl"/>
        </w:rPr>
        <w:t>Domiciliarios (</w:t>
      </w:r>
      <w:r w:rsidR="00BE1B62" w:rsidRPr="00C2448E">
        <w:rPr>
          <w:rFonts w:ascii="Times New Roman Bold" w:hAnsi="Times New Roman Bold"/>
          <w:b/>
          <w:smallCaps/>
          <w:lang w:val="es-ES"/>
        </w:rPr>
        <w:t>GN-2716-4</w:t>
      </w:r>
      <w:r w:rsidRPr="00C2448E">
        <w:rPr>
          <w:rFonts w:ascii="Times New Roman Bold" w:hAnsi="Times New Roman Bold"/>
          <w:b/>
          <w:smallCaps/>
          <w:lang w:val="es-ES_tradnl"/>
        </w:rPr>
        <w:t xml:space="preserve">) del 4 de Diciembre de 2013 </w:t>
      </w:r>
    </w:p>
    <w:p w:rsidR="000F1306" w:rsidRPr="000F1306" w:rsidRDefault="000F1306" w:rsidP="000F1306">
      <w:pPr>
        <w:rPr>
          <w:lang w:val="es-ES_tradnl"/>
        </w:rPr>
      </w:pPr>
    </w:p>
    <w:tbl>
      <w:tblPr>
        <w:tblW w:w="0" w:type="auto"/>
        <w:jc w:val="center"/>
        <w:tblInd w:w="-2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9"/>
        <w:gridCol w:w="4140"/>
        <w:gridCol w:w="3966"/>
      </w:tblGrid>
      <w:tr w:rsidR="001B7D52" w:rsidRPr="000F1306" w:rsidTr="0014135C">
        <w:trPr>
          <w:jc w:val="center"/>
        </w:trPr>
        <w:tc>
          <w:tcPr>
            <w:tcW w:w="2129" w:type="dxa"/>
            <w:shd w:val="clear" w:color="auto" w:fill="C0C0C0"/>
          </w:tcPr>
          <w:p w:rsidR="001B7D52" w:rsidRPr="000F1306" w:rsidRDefault="001B7D52" w:rsidP="0014135C">
            <w:pPr>
              <w:rPr>
                <w:b/>
                <w:sz w:val="18"/>
                <w:szCs w:val="18"/>
                <w:lang w:val="es-ES_tradnl"/>
              </w:rPr>
            </w:pPr>
            <w:r>
              <w:rPr>
                <w:b/>
                <w:sz w:val="18"/>
                <w:szCs w:val="18"/>
                <w:lang w:val="es-ES_tradnl"/>
              </w:rPr>
              <w:t>Condiciones</w:t>
            </w:r>
            <w:r w:rsidRPr="000F1306">
              <w:rPr>
                <w:b/>
                <w:sz w:val="18"/>
                <w:szCs w:val="18"/>
                <w:lang w:val="es-ES_tradnl"/>
              </w:rPr>
              <w:t xml:space="preserve"> de la Política</w:t>
            </w:r>
          </w:p>
          <w:p w:rsidR="001B7D52" w:rsidRPr="000F1306" w:rsidRDefault="001B7D52" w:rsidP="0014135C">
            <w:pPr>
              <w:rPr>
                <w:b/>
                <w:sz w:val="18"/>
                <w:szCs w:val="18"/>
                <w:lang w:val="es-ES_tradnl"/>
              </w:rPr>
            </w:pPr>
          </w:p>
        </w:tc>
        <w:tc>
          <w:tcPr>
            <w:tcW w:w="4140" w:type="dxa"/>
            <w:shd w:val="clear" w:color="auto" w:fill="C0C0C0"/>
          </w:tcPr>
          <w:p w:rsidR="001B7D52" w:rsidRPr="000F1306" w:rsidRDefault="001B7D52" w:rsidP="0014135C">
            <w:pPr>
              <w:rPr>
                <w:b/>
                <w:sz w:val="18"/>
                <w:szCs w:val="18"/>
                <w:lang w:val="es-ES_tradnl"/>
              </w:rPr>
            </w:pPr>
            <w:r w:rsidRPr="000F1306">
              <w:rPr>
                <w:b/>
                <w:sz w:val="18"/>
                <w:szCs w:val="18"/>
                <w:lang w:val="es-ES_tradnl"/>
              </w:rPr>
              <w:t xml:space="preserve">Descripción </w:t>
            </w:r>
          </w:p>
        </w:tc>
        <w:tc>
          <w:tcPr>
            <w:tcW w:w="3966" w:type="dxa"/>
            <w:shd w:val="clear" w:color="auto" w:fill="C0C0C0"/>
          </w:tcPr>
          <w:p w:rsidR="001B7D52" w:rsidRPr="000F1306" w:rsidRDefault="001B7D52" w:rsidP="0014135C">
            <w:pPr>
              <w:rPr>
                <w:b/>
                <w:sz w:val="18"/>
                <w:szCs w:val="18"/>
                <w:lang w:val="es-ES_tradnl"/>
              </w:rPr>
            </w:pPr>
            <w:r w:rsidRPr="000F1306">
              <w:rPr>
                <w:b/>
                <w:sz w:val="18"/>
                <w:szCs w:val="18"/>
                <w:lang w:val="es-ES_tradnl"/>
              </w:rPr>
              <w:t>Comentarios</w:t>
            </w:r>
          </w:p>
        </w:tc>
      </w:tr>
      <w:tr w:rsidR="001B7D52" w:rsidRPr="00FB3BC5" w:rsidTr="0014135C">
        <w:trPr>
          <w:jc w:val="center"/>
        </w:trPr>
        <w:tc>
          <w:tcPr>
            <w:tcW w:w="2129" w:type="dxa"/>
            <w:shd w:val="clear" w:color="auto" w:fill="auto"/>
          </w:tcPr>
          <w:p w:rsidR="001B7D52" w:rsidRPr="000F1306" w:rsidRDefault="001B7D52" w:rsidP="001B7D52">
            <w:pPr>
              <w:rPr>
                <w:sz w:val="18"/>
                <w:szCs w:val="18"/>
                <w:lang w:val="es-ES_tradnl"/>
              </w:rPr>
            </w:pPr>
            <w:r w:rsidRPr="000F1306">
              <w:rPr>
                <w:b/>
                <w:bCs/>
                <w:sz w:val="18"/>
                <w:szCs w:val="18"/>
                <w:lang w:val="es-ES_tradnl"/>
              </w:rPr>
              <w:t>1.</w:t>
            </w:r>
            <w:r w:rsidR="000B3F4E">
              <w:rPr>
                <w:b/>
                <w:bCs/>
                <w:sz w:val="18"/>
                <w:szCs w:val="18"/>
                <w:lang w:val="es-ES_tradnl"/>
              </w:rPr>
              <w:t>1</w:t>
            </w:r>
            <w:r w:rsidRPr="000F1306">
              <w:rPr>
                <w:b/>
                <w:bCs/>
                <w:sz w:val="18"/>
                <w:szCs w:val="18"/>
                <w:lang w:val="es-ES_tradnl"/>
              </w:rPr>
              <w:t xml:space="preserve"> </w:t>
            </w:r>
            <w:r>
              <w:rPr>
                <w:b/>
                <w:bCs/>
                <w:sz w:val="18"/>
                <w:szCs w:val="18"/>
                <w:lang w:val="es-ES_tradnl"/>
              </w:rPr>
              <w:t>Sostenibilidad Financiera</w:t>
            </w:r>
          </w:p>
        </w:tc>
        <w:tc>
          <w:tcPr>
            <w:tcW w:w="4140" w:type="dxa"/>
            <w:shd w:val="clear" w:color="auto" w:fill="auto"/>
          </w:tcPr>
          <w:p w:rsidR="001B7D52" w:rsidRPr="001B7D52" w:rsidRDefault="001B7D52" w:rsidP="001B7D52">
            <w:pPr>
              <w:autoSpaceDE w:val="0"/>
              <w:autoSpaceDN w:val="0"/>
              <w:adjustRightInd w:val="0"/>
              <w:rPr>
                <w:sz w:val="18"/>
                <w:szCs w:val="18"/>
                <w:lang w:val="es-ES_tradnl"/>
              </w:rPr>
            </w:pPr>
            <w:r w:rsidRPr="001B7D52">
              <w:rPr>
                <w:rFonts w:eastAsiaTheme="minorHAnsi"/>
                <w:sz w:val="18"/>
                <w:szCs w:val="18"/>
                <w:lang w:val="es-ES_tradnl"/>
              </w:rPr>
              <w:t>Para cada operación se deberá verificar que el servicio correspondiente generará o</w:t>
            </w:r>
            <w:r>
              <w:rPr>
                <w:rFonts w:eastAsiaTheme="minorHAnsi"/>
                <w:sz w:val="18"/>
                <w:szCs w:val="18"/>
                <w:lang w:val="es-ES_tradnl"/>
              </w:rPr>
              <w:t xml:space="preserve"> </w:t>
            </w:r>
            <w:r w:rsidRPr="001B7D52">
              <w:rPr>
                <w:rFonts w:eastAsiaTheme="minorHAnsi"/>
                <w:sz w:val="18"/>
                <w:szCs w:val="18"/>
                <w:lang w:val="es-ES_tradnl"/>
              </w:rPr>
              <w:t>recibirá fondos suficientes para atender sus compromisos financieros y sufragar</w:t>
            </w:r>
            <w:r>
              <w:rPr>
                <w:rFonts w:eastAsiaTheme="minorHAnsi"/>
                <w:sz w:val="18"/>
                <w:szCs w:val="18"/>
                <w:lang w:val="es-ES_tradnl"/>
              </w:rPr>
              <w:t xml:space="preserve"> </w:t>
            </w:r>
            <w:r w:rsidRPr="001B7D52">
              <w:rPr>
                <w:rFonts w:eastAsiaTheme="minorHAnsi"/>
                <w:sz w:val="18"/>
                <w:szCs w:val="18"/>
                <w:lang w:val="es-ES_tradnl"/>
              </w:rPr>
              <w:t>los costos de operación y mantenimiento de los sistemas relacionados con la</w:t>
            </w:r>
            <w:r>
              <w:rPr>
                <w:rFonts w:eastAsiaTheme="minorHAnsi"/>
                <w:sz w:val="18"/>
                <w:szCs w:val="18"/>
                <w:lang w:val="es-ES_tradnl"/>
              </w:rPr>
              <w:t xml:space="preserve"> </w:t>
            </w:r>
            <w:r w:rsidRPr="001B7D52">
              <w:rPr>
                <w:rFonts w:eastAsiaTheme="minorHAnsi"/>
                <w:sz w:val="18"/>
                <w:szCs w:val="18"/>
                <w:lang w:val="es-ES_tradnl"/>
              </w:rPr>
              <w:t>operación.</w:t>
            </w:r>
          </w:p>
        </w:tc>
        <w:tc>
          <w:tcPr>
            <w:tcW w:w="3966" w:type="dxa"/>
            <w:shd w:val="clear" w:color="auto" w:fill="auto"/>
          </w:tcPr>
          <w:p w:rsidR="006E382A" w:rsidRDefault="00E938DE" w:rsidP="006E382A">
            <w:pPr>
              <w:jc w:val="both"/>
              <w:rPr>
                <w:sz w:val="18"/>
                <w:szCs w:val="18"/>
                <w:lang w:val="es-AR"/>
              </w:rPr>
            </w:pPr>
            <w:r w:rsidRPr="00E938DE">
              <w:rPr>
                <w:sz w:val="18"/>
                <w:szCs w:val="18"/>
                <w:lang w:val="es-ES_tradnl"/>
              </w:rPr>
              <w:t>E</w:t>
            </w:r>
            <w:r w:rsidR="00A94BF6">
              <w:rPr>
                <w:sz w:val="18"/>
                <w:szCs w:val="18"/>
                <w:lang w:val="es-ES_tradnl"/>
              </w:rPr>
              <w:t>NATREL actualmente tiene una infraestructura eléctrica sobre la que se prestarán servicios de Telecomunicaciones. En consecuencia, será responsabilidad de ENATREL todo lo relativo a la operación y mantenimiento de la red y los telecentros al objeto de garantizar la calidad de los servicios de banda ancha</w:t>
            </w:r>
            <w:r w:rsidR="00B3004C">
              <w:rPr>
                <w:sz w:val="18"/>
                <w:szCs w:val="18"/>
                <w:lang w:val="es-ES_tradnl"/>
              </w:rPr>
              <w:t xml:space="preserve">. </w:t>
            </w:r>
            <w:r w:rsidR="006E382A">
              <w:rPr>
                <w:sz w:val="18"/>
                <w:szCs w:val="18"/>
                <w:lang w:val="es-AR"/>
              </w:rPr>
              <w:t xml:space="preserve">En el marco de ese mismo proyecto </w:t>
            </w:r>
            <w:r w:rsidR="008B595C">
              <w:rPr>
                <w:sz w:val="18"/>
                <w:szCs w:val="18"/>
                <w:lang w:val="es-AR"/>
              </w:rPr>
              <w:t>(</w:t>
            </w:r>
            <w:r w:rsidR="00A94BF6">
              <w:rPr>
                <w:sz w:val="18"/>
                <w:szCs w:val="18"/>
                <w:lang w:val="es-AR"/>
              </w:rPr>
              <w:t>NI</w:t>
            </w:r>
            <w:r w:rsidR="008B595C">
              <w:rPr>
                <w:sz w:val="18"/>
                <w:szCs w:val="18"/>
                <w:lang w:val="es-AR"/>
              </w:rPr>
              <w:t>-L1</w:t>
            </w:r>
            <w:r w:rsidR="00A94BF6">
              <w:rPr>
                <w:sz w:val="18"/>
                <w:szCs w:val="18"/>
                <w:lang w:val="es-AR"/>
              </w:rPr>
              <w:t>090</w:t>
            </w:r>
            <w:r w:rsidR="008B595C">
              <w:rPr>
                <w:sz w:val="18"/>
                <w:szCs w:val="18"/>
                <w:lang w:val="es-AR"/>
              </w:rPr>
              <w:t xml:space="preserve">) </w:t>
            </w:r>
            <w:r w:rsidR="006E382A">
              <w:rPr>
                <w:sz w:val="18"/>
                <w:szCs w:val="18"/>
                <w:lang w:val="es-AR"/>
              </w:rPr>
              <w:t xml:space="preserve">se </w:t>
            </w:r>
            <w:r w:rsidR="00A94BF6">
              <w:rPr>
                <w:sz w:val="18"/>
                <w:szCs w:val="18"/>
                <w:lang w:val="es-AR"/>
              </w:rPr>
              <w:t xml:space="preserve">revisará el marco regulador y los precios de los distintos servicios que se prestarán sobre dichas infraestructuras garantizando en todo caso la recuperación de los </w:t>
            </w:r>
            <w:r w:rsidR="006E382A" w:rsidRPr="006E382A">
              <w:rPr>
                <w:sz w:val="18"/>
                <w:szCs w:val="18"/>
                <w:lang w:val="es-AR"/>
              </w:rPr>
              <w:t>costos en el largo plazo.</w:t>
            </w:r>
          </w:p>
          <w:p w:rsidR="00A94BF6" w:rsidRDefault="00A94BF6" w:rsidP="006E382A">
            <w:pPr>
              <w:jc w:val="both"/>
              <w:rPr>
                <w:sz w:val="18"/>
                <w:szCs w:val="18"/>
                <w:lang w:val="es-AR"/>
              </w:rPr>
            </w:pPr>
          </w:p>
          <w:p w:rsidR="00A94BF6" w:rsidRPr="00A94BF6" w:rsidRDefault="00A94BF6" w:rsidP="006E382A">
            <w:pPr>
              <w:jc w:val="both"/>
              <w:rPr>
                <w:sz w:val="18"/>
                <w:szCs w:val="18"/>
                <w:lang w:val="es-AR"/>
              </w:rPr>
            </w:pPr>
            <w:r>
              <w:rPr>
                <w:sz w:val="18"/>
                <w:szCs w:val="18"/>
                <w:lang w:val="es-AR"/>
              </w:rPr>
              <w:t xml:space="preserve">Asimismo, como parte de las acciones del Fondo de Inversión de telecomunicaciones que gestiona TELCOR se garantizará la sostenibilidad de las soluciones que se diseñen en el marco del componente III para los sectores de agricultura y salud. Dicho Fondo cuenta con aportaciones anuales de los operadores de Telecomunicaciones y ha venido realizando </w:t>
            </w:r>
            <w:r w:rsidRPr="00A94BF6">
              <w:rPr>
                <w:sz w:val="18"/>
                <w:szCs w:val="18"/>
                <w:lang w:val="es-AR"/>
              </w:rPr>
              <w:t>esfuerzos significativos para fomentar e incentivar la participación de los operadores privados de telecomunicaciones en la prestación de servicios de telecomunicaciones y TIC al sector rural del país.</w:t>
            </w:r>
          </w:p>
          <w:p w:rsidR="001B7D52" w:rsidRPr="00B3004C" w:rsidRDefault="001B7D52" w:rsidP="000942AB">
            <w:pPr>
              <w:jc w:val="both"/>
              <w:rPr>
                <w:sz w:val="18"/>
                <w:szCs w:val="18"/>
                <w:highlight w:val="yellow"/>
                <w:lang w:val="es-AR"/>
              </w:rPr>
            </w:pPr>
          </w:p>
        </w:tc>
      </w:tr>
      <w:tr w:rsidR="004D1DA8" w:rsidRPr="00FB3BC5" w:rsidTr="0014135C">
        <w:trPr>
          <w:jc w:val="center"/>
        </w:trPr>
        <w:tc>
          <w:tcPr>
            <w:tcW w:w="2129" w:type="dxa"/>
            <w:shd w:val="clear" w:color="auto" w:fill="auto"/>
          </w:tcPr>
          <w:p w:rsidR="004D1DA8" w:rsidRPr="000F1306" w:rsidRDefault="000B3F4E" w:rsidP="001B7D52">
            <w:pPr>
              <w:rPr>
                <w:sz w:val="18"/>
                <w:szCs w:val="18"/>
                <w:lang w:val="es-ES_tradnl"/>
              </w:rPr>
            </w:pPr>
            <w:r>
              <w:rPr>
                <w:b/>
                <w:bCs/>
                <w:sz w:val="18"/>
                <w:szCs w:val="18"/>
                <w:lang w:val="es-ES_tradnl"/>
              </w:rPr>
              <w:t>1.</w:t>
            </w:r>
            <w:r w:rsidR="004D1DA8" w:rsidRPr="000F1306">
              <w:rPr>
                <w:b/>
                <w:bCs/>
                <w:sz w:val="18"/>
                <w:szCs w:val="18"/>
                <w:lang w:val="es-ES_tradnl"/>
              </w:rPr>
              <w:t xml:space="preserve">2. </w:t>
            </w:r>
            <w:r w:rsidR="004D1DA8">
              <w:rPr>
                <w:b/>
                <w:bCs/>
                <w:sz w:val="18"/>
                <w:szCs w:val="18"/>
                <w:lang w:val="es-ES_tradnl"/>
              </w:rPr>
              <w:t>Evaluación Económica</w:t>
            </w:r>
          </w:p>
        </w:tc>
        <w:tc>
          <w:tcPr>
            <w:tcW w:w="4140" w:type="dxa"/>
            <w:shd w:val="clear" w:color="auto" w:fill="auto"/>
          </w:tcPr>
          <w:p w:rsidR="004D1DA8" w:rsidRPr="000F1306" w:rsidRDefault="00A9123E" w:rsidP="00A94BF6">
            <w:pPr>
              <w:rPr>
                <w:sz w:val="18"/>
                <w:szCs w:val="18"/>
                <w:lang w:val="es-ES_tradnl"/>
              </w:rPr>
            </w:pPr>
            <w:r w:rsidRPr="00A9123E">
              <w:rPr>
                <w:sz w:val="18"/>
                <w:szCs w:val="18"/>
                <w:lang w:val="es-ES_tradnl"/>
              </w:rPr>
              <w:t>Los proyectos de servicios públicos domiciliarios deberán ser económicamente rentables [de acuerdo a las metodologías de evaluación costo beneficio y costo efectividad utilizadas y aceptadas por e</w:t>
            </w:r>
            <w:r w:rsidR="00A94BF6">
              <w:rPr>
                <w:sz w:val="18"/>
                <w:szCs w:val="18"/>
                <w:lang w:val="es-ES_tradnl"/>
              </w:rPr>
              <w:t>l</w:t>
            </w:r>
            <w:r w:rsidRPr="00A9123E">
              <w:rPr>
                <w:sz w:val="18"/>
                <w:szCs w:val="18"/>
                <w:lang w:val="es-ES_tradnl"/>
              </w:rPr>
              <w:t xml:space="preserve"> Banco.]</w:t>
            </w:r>
          </w:p>
        </w:tc>
        <w:tc>
          <w:tcPr>
            <w:tcW w:w="3966" w:type="dxa"/>
            <w:shd w:val="clear" w:color="auto" w:fill="auto"/>
          </w:tcPr>
          <w:p w:rsidR="004D1DA8" w:rsidRPr="006E382A" w:rsidRDefault="006E382A" w:rsidP="00FB3BC5">
            <w:pPr>
              <w:jc w:val="both"/>
              <w:rPr>
                <w:sz w:val="18"/>
                <w:szCs w:val="18"/>
                <w:highlight w:val="yellow"/>
                <w:lang w:val="es-ES"/>
              </w:rPr>
            </w:pPr>
            <w:r w:rsidRPr="006E382A">
              <w:rPr>
                <w:sz w:val="18"/>
                <w:szCs w:val="18"/>
                <w:lang w:val="es-AR"/>
              </w:rPr>
              <w:t xml:space="preserve">Para la evaluación económica del Programa se realizó un análisis costo-beneficio </w:t>
            </w:r>
            <w:r w:rsidR="00A94BF6">
              <w:rPr>
                <w:sz w:val="18"/>
                <w:szCs w:val="18"/>
                <w:lang w:val="es-AR"/>
              </w:rPr>
              <w:t>teniendo en cuenta el impacto en hogares y empresas</w:t>
            </w:r>
            <w:r w:rsidRPr="006E382A">
              <w:rPr>
                <w:sz w:val="18"/>
                <w:szCs w:val="18"/>
                <w:lang w:val="es-AR"/>
              </w:rPr>
              <w:t xml:space="preserve"> (</w:t>
            </w:r>
            <w:r w:rsidRPr="00FB3BC5">
              <w:rPr>
                <w:sz w:val="18"/>
                <w:szCs w:val="18"/>
                <w:lang w:val="es-AR"/>
              </w:rPr>
              <w:t xml:space="preserve">ver </w:t>
            </w:r>
            <w:r w:rsidR="00A94BF6" w:rsidRPr="00FB3BC5">
              <w:rPr>
                <w:sz w:val="18"/>
                <w:szCs w:val="18"/>
                <w:lang w:val="es-AR"/>
              </w:rPr>
              <w:t>link</w:t>
            </w:r>
            <w:r w:rsidR="00FB3BC5" w:rsidRPr="00FB3BC5">
              <w:rPr>
                <w:sz w:val="18"/>
                <w:szCs w:val="18"/>
                <w:lang w:val="es-AR"/>
              </w:rPr>
              <w:t>:</w:t>
            </w:r>
            <w:r w:rsidR="00A94BF6" w:rsidRPr="00FB3BC5">
              <w:rPr>
                <w:sz w:val="18"/>
                <w:szCs w:val="18"/>
                <w:lang w:val="es-AR"/>
              </w:rPr>
              <w:t xml:space="preserve">a </w:t>
            </w:r>
            <w:hyperlink r:id="rId10" w:history="1">
              <w:r w:rsidR="00A94BF6" w:rsidRPr="00FB3BC5">
                <w:rPr>
                  <w:rStyle w:val="Hyperlink"/>
                  <w:sz w:val="18"/>
                  <w:szCs w:val="18"/>
                  <w:lang w:val="es-AR"/>
                </w:rPr>
                <w:t>ACB</w:t>
              </w:r>
            </w:hyperlink>
            <w:r w:rsidRPr="006E382A">
              <w:rPr>
                <w:sz w:val="18"/>
                <w:szCs w:val="18"/>
                <w:lang w:val="es-AR"/>
              </w:rPr>
              <w:t>).</w:t>
            </w:r>
            <w:r>
              <w:rPr>
                <w:lang w:val="es-AR"/>
              </w:rPr>
              <w:t xml:space="preserve"> </w:t>
            </w:r>
            <w:r w:rsidRPr="006E382A">
              <w:rPr>
                <w:sz w:val="18"/>
                <w:szCs w:val="18"/>
                <w:lang w:val="es-AR"/>
              </w:rPr>
              <w:t>El análisis realizado sobre la muestra, utilizando una tasa de descuento del 12% y un horizon</w:t>
            </w:r>
            <w:bookmarkStart w:id="5" w:name="_GoBack"/>
            <w:bookmarkEnd w:id="5"/>
            <w:r w:rsidRPr="006E382A">
              <w:rPr>
                <w:sz w:val="18"/>
                <w:szCs w:val="18"/>
                <w:lang w:val="es-AR"/>
              </w:rPr>
              <w:t xml:space="preserve">te de evaluación de </w:t>
            </w:r>
            <w:r w:rsidR="00A94BF6">
              <w:rPr>
                <w:sz w:val="18"/>
                <w:szCs w:val="18"/>
                <w:lang w:val="es-AR"/>
              </w:rPr>
              <w:t>10</w:t>
            </w:r>
            <w:r w:rsidRPr="006E382A">
              <w:rPr>
                <w:sz w:val="18"/>
                <w:szCs w:val="18"/>
                <w:lang w:val="es-AR"/>
              </w:rPr>
              <w:t xml:space="preserve"> años, arrojó un valor actual neto (VAN) positivo, equivalente a US$ </w:t>
            </w:r>
            <w:r w:rsidR="00A94BF6">
              <w:rPr>
                <w:sz w:val="18"/>
                <w:szCs w:val="18"/>
                <w:lang w:val="es-AR"/>
              </w:rPr>
              <w:t>24</w:t>
            </w:r>
            <w:r w:rsidRPr="006E382A">
              <w:rPr>
                <w:sz w:val="18"/>
                <w:szCs w:val="18"/>
                <w:lang w:val="es-AR"/>
              </w:rPr>
              <w:t>,</w:t>
            </w:r>
            <w:r w:rsidR="00A94BF6">
              <w:rPr>
                <w:sz w:val="18"/>
                <w:szCs w:val="18"/>
                <w:lang w:val="es-AR"/>
              </w:rPr>
              <w:t>34</w:t>
            </w:r>
            <w:r w:rsidRPr="006E382A">
              <w:rPr>
                <w:sz w:val="18"/>
                <w:szCs w:val="18"/>
                <w:lang w:val="es-AR"/>
              </w:rPr>
              <w:t xml:space="preserve"> millones, y una Tasa Interna de Retorno Económico (TIRE) del </w:t>
            </w:r>
            <w:r w:rsidR="00A94BF6">
              <w:rPr>
                <w:sz w:val="18"/>
                <w:szCs w:val="18"/>
                <w:lang w:val="es-AR"/>
              </w:rPr>
              <w:t>21</w:t>
            </w:r>
            <w:r w:rsidRPr="006E382A">
              <w:rPr>
                <w:sz w:val="18"/>
                <w:szCs w:val="18"/>
                <w:lang w:val="es-AR"/>
              </w:rPr>
              <w:t>,</w:t>
            </w:r>
            <w:r w:rsidR="00A94BF6">
              <w:rPr>
                <w:sz w:val="18"/>
                <w:szCs w:val="18"/>
                <w:lang w:val="es-AR"/>
              </w:rPr>
              <w:t>0</w:t>
            </w:r>
            <w:r w:rsidRPr="006E382A">
              <w:rPr>
                <w:sz w:val="18"/>
                <w:szCs w:val="18"/>
                <w:lang w:val="es-AR"/>
              </w:rPr>
              <w:t xml:space="preserve">%. Adicionalmente, el análisis </w:t>
            </w:r>
            <w:r w:rsidR="00160A7E">
              <w:rPr>
                <w:sz w:val="18"/>
                <w:szCs w:val="18"/>
                <w:lang w:val="es-AR"/>
              </w:rPr>
              <w:t xml:space="preserve">costo beneficio realizó un análisis </w:t>
            </w:r>
            <w:r w:rsidRPr="006E382A">
              <w:rPr>
                <w:sz w:val="18"/>
                <w:szCs w:val="18"/>
                <w:lang w:val="es-AR"/>
              </w:rPr>
              <w:t xml:space="preserve">de sensibilidad </w:t>
            </w:r>
            <w:r w:rsidR="00160A7E">
              <w:rPr>
                <w:sz w:val="18"/>
                <w:szCs w:val="18"/>
                <w:lang w:val="es-AR"/>
              </w:rPr>
              <w:t xml:space="preserve">a variaciones a distintas variables relativas al comportamiento de la demanda, los precios y la estructura de costos. </w:t>
            </w:r>
          </w:p>
        </w:tc>
      </w:tr>
    </w:tbl>
    <w:p w:rsidR="004F5CD3" w:rsidRPr="00A82B28" w:rsidRDefault="004F5CD3">
      <w:pPr>
        <w:rPr>
          <w:lang w:val="es-ES_tradnl"/>
        </w:rPr>
      </w:pPr>
      <w:r w:rsidRPr="00A82B28">
        <w:rPr>
          <w:lang w:val="es-ES_tradnl"/>
        </w:rPr>
        <w:br w:type="page"/>
      </w:r>
    </w:p>
    <w:tbl>
      <w:tblPr>
        <w:tblW w:w="0" w:type="auto"/>
        <w:jc w:val="center"/>
        <w:tblInd w:w="-2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9"/>
        <w:gridCol w:w="4140"/>
        <w:gridCol w:w="3966"/>
      </w:tblGrid>
      <w:tr w:rsidR="000F1306" w:rsidRPr="000F1306" w:rsidTr="00DE58E8">
        <w:trPr>
          <w:jc w:val="center"/>
        </w:trPr>
        <w:tc>
          <w:tcPr>
            <w:tcW w:w="2129" w:type="dxa"/>
            <w:shd w:val="clear" w:color="auto" w:fill="C0C0C0"/>
          </w:tcPr>
          <w:p w:rsidR="000F1306" w:rsidRPr="000F1306" w:rsidRDefault="000F1306" w:rsidP="000F1306">
            <w:pPr>
              <w:rPr>
                <w:b/>
                <w:sz w:val="18"/>
                <w:szCs w:val="18"/>
                <w:lang w:val="es-ES_tradnl"/>
              </w:rPr>
            </w:pPr>
            <w:r w:rsidRPr="000F1306">
              <w:rPr>
                <w:b/>
                <w:sz w:val="18"/>
                <w:szCs w:val="18"/>
                <w:lang w:val="es-ES_tradnl"/>
              </w:rPr>
              <w:lastRenderedPageBreak/>
              <w:t>Objetivos de la Política</w:t>
            </w:r>
          </w:p>
          <w:p w:rsidR="000F1306" w:rsidRPr="000F1306" w:rsidRDefault="000F1306" w:rsidP="000F1306">
            <w:pPr>
              <w:rPr>
                <w:b/>
                <w:sz w:val="18"/>
                <w:szCs w:val="18"/>
                <w:lang w:val="es-ES_tradnl"/>
              </w:rPr>
            </w:pPr>
          </w:p>
        </w:tc>
        <w:tc>
          <w:tcPr>
            <w:tcW w:w="4140" w:type="dxa"/>
            <w:shd w:val="clear" w:color="auto" w:fill="C0C0C0"/>
          </w:tcPr>
          <w:p w:rsidR="000F1306" w:rsidRPr="000F1306" w:rsidRDefault="000F1306" w:rsidP="000F1306">
            <w:pPr>
              <w:rPr>
                <w:b/>
                <w:sz w:val="18"/>
                <w:szCs w:val="18"/>
                <w:lang w:val="es-ES_tradnl"/>
              </w:rPr>
            </w:pPr>
            <w:r w:rsidRPr="000F1306">
              <w:rPr>
                <w:b/>
                <w:sz w:val="18"/>
                <w:szCs w:val="18"/>
                <w:lang w:val="es-ES_tradnl"/>
              </w:rPr>
              <w:t xml:space="preserve">Descripción </w:t>
            </w:r>
          </w:p>
        </w:tc>
        <w:tc>
          <w:tcPr>
            <w:tcW w:w="3966" w:type="dxa"/>
            <w:shd w:val="clear" w:color="auto" w:fill="C0C0C0"/>
          </w:tcPr>
          <w:p w:rsidR="000F1306" w:rsidRPr="000F1306" w:rsidRDefault="000F1306" w:rsidP="000F1306">
            <w:pPr>
              <w:rPr>
                <w:b/>
                <w:sz w:val="18"/>
                <w:szCs w:val="18"/>
                <w:lang w:val="es-ES_tradnl"/>
              </w:rPr>
            </w:pPr>
            <w:r w:rsidRPr="000F1306">
              <w:rPr>
                <w:b/>
                <w:sz w:val="18"/>
                <w:szCs w:val="18"/>
                <w:lang w:val="es-ES_tradnl"/>
              </w:rPr>
              <w:t>Comentarios</w:t>
            </w:r>
          </w:p>
        </w:tc>
      </w:tr>
      <w:tr w:rsidR="000F1306" w:rsidRPr="00FB3BC5" w:rsidTr="00FE7740">
        <w:trPr>
          <w:jc w:val="center"/>
        </w:trPr>
        <w:tc>
          <w:tcPr>
            <w:tcW w:w="2129" w:type="dxa"/>
            <w:shd w:val="clear" w:color="auto" w:fill="auto"/>
          </w:tcPr>
          <w:p w:rsidR="000F1306" w:rsidRPr="000F1306" w:rsidRDefault="000B3F4E" w:rsidP="000F1306">
            <w:pPr>
              <w:rPr>
                <w:sz w:val="18"/>
                <w:szCs w:val="18"/>
                <w:lang w:val="es-ES_tradnl"/>
              </w:rPr>
            </w:pPr>
            <w:r>
              <w:rPr>
                <w:b/>
                <w:bCs/>
                <w:sz w:val="18"/>
                <w:szCs w:val="18"/>
                <w:lang w:val="es-ES_tradnl"/>
              </w:rPr>
              <w:t>2.</w:t>
            </w:r>
            <w:r w:rsidR="000F1306" w:rsidRPr="000F1306">
              <w:rPr>
                <w:b/>
                <w:bCs/>
                <w:sz w:val="18"/>
                <w:szCs w:val="18"/>
                <w:lang w:val="es-ES_tradnl"/>
              </w:rPr>
              <w:t>1. Fomentar el Acceso</w:t>
            </w:r>
          </w:p>
        </w:tc>
        <w:tc>
          <w:tcPr>
            <w:tcW w:w="4140" w:type="dxa"/>
            <w:shd w:val="clear" w:color="auto" w:fill="auto"/>
          </w:tcPr>
          <w:p w:rsidR="000F1306" w:rsidRPr="000F1306" w:rsidRDefault="000F1306" w:rsidP="000F1306">
            <w:pPr>
              <w:rPr>
                <w:sz w:val="18"/>
                <w:szCs w:val="18"/>
                <w:lang w:val="es-ES_tradnl"/>
              </w:rPr>
            </w:pPr>
            <w:r w:rsidRPr="000F1306">
              <w:rPr>
                <w:sz w:val="18"/>
                <w:szCs w:val="18"/>
                <w:lang w:val="es-ES_tradnl"/>
              </w:rPr>
              <w:t xml:space="preserve">Las políticas deben promover el acceso a todos los usuarios, especialmente a las comunidades y grupos  más desfavorecidos. </w:t>
            </w:r>
          </w:p>
        </w:tc>
        <w:tc>
          <w:tcPr>
            <w:tcW w:w="3966" w:type="dxa"/>
            <w:tcBorders>
              <w:bottom w:val="single" w:sz="4" w:space="0" w:color="auto"/>
            </w:tcBorders>
            <w:shd w:val="clear" w:color="auto" w:fill="auto"/>
          </w:tcPr>
          <w:p w:rsidR="000F1306" w:rsidRPr="00E62F16" w:rsidRDefault="00422879" w:rsidP="00160A7E">
            <w:pPr>
              <w:jc w:val="both"/>
              <w:rPr>
                <w:sz w:val="18"/>
                <w:szCs w:val="18"/>
                <w:highlight w:val="yellow"/>
                <w:lang w:val="es-AR"/>
              </w:rPr>
            </w:pPr>
            <w:r>
              <w:rPr>
                <w:sz w:val="18"/>
                <w:lang w:val="es-ES_tradnl"/>
              </w:rPr>
              <w:t xml:space="preserve">El </w:t>
            </w:r>
            <w:r w:rsidR="00160A7E">
              <w:rPr>
                <w:sz w:val="18"/>
                <w:lang w:val="es-ES_tradnl"/>
              </w:rPr>
              <w:t xml:space="preserve">proyecto se centra en prestar servicios de banda ancha a aquellas municipalidades con menores tasas de penetración de banda ancha y donde existe una situación de reducida competencia, lo que afecta directamente al precio de los servicios pagados por los usuarios. En consecuencia, a través del proyecto se mejorarán las condiciones de conectividad de los usuarios (ciudadanos y empresas) ubicados en estas municipalidades contribuyendo así a una reducción de la brecha digital. </w:t>
            </w:r>
          </w:p>
        </w:tc>
      </w:tr>
      <w:tr w:rsidR="000F1306" w:rsidRPr="00FB3BC5" w:rsidTr="00DE58E8">
        <w:trPr>
          <w:jc w:val="center"/>
        </w:trPr>
        <w:tc>
          <w:tcPr>
            <w:tcW w:w="2129" w:type="dxa"/>
            <w:shd w:val="clear" w:color="auto" w:fill="auto"/>
          </w:tcPr>
          <w:p w:rsidR="000F1306" w:rsidRPr="000F1306" w:rsidRDefault="000F1306" w:rsidP="000F1306">
            <w:pPr>
              <w:rPr>
                <w:sz w:val="18"/>
                <w:szCs w:val="18"/>
                <w:lang w:val="es-ES_tradnl"/>
              </w:rPr>
            </w:pPr>
            <w:r w:rsidRPr="000F1306">
              <w:rPr>
                <w:b/>
                <w:bCs/>
                <w:sz w:val="18"/>
                <w:szCs w:val="18"/>
                <w:lang w:val="es-ES_tradnl"/>
              </w:rPr>
              <w:t>2.</w:t>
            </w:r>
            <w:r w:rsidR="000B3F4E">
              <w:rPr>
                <w:b/>
                <w:bCs/>
                <w:sz w:val="18"/>
                <w:szCs w:val="18"/>
                <w:lang w:val="es-ES_tradnl"/>
              </w:rPr>
              <w:t>2</w:t>
            </w:r>
            <w:r w:rsidRPr="000F1306">
              <w:rPr>
                <w:b/>
                <w:bCs/>
                <w:sz w:val="18"/>
                <w:szCs w:val="18"/>
                <w:lang w:val="es-ES_tradnl"/>
              </w:rPr>
              <w:t xml:space="preserve"> Suministrar el acceso al servicio en condiciones de confiabilidad y calidad adecuadas</w:t>
            </w:r>
          </w:p>
        </w:tc>
        <w:tc>
          <w:tcPr>
            <w:tcW w:w="4140" w:type="dxa"/>
            <w:shd w:val="clear" w:color="auto" w:fill="auto"/>
          </w:tcPr>
          <w:p w:rsidR="000F1306" w:rsidRPr="000F1306" w:rsidRDefault="000F1306" w:rsidP="000F1306">
            <w:pPr>
              <w:rPr>
                <w:sz w:val="18"/>
                <w:szCs w:val="18"/>
                <w:lang w:val="es-ES_tradnl"/>
              </w:rPr>
            </w:pPr>
            <w:r w:rsidRPr="000F1306">
              <w:rPr>
                <w:sz w:val="18"/>
                <w:szCs w:val="18"/>
                <w:lang w:val="es-ES_tradnl"/>
              </w:rPr>
              <w:t>Es importante asegurar que las variaciones de costo guarden un equilibrio apropiado con los cambios en la calidad del servicio. Este equilibrio sólo puede obtenerse mediante una estricta reglamentación de la calidad del servicio. El marco reglamentario debe contener procedimientos mediante los cuales se definan claramente las normas de calidad y se  controlen y hagan cumplir por medio de un sistema de sanciones e incentivos.</w:t>
            </w:r>
          </w:p>
        </w:tc>
        <w:tc>
          <w:tcPr>
            <w:tcW w:w="3966" w:type="dxa"/>
            <w:shd w:val="clear" w:color="auto" w:fill="auto"/>
          </w:tcPr>
          <w:p w:rsidR="000F1306" w:rsidRPr="000F1306" w:rsidRDefault="00153BCF" w:rsidP="00160A7E">
            <w:pPr>
              <w:jc w:val="both"/>
              <w:rPr>
                <w:sz w:val="18"/>
                <w:szCs w:val="18"/>
                <w:highlight w:val="yellow"/>
                <w:lang w:val="es-ES_tradnl"/>
              </w:rPr>
            </w:pPr>
            <w:r>
              <w:rPr>
                <w:sz w:val="18"/>
                <w:szCs w:val="18"/>
                <w:lang w:val="es-ES_tradnl"/>
              </w:rPr>
              <w:t xml:space="preserve">El </w:t>
            </w:r>
            <w:r w:rsidR="00160A7E">
              <w:rPr>
                <w:sz w:val="18"/>
                <w:szCs w:val="18"/>
                <w:lang w:val="es-ES_tradnl"/>
              </w:rPr>
              <w:t>órgano Regulador TELCOR actualmente tiene un reglamento especifico en materia de calidad de servicio y además de la revisión del mismo en el marco del componente 2 se espera desarrollar una oferta de referencia que incluya las condiciones técnicas, económicas y legales asociadas a la prestación del servicio</w:t>
            </w:r>
            <w:r>
              <w:rPr>
                <w:sz w:val="18"/>
                <w:szCs w:val="18"/>
                <w:lang w:val="es-ES_tradnl"/>
              </w:rPr>
              <w:t>.</w:t>
            </w:r>
          </w:p>
        </w:tc>
      </w:tr>
      <w:tr w:rsidR="000F1306" w:rsidRPr="00FB3BC5" w:rsidTr="00DE58E8">
        <w:trPr>
          <w:jc w:val="center"/>
        </w:trPr>
        <w:tc>
          <w:tcPr>
            <w:tcW w:w="2129" w:type="dxa"/>
            <w:shd w:val="clear" w:color="auto" w:fill="auto"/>
          </w:tcPr>
          <w:p w:rsidR="000F1306" w:rsidRPr="000F1306" w:rsidRDefault="000B3F4E" w:rsidP="000F1306">
            <w:pPr>
              <w:rPr>
                <w:b/>
                <w:bCs/>
                <w:sz w:val="18"/>
                <w:szCs w:val="18"/>
                <w:lang w:val="es-ES_tradnl"/>
              </w:rPr>
            </w:pPr>
            <w:r>
              <w:rPr>
                <w:b/>
                <w:bCs/>
                <w:sz w:val="18"/>
                <w:szCs w:val="18"/>
                <w:lang w:val="es-ES_tradnl"/>
              </w:rPr>
              <w:t>2.</w:t>
            </w:r>
            <w:r w:rsidR="000F1306" w:rsidRPr="000F1306">
              <w:rPr>
                <w:b/>
                <w:bCs/>
                <w:sz w:val="18"/>
                <w:szCs w:val="18"/>
                <w:lang w:val="es-ES_tradnl"/>
              </w:rPr>
              <w:t>3. Suministrar un servicio en condiciones de eficiencia</w:t>
            </w:r>
          </w:p>
        </w:tc>
        <w:tc>
          <w:tcPr>
            <w:tcW w:w="4140" w:type="dxa"/>
            <w:shd w:val="clear" w:color="auto" w:fill="auto"/>
          </w:tcPr>
          <w:p w:rsidR="000F1306" w:rsidRPr="000F1306" w:rsidRDefault="000F1306" w:rsidP="000F1306">
            <w:pPr>
              <w:rPr>
                <w:sz w:val="18"/>
                <w:szCs w:val="18"/>
                <w:lang w:val="es-ES_tradnl"/>
              </w:rPr>
            </w:pPr>
            <w:r w:rsidRPr="000F1306">
              <w:rPr>
                <w:sz w:val="18"/>
                <w:szCs w:val="18"/>
                <w:lang w:val="es-ES_tradnl"/>
              </w:rPr>
              <w:t>Debe asegurarse que, desde el punto de vista de la oferta, los servicios se proveen con los menores costos posibles.</w:t>
            </w:r>
          </w:p>
        </w:tc>
        <w:tc>
          <w:tcPr>
            <w:tcW w:w="3966" w:type="dxa"/>
            <w:shd w:val="clear" w:color="auto" w:fill="auto"/>
          </w:tcPr>
          <w:p w:rsidR="000F1306" w:rsidRPr="00B90497" w:rsidRDefault="00B90497" w:rsidP="00E62F16">
            <w:pPr>
              <w:jc w:val="both"/>
              <w:rPr>
                <w:sz w:val="18"/>
                <w:szCs w:val="18"/>
                <w:lang w:val="es-ES_tradnl"/>
              </w:rPr>
            </w:pPr>
            <w:r>
              <w:rPr>
                <w:sz w:val="18"/>
                <w:szCs w:val="18"/>
                <w:lang w:val="es-ES_tradnl"/>
              </w:rPr>
              <w:t>Durante el diseño de t</w:t>
            </w:r>
            <w:r w:rsidRPr="00B90497">
              <w:rPr>
                <w:sz w:val="18"/>
                <w:szCs w:val="18"/>
                <w:lang w:val="es-ES_tradnl"/>
              </w:rPr>
              <w:t>odos los proyectos</w:t>
            </w:r>
            <w:r w:rsidR="00153BCF">
              <w:rPr>
                <w:sz w:val="18"/>
                <w:szCs w:val="18"/>
                <w:lang w:val="es-ES_tradnl"/>
              </w:rPr>
              <w:t xml:space="preserve"> analizados en la muestra</w:t>
            </w:r>
            <w:r>
              <w:rPr>
                <w:sz w:val="18"/>
                <w:szCs w:val="18"/>
                <w:lang w:val="es-ES_tradnl"/>
              </w:rPr>
              <w:t>, se ha verificado que se ha realizado un análisis de alternativas que ha permitido identificar la de mínimo costo, lo que asegura la provisión de los servicios mediante la nueva infraestructura bajo esta condición.</w:t>
            </w:r>
            <w:r w:rsidR="00153BCF">
              <w:rPr>
                <w:sz w:val="18"/>
                <w:szCs w:val="18"/>
                <w:lang w:val="es-ES_tradnl"/>
              </w:rPr>
              <w:t xml:space="preserve"> Este análisis se efectúa para todos los proyectos elegibles del programa. </w:t>
            </w:r>
          </w:p>
        </w:tc>
      </w:tr>
      <w:tr w:rsidR="000F1306" w:rsidRPr="00FB3BC5" w:rsidTr="007B7A43">
        <w:trPr>
          <w:jc w:val="center"/>
        </w:trPr>
        <w:tc>
          <w:tcPr>
            <w:tcW w:w="2129" w:type="dxa"/>
            <w:shd w:val="clear" w:color="auto" w:fill="auto"/>
          </w:tcPr>
          <w:p w:rsidR="000F1306" w:rsidRPr="000F1306" w:rsidRDefault="000B3F4E" w:rsidP="000F1306">
            <w:pPr>
              <w:rPr>
                <w:b/>
                <w:bCs/>
                <w:sz w:val="18"/>
                <w:szCs w:val="18"/>
                <w:lang w:val="es-ES_tradnl"/>
              </w:rPr>
            </w:pPr>
            <w:r>
              <w:rPr>
                <w:b/>
                <w:bCs/>
                <w:sz w:val="18"/>
                <w:szCs w:val="18"/>
                <w:lang w:val="es-ES_tradnl"/>
              </w:rPr>
              <w:t>2.</w:t>
            </w:r>
            <w:r w:rsidR="000F1306" w:rsidRPr="000F1306">
              <w:rPr>
                <w:b/>
                <w:bCs/>
                <w:sz w:val="18"/>
                <w:szCs w:val="18"/>
                <w:lang w:val="es-ES_tradnl"/>
              </w:rPr>
              <w:t>4. Generar incentivos adecuados a la demanda de servicios.</w:t>
            </w:r>
          </w:p>
        </w:tc>
        <w:tc>
          <w:tcPr>
            <w:tcW w:w="4140" w:type="dxa"/>
            <w:shd w:val="clear" w:color="auto" w:fill="auto"/>
          </w:tcPr>
          <w:p w:rsidR="000F1306" w:rsidRPr="000F1306" w:rsidRDefault="000F1306" w:rsidP="000F1306">
            <w:pPr>
              <w:rPr>
                <w:sz w:val="18"/>
                <w:szCs w:val="18"/>
                <w:lang w:val="es-ES_tradnl"/>
              </w:rPr>
            </w:pPr>
            <w:r w:rsidRPr="000F1306">
              <w:rPr>
                <w:sz w:val="18"/>
                <w:szCs w:val="18"/>
                <w:lang w:val="es-ES_tradnl"/>
              </w:rPr>
              <w:t>Debe velarse porque existan los incentivos adecuados para que los usuarios hagan un uso de estos servicios compatible con su sostenibilidad económica, financiera y ambiental</w:t>
            </w:r>
          </w:p>
        </w:tc>
        <w:tc>
          <w:tcPr>
            <w:tcW w:w="3966" w:type="dxa"/>
            <w:shd w:val="clear" w:color="auto" w:fill="auto"/>
          </w:tcPr>
          <w:p w:rsidR="00160A7E" w:rsidRDefault="00153BCF" w:rsidP="00160A7E">
            <w:pPr>
              <w:jc w:val="both"/>
              <w:rPr>
                <w:sz w:val="18"/>
                <w:szCs w:val="18"/>
                <w:lang w:val="es-ES_tradnl"/>
              </w:rPr>
            </w:pPr>
            <w:r>
              <w:rPr>
                <w:sz w:val="18"/>
                <w:szCs w:val="18"/>
                <w:lang w:val="es-ES_tradnl"/>
              </w:rPr>
              <w:t>E</w:t>
            </w:r>
            <w:r w:rsidR="000F7095">
              <w:rPr>
                <w:sz w:val="18"/>
                <w:szCs w:val="18"/>
                <w:lang w:val="es-ES_tradnl"/>
              </w:rPr>
              <w:t xml:space="preserve">l programa </w:t>
            </w:r>
            <w:r w:rsidR="00160A7E">
              <w:rPr>
                <w:sz w:val="18"/>
                <w:szCs w:val="18"/>
                <w:lang w:val="es-ES_tradnl"/>
              </w:rPr>
              <w:t>considera además de la financiación de la infraestructura de acceso, la financiación del equipamiento que permita eventualmente el uso de los servicios de banda ancha por parte de la población objetivo. Adicionalmente a lo anterior, se contempla la construcción de 100 telecentros que constituyan puntos de acceso donde además se impartan capacitaciones específicas sobre el uso de hardware y software (componente 3).</w:t>
            </w:r>
          </w:p>
          <w:p w:rsidR="00160A7E" w:rsidRDefault="00160A7E" w:rsidP="00160A7E">
            <w:pPr>
              <w:jc w:val="both"/>
              <w:rPr>
                <w:sz w:val="18"/>
                <w:szCs w:val="18"/>
                <w:lang w:val="es-ES_tradnl"/>
              </w:rPr>
            </w:pPr>
          </w:p>
          <w:p w:rsidR="00160A7E" w:rsidRDefault="00160A7E" w:rsidP="00160A7E">
            <w:pPr>
              <w:jc w:val="both"/>
              <w:rPr>
                <w:sz w:val="18"/>
                <w:szCs w:val="18"/>
                <w:lang w:val="es-ES_tradnl"/>
              </w:rPr>
            </w:pPr>
            <w:r>
              <w:rPr>
                <w:sz w:val="18"/>
                <w:szCs w:val="18"/>
                <w:lang w:val="es-ES_tradnl"/>
              </w:rPr>
              <w:t xml:space="preserve">Adicionalmente a lo anterior, está previsto el desarrollo de aplicaciones en el sector salud dirigidas a reducir la mortalidad materno infantil, y, en el caso del sector agrícola </w:t>
            </w:r>
            <w:r w:rsidR="006612A0">
              <w:rPr>
                <w:sz w:val="18"/>
                <w:szCs w:val="18"/>
                <w:lang w:val="es-ES_tradnl"/>
              </w:rPr>
              <w:t>dirigidas</w:t>
            </w:r>
            <w:r>
              <w:rPr>
                <w:sz w:val="18"/>
                <w:szCs w:val="18"/>
                <w:lang w:val="es-ES_tradnl"/>
              </w:rPr>
              <w:t xml:space="preserve"> a mejorar la productividad.</w:t>
            </w:r>
          </w:p>
          <w:p w:rsidR="000F1306" w:rsidRPr="000F1306" w:rsidRDefault="000F7095" w:rsidP="00160A7E">
            <w:pPr>
              <w:jc w:val="both"/>
              <w:rPr>
                <w:sz w:val="18"/>
                <w:szCs w:val="18"/>
                <w:lang w:val="es-ES_tradnl"/>
              </w:rPr>
            </w:pPr>
            <w:r w:rsidRPr="000F1306">
              <w:rPr>
                <w:sz w:val="18"/>
                <w:szCs w:val="18"/>
                <w:lang w:val="es-ES_tradnl"/>
              </w:rPr>
              <w:t xml:space="preserve"> </w:t>
            </w:r>
          </w:p>
        </w:tc>
      </w:tr>
      <w:tr w:rsidR="007B7A43" w:rsidRPr="00FB3BC5" w:rsidTr="00DE58E8">
        <w:trPr>
          <w:jc w:val="center"/>
        </w:trPr>
        <w:tc>
          <w:tcPr>
            <w:tcW w:w="2129" w:type="dxa"/>
            <w:tcBorders>
              <w:bottom w:val="single" w:sz="4" w:space="0" w:color="auto"/>
            </w:tcBorders>
            <w:shd w:val="clear" w:color="auto" w:fill="auto"/>
          </w:tcPr>
          <w:p w:rsidR="007B7A43" w:rsidRPr="000F1306" w:rsidRDefault="007B7A43" w:rsidP="00FE158F">
            <w:pPr>
              <w:rPr>
                <w:b/>
                <w:bCs/>
                <w:sz w:val="18"/>
                <w:szCs w:val="18"/>
                <w:lang w:val="es-ES_tradnl"/>
              </w:rPr>
            </w:pPr>
            <w:r>
              <w:rPr>
                <w:b/>
                <w:bCs/>
                <w:sz w:val="18"/>
                <w:szCs w:val="18"/>
                <w:lang w:val="es-ES_tradnl"/>
              </w:rPr>
              <w:t xml:space="preserve">2.5. Promover la </w:t>
            </w:r>
            <w:r w:rsidRPr="000F1306">
              <w:rPr>
                <w:b/>
                <w:bCs/>
                <w:sz w:val="18"/>
                <w:szCs w:val="18"/>
                <w:lang w:val="es-ES_tradnl"/>
              </w:rPr>
              <w:t>sostenibilidad de los servicios públicos domiciliarios</w:t>
            </w:r>
          </w:p>
        </w:tc>
        <w:tc>
          <w:tcPr>
            <w:tcW w:w="4140" w:type="dxa"/>
            <w:tcBorders>
              <w:bottom w:val="single" w:sz="4" w:space="0" w:color="auto"/>
            </w:tcBorders>
            <w:shd w:val="clear" w:color="auto" w:fill="auto"/>
          </w:tcPr>
          <w:p w:rsidR="007B7A43" w:rsidRPr="000F1306" w:rsidRDefault="007B7A43" w:rsidP="00FE158F">
            <w:pPr>
              <w:rPr>
                <w:sz w:val="18"/>
                <w:szCs w:val="18"/>
                <w:lang w:val="es-ES_tradnl"/>
              </w:rPr>
            </w:pPr>
            <w:r w:rsidRPr="000F1306">
              <w:rPr>
                <w:sz w:val="18"/>
                <w:szCs w:val="18"/>
                <w:lang w:val="es-ES_tradnl"/>
              </w:rPr>
              <w:t>El alcance de la sostenibilidad de los servicios públicos domiciliarios se promoverá en función de tres pilares:</w:t>
            </w:r>
          </w:p>
          <w:p w:rsidR="007B7A43" w:rsidRPr="000F1306" w:rsidRDefault="007B7A43" w:rsidP="00FE158F">
            <w:pPr>
              <w:rPr>
                <w:sz w:val="18"/>
                <w:szCs w:val="18"/>
                <w:lang w:val="es-ES_tradnl"/>
              </w:rPr>
            </w:pPr>
          </w:p>
          <w:p w:rsidR="007B7A43" w:rsidRPr="000F1306" w:rsidRDefault="007B7A43" w:rsidP="00FE158F">
            <w:pPr>
              <w:rPr>
                <w:sz w:val="18"/>
                <w:szCs w:val="18"/>
                <w:lang w:val="es-ES_tradnl"/>
              </w:rPr>
            </w:pPr>
            <w:r w:rsidRPr="000F1306">
              <w:rPr>
                <w:sz w:val="18"/>
                <w:szCs w:val="18"/>
                <w:lang w:val="es-ES_tradnl"/>
              </w:rPr>
              <w:t>a. Sostenibilidad financiera: procurando contar con suficientes ingresos por la prestación del servicio al usuario, con los aportes de la comunidad y con los aportes directos del gobierno que permitan cubrir los costos eficientes de prestación del servicio.</w:t>
            </w:r>
          </w:p>
          <w:p w:rsidR="007B7A43" w:rsidRPr="000F1306" w:rsidRDefault="007B7A43" w:rsidP="00FE158F">
            <w:pPr>
              <w:rPr>
                <w:sz w:val="18"/>
                <w:szCs w:val="18"/>
                <w:lang w:val="es-ES_tradnl"/>
              </w:rPr>
            </w:pPr>
          </w:p>
          <w:p w:rsidR="007B7A43" w:rsidRPr="000F1306" w:rsidRDefault="007B7A43" w:rsidP="00FE158F">
            <w:pPr>
              <w:rPr>
                <w:sz w:val="18"/>
                <w:szCs w:val="18"/>
                <w:lang w:val="es-ES_tradnl"/>
              </w:rPr>
            </w:pPr>
            <w:r w:rsidRPr="000F1306">
              <w:rPr>
                <w:sz w:val="18"/>
                <w:szCs w:val="18"/>
                <w:lang w:val="es-ES_tradnl"/>
              </w:rPr>
              <w:t xml:space="preserve">b. Sostenibilidad ambiental: apoyando que la selección, ejecución, operación y mantenimiento de los proyectos para prestar el servicio cumplan con las salvaguardias ambientales del Banco y contribuyan al desarrollo de una infraestructura con mayor resiliencia, considerando alternativas viables para </w:t>
            </w:r>
            <w:r w:rsidRPr="000F1306">
              <w:rPr>
                <w:sz w:val="18"/>
                <w:szCs w:val="18"/>
                <w:lang w:val="es-ES_tradnl"/>
              </w:rPr>
              <w:lastRenderedPageBreak/>
              <w:t>mitigar el cambio climático.</w:t>
            </w:r>
          </w:p>
          <w:p w:rsidR="007B7A43" w:rsidRPr="000F1306" w:rsidRDefault="007B7A43" w:rsidP="00FE158F">
            <w:pPr>
              <w:rPr>
                <w:sz w:val="18"/>
                <w:szCs w:val="18"/>
                <w:lang w:val="es-ES_tradnl"/>
              </w:rPr>
            </w:pPr>
          </w:p>
          <w:p w:rsidR="007B7A43" w:rsidRPr="000F1306" w:rsidRDefault="007B7A43" w:rsidP="00FE158F">
            <w:pPr>
              <w:rPr>
                <w:sz w:val="18"/>
                <w:szCs w:val="18"/>
                <w:lang w:val="es-ES_tradnl"/>
              </w:rPr>
            </w:pPr>
            <w:r w:rsidRPr="000F1306">
              <w:rPr>
                <w:sz w:val="18"/>
                <w:szCs w:val="18"/>
                <w:lang w:val="es-ES_tradnl"/>
              </w:rPr>
              <w:t>c. Sostenibilidad social: contribuyendo a incrementar el acceso al servicio y previendo mecanismos de consulta con la comunidad sobre los aspectos relevantes de la provisión del servicio.</w:t>
            </w:r>
          </w:p>
        </w:tc>
        <w:tc>
          <w:tcPr>
            <w:tcW w:w="3966" w:type="dxa"/>
            <w:tcBorders>
              <w:bottom w:val="single" w:sz="4" w:space="0" w:color="auto"/>
            </w:tcBorders>
            <w:shd w:val="clear" w:color="auto" w:fill="auto"/>
          </w:tcPr>
          <w:p w:rsidR="007B7A43" w:rsidRDefault="007B7A43" w:rsidP="00FE158F">
            <w:pPr>
              <w:jc w:val="both"/>
              <w:rPr>
                <w:sz w:val="18"/>
                <w:szCs w:val="18"/>
                <w:lang w:val="es-ES_tradnl"/>
              </w:rPr>
            </w:pPr>
            <w:r w:rsidRPr="000F1306">
              <w:rPr>
                <w:i/>
                <w:sz w:val="18"/>
                <w:szCs w:val="18"/>
                <w:lang w:val="es-ES_tradnl"/>
              </w:rPr>
              <w:lastRenderedPageBreak/>
              <w:t>Sostenibilidad Financiera:</w:t>
            </w:r>
            <w:r w:rsidRPr="000F1306">
              <w:rPr>
                <w:sz w:val="18"/>
                <w:szCs w:val="18"/>
                <w:lang w:val="es-ES_tradnl"/>
              </w:rPr>
              <w:t xml:space="preserve"> </w:t>
            </w:r>
          </w:p>
          <w:p w:rsidR="007B7A43" w:rsidRPr="000F1306" w:rsidRDefault="007B7A43" w:rsidP="00FE158F">
            <w:pPr>
              <w:jc w:val="both"/>
              <w:rPr>
                <w:sz w:val="18"/>
                <w:szCs w:val="18"/>
                <w:lang w:val="es-ES_tradnl"/>
              </w:rPr>
            </w:pPr>
            <w:r>
              <w:rPr>
                <w:sz w:val="18"/>
                <w:szCs w:val="18"/>
                <w:lang w:val="es-ES_tradnl"/>
              </w:rPr>
              <w:t>Ver respuesta en punto 1.1</w:t>
            </w:r>
          </w:p>
          <w:p w:rsidR="007B7A43" w:rsidRDefault="007B7A43" w:rsidP="00FE158F">
            <w:pPr>
              <w:jc w:val="both"/>
              <w:rPr>
                <w:i/>
                <w:sz w:val="18"/>
                <w:szCs w:val="18"/>
                <w:lang w:val="es-ES_tradnl"/>
              </w:rPr>
            </w:pPr>
          </w:p>
          <w:p w:rsidR="007B7A43" w:rsidRDefault="007B7A43" w:rsidP="00FE158F">
            <w:pPr>
              <w:jc w:val="both"/>
              <w:rPr>
                <w:sz w:val="18"/>
                <w:szCs w:val="18"/>
                <w:lang w:val="es-ES_tradnl"/>
              </w:rPr>
            </w:pPr>
            <w:r w:rsidRPr="000F1306">
              <w:rPr>
                <w:i/>
                <w:sz w:val="18"/>
                <w:szCs w:val="18"/>
                <w:lang w:val="es-ES_tradnl"/>
              </w:rPr>
              <w:t xml:space="preserve">Sostenibilidad </w:t>
            </w:r>
            <w:r>
              <w:rPr>
                <w:i/>
                <w:sz w:val="18"/>
                <w:szCs w:val="18"/>
                <w:lang w:val="es-ES_tradnl"/>
              </w:rPr>
              <w:t>Ambiental</w:t>
            </w:r>
            <w:r w:rsidRPr="000F1306">
              <w:rPr>
                <w:i/>
                <w:sz w:val="18"/>
                <w:szCs w:val="18"/>
                <w:lang w:val="es-ES_tradnl"/>
              </w:rPr>
              <w:t>:</w:t>
            </w:r>
            <w:r w:rsidRPr="000F1306">
              <w:rPr>
                <w:sz w:val="18"/>
                <w:szCs w:val="18"/>
                <w:lang w:val="es-ES_tradnl"/>
              </w:rPr>
              <w:t xml:space="preserve"> </w:t>
            </w:r>
          </w:p>
          <w:p w:rsidR="007B7A43" w:rsidRPr="000F1306" w:rsidRDefault="007B7A43" w:rsidP="00FE158F">
            <w:pPr>
              <w:jc w:val="both"/>
              <w:rPr>
                <w:sz w:val="18"/>
                <w:szCs w:val="18"/>
                <w:lang w:val="es-ES_tradnl"/>
              </w:rPr>
            </w:pPr>
            <w:r w:rsidRPr="00B45065">
              <w:rPr>
                <w:sz w:val="18"/>
                <w:szCs w:val="18"/>
                <w:lang w:val="es-ES_tradnl"/>
              </w:rPr>
              <w:t xml:space="preserve">El programa cumple con las políticas de salvaguardias ambientales (OP-703 y OP-704) y fue clasificada en categoría ambiental “B”. </w:t>
            </w:r>
            <w:r>
              <w:rPr>
                <w:sz w:val="18"/>
                <w:szCs w:val="18"/>
                <w:lang w:val="es-ES_tradnl"/>
              </w:rPr>
              <w:t>No está previsto el despliegue de nueva infraestructura, sino que se utilizará la infraestructura existente de ENATREL (postes y líneas de alta tensión) para el despliegue de fibra.</w:t>
            </w:r>
          </w:p>
          <w:p w:rsidR="007B7A43" w:rsidRDefault="007B7A43" w:rsidP="00FE158F">
            <w:pPr>
              <w:jc w:val="both"/>
              <w:rPr>
                <w:i/>
                <w:sz w:val="18"/>
                <w:szCs w:val="18"/>
                <w:lang w:val="es-ES_tradnl"/>
              </w:rPr>
            </w:pPr>
          </w:p>
          <w:p w:rsidR="007B7A43" w:rsidRPr="000F1306" w:rsidRDefault="007B7A43" w:rsidP="00FE158F">
            <w:pPr>
              <w:jc w:val="both"/>
              <w:rPr>
                <w:sz w:val="18"/>
                <w:szCs w:val="18"/>
                <w:lang w:val="es-ES_tradnl"/>
              </w:rPr>
            </w:pPr>
            <w:r w:rsidRPr="000F1306">
              <w:rPr>
                <w:i/>
                <w:sz w:val="18"/>
                <w:szCs w:val="18"/>
                <w:lang w:val="es-ES_tradnl"/>
              </w:rPr>
              <w:t>Sostenibilidad Social</w:t>
            </w:r>
            <w:r w:rsidRPr="000F1306">
              <w:rPr>
                <w:sz w:val="18"/>
                <w:szCs w:val="18"/>
                <w:lang w:val="es-ES_tradnl"/>
              </w:rPr>
              <w:t xml:space="preserve">: </w:t>
            </w:r>
          </w:p>
          <w:p w:rsidR="007B7A43" w:rsidRPr="00782859" w:rsidRDefault="007B7A43" w:rsidP="00FE158F">
            <w:pPr>
              <w:jc w:val="both"/>
              <w:rPr>
                <w:sz w:val="18"/>
                <w:szCs w:val="18"/>
                <w:lang w:val="es-AR"/>
              </w:rPr>
            </w:pPr>
            <w:r>
              <w:rPr>
                <w:sz w:val="18"/>
                <w:szCs w:val="18"/>
                <w:lang w:val="es-AR"/>
              </w:rPr>
              <w:t xml:space="preserve">Se ha proporcionado la información a las comunidades locales. Se han llevado a cabo reuniones de Consulta Pública con miembros de la </w:t>
            </w:r>
            <w:r>
              <w:rPr>
                <w:sz w:val="18"/>
                <w:szCs w:val="18"/>
                <w:lang w:val="es-AR"/>
              </w:rPr>
              <w:lastRenderedPageBreak/>
              <w:t xml:space="preserve">comunidad y autoridades locales. Las sesiones de consulta proporcionaron una oportunidad a los interesados para aprender acerca del proyecto y expresar sus dudas y preocupaciones. La relación con la comunidad continuará durante la fase de construcción.   </w:t>
            </w:r>
          </w:p>
        </w:tc>
      </w:tr>
    </w:tbl>
    <w:p w:rsidR="007B7A43" w:rsidRDefault="007B7A43">
      <w:pPr>
        <w:spacing w:after="200" w:line="276" w:lineRule="auto"/>
        <w:rPr>
          <w:lang w:val="es-ES_tradnl"/>
        </w:rPr>
      </w:pPr>
      <w:r>
        <w:rPr>
          <w:lang w:val="es-ES_tradnl"/>
        </w:rPr>
        <w:lastRenderedPageBreak/>
        <w:br w:type="page"/>
      </w:r>
    </w:p>
    <w:tbl>
      <w:tblPr>
        <w:tblW w:w="0" w:type="auto"/>
        <w:jc w:val="center"/>
        <w:tblInd w:w="-2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9"/>
        <w:gridCol w:w="4140"/>
        <w:gridCol w:w="3966"/>
      </w:tblGrid>
      <w:tr w:rsidR="007B7A43" w:rsidRPr="000F1306" w:rsidTr="00FE158F">
        <w:trPr>
          <w:trHeight w:val="701"/>
          <w:jc w:val="center"/>
        </w:trPr>
        <w:tc>
          <w:tcPr>
            <w:tcW w:w="2129" w:type="dxa"/>
            <w:shd w:val="clear" w:color="auto" w:fill="C0C0C0"/>
          </w:tcPr>
          <w:p w:rsidR="007B7A43" w:rsidRPr="000F1306" w:rsidRDefault="007B7A43" w:rsidP="00FE158F">
            <w:pPr>
              <w:rPr>
                <w:b/>
                <w:sz w:val="18"/>
                <w:szCs w:val="18"/>
                <w:lang w:val="es-ES_tradnl"/>
              </w:rPr>
            </w:pPr>
            <w:r w:rsidRPr="000F1306">
              <w:rPr>
                <w:b/>
                <w:sz w:val="18"/>
                <w:szCs w:val="18"/>
                <w:lang w:val="es-ES_tradnl"/>
              </w:rPr>
              <w:lastRenderedPageBreak/>
              <w:t>Principios de la Política que orientan el diseño de las operaciones del Banco</w:t>
            </w:r>
          </w:p>
        </w:tc>
        <w:tc>
          <w:tcPr>
            <w:tcW w:w="4140" w:type="dxa"/>
            <w:shd w:val="clear" w:color="auto" w:fill="C0C0C0"/>
            <w:vAlign w:val="center"/>
          </w:tcPr>
          <w:p w:rsidR="007B7A43" w:rsidRPr="000F1306" w:rsidRDefault="007B7A43" w:rsidP="00FE158F">
            <w:pPr>
              <w:jc w:val="center"/>
              <w:rPr>
                <w:b/>
                <w:sz w:val="18"/>
                <w:szCs w:val="18"/>
                <w:lang w:val="es-ES_tradnl"/>
              </w:rPr>
            </w:pPr>
            <w:r w:rsidRPr="000F1306">
              <w:rPr>
                <w:b/>
                <w:sz w:val="18"/>
                <w:szCs w:val="18"/>
                <w:lang w:val="es-ES_tradnl"/>
              </w:rPr>
              <w:t>Descripción</w:t>
            </w:r>
          </w:p>
        </w:tc>
        <w:tc>
          <w:tcPr>
            <w:tcW w:w="3966" w:type="dxa"/>
            <w:shd w:val="clear" w:color="auto" w:fill="C0C0C0"/>
            <w:vAlign w:val="center"/>
          </w:tcPr>
          <w:p w:rsidR="007B7A43" w:rsidRPr="000F1306" w:rsidRDefault="007B7A43" w:rsidP="00FE158F">
            <w:pPr>
              <w:jc w:val="center"/>
              <w:rPr>
                <w:b/>
                <w:sz w:val="18"/>
                <w:szCs w:val="18"/>
                <w:lang w:val="es-ES_tradnl"/>
              </w:rPr>
            </w:pPr>
            <w:r w:rsidRPr="000F1306">
              <w:rPr>
                <w:b/>
                <w:sz w:val="18"/>
                <w:szCs w:val="18"/>
                <w:lang w:val="es-ES_tradnl"/>
              </w:rPr>
              <w:t>Comentarios</w:t>
            </w:r>
          </w:p>
        </w:tc>
      </w:tr>
      <w:tr w:rsidR="007B7A43" w:rsidRPr="00FB3BC5" w:rsidTr="00FE158F">
        <w:trPr>
          <w:jc w:val="center"/>
        </w:trPr>
        <w:tc>
          <w:tcPr>
            <w:tcW w:w="2129" w:type="dxa"/>
            <w:shd w:val="clear" w:color="auto" w:fill="auto"/>
          </w:tcPr>
          <w:p w:rsidR="007B7A43" w:rsidRPr="000F1306" w:rsidRDefault="007B7A43" w:rsidP="00FE158F">
            <w:pPr>
              <w:rPr>
                <w:b/>
                <w:bCs/>
                <w:sz w:val="18"/>
                <w:szCs w:val="18"/>
                <w:lang w:val="es-ES_tradnl"/>
              </w:rPr>
            </w:pPr>
            <w:r>
              <w:rPr>
                <w:b/>
                <w:bCs/>
                <w:sz w:val="18"/>
                <w:szCs w:val="18"/>
                <w:lang w:val="es-ES_tradnl"/>
              </w:rPr>
              <w:t>3.</w:t>
            </w:r>
            <w:r w:rsidRPr="000F1306">
              <w:rPr>
                <w:b/>
                <w:bCs/>
                <w:sz w:val="18"/>
                <w:szCs w:val="18"/>
                <w:lang w:val="es-ES_tradnl"/>
              </w:rPr>
              <w:t xml:space="preserve">1. Apoyar a los países para atender las necesidades básicas </w:t>
            </w:r>
          </w:p>
        </w:tc>
        <w:tc>
          <w:tcPr>
            <w:tcW w:w="4140" w:type="dxa"/>
            <w:shd w:val="clear" w:color="auto" w:fill="auto"/>
          </w:tcPr>
          <w:p w:rsidR="007B7A43" w:rsidRPr="000F1306" w:rsidRDefault="007B7A43" w:rsidP="00FE158F">
            <w:pPr>
              <w:rPr>
                <w:sz w:val="18"/>
                <w:szCs w:val="18"/>
                <w:lang w:val="es-ES_tradnl"/>
              </w:rPr>
            </w:pPr>
            <w:r w:rsidRPr="000F1306">
              <w:rPr>
                <w:sz w:val="18"/>
                <w:szCs w:val="18"/>
                <w:lang w:val="es-ES_tradnl"/>
              </w:rPr>
              <w:t>Se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3966" w:type="dxa"/>
            <w:shd w:val="clear" w:color="auto" w:fill="auto"/>
          </w:tcPr>
          <w:p w:rsidR="007B7A43" w:rsidRPr="000F1306" w:rsidRDefault="007B7A43" w:rsidP="00FE158F">
            <w:pPr>
              <w:jc w:val="both"/>
              <w:rPr>
                <w:sz w:val="18"/>
                <w:szCs w:val="18"/>
                <w:lang w:val="es-ES_tradnl"/>
              </w:rPr>
            </w:pPr>
            <w:r w:rsidRPr="000F1306">
              <w:rPr>
                <w:sz w:val="18"/>
                <w:szCs w:val="18"/>
                <w:lang w:val="es-ES_tradnl"/>
              </w:rPr>
              <w:t xml:space="preserve">El Programa propuesto </w:t>
            </w:r>
            <w:r>
              <w:rPr>
                <w:sz w:val="18"/>
                <w:szCs w:val="18"/>
                <w:lang w:val="es-ES_tradnl"/>
              </w:rPr>
              <w:t xml:space="preserve">cuenta con análisis de factibilidad lo </w:t>
            </w:r>
            <w:r w:rsidRPr="00B90497">
              <w:rPr>
                <w:sz w:val="18"/>
                <w:szCs w:val="18"/>
                <w:lang w:val="es-ES_tradnl"/>
              </w:rPr>
              <w:t>que ha permitido identificar la</w:t>
            </w:r>
            <w:r>
              <w:rPr>
                <w:sz w:val="18"/>
                <w:szCs w:val="18"/>
                <w:lang w:val="es-ES_tradnl"/>
              </w:rPr>
              <w:t>s soluciones</w:t>
            </w:r>
            <w:r w:rsidRPr="00B90497">
              <w:rPr>
                <w:sz w:val="18"/>
                <w:szCs w:val="18"/>
                <w:lang w:val="es-ES_tradnl"/>
              </w:rPr>
              <w:t xml:space="preserve"> </w:t>
            </w:r>
            <w:r>
              <w:rPr>
                <w:sz w:val="18"/>
                <w:szCs w:val="18"/>
                <w:lang w:val="es-ES_tradnl"/>
              </w:rPr>
              <w:t xml:space="preserve">tecnológicas </w:t>
            </w:r>
            <w:r w:rsidRPr="00B90497">
              <w:rPr>
                <w:sz w:val="18"/>
                <w:szCs w:val="18"/>
                <w:lang w:val="es-ES_tradnl"/>
              </w:rPr>
              <w:t xml:space="preserve">de mínimo costo, lo que asegura la </w:t>
            </w:r>
            <w:r>
              <w:rPr>
                <w:sz w:val="18"/>
                <w:szCs w:val="18"/>
                <w:lang w:val="es-ES_tradnl"/>
              </w:rPr>
              <w:t xml:space="preserve">adecuada combinación de costo – eficiencia para la población. </w:t>
            </w:r>
          </w:p>
        </w:tc>
      </w:tr>
      <w:tr w:rsidR="007B7A43" w:rsidRPr="00FB3BC5" w:rsidTr="00FE158F">
        <w:trPr>
          <w:jc w:val="center"/>
        </w:trPr>
        <w:tc>
          <w:tcPr>
            <w:tcW w:w="2129" w:type="dxa"/>
            <w:shd w:val="clear" w:color="auto" w:fill="auto"/>
          </w:tcPr>
          <w:p w:rsidR="007B7A43" w:rsidRPr="000F1306" w:rsidRDefault="007B7A43" w:rsidP="00FE158F">
            <w:pPr>
              <w:rPr>
                <w:b/>
                <w:bCs/>
                <w:sz w:val="18"/>
                <w:szCs w:val="18"/>
                <w:lang w:val="es-ES_tradnl"/>
              </w:rPr>
            </w:pPr>
            <w:r>
              <w:rPr>
                <w:b/>
                <w:bCs/>
                <w:sz w:val="18"/>
                <w:szCs w:val="18"/>
                <w:lang w:val="es-ES_tradnl"/>
              </w:rPr>
              <w:t>3.</w:t>
            </w:r>
            <w:r w:rsidRPr="000F1306">
              <w:rPr>
                <w:b/>
                <w:bCs/>
                <w:sz w:val="18"/>
                <w:szCs w:val="18"/>
                <w:lang w:val="es-ES_tradnl"/>
              </w:rPr>
              <w:t>2. Las mejoras continuas en la gobernanza de los servicios públicos domiciliarios serán clave para incrementar la eficiencia en su provisión y proteger satisfactoriamente los intereses de los usuarios</w:t>
            </w:r>
          </w:p>
        </w:tc>
        <w:tc>
          <w:tcPr>
            <w:tcW w:w="4140" w:type="dxa"/>
            <w:shd w:val="clear" w:color="auto" w:fill="auto"/>
          </w:tcPr>
          <w:p w:rsidR="007B7A43" w:rsidRPr="000F1306" w:rsidRDefault="007B7A43" w:rsidP="00FE158F">
            <w:pPr>
              <w:rPr>
                <w:sz w:val="18"/>
                <w:szCs w:val="18"/>
                <w:lang w:val="es-ES_tradnl"/>
              </w:rPr>
            </w:pPr>
            <w:r w:rsidRPr="000F1306">
              <w:rPr>
                <w:sz w:val="18"/>
                <w:szCs w:val="18"/>
                <w:lang w:val="es-ES_tradnl"/>
              </w:rPr>
              <w:t>La Política sostiene que la gobernanza para la toma de decisiones en la gestión de los servicios públicos domiciliarios, así como el marco normativo y/o regulatorio que los reglamenta y supervisa, son los principales factores determinantes de su desempeño, calidad y sostenibilidad</w:t>
            </w:r>
          </w:p>
        </w:tc>
        <w:tc>
          <w:tcPr>
            <w:tcW w:w="3966" w:type="dxa"/>
            <w:shd w:val="clear" w:color="auto" w:fill="auto"/>
          </w:tcPr>
          <w:p w:rsidR="007B7A43" w:rsidRPr="00FD05D0" w:rsidRDefault="007B7A43" w:rsidP="00FE158F">
            <w:pPr>
              <w:jc w:val="both"/>
              <w:rPr>
                <w:sz w:val="18"/>
                <w:szCs w:val="18"/>
                <w:lang w:val="es-ES_tradnl"/>
              </w:rPr>
            </w:pPr>
          </w:p>
          <w:p w:rsidR="007B7A43" w:rsidRPr="000F1306" w:rsidRDefault="007B7A43" w:rsidP="00FE158F">
            <w:pPr>
              <w:jc w:val="both"/>
              <w:rPr>
                <w:sz w:val="18"/>
                <w:szCs w:val="18"/>
                <w:lang w:val="es-ES_tradnl"/>
              </w:rPr>
            </w:pPr>
            <w:r>
              <w:rPr>
                <w:sz w:val="18"/>
                <w:szCs w:val="18"/>
                <w:lang w:val="es-ES_tradnl"/>
              </w:rPr>
              <w:t>El programa tiene un enfoque holístico, tomando como punto de partida el Plan Nacional de Banda Ancha, desplegando infraestructura en base a las necesidades identificadas, revisando el marco regulatorio y, finalmente, promoviendo la proliferación de aplicaciones y servicios que fomenten el uso.</w:t>
            </w:r>
          </w:p>
        </w:tc>
      </w:tr>
      <w:tr w:rsidR="007B7A43" w:rsidRPr="00FB3BC5" w:rsidTr="00FE158F">
        <w:trPr>
          <w:jc w:val="center"/>
        </w:trPr>
        <w:tc>
          <w:tcPr>
            <w:tcW w:w="2129" w:type="dxa"/>
            <w:shd w:val="clear" w:color="auto" w:fill="auto"/>
          </w:tcPr>
          <w:p w:rsidR="007B7A43" w:rsidRPr="000F1306" w:rsidRDefault="007B7A43" w:rsidP="00FE158F">
            <w:pPr>
              <w:ind w:left="330" w:hanging="150"/>
              <w:rPr>
                <w:b/>
                <w:bCs/>
                <w:i/>
                <w:sz w:val="18"/>
                <w:szCs w:val="18"/>
                <w:lang w:val="es-ES_tradnl"/>
              </w:rPr>
            </w:pPr>
            <w:r w:rsidRPr="000F1306">
              <w:rPr>
                <w:b/>
                <w:bCs/>
                <w:i/>
                <w:sz w:val="18"/>
                <w:szCs w:val="18"/>
                <w:lang w:val="es-ES_tradnl"/>
              </w:rPr>
              <w:t>A. Promover la integridad, la transparencia y la rendición de cuentas</w:t>
            </w:r>
          </w:p>
        </w:tc>
        <w:tc>
          <w:tcPr>
            <w:tcW w:w="4140" w:type="dxa"/>
            <w:shd w:val="clear" w:color="auto" w:fill="auto"/>
          </w:tcPr>
          <w:p w:rsidR="007B7A43" w:rsidRPr="000F1306" w:rsidRDefault="007B7A43" w:rsidP="00FE158F">
            <w:pPr>
              <w:autoSpaceDE w:val="0"/>
              <w:autoSpaceDN w:val="0"/>
              <w:adjustRightInd w:val="0"/>
              <w:rPr>
                <w:sz w:val="18"/>
                <w:szCs w:val="18"/>
                <w:lang w:val="es-ES_tradnl"/>
              </w:rPr>
            </w:pPr>
            <w:r>
              <w:rPr>
                <w:rFonts w:eastAsiaTheme="minorHAnsi"/>
                <w:sz w:val="18"/>
                <w:szCs w:val="18"/>
                <w:lang w:val="es-ES_tradnl"/>
              </w:rPr>
              <w:t xml:space="preserve">Se </w:t>
            </w:r>
            <w:r w:rsidRPr="009B26D0">
              <w:rPr>
                <w:rFonts w:eastAsiaTheme="minorHAnsi"/>
                <w:sz w:val="18"/>
                <w:szCs w:val="18"/>
                <w:lang w:val="es-ES_tradnl"/>
              </w:rPr>
              <w:t>impulsar</w:t>
            </w:r>
            <w:r>
              <w:rPr>
                <w:rFonts w:eastAsiaTheme="minorHAnsi"/>
                <w:sz w:val="18"/>
                <w:szCs w:val="18"/>
                <w:lang w:val="es-ES_tradnl"/>
              </w:rPr>
              <w:t xml:space="preserve">án los arreglos institucionales </w:t>
            </w:r>
            <w:r w:rsidRPr="009B26D0">
              <w:rPr>
                <w:rFonts w:eastAsiaTheme="minorHAnsi"/>
                <w:sz w:val="18"/>
                <w:szCs w:val="18"/>
                <w:lang w:val="es-ES_tradnl"/>
              </w:rPr>
              <w:t>básicos para que los países de la región adopten medidas que promuevan la</w:t>
            </w:r>
            <w:r>
              <w:rPr>
                <w:rFonts w:eastAsiaTheme="minorHAnsi"/>
                <w:sz w:val="18"/>
                <w:szCs w:val="18"/>
                <w:lang w:val="es-ES_tradnl"/>
              </w:rPr>
              <w:t xml:space="preserve"> </w:t>
            </w:r>
            <w:r w:rsidRPr="009B26D0">
              <w:rPr>
                <w:rFonts w:eastAsiaTheme="minorHAnsi"/>
                <w:sz w:val="18"/>
                <w:szCs w:val="18"/>
                <w:lang w:val="es-ES_tradnl"/>
              </w:rPr>
              <w:t xml:space="preserve">integridad y aumenten la transparencia en la </w:t>
            </w:r>
            <w:r>
              <w:rPr>
                <w:rFonts w:eastAsiaTheme="minorHAnsi"/>
                <w:sz w:val="18"/>
                <w:szCs w:val="18"/>
                <w:lang w:val="es-ES_tradnl"/>
              </w:rPr>
              <w:t xml:space="preserve">provisión de servicios públicos </w:t>
            </w:r>
            <w:r w:rsidRPr="009B26D0">
              <w:rPr>
                <w:rFonts w:eastAsiaTheme="minorHAnsi"/>
                <w:sz w:val="18"/>
                <w:szCs w:val="18"/>
                <w:lang w:val="es-ES_tradnl"/>
              </w:rPr>
              <w:t>domiciliarios, con el objetivo de mejorar la rendición de cuentas y fortalecer</w:t>
            </w:r>
            <w:r>
              <w:rPr>
                <w:rFonts w:eastAsiaTheme="minorHAnsi"/>
                <w:sz w:val="18"/>
                <w:szCs w:val="18"/>
                <w:lang w:val="es-ES_tradnl"/>
              </w:rPr>
              <w:t xml:space="preserve"> </w:t>
            </w:r>
            <w:r w:rsidRPr="009B26D0">
              <w:rPr>
                <w:rFonts w:eastAsiaTheme="minorHAnsi"/>
                <w:sz w:val="18"/>
                <w:szCs w:val="18"/>
                <w:lang w:val="es-ES_tradnl"/>
              </w:rPr>
              <w:t>el cumplimiento de los derechos de los usuarios</w:t>
            </w:r>
            <w:r w:rsidRPr="000F1306">
              <w:rPr>
                <w:sz w:val="18"/>
                <w:szCs w:val="18"/>
                <w:lang w:val="es-ES_tradnl"/>
              </w:rPr>
              <w:t>.</w:t>
            </w:r>
          </w:p>
        </w:tc>
        <w:tc>
          <w:tcPr>
            <w:tcW w:w="3966" w:type="dxa"/>
            <w:shd w:val="clear" w:color="auto" w:fill="auto"/>
          </w:tcPr>
          <w:p w:rsidR="007B7A43" w:rsidRPr="00C51E2E" w:rsidRDefault="007B7A43" w:rsidP="00FE158F">
            <w:pPr>
              <w:jc w:val="both"/>
              <w:rPr>
                <w:sz w:val="18"/>
                <w:szCs w:val="18"/>
                <w:lang w:val="es-ES_tradnl"/>
              </w:rPr>
            </w:pPr>
            <w:r>
              <w:rPr>
                <w:sz w:val="18"/>
                <w:szCs w:val="18"/>
                <w:lang w:val="es-ES_tradnl"/>
              </w:rPr>
              <w:t>Como parte de la revisión del marco regulatorio prevista en el componente 2 se definirán los mecanismos para contar con una mayor información del sector con acceso público.</w:t>
            </w:r>
          </w:p>
        </w:tc>
      </w:tr>
      <w:tr w:rsidR="007B7A43" w:rsidRPr="00E938DE" w:rsidTr="00FE158F">
        <w:trPr>
          <w:jc w:val="center"/>
        </w:trPr>
        <w:tc>
          <w:tcPr>
            <w:tcW w:w="2129" w:type="dxa"/>
            <w:shd w:val="clear" w:color="auto" w:fill="auto"/>
          </w:tcPr>
          <w:p w:rsidR="007B7A43" w:rsidRPr="000F1306" w:rsidRDefault="007B7A43" w:rsidP="00FE158F">
            <w:pPr>
              <w:ind w:left="330" w:hanging="150"/>
              <w:rPr>
                <w:b/>
                <w:bCs/>
                <w:i/>
                <w:sz w:val="18"/>
                <w:szCs w:val="18"/>
                <w:lang w:val="es-ES_tradnl"/>
              </w:rPr>
            </w:pPr>
            <w:r w:rsidRPr="000F1306">
              <w:rPr>
                <w:b/>
                <w:bCs/>
                <w:i/>
                <w:sz w:val="18"/>
                <w:szCs w:val="18"/>
                <w:lang w:val="es-ES_tradnl"/>
              </w:rPr>
              <w:t>B. Analizar las características e impactos de los subsidios</w:t>
            </w:r>
          </w:p>
        </w:tc>
        <w:tc>
          <w:tcPr>
            <w:tcW w:w="4140" w:type="dxa"/>
            <w:shd w:val="clear" w:color="auto" w:fill="auto"/>
          </w:tcPr>
          <w:p w:rsidR="007B7A43" w:rsidRPr="000F1306" w:rsidRDefault="007B7A43" w:rsidP="00FE158F">
            <w:pPr>
              <w:rPr>
                <w:sz w:val="18"/>
                <w:szCs w:val="18"/>
                <w:lang w:val="es-ES_tradnl"/>
              </w:rPr>
            </w:pPr>
            <w:r w:rsidRPr="000F1306">
              <w:rPr>
                <w:sz w:val="18"/>
                <w:szCs w:val="18"/>
                <w:lang w:val="es-ES_tradnl"/>
              </w:rPr>
              <w:t>La operación y financiamiento de los servicios debería lograr la recuperación de costos de prestación en condiciones de eficiencia mediante tarifas a los usuarios. Sin embargo, se reconoce que, ocasionalmente, la sostenibilidad financiera puede alcanzarse complementando los ingresos provenientes de las, con aportes de la comunidad y aportes directos del gobierno. En situaciones en las que se otorguen subsidios, se promoverá que tanto su asignación como utilización se realicen de modo transparente y sujeto a mecanismos frecuentes y eficaces de rendición de cuentas. En los casos en que se otorguen subsidios tarifarios, se impulsará su focalización en los grupos más vulnerables y de menores ingresos. Adicionalmente, y en la medida de lo posible, se apoyará a los países para sustituir los subsidios tarifarios a los servicios públicos por mecanismos de transferencias de ingresos más directos y focalizados en los segmentos de la población con menores ingresos.</w:t>
            </w:r>
          </w:p>
        </w:tc>
        <w:tc>
          <w:tcPr>
            <w:tcW w:w="3966" w:type="dxa"/>
            <w:shd w:val="clear" w:color="auto" w:fill="auto"/>
          </w:tcPr>
          <w:p w:rsidR="007B7A43" w:rsidRPr="00C51E2E" w:rsidRDefault="007B7A43" w:rsidP="00FE158F">
            <w:pPr>
              <w:jc w:val="both"/>
              <w:rPr>
                <w:sz w:val="18"/>
                <w:szCs w:val="18"/>
                <w:lang w:val="es-ES_tradnl"/>
              </w:rPr>
            </w:pPr>
            <w:r>
              <w:rPr>
                <w:sz w:val="18"/>
                <w:szCs w:val="18"/>
                <w:lang w:val="es-ES_tradnl"/>
              </w:rPr>
              <w:t>No está previsto que existan subsidios como parte del programa.</w:t>
            </w:r>
          </w:p>
          <w:p w:rsidR="007B7A43" w:rsidRPr="00C51E2E" w:rsidRDefault="007B7A43" w:rsidP="00FE158F">
            <w:pPr>
              <w:jc w:val="both"/>
              <w:rPr>
                <w:sz w:val="18"/>
                <w:szCs w:val="18"/>
                <w:lang w:val="es-ES_tradnl"/>
              </w:rPr>
            </w:pPr>
          </w:p>
        </w:tc>
      </w:tr>
      <w:tr w:rsidR="007B7A43" w:rsidRPr="00FB3BC5" w:rsidTr="00FE158F">
        <w:trPr>
          <w:jc w:val="center"/>
        </w:trPr>
        <w:tc>
          <w:tcPr>
            <w:tcW w:w="2129" w:type="dxa"/>
            <w:shd w:val="clear" w:color="auto" w:fill="auto"/>
          </w:tcPr>
          <w:p w:rsidR="007B7A43" w:rsidRPr="000F1306" w:rsidRDefault="007B7A43" w:rsidP="00FE158F">
            <w:pPr>
              <w:ind w:left="330" w:hanging="150"/>
              <w:rPr>
                <w:i/>
                <w:sz w:val="18"/>
                <w:szCs w:val="18"/>
                <w:lang w:val="es-ES_tradnl"/>
              </w:rPr>
            </w:pPr>
            <w:r w:rsidRPr="000F1306">
              <w:rPr>
                <w:b/>
                <w:bCs/>
                <w:i/>
                <w:sz w:val="18"/>
                <w:szCs w:val="18"/>
                <w:lang w:val="es-ES_tradnl"/>
              </w:rPr>
              <w:t>C. Separación de Funciones para mejorar la gobernanza sectorial</w:t>
            </w:r>
          </w:p>
        </w:tc>
        <w:tc>
          <w:tcPr>
            <w:tcW w:w="4140" w:type="dxa"/>
            <w:shd w:val="clear" w:color="auto" w:fill="auto"/>
          </w:tcPr>
          <w:p w:rsidR="007B7A43" w:rsidRPr="000F1306" w:rsidRDefault="007B7A43" w:rsidP="00FE158F">
            <w:pPr>
              <w:rPr>
                <w:sz w:val="18"/>
                <w:szCs w:val="18"/>
                <w:lang w:val="es-ES_tradnl"/>
              </w:rPr>
            </w:pPr>
            <w:r w:rsidRPr="000F1306">
              <w:rPr>
                <w:sz w:val="18"/>
                <w:szCs w:val="18"/>
                <w:lang w:val="es-ES_tradnl"/>
              </w:rPr>
              <w:t xml:space="preserve">Deben separarse las funciones de </w:t>
            </w:r>
            <w:r w:rsidRPr="000F1306">
              <w:rPr>
                <w:b/>
                <w:bCs/>
                <w:sz w:val="18"/>
                <w:szCs w:val="18"/>
                <w:lang w:val="es-ES_tradnl"/>
              </w:rPr>
              <w:t>formulador de políticas, regulador</w:t>
            </w:r>
            <w:r w:rsidRPr="000F1306">
              <w:rPr>
                <w:sz w:val="18"/>
                <w:szCs w:val="18"/>
                <w:lang w:val="es-ES_tradnl"/>
              </w:rPr>
              <w:t xml:space="preserve"> y </w:t>
            </w:r>
            <w:r w:rsidRPr="000F1306">
              <w:rPr>
                <w:b/>
                <w:bCs/>
                <w:sz w:val="18"/>
                <w:szCs w:val="18"/>
                <w:lang w:val="es-ES_tradnl"/>
              </w:rPr>
              <w:t>empresario</w:t>
            </w:r>
            <w:r w:rsidRPr="000F1306">
              <w:rPr>
                <w:sz w:val="18"/>
                <w:szCs w:val="18"/>
                <w:lang w:val="es-ES_tradnl"/>
              </w:rPr>
              <w:t xml:space="preserve"> y asignarse a instituciones distintas y apropiadas. De esta manera, las autoridades conservarán la responsabilidad de </w:t>
            </w:r>
            <w:r w:rsidRPr="000F1306">
              <w:rPr>
                <w:b/>
                <w:bCs/>
                <w:sz w:val="18"/>
                <w:szCs w:val="18"/>
                <w:lang w:val="es-ES_tradnl"/>
              </w:rPr>
              <w:t>formular la política</w:t>
            </w:r>
            <w:r w:rsidRPr="000F1306">
              <w:rPr>
                <w:sz w:val="18"/>
                <w:szCs w:val="18"/>
                <w:lang w:val="es-ES_tradnl"/>
              </w:rPr>
              <w:t xml:space="preserve">, un ente público separado dictará el </w:t>
            </w:r>
            <w:r w:rsidRPr="000F1306">
              <w:rPr>
                <w:b/>
                <w:bCs/>
                <w:sz w:val="18"/>
                <w:szCs w:val="18"/>
                <w:lang w:val="es-ES_tradnl"/>
              </w:rPr>
              <w:t>régimen reglamentario</w:t>
            </w:r>
            <w:r w:rsidRPr="000F1306">
              <w:rPr>
                <w:sz w:val="18"/>
                <w:szCs w:val="18"/>
                <w:lang w:val="es-ES_tradnl"/>
              </w:rPr>
              <w:t xml:space="preserve"> y se asignará al proveedor del servicio una función exclusivamente </w:t>
            </w:r>
            <w:r w:rsidRPr="000F1306">
              <w:rPr>
                <w:b/>
                <w:bCs/>
                <w:sz w:val="18"/>
                <w:szCs w:val="18"/>
                <w:lang w:val="es-ES_tradnl"/>
              </w:rPr>
              <w:t>empresarial</w:t>
            </w:r>
            <w:r w:rsidRPr="000F1306">
              <w:rPr>
                <w:sz w:val="18"/>
                <w:szCs w:val="18"/>
                <w:lang w:val="es-ES_tradnl"/>
              </w:rPr>
              <w:t>, sea ésta de propiedad estatal o privada. Esta Política reconoce, sin embargo, que la organización institucional no puede responder a un modelo único, debiendo adaptarse a las particularidades de cada sector y país. En varios países de la región, la responsabilidad de la formulación de políticas, la</w:t>
            </w:r>
            <w:r w:rsidRPr="000F1306">
              <w:rPr>
                <w:lang w:val="es-ES"/>
              </w:rPr>
              <w:t xml:space="preserve"> </w:t>
            </w:r>
            <w:r w:rsidRPr="000F1306">
              <w:rPr>
                <w:sz w:val="18"/>
                <w:szCs w:val="18"/>
                <w:lang w:val="es-ES_tradnl"/>
              </w:rPr>
              <w:t xml:space="preserve">regulación y la provisión de los servicios públicos domiciliarios reside en el ámbito local (provincial o </w:t>
            </w:r>
            <w:r w:rsidRPr="000F1306">
              <w:rPr>
                <w:sz w:val="18"/>
                <w:szCs w:val="18"/>
                <w:lang w:val="es-ES_tradnl"/>
              </w:rPr>
              <w:lastRenderedPageBreak/>
              <w:t xml:space="preserve">municipal). En estos casos, en los cuales no necesariamente es óptimo separar los roles de formulación de políticas y de regulación, el Banco promoverá una regulación homogénea, con parámetros mínimos adecuados de calidad, principios para la fijación de tarifas, y mecanismos de supervisión y control. Además, contribuirá a desarrollar mecanismos institucionales que fortalezcan la debida gestión en el marco de la legislación local. </w:t>
            </w:r>
          </w:p>
        </w:tc>
        <w:tc>
          <w:tcPr>
            <w:tcW w:w="3966" w:type="dxa"/>
            <w:shd w:val="clear" w:color="auto" w:fill="auto"/>
          </w:tcPr>
          <w:p w:rsidR="007B7A43" w:rsidRPr="003147D4" w:rsidRDefault="007B7A43" w:rsidP="00FE158F">
            <w:pPr>
              <w:jc w:val="both"/>
              <w:rPr>
                <w:sz w:val="18"/>
                <w:szCs w:val="18"/>
                <w:lang w:val="es-ES_tradnl"/>
              </w:rPr>
            </w:pPr>
            <w:r w:rsidRPr="00FD05D0">
              <w:rPr>
                <w:sz w:val="18"/>
                <w:szCs w:val="18"/>
                <w:lang w:val="es-ES_tradnl"/>
              </w:rPr>
              <w:lastRenderedPageBreak/>
              <w:t>La separación de funciones de regulador y em</w:t>
            </w:r>
            <w:r>
              <w:rPr>
                <w:sz w:val="18"/>
                <w:szCs w:val="18"/>
                <w:lang w:val="es-ES_tradnl"/>
              </w:rPr>
              <w:t>presario se encuentran separadas. TELCOR es el ente regulador del sector de telecomunicaciones y ENATREL será la empresa encargada del despliegue, operación y mantenimiento de la red.</w:t>
            </w:r>
          </w:p>
        </w:tc>
      </w:tr>
      <w:tr w:rsidR="007B7A43" w:rsidRPr="00FB3BC5" w:rsidTr="00FE158F">
        <w:trPr>
          <w:jc w:val="center"/>
        </w:trPr>
        <w:tc>
          <w:tcPr>
            <w:tcW w:w="2129" w:type="dxa"/>
            <w:shd w:val="clear" w:color="auto" w:fill="auto"/>
          </w:tcPr>
          <w:p w:rsidR="007B7A43" w:rsidRPr="000F1306" w:rsidRDefault="007B7A43" w:rsidP="00FE158F">
            <w:pPr>
              <w:ind w:left="330" w:hanging="150"/>
              <w:rPr>
                <w:i/>
                <w:sz w:val="18"/>
                <w:szCs w:val="18"/>
                <w:lang w:val="es-ES_tradnl"/>
              </w:rPr>
            </w:pPr>
            <w:r w:rsidRPr="000F1306">
              <w:rPr>
                <w:b/>
                <w:bCs/>
                <w:i/>
                <w:sz w:val="18"/>
                <w:szCs w:val="18"/>
                <w:lang w:val="es-ES_tradnl"/>
              </w:rPr>
              <w:lastRenderedPageBreak/>
              <w:t>D. Establecer la estructura sectorial más apropiada en el contexto de las características del servicio y los objetivos de la política</w:t>
            </w:r>
          </w:p>
        </w:tc>
        <w:tc>
          <w:tcPr>
            <w:tcW w:w="4140" w:type="dxa"/>
            <w:shd w:val="clear" w:color="auto" w:fill="auto"/>
          </w:tcPr>
          <w:p w:rsidR="007B7A43" w:rsidRPr="000F1306" w:rsidRDefault="007B7A43" w:rsidP="00FE158F">
            <w:pPr>
              <w:rPr>
                <w:sz w:val="18"/>
                <w:szCs w:val="18"/>
                <w:lang w:val="es-ES_tradnl"/>
              </w:rPr>
            </w:pPr>
            <w:r w:rsidRPr="000F1306">
              <w:rPr>
                <w:sz w:val="18"/>
                <w:szCs w:val="18"/>
                <w:lang w:val="es-ES_tradnl"/>
              </w:rPr>
              <w:t>Considerando la heterogeneidad en los mercados y servicios de la región, esta Política no promueve una organización industrial sectorial única para la prestación de los servicios públicos domiciliarios, y destaca que independientemente del modelo de gestión utilizado, se debe contar con prácticas de buena gobernanza y con un marco regulador claro, predecible y estable que incentive la eficiencia y la inversión.</w:t>
            </w:r>
          </w:p>
        </w:tc>
        <w:tc>
          <w:tcPr>
            <w:tcW w:w="3966" w:type="dxa"/>
            <w:shd w:val="clear" w:color="auto" w:fill="auto"/>
          </w:tcPr>
          <w:p w:rsidR="007B7A43" w:rsidRPr="000F1306" w:rsidRDefault="007B7A43" w:rsidP="00FE158F">
            <w:pPr>
              <w:jc w:val="both"/>
              <w:rPr>
                <w:sz w:val="18"/>
                <w:szCs w:val="18"/>
                <w:highlight w:val="yellow"/>
                <w:lang w:val="es-ES_tradnl"/>
              </w:rPr>
            </w:pPr>
            <w:r>
              <w:rPr>
                <w:sz w:val="18"/>
                <w:szCs w:val="18"/>
                <w:lang w:val="es-ES_tradnl"/>
              </w:rPr>
              <w:t>El programa tiene un componente específico orientado a revisar y actualizar el marco regulatorio con los objetivos de reducir el costo de los proveedores e incentivar la inversión a través de facilitar el acceso e interconexión a las redes desplegadas en condiciones abiertas e igualitarias.</w:t>
            </w:r>
          </w:p>
        </w:tc>
      </w:tr>
      <w:tr w:rsidR="007B7A43" w:rsidRPr="00FB3BC5" w:rsidTr="00FE158F">
        <w:trPr>
          <w:jc w:val="center"/>
        </w:trPr>
        <w:tc>
          <w:tcPr>
            <w:tcW w:w="2129" w:type="dxa"/>
            <w:shd w:val="clear" w:color="auto" w:fill="auto"/>
          </w:tcPr>
          <w:p w:rsidR="007B7A43" w:rsidRPr="000F1306" w:rsidRDefault="007B7A43" w:rsidP="00FE158F">
            <w:pPr>
              <w:ind w:left="330" w:hanging="150"/>
              <w:rPr>
                <w:i/>
                <w:sz w:val="18"/>
                <w:szCs w:val="18"/>
                <w:lang w:val="es-ES_tradnl"/>
              </w:rPr>
            </w:pPr>
            <w:r w:rsidRPr="000F1306">
              <w:rPr>
                <w:b/>
                <w:bCs/>
                <w:i/>
                <w:sz w:val="18"/>
                <w:szCs w:val="18"/>
                <w:lang w:val="es-ES_tradnl"/>
              </w:rPr>
              <w:t>E.</w:t>
            </w:r>
            <w:r w:rsidRPr="000F1306">
              <w:rPr>
                <w:i/>
                <w:lang w:val="es-ES"/>
              </w:rPr>
              <w:t xml:space="preserve"> </w:t>
            </w:r>
            <w:r w:rsidRPr="000F1306">
              <w:rPr>
                <w:b/>
                <w:bCs/>
                <w:i/>
                <w:sz w:val="18"/>
                <w:szCs w:val="18"/>
                <w:lang w:val="es-ES_tradnl"/>
              </w:rPr>
              <w:t>El rol de la regulación económica para incentivar la eficiencia, la inversión y proteger los derechos de los usuarios</w:t>
            </w:r>
          </w:p>
        </w:tc>
        <w:tc>
          <w:tcPr>
            <w:tcW w:w="4140" w:type="dxa"/>
            <w:shd w:val="clear" w:color="auto" w:fill="auto"/>
          </w:tcPr>
          <w:p w:rsidR="007B7A43" w:rsidRPr="000F1306" w:rsidRDefault="007B7A43" w:rsidP="00FE158F">
            <w:pPr>
              <w:rPr>
                <w:sz w:val="18"/>
                <w:szCs w:val="18"/>
                <w:lang w:val="es-ES_tradnl"/>
              </w:rPr>
            </w:pPr>
            <w:r w:rsidRPr="000F1306">
              <w:rPr>
                <w:bCs/>
                <w:sz w:val="18"/>
                <w:szCs w:val="18"/>
                <w:lang w:val="es-ES_tradnl"/>
              </w:rPr>
              <w:t>La adopción de un régimen regulatorio eficaz y adaptado a las condiciones particulares de cada sector en cada país es un factor clave para el logro de los objetivos de la Política. Un régimen regulatorio debe contribuir a reducir el costo del capital de los proveedores del servicio, incentivar la inversión, fijar estándares de calidad de los servicios y permitir que los proveedores del servicio obtengan ingresos suficientes para alcanzar la sostenibilidad financiera. La promoción de los derechos de los usuarios debe ser un objetivo primordial del proceso de regulación de los servicios. Así, la regulación debe lograr que las ganancias de eficiencia, alcanzadas en el tiempo por los proveedores de los servicios, se trasladen a los usuarios vía reducciones tarifarias o mediante mejoras en la calidad del servicio. Independientemente de la estructura sectorial y el modelo institucional para la regulación elegida por cada país, se debe brindar asistencia en el desarrollo de sistemas de información que permitan a los formuladores de políticas y a los usuarios conocer la estructura y nivel de costos y tarifas en las todas las etapas de producción de los servicios.</w:t>
            </w:r>
          </w:p>
        </w:tc>
        <w:tc>
          <w:tcPr>
            <w:tcW w:w="3966" w:type="dxa"/>
            <w:shd w:val="clear" w:color="auto" w:fill="auto"/>
          </w:tcPr>
          <w:p w:rsidR="007B7A43" w:rsidRPr="00C51E2E" w:rsidRDefault="007B7A43" w:rsidP="00FE158F">
            <w:pPr>
              <w:jc w:val="both"/>
              <w:rPr>
                <w:sz w:val="18"/>
                <w:szCs w:val="18"/>
                <w:lang w:val="es-ES_tradnl"/>
              </w:rPr>
            </w:pPr>
            <w:r>
              <w:rPr>
                <w:sz w:val="18"/>
                <w:szCs w:val="18"/>
                <w:lang w:val="es-ES_tradnl"/>
              </w:rPr>
              <w:t>El programa tiene un componente específico orientado a revisar y actualizar el marco regulatorio con los objetivos de reducir el costo de los proveedores e incentivar la inversión a través de facilitar el acceso e interconexión a las redes desplegadas en condiciones abiertas e igualitarias.</w:t>
            </w:r>
          </w:p>
          <w:p w:rsidR="007B7A43" w:rsidRPr="000F1306" w:rsidRDefault="007B7A43" w:rsidP="00FE158F">
            <w:pPr>
              <w:jc w:val="both"/>
              <w:rPr>
                <w:sz w:val="18"/>
                <w:szCs w:val="18"/>
                <w:highlight w:val="yellow"/>
                <w:lang w:val="es-ES_tradnl"/>
              </w:rPr>
            </w:pPr>
          </w:p>
        </w:tc>
      </w:tr>
      <w:tr w:rsidR="007B7A43" w:rsidRPr="00FB3BC5" w:rsidTr="00FE158F">
        <w:trPr>
          <w:jc w:val="center"/>
        </w:trPr>
        <w:tc>
          <w:tcPr>
            <w:tcW w:w="2129" w:type="dxa"/>
            <w:shd w:val="clear" w:color="auto" w:fill="auto"/>
          </w:tcPr>
          <w:p w:rsidR="007B7A43" w:rsidRPr="000F1306" w:rsidRDefault="007B7A43" w:rsidP="00FE158F">
            <w:pPr>
              <w:ind w:left="330" w:hanging="150"/>
              <w:rPr>
                <w:b/>
                <w:i/>
                <w:sz w:val="18"/>
                <w:szCs w:val="18"/>
                <w:lang w:val="es-ES_tradnl"/>
              </w:rPr>
            </w:pPr>
            <w:r w:rsidRPr="000F1306">
              <w:rPr>
                <w:b/>
                <w:i/>
                <w:sz w:val="18"/>
                <w:szCs w:val="18"/>
                <w:lang w:val="es-ES_tradnl"/>
              </w:rPr>
              <w:t xml:space="preserve">F. Generar condiciones adecuadas para que la participación privada sea una opción viable para la provisión de servicios públicos </w:t>
            </w:r>
            <w:r w:rsidRPr="000F1306">
              <w:rPr>
                <w:b/>
                <w:bCs/>
                <w:i/>
                <w:sz w:val="18"/>
                <w:szCs w:val="18"/>
                <w:lang w:val="es-ES_tradnl"/>
              </w:rPr>
              <w:t>domiciliarios</w:t>
            </w:r>
          </w:p>
        </w:tc>
        <w:tc>
          <w:tcPr>
            <w:tcW w:w="4140" w:type="dxa"/>
            <w:shd w:val="clear" w:color="auto" w:fill="auto"/>
          </w:tcPr>
          <w:p w:rsidR="007B7A43" w:rsidRPr="000F1306" w:rsidRDefault="007B7A43" w:rsidP="00FE158F">
            <w:pPr>
              <w:rPr>
                <w:sz w:val="18"/>
                <w:szCs w:val="18"/>
                <w:lang w:val="es-ES_tradnl"/>
              </w:rPr>
            </w:pPr>
            <w:r w:rsidRPr="000F1306">
              <w:rPr>
                <w:sz w:val="18"/>
                <w:szCs w:val="18"/>
                <w:lang w:val="es-ES_tradnl"/>
              </w:rPr>
              <w:t xml:space="preserve">Esta Política reconoce que la competencia tiene el potencial de aumentar la eficiencia productiva y la calidad del servicio. En los mercados cuya tecnología de producción no exhibe las características propias de los monopolios naturales, es posible generar competencia en el mercado, permitiendo que varias empresas ofrezcan servicios simultáneamente. Cuando los mercados son monopolios naturales la competencia por el mercado puede producir los mismos resultados que la competencia en el mercado, siempre que el proceso de selección y regulación de la empresa proveedora del servicio sea abierto y efectivo. La Política reconoce, a su vez, que la participación privada (cualquiera sea su modalidad: contratos de gestión, concesiones o empresas de propiedad mixta, entre otras) es un instrumento clave para cerrar las brechas en la cantidad y calidad de los servicios domiciliarios en la región. </w:t>
            </w:r>
          </w:p>
        </w:tc>
        <w:tc>
          <w:tcPr>
            <w:tcW w:w="3966" w:type="dxa"/>
            <w:shd w:val="clear" w:color="auto" w:fill="auto"/>
          </w:tcPr>
          <w:p w:rsidR="007B7A43" w:rsidRPr="00C51E2E" w:rsidRDefault="007B7A43" w:rsidP="00FE158F">
            <w:pPr>
              <w:jc w:val="both"/>
              <w:rPr>
                <w:sz w:val="18"/>
                <w:szCs w:val="18"/>
                <w:lang w:val="es-ES_tradnl"/>
              </w:rPr>
            </w:pPr>
            <w:r>
              <w:rPr>
                <w:sz w:val="18"/>
                <w:szCs w:val="18"/>
                <w:lang w:val="es-ES_tradnl"/>
              </w:rPr>
              <w:t>El despliegue de la red de backbone a nuevas zonas permitirá que operadores privados (ISPs) hagan uso de la misma para ofrecer servicios de banda ancha, fomentando de esa manera la competencia.</w:t>
            </w:r>
          </w:p>
          <w:p w:rsidR="007B7A43" w:rsidRPr="006B46FE" w:rsidRDefault="007B7A43" w:rsidP="00FE158F">
            <w:pPr>
              <w:jc w:val="both"/>
              <w:rPr>
                <w:sz w:val="18"/>
                <w:szCs w:val="18"/>
                <w:highlight w:val="yellow"/>
                <w:lang w:val="es-ES_tradnl"/>
              </w:rPr>
            </w:pPr>
          </w:p>
        </w:tc>
      </w:tr>
      <w:tr w:rsidR="007B7A43" w:rsidRPr="00FB3BC5" w:rsidTr="00FE158F">
        <w:trPr>
          <w:jc w:val="center"/>
        </w:trPr>
        <w:tc>
          <w:tcPr>
            <w:tcW w:w="2129" w:type="dxa"/>
            <w:shd w:val="clear" w:color="auto" w:fill="auto"/>
          </w:tcPr>
          <w:p w:rsidR="007B7A43" w:rsidRPr="000F1306" w:rsidRDefault="007B7A43" w:rsidP="00FE158F">
            <w:pPr>
              <w:ind w:left="330" w:hanging="150"/>
              <w:rPr>
                <w:b/>
                <w:i/>
                <w:sz w:val="18"/>
                <w:szCs w:val="18"/>
                <w:lang w:val="es-ES"/>
              </w:rPr>
            </w:pPr>
            <w:r w:rsidRPr="000F1306">
              <w:rPr>
                <w:b/>
                <w:i/>
                <w:sz w:val="18"/>
                <w:szCs w:val="18"/>
                <w:lang w:val="es-ES"/>
              </w:rPr>
              <w:t xml:space="preserve">G. </w:t>
            </w:r>
            <w:r w:rsidRPr="000F1306">
              <w:rPr>
                <w:b/>
                <w:bCs/>
                <w:i/>
                <w:sz w:val="18"/>
                <w:szCs w:val="18"/>
                <w:lang w:val="es-ES_tradnl"/>
              </w:rPr>
              <w:t>Fortalecer</w:t>
            </w:r>
            <w:r w:rsidRPr="000F1306">
              <w:rPr>
                <w:b/>
                <w:i/>
                <w:sz w:val="18"/>
                <w:szCs w:val="18"/>
                <w:lang w:val="es-ES"/>
              </w:rPr>
              <w:t xml:space="preserve"> la gestión de la </w:t>
            </w:r>
            <w:r w:rsidRPr="000F1306">
              <w:rPr>
                <w:b/>
                <w:i/>
                <w:sz w:val="18"/>
                <w:szCs w:val="18"/>
                <w:lang w:val="es-ES"/>
              </w:rPr>
              <w:lastRenderedPageBreak/>
              <w:t>infraestructura utilizada para la prestación de los servicios públicos domiciliarios.</w:t>
            </w:r>
          </w:p>
        </w:tc>
        <w:tc>
          <w:tcPr>
            <w:tcW w:w="4140" w:type="dxa"/>
            <w:shd w:val="clear" w:color="auto" w:fill="auto"/>
          </w:tcPr>
          <w:p w:rsidR="007B7A43" w:rsidRPr="000F1306" w:rsidRDefault="007B7A43" w:rsidP="00FE158F">
            <w:pPr>
              <w:rPr>
                <w:sz w:val="18"/>
                <w:szCs w:val="18"/>
                <w:lang w:val="es-ES"/>
              </w:rPr>
            </w:pPr>
            <w:r w:rsidRPr="000F1306">
              <w:rPr>
                <w:sz w:val="18"/>
                <w:szCs w:val="18"/>
                <w:lang w:val="es-ES"/>
              </w:rPr>
              <w:lastRenderedPageBreak/>
              <w:t xml:space="preserve">Los ámbitos de acción más relevantes para optimizar la gestión de la infraestructura son: i) incentivar la </w:t>
            </w:r>
            <w:r w:rsidRPr="000F1306">
              <w:rPr>
                <w:sz w:val="18"/>
                <w:szCs w:val="18"/>
                <w:lang w:val="es-ES"/>
              </w:rPr>
              <w:lastRenderedPageBreak/>
              <w:t xml:space="preserve">eficiencia en la gestión de las empresas; ii) desarrollar e implementar políticas adecuadas y estables de mantenimiento de activos; y iii) optimizar el uso de la infraestructura a través de incentivos a la demanda. </w:t>
            </w:r>
          </w:p>
        </w:tc>
        <w:tc>
          <w:tcPr>
            <w:tcW w:w="3966" w:type="dxa"/>
            <w:shd w:val="clear" w:color="auto" w:fill="auto"/>
          </w:tcPr>
          <w:p w:rsidR="007B7A43" w:rsidRPr="000F1306" w:rsidRDefault="007B7A43" w:rsidP="00FE158F">
            <w:pPr>
              <w:jc w:val="both"/>
              <w:rPr>
                <w:sz w:val="18"/>
                <w:szCs w:val="18"/>
                <w:lang w:val="es-ES_tradnl"/>
              </w:rPr>
            </w:pPr>
            <w:r w:rsidRPr="00AB49AB">
              <w:rPr>
                <w:sz w:val="18"/>
                <w:szCs w:val="18"/>
                <w:lang w:val="es-ES_tradnl"/>
              </w:rPr>
              <w:lastRenderedPageBreak/>
              <w:t xml:space="preserve">El </w:t>
            </w:r>
            <w:r>
              <w:rPr>
                <w:sz w:val="18"/>
                <w:szCs w:val="18"/>
                <w:lang w:val="es-ES_tradnl"/>
              </w:rPr>
              <w:t>Programa incentiva la eficiencia en la gestión de empresas a través de la conexión a banda ancha</w:t>
            </w:r>
            <w:r w:rsidRPr="00AB49AB">
              <w:rPr>
                <w:sz w:val="18"/>
                <w:szCs w:val="18"/>
                <w:lang w:val="es-ES_tradnl"/>
              </w:rPr>
              <w:t>.</w:t>
            </w:r>
            <w:r>
              <w:rPr>
                <w:sz w:val="18"/>
                <w:szCs w:val="18"/>
                <w:lang w:val="es-ES_tradnl"/>
              </w:rPr>
              <w:t xml:space="preserve"> Un </w:t>
            </w:r>
            <w:r>
              <w:rPr>
                <w:sz w:val="18"/>
                <w:szCs w:val="18"/>
                <w:lang w:val="es-ES_tradnl"/>
              </w:rPr>
              <w:lastRenderedPageBreak/>
              <w:t>estudio del Banco estima que las ganancias en productividad gracias a la banda ancha en LAC son de alrededor del 2.6%. El componente 3 está orientado a estimular el uso de los servicios.</w:t>
            </w:r>
          </w:p>
        </w:tc>
      </w:tr>
      <w:tr w:rsidR="007B7A43" w:rsidRPr="00FB3BC5" w:rsidTr="00FE158F">
        <w:trPr>
          <w:jc w:val="center"/>
        </w:trPr>
        <w:tc>
          <w:tcPr>
            <w:tcW w:w="2129" w:type="dxa"/>
            <w:shd w:val="clear" w:color="auto" w:fill="auto"/>
          </w:tcPr>
          <w:p w:rsidR="007B7A43" w:rsidRPr="000F1306" w:rsidRDefault="007B7A43" w:rsidP="00FE158F">
            <w:pPr>
              <w:rPr>
                <w:sz w:val="18"/>
                <w:szCs w:val="18"/>
                <w:lang w:val="es-ES"/>
              </w:rPr>
            </w:pPr>
            <w:r>
              <w:rPr>
                <w:b/>
                <w:sz w:val="18"/>
                <w:szCs w:val="18"/>
                <w:lang w:val="es-ES"/>
              </w:rPr>
              <w:lastRenderedPageBreak/>
              <w:t>3.</w:t>
            </w:r>
            <w:r w:rsidRPr="000F1306">
              <w:rPr>
                <w:b/>
                <w:sz w:val="18"/>
                <w:szCs w:val="18"/>
                <w:lang w:val="es-ES"/>
              </w:rPr>
              <w:t>3. Promover la innovación para fomentar la eficiencia, el acceso y la sostenibilidad ambiental</w:t>
            </w:r>
          </w:p>
        </w:tc>
        <w:tc>
          <w:tcPr>
            <w:tcW w:w="4140" w:type="dxa"/>
            <w:shd w:val="clear" w:color="auto" w:fill="auto"/>
          </w:tcPr>
          <w:p w:rsidR="007B7A43" w:rsidRPr="000F1306" w:rsidRDefault="007B7A43" w:rsidP="00FE158F">
            <w:pPr>
              <w:rPr>
                <w:sz w:val="18"/>
                <w:szCs w:val="18"/>
                <w:lang w:val="es-ES"/>
              </w:rPr>
            </w:pPr>
            <w:r w:rsidRPr="000F1306">
              <w:rPr>
                <w:sz w:val="18"/>
                <w:szCs w:val="18"/>
                <w:lang w:val="es-ES"/>
              </w:rPr>
              <w:t>Esta Política resalta el rol de la tecnología para incrementar el acceso con soluciones costo-efectivas, reducir los costos de mantenimiento y administrar el consumo, evitando inversiones innecesarias en mayor capacidad. La Política reconoce que se deberá contribuir a diseminar información sobre la adopción, financiamiento y esquemas de gestión de las soluciones tecnológicas más apropiadas para cada combinación particular de servicio público y características de la demanda.</w:t>
            </w:r>
          </w:p>
        </w:tc>
        <w:tc>
          <w:tcPr>
            <w:tcW w:w="3966" w:type="dxa"/>
            <w:shd w:val="clear" w:color="auto" w:fill="auto"/>
          </w:tcPr>
          <w:p w:rsidR="007B7A43" w:rsidRPr="00A82B28" w:rsidRDefault="007B7A43" w:rsidP="00FE158F">
            <w:pPr>
              <w:rPr>
                <w:sz w:val="18"/>
                <w:szCs w:val="18"/>
                <w:lang w:val="es-ES"/>
              </w:rPr>
            </w:pPr>
            <w:r>
              <w:rPr>
                <w:sz w:val="18"/>
                <w:szCs w:val="18"/>
                <w:lang w:val="es-ES"/>
              </w:rPr>
              <w:t xml:space="preserve">La tecnología de banda ancha que el proyecto tiene previsto desplegar proporciona acceso a </w:t>
            </w:r>
            <w:r w:rsidRPr="000F1306">
              <w:rPr>
                <w:sz w:val="18"/>
                <w:szCs w:val="18"/>
                <w:lang w:val="es-ES"/>
              </w:rPr>
              <w:t>sol</w:t>
            </w:r>
            <w:r>
              <w:rPr>
                <w:sz w:val="18"/>
                <w:szCs w:val="18"/>
                <w:lang w:val="es-ES"/>
              </w:rPr>
              <w:t>uciones costo-efectivas</w:t>
            </w:r>
            <w:r w:rsidRPr="000F1306">
              <w:rPr>
                <w:sz w:val="18"/>
                <w:szCs w:val="18"/>
                <w:lang w:val="es-ES"/>
              </w:rPr>
              <w:t>.</w:t>
            </w:r>
            <w:r>
              <w:rPr>
                <w:sz w:val="18"/>
                <w:szCs w:val="18"/>
                <w:lang w:val="es-ES"/>
              </w:rPr>
              <w:t xml:space="preserve"> El estudio de factibilidad desarrollado tuvo como objetivo la selección de la alternativa más costo-eficiente para el despliegue.</w:t>
            </w:r>
          </w:p>
        </w:tc>
      </w:tr>
    </w:tbl>
    <w:p w:rsidR="000F1306" w:rsidRPr="006612A0" w:rsidRDefault="000F1306" w:rsidP="000F1306">
      <w:pPr>
        <w:rPr>
          <w:lang w:val="es-ES_tradnl"/>
        </w:rPr>
      </w:pPr>
    </w:p>
    <w:p w:rsidR="003B02C4" w:rsidRPr="000F1306" w:rsidRDefault="003B02C4" w:rsidP="000F1306">
      <w:pPr>
        <w:rPr>
          <w:lang w:val="es-ES"/>
        </w:rPr>
      </w:pPr>
    </w:p>
    <w:sectPr w:rsidR="003B02C4" w:rsidRPr="000F1306" w:rsidSect="00C2448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67C" w:rsidRDefault="002C167C">
      <w:r>
        <w:separator/>
      </w:r>
    </w:p>
  </w:endnote>
  <w:endnote w:type="continuationSeparator" w:id="0">
    <w:p w:rsidR="002C167C" w:rsidRDefault="002C1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A9E" w:rsidRDefault="007F4C90">
    <w:pPr>
      <w:pStyle w:val="Footer"/>
      <w:jc w:val="right"/>
    </w:pPr>
    <w:r>
      <w:fldChar w:fldCharType="begin"/>
    </w:r>
    <w:r>
      <w:instrText xml:space="preserve"> PAGE   \* MERGEFORMAT </w:instrText>
    </w:r>
    <w:r>
      <w:fldChar w:fldCharType="separate"/>
    </w:r>
    <w:r w:rsidR="00FB3BC5">
      <w:rPr>
        <w:noProof/>
      </w:rPr>
      <w:t>2</w:t>
    </w:r>
    <w:r>
      <w:rPr>
        <w:noProof/>
      </w:rPr>
      <w:fldChar w:fldCharType="end"/>
    </w:r>
  </w:p>
  <w:p w:rsidR="006D2A9E" w:rsidRPr="00862C11" w:rsidRDefault="00FB3BC5" w:rsidP="00862C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67C" w:rsidRDefault="002C167C">
      <w:r>
        <w:separator/>
      </w:r>
    </w:p>
  </w:footnote>
  <w:footnote w:type="continuationSeparator" w:id="0">
    <w:p w:rsidR="002C167C" w:rsidRDefault="002C16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C1306"/>
    <w:multiLevelType w:val="hybridMultilevel"/>
    <w:tmpl w:val="0434AFC2"/>
    <w:lvl w:ilvl="0" w:tplc="A4888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D159F9"/>
    <w:multiLevelType w:val="hybridMultilevel"/>
    <w:tmpl w:val="591CF180"/>
    <w:lvl w:ilvl="0" w:tplc="D0ECA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DF1"/>
    <w:rsid w:val="00030DCC"/>
    <w:rsid w:val="0008572D"/>
    <w:rsid w:val="000942AB"/>
    <w:rsid w:val="000A500C"/>
    <w:rsid w:val="000B3F4E"/>
    <w:rsid w:val="000C1545"/>
    <w:rsid w:val="000F1306"/>
    <w:rsid w:val="000F7095"/>
    <w:rsid w:val="00153BCF"/>
    <w:rsid w:val="00160A7E"/>
    <w:rsid w:val="001B7D52"/>
    <w:rsid w:val="001E0E4A"/>
    <w:rsid w:val="00247EBE"/>
    <w:rsid w:val="00292095"/>
    <w:rsid w:val="002C167C"/>
    <w:rsid w:val="002E53CF"/>
    <w:rsid w:val="003038A6"/>
    <w:rsid w:val="003147D4"/>
    <w:rsid w:val="003379E6"/>
    <w:rsid w:val="003425A4"/>
    <w:rsid w:val="003569B4"/>
    <w:rsid w:val="00384DE1"/>
    <w:rsid w:val="003B02C4"/>
    <w:rsid w:val="003B64F3"/>
    <w:rsid w:val="003C227A"/>
    <w:rsid w:val="003D5F9E"/>
    <w:rsid w:val="00422879"/>
    <w:rsid w:val="0042689E"/>
    <w:rsid w:val="004C6770"/>
    <w:rsid w:val="004D1DA8"/>
    <w:rsid w:val="004D2395"/>
    <w:rsid w:val="004F5CD3"/>
    <w:rsid w:val="005245BE"/>
    <w:rsid w:val="00553263"/>
    <w:rsid w:val="005734F8"/>
    <w:rsid w:val="005E54BE"/>
    <w:rsid w:val="00600AC8"/>
    <w:rsid w:val="00614E30"/>
    <w:rsid w:val="00631DB9"/>
    <w:rsid w:val="00660364"/>
    <w:rsid w:val="006612A0"/>
    <w:rsid w:val="006B46FE"/>
    <w:rsid w:val="006E382A"/>
    <w:rsid w:val="0072537E"/>
    <w:rsid w:val="00782859"/>
    <w:rsid w:val="007A0C42"/>
    <w:rsid w:val="007A2A90"/>
    <w:rsid w:val="007A3580"/>
    <w:rsid w:val="007A55BE"/>
    <w:rsid w:val="007B7A43"/>
    <w:rsid w:val="007E3287"/>
    <w:rsid w:val="007F4C90"/>
    <w:rsid w:val="00867CB7"/>
    <w:rsid w:val="00870DB0"/>
    <w:rsid w:val="008B595C"/>
    <w:rsid w:val="008B6E1E"/>
    <w:rsid w:val="008D5208"/>
    <w:rsid w:val="00933A23"/>
    <w:rsid w:val="009443BC"/>
    <w:rsid w:val="00951A1B"/>
    <w:rsid w:val="0095547B"/>
    <w:rsid w:val="009B26D0"/>
    <w:rsid w:val="009C36F8"/>
    <w:rsid w:val="009F73A9"/>
    <w:rsid w:val="00A44FC9"/>
    <w:rsid w:val="00A67558"/>
    <w:rsid w:val="00A82B28"/>
    <w:rsid w:val="00A9123E"/>
    <w:rsid w:val="00A94BF6"/>
    <w:rsid w:val="00AB47F0"/>
    <w:rsid w:val="00AB49AB"/>
    <w:rsid w:val="00B3004C"/>
    <w:rsid w:val="00B45065"/>
    <w:rsid w:val="00B53A67"/>
    <w:rsid w:val="00B80454"/>
    <w:rsid w:val="00B90497"/>
    <w:rsid w:val="00BE1B62"/>
    <w:rsid w:val="00C009E0"/>
    <w:rsid w:val="00C2448E"/>
    <w:rsid w:val="00C24624"/>
    <w:rsid w:val="00C44FEF"/>
    <w:rsid w:val="00C51E2E"/>
    <w:rsid w:val="00C65665"/>
    <w:rsid w:val="00CD2D1E"/>
    <w:rsid w:val="00CE3D0F"/>
    <w:rsid w:val="00CE50DC"/>
    <w:rsid w:val="00D21D37"/>
    <w:rsid w:val="00D841FB"/>
    <w:rsid w:val="00E078BC"/>
    <w:rsid w:val="00E130F6"/>
    <w:rsid w:val="00E62F16"/>
    <w:rsid w:val="00E938DE"/>
    <w:rsid w:val="00EB73C6"/>
    <w:rsid w:val="00EC1483"/>
    <w:rsid w:val="00EC1EAF"/>
    <w:rsid w:val="00ED0DF1"/>
    <w:rsid w:val="00F06490"/>
    <w:rsid w:val="00F17AA3"/>
    <w:rsid w:val="00F95C98"/>
    <w:rsid w:val="00FB3BC5"/>
    <w:rsid w:val="00FD05D0"/>
    <w:rsid w:val="00FE2B05"/>
    <w:rsid w:val="00FE30A9"/>
    <w:rsid w:val="00FE77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DF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0DB0"/>
    <w:rPr>
      <w:color w:val="0000FF" w:themeColor="hyperlink"/>
      <w:u w:val="single"/>
    </w:rPr>
  </w:style>
  <w:style w:type="character" w:styleId="FollowedHyperlink">
    <w:name w:val="FollowedHyperlink"/>
    <w:basedOn w:val="DefaultParagraphFont"/>
    <w:uiPriority w:val="99"/>
    <w:semiHidden/>
    <w:unhideWhenUsed/>
    <w:rsid w:val="00870DB0"/>
    <w:rPr>
      <w:color w:val="800080" w:themeColor="followedHyperlink"/>
      <w:u w:val="single"/>
    </w:rPr>
  </w:style>
  <w:style w:type="paragraph" w:styleId="ListParagraph">
    <w:name w:val="List Paragraph"/>
    <w:basedOn w:val="Normal"/>
    <w:qFormat/>
    <w:rsid w:val="00F06490"/>
    <w:pPr>
      <w:ind w:left="720"/>
      <w:contextualSpacing/>
    </w:pPr>
  </w:style>
  <w:style w:type="paragraph" w:styleId="Footer">
    <w:name w:val="footer"/>
    <w:basedOn w:val="Normal"/>
    <w:link w:val="FooterChar"/>
    <w:uiPriority w:val="99"/>
    <w:unhideWhenUsed/>
    <w:rsid w:val="00C2448E"/>
    <w:pPr>
      <w:tabs>
        <w:tab w:val="center" w:pos="4320"/>
        <w:tab w:val="right" w:pos="8640"/>
      </w:tabs>
    </w:pPr>
    <w:rPr>
      <w:rFonts w:ascii="Calibri" w:eastAsia="Calibri" w:hAnsi="Calibri"/>
      <w:sz w:val="22"/>
      <w:szCs w:val="22"/>
    </w:rPr>
  </w:style>
  <w:style w:type="character" w:customStyle="1" w:styleId="FooterChar">
    <w:name w:val="Footer Char"/>
    <w:basedOn w:val="DefaultParagraphFont"/>
    <w:link w:val="Footer"/>
    <w:uiPriority w:val="99"/>
    <w:rsid w:val="00C2448E"/>
    <w:rPr>
      <w:rFonts w:ascii="Calibri" w:eastAsia="Calibri" w:hAnsi="Calibri" w:cs="Times New Roman"/>
    </w:rPr>
  </w:style>
  <w:style w:type="paragraph" w:styleId="Title">
    <w:name w:val="Title"/>
    <w:basedOn w:val="Normal"/>
    <w:link w:val="TitleChar"/>
    <w:qFormat/>
    <w:rsid w:val="00C2448E"/>
    <w:pPr>
      <w:tabs>
        <w:tab w:val="left" w:pos="1440"/>
        <w:tab w:val="left" w:pos="3060"/>
      </w:tabs>
      <w:jc w:val="center"/>
      <w:outlineLvl w:val="0"/>
    </w:pPr>
    <w:rPr>
      <w:szCs w:val="20"/>
    </w:rPr>
  </w:style>
  <w:style w:type="character" w:customStyle="1" w:styleId="TitleChar">
    <w:name w:val="Title Char"/>
    <w:basedOn w:val="DefaultParagraphFont"/>
    <w:link w:val="Title"/>
    <w:rsid w:val="00C2448E"/>
    <w:rPr>
      <w:rFonts w:ascii="Times New Roman" w:eastAsia="Times New Roman" w:hAnsi="Times New Roman" w:cs="Times New Roman"/>
      <w:sz w:val="24"/>
      <w:szCs w:val="20"/>
    </w:rPr>
  </w:style>
  <w:style w:type="paragraph" w:customStyle="1" w:styleId="Newpage">
    <w:name w:val="Newpage"/>
    <w:basedOn w:val="Normal"/>
    <w:rsid w:val="00C2448E"/>
    <w:pPr>
      <w:tabs>
        <w:tab w:val="left" w:pos="1440"/>
        <w:tab w:val="left" w:pos="3060"/>
      </w:tabs>
      <w:jc w:val="center"/>
    </w:pPr>
    <w:rPr>
      <w:rFonts w:cs="Arial"/>
      <w:b/>
      <w:smallCaps/>
      <w:szCs w:val="20"/>
    </w:rPr>
  </w:style>
  <w:style w:type="paragraph" w:styleId="BalloonText">
    <w:name w:val="Balloon Text"/>
    <w:basedOn w:val="Normal"/>
    <w:link w:val="BalloonTextChar"/>
    <w:uiPriority w:val="99"/>
    <w:semiHidden/>
    <w:unhideWhenUsed/>
    <w:rsid w:val="004D2395"/>
    <w:rPr>
      <w:rFonts w:ascii="Tahoma" w:hAnsi="Tahoma" w:cs="Tahoma"/>
      <w:sz w:val="16"/>
      <w:szCs w:val="16"/>
    </w:rPr>
  </w:style>
  <w:style w:type="character" w:customStyle="1" w:styleId="BalloonTextChar">
    <w:name w:val="Balloon Text Char"/>
    <w:basedOn w:val="DefaultParagraphFont"/>
    <w:link w:val="BalloonText"/>
    <w:uiPriority w:val="99"/>
    <w:semiHidden/>
    <w:rsid w:val="004D2395"/>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3379E6"/>
    <w:rPr>
      <w:sz w:val="16"/>
      <w:szCs w:val="16"/>
    </w:rPr>
  </w:style>
  <w:style w:type="paragraph" w:styleId="CommentText">
    <w:name w:val="annotation text"/>
    <w:basedOn w:val="Normal"/>
    <w:link w:val="CommentTextChar"/>
    <w:uiPriority w:val="99"/>
    <w:semiHidden/>
    <w:unhideWhenUsed/>
    <w:rsid w:val="003379E6"/>
    <w:rPr>
      <w:sz w:val="20"/>
      <w:szCs w:val="20"/>
    </w:rPr>
  </w:style>
  <w:style w:type="character" w:customStyle="1" w:styleId="CommentTextChar">
    <w:name w:val="Comment Text Char"/>
    <w:basedOn w:val="DefaultParagraphFont"/>
    <w:link w:val="CommentText"/>
    <w:uiPriority w:val="99"/>
    <w:semiHidden/>
    <w:rsid w:val="003379E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79E6"/>
    <w:rPr>
      <w:b/>
      <w:bCs/>
    </w:rPr>
  </w:style>
  <w:style w:type="character" w:customStyle="1" w:styleId="CommentSubjectChar">
    <w:name w:val="Comment Subject Char"/>
    <w:basedOn w:val="CommentTextChar"/>
    <w:link w:val="CommentSubject"/>
    <w:uiPriority w:val="99"/>
    <w:semiHidden/>
    <w:rsid w:val="003379E6"/>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DF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0DB0"/>
    <w:rPr>
      <w:color w:val="0000FF" w:themeColor="hyperlink"/>
      <w:u w:val="single"/>
    </w:rPr>
  </w:style>
  <w:style w:type="character" w:styleId="FollowedHyperlink">
    <w:name w:val="FollowedHyperlink"/>
    <w:basedOn w:val="DefaultParagraphFont"/>
    <w:uiPriority w:val="99"/>
    <w:semiHidden/>
    <w:unhideWhenUsed/>
    <w:rsid w:val="00870DB0"/>
    <w:rPr>
      <w:color w:val="800080" w:themeColor="followedHyperlink"/>
      <w:u w:val="single"/>
    </w:rPr>
  </w:style>
  <w:style w:type="paragraph" w:styleId="ListParagraph">
    <w:name w:val="List Paragraph"/>
    <w:basedOn w:val="Normal"/>
    <w:qFormat/>
    <w:rsid w:val="00F06490"/>
    <w:pPr>
      <w:ind w:left="720"/>
      <w:contextualSpacing/>
    </w:pPr>
  </w:style>
  <w:style w:type="paragraph" w:styleId="Footer">
    <w:name w:val="footer"/>
    <w:basedOn w:val="Normal"/>
    <w:link w:val="FooterChar"/>
    <w:uiPriority w:val="99"/>
    <w:unhideWhenUsed/>
    <w:rsid w:val="00C2448E"/>
    <w:pPr>
      <w:tabs>
        <w:tab w:val="center" w:pos="4320"/>
        <w:tab w:val="right" w:pos="8640"/>
      </w:tabs>
    </w:pPr>
    <w:rPr>
      <w:rFonts w:ascii="Calibri" w:eastAsia="Calibri" w:hAnsi="Calibri"/>
      <w:sz w:val="22"/>
      <w:szCs w:val="22"/>
    </w:rPr>
  </w:style>
  <w:style w:type="character" w:customStyle="1" w:styleId="FooterChar">
    <w:name w:val="Footer Char"/>
    <w:basedOn w:val="DefaultParagraphFont"/>
    <w:link w:val="Footer"/>
    <w:uiPriority w:val="99"/>
    <w:rsid w:val="00C2448E"/>
    <w:rPr>
      <w:rFonts w:ascii="Calibri" w:eastAsia="Calibri" w:hAnsi="Calibri" w:cs="Times New Roman"/>
    </w:rPr>
  </w:style>
  <w:style w:type="paragraph" w:styleId="Title">
    <w:name w:val="Title"/>
    <w:basedOn w:val="Normal"/>
    <w:link w:val="TitleChar"/>
    <w:qFormat/>
    <w:rsid w:val="00C2448E"/>
    <w:pPr>
      <w:tabs>
        <w:tab w:val="left" w:pos="1440"/>
        <w:tab w:val="left" w:pos="3060"/>
      </w:tabs>
      <w:jc w:val="center"/>
      <w:outlineLvl w:val="0"/>
    </w:pPr>
    <w:rPr>
      <w:szCs w:val="20"/>
    </w:rPr>
  </w:style>
  <w:style w:type="character" w:customStyle="1" w:styleId="TitleChar">
    <w:name w:val="Title Char"/>
    <w:basedOn w:val="DefaultParagraphFont"/>
    <w:link w:val="Title"/>
    <w:rsid w:val="00C2448E"/>
    <w:rPr>
      <w:rFonts w:ascii="Times New Roman" w:eastAsia="Times New Roman" w:hAnsi="Times New Roman" w:cs="Times New Roman"/>
      <w:sz w:val="24"/>
      <w:szCs w:val="20"/>
    </w:rPr>
  </w:style>
  <w:style w:type="paragraph" w:customStyle="1" w:styleId="Newpage">
    <w:name w:val="Newpage"/>
    <w:basedOn w:val="Normal"/>
    <w:rsid w:val="00C2448E"/>
    <w:pPr>
      <w:tabs>
        <w:tab w:val="left" w:pos="1440"/>
        <w:tab w:val="left" w:pos="3060"/>
      </w:tabs>
      <w:jc w:val="center"/>
    </w:pPr>
    <w:rPr>
      <w:rFonts w:cs="Arial"/>
      <w:b/>
      <w:smallCaps/>
      <w:szCs w:val="20"/>
    </w:rPr>
  </w:style>
  <w:style w:type="paragraph" w:styleId="BalloonText">
    <w:name w:val="Balloon Text"/>
    <w:basedOn w:val="Normal"/>
    <w:link w:val="BalloonTextChar"/>
    <w:uiPriority w:val="99"/>
    <w:semiHidden/>
    <w:unhideWhenUsed/>
    <w:rsid w:val="004D2395"/>
    <w:rPr>
      <w:rFonts w:ascii="Tahoma" w:hAnsi="Tahoma" w:cs="Tahoma"/>
      <w:sz w:val="16"/>
      <w:szCs w:val="16"/>
    </w:rPr>
  </w:style>
  <w:style w:type="character" w:customStyle="1" w:styleId="BalloonTextChar">
    <w:name w:val="Balloon Text Char"/>
    <w:basedOn w:val="DefaultParagraphFont"/>
    <w:link w:val="BalloonText"/>
    <w:uiPriority w:val="99"/>
    <w:semiHidden/>
    <w:rsid w:val="004D2395"/>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3379E6"/>
    <w:rPr>
      <w:sz w:val="16"/>
      <w:szCs w:val="16"/>
    </w:rPr>
  </w:style>
  <w:style w:type="paragraph" w:styleId="CommentText">
    <w:name w:val="annotation text"/>
    <w:basedOn w:val="Normal"/>
    <w:link w:val="CommentTextChar"/>
    <w:uiPriority w:val="99"/>
    <w:semiHidden/>
    <w:unhideWhenUsed/>
    <w:rsid w:val="003379E6"/>
    <w:rPr>
      <w:sz w:val="20"/>
      <w:szCs w:val="20"/>
    </w:rPr>
  </w:style>
  <w:style w:type="character" w:customStyle="1" w:styleId="CommentTextChar">
    <w:name w:val="Comment Text Char"/>
    <w:basedOn w:val="DefaultParagraphFont"/>
    <w:link w:val="CommentText"/>
    <w:uiPriority w:val="99"/>
    <w:semiHidden/>
    <w:rsid w:val="003379E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79E6"/>
    <w:rPr>
      <w:b/>
      <w:bCs/>
    </w:rPr>
  </w:style>
  <w:style w:type="character" w:customStyle="1" w:styleId="CommentSubjectChar">
    <w:name w:val="Comment Subject Char"/>
    <w:basedOn w:val="CommentTextChar"/>
    <w:link w:val="CommentSubject"/>
    <w:uiPriority w:val="99"/>
    <w:semiHidden/>
    <w:rsid w:val="003379E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yperlink" Target="http://idbdocs.iadb.org/wsdocs/getDocument.aspx?DOCNUM=39885903"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45298D399E9E7643894FC39CD28A7F6C" ma:contentTypeVersion="0" ma:contentTypeDescription="A content type to manage public (operations) IDB documents" ma:contentTypeScope="" ma:versionID="c0a1a8e2704435cb5982a9aff66a3c82">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39942073</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IFD/CMF</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Garcia Zaballos, Antonio</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NI-L1090</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Whole&lt;/APPROVAL_DESC&gt;&lt;PD_OBJ_TYPE&gt;0&lt;/PD_OBJ_TYPE&gt;&lt;DTAPPROVAL&gt;Dec  9 2015 12:00AM&lt;/DTAPPROVAL&gt;&lt;MAKERECORD&gt;N&lt;/MAKERECORD&gt;&lt;/Data&gt;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CO-COD</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88EA31D9-96E1-4355-9C8E-EBA68993C59B}"/>
</file>

<file path=customXml/itemProps2.xml><?xml version="1.0" encoding="utf-8"?>
<ds:datastoreItem xmlns:ds="http://schemas.openxmlformats.org/officeDocument/2006/customXml" ds:itemID="{60A3A582-9318-4E6B-8B80-3B3A87E46DDC}"/>
</file>

<file path=customXml/itemProps3.xml><?xml version="1.0" encoding="utf-8"?>
<ds:datastoreItem xmlns:ds="http://schemas.openxmlformats.org/officeDocument/2006/customXml" ds:itemID="{298E91A5-2EEA-4930-A258-60D0E4972752}"/>
</file>

<file path=customXml/itemProps4.xml><?xml version="1.0" encoding="utf-8"?>
<ds:datastoreItem xmlns:ds="http://schemas.openxmlformats.org/officeDocument/2006/customXml" ds:itemID="{BAC83C74-521D-4BED-9D68-D9CE6179096E}"/>
</file>

<file path=customXml/itemProps5.xml><?xml version="1.0" encoding="utf-8"?>
<ds:datastoreItem xmlns:ds="http://schemas.openxmlformats.org/officeDocument/2006/customXml" ds:itemID="{249CA11D-C84E-458F-84B6-96A0D971CC48}"/>
</file>

<file path=customXml/itemProps6.xml><?xml version="1.0" encoding="utf-8"?>
<ds:datastoreItem xmlns:ds="http://schemas.openxmlformats.org/officeDocument/2006/customXml" ds:itemID="{944D7819-0C27-4696-A564-E51D49E65E76}"/>
</file>

<file path=docProps/app.xml><?xml version="1.0" encoding="utf-8"?>
<Properties xmlns="http://schemas.openxmlformats.org/officeDocument/2006/extended-properties" xmlns:vt="http://schemas.openxmlformats.org/officeDocument/2006/docPropsVTypes">
  <Template>Normal.dotm</Template>
  <TotalTime>2</TotalTime>
  <Pages>7</Pages>
  <Words>2579</Words>
  <Characters>14704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17249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 ELink Opcional 5 - Analysis of Compliance with the Bank's Public Utilities Policiy (GN-2716-4) - NI-L1090</dc:title>
  <dc:creator>Inter-American Development Bank</dc:creator>
  <cp:lastModifiedBy>Test</cp:lastModifiedBy>
  <cp:revision>3</cp:revision>
  <dcterms:created xsi:type="dcterms:W3CDTF">2015-11-04T22:41:00Z</dcterms:created>
  <dcterms:modified xsi:type="dcterms:W3CDTF">2015-11-04T22:42:00Z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0x01010046CF21643EE8D14686A648AA6DAD08920045298D399E9E7643894FC39CD28A7F6C</vt:lpwstr>
  </property>
  <property fmtid="{D5CDD505-2E9C-101B-9397-08002B2CF9AE}" pid="3" name="TaxKeyword">
    <vt:lpwstr/>
  </property>
  <property fmtid="{D5CDD505-2E9C-101B-9397-08002B2CF9AE}" pid="4" name="Function Operations IDB">
    <vt:lpwstr>5;#IDBDocs|cca77002-e150-4b2d-ab1f-1d7a7cdcae16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