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57680" w14:textId="77777777" w:rsidR="00EF5654" w:rsidRPr="00655491" w:rsidRDefault="00EF5654" w:rsidP="00EF5654">
      <w:pPr>
        <w:jc w:val="center"/>
        <w:rPr>
          <w:rFonts w:ascii="Arial" w:hAnsi="Arial" w:cs="Arial"/>
          <w:b/>
          <w:bCs/>
          <w:sz w:val="22"/>
          <w:szCs w:val="22"/>
          <w:lang w:val="es-ES_tradnl"/>
        </w:rPr>
      </w:pPr>
    </w:p>
    <w:p w14:paraId="6A0005A8" w14:textId="77777777" w:rsidR="00EF5654" w:rsidRDefault="00EF5654" w:rsidP="00EF5654">
      <w:pPr>
        <w:jc w:val="center"/>
        <w:rPr>
          <w:rFonts w:ascii="Arial" w:hAnsi="Arial" w:cs="Arial"/>
          <w:b/>
          <w:bCs/>
          <w:sz w:val="22"/>
          <w:szCs w:val="22"/>
          <w:lang w:val="es-ES_tradnl"/>
        </w:rPr>
      </w:pPr>
      <w:r w:rsidRPr="00655491">
        <w:rPr>
          <w:rFonts w:ascii="Arial" w:hAnsi="Arial" w:cs="Arial"/>
          <w:b/>
          <w:bCs/>
          <w:sz w:val="22"/>
          <w:szCs w:val="22"/>
          <w:lang w:val="es-ES_tradnl"/>
        </w:rPr>
        <w:t>ARGENTINA</w:t>
      </w:r>
    </w:p>
    <w:p w14:paraId="1DE5F339" w14:textId="77777777" w:rsidR="00EF5654" w:rsidRPr="00655491" w:rsidRDefault="00EF5654" w:rsidP="00EF5654">
      <w:pPr>
        <w:jc w:val="center"/>
        <w:rPr>
          <w:rFonts w:ascii="Arial" w:hAnsi="Arial" w:cs="Arial"/>
          <w:b/>
          <w:bCs/>
          <w:sz w:val="22"/>
          <w:szCs w:val="22"/>
          <w:lang w:val="es-ES_tradnl"/>
        </w:rPr>
      </w:pPr>
    </w:p>
    <w:p w14:paraId="19B0887B" w14:textId="77777777" w:rsidR="00EF5654" w:rsidRPr="00655491" w:rsidRDefault="00EF5654" w:rsidP="00EF5654">
      <w:pPr>
        <w:jc w:val="center"/>
        <w:rPr>
          <w:rFonts w:ascii="Arial" w:hAnsi="Arial" w:cs="Arial"/>
          <w:b/>
          <w:bCs/>
          <w:sz w:val="22"/>
          <w:szCs w:val="22"/>
          <w:lang w:val="es-ES_tradnl"/>
        </w:rPr>
      </w:pPr>
      <w:r w:rsidRPr="00655491">
        <w:rPr>
          <w:rFonts w:ascii="Arial" w:hAnsi="Arial" w:cs="Arial"/>
          <w:b/>
          <w:bCs/>
          <w:sz w:val="22"/>
          <w:szCs w:val="22"/>
          <w:lang w:val="es-ES_tradnl"/>
        </w:rPr>
        <w:t>INFRAESTRUCTURA Y ENERGÍA/DIVISIÓN DE ENERGÍA (INE/ENE)</w:t>
      </w:r>
    </w:p>
    <w:p w14:paraId="2470A80F" w14:textId="77777777" w:rsidR="00EF5654" w:rsidRPr="00655491" w:rsidRDefault="00EF5654" w:rsidP="00EF5654">
      <w:pPr>
        <w:jc w:val="center"/>
        <w:rPr>
          <w:rFonts w:ascii="Arial" w:hAnsi="Arial" w:cs="Arial"/>
          <w:sz w:val="22"/>
          <w:szCs w:val="22"/>
          <w:u w:val="single"/>
          <w:lang w:val="es-ES_tradnl"/>
        </w:rPr>
      </w:pPr>
    </w:p>
    <w:p w14:paraId="10EC04F8" w14:textId="77777777" w:rsidR="00EF5654" w:rsidRPr="00655491" w:rsidRDefault="00EF5654" w:rsidP="00EF5654">
      <w:pPr>
        <w:jc w:val="center"/>
        <w:rPr>
          <w:rFonts w:ascii="Arial" w:hAnsi="Arial" w:cs="Arial"/>
          <w:b/>
          <w:bCs/>
          <w:sz w:val="22"/>
          <w:szCs w:val="22"/>
          <w:lang w:val="es-ES_tradnl"/>
        </w:rPr>
      </w:pPr>
    </w:p>
    <w:p w14:paraId="49875671" w14:textId="77777777" w:rsidR="00EF5654" w:rsidRDefault="00EF5654" w:rsidP="00EF5654">
      <w:pPr>
        <w:jc w:val="center"/>
        <w:rPr>
          <w:rFonts w:ascii="Arial" w:hAnsi="Arial" w:cs="Arial"/>
          <w:b/>
          <w:bCs/>
          <w:sz w:val="22"/>
          <w:szCs w:val="22"/>
          <w:lang w:val="es-ES"/>
        </w:rPr>
      </w:pPr>
      <w:r w:rsidRPr="00FF5B5F">
        <w:rPr>
          <w:rFonts w:ascii="Arial" w:hAnsi="Arial" w:cs="Arial"/>
          <w:b/>
          <w:bCs/>
          <w:sz w:val="22"/>
          <w:szCs w:val="22"/>
          <w:lang w:val="es-ES_tradnl"/>
        </w:rPr>
        <w:t>D</w:t>
      </w:r>
      <w:r w:rsidRPr="00FF5B5F">
        <w:rPr>
          <w:rFonts w:ascii="Arial" w:hAnsi="Arial" w:cs="Arial"/>
          <w:b/>
          <w:bCs/>
          <w:sz w:val="22"/>
          <w:szCs w:val="22"/>
          <w:lang w:val="es-ES"/>
        </w:rPr>
        <w:t>ESARROLLO DE ESCENARIOS ENERGÉTICOS DE LARGO PLAZO</w:t>
      </w:r>
    </w:p>
    <w:p w14:paraId="680BF74D" w14:textId="77777777" w:rsidR="00EF5654" w:rsidRDefault="00EF5654" w:rsidP="00EF5654">
      <w:pPr>
        <w:jc w:val="center"/>
        <w:rPr>
          <w:rFonts w:ascii="Arial" w:hAnsi="Arial" w:cs="Arial"/>
          <w:b/>
          <w:bCs/>
          <w:sz w:val="22"/>
          <w:szCs w:val="22"/>
          <w:lang w:val="es-ES"/>
        </w:rPr>
      </w:pPr>
    </w:p>
    <w:p w14:paraId="2E1B4567" w14:textId="77777777" w:rsidR="00EF5654" w:rsidRDefault="00EF5654" w:rsidP="00EF5654">
      <w:pPr>
        <w:jc w:val="center"/>
        <w:rPr>
          <w:rFonts w:ascii="Arial" w:hAnsi="Arial" w:cs="Arial"/>
          <w:b/>
          <w:bCs/>
          <w:sz w:val="22"/>
          <w:szCs w:val="22"/>
          <w:lang w:val="es-ES"/>
        </w:rPr>
      </w:pPr>
      <w:r w:rsidRPr="004D7D3A">
        <w:rPr>
          <w:rFonts w:ascii="Arial" w:hAnsi="Arial" w:cs="Arial"/>
          <w:b/>
          <w:bCs/>
          <w:sz w:val="22"/>
          <w:szCs w:val="22"/>
          <w:lang w:val="es-ES"/>
        </w:rPr>
        <w:t>APOYO A LA AGENDA DE DESARROLLO DE ENERGÍA SOSTENIBLE EN ARGENTINA</w:t>
      </w:r>
    </w:p>
    <w:p w14:paraId="674240A1" w14:textId="77777777" w:rsidR="00EF5654" w:rsidRPr="004D7D3A" w:rsidRDefault="00EF5654" w:rsidP="00EF5654">
      <w:pPr>
        <w:jc w:val="center"/>
        <w:rPr>
          <w:rFonts w:ascii="Arial" w:hAnsi="Arial" w:cs="Arial"/>
          <w:b/>
          <w:bCs/>
          <w:sz w:val="22"/>
          <w:szCs w:val="22"/>
          <w:lang w:val="pt-BR"/>
        </w:rPr>
      </w:pPr>
      <w:r w:rsidRPr="004D7D3A">
        <w:rPr>
          <w:rFonts w:ascii="Arial" w:hAnsi="Arial" w:cs="Arial"/>
          <w:b/>
          <w:bCs/>
          <w:sz w:val="22"/>
          <w:szCs w:val="22"/>
          <w:lang w:val="pt-BR"/>
        </w:rPr>
        <w:t>AR-T1147</w:t>
      </w:r>
    </w:p>
    <w:p w14:paraId="73B653E0" w14:textId="77777777" w:rsidR="00EF5654" w:rsidRPr="004D7D3A" w:rsidRDefault="00EF5654" w:rsidP="00EF5654">
      <w:pPr>
        <w:jc w:val="center"/>
        <w:rPr>
          <w:rFonts w:ascii="Arial" w:hAnsi="Arial" w:cs="Arial"/>
          <w:iCs/>
          <w:sz w:val="22"/>
          <w:szCs w:val="22"/>
          <w:lang w:val="pt-BR"/>
        </w:rPr>
      </w:pPr>
    </w:p>
    <w:p w14:paraId="34BCAE17" w14:textId="77777777" w:rsidR="00EF5654" w:rsidRDefault="00EF5654" w:rsidP="00EF5654">
      <w:pPr>
        <w:jc w:val="center"/>
        <w:rPr>
          <w:rFonts w:ascii="Arial" w:hAnsi="Arial" w:cs="Arial"/>
          <w:b/>
          <w:bCs/>
          <w:sz w:val="22"/>
          <w:szCs w:val="22"/>
          <w:lang w:val="pt-BR"/>
        </w:rPr>
      </w:pPr>
      <w:r w:rsidRPr="004D7D3A">
        <w:rPr>
          <w:rFonts w:ascii="Arial" w:hAnsi="Arial" w:cs="Arial"/>
          <w:b/>
          <w:bCs/>
          <w:sz w:val="22"/>
          <w:szCs w:val="22"/>
          <w:lang w:val="pt-BR"/>
        </w:rPr>
        <w:t>COMPONENTE I</w:t>
      </w:r>
    </w:p>
    <w:p w14:paraId="456F699E" w14:textId="77777777" w:rsidR="00EF5654" w:rsidRPr="004D7D3A" w:rsidRDefault="00EF5654" w:rsidP="00EF5654">
      <w:pPr>
        <w:jc w:val="center"/>
        <w:rPr>
          <w:rFonts w:ascii="Arial" w:hAnsi="Arial" w:cs="Arial"/>
          <w:b/>
          <w:bCs/>
          <w:sz w:val="22"/>
          <w:szCs w:val="22"/>
          <w:lang w:val="pt-BR"/>
        </w:rPr>
      </w:pPr>
    </w:p>
    <w:p w14:paraId="5E33B441" w14:textId="77777777" w:rsidR="00EF5654" w:rsidRPr="004D7D3A" w:rsidRDefault="00EF5654" w:rsidP="00EF5654">
      <w:pPr>
        <w:jc w:val="center"/>
        <w:rPr>
          <w:rFonts w:ascii="Arial" w:hAnsi="Arial" w:cs="Arial"/>
          <w:b/>
          <w:bCs/>
          <w:sz w:val="22"/>
          <w:szCs w:val="22"/>
          <w:lang w:val="pt-BR"/>
        </w:rPr>
      </w:pPr>
      <w:r w:rsidRPr="004D7D3A">
        <w:rPr>
          <w:rFonts w:ascii="Arial" w:hAnsi="Arial" w:cs="Arial"/>
          <w:b/>
          <w:bCs/>
          <w:sz w:val="22"/>
          <w:szCs w:val="22"/>
          <w:lang w:val="pt-BR"/>
        </w:rPr>
        <w:t>TERMINOS DE REFERENCIA</w:t>
      </w:r>
    </w:p>
    <w:p w14:paraId="00970400" w14:textId="77777777" w:rsidR="00EF5654" w:rsidRPr="004D7D3A" w:rsidRDefault="00EF5654" w:rsidP="00EF5654">
      <w:pPr>
        <w:jc w:val="center"/>
        <w:rPr>
          <w:rFonts w:ascii="Arial" w:hAnsi="Arial" w:cs="Arial"/>
          <w:b/>
          <w:bCs/>
          <w:sz w:val="22"/>
          <w:szCs w:val="22"/>
          <w:lang w:val="pt-BR"/>
        </w:rPr>
      </w:pPr>
    </w:p>
    <w:p w14:paraId="3C811412" w14:textId="77777777" w:rsidR="00EF5654" w:rsidRPr="00F345F3" w:rsidRDefault="00EF5654" w:rsidP="00EF5654">
      <w:pPr>
        <w:jc w:val="center"/>
        <w:rPr>
          <w:rFonts w:ascii="Arial" w:hAnsi="Arial" w:cs="Arial"/>
          <w:b/>
          <w:bCs/>
          <w:sz w:val="22"/>
          <w:szCs w:val="22"/>
          <w:lang w:val="es-ES_tradnl"/>
        </w:rPr>
      </w:pPr>
      <w:r w:rsidRPr="00F345F3">
        <w:rPr>
          <w:rFonts w:ascii="Arial" w:hAnsi="Arial" w:cs="Arial"/>
          <w:b/>
          <w:bCs/>
          <w:sz w:val="22"/>
          <w:szCs w:val="22"/>
          <w:lang w:val="es-ES_tradnl"/>
        </w:rPr>
        <w:t>ANTECEDENTES</w:t>
      </w:r>
    </w:p>
    <w:p w14:paraId="3EEBC67D" w14:textId="77777777" w:rsidR="00EF5654" w:rsidRPr="00F345F3" w:rsidRDefault="00EF5654" w:rsidP="00EF5654">
      <w:pPr>
        <w:jc w:val="both"/>
        <w:rPr>
          <w:rFonts w:ascii="Arial" w:hAnsi="Arial" w:cs="Arial"/>
          <w:bCs/>
          <w:sz w:val="22"/>
          <w:szCs w:val="22"/>
          <w:lang w:val="es-ES_tradnl"/>
        </w:rPr>
      </w:pPr>
    </w:p>
    <w:p w14:paraId="762A8771" w14:textId="77777777" w:rsidR="00EF5654" w:rsidRDefault="00EF5654" w:rsidP="00EF5654">
      <w:pPr>
        <w:tabs>
          <w:tab w:val="left" w:pos="720"/>
        </w:tabs>
        <w:jc w:val="both"/>
        <w:rPr>
          <w:rFonts w:ascii="Arial" w:hAnsi="Arial" w:cs="Arial"/>
          <w:bCs/>
          <w:sz w:val="22"/>
          <w:szCs w:val="22"/>
          <w:lang w:val="es-ES"/>
        </w:rPr>
      </w:pPr>
      <w:r w:rsidRPr="00655491">
        <w:rPr>
          <w:rFonts w:ascii="Arial" w:hAnsi="Arial" w:cs="Arial"/>
          <w:bCs/>
          <w:sz w:val="22"/>
          <w:szCs w:val="22"/>
          <w:lang w:val="es-ES"/>
        </w:rPr>
        <w:t>La División de Energía (ENE) del Banco Interamericano de Desarrollo (BID) es una división funcional dentro del Departamento Sectorial de Infraestructura y Energía (INE), bajo la Vicepresidencia de Sectores y Conocimiento del BID. La división de referencia (INE/ENE) está encargada del desarrollo de préstamos con garantía soberana, cooperaciones técnicas no reembolsables, incluyendo análisis técnico, económico, regulatorio, identificación y preparación de programas, proyectos, estudios y notas sectoriales en el sector de energía.</w:t>
      </w:r>
    </w:p>
    <w:p w14:paraId="589AF8AE" w14:textId="77777777" w:rsidR="00EF5654" w:rsidRPr="00655491" w:rsidRDefault="00EF5654" w:rsidP="00EF5654">
      <w:pPr>
        <w:tabs>
          <w:tab w:val="left" w:pos="720"/>
        </w:tabs>
        <w:jc w:val="both"/>
        <w:rPr>
          <w:rFonts w:ascii="Arial" w:hAnsi="Arial" w:cs="Arial"/>
          <w:bCs/>
          <w:sz w:val="22"/>
          <w:szCs w:val="22"/>
          <w:lang w:val="es-ES"/>
        </w:rPr>
      </w:pPr>
    </w:p>
    <w:p w14:paraId="4C430427" w14:textId="77777777" w:rsidR="00EF5654" w:rsidRDefault="00EF5654" w:rsidP="00EF5654">
      <w:pPr>
        <w:tabs>
          <w:tab w:val="left" w:pos="720"/>
        </w:tabs>
        <w:jc w:val="both"/>
        <w:rPr>
          <w:rStyle w:val="Strong"/>
          <w:rFonts w:ascii="Arial" w:hAnsi="Arial" w:cs="Arial"/>
          <w:b w:val="0"/>
          <w:sz w:val="22"/>
          <w:szCs w:val="22"/>
          <w:lang w:val="es-ES_tradnl"/>
        </w:rPr>
      </w:pPr>
      <w:r w:rsidRPr="00655491">
        <w:rPr>
          <w:rStyle w:val="Strong"/>
          <w:rFonts w:ascii="Arial" w:hAnsi="Arial" w:cs="Arial"/>
          <w:b w:val="0"/>
          <w:sz w:val="22"/>
          <w:szCs w:val="22"/>
          <w:lang w:val="es-ES_tradnl"/>
        </w:rPr>
        <w:t>La planificación energética de largo plazo pasa a ser de relevancia estratégica para el desarrollo sostenible de la República Argentina. En ese marco, dentro del Ministerio de Energía y Minería de la Nación (MINEM) se dispuso la creación de la Subsecretaría de Escenarios y Evaluación de Proyectos. Esta subsecretaría cumple las funciones de crear el Sistema Unificado de Información Energética de la República Argentina; de coordinar la recopilación de información energética, sistematizarla, realizar análisis y publicarla en forma transparente y periódica; de desarrollar el balance energético del país, escenarios y proyecciones de demanda, oferta, y otras, que hagan posible un planeamiento público y privado adecuado del uso de los recursos energéticos; entre otros.</w:t>
      </w:r>
    </w:p>
    <w:p w14:paraId="420316F2" w14:textId="77777777" w:rsidR="00EF5654" w:rsidRPr="00655491" w:rsidRDefault="00EF5654" w:rsidP="00EF5654">
      <w:pPr>
        <w:tabs>
          <w:tab w:val="left" w:pos="720"/>
        </w:tabs>
        <w:jc w:val="both"/>
        <w:rPr>
          <w:rStyle w:val="Strong"/>
          <w:rFonts w:ascii="Arial" w:hAnsi="Arial" w:cs="Arial"/>
          <w:b w:val="0"/>
          <w:bCs/>
          <w:sz w:val="22"/>
          <w:szCs w:val="22"/>
          <w:lang w:val="es-ES"/>
        </w:rPr>
      </w:pPr>
    </w:p>
    <w:p w14:paraId="0B942665" w14:textId="77777777" w:rsidR="00EF5654" w:rsidRDefault="00EF5654" w:rsidP="00EF5654">
      <w:pPr>
        <w:tabs>
          <w:tab w:val="left" w:pos="720"/>
        </w:tabs>
        <w:jc w:val="both"/>
        <w:rPr>
          <w:rStyle w:val="Strong"/>
          <w:rFonts w:ascii="Arial" w:hAnsi="Arial" w:cs="Arial"/>
          <w:b w:val="0"/>
          <w:sz w:val="22"/>
          <w:szCs w:val="22"/>
          <w:lang w:val="es-ES_tradnl"/>
        </w:rPr>
      </w:pPr>
      <w:r w:rsidRPr="00655491">
        <w:rPr>
          <w:rStyle w:val="Strong"/>
          <w:rFonts w:ascii="Arial" w:hAnsi="Arial" w:cs="Arial"/>
          <w:b w:val="0"/>
          <w:sz w:val="22"/>
          <w:szCs w:val="22"/>
          <w:lang w:val="es-ES_tradnl"/>
        </w:rPr>
        <w:t>La Plataforma Escenarios Energéticos Argentina se constituyó en 2012 a partir del compromiso de la Fundación Avina, Fundación Ambiente y Recursos Naturales (FARN), el Centro de Estudios de la Actividad Regulatoria Energética de la Universidad de Buenos Aires (CEARE), y el Instituto Tecnológico Buenos Aires (ITBA) con el objetivo de instalar un proceso de diálogo con todos los sectores de la sociedad a fin de pensar el futuro de la energía, y contribuyendo a la construcción de un espacio de intercambio que enriquezca un debate abierto, transparente y con rigor técnico, que permita visibilizar las diversas opciones para el futuro energético del país.</w:t>
      </w:r>
    </w:p>
    <w:p w14:paraId="4D91BA6C" w14:textId="77777777" w:rsidR="00EF5654" w:rsidRPr="00655491" w:rsidRDefault="00EF5654" w:rsidP="00EF5654">
      <w:pPr>
        <w:tabs>
          <w:tab w:val="left" w:pos="720"/>
        </w:tabs>
        <w:jc w:val="both"/>
        <w:rPr>
          <w:rStyle w:val="Strong"/>
          <w:rFonts w:ascii="Arial" w:hAnsi="Arial" w:cs="Arial"/>
          <w:b w:val="0"/>
          <w:sz w:val="22"/>
          <w:szCs w:val="22"/>
          <w:lang w:val="es-ES_tradnl"/>
        </w:rPr>
      </w:pPr>
    </w:p>
    <w:p w14:paraId="6AA990E2" w14:textId="77777777" w:rsidR="00EF5654" w:rsidRDefault="00EF5654" w:rsidP="00EF5654">
      <w:pPr>
        <w:tabs>
          <w:tab w:val="left" w:pos="720"/>
        </w:tabs>
        <w:jc w:val="both"/>
        <w:rPr>
          <w:rStyle w:val="Strong"/>
          <w:rFonts w:ascii="Arial" w:hAnsi="Arial" w:cs="Arial"/>
          <w:b w:val="0"/>
          <w:sz w:val="22"/>
          <w:szCs w:val="22"/>
        </w:rPr>
      </w:pPr>
      <w:r w:rsidRPr="00655491">
        <w:rPr>
          <w:rStyle w:val="Strong"/>
          <w:rFonts w:ascii="Arial" w:hAnsi="Arial" w:cs="Arial"/>
          <w:b w:val="0"/>
          <w:sz w:val="22"/>
          <w:szCs w:val="22"/>
          <w:lang w:val="es-ES_tradnl"/>
        </w:rPr>
        <w:t xml:space="preserve">El MINEM y la Plataforma Escenarios Energéticos firmaron un convenio de colaboración con el objetivo de fortalecer la Plataforma mencionada y contribuir a la construcción de una visión colectiva de largo plazo de la matriz energética de la República Argentina, sus impactos económicos y ambientales, como insumo clave para la formulación de políticas públicas. </w:t>
      </w:r>
      <w:hyperlink r:id="rId14" w:history="1">
        <w:r w:rsidRPr="00655491">
          <w:rPr>
            <w:rStyle w:val="Hyperlink"/>
            <w:rFonts w:ascii="Arial" w:hAnsi="Arial" w:cs="Arial"/>
            <w:sz w:val="22"/>
            <w:szCs w:val="22"/>
          </w:rPr>
          <w:t>https://www.minem.gob.ar/prensa/25902/convenio-entre-el-ministerio-de-energia-y-mineria-y-la-plataforma-escenarios-energeticos-2035.html</w:t>
        </w:r>
      </w:hyperlink>
      <w:r w:rsidRPr="00655491">
        <w:rPr>
          <w:rStyle w:val="Strong"/>
          <w:rFonts w:ascii="Arial" w:hAnsi="Arial" w:cs="Arial"/>
          <w:b w:val="0"/>
          <w:sz w:val="22"/>
          <w:szCs w:val="22"/>
        </w:rPr>
        <w:t xml:space="preserve"> </w:t>
      </w:r>
    </w:p>
    <w:p w14:paraId="06280B2B" w14:textId="77777777" w:rsidR="00EF5654" w:rsidRDefault="00EF5654" w:rsidP="00EF5654">
      <w:pPr>
        <w:tabs>
          <w:tab w:val="left" w:pos="720"/>
        </w:tabs>
        <w:jc w:val="both"/>
        <w:rPr>
          <w:rStyle w:val="Strong"/>
          <w:rFonts w:ascii="Arial" w:hAnsi="Arial" w:cs="Arial"/>
          <w:b w:val="0"/>
          <w:sz w:val="22"/>
          <w:szCs w:val="22"/>
        </w:rPr>
      </w:pPr>
    </w:p>
    <w:p w14:paraId="494114A9" w14:textId="77777777" w:rsidR="00EF5654" w:rsidRPr="007E51F8" w:rsidRDefault="00EF5654" w:rsidP="00EF5654">
      <w:pPr>
        <w:tabs>
          <w:tab w:val="left" w:pos="720"/>
        </w:tabs>
        <w:jc w:val="both"/>
        <w:rPr>
          <w:rStyle w:val="Strong"/>
          <w:rFonts w:ascii="Arial" w:hAnsi="Arial" w:cs="Arial"/>
          <w:b w:val="0"/>
          <w:sz w:val="22"/>
          <w:szCs w:val="22"/>
          <w:lang w:val="es-ES_tradnl"/>
        </w:rPr>
      </w:pPr>
      <w:r>
        <w:rPr>
          <w:rStyle w:val="Strong"/>
          <w:rFonts w:ascii="Arial" w:hAnsi="Arial" w:cs="Arial"/>
          <w:b w:val="0"/>
          <w:sz w:val="22"/>
          <w:szCs w:val="22"/>
          <w:lang w:val="es-ES_tradnl"/>
        </w:rPr>
        <w:t>Para apoyar una mejor planificación del sector energético argentino, entre otras iniciativas</w:t>
      </w:r>
      <w:r w:rsidRPr="007E51F8">
        <w:rPr>
          <w:rStyle w:val="Strong"/>
          <w:rFonts w:ascii="Arial" w:hAnsi="Arial" w:cs="Arial"/>
          <w:b w:val="0"/>
          <w:sz w:val="22"/>
          <w:szCs w:val="22"/>
          <w:lang w:val="es-ES_tradnl"/>
        </w:rPr>
        <w:t xml:space="preserve">, el BID apoya al Ministerio de energía y Minería con recursos de Cooperación Técnica (CT) AR-T1147 - </w:t>
      </w:r>
      <w:r w:rsidRPr="007E51F8">
        <w:rPr>
          <w:rStyle w:val="Strong"/>
          <w:rFonts w:ascii="Arial" w:hAnsi="Arial" w:cs="Arial"/>
          <w:b w:val="0"/>
          <w:sz w:val="22"/>
          <w:szCs w:val="22"/>
          <w:lang w:val="es-ES_tradnl"/>
        </w:rPr>
        <w:lastRenderedPageBreak/>
        <w:t>Apoyo a la Agenda de Desarrollo de Energía Sostenible en Argentina. Esta CT tiene como objetivo apoyar el desarrollo de una agenda de energía sostenible para el mediano y largo plazo. Los objetivos específicos de esta CT son: a) apoyar la planificación estratégica del sector energético; b) apoyar el desarrollo de medidas de Eficiencia Energética (EE); y c) apoyar el desarrollo de las ERNC, acciones que contribuirán a consolidar una agenda de energía sostenible en el mediano y largo plazo.</w:t>
      </w:r>
    </w:p>
    <w:p w14:paraId="60C27F65" w14:textId="77777777" w:rsidR="00EF5654" w:rsidRPr="007E51F8" w:rsidRDefault="00EF5654" w:rsidP="00EF5654">
      <w:pPr>
        <w:tabs>
          <w:tab w:val="left" w:pos="720"/>
        </w:tabs>
        <w:jc w:val="both"/>
        <w:rPr>
          <w:rStyle w:val="Strong"/>
          <w:rFonts w:ascii="Arial" w:hAnsi="Arial" w:cs="Arial"/>
          <w:b w:val="0"/>
          <w:bCs/>
          <w:sz w:val="22"/>
          <w:szCs w:val="22"/>
          <w:lang w:val="es-ES_tradnl"/>
        </w:rPr>
      </w:pPr>
    </w:p>
    <w:p w14:paraId="209E2407" w14:textId="77777777" w:rsidR="00EF5654" w:rsidRPr="007E51F8" w:rsidRDefault="00EF5654" w:rsidP="00EF5654">
      <w:pPr>
        <w:jc w:val="both"/>
        <w:rPr>
          <w:rFonts w:ascii="Arial" w:hAnsi="Arial" w:cs="Arial"/>
          <w:bCs/>
          <w:sz w:val="22"/>
          <w:szCs w:val="22"/>
          <w:lang w:val="es-ES_tradnl"/>
        </w:rPr>
      </w:pPr>
    </w:p>
    <w:p w14:paraId="6DD8EE51"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OBJETIVO DE LA CONSULTORIA</w:t>
      </w:r>
    </w:p>
    <w:p w14:paraId="363B8819" w14:textId="77777777" w:rsidR="00EF5654" w:rsidRPr="00655491" w:rsidRDefault="00EF5654" w:rsidP="00EF5654">
      <w:pPr>
        <w:jc w:val="both"/>
        <w:rPr>
          <w:rFonts w:ascii="Arial" w:hAnsi="Arial" w:cs="Arial"/>
          <w:bCs/>
          <w:sz w:val="22"/>
          <w:szCs w:val="22"/>
          <w:lang w:val="es-ES"/>
        </w:rPr>
      </w:pPr>
    </w:p>
    <w:p w14:paraId="24E0E580"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El objetivo principal de esta consultoría es desarrollar escenarios energéticos de largo plazo para el sector energético</w:t>
      </w:r>
      <w:r>
        <w:rPr>
          <w:rFonts w:ascii="Arial" w:hAnsi="Arial" w:cs="Arial"/>
          <w:bCs/>
          <w:sz w:val="22"/>
          <w:szCs w:val="22"/>
          <w:lang w:val="es-ES"/>
        </w:rPr>
        <w:t xml:space="preserve"> de la República de Argentina, de manera consensuada y validados por los diferentes actores involucrados</w:t>
      </w:r>
      <w:r w:rsidRPr="00655491">
        <w:rPr>
          <w:rFonts w:ascii="Arial" w:hAnsi="Arial" w:cs="Arial"/>
          <w:bCs/>
          <w:sz w:val="22"/>
          <w:szCs w:val="22"/>
          <w:lang w:val="es-ES"/>
        </w:rPr>
        <w:t>.</w:t>
      </w:r>
    </w:p>
    <w:p w14:paraId="62D11EBD" w14:textId="77777777" w:rsidR="00EF5654" w:rsidRPr="00655491" w:rsidRDefault="00EF5654" w:rsidP="00EF5654">
      <w:pPr>
        <w:jc w:val="both"/>
        <w:rPr>
          <w:rFonts w:ascii="Arial" w:hAnsi="Arial" w:cs="Arial"/>
          <w:bCs/>
          <w:sz w:val="22"/>
          <w:szCs w:val="22"/>
          <w:lang w:val="es-ES"/>
        </w:rPr>
      </w:pPr>
    </w:p>
    <w:p w14:paraId="0B951E31"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ACTIVIDADES PRINCIPALES</w:t>
      </w:r>
    </w:p>
    <w:p w14:paraId="72B3F5FF" w14:textId="77777777" w:rsidR="00EF5654" w:rsidRPr="00655491" w:rsidRDefault="00EF5654" w:rsidP="00EF5654">
      <w:pPr>
        <w:jc w:val="both"/>
        <w:rPr>
          <w:rFonts w:ascii="Arial" w:hAnsi="Arial" w:cs="Arial"/>
          <w:b/>
          <w:bCs/>
          <w:sz w:val="22"/>
          <w:szCs w:val="22"/>
          <w:lang w:val="es-ES"/>
        </w:rPr>
      </w:pPr>
    </w:p>
    <w:p w14:paraId="7CF11A50"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Para el cumplimiento del objetivo, el contractual deberá realizar entre otros, las siguientes actividades:</w:t>
      </w:r>
    </w:p>
    <w:p w14:paraId="488B77CE" w14:textId="77777777" w:rsidR="00EF5654" w:rsidRPr="00655491" w:rsidRDefault="00EF5654" w:rsidP="00EF5654">
      <w:pPr>
        <w:jc w:val="both"/>
        <w:rPr>
          <w:rFonts w:ascii="Arial" w:hAnsi="Arial" w:cs="Arial"/>
          <w:bCs/>
          <w:sz w:val="22"/>
          <w:szCs w:val="22"/>
          <w:lang w:val="es-ES"/>
        </w:rPr>
      </w:pPr>
    </w:p>
    <w:p w14:paraId="298006B5" w14:textId="77777777" w:rsidR="00EF5654" w:rsidRPr="00655491" w:rsidRDefault="00EF5654" w:rsidP="00EF5654">
      <w:pPr>
        <w:pStyle w:val="ListParagraph"/>
        <w:numPr>
          <w:ilvl w:val="0"/>
          <w:numId w:val="20"/>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Reformulación de los Escenarios Energéticos Argentina 2035:</w:t>
      </w:r>
    </w:p>
    <w:p w14:paraId="2F8E24AC" w14:textId="77777777" w:rsidR="00EF5654" w:rsidRPr="00655491" w:rsidRDefault="00EF5654" w:rsidP="00EF5654">
      <w:pPr>
        <w:pStyle w:val="ListParagraph"/>
        <w:jc w:val="both"/>
        <w:rPr>
          <w:rFonts w:ascii="Arial" w:hAnsi="Arial" w:cs="Arial"/>
          <w:b/>
          <w:color w:val="000000"/>
          <w:sz w:val="22"/>
          <w:szCs w:val="22"/>
          <w:lang w:val="es-ES_tradnl" w:eastAsia="es-AR"/>
        </w:rPr>
      </w:pPr>
    </w:p>
    <w:p w14:paraId="7B21A8EE" w14:textId="77777777" w:rsidR="00EF5654" w:rsidRPr="00655491" w:rsidRDefault="00EF5654" w:rsidP="00EF5654">
      <w:pPr>
        <w:pStyle w:val="ListParagraph"/>
        <w:numPr>
          <w:ilvl w:val="0"/>
          <w:numId w:val="21"/>
        </w:numPr>
        <w:ind w:left="1416"/>
        <w:jc w:val="both"/>
        <w:rPr>
          <w:rFonts w:ascii="Arial" w:hAnsi="Arial" w:cs="Arial"/>
          <w:color w:val="000000"/>
          <w:sz w:val="22"/>
          <w:szCs w:val="22"/>
          <w:lang w:val="es-ES_tradnl" w:eastAsia="es-AR"/>
        </w:rPr>
      </w:pPr>
      <w:r w:rsidRPr="00655491">
        <w:rPr>
          <w:rFonts w:ascii="Arial" w:hAnsi="Arial" w:cs="Arial"/>
          <w:b/>
          <w:color w:val="000000"/>
          <w:sz w:val="22"/>
          <w:szCs w:val="22"/>
          <w:lang w:val="es-ES_tradnl" w:eastAsia="es-AR"/>
        </w:rPr>
        <w:t xml:space="preserve">Análisis y revisión de las condiciones de borde para la elaboración de los de los escenarios. </w:t>
      </w:r>
      <w:r w:rsidRPr="00655491">
        <w:rPr>
          <w:rFonts w:ascii="Arial" w:hAnsi="Arial" w:cs="Arial"/>
          <w:color w:val="000000"/>
          <w:sz w:val="22"/>
          <w:szCs w:val="22"/>
          <w:lang w:val="es-ES_tradnl" w:eastAsia="es-AR"/>
        </w:rPr>
        <w:t xml:space="preserve">Realización de un debate previo sobre “los límites impuestos por las restricciones no evitables”, reformulando los </w:t>
      </w:r>
      <w:r>
        <w:rPr>
          <w:rFonts w:ascii="Arial" w:hAnsi="Arial" w:cs="Arial"/>
          <w:color w:val="000000"/>
          <w:sz w:val="22"/>
          <w:szCs w:val="22"/>
          <w:lang w:val="es-ES_tradnl" w:eastAsia="es-AR"/>
        </w:rPr>
        <w:t>lineamientos para la</w:t>
      </w:r>
      <w:r w:rsidRPr="00655491">
        <w:rPr>
          <w:rFonts w:ascii="Arial" w:hAnsi="Arial" w:cs="Arial"/>
          <w:color w:val="000000"/>
          <w:sz w:val="22"/>
          <w:szCs w:val="22"/>
          <w:lang w:val="es-ES_tradnl" w:eastAsia="es-AR"/>
        </w:rPr>
        <w:t xml:space="preserve"> elaboración de los escenarios. Los insumos mínimos a ser considerados para la búsqueda de nuevos consensos son: </w:t>
      </w:r>
    </w:p>
    <w:p w14:paraId="555AB97B" w14:textId="77777777" w:rsidR="00EF5654" w:rsidRPr="00655491" w:rsidRDefault="00EF5654" w:rsidP="00EF5654">
      <w:pPr>
        <w:pStyle w:val="ListParagraph"/>
        <w:ind w:left="1416"/>
        <w:jc w:val="both"/>
        <w:rPr>
          <w:rFonts w:ascii="Arial" w:hAnsi="Arial" w:cs="Arial"/>
          <w:color w:val="000000"/>
          <w:sz w:val="22"/>
          <w:szCs w:val="22"/>
          <w:lang w:val="es-ES_tradnl" w:eastAsia="es-AR"/>
        </w:rPr>
      </w:pPr>
    </w:p>
    <w:p w14:paraId="148A89D0" w14:textId="77777777" w:rsidR="00EF5654" w:rsidRPr="00655491" w:rsidRDefault="00EF5654" w:rsidP="00EF5654">
      <w:pPr>
        <w:numPr>
          <w:ilvl w:val="0"/>
          <w:numId w:val="19"/>
        </w:numPr>
        <w:ind w:left="1776"/>
        <w:contextualSpacing/>
        <w:jc w:val="both"/>
        <w:rPr>
          <w:rFonts w:ascii="Arial" w:hAnsi="Arial" w:cs="Arial"/>
          <w:color w:val="000000"/>
          <w:sz w:val="22"/>
          <w:szCs w:val="22"/>
          <w:lang w:val="es-ES_tradnl" w:eastAsia="es-AR"/>
        </w:rPr>
      </w:pPr>
      <w:r w:rsidRPr="00655491">
        <w:rPr>
          <w:rFonts w:ascii="Arial" w:hAnsi="Arial" w:cs="Arial"/>
          <w:color w:val="000000"/>
          <w:sz w:val="22"/>
          <w:szCs w:val="22"/>
          <w:lang w:val="es-ES_tradnl" w:eastAsia="es-AR"/>
        </w:rPr>
        <w:t xml:space="preserve">Postulados del “Trilema Energético” desarrollado por el Consejo Mundial de la Energía en el Congreso Mundial de Energía en Daegu, </w:t>
      </w:r>
      <w:r>
        <w:rPr>
          <w:rFonts w:ascii="Arial" w:hAnsi="Arial" w:cs="Arial"/>
          <w:color w:val="000000"/>
          <w:sz w:val="22"/>
          <w:szCs w:val="22"/>
          <w:lang w:val="es-ES_tradnl" w:eastAsia="es-AR"/>
        </w:rPr>
        <w:t>Corea d</w:t>
      </w:r>
      <w:r w:rsidRPr="00655491">
        <w:rPr>
          <w:rFonts w:ascii="Arial" w:hAnsi="Arial" w:cs="Arial"/>
          <w:color w:val="000000"/>
          <w:sz w:val="22"/>
          <w:szCs w:val="22"/>
          <w:lang w:val="es-ES_tradnl" w:eastAsia="es-AR"/>
        </w:rPr>
        <w:t>el Norte en 2013.</w:t>
      </w:r>
    </w:p>
    <w:p w14:paraId="21D5BA25" w14:textId="77777777" w:rsidR="00EF5654" w:rsidRPr="00655491" w:rsidRDefault="00EF5654" w:rsidP="00EF5654">
      <w:pPr>
        <w:numPr>
          <w:ilvl w:val="0"/>
          <w:numId w:val="19"/>
        </w:numPr>
        <w:ind w:left="1776"/>
        <w:contextualSpacing/>
        <w:jc w:val="both"/>
        <w:rPr>
          <w:rFonts w:ascii="Arial" w:hAnsi="Arial" w:cs="Arial"/>
          <w:color w:val="000000"/>
          <w:sz w:val="22"/>
          <w:szCs w:val="22"/>
          <w:lang w:val="es-ES_tradnl" w:eastAsia="es-AR"/>
        </w:rPr>
      </w:pPr>
      <w:r w:rsidRPr="00655491">
        <w:rPr>
          <w:rFonts w:ascii="Arial" w:hAnsi="Arial" w:cs="Arial"/>
          <w:color w:val="000000"/>
          <w:sz w:val="22"/>
          <w:szCs w:val="22"/>
          <w:lang w:val="es-ES_tradnl" w:eastAsia="es-AR"/>
        </w:rPr>
        <w:t xml:space="preserve">Libro de supuestos comunes (Assumption book) elaborado por la </w:t>
      </w:r>
      <w:r>
        <w:rPr>
          <w:rFonts w:ascii="Arial" w:hAnsi="Arial" w:cs="Arial"/>
          <w:color w:val="000000"/>
          <w:sz w:val="22"/>
          <w:szCs w:val="22"/>
          <w:lang w:val="es-ES_tradnl" w:eastAsia="es-AR"/>
        </w:rPr>
        <w:t>Subsecretaría d</w:t>
      </w:r>
      <w:r w:rsidRPr="00655491">
        <w:rPr>
          <w:rFonts w:ascii="Arial" w:hAnsi="Arial" w:cs="Arial"/>
          <w:color w:val="000000"/>
          <w:sz w:val="22"/>
          <w:szCs w:val="22"/>
          <w:lang w:val="es-ES_tradnl" w:eastAsia="es-AR"/>
        </w:rPr>
        <w:t xml:space="preserve">e Escenarios </w:t>
      </w:r>
      <w:r>
        <w:rPr>
          <w:rFonts w:ascii="Arial" w:hAnsi="Arial" w:cs="Arial"/>
          <w:color w:val="000000"/>
          <w:sz w:val="22"/>
          <w:szCs w:val="22"/>
          <w:lang w:val="es-ES_tradnl" w:eastAsia="es-AR"/>
        </w:rPr>
        <w:t>y Evaluación d</w:t>
      </w:r>
      <w:r w:rsidRPr="00655491">
        <w:rPr>
          <w:rFonts w:ascii="Arial" w:hAnsi="Arial" w:cs="Arial"/>
          <w:color w:val="000000"/>
          <w:sz w:val="22"/>
          <w:szCs w:val="22"/>
          <w:lang w:val="es-ES_tradnl" w:eastAsia="es-AR"/>
        </w:rPr>
        <w:t xml:space="preserve">e Proyectos de la </w:t>
      </w:r>
      <w:r>
        <w:rPr>
          <w:rFonts w:ascii="Arial" w:hAnsi="Arial" w:cs="Arial"/>
          <w:color w:val="000000"/>
          <w:sz w:val="22"/>
          <w:szCs w:val="22"/>
          <w:lang w:val="es-ES_tradnl" w:eastAsia="es-AR"/>
        </w:rPr>
        <w:t>Secretaría de Planeamiento Energétio Estratégico del M</w:t>
      </w:r>
      <w:r w:rsidRPr="00655491">
        <w:rPr>
          <w:rFonts w:ascii="Arial" w:hAnsi="Arial" w:cs="Arial"/>
          <w:color w:val="000000"/>
          <w:sz w:val="22"/>
          <w:szCs w:val="22"/>
          <w:lang w:val="es-ES_tradnl" w:eastAsia="es-AR"/>
        </w:rPr>
        <w:t xml:space="preserve">inisterio de </w:t>
      </w:r>
      <w:r>
        <w:rPr>
          <w:rFonts w:ascii="Arial" w:hAnsi="Arial" w:cs="Arial"/>
          <w:color w:val="000000"/>
          <w:sz w:val="22"/>
          <w:szCs w:val="22"/>
          <w:lang w:val="es-ES_tradnl" w:eastAsia="es-AR"/>
        </w:rPr>
        <w:t>E</w:t>
      </w:r>
      <w:r w:rsidRPr="00655491">
        <w:rPr>
          <w:rFonts w:ascii="Arial" w:hAnsi="Arial" w:cs="Arial"/>
          <w:color w:val="000000"/>
          <w:sz w:val="22"/>
          <w:szCs w:val="22"/>
          <w:lang w:val="es-ES_tradnl" w:eastAsia="es-AR"/>
        </w:rPr>
        <w:t xml:space="preserve">nergía y </w:t>
      </w:r>
      <w:r>
        <w:rPr>
          <w:rFonts w:ascii="Arial" w:hAnsi="Arial" w:cs="Arial"/>
          <w:color w:val="000000"/>
          <w:sz w:val="22"/>
          <w:szCs w:val="22"/>
          <w:lang w:val="es-ES_tradnl" w:eastAsia="es-AR"/>
        </w:rPr>
        <w:t>M</w:t>
      </w:r>
      <w:r w:rsidRPr="00655491">
        <w:rPr>
          <w:rFonts w:ascii="Arial" w:hAnsi="Arial" w:cs="Arial"/>
          <w:color w:val="000000"/>
          <w:sz w:val="22"/>
          <w:szCs w:val="22"/>
          <w:lang w:val="es-ES_tradnl" w:eastAsia="es-AR"/>
        </w:rPr>
        <w:t xml:space="preserve">inería con la colaboración del </w:t>
      </w:r>
      <w:r>
        <w:rPr>
          <w:rFonts w:ascii="Arial" w:hAnsi="Arial" w:cs="Arial"/>
          <w:color w:val="000000"/>
          <w:sz w:val="22"/>
          <w:szCs w:val="22"/>
          <w:lang w:val="es-ES_tradnl" w:eastAsia="es-AR"/>
        </w:rPr>
        <w:t xml:space="preserve">Ministerio de Hacienda y </w:t>
      </w:r>
      <w:r w:rsidRPr="00655491">
        <w:rPr>
          <w:rFonts w:ascii="Arial" w:hAnsi="Arial" w:cs="Arial"/>
          <w:color w:val="000000"/>
          <w:sz w:val="22"/>
          <w:szCs w:val="22"/>
          <w:lang w:val="es-ES_tradnl" w:eastAsia="es-AR"/>
        </w:rPr>
        <w:t xml:space="preserve">Finanzas Públicas. </w:t>
      </w:r>
    </w:p>
    <w:p w14:paraId="1F52DF28" w14:textId="77777777" w:rsidR="00EF5654" w:rsidRPr="00655491" w:rsidRDefault="00EF5654" w:rsidP="00EF5654">
      <w:pPr>
        <w:numPr>
          <w:ilvl w:val="0"/>
          <w:numId w:val="19"/>
        </w:numPr>
        <w:ind w:left="1776"/>
        <w:contextualSpacing/>
        <w:jc w:val="both"/>
        <w:rPr>
          <w:rFonts w:ascii="Arial" w:hAnsi="Arial" w:cs="Arial"/>
          <w:color w:val="000000"/>
          <w:sz w:val="22"/>
          <w:szCs w:val="22"/>
          <w:lang w:val="es-ES_tradnl" w:eastAsia="es-AR"/>
        </w:rPr>
      </w:pPr>
      <w:r w:rsidRPr="00655491">
        <w:rPr>
          <w:rFonts w:ascii="Arial" w:hAnsi="Arial" w:cs="Arial"/>
          <w:color w:val="000000"/>
          <w:sz w:val="22"/>
          <w:szCs w:val="22"/>
          <w:lang w:val="es-ES_tradnl" w:eastAsia="es-AR"/>
        </w:rPr>
        <w:t>Insumos adicionales seleccionados de mutuo acuerdo entre las partes y las instituciones escenaristas.</w:t>
      </w:r>
    </w:p>
    <w:p w14:paraId="4947C079" w14:textId="77777777" w:rsidR="00EF5654" w:rsidRPr="00655491" w:rsidRDefault="00EF5654" w:rsidP="00EF5654">
      <w:pPr>
        <w:ind w:left="1776"/>
        <w:contextualSpacing/>
        <w:jc w:val="both"/>
        <w:rPr>
          <w:rFonts w:ascii="Arial" w:hAnsi="Arial" w:cs="Arial"/>
          <w:color w:val="000000"/>
          <w:sz w:val="22"/>
          <w:szCs w:val="22"/>
          <w:lang w:val="es-ES_tradnl" w:eastAsia="es-AR"/>
        </w:rPr>
      </w:pPr>
    </w:p>
    <w:p w14:paraId="60AFAB9C" w14:textId="77777777" w:rsidR="00EF5654" w:rsidRPr="00655491" w:rsidRDefault="00EF5654" w:rsidP="00EF5654">
      <w:pPr>
        <w:pStyle w:val="ListParagraph"/>
        <w:numPr>
          <w:ilvl w:val="0"/>
          <w:numId w:val="21"/>
        </w:numPr>
        <w:ind w:left="1416"/>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 xml:space="preserve">Adecuación de los </w:t>
      </w:r>
      <w:r>
        <w:rPr>
          <w:rFonts w:ascii="Arial" w:hAnsi="Arial" w:cs="Arial"/>
          <w:b/>
          <w:color w:val="000000"/>
          <w:sz w:val="22"/>
          <w:szCs w:val="22"/>
          <w:lang w:val="es-ES_tradnl" w:eastAsia="es-AR"/>
        </w:rPr>
        <w:t>lineamientos para las</w:t>
      </w:r>
      <w:r w:rsidRPr="00655491">
        <w:rPr>
          <w:rFonts w:ascii="Arial" w:hAnsi="Arial" w:cs="Arial"/>
          <w:b/>
          <w:color w:val="000000"/>
          <w:sz w:val="22"/>
          <w:szCs w:val="22"/>
          <w:lang w:val="es-ES_tradnl" w:eastAsia="es-AR"/>
        </w:rPr>
        <w:t xml:space="preserve"> condiciones de borde consensuadas.</w:t>
      </w:r>
    </w:p>
    <w:p w14:paraId="4E576EB7" w14:textId="77777777" w:rsidR="00EF5654" w:rsidRPr="00655491" w:rsidRDefault="00EF5654" w:rsidP="00EF5654">
      <w:pPr>
        <w:pStyle w:val="ListParagraph"/>
        <w:ind w:left="1416"/>
        <w:jc w:val="both"/>
        <w:rPr>
          <w:rFonts w:ascii="Arial" w:hAnsi="Arial" w:cs="Arial"/>
          <w:b/>
          <w:color w:val="000000"/>
          <w:sz w:val="22"/>
          <w:szCs w:val="22"/>
          <w:lang w:val="es-ES_tradnl" w:eastAsia="es-AR"/>
        </w:rPr>
      </w:pPr>
    </w:p>
    <w:p w14:paraId="0B3F43AA" w14:textId="77777777" w:rsidR="00EF5654" w:rsidRPr="00655491" w:rsidRDefault="00EF5654" w:rsidP="00EF5654">
      <w:pPr>
        <w:pStyle w:val="ListParagraph"/>
        <w:numPr>
          <w:ilvl w:val="0"/>
          <w:numId w:val="21"/>
        </w:numPr>
        <w:ind w:left="1416"/>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Ref</w:t>
      </w:r>
      <w:r>
        <w:rPr>
          <w:rFonts w:ascii="Arial" w:hAnsi="Arial" w:cs="Arial"/>
          <w:b/>
          <w:color w:val="000000"/>
          <w:sz w:val="22"/>
          <w:szCs w:val="22"/>
          <w:lang w:val="es-ES_tradnl" w:eastAsia="es-AR"/>
        </w:rPr>
        <w:t>ormulación de los escenarios de</w:t>
      </w:r>
      <w:r w:rsidRPr="00655491">
        <w:rPr>
          <w:rFonts w:ascii="Arial" w:hAnsi="Arial" w:cs="Arial"/>
          <w:b/>
          <w:color w:val="000000"/>
          <w:sz w:val="22"/>
          <w:szCs w:val="22"/>
          <w:lang w:val="es-ES_tradnl" w:eastAsia="es-AR"/>
        </w:rPr>
        <w:t xml:space="preserve"> acuerdo</w:t>
      </w:r>
      <w:r>
        <w:rPr>
          <w:rFonts w:ascii="Arial" w:hAnsi="Arial" w:cs="Arial"/>
          <w:b/>
          <w:color w:val="000000"/>
          <w:sz w:val="22"/>
          <w:szCs w:val="22"/>
          <w:lang w:val="es-ES_tradnl" w:eastAsia="es-AR"/>
        </w:rPr>
        <w:t xml:space="preserve"> </w:t>
      </w:r>
      <w:r w:rsidRPr="00655491">
        <w:rPr>
          <w:rFonts w:ascii="Arial" w:hAnsi="Arial" w:cs="Arial"/>
          <w:b/>
          <w:color w:val="000000"/>
          <w:sz w:val="22"/>
          <w:szCs w:val="22"/>
          <w:lang w:val="es-ES_tradnl" w:eastAsia="es-AR"/>
        </w:rPr>
        <w:t xml:space="preserve">a los nuevos </w:t>
      </w:r>
      <w:r>
        <w:rPr>
          <w:rFonts w:ascii="Arial" w:hAnsi="Arial" w:cs="Arial"/>
          <w:b/>
          <w:color w:val="000000"/>
          <w:sz w:val="22"/>
          <w:szCs w:val="22"/>
          <w:lang w:val="es-ES_tradnl" w:eastAsia="es-AR"/>
        </w:rPr>
        <w:t>lineamientos</w:t>
      </w:r>
      <w:r w:rsidRPr="00655491">
        <w:rPr>
          <w:rFonts w:ascii="Arial" w:hAnsi="Arial" w:cs="Arial"/>
          <w:b/>
          <w:color w:val="000000"/>
          <w:sz w:val="22"/>
          <w:szCs w:val="22"/>
          <w:lang w:val="es-ES_tradnl" w:eastAsia="es-AR"/>
        </w:rPr>
        <w:t>.</w:t>
      </w:r>
    </w:p>
    <w:p w14:paraId="15139ACA" w14:textId="77777777" w:rsidR="00EF5654" w:rsidRPr="00655491" w:rsidRDefault="00EF5654" w:rsidP="00EF5654">
      <w:pPr>
        <w:pStyle w:val="ListParagraph"/>
        <w:ind w:left="1416"/>
        <w:jc w:val="both"/>
        <w:rPr>
          <w:rFonts w:ascii="Arial" w:hAnsi="Arial" w:cs="Arial"/>
          <w:b/>
          <w:color w:val="000000"/>
          <w:sz w:val="22"/>
          <w:szCs w:val="22"/>
          <w:lang w:val="es-ES_tradnl" w:eastAsia="es-AR"/>
        </w:rPr>
      </w:pPr>
    </w:p>
    <w:p w14:paraId="2C25FC8B" w14:textId="77777777" w:rsidR="00EF5654" w:rsidRPr="00655491" w:rsidRDefault="00EF5654" w:rsidP="00EF5654">
      <w:pPr>
        <w:pStyle w:val="ListParagraph"/>
        <w:numPr>
          <w:ilvl w:val="0"/>
          <w:numId w:val="21"/>
        </w:numPr>
        <w:ind w:left="1416"/>
        <w:jc w:val="both"/>
        <w:rPr>
          <w:rFonts w:ascii="Arial" w:hAnsi="Arial" w:cs="Arial"/>
          <w:color w:val="000000"/>
          <w:sz w:val="22"/>
          <w:szCs w:val="22"/>
          <w:u w:val="single"/>
          <w:lang w:val="es-ES_tradnl" w:eastAsia="es-AR"/>
        </w:rPr>
      </w:pPr>
      <w:r w:rsidRPr="00655491">
        <w:rPr>
          <w:rFonts w:ascii="Arial" w:hAnsi="Arial" w:cs="Arial"/>
          <w:b/>
          <w:color w:val="000000"/>
          <w:sz w:val="22"/>
          <w:szCs w:val="22"/>
          <w:lang w:val="es-ES_tradnl" w:eastAsia="es-AR"/>
        </w:rPr>
        <w:t>Ejercicio de síntesis de elementos comunes escenarios 20</w:t>
      </w:r>
      <w:r>
        <w:rPr>
          <w:rFonts w:ascii="Arial" w:hAnsi="Arial" w:cs="Arial"/>
          <w:b/>
          <w:color w:val="000000"/>
          <w:sz w:val="22"/>
          <w:szCs w:val="22"/>
          <w:lang w:val="es-ES_tradnl" w:eastAsia="es-AR"/>
        </w:rPr>
        <w:t>40</w:t>
      </w:r>
      <w:r w:rsidRPr="00655491">
        <w:rPr>
          <w:rFonts w:ascii="Arial" w:hAnsi="Arial" w:cs="Arial"/>
          <w:b/>
          <w:color w:val="000000"/>
          <w:sz w:val="22"/>
          <w:szCs w:val="22"/>
          <w:lang w:val="es-ES_tradnl" w:eastAsia="es-AR"/>
        </w:rPr>
        <w:t xml:space="preserve">. </w:t>
      </w:r>
      <w:r w:rsidRPr="00FA1E34">
        <w:rPr>
          <w:rFonts w:ascii="Arial" w:hAnsi="Arial" w:cs="Arial"/>
          <w:color w:val="000000"/>
          <w:sz w:val="22"/>
          <w:szCs w:val="22"/>
          <w:lang w:val="es-ES_tradnl" w:eastAsia="es-AR"/>
        </w:rPr>
        <w:t>Realización de un ejercicio técnico y de intercambio, a fin de sintetizar los elementos</w:t>
      </w:r>
      <w:r w:rsidRPr="00655491">
        <w:rPr>
          <w:rFonts w:ascii="Arial" w:hAnsi="Arial" w:cs="Arial"/>
          <w:color w:val="000000"/>
          <w:sz w:val="22"/>
          <w:szCs w:val="22"/>
          <w:lang w:val="es-ES_tradnl" w:eastAsia="es-AR"/>
        </w:rPr>
        <w:t xml:space="preserve"> comunes y divergentes entre los escenarios, a partir de la realización de sesiones de debate entre los miembros de la PLATAFORMA ESCENARIOS ENERGÉTICOS ARGENTINA.</w:t>
      </w:r>
    </w:p>
    <w:p w14:paraId="48562D13" w14:textId="77777777" w:rsidR="00EF5654" w:rsidRPr="00655491" w:rsidRDefault="00EF5654" w:rsidP="00EF5654">
      <w:pPr>
        <w:pStyle w:val="ListParagraph"/>
        <w:rPr>
          <w:rFonts w:ascii="Arial" w:hAnsi="Arial" w:cs="Arial"/>
          <w:color w:val="000000"/>
          <w:sz w:val="22"/>
          <w:szCs w:val="22"/>
          <w:u w:val="single"/>
          <w:lang w:val="es-ES_tradnl" w:eastAsia="es-AR"/>
        </w:rPr>
      </w:pPr>
    </w:p>
    <w:p w14:paraId="2D0BFDCE" w14:textId="77777777" w:rsidR="00EF5654" w:rsidRPr="00655491" w:rsidRDefault="00EF5654" w:rsidP="00EF5654">
      <w:pPr>
        <w:pStyle w:val="ListParagraph"/>
        <w:numPr>
          <w:ilvl w:val="0"/>
          <w:numId w:val="20"/>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 xml:space="preserve">Generación de las condiciones para la Construcción de una Visión 2050 consensuada por diversos sectores. </w:t>
      </w:r>
      <w:r w:rsidRPr="00655491">
        <w:rPr>
          <w:rFonts w:ascii="Arial" w:hAnsi="Arial" w:cs="Arial"/>
          <w:sz w:val="22"/>
          <w:szCs w:val="22"/>
          <w:lang w:val="es-ES_tradnl" w:eastAsia="es-AR"/>
        </w:rPr>
        <w:t xml:space="preserve">Realización de un ejercicio participativo y multisectorial de construcción de consensos mínimos, para la propuesta de metas </w:t>
      </w:r>
      <w:r w:rsidRPr="00655491">
        <w:rPr>
          <w:rFonts w:ascii="Arial" w:hAnsi="Arial" w:cs="Arial"/>
          <w:sz w:val="22"/>
          <w:szCs w:val="22"/>
          <w:lang w:val="es-ES_tradnl" w:eastAsia="es-AR"/>
        </w:rPr>
        <w:lastRenderedPageBreak/>
        <w:t>energéticas fundamentales que la República Argentina debería abordar en una Visión 2050.</w:t>
      </w:r>
    </w:p>
    <w:p w14:paraId="4014A1C0" w14:textId="77777777" w:rsidR="00EF5654" w:rsidRPr="00655491" w:rsidRDefault="00EF5654" w:rsidP="00EF5654">
      <w:pPr>
        <w:pStyle w:val="ListParagraph"/>
        <w:jc w:val="both"/>
        <w:rPr>
          <w:rFonts w:ascii="Arial" w:hAnsi="Arial" w:cs="Arial"/>
          <w:b/>
          <w:color w:val="000000"/>
          <w:sz w:val="22"/>
          <w:szCs w:val="22"/>
          <w:lang w:val="es-ES_tradnl" w:eastAsia="es-AR"/>
        </w:rPr>
      </w:pPr>
    </w:p>
    <w:p w14:paraId="728E1B63" w14:textId="77777777" w:rsidR="00EF5654" w:rsidRPr="00655491" w:rsidRDefault="00EF5654" w:rsidP="00EF5654">
      <w:pPr>
        <w:pStyle w:val="ListParagraph"/>
        <w:numPr>
          <w:ilvl w:val="0"/>
          <w:numId w:val="22"/>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 xml:space="preserve">Mapeo de actores críticos a considerar para este ejercicio. </w:t>
      </w:r>
    </w:p>
    <w:p w14:paraId="50BDA099" w14:textId="77777777" w:rsidR="00EF5654" w:rsidRPr="00655491" w:rsidRDefault="00EF5654" w:rsidP="00EF5654">
      <w:pPr>
        <w:pStyle w:val="ListParagraph"/>
        <w:numPr>
          <w:ilvl w:val="0"/>
          <w:numId w:val="22"/>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 xml:space="preserve">Establecimiento de un Consejo Consultivo amplio. </w:t>
      </w:r>
      <w:r w:rsidRPr="00655491">
        <w:rPr>
          <w:rFonts w:ascii="Arial" w:hAnsi="Arial" w:cs="Arial"/>
          <w:color w:val="000000"/>
          <w:sz w:val="22"/>
          <w:szCs w:val="22"/>
          <w:lang w:val="es-ES_tradnl" w:eastAsia="es-AR"/>
        </w:rPr>
        <w:t>El Consejo Consultivo contará con la participación d</w:t>
      </w:r>
      <w:r>
        <w:rPr>
          <w:rFonts w:ascii="Arial" w:hAnsi="Arial" w:cs="Arial"/>
          <w:color w:val="000000"/>
          <w:sz w:val="22"/>
          <w:szCs w:val="22"/>
          <w:lang w:val="es-ES_tradnl" w:eastAsia="es-AR"/>
        </w:rPr>
        <w:t>el Ministro de Energía y Mineras</w:t>
      </w:r>
      <w:r w:rsidRPr="00655491">
        <w:rPr>
          <w:rFonts w:ascii="Arial" w:hAnsi="Arial" w:cs="Arial"/>
          <w:color w:val="000000"/>
          <w:sz w:val="22"/>
          <w:szCs w:val="22"/>
          <w:lang w:val="es-ES_tradnl" w:eastAsia="es-AR"/>
        </w:rPr>
        <w:t>, instituciones escenaristas y otras organizaciones a definir de común acuerdo entre las partes firmantes del presente convenio.</w:t>
      </w:r>
    </w:p>
    <w:p w14:paraId="15C6DC56" w14:textId="77777777" w:rsidR="00EF5654" w:rsidRPr="00655491" w:rsidRDefault="00EF5654" w:rsidP="00EF5654">
      <w:pPr>
        <w:pStyle w:val="ListParagraph"/>
        <w:numPr>
          <w:ilvl w:val="0"/>
          <w:numId w:val="22"/>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 xml:space="preserve">Definición de términos de referencia para el proceso de diálogo. </w:t>
      </w:r>
      <w:r w:rsidRPr="00655491">
        <w:rPr>
          <w:rFonts w:ascii="Arial" w:hAnsi="Arial" w:cs="Arial"/>
          <w:color w:val="000000"/>
          <w:sz w:val="22"/>
          <w:szCs w:val="22"/>
          <w:lang w:val="es-ES_tradnl" w:eastAsia="es-AR"/>
        </w:rPr>
        <w:t>Los mismos incluirán, pero no estarán limitados a establecer las condiciones de gobernanza del proceso, criterios para la articulación público-privada, plan detallado y calendarizado de trabajo.</w:t>
      </w:r>
    </w:p>
    <w:p w14:paraId="08FF7F0D" w14:textId="77777777" w:rsidR="00EF5654" w:rsidRPr="00655491" w:rsidRDefault="00EF5654" w:rsidP="00EF5654">
      <w:pPr>
        <w:pStyle w:val="ListParagraph"/>
        <w:numPr>
          <w:ilvl w:val="0"/>
          <w:numId w:val="22"/>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 xml:space="preserve">Proceso de intercambio de experiencias y conclusiones con la República </w:t>
      </w:r>
      <w:r>
        <w:rPr>
          <w:rFonts w:ascii="Arial" w:hAnsi="Arial" w:cs="Arial"/>
          <w:b/>
          <w:color w:val="000000"/>
          <w:sz w:val="22"/>
          <w:szCs w:val="22"/>
          <w:lang w:val="es-ES_tradnl" w:eastAsia="es-AR"/>
        </w:rPr>
        <w:t>d</w:t>
      </w:r>
      <w:r w:rsidRPr="00655491">
        <w:rPr>
          <w:rFonts w:ascii="Arial" w:hAnsi="Arial" w:cs="Arial"/>
          <w:b/>
          <w:color w:val="000000"/>
          <w:sz w:val="22"/>
          <w:szCs w:val="22"/>
          <w:lang w:val="es-ES_tradnl" w:eastAsia="es-AR"/>
        </w:rPr>
        <w:t>e Chile.</w:t>
      </w:r>
    </w:p>
    <w:p w14:paraId="4CB9C4DA" w14:textId="77777777" w:rsidR="00EF5654" w:rsidRPr="00655491" w:rsidRDefault="00EF5654" w:rsidP="00EF5654">
      <w:pPr>
        <w:ind w:left="1416"/>
        <w:jc w:val="both"/>
        <w:rPr>
          <w:rFonts w:ascii="Arial" w:hAnsi="Arial" w:cs="Arial"/>
          <w:sz w:val="22"/>
          <w:szCs w:val="22"/>
          <w:lang w:val="es-ES_tradnl" w:eastAsia="es-AR"/>
        </w:rPr>
      </w:pPr>
    </w:p>
    <w:p w14:paraId="0DC1C2B4" w14:textId="77777777" w:rsidR="00EF5654" w:rsidRPr="00655491" w:rsidRDefault="00EF5654" w:rsidP="00EF5654">
      <w:pPr>
        <w:pStyle w:val="ListParagraph"/>
        <w:numPr>
          <w:ilvl w:val="0"/>
          <w:numId w:val="20"/>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Plan Federal de difusión e incorporación de nuevos actores al debate:</w:t>
      </w:r>
    </w:p>
    <w:p w14:paraId="5D572F42" w14:textId="77777777" w:rsidR="00EF5654" w:rsidRPr="00655491" w:rsidRDefault="00EF5654" w:rsidP="00EF5654">
      <w:pPr>
        <w:pStyle w:val="ListParagraph"/>
        <w:jc w:val="both"/>
        <w:rPr>
          <w:rFonts w:ascii="Arial" w:hAnsi="Arial" w:cs="Arial"/>
          <w:b/>
          <w:color w:val="000000"/>
          <w:sz w:val="22"/>
          <w:szCs w:val="22"/>
          <w:lang w:val="es-ES_tradnl" w:eastAsia="es-AR"/>
        </w:rPr>
      </w:pPr>
    </w:p>
    <w:p w14:paraId="74BCD5D5" w14:textId="77777777" w:rsidR="00EF5654" w:rsidRPr="00655491" w:rsidRDefault="00EF5654" w:rsidP="00EF5654">
      <w:pPr>
        <w:pStyle w:val="ListParagraph"/>
        <w:numPr>
          <w:ilvl w:val="0"/>
          <w:numId w:val="23"/>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 xml:space="preserve">Desarrollo de Escenarios Energéticos provinciales. </w:t>
      </w:r>
      <w:r w:rsidRPr="00655491">
        <w:rPr>
          <w:rFonts w:ascii="Arial" w:hAnsi="Arial" w:cs="Arial"/>
          <w:color w:val="000000"/>
          <w:sz w:val="22"/>
          <w:szCs w:val="22"/>
          <w:lang w:val="es-ES_tradnl" w:eastAsia="es-AR"/>
        </w:rPr>
        <w:t>Se realizará un primer ejercicio para la Provincia de Córdoba. Se explorará el interés de las Provincias pertenecientes a la región centro del país (Córdoba, Santa Fe, Entre Ríos).</w:t>
      </w:r>
    </w:p>
    <w:p w14:paraId="0B644AF0" w14:textId="77777777" w:rsidR="00EF5654" w:rsidRPr="00655491" w:rsidRDefault="00EF5654" w:rsidP="00EF5654">
      <w:pPr>
        <w:pStyle w:val="ListParagraph"/>
        <w:numPr>
          <w:ilvl w:val="0"/>
          <w:numId w:val="23"/>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 xml:space="preserve">Identificación de regiones y sectores de interés común. </w:t>
      </w:r>
      <w:r>
        <w:rPr>
          <w:rFonts w:ascii="Arial" w:hAnsi="Arial" w:cs="Arial"/>
          <w:color w:val="000000"/>
          <w:sz w:val="22"/>
          <w:szCs w:val="22"/>
          <w:lang w:val="es-ES_tradnl" w:eastAsia="es-AR"/>
        </w:rPr>
        <w:t>L</w:t>
      </w:r>
      <w:r w:rsidRPr="00655491">
        <w:rPr>
          <w:rFonts w:ascii="Arial" w:hAnsi="Arial" w:cs="Arial"/>
          <w:color w:val="000000"/>
          <w:sz w:val="22"/>
          <w:szCs w:val="22"/>
          <w:lang w:val="es-ES_tradnl" w:eastAsia="es-AR"/>
        </w:rPr>
        <w:t>as partes identificarán de común acuerdo tres regiones y tres sectores prioritarios para la expansión del ejercicio de escenarios enfocado específicamente en los mismos.</w:t>
      </w:r>
      <w:r w:rsidRPr="00655491">
        <w:rPr>
          <w:rFonts w:ascii="Arial" w:hAnsi="Arial" w:cs="Arial"/>
          <w:b/>
          <w:color w:val="000000"/>
          <w:sz w:val="22"/>
          <w:szCs w:val="22"/>
          <w:lang w:val="es-ES_tradnl" w:eastAsia="es-AR"/>
        </w:rPr>
        <w:t xml:space="preserve"> </w:t>
      </w:r>
    </w:p>
    <w:p w14:paraId="219B84B9" w14:textId="77777777" w:rsidR="00EF5654" w:rsidRPr="00655491" w:rsidRDefault="00EF5654" w:rsidP="00EF5654">
      <w:pPr>
        <w:pStyle w:val="ListParagraph"/>
        <w:numPr>
          <w:ilvl w:val="0"/>
          <w:numId w:val="23"/>
        </w:numPr>
        <w:jc w:val="both"/>
        <w:rPr>
          <w:rFonts w:ascii="Arial" w:hAnsi="Arial" w:cs="Arial"/>
          <w:b/>
          <w:color w:val="000000"/>
          <w:sz w:val="22"/>
          <w:szCs w:val="22"/>
          <w:lang w:val="es-ES_tradnl" w:eastAsia="es-AR"/>
        </w:rPr>
      </w:pPr>
      <w:r w:rsidRPr="00655491">
        <w:rPr>
          <w:rFonts w:ascii="Arial" w:hAnsi="Arial" w:cs="Arial"/>
          <w:b/>
          <w:color w:val="000000"/>
          <w:sz w:val="22"/>
          <w:szCs w:val="22"/>
          <w:lang w:val="es-ES_tradnl" w:eastAsia="es-AR"/>
        </w:rPr>
        <w:t xml:space="preserve">Realización de seminarios en línea y/o talleres abiertos a la comunidad sobre los contenidos de Escenarios Energéticos. </w:t>
      </w:r>
    </w:p>
    <w:p w14:paraId="663F7523" w14:textId="77777777" w:rsidR="00EF5654" w:rsidRPr="00FF5B5F" w:rsidRDefault="00EF5654" w:rsidP="00EF5654">
      <w:pPr>
        <w:pStyle w:val="ListParagraph"/>
        <w:numPr>
          <w:ilvl w:val="0"/>
          <w:numId w:val="23"/>
        </w:numPr>
        <w:jc w:val="both"/>
        <w:rPr>
          <w:rFonts w:ascii="Arial" w:hAnsi="Arial" w:cs="Arial"/>
          <w:b/>
          <w:color w:val="000000"/>
          <w:sz w:val="22"/>
          <w:szCs w:val="22"/>
          <w:lang w:val="es-ES" w:eastAsia="es-AR"/>
        </w:rPr>
      </w:pPr>
      <w:r w:rsidRPr="00655491">
        <w:rPr>
          <w:rFonts w:ascii="Arial" w:hAnsi="Arial" w:cs="Arial"/>
          <w:b/>
          <w:color w:val="000000"/>
          <w:sz w:val="22"/>
          <w:szCs w:val="22"/>
          <w:lang w:val="es-ES_tradnl" w:eastAsia="es-AR"/>
        </w:rPr>
        <w:t>Colaboración</w:t>
      </w:r>
      <w:r w:rsidRPr="00655491">
        <w:rPr>
          <w:rFonts w:ascii="Arial" w:hAnsi="Arial" w:cs="Arial"/>
          <w:b/>
          <w:color w:val="000000"/>
          <w:sz w:val="22"/>
          <w:szCs w:val="22"/>
          <w:lang w:val="es-ES" w:eastAsia="es-AR"/>
        </w:rPr>
        <w:t xml:space="preserve"> para el desarrollo de la Plataforma Futuro Energético. </w:t>
      </w:r>
      <w:r w:rsidRPr="00655491">
        <w:rPr>
          <w:rFonts w:ascii="Arial" w:hAnsi="Arial" w:cs="Arial"/>
          <w:sz w:val="22"/>
          <w:szCs w:val="22"/>
          <w:lang w:val="es-ES_tradnl"/>
        </w:rPr>
        <w:t>En el marco del convenio, se sentarán las definiciones necesarias para el desarrollo de una herramienta de simulación de Escenarios Energéticos para ser aplicada en instituciones educativas.</w:t>
      </w:r>
    </w:p>
    <w:p w14:paraId="2B7DA7F1" w14:textId="77777777" w:rsidR="00EF5654" w:rsidRPr="00655491" w:rsidRDefault="00EF5654" w:rsidP="00EF5654">
      <w:pPr>
        <w:pStyle w:val="ListParagraph"/>
        <w:ind w:left="1440"/>
        <w:jc w:val="both"/>
        <w:rPr>
          <w:rFonts w:ascii="Arial" w:hAnsi="Arial" w:cs="Arial"/>
          <w:b/>
          <w:color w:val="000000"/>
          <w:sz w:val="22"/>
          <w:szCs w:val="22"/>
          <w:lang w:val="es-ES" w:eastAsia="es-AR"/>
        </w:rPr>
      </w:pPr>
    </w:p>
    <w:p w14:paraId="0EA0956E" w14:textId="77777777" w:rsidR="00EF5654" w:rsidRPr="00C17EDC" w:rsidRDefault="00EF5654" w:rsidP="00EF5654">
      <w:pPr>
        <w:pStyle w:val="ListParagraph"/>
        <w:numPr>
          <w:ilvl w:val="0"/>
          <w:numId w:val="20"/>
        </w:numPr>
        <w:jc w:val="both"/>
        <w:rPr>
          <w:rFonts w:ascii="Arial" w:hAnsi="Arial" w:cs="Arial"/>
          <w:b/>
          <w:color w:val="000000"/>
          <w:sz w:val="22"/>
          <w:szCs w:val="22"/>
          <w:lang w:val="es-ES" w:eastAsia="es-AR"/>
        </w:rPr>
      </w:pPr>
      <w:r>
        <w:rPr>
          <w:rFonts w:ascii="Arial" w:hAnsi="Arial" w:cs="Arial"/>
          <w:b/>
          <w:color w:val="000000"/>
          <w:sz w:val="22"/>
          <w:szCs w:val="22"/>
          <w:lang w:val="es-ES_tradnl" w:eastAsia="es-AR"/>
        </w:rPr>
        <w:t>Desarrollo de una metodología para la generación, estandarización y difusión de información</w:t>
      </w:r>
      <w:r w:rsidRPr="00655491">
        <w:rPr>
          <w:rFonts w:ascii="Arial" w:hAnsi="Arial" w:cs="Arial"/>
          <w:b/>
          <w:color w:val="000000"/>
          <w:sz w:val="22"/>
          <w:szCs w:val="22"/>
          <w:lang w:val="es-ES_tradnl" w:eastAsia="es-AR"/>
        </w:rPr>
        <w:t>:</w:t>
      </w:r>
      <w:r>
        <w:rPr>
          <w:rFonts w:ascii="Arial" w:hAnsi="Arial" w:cs="Arial"/>
          <w:b/>
          <w:color w:val="000000"/>
          <w:sz w:val="22"/>
          <w:szCs w:val="22"/>
          <w:lang w:val="es-ES_tradnl" w:eastAsia="es-AR"/>
        </w:rPr>
        <w:t xml:space="preserve"> </w:t>
      </w:r>
      <w:r w:rsidRPr="00C17EDC">
        <w:rPr>
          <w:rFonts w:ascii="Arial" w:hAnsi="Arial" w:cs="Arial"/>
          <w:color w:val="000000"/>
          <w:sz w:val="22"/>
          <w:szCs w:val="22"/>
          <w:lang w:val="es-ES_tradnl" w:eastAsia="es-AR"/>
        </w:rPr>
        <w:t>Se identificarán las principales necesidades de</w:t>
      </w:r>
      <w:r>
        <w:rPr>
          <w:rFonts w:ascii="Arial" w:hAnsi="Arial" w:cs="Arial"/>
          <w:color w:val="000000"/>
          <w:sz w:val="22"/>
          <w:szCs w:val="22"/>
          <w:lang w:val="es-ES_tradnl" w:eastAsia="es-AR"/>
        </w:rPr>
        <w:t>l</w:t>
      </w:r>
      <w:r w:rsidRPr="00C17EDC">
        <w:rPr>
          <w:rFonts w:ascii="Arial" w:hAnsi="Arial" w:cs="Arial"/>
          <w:color w:val="000000"/>
          <w:sz w:val="22"/>
          <w:szCs w:val="22"/>
          <w:lang w:val="es-ES_tradnl" w:eastAsia="es-AR"/>
        </w:rPr>
        <w:t xml:space="preserve"> país</w:t>
      </w:r>
      <w:r>
        <w:rPr>
          <w:rFonts w:ascii="Arial" w:hAnsi="Arial" w:cs="Arial"/>
          <w:color w:val="000000"/>
          <w:sz w:val="22"/>
          <w:szCs w:val="22"/>
          <w:lang w:val="es-ES_tradnl" w:eastAsia="es-AR"/>
        </w:rPr>
        <w:t xml:space="preserve"> en cuanto a las disponibilidad y calidad de información del sector energético. Una vez identificadas las estas necesidades, se diseñará una metodología para estandarizar la generación, actualización y publicación de información del sector. La metodología se desarrollará en coordinación con las autoridades del sector y con el apoyo del Banco. El proceso de desarrollo de la metodología deberá incluir consultas con actores relevantes, así como actividades de difusión y capacitación sobre su funcionamiento. </w:t>
      </w:r>
    </w:p>
    <w:p w14:paraId="41915E60" w14:textId="77777777" w:rsidR="00EF5654" w:rsidRPr="00655491" w:rsidRDefault="00EF5654" w:rsidP="00EF5654">
      <w:pPr>
        <w:pStyle w:val="ListParagraph"/>
        <w:jc w:val="both"/>
        <w:rPr>
          <w:rFonts w:ascii="Arial" w:hAnsi="Arial" w:cs="Arial"/>
          <w:b/>
          <w:color w:val="000000"/>
          <w:sz w:val="22"/>
          <w:szCs w:val="22"/>
          <w:lang w:val="es-ES" w:eastAsia="es-AR"/>
        </w:rPr>
      </w:pPr>
    </w:p>
    <w:p w14:paraId="00DE524F"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 xml:space="preserve">INFORMES Y ENTREGABLES </w:t>
      </w:r>
    </w:p>
    <w:p w14:paraId="6C085479" w14:textId="77777777" w:rsidR="00EF5654" w:rsidRPr="00655491" w:rsidRDefault="00EF5654" w:rsidP="00EF5654">
      <w:pPr>
        <w:jc w:val="both"/>
        <w:rPr>
          <w:rFonts w:ascii="Arial" w:hAnsi="Arial" w:cs="Arial"/>
          <w:bCs/>
          <w:sz w:val="22"/>
          <w:szCs w:val="22"/>
          <w:lang w:val="es-ES"/>
        </w:rPr>
      </w:pPr>
    </w:p>
    <w:p w14:paraId="169D9382" w14:textId="77777777" w:rsidR="00EF5654" w:rsidRPr="00655491" w:rsidRDefault="00EF5654" w:rsidP="00EF5654">
      <w:pPr>
        <w:numPr>
          <w:ilvl w:val="0"/>
          <w:numId w:val="24"/>
        </w:numPr>
        <w:contextualSpacing/>
        <w:jc w:val="both"/>
        <w:rPr>
          <w:rFonts w:ascii="Arial" w:hAnsi="Arial" w:cs="Arial"/>
          <w:sz w:val="22"/>
          <w:szCs w:val="22"/>
          <w:lang w:val="es-ES_tradnl"/>
        </w:rPr>
      </w:pPr>
      <w:r w:rsidRPr="00655491">
        <w:rPr>
          <w:rFonts w:ascii="Arial" w:hAnsi="Arial" w:cs="Arial"/>
          <w:sz w:val="22"/>
          <w:szCs w:val="22"/>
          <w:lang w:val="es-ES_tradnl"/>
        </w:rPr>
        <w:t xml:space="preserve">Nuevo esquema de “Términos de Referencia, considerando mayor cantidad de variables, económicas, sociales y ambientales”. </w:t>
      </w:r>
    </w:p>
    <w:p w14:paraId="3630904F" w14:textId="77777777" w:rsidR="00EF5654" w:rsidRPr="00655491" w:rsidRDefault="00EF5654" w:rsidP="00EF5654">
      <w:pPr>
        <w:numPr>
          <w:ilvl w:val="0"/>
          <w:numId w:val="24"/>
        </w:numPr>
        <w:contextualSpacing/>
        <w:jc w:val="both"/>
        <w:rPr>
          <w:rFonts w:ascii="Arial" w:hAnsi="Arial" w:cs="Arial"/>
          <w:sz w:val="22"/>
          <w:szCs w:val="22"/>
          <w:lang w:val="es-ES_tradnl"/>
        </w:rPr>
      </w:pPr>
      <w:r w:rsidRPr="00655491">
        <w:rPr>
          <w:rFonts w:ascii="Arial" w:hAnsi="Arial" w:cs="Arial"/>
          <w:sz w:val="22"/>
          <w:szCs w:val="22"/>
          <w:lang w:val="es-ES_tradnl"/>
        </w:rPr>
        <w:t>Informe de resultados de la superposición de ejercicios de escenarios (coincidencias y divergencias), que refleje impacto de cada alternativa sobre la seguridad de abastecimiento, la posibilidad de obtener costos internacionalmente competitivos y permitir el cumplimiento de los compromisos ambientales.</w:t>
      </w:r>
    </w:p>
    <w:p w14:paraId="001CF561" w14:textId="77777777" w:rsidR="00EF5654" w:rsidRPr="00655491" w:rsidRDefault="00EF5654" w:rsidP="00EF5654">
      <w:pPr>
        <w:numPr>
          <w:ilvl w:val="0"/>
          <w:numId w:val="24"/>
        </w:numPr>
        <w:contextualSpacing/>
        <w:jc w:val="both"/>
        <w:rPr>
          <w:rFonts w:ascii="Arial" w:hAnsi="Arial" w:cs="Arial"/>
          <w:sz w:val="22"/>
          <w:szCs w:val="22"/>
        </w:rPr>
      </w:pPr>
      <w:r w:rsidRPr="00655491">
        <w:rPr>
          <w:rFonts w:ascii="Arial" w:hAnsi="Arial" w:cs="Arial"/>
          <w:sz w:val="22"/>
          <w:szCs w:val="22"/>
        </w:rPr>
        <w:t>Informe de bases consensuadas para una Visión 2050.</w:t>
      </w:r>
    </w:p>
    <w:p w14:paraId="71FE3312" w14:textId="77777777" w:rsidR="00EF5654" w:rsidRPr="00655491" w:rsidRDefault="00EF5654" w:rsidP="00EF5654">
      <w:pPr>
        <w:numPr>
          <w:ilvl w:val="0"/>
          <w:numId w:val="24"/>
        </w:numPr>
        <w:contextualSpacing/>
        <w:jc w:val="both"/>
        <w:rPr>
          <w:rFonts w:ascii="Arial" w:hAnsi="Arial" w:cs="Arial"/>
          <w:sz w:val="22"/>
          <w:szCs w:val="22"/>
          <w:lang w:val="es-ES_tradnl"/>
        </w:rPr>
      </w:pPr>
      <w:r w:rsidRPr="00655491">
        <w:rPr>
          <w:rFonts w:ascii="Arial" w:hAnsi="Arial" w:cs="Arial"/>
          <w:sz w:val="22"/>
          <w:szCs w:val="22"/>
          <w:lang w:val="es-ES_tradnl"/>
        </w:rPr>
        <w:t>Desarrollo y reporte sobre nuevos escenarios energéticos elaborados a nivel provincial y sectorial.</w:t>
      </w:r>
    </w:p>
    <w:p w14:paraId="3FFA3985" w14:textId="77777777" w:rsidR="00EF5654" w:rsidRPr="00655491" w:rsidRDefault="00EF5654" w:rsidP="00EF5654">
      <w:pPr>
        <w:numPr>
          <w:ilvl w:val="0"/>
          <w:numId w:val="24"/>
        </w:numPr>
        <w:contextualSpacing/>
        <w:jc w:val="both"/>
        <w:rPr>
          <w:rFonts w:ascii="Arial" w:hAnsi="Arial" w:cs="Arial"/>
          <w:sz w:val="22"/>
          <w:szCs w:val="22"/>
          <w:lang w:val="es-ES_tradnl"/>
        </w:rPr>
      </w:pPr>
      <w:r w:rsidRPr="00655491">
        <w:rPr>
          <w:rFonts w:ascii="Arial" w:hAnsi="Arial" w:cs="Arial"/>
          <w:sz w:val="22"/>
          <w:szCs w:val="22"/>
          <w:lang w:val="es-ES_tradnl"/>
        </w:rPr>
        <w:lastRenderedPageBreak/>
        <w:t xml:space="preserve">Informes de relatoría de cada uno de los debates, fundamentado en profundidad sobre aquellos elementos que sean de interés técnico y político para el desarrollo de una matriz energética sustentable. </w:t>
      </w:r>
    </w:p>
    <w:p w14:paraId="7D7D6E77" w14:textId="77777777" w:rsidR="00EF5654" w:rsidRPr="00655491" w:rsidRDefault="00EF5654" w:rsidP="00EF5654">
      <w:pPr>
        <w:numPr>
          <w:ilvl w:val="0"/>
          <w:numId w:val="24"/>
        </w:numPr>
        <w:contextualSpacing/>
        <w:jc w:val="both"/>
        <w:rPr>
          <w:rFonts w:ascii="Arial" w:hAnsi="Arial" w:cs="Arial"/>
          <w:sz w:val="22"/>
          <w:szCs w:val="22"/>
          <w:lang w:val="es-ES_tradnl"/>
        </w:rPr>
      </w:pPr>
      <w:r w:rsidRPr="00655491">
        <w:rPr>
          <w:rFonts w:ascii="Arial" w:hAnsi="Arial" w:cs="Arial"/>
          <w:sz w:val="22"/>
          <w:szCs w:val="22"/>
          <w:lang w:val="es-ES_tradnl"/>
        </w:rPr>
        <w:t xml:space="preserve">Desarrollo de la Plataforma virtual </w:t>
      </w:r>
      <w:r w:rsidRPr="00655491">
        <w:rPr>
          <w:rFonts w:ascii="Arial" w:hAnsi="Arial" w:cs="Arial"/>
          <w:i/>
          <w:sz w:val="22"/>
          <w:szCs w:val="22"/>
          <w:lang w:val="es-ES_tradnl"/>
        </w:rPr>
        <w:t>Futuro Energético</w:t>
      </w:r>
      <w:r w:rsidRPr="00655491">
        <w:rPr>
          <w:rFonts w:ascii="Arial" w:hAnsi="Arial" w:cs="Arial"/>
          <w:sz w:val="22"/>
          <w:szCs w:val="22"/>
          <w:lang w:val="es-ES_tradnl"/>
        </w:rPr>
        <w:t>.</w:t>
      </w:r>
    </w:p>
    <w:p w14:paraId="5003D28D" w14:textId="77777777" w:rsidR="00EF5654" w:rsidRDefault="00EF5654" w:rsidP="00EF5654">
      <w:pPr>
        <w:jc w:val="both"/>
        <w:rPr>
          <w:rFonts w:ascii="Arial" w:hAnsi="Arial" w:cs="Arial"/>
          <w:bCs/>
          <w:sz w:val="22"/>
          <w:szCs w:val="22"/>
          <w:lang w:val="es-ES_tradnl"/>
        </w:rPr>
      </w:pPr>
    </w:p>
    <w:p w14:paraId="3DB146DC"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 xml:space="preserve">Los informes deberán ser elaborados en español y entregados en forma electrónica, en formato Microsoft Word, y pueden incluir tablas adjuntas en Excel; así como también, copia en PDF de los documentos tomados como información de base para el ejercicio. Los informes deberán incluir una carátula, el documento principal y los anexos (no se aceptarán archivos en formato Zip). </w:t>
      </w:r>
    </w:p>
    <w:p w14:paraId="54F84561" w14:textId="77777777" w:rsidR="00EF5654" w:rsidRPr="00655491" w:rsidRDefault="00EF5654" w:rsidP="00EF5654">
      <w:pPr>
        <w:jc w:val="both"/>
        <w:rPr>
          <w:rFonts w:ascii="Arial" w:hAnsi="Arial" w:cs="Arial"/>
          <w:b/>
          <w:bCs/>
          <w:sz w:val="22"/>
          <w:szCs w:val="22"/>
          <w:lang w:val="es-ES"/>
        </w:rPr>
      </w:pPr>
    </w:p>
    <w:p w14:paraId="538A83D0"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 xml:space="preserve">CRONOGRAMA DE PAGOS </w:t>
      </w:r>
    </w:p>
    <w:p w14:paraId="03EF99C8" w14:textId="77777777" w:rsidR="00EF5654" w:rsidRPr="00655491" w:rsidRDefault="00EF5654" w:rsidP="00EF5654">
      <w:pPr>
        <w:jc w:val="both"/>
        <w:rPr>
          <w:rFonts w:ascii="Arial" w:hAnsi="Arial" w:cs="Arial"/>
          <w:bCs/>
          <w:sz w:val="22"/>
          <w:szCs w:val="22"/>
          <w:lang w:val="es-ES"/>
        </w:rPr>
      </w:pPr>
    </w:p>
    <w:p w14:paraId="19EB519E"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El pago total por esta consultoría que es por suma incluyendo todos los impuestos, retenciones y otros gastos que pudieran corresponder, y se acordará siguiendo las normas del BID.</w:t>
      </w:r>
    </w:p>
    <w:p w14:paraId="73A6EA92"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El cronograma de pagos prevista es contra la presentación y aprobación de los siguientes productos:</w:t>
      </w:r>
    </w:p>
    <w:p w14:paraId="6581CA83" w14:textId="77777777" w:rsidR="00EF5654" w:rsidRPr="00655491" w:rsidRDefault="00EF5654" w:rsidP="00EF5654">
      <w:pPr>
        <w:pStyle w:val="ListParagraph"/>
        <w:numPr>
          <w:ilvl w:val="0"/>
          <w:numId w:val="17"/>
        </w:numPr>
        <w:ind w:left="1440"/>
        <w:jc w:val="both"/>
        <w:rPr>
          <w:rFonts w:ascii="Arial" w:hAnsi="Arial" w:cs="Arial"/>
          <w:bCs/>
          <w:sz w:val="22"/>
          <w:szCs w:val="22"/>
          <w:lang w:val="es-ES"/>
        </w:rPr>
      </w:pPr>
      <w:r w:rsidRPr="00655491">
        <w:rPr>
          <w:rFonts w:ascii="Arial" w:hAnsi="Arial" w:cs="Arial"/>
          <w:bCs/>
          <w:sz w:val="22"/>
          <w:szCs w:val="22"/>
          <w:lang w:val="es-ES"/>
        </w:rPr>
        <w:t xml:space="preserve">30% a la firma de contrato y presentación </w:t>
      </w:r>
      <w:r>
        <w:rPr>
          <w:rFonts w:ascii="Arial" w:hAnsi="Arial" w:cs="Arial"/>
          <w:bCs/>
          <w:sz w:val="22"/>
          <w:szCs w:val="22"/>
          <w:lang w:val="es-ES"/>
        </w:rPr>
        <w:t>del entregable 1, aprobado por el Banco.</w:t>
      </w:r>
    </w:p>
    <w:p w14:paraId="3F42FDF3" w14:textId="77777777" w:rsidR="00EF5654" w:rsidRPr="00655491" w:rsidRDefault="00EF5654" w:rsidP="00EF5654">
      <w:pPr>
        <w:pStyle w:val="ListParagraph"/>
        <w:numPr>
          <w:ilvl w:val="0"/>
          <w:numId w:val="17"/>
        </w:numPr>
        <w:ind w:left="1440"/>
        <w:jc w:val="both"/>
        <w:rPr>
          <w:rFonts w:ascii="Arial" w:hAnsi="Arial" w:cs="Arial"/>
          <w:bCs/>
          <w:sz w:val="22"/>
          <w:szCs w:val="22"/>
          <w:lang w:val="es-ES"/>
        </w:rPr>
      </w:pPr>
      <w:r w:rsidRPr="00655491">
        <w:rPr>
          <w:rFonts w:ascii="Arial" w:hAnsi="Arial" w:cs="Arial"/>
          <w:bCs/>
          <w:sz w:val="22"/>
          <w:szCs w:val="22"/>
          <w:lang w:val="es-ES"/>
        </w:rPr>
        <w:t xml:space="preserve">40% contra la </w:t>
      </w:r>
      <w:r>
        <w:rPr>
          <w:rFonts w:ascii="Arial" w:hAnsi="Arial" w:cs="Arial"/>
          <w:bCs/>
          <w:sz w:val="22"/>
          <w:szCs w:val="22"/>
          <w:lang w:val="es-ES"/>
        </w:rPr>
        <w:t xml:space="preserve">presentación de los informes 2, 3 y 4, aprobados por el Banco, y </w:t>
      </w:r>
    </w:p>
    <w:p w14:paraId="08151E82" w14:textId="77777777" w:rsidR="00EF5654" w:rsidRDefault="00EF5654" w:rsidP="00EF5654">
      <w:pPr>
        <w:pStyle w:val="ListParagraph"/>
        <w:numPr>
          <w:ilvl w:val="0"/>
          <w:numId w:val="17"/>
        </w:numPr>
        <w:ind w:left="1440"/>
        <w:jc w:val="both"/>
        <w:rPr>
          <w:rFonts w:ascii="Arial" w:hAnsi="Arial" w:cs="Arial"/>
          <w:bCs/>
          <w:sz w:val="22"/>
          <w:szCs w:val="22"/>
          <w:lang w:val="es-ES"/>
        </w:rPr>
      </w:pPr>
      <w:r w:rsidRPr="00655491">
        <w:rPr>
          <w:rFonts w:ascii="Arial" w:hAnsi="Arial" w:cs="Arial"/>
          <w:bCs/>
          <w:sz w:val="22"/>
          <w:szCs w:val="22"/>
          <w:lang w:val="es-ES"/>
        </w:rPr>
        <w:t xml:space="preserve">30% contra la </w:t>
      </w:r>
      <w:r>
        <w:rPr>
          <w:rFonts w:ascii="Arial" w:hAnsi="Arial" w:cs="Arial"/>
          <w:bCs/>
          <w:sz w:val="22"/>
          <w:szCs w:val="22"/>
          <w:lang w:val="es-ES"/>
        </w:rPr>
        <w:t>presentación de los entregables 5, 6 y 7, aprobados por el Banco.</w:t>
      </w:r>
    </w:p>
    <w:p w14:paraId="2D4022CA" w14:textId="77777777" w:rsidR="00EF5654" w:rsidRPr="00655491" w:rsidRDefault="00EF5654" w:rsidP="00EF5654">
      <w:pPr>
        <w:pStyle w:val="ListParagraph"/>
        <w:ind w:left="1440"/>
        <w:jc w:val="both"/>
        <w:rPr>
          <w:rFonts w:ascii="Arial" w:hAnsi="Arial" w:cs="Arial"/>
          <w:bCs/>
          <w:sz w:val="22"/>
          <w:szCs w:val="22"/>
          <w:lang w:val="es-ES"/>
        </w:rPr>
      </w:pPr>
      <w:r w:rsidRPr="00655491">
        <w:rPr>
          <w:rFonts w:ascii="Arial" w:hAnsi="Arial" w:cs="Arial"/>
          <w:bCs/>
          <w:sz w:val="22"/>
          <w:szCs w:val="22"/>
          <w:lang w:val="es-ES"/>
        </w:rPr>
        <w:t>.</w:t>
      </w:r>
    </w:p>
    <w:p w14:paraId="108376C1"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 xml:space="preserve">CALIFICACIONES </w:t>
      </w:r>
    </w:p>
    <w:p w14:paraId="1E6F75A6" w14:textId="77777777" w:rsidR="00EF5654" w:rsidRPr="00655491" w:rsidRDefault="00EF5654" w:rsidP="00EF5654">
      <w:pPr>
        <w:jc w:val="both"/>
        <w:rPr>
          <w:rFonts w:ascii="Arial" w:hAnsi="Arial" w:cs="Arial"/>
          <w:b/>
          <w:bCs/>
          <w:sz w:val="22"/>
          <w:szCs w:val="22"/>
          <w:lang w:val="es-ES"/>
        </w:rPr>
      </w:pPr>
    </w:p>
    <w:p w14:paraId="3501293D" w14:textId="77777777" w:rsidR="00EF5654" w:rsidRPr="00655491" w:rsidRDefault="00EF5654" w:rsidP="00EF5654">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Título/Nivel Académico &amp; Años de Experiencia Profesional:</w:t>
      </w:r>
      <w:r w:rsidRPr="00655491">
        <w:rPr>
          <w:rFonts w:ascii="Arial" w:hAnsi="Arial" w:cs="Arial"/>
          <w:sz w:val="22"/>
          <w:szCs w:val="22"/>
          <w:lang w:val="es-ES"/>
        </w:rPr>
        <w:t xml:space="preserve"> El contractual deberá tener un título de ingeniero mecánico, ingeniero civil, ingeniero industrial, ingeniero electricista o ingeniero electromecánico, preferentemente con grado de maestría, y con al menos cinco años de experiencia en la materia.</w:t>
      </w:r>
    </w:p>
    <w:p w14:paraId="0897CB07" w14:textId="77777777" w:rsidR="00EF5654" w:rsidRPr="00655491" w:rsidRDefault="00EF5654" w:rsidP="00EF5654">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 xml:space="preserve">Idiomas: </w:t>
      </w:r>
      <w:r w:rsidRPr="00655491">
        <w:rPr>
          <w:rFonts w:ascii="Arial" w:hAnsi="Arial" w:cs="Arial"/>
          <w:sz w:val="22"/>
          <w:szCs w:val="22"/>
          <w:lang w:val="es-ES"/>
        </w:rPr>
        <w:t>español</w:t>
      </w:r>
      <w:r w:rsidRPr="00655491">
        <w:rPr>
          <w:rFonts w:ascii="Arial" w:hAnsi="Arial" w:cs="Arial"/>
          <w:b/>
          <w:sz w:val="22"/>
          <w:szCs w:val="22"/>
          <w:lang w:val="es-ES"/>
        </w:rPr>
        <w:t xml:space="preserve"> </w:t>
      </w:r>
    </w:p>
    <w:p w14:paraId="4254720E" w14:textId="77777777" w:rsidR="00EF5654" w:rsidRPr="00655491" w:rsidRDefault="00EF5654" w:rsidP="00EF5654">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Áreas de Especialización:</w:t>
      </w:r>
      <w:r w:rsidRPr="00655491">
        <w:rPr>
          <w:rFonts w:ascii="Arial" w:hAnsi="Arial" w:cs="Arial"/>
          <w:sz w:val="22"/>
          <w:szCs w:val="22"/>
          <w:lang w:val="es-ES"/>
        </w:rPr>
        <w:t xml:space="preserve"> amplio conocimiento y especialización en el sector energía, en particular en los temas de marcos regulatorios e institucionales del sector energético.</w:t>
      </w:r>
    </w:p>
    <w:p w14:paraId="3CA86ADD" w14:textId="77777777" w:rsidR="00EF5654" w:rsidRPr="00655491" w:rsidRDefault="00EF5654" w:rsidP="00EF5654">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 xml:space="preserve">Habilidades: </w:t>
      </w:r>
      <w:r w:rsidRPr="00655491">
        <w:rPr>
          <w:rFonts w:ascii="Arial" w:hAnsi="Arial" w:cs="Arial"/>
          <w:sz w:val="22"/>
          <w:szCs w:val="22"/>
          <w:lang w:val="es-ES"/>
        </w:rPr>
        <w:t>Se valorará especialmente experiencia en el manejo del software LEAP.</w:t>
      </w:r>
    </w:p>
    <w:p w14:paraId="241869B8" w14:textId="77777777" w:rsidR="00EF5654" w:rsidRPr="00655491" w:rsidRDefault="00EF5654" w:rsidP="00EF5654">
      <w:pPr>
        <w:pStyle w:val="ListParagraph"/>
        <w:ind w:left="1080"/>
        <w:jc w:val="both"/>
        <w:rPr>
          <w:rFonts w:ascii="Arial" w:hAnsi="Arial" w:cs="Arial"/>
          <w:sz w:val="22"/>
          <w:szCs w:val="22"/>
          <w:lang w:val="es-ES"/>
        </w:rPr>
      </w:pPr>
    </w:p>
    <w:p w14:paraId="579C6B9E"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 xml:space="preserve">CARACTERISTICAS DE LA CONSULTORIA </w:t>
      </w:r>
    </w:p>
    <w:p w14:paraId="26D979F2" w14:textId="77777777" w:rsidR="00EF5654" w:rsidRPr="00655491" w:rsidRDefault="00EF5654" w:rsidP="00EF5654">
      <w:pPr>
        <w:jc w:val="both"/>
        <w:rPr>
          <w:rFonts w:ascii="Arial" w:hAnsi="Arial" w:cs="Arial"/>
          <w:bCs/>
          <w:sz w:val="22"/>
          <w:szCs w:val="22"/>
          <w:lang w:val="es-ES"/>
        </w:rPr>
      </w:pPr>
    </w:p>
    <w:p w14:paraId="002801D3" w14:textId="77777777" w:rsidR="00EF5654" w:rsidRPr="00655491" w:rsidRDefault="00EF5654" w:rsidP="00EF5654">
      <w:pPr>
        <w:pStyle w:val="ListParagraph"/>
        <w:numPr>
          <w:ilvl w:val="0"/>
          <w:numId w:val="18"/>
        </w:numPr>
        <w:rPr>
          <w:rFonts w:ascii="Arial" w:hAnsi="Arial" w:cs="Arial"/>
          <w:bCs/>
          <w:sz w:val="22"/>
          <w:szCs w:val="22"/>
          <w:lang w:val="es-ES"/>
        </w:rPr>
      </w:pPr>
      <w:bookmarkStart w:id="0" w:name="_Hlk493513992"/>
      <w:r w:rsidRPr="00655491">
        <w:rPr>
          <w:rFonts w:ascii="Arial" w:hAnsi="Arial" w:cs="Arial"/>
          <w:b/>
          <w:bCs/>
          <w:sz w:val="22"/>
          <w:szCs w:val="22"/>
          <w:lang w:val="es-ES"/>
        </w:rPr>
        <w:t>Categoría y Modalidad</w:t>
      </w:r>
      <w:r w:rsidRPr="00655491">
        <w:rPr>
          <w:rFonts w:ascii="Arial" w:hAnsi="Arial" w:cs="Arial"/>
          <w:bCs/>
          <w:sz w:val="22"/>
          <w:szCs w:val="22"/>
          <w:lang w:val="es-ES"/>
        </w:rPr>
        <w:t xml:space="preserve"> </w:t>
      </w:r>
      <w:r w:rsidRPr="00655491">
        <w:rPr>
          <w:rFonts w:ascii="Arial" w:hAnsi="Arial" w:cs="Arial"/>
          <w:b/>
          <w:bCs/>
          <w:sz w:val="22"/>
          <w:szCs w:val="22"/>
          <w:lang w:val="es-ES"/>
        </w:rPr>
        <w:t>de la Consultoría:</w:t>
      </w:r>
      <w:r w:rsidRPr="00655491">
        <w:rPr>
          <w:rFonts w:ascii="Arial" w:hAnsi="Arial" w:cs="Arial"/>
          <w:bCs/>
          <w:sz w:val="22"/>
          <w:szCs w:val="22"/>
          <w:lang w:val="es-ES"/>
        </w:rPr>
        <w:t xml:space="preserve"> Contractual de Productos y Servicios Externos, Suma Alzada</w:t>
      </w:r>
    </w:p>
    <w:p w14:paraId="19DAA504" w14:textId="77777777" w:rsidR="00EF5654" w:rsidRPr="00655491" w:rsidRDefault="00EF5654" w:rsidP="00EF5654">
      <w:pPr>
        <w:pStyle w:val="ListParagraph"/>
        <w:rPr>
          <w:rFonts w:ascii="Arial" w:hAnsi="Arial" w:cs="Arial"/>
          <w:bCs/>
          <w:sz w:val="22"/>
          <w:szCs w:val="22"/>
          <w:lang w:val="es-ES"/>
        </w:rPr>
      </w:pPr>
    </w:p>
    <w:p w14:paraId="73F9481E" w14:textId="77777777" w:rsidR="00EF5654" w:rsidRPr="00655491" w:rsidRDefault="00EF5654" w:rsidP="00EF5654">
      <w:pPr>
        <w:pStyle w:val="ListParagraph"/>
        <w:numPr>
          <w:ilvl w:val="0"/>
          <w:numId w:val="18"/>
        </w:numPr>
        <w:jc w:val="both"/>
        <w:rPr>
          <w:rFonts w:ascii="Arial" w:hAnsi="Arial" w:cs="Arial"/>
          <w:bCs/>
          <w:sz w:val="22"/>
          <w:szCs w:val="22"/>
          <w:lang w:val="es-ES"/>
        </w:rPr>
      </w:pPr>
      <w:r w:rsidRPr="00655491">
        <w:rPr>
          <w:rFonts w:ascii="Arial" w:hAnsi="Arial" w:cs="Arial"/>
          <w:b/>
          <w:bCs/>
          <w:sz w:val="22"/>
          <w:szCs w:val="22"/>
          <w:lang w:val="es-ES"/>
        </w:rPr>
        <w:t>Duración del Contrato:</w:t>
      </w:r>
      <w:r w:rsidRPr="00655491">
        <w:rPr>
          <w:rFonts w:ascii="Arial" w:hAnsi="Arial" w:cs="Arial"/>
          <w:bCs/>
          <w:sz w:val="22"/>
          <w:szCs w:val="22"/>
          <w:lang w:val="es-ES"/>
        </w:rPr>
        <w:t xml:space="preserve"> </w:t>
      </w:r>
      <w:r>
        <w:rPr>
          <w:rFonts w:ascii="Arial" w:hAnsi="Arial" w:cs="Arial"/>
          <w:bCs/>
          <w:sz w:val="22"/>
          <w:szCs w:val="22"/>
          <w:lang w:val="es-ES"/>
        </w:rPr>
        <w:t xml:space="preserve">octubre </w:t>
      </w:r>
      <w:r w:rsidRPr="00655491">
        <w:rPr>
          <w:rFonts w:ascii="Arial" w:hAnsi="Arial" w:cs="Arial"/>
          <w:bCs/>
          <w:sz w:val="22"/>
          <w:szCs w:val="22"/>
          <w:lang w:val="es-ES"/>
        </w:rPr>
        <w:t xml:space="preserve">2017 – </w:t>
      </w:r>
      <w:r>
        <w:rPr>
          <w:rFonts w:ascii="Arial" w:hAnsi="Arial" w:cs="Arial"/>
          <w:bCs/>
          <w:sz w:val="22"/>
          <w:szCs w:val="22"/>
          <w:lang w:val="es-ES"/>
        </w:rPr>
        <w:t xml:space="preserve"> diciembre </w:t>
      </w:r>
      <w:r w:rsidRPr="00655491">
        <w:rPr>
          <w:rFonts w:ascii="Arial" w:hAnsi="Arial" w:cs="Arial"/>
          <w:bCs/>
          <w:sz w:val="22"/>
          <w:szCs w:val="22"/>
          <w:lang w:val="es-ES"/>
        </w:rPr>
        <w:t>2018</w:t>
      </w:r>
    </w:p>
    <w:p w14:paraId="3D50A1EA" w14:textId="77777777" w:rsidR="00EF5654" w:rsidRPr="00655491" w:rsidRDefault="00EF5654" w:rsidP="00EF5654">
      <w:pPr>
        <w:pStyle w:val="ListParagraph"/>
        <w:numPr>
          <w:ilvl w:val="0"/>
          <w:numId w:val="18"/>
        </w:numPr>
        <w:jc w:val="both"/>
        <w:rPr>
          <w:rFonts w:ascii="Arial" w:hAnsi="Arial" w:cs="Arial"/>
          <w:bCs/>
          <w:sz w:val="22"/>
          <w:szCs w:val="22"/>
          <w:lang w:val="es-ES"/>
        </w:rPr>
      </w:pPr>
      <w:r w:rsidRPr="00655491">
        <w:rPr>
          <w:rFonts w:ascii="Arial" w:hAnsi="Arial" w:cs="Arial"/>
          <w:b/>
          <w:bCs/>
          <w:sz w:val="22"/>
          <w:szCs w:val="22"/>
          <w:lang w:val="es-ES"/>
        </w:rPr>
        <w:t>Viajes:</w:t>
      </w:r>
      <w:r w:rsidRPr="00655491">
        <w:rPr>
          <w:rFonts w:ascii="Arial" w:hAnsi="Arial" w:cs="Arial"/>
          <w:bCs/>
          <w:sz w:val="22"/>
          <w:szCs w:val="22"/>
          <w:lang w:val="es-ES"/>
        </w:rPr>
        <w:t xml:space="preserve"> Se incluyen </w:t>
      </w:r>
      <w:r>
        <w:rPr>
          <w:rFonts w:ascii="Arial" w:hAnsi="Arial" w:cs="Arial"/>
          <w:bCs/>
          <w:sz w:val="22"/>
          <w:szCs w:val="22"/>
          <w:lang w:val="es-ES"/>
        </w:rPr>
        <w:t>XX</w:t>
      </w:r>
      <w:r w:rsidRPr="00655491">
        <w:rPr>
          <w:rFonts w:ascii="Arial" w:hAnsi="Arial" w:cs="Arial"/>
          <w:bCs/>
          <w:sz w:val="22"/>
          <w:szCs w:val="22"/>
          <w:lang w:val="es-ES"/>
        </w:rPr>
        <w:t xml:space="preserve"> viajes desde la </w:t>
      </w:r>
      <w:r>
        <w:rPr>
          <w:rFonts w:ascii="Arial" w:hAnsi="Arial" w:cs="Arial"/>
          <w:bCs/>
          <w:sz w:val="22"/>
          <w:szCs w:val="22"/>
          <w:lang w:val="es-ES"/>
        </w:rPr>
        <w:t>XX</w:t>
      </w:r>
      <w:r w:rsidRPr="00655491">
        <w:rPr>
          <w:rFonts w:ascii="Arial" w:hAnsi="Arial" w:cs="Arial"/>
          <w:bCs/>
          <w:sz w:val="22"/>
          <w:szCs w:val="22"/>
          <w:lang w:val="es-ES"/>
        </w:rPr>
        <w:t xml:space="preserve">, cubriendo los gastos de estadía hasta un máximo de </w:t>
      </w:r>
      <w:r>
        <w:rPr>
          <w:rFonts w:ascii="Arial" w:hAnsi="Arial" w:cs="Arial"/>
          <w:bCs/>
          <w:sz w:val="22"/>
          <w:szCs w:val="22"/>
          <w:lang w:val="es-ES"/>
        </w:rPr>
        <w:t xml:space="preserve">XXX </w:t>
      </w:r>
      <w:r w:rsidRPr="00655491">
        <w:rPr>
          <w:rFonts w:ascii="Arial" w:hAnsi="Arial" w:cs="Arial"/>
          <w:bCs/>
          <w:sz w:val="22"/>
          <w:szCs w:val="22"/>
          <w:lang w:val="es-ES"/>
        </w:rPr>
        <w:t>días en cada viaje.</w:t>
      </w:r>
    </w:p>
    <w:p w14:paraId="5960532A" w14:textId="77777777" w:rsidR="00EF5654" w:rsidRPr="00655491" w:rsidRDefault="00EF5654" w:rsidP="00EF5654">
      <w:pPr>
        <w:pStyle w:val="ListParagraph"/>
        <w:numPr>
          <w:ilvl w:val="0"/>
          <w:numId w:val="18"/>
        </w:numPr>
        <w:jc w:val="both"/>
        <w:rPr>
          <w:rFonts w:ascii="Arial" w:hAnsi="Arial" w:cs="Arial"/>
          <w:bCs/>
          <w:sz w:val="22"/>
          <w:szCs w:val="22"/>
          <w:lang w:val="es-ES"/>
        </w:rPr>
      </w:pPr>
      <w:r w:rsidRPr="00655491">
        <w:rPr>
          <w:rFonts w:ascii="Arial" w:hAnsi="Arial" w:cs="Arial"/>
          <w:b/>
          <w:bCs/>
          <w:sz w:val="22"/>
          <w:szCs w:val="22"/>
          <w:lang w:val="es-ES"/>
        </w:rPr>
        <w:t>Lugar(es) de trabajo:</w:t>
      </w:r>
      <w:r w:rsidRPr="00655491">
        <w:rPr>
          <w:rFonts w:ascii="Arial" w:hAnsi="Arial" w:cs="Arial"/>
          <w:bCs/>
          <w:sz w:val="22"/>
          <w:szCs w:val="22"/>
          <w:lang w:val="es-ES"/>
        </w:rPr>
        <w:t xml:space="preserve"> Se desarrollará en el lugar de residencia del contractual en la Ciudad de Salta y en Buenos Aires, Argentina</w:t>
      </w:r>
    </w:p>
    <w:p w14:paraId="5F636532" w14:textId="77777777" w:rsidR="00EF5654" w:rsidRPr="00655491" w:rsidRDefault="00EF5654" w:rsidP="00EF5654">
      <w:pPr>
        <w:pStyle w:val="ListParagraph"/>
        <w:numPr>
          <w:ilvl w:val="0"/>
          <w:numId w:val="18"/>
        </w:numPr>
        <w:jc w:val="both"/>
        <w:rPr>
          <w:rFonts w:ascii="Arial" w:hAnsi="Arial" w:cs="Arial"/>
          <w:bCs/>
          <w:sz w:val="22"/>
          <w:szCs w:val="22"/>
          <w:lang w:val="es-ES"/>
        </w:rPr>
      </w:pPr>
      <w:r w:rsidRPr="00655491">
        <w:rPr>
          <w:rFonts w:ascii="Arial" w:hAnsi="Arial" w:cs="Arial"/>
          <w:b/>
          <w:bCs/>
          <w:sz w:val="22"/>
          <w:szCs w:val="22"/>
          <w:lang w:val="es-ES"/>
        </w:rPr>
        <w:t>El Coordinador</w:t>
      </w:r>
      <w:r w:rsidRPr="00655491">
        <w:rPr>
          <w:rFonts w:ascii="Arial" w:hAnsi="Arial" w:cs="Arial"/>
          <w:bCs/>
          <w:sz w:val="22"/>
          <w:szCs w:val="22"/>
          <w:lang w:val="es-ES"/>
        </w:rPr>
        <w:t xml:space="preserve"> de esta consultoría será el Sr. Emilio Sawada, Especialista Regional de Energía (ENE/CUR) (</w:t>
      </w:r>
      <w:hyperlink r:id="rId15" w:history="1">
        <w:r w:rsidRPr="00655491">
          <w:rPr>
            <w:rStyle w:val="Hyperlink"/>
            <w:rFonts w:ascii="Arial" w:hAnsi="Arial" w:cs="Arial"/>
            <w:bCs/>
            <w:sz w:val="22"/>
            <w:szCs w:val="22"/>
            <w:lang w:val="es-ES"/>
          </w:rPr>
          <w:t>emilios@iadb.org</w:t>
        </w:r>
      </w:hyperlink>
      <w:r w:rsidRPr="00655491">
        <w:rPr>
          <w:rFonts w:ascii="Arial" w:hAnsi="Arial" w:cs="Arial"/>
          <w:bCs/>
          <w:sz w:val="22"/>
          <w:szCs w:val="22"/>
          <w:lang w:val="es-ES"/>
        </w:rPr>
        <w:t xml:space="preserve"> ; Tel.+(598) 2915-4330), de la División de Energía del BID, basado en la Oficina de Representación del BID en la República Oriental del Uruguay, y responsable de los temas de energía del BID en Argentina. </w:t>
      </w:r>
    </w:p>
    <w:p w14:paraId="032E216F" w14:textId="77777777" w:rsidR="00EF5654" w:rsidRPr="00655491" w:rsidRDefault="00EF5654" w:rsidP="00EF5654">
      <w:pPr>
        <w:pStyle w:val="ListParagraph"/>
        <w:jc w:val="both"/>
        <w:rPr>
          <w:rFonts w:ascii="Arial" w:hAnsi="Arial" w:cs="Arial"/>
          <w:bCs/>
          <w:sz w:val="22"/>
          <w:szCs w:val="22"/>
          <w:lang w:val="es-ES"/>
        </w:rPr>
      </w:pPr>
    </w:p>
    <w:p w14:paraId="1BC552E1" w14:textId="77777777" w:rsidR="00EF5654" w:rsidRPr="00655491" w:rsidRDefault="00EF5654" w:rsidP="00EF5654">
      <w:pPr>
        <w:jc w:val="both"/>
        <w:rPr>
          <w:rFonts w:ascii="Arial" w:hAnsi="Arial" w:cs="Arial"/>
          <w:sz w:val="22"/>
          <w:szCs w:val="22"/>
          <w:lang w:val="es-ES_tradnl"/>
        </w:rPr>
      </w:pPr>
      <w:r w:rsidRPr="00655491">
        <w:rPr>
          <w:rFonts w:ascii="Arial" w:hAnsi="Arial" w:cs="Arial"/>
          <w:b/>
          <w:sz w:val="22"/>
          <w:szCs w:val="22"/>
          <w:lang w:val="es-ES_tradnl"/>
        </w:rPr>
        <w:t>Pago y Condiciones:</w:t>
      </w:r>
      <w:r w:rsidRPr="00655491">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7C093404" w14:textId="77777777" w:rsidR="00EF5654" w:rsidRPr="00655491" w:rsidRDefault="00EF5654" w:rsidP="00EF5654">
      <w:pPr>
        <w:jc w:val="both"/>
        <w:rPr>
          <w:rFonts w:ascii="Arial" w:hAnsi="Arial" w:cs="Arial"/>
          <w:sz w:val="22"/>
          <w:szCs w:val="22"/>
          <w:lang w:val="es-ES_tradnl"/>
        </w:rPr>
      </w:pPr>
      <w:r w:rsidRPr="00655491">
        <w:rPr>
          <w:rFonts w:ascii="Arial" w:hAnsi="Arial" w:cs="Arial"/>
          <w:sz w:val="22"/>
          <w:szCs w:val="22"/>
          <w:lang w:val="es-ES_tradnl"/>
        </w:rPr>
        <w:lastRenderedPageBreak/>
        <w:t xml:space="preserve"> </w:t>
      </w:r>
    </w:p>
    <w:p w14:paraId="081D69BA" w14:textId="77777777" w:rsidR="00EF5654" w:rsidRPr="00655491" w:rsidRDefault="00EF5654" w:rsidP="00EF5654">
      <w:pPr>
        <w:jc w:val="both"/>
        <w:rPr>
          <w:rFonts w:ascii="Arial" w:hAnsi="Arial" w:cs="Arial"/>
          <w:sz w:val="22"/>
          <w:szCs w:val="22"/>
          <w:lang w:val="es-ES_tradnl"/>
        </w:rPr>
      </w:pPr>
      <w:r w:rsidRPr="00655491">
        <w:rPr>
          <w:rFonts w:ascii="Arial" w:hAnsi="Arial" w:cs="Arial"/>
          <w:b/>
          <w:sz w:val="22"/>
          <w:szCs w:val="22"/>
          <w:lang w:val="es-ES_tradnl"/>
        </w:rPr>
        <w:t>Consanguinidad:</w:t>
      </w:r>
      <w:r w:rsidRPr="00655491">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6B6DCA2D" w14:textId="77777777" w:rsidR="00EF5654" w:rsidRPr="00655491" w:rsidRDefault="00EF5654" w:rsidP="00EF5654">
      <w:pPr>
        <w:jc w:val="both"/>
        <w:rPr>
          <w:rFonts w:ascii="Arial" w:hAnsi="Arial" w:cs="Arial"/>
          <w:sz w:val="22"/>
          <w:szCs w:val="22"/>
          <w:lang w:val="es-ES_tradnl"/>
        </w:rPr>
      </w:pPr>
      <w:r w:rsidRPr="00655491">
        <w:rPr>
          <w:rFonts w:ascii="Arial" w:hAnsi="Arial" w:cs="Arial"/>
          <w:sz w:val="22"/>
          <w:szCs w:val="22"/>
          <w:lang w:val="es-ES_tradnl"/>
        </w:rPr>
        <w:t xml:space="preserve"> </w:t>
      </w:r>
    </w:p>
    <w:p w14:paraId="6DF216BB" w14:textId="77777777" w:rsidR="00EF5654" w:rsidRPr="00655491" w:rsidRDefault="00EF5654" w:rsidP="00EF5654">
      <w:pPr>
        <w:jc w:val="both"/>
        <w:rPr>
          <w:rFonts w:ascii="Arial" w:hAnsi="Arial" w:cs="Arial"/>
          <w:sz w:val="22"/>
          <w:szCs w:val="22"/>
          <w:lang w:val="es-ES_tradnl"/>
        </w:rPr>
      </w:pPr>
      <w:r w:rsidRPr="00655491">
        <w:rPr>
          <w:rFonts w:ascii="Arial" w:hAnsi="Arial" w:cs="Arial"/>
          <w:b/>
          <w:sz w:val="22"/>
          <w:szCs w:val="22"/>
          <w:lang w:val="es-ES_tradnl"/>
        </w:rPr>
        <w:t>Diversidad</w:t>
      </w:r>
      <w:r w:rsidRPr="00655491">
        <w:rPr>
          <w:rFonts w:ascii="Arial" w:hAnsi="Arial" w:cs="Arial"/>
          <w:sz w:val="22"/>
          <w:szCs w:val="22"/>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w:t>
      </w:r>
      <w:bookmarkEnd w:id="0"/>
      <w:r w:rsidRPr="00655491">
        <w:rPr>
          <w:rFonts w:ascii="Arial" w:hAnsi="Arial" w:cs="Arial"/>
          <w:sz w:val="22"/>
          <w:szCs w:val="22"/>
          <w:lang w:val="es-ES_tradnl"/>
        </w:rPr>
        <w:t>/SIDA. Alentamos a aplicar a mujeres, afrodescendientes y a personas de origen indígena.</w:t>
      </w:r>
    </w:p>
    <w:p w14:paraId="7B5F03D5" w14:textId="77777777" w:rsidR="00EF5654" w:rsidRPr="00655491" w:rsidRDefault="00EF5654" w:rsidP="00EF5654">
      <w:pPr>
        <w:jc w:val="both"/>
        <w:rPr>
          <w:rFonts w:ascii="Arial" w:hAnsi="Arial" w:cs="Arial"/>
          <w:sz w:val="22"/>
          <w:szCs w:val="22"/>
          <w:lang w:val="es-ES"/>
        </w:rPr>
      </w:pPr>
    </w:p>
    <w:p w14:paraId="072304FC" w14:textId="77777777" w:rsidR="00EF5654" w:rsidRPr="00655491" w:rsidRDefault="00EF5654" w:rsidP="00EF5654">
      <w:pPr>
        <w:jc w:val="center"/>
        <w:rPr>
          <w:rFonts w:ascii="Arial" w:hAnsi="Arial" w:cs="Arial"/>
          <w:b/>
          <w:bCs/>
          <w:sz w:val="22"/>
          <w:szCs w:val="22"/>
          <w:lang w:val="es-ES_tradnl"/>
        </w:rPr>
      </w:pPr>
    </w:p>
    <w:p w14:paraId="6582DBBC" w14:textId="77777777" w:rsidR="00EF5654" w:rsidRDefault="00EF5654" w:rsidP="00EF5654">
      <w:pPr>
        <w:pageBreakBefore/>
        <w:jc w:val="center"/>
        <w:rPr>
          <w:rFonts w:ascii="Arial" w:hAnsi="Arial" w:cs="Arial"/>
          <w:b/>
          <w:bCs/>
          <w:sz w:val="22"/>
          <w:szCs w:val="22"/>
          <w:lang w:val="es-ES_tradnl"/>
        </w:rPr>
      </w:pPr>
      <w:r w:rsidRPr="00655491">
        <w:rPr>
          <w:rFonts w:ascii="Arial" w:hAnsi="Arial" w:cs="Arial"/>
          <w:b/>
          <w:bCs/>
          <w:sz w:val="22"/>
          <w:szCs w:val="22"/>
          <w:lang w:val="es-ES_tradnl"/>
        </w:rPr>
        <w:lastRenderedPageBreak/>
        <w:t>ARGENTINA</w:t>
      </w:r>
    </w:p>
    <w:p w14:paraId="6834B13B" w14:textId="77777777" w:rsidR="00EF5654" w:rsidRPr="00655491" w:rsidRDefault="00EF5654" w:rsidP="00EF5654">
      <w:pPr>
        <w:jc w:val="center"/>
        <w:rPr>
          <w:rFonts w:ascii="Arial" w:hAnsi="Arial" w:cs="Arial"/>
          <w:b/>
          <w:bCs/>
          <w:sz w:val="22"/>
          <w:szCs w:val="22"/>
          <w:lang w:val="es-ES_tradnl"/>
        </w:rPr>
      </w:pPr>
    </w:p>
    <w:p w14:paraId="488020E4" w14:textId="77777777" w:rsidR="00EF5654" w:rsidRPr="00655491" w:rsidRDefault="00EF5654" w:rsidP="00EF5654">
      <w:pPr>
        <w:jc w:val="center"/>
        <w:rPr>
          <w:rFonts w:ascii="Arial" w:hAnsi="Arial" w:cs="Arial"/>
          <w:b/>
          <w:bCs/>
          <w:sz w:val="22"/>
          <w:szCs w:val="22"/>
          <w:lang w:val="es-ES_tradnl"/>
        </w:rPr>
      </w:pPr>
      <w:r w:rsidRPr="00655491">
        <w:rPr>
          <w:rFonts w:ascii="Arial" w:hAnsi="Arial" w:cs="Arial"/>
          <w:b/>
          <w:bCs/>
          <w:sz w:val="22"/>
          <w:szCs w:val="22"/>
          <w:lang w:val="es-ES_tradnl"/>
        </w:rPr>
        <w:t>INFRAESTRUCTURA Y ENERGÍA/DIVISIÓN DE ENERGÍA (INE/ENE)</w:t>
      </w:r>
    </w:p>
    <w:p w14:paraId="767A995A" w14:textId="77777777" w:rsidR="00EF5654" w:rsidRPr="00655491" w:rsidRDefault="00EF5654" w:rsidP="00EF5654">
      <w:pPr>
        <w:jc w:val="center"/>
        <w:rPr>
          <w:rFonts w:ascii="Arial" w:hAnsi="Arial" w:cs="Arial"/>
          <w:sz w:val="22"/>
          <w:szCs w:val="22"/>
          <w:u w:val="single"/>
          <w:lang w:val="es-ES_tradnl"/>
        </w:rPr>
      </w:pPr>
    </w:p>
    <w:p w14:paraId="5859F952" w14:textId="77777777" w:rsidR="00EF5654" w:rsidRPr="00655491" w:rsidRDefault="00EF5654" w:rsidP="00EF5654">
      <w:pPr>
        <w:jc w:val="center"/>
        <w:rPr>
          <w:rFonts w:ascii="Arial" w:hAnsi="Arial" w:cs="Arial"/>
          <w:b/>
          <w:bCs/>
          <w:sz w:val="22"/>
          <w:szCs w:val="22"/>
          <w:lang w:val="es-ES_tradnl"/>
        </w:rPr>
      </w:pPr>
    </w:p>
    <w:p w14:paraId="0EBEA0B9" w14:textId="77777777" w:rsidR="00EF5654" w:rsidRDefault="00EF5654" w:rsidP="00EF5654">
      <w:pPr>
        <w:jc w:val="center"/>
        <w:rPr>
          <w:rFonts w:ascii="Arial" w:hAnsi="Arial" w:cs="Arial"/>
          <w:b/>
          <w:bCs/>
          <w:sz w:val="22"/>
          <w:szCs w:val="22"/>
          <w:lang w:val="es-ES"/>
        </w:rPr>
      </w:pPr>
      <w:r w:rsidRPr="00FF5B5F">
        <w:rPr>
          <w:rFonts w:ascii="Arial" w:hAnsi="Arial" w:cs="Arial"/>
          <w:b/>
          <w:bCs/>
          <w:sz w:val="22"/>
          <w:szCs w:val="22"/>
          <w:lang w:val="es-ES_tradnl"/>
        </w:rPr>
        <w:t>D</w:t>
      </w:r>
      <w:r w:rsidRPr="00FF5B5F">
        <w:rPr>
          <w:rFonts w:ascii="Arial" w:hAnsi="Arial" w:cs="Arial"/>
          <w:b/>
          <w:bCs/>
          <w:sz w:val="22"/>
          <w:szCs w:val="22"/>
          <w:lang w:val="es-ES"/>
        </w:rPr>
        <w:t xml:space="preserve">ESARROLLO </w:t>
      </w:r>
      <w:r>
        <w:rPr>
          <w:rFonts w:ascii="Arial" w:hAnsi="Arial" w:cs="Arial"/>
          <w:b/>
          <w:bCs/>
          <w:sz w:val="22"/>
          <w:szCs w:val="22"/>
          <w:lang w:val="es-ES"/>
        </w:rPr>
        <w:t>DE UNA</w:t>
      </w:r>
      <w:r w:rsidRPr="00FF5B5F">
        <w:rPr>
          <w:rFonts w:ascii="Arial" w:hAnsi="Arial" w:cs="Arial"/>
          <w:b/>
          <w:bCs/>
          <w:sz w:val="22"/>
          <w:szCs w:val="22"/>
          <w:lang w:val="es-ES"/>
        </w:rPr>
        <w:t xml:space="preserve"> METODOLOGÍA </w:t>
      </w:r>
      <w:r>
        <w:rPr>
          <w:rFonts w:ascii="Arial" w:hAnsi="Arial" w:cs="Arial"/>
          <w:b/>
          <w:bCs/>
          <w:sz w:val="22"/>
          <w:szCs w:val="22"/>
          <w:lang w:val="es-ES"/>
        </w:rPr>
        <w:t>PARA LA</w:t>
      </w:r>
      <w:r w:rsidRPr="00FF5B5F">
        <w:rPr>
          <w:rFonts w:ascii="Arial" w:hAnsi="Arial" w:cs="Arial"/>
          <w:b/>
          <w:bCs/>
          <w:sz w:val="22"/>
          <w:szCs w:val="22"/>
          <w:lang w:val="es-ES"/>
        </w:rPr>
        <w:t xml:space="preserve"> GENERACIÓN, ESTANDARIZACIÓN, SISTEMATIZACIÓN Y DIFUSIÓN DE INFORMACIÓN DEL SECTOR</w:t>
      </w:r>
    </w:p>
    <w:p w14:paraId="42289C31" w14:textId="77777777" w:rsidR="00EF5654" w:rsidRDefault="00EF5654" w:rsidP="00EF5654">
      <w:pPr>
        <w:jc w:val="center"/>
        <w:rPr>
          <w:rFonts w:ascii="Arial" w:hAnsi="Arial" w:cs="Arial"/>
          <w:b/>
          <w:bCs/>
          <w:sz w:val="22"/>
          <w:szCs w:val="22"/>
          <w:lang w:val="es-ES"/>
        </w:rPr>
      </w:pPr>
    </w:p>
    <w:p w14:paraId="2AFCEC7A" w14:textId="77777777" w:rsidR="00EF5654" w:rsidRDefault="00EF5654" w:rsidP="00EF5654">
      <w:pPr>
        <w:jc w:val="center"/>
        <w:rPr>
          <w:rFonts w:ascii="Arial" w:hAnsi="Arial" w:cs="Arial"/>
          <w:b/>
          <w:bCs/>
          <w:sz w:val="22"/>
          <w:szCs w:val="22"/>
          <w:lang w:val="es-ES"/>
        </w:rPr>
      </w:pPr>
      <w:r w:rsidRPr="004D7D3A">
        <w:rPr>
          <w:rFonts w:ascii="Arial" w:hAnsi="Arial" w:cs="Arial"/>
          <w:b/>
          <w:bCs/>
          <w:sz w:val="22"/>
          <w:szCs w:val="22"/>
          <w:lang w:val="es-ES"/>
        </w:rPr>
        <w:t>APOYO A LA AGENDA DE DESARROLLO DE ENERGÍA SOSTENIBLE EN ARGENTINA</w:t>
      </w:r>
    </w:p>
    <w:p w14:paraId="4408D4A5" w14:textId="77777777" w:rsidR="00EF5654" w:rsidRPr="004D7D3A" w:rsidRDefault="00EF5654" w:rsidP="00EF5654">
      <w:pPr>
        <w:jc w:val="center"/>
        <w:rPr>
          <w:rFonts w:ascii="Arial" w:hAnsi="Arial" w:cs="Arial"/>
          <w:b/>
          <w:bCs/>
          <w:sz w:val="22"/>
          <w:szCs w:val="22"/>
          <w:lang w:val="pt-BR"/>
        </w:rPr>
      </w:pPr>
      <w:r w:rsidRPr="004D7D3A">
        <w:rPr>
          <w:rFonts w:ascii="Arial" w:hAnsi="Arial" w:cs="Arial"/>
          <w:b/>
          <w:bCs/>
          <w:sz w:val="22"/>
          <w:szCs w:val="22"/>
          <w:lang w:val="pt-BR"/>
        </w:rPr>
        <w:t>AR-T1147</w:t>
      </w:r>
    </w:p>
    <w:p w14:paraId="21D28CFE" w14:textId="77777777" w:rsidR="00EF5654" w:rsidRPr="004D7D3A" w:rsidRDefault="00EF5654" w:rsidP="00EF5654">
      <w:pPr>
        <w:jc w:val="center"/>
        <w:rPr>
          <w:rFonts w:ascii="Arial" w:hAnsi="Arial" w:cs="Arial"/>
          <w:iCs/>
          <w:sz w:val="22"/>
          <w:szCs w:val="22"/>
          <w:lang w:val="pt-BR"/>
        </w:rPr>
      </w:pPr>
    </w:p>
    <w:p w14:paraId="2577B7F4" w14:textId="77777777" w:rsidR="00EF5654" w:rsidRDefault="00EF5654" w:rsidP="00EF5654">
      <w:pPr>
        <w:jc w:val="center"/>
        <w:rPr>
          <w:rFonts w:ascii="Arial" w:hAnsi="Arial" w:cs="Arial"/>
          <w:b/>
          <w:bCs/>
          <w:sz w:val="22"/>
          <w:szCs w:val="22"/>
          <w:lang w:val="pt-BR"/>
        </w:rPr>
      </w:pPr>
      <w:r w:rsidRPr="004D7D3A">
        <w:rPr>
          <w:rFonts w:ascii="Arial" w:hAnsi="Arial" w:cs="Arial"/>
          <w:b/>
          <w:bCs/>
          <w:sz w:val="22"/>
          <w:szCs w:val="22"/>
          <w:lang w:val="pt-BR"/>
        </w:rPr>
        <w:t>COMPONENTE I</w:t>
      </w:r>
    </w:p>
    <w:p w14:paraId="7CD8D0A5" w14:textId="77777777" w:rsidR="00EF5654" w:rsidRPr="004D7D3A" w:rsidRDefault="00EF5654" w:rsidP="00EF5654">
      <w:pPr>
        <w:jc w:val="center"/>
        <w:rPr>
          <w:rFonts w:ascii="Arial" w:hAnsi="Arial" w:cs="Arial"/>
          <w:b/>
          <w:bCs/>
          <w:sz w:val="22"/>
          <w:szCs w:val="22"/>
          <w:lang w:val="pt-BR"/>
        </w:rPr>
      </w:pPr>
    </w:p>
    <w:p w14:paraId="24C9554F" w14:textId="77777777" w:rsidR="00EF5654" w:rsidRPr="004D7D3A" w:rsidRDefault="00EF5654" w:rsidP="00EF5654">
      <w:pPr>
        <w:jc w:val="center"/>
        <w:rPr>
          <w:rFonts w:ascii="Arial" w:hAnsi="Arial" w:cs="Arial"/>
          <w:b/>
          <w:bCs/>
          <w:sz w:val="22"/>
          <w:szCs w:val="22"/>
          <w:lang w:val="pt-BR"/>
        </w:rPr>
      </w:pPr>
      <w:r w:rsidRPr="004D7D3A">
        <w:rPr>
          <w:rFonts w:ascii="Arial" w:hAnsi="Arial" w:cs="Arial"/>
          <w:b/>
          <w:bCs/>
          <w:sz w:val="22"/>
          <w:szCs w:val="22"/>
          <w:lang w:val="pt-BR"/>
        </w:rPr>
        <w:t>TERMINOS DE REFERENCIA</w:t>
      </w:r>
    </w:p>
    <w:p w14:paraId="5ADA8BD8" w14:textId="77777777" w:rsidR="00EF5654" w:rsidRPr="004D7D3A" w:rsidRDefault="00EF5654" w:rsidP="00EF5654">
      <w:pPr>
        <w:jc w:val="center"/>
        <w:rPr>
          <w:rFonts w:ascii="Arial" w:hAnsi="Arial" w:cs="Arial"/>
          <w:b/>
          <w:bCs/>
          <w:sz w:val="22"/>
          <w:szCs w:val="22"/>
          <w:lang w:val="pt-BR"/>
        </w:rPr>
      </w:pPr>
    </w:p>
    <w:p w14:paraId="0D33B6A3" w14:textId="77777777" w:rsidR="00EF5654" w:rsidRPr="006E3FF5" w:rsidRDefault="00EF5654" w:rsidP="00EF5654">
      <w:pPr>
        <w:rPr>
          <w:rFonts w:ascii="Arial" w:hAnsi="Arial" w:cs="Arial"/>
          <w:b/>
          <w:bCs/>
          <w:sz w:val="22"/>
          <w:szCs w:val="22"/>
          <w:lang w:val="es-ES_tradnl"/>
        </w:rPr>
      </w:pPr>
      <w:r w:rsidRPr="006E3FF5">
        <w:rPr>
          <w:rFonts w:ascii="Arial" w:hAnsi="Arial" w:cs="Arial"/>
          <w:b/>
          <w:bCs/>
          <w:sz w:val="22"/>
          <w:szCs w:val="22"/>
          <w:lang w:val="es-ES_tradnl"/>
        </w:rPr>
        <w:t>ANTECEDENTES</w:t>
      </w:r>
    </w:p>
    <w:p w14:paraId="13F2448A" w14:textId="77777777" w:rsidR="00EF5654" w:rsidRPr="006E3FF5" w:rsidRDefault="00EF5654" w:rsidP="00EF5654">
      <w:pPr>
        <w:jc w:val="both"/>
        <w:rPr>
          <w:rFonts w:ascii="Arial" w:hAnsi="Arial" w:cs="Arial"/>
          <w:bCs/>
          <w:sz w:val="22"/>
          <w:szCs w:val="22"/>
          <w:lang w:val="es-ES_tradnl"/>
        </w:rPr>
      </w:pPr>
    </w:p>
    <w:p w14:paraId="503C13E2" w14:textId="77777777" w:rsidR="00EF5654" w:rsidRDefault="00EF5654" w:rsidP="00EF5654">
      <w:pPr>
        <w:tabs>
          <w:tab w:val="left" w:pos="720"/>
        </w:tabs>
        <w:jc w:val="both"/>
        <w:rPr>
          <w:rFonts w:ascii="Arial" w:hAnsi="Arial" w:cs="Arial"/>
          <w:bCs/>
          <w:sz w:val="22"/>
          <w:szCs w:val="22"/>
          <w:lang w:val="es-ES"/>
        </w:rPr>
      </w:pPr>
      <w:r w:rsidRPr="006E3FF5">
        <w:rPr>
          <w:rFonts w:ascii="Arial" w:hAnsi="Arial" w:cs="Arial"/>
          <w:bCs/>
          <w:sz w:val="22"/>
          <w:szCs w:val="22"/>
          <w:lang w:val="es-ES"/>
        </w:rPr>
        <w:t xml:space="preserve">El principal actor del sector energético de Argentina es el Ministerio de Minas y Energía. Creado en diciembre de 2015, el Ministerio cuenta con las secretarias de (i) Minería; (ii) Recursos Hidrocarburífereos; (iii) Planeamiento Energético Estratégico; y (iv) Energía Eléctrica. Bajo estas dos últimas, se encuentran las Subsecretarías de Ahorro y Eficiencia Energética, y la Subsecretaría de Energía Renovable, respectivamente. El ministerio es responsable de la definición y desarrollo de las políticas y marcos regulatorios de los sectores de energía y minas, así como el velar por su cumplimiento. </w:t>
      </w:r>
    </w:p>
    <w:p w14:paraId="2BD3B652" w14:textId="77777777" w:rsidR="00EF5654" w:rsidRPr="006E3FF5" w:rsidRDefault="00EF5654" w:rsidP="00EF5654">
      <w:pPr>
        <w:tabs>
          <w:tab w:val="left" w:pos="720"/>
        </w:tabs>
        <w:jc w:val="both"/>
        <w:rPr>
          <w:rFonts w:ascii="Arial" w:hAnsi="Arial" w:cs="Arial"/>
          <w:bCs/>
          <w:sz w:val="22"/>
          <w:szCs w:val="22"/>
          <w:lang w:val="es-ES"/>
        </w:rPr>
      </w:pPr>
    </w:p>
    <w:p w14:paraId="74062CDF" w14:textId="77777777" w:rsidR="00EF5654" w:rsidRDefault="00EF5654" w:rsidP="00EF5654">
      <w:pPr>
        <w:tabs>
          <w:tab w:val="left" w:pos="720"/>
        </w:tabs>
        <w:jc w:val="both"/>
        <w:rPr>
          <w:rFonts w:ascii="Arial" w:hAnsi="Arial" w:cs="Arial"/>
          <w:bCs/>
          <w:sz w:val="22"/>
          <w:szCs w:val="22"/>
          <w:lang w:val="es-ES"/>
        </w:rPr>
      </w:pPr>
      <w:r w:rsidRPr="006E3FF5">
        <w:rPr>
          <w:rFonts w:ascii="Arial" w:hAnsi="Arial" w:cs="Arial"/>
          <w:bCs/>
          <w:sz w:val="22"/>
          <w:szCs w:val="22"/>
          <w:lang w:val="es-ES"/>
        </w:rPr>
        <w:t>En 2015, la oferta total nacional de energía del país fue de 84,743 Toneladas Equivalentes de Petróleo (Tep). De estos, cerca del 22% corresponde a importación de energía, principalmente Gas Natural y combustibles fósiles líquidos.  En el mismo año, el consumo final alcanzó las 55,487 Tep, siendo los sectores de mayor consumo transporte (28.4%), residencial (27.1%) e industrial (24.1%).</w:t>
      </w:r>
    </w:p>
    <w:p w14:paraId="2BF452FC" w14:textId="77777777" w:rsidR="00EF5654" w:rsidRPr="006E3FF5" w:rsidRDefault="00EF5654" w:rsidP="00EF5654">
      <w:pPr>
        <w:tabs>
          <w:tab w:val="left" w:pos="720"/>
        </w:tabs>
        <w:jc w:val="both"/>
        <w:rPr>
          <w:rFonts w:ascii="Arial" w:hAnsi="Arial" w:cs="Arial"/>
          <w:bCs/>
          <w:sz w:val="22"/>
          <w:szCs w:val="22"/>
          <w:lang w:val="es-ES"/>
        </w:rPr>
      </w:pPr>
    </w:p>
    <w:p w14:paraId="57205DA5" w14:textId="77777777" w:rsidR="00EF5654" w:rsidRPr="006E3FF5" w:rsidRDefault="00EF5654" w:rsidP="00EF5654">
      <w:pPr>
        <w:tabs>
          <w:tab w:val="left" w:pos="720"/>
        </w:tabs>
        <w:jc w:val="both"/>
        <w:rPr>
          <w:rFonts w:ascii="Arial" w:hAnsi="Arial" w:cs="Arial"/>
          <w:bCs/>
          <w:sz w:val="22"/>
          <w:szCs w:val="22"/>
          <w:lang w:val="es-ES"/>
        </w:rPr>
      </w:pPr>
      <w:r w:rsidRPr="006E3FF5">
        <w:rPr>
          <w:rFonts w:ascii="Arial" w:hAnsi="Arial" w:cs="Arial"/>
          <w:bCs/>
          <w:sz w:val="22"/>
          <w:szCs w:val="22"/>
          <w:lang w:val="es-ES"/>
        </w:rPr>
        <w:t xml:space="preserve">Al 30 de junio de 2017, la capacidad instalada de generación eléctrica en el Sistema Argentino de Interconexión (SADI) fue de 35.011 MW, compuesta en 61.3% por energía térmica, 31.7% hídrica, 5% nuclear, y 2% eólica y pequeñas hidro.  En 2016 la demanda de energía alcanzó los 132.793 GWh , representando un incremento del 0.7% con respecto a 2015.  </w:t>
      </w:r>
    </w:p>
    <w:p w14:paraId="0FB56374" w14:textId="77777777" w:rsidR="00EF5654" w:rsidRDefault="00EF5654" w:rsidP="00EF5654">
      <w:pPr>
        <w:tabs>
          <w:tab w:val="left" w:pos="720"/>
        </w:tabs>
        <w:jc w:val="both"/>
        <w:rPr>
          <w:rFonts w:ascii="Arial" w:hAnsi="Arial" w:cs="Arial"/>
          <w:bCs/>
          <w:sz w:val="22"/>
          <w:szCs w:val="22"/>
          <w:lang w:val="es-ES"/>
        </w:rPr>
      </w:pPr>
    </w:p>
    <w:p w14:paraId="3CB50AD2" w14:textId="77777777" w:rsidR="00EF5654" w:rsidRPr="006E3FF5" w:rsidRDefault="00EF5654" w:rsidP="00EF5654">
      <w:pPr>
        <w:tabs>
          <w:tab w:val="left" w:pos="720"/>
        </w:tabs>
        <w:jc w:val="both"/>
        <w:rPr>
          <w:rFonts w:ascii="Arial" w:hAnsi="Arial" w:cs="Arial"/>
          <w:bCs/>
          <w:sz w:val="22"/>
          <w:szCs w:val="22"/>
          <w:lang w:val="es-ES"/>
        </w:rPr>
      </w:pPr>
      <w:r w:rsidRPr="006E3FF5">
        <w:rPr>
          <w:rFonts w:ascii="Arial" w:hAnsi="Arial" w:cs="Arial"/>
          <w:bCs/>
          <w:sz w:val="22"/>
          <w:szCs w:val="22"/>
          <w:lang w:val="es-ES"/>
        </w:rPr>
        <w:t xml:space="preserve">La capacidad de provisión de energía no ha sido suficiente para satisfacer la demanda lo que se ha venido traduciendo en una baja calidad de los servicios, problemas en el suministro eléctrico y de gas natural, especialmente para el sector productivo, provocando un déficit comercial energético creciente en un marco de tarifas retrasadas y fuertes subsidios al sector. </w:t>
      </w:r>
    </w:p>
    <w:p w14:paraId="086CDE2E" w14:textId="77777777" w:rsidR="00EF5654" w:rsidRDefault="00EF5654" w:rsidP="00EF5654">
      <w:pPr>
        <w:tabs>
          <w:tab w:val="left" w:pos="720"/>
        </w:tabs>
        <w:jc w:val="both"/>
        <w:rPr>
          <w:rFonts w:ascii="Arial" w:hAnsi="Arial" w:cs="Arial"/>
          <w:bCs/>
          <w:sz w:val="22"/>
          <w:szCs w:val="22"/>
          <w:lang w:val="es-ES"/>
        </w:rPr>
      </w:pPr>
    </w:p>
    <w:p w14:paraId="53942D8D" w14:textId="77777777" w:rsidR="00EF5654" w:rsidRPr="006E3FF5" w:rsidRDefault="00EF5654" w:rsidP="00EF5654">
      <w:pPr>
        <w:tabs>
          <w:tab w:val="left" w:pos="720"/>
        </w:tabs>
        <w:jc w:val="both"/>
        <w:rPr>
          <w:rFonts w:ascii="Arial" w:hAnsi="Arial" w:cs="Arial"/>
          <w:bCs/>
          <w:sz w:val="22"/>
          <w:szCs w:val="22"/>
          <w:lang w:val="es-ES"/>
        </w:rPr>
      </w:pPr>
      <w:r w:rsidRPr="006E3FF5">
        <w:rPr>
          <w:rFonts w:ascii="Arial" w:hAnsi="Arial" w:cs="Arial"/>
          <w:bCs/>
          <w:sz w:val="22"/>
          <w:szCs w:val="22"/>
          <w:lang w:val="es-ES"/>
        </w:rPr>
        <w:t xml:space="preserve">En hidrocarburos, el país ha venido enfrentando restricciones especialmente con el gas natural.  En 2016 la producción de petróleo alcanzó los 29.7 Mm3, representado una reducción de aproximadamente 4% respecto a 2015. La producción de gas natural, por su parte, alcanzó los 123,5 MMm³ diarios, incrementándose 4.8% con respecto a 2015. Este tema es relevante porque la mitad del consumo nacional de gas se destina a la generación eléctrica.  Lo anterior ha llevado a la sustitución del gas natural por combustibles líquidos para generación, de mayor costo e impacto ambiental, provocando una mayor “carbonización” de la matriz eléctrica. Dos terceras partes de la generación han sido de origen térmico en los últimos años. Adicionalmente, se registró un elevado número de cortes de suministro eléctrico, de duración relativamente larga y que han generado impactos negativos en la población y en el sector productivo.   El bajo nivel de </w:t>
      </w:r>
      <w:r w:rsidRPr="006E3FF5">
        <w:rPr>
          <w:rFonts w:ascii="Arial" w:hAnsi="Arial" w:cs="Arial"/>
          <w:bCs/>
          <w:sz w:val="22"/>
          <w:szCs w:val="22"/>
          <w:lang w:val="es-ES"/>
        </w:rPr>
        <w:lastRenderedPageBreak/>
        <w:t>las tarifas eléctricas y del gas han cubierto solo una parte de los costos asociados, esto sumado al elevado nivel de los subsidios, han desalentado las inversiones en el sector energético.</w:t>
      </w:r>
    </w:p>
    <w:p w14:paraId="76A465D1" w14:textId="77777777" w:rsidR="00EF5654" w:rsidRDefault="00EF5654" w:rsidP="00EF5654">
      <w:pPr>
        <w:tabs>
          <w:tab w:val="left" w:pos="720"/>
        </w:tabs>
        <w:jc w:val="both"/>
        <w:rPr>
          <w:rFonts w:ascii="Arial" w:hAnsi="Arial" w:cs="Arial"/>
          <w:bCs/>
          <w:sz w:val="22"/>
          <w:szCs w:val="22"/>
          <w:lang w:val="es-ES"/>
        </w:rPr>
      </w:pPr>
    </w:p>
    <w:p w14:paraId="1BE2FCD6" w14:textId="77777777" w:rsidR="00EF5654" w:rsidRPr="006E3FF5" w:rsidRDefault="00EF5654" w:rsidP="00EF5654">
      <w:pPr>
        <w:tabs>
          <w:tab w:val="left" w:pos="720"/>
        </w:tabs>
        <w:jc w:val="both"/>
        <w:rPr>
          <w:rFonts w:ascii="Arial" w:hAnsi="Arial" w:cs="Arial"/>
          <w:bCs/>
          <w:sz w:val="22"/>
          <w:szCs w:val="22"/>
          <w:lang w:val="es-ES"/>
        </w:rPr>
      </w:pPr>
      <w:r w:rsidRPr="006E3FF5">
        <w:rPr>
          <w:rFonts w:ascii="Arial" w:hAnsi="Arial" w:cs="Arial"/>
          <w:bCs/>
          <w:sz w:val="22"/>
          <w:szCs w:val="22"/>
          <w:lang w:val="es-ES"/>
        </w:rPr>
        <w:t>Los bajos niveles de tarifas eléctricas y del gas natural han conducido a un consumo no racional de la energía. En este marco, la Eficiencia Energética (EE) no ha sido un tema relevante en el sector por muchos años. Sin embargo, con las revisiones tarifarias integrales, los incrementos tarifarios que se anticipan con un sendero de normalización gradual hacia el 2019, el tema de EE está adquiriendo una importancia creciente. En ese marco, se requieren acciones para facilitar el desarrollo de normatividad y capacitación vinculada a EE, y de apoyo para la formulación e implementación de proyectos de EE.</w:t>
      </w:r>
    </w:p>
    <w:p w14:paraId="6E0A6599" w14:textId="77777777" w:rsidR="00EF5654" w:rsidRDefault="00EF5654" w:rsidP="00EF5654">
      <w:pPr>
        <w:tabs>
          <w:tab w:val="left" w:pos="720"/>
        </w:tabs>
        <w:jc w:val="both"/>
        <w:rPr>
          <w:rFonts w:ascii="Arial" w:hAnsi="Arial" w:cs="Arial"/>
          <w:bCs/>
          <w:sz w:val="22"/>
          <w:szCs w:val="22"/>
          <w:lang w:val="es-ES"/>
        </w:rPr>
      </w:pPr>
    </w:p>
    <w:p w14:paraId="1FE87FD7" w14:textId="77777777" w:rsidR="00EF5654" w:rsidRPr="006E3FF5" w:rsidRDefault="00EF5654" w:rsidP="00EF5654">
      <w:pPr>
        <w:tabs>
          <w:tab w:val="left" w:pos="720"/>
        </w:tabs>
        <w:jc w:val="both"/>
        <w:rPr>
          <w:rFonts w:ascii="Arial" w:hAnsi="Arial" w:cs="Arial"/>
          <w:bCs/>
          <w:sz w:val="22"/>
          <w:szCs w:val="22"/>
          <w:lang w:val="es-ES"/>
        </w:rPr>
      </w:pPr>
      <w:r w:rsidRPr="006E3FF5">
        <w:rPr>
          <w:rFonts w:ascii="Arial" w:hAnsi="Arial" w:cs="Arial"/>
          <w:bCs/>
          <w:sz w:val="22"/>
          <w:szCs w:val="22"/>
          <w:lang w:val="es-ES"/>
        </w:rPr>
        <w:t>En el segmento de Energía Renovable No Convencional (ERNC), a pesar del alto potencial de recursos que tiene el país, éste representa solo el 2 % de la matriz eléctrica (1% si se considera solo energía eólica y solar fotovoltaica).  De acuerdo a la normativa vigente, el sector eléctrico debe alcanzar 8% de ERNC para el 2018 y un 20% para el año 2025.  El Gobierno ha lanzado licitaciones (Renovar 1.0 y Renovar 1.5), adjudicando más de 1.600 MW de capacidad de ERNC, especialmente en energía eólica y solar fotovoltaica. Para avanzar en este tema se requiere financiamiento para el sector privado y también apoyo al sector público, incluyendo a nivel subnacional por el elevado número de proyectos que se implementarán en un plazo relativamente corto.</w:t>
      </w:r>
    </w:p>
    <w:p w14:paraId="357D2C41" w14:textId="77777777" w:rsidR="00EF5654" w:rsidRDefault="00EF5654" w:rsidP="00EF5654">
      <w:pPr>
        <w:tabs>
          <w:tab w:val="left" w:pos="720"/>
        </w:tabs>
        <w:jc w:val="both"/>
        <w:rPr>
          <w:rFonts w:ascii="Arial" w:hAnsi="Arial" w:cs="Arial"/>
          <w:bCs/>
          <w:sz w:val="22"/>
          <w:szCs w:val="22"/>
          <w:lang w:val="es-ES"/>
        </w:rPr>
      </w:pPr>
    </w:p>
    <w:p w14:paraId="1E178897" w14:textId="77777777" w:rsidR="00EF5654" w:rsidRPr="006E3FF5" w:rsidRDefault="00EF5654" w:rsidP="00EF5654">
      <w:pPr>
        <w:tabs>
          <w:tab w:val="left" w:pos="720"/>
        </w:tabs>
        <w:jc w:val="both"/>
        <w:rPr>
          <w:rFonts w:ascii="Arial" w:hAnsi="Arial" w:cs="Arial"/>
          <w:bCs/>
          <w:sz w:val="22"/>
          <w:szCs w:val="22"/>
          <w:lang w:val="es-ES"/>
        </w:rPr>
      </w:pPr>
      <w:r w:rsidRPr="006E3FF5">
        <w:rPr>
          <w:rFonts w:ascii="Arial" w:hAnsi="Arial" w:cs="Arial"/>
          <w:bCs/>
          <w:sz w:val="22"/>
          <w:szCs w:val="22"/>
          <w:lang w:val="es-ES"/>
        </w:rPr>
        <w:t xml:space="preserve">Para responder a los desafíos del sector, el Gobierno de Argentina se ha trazado la meta de alcanzar la sostenibilidad del sector energético mediante, entre otros, el incentivo del uso racional y eficiente de la energía, y la promoción del desarrollo de las ERNC. Para lograr esta meta, el Gobierno solicitó el apoyo del Banco para el diseño e implementación de medidas de política y acciones que contribuyan a una mejor planificación del sector energético en el mediano y largo plazo consistente con los nuevos lineamientos del sector, y que catalicen le implementación de proyectos de ERMC y medidas de EE. </w:t>
      </w:r>
    </w:p>
    <w:p w14:paraId="07DFCD92" w14:textId="77777777" w:rsidR="00EF5654" w:rsidRDefault="00EF5654" w:rsidP="00EF5654">
      <w:pPr>
        <w:tabs>
          <w:tab w:val="left" w:pos="720"/>
        </w:tabs>
        <w:jc w:val="both"/>
        <w:rPr>
          <w:rFonts w:ascii="Arial" w:hAnsi="Arial" w:cs="Arial"/>
          <w:bCs/>
          <w:sz w:val="22"/>
          <w:szCs w:val="22"/>
          <w:lang w:val="es-ES"/>
        </w:rPr>
      </w:pPr>
    </w:p>
    <w:p w14:paraId="2FDDFCCF" w14:textId="77777777" w:rsidR="00EF5654" w:rsidRDefault="00EF5654" w:rsidP="00EF5654">
      <w:pPr>
        <w:tabs>
          <w:tab w:val="left" w:pos="720"/>
        </w:tabs>
        <w:jc w:val="both"/>
        <w:rPr>
          <w:rFonts w:ascii="Arial" w:hAnsi="Arial" w:cs="Arial"/>
          <w:bCs/>
          <w:sz w:val="22"/>
          <w:szCs w:val="22"/>
          <w:lang w:val="es-ES"/>
        </w:rPr>
      </w:pPr>
      <w:r>
        <w:rPr>
          <w:rFonts w:ascii="Arial" w:hAnsi="Arial" w:cs="Arial"/>
          <w:bCs/>
          <w:sz w:val="22"/>
          <w:szCs w:val="22"/>
          <w:lang w:val="es-ES"/>
        </w:rPr>
        <w:t>El BID apoya actualmente al Gobierno de la república de Argentina en las metas descritas anteriormente a través de una Cooperación Técnica (CT)</w:t>
      </w:r>
      <w:r w:rsidRPr="006E3FF5">
        <w:rPr>
          <w:rFonts w:ascii="Arial" w:hAnsi="Arial" w:cs="Arial"/>
          <w:bCs/>
          <w:sz w:val="22"/>
          <w:szCs w:val="22"/>
          <w:lang w:val="es-ES"/>
        </w:rPr>
        <w:t xml:space="preserve"> </w:t>
      </w:r>
      <w:r>
        <w:rPr>
          <w:rFonts w:ascii="Arial" w:hAnsi="Arial" w:cs="Arial"/>
          <w:bCs/>
          <w:sz w:val="22"/>
          <w:szCs w:val="22"/>
          <w:lang w:val="es-ES"/>
        </w:rPr>
        <w:t>que tiene como objetivo</w:t>
      </w:r>
      <w:r w:rsidRPr="006E3FF5">
        <w:rPr>
          <w:rFonts w:ascii="Arial" w:hAnsi="Arial" w:cs="Arial"/>
          <w:bCs/>
          <w:sz w:val="22"/>
          <w:szCs w:val="22"/>
          <w:lang w:val="es-ES"/>
        </w:rPr>
        <w:t xml:space="preserve"> apoyar el desarrollo de una agenda de energía sostenibl</w:t>
      </w:r>
      <w:r>
        <w:rPr>
          <w:rFonts w:ascii="Arial" w:hAnsi="Arial" w:cs="Arial"/>
          <w:bCs/>
          <w:sz w:val="22"/>
          <w:szCs w:val="22"/>
          <w:lang w:val="es-ES"/>
        </w:rPr>
        <w:t xml:space="preserve">e para el mediano y largo plazo, y como objetivos </w:t>
      </w:r>
      <w:r w:rsidRPr="006E3FF5">
        <w:rPr>
          <w:rFonts w:ascii="Arial" w:hAnsi="Arial" w:cs="Arial"/>
          <w:bCs/>
          <w:sz w:val="22"/>
          <w:szCs w:val="22"/>
          <w:lang w:val="es-ES"/>
        </w:rPr>
        <w:t xml:space="preserve"> </w:t>
      </w:r>
      <w:r>
        <w:rPr>
          <w:rFonts w:ascii="Arial" w:hAnsi="Arial" w:cs="Arial"/>
          <w:bCs/>
          <w:sz w:val="22"/>
          <w:szCs w:val="22"/>
          <w:lang w:val="es-ES"/>
        </w:rPr>
        <w:t>los siguientes</w:t>
      </w:r>
      <w:r w:rsidRPr="006E3FF5">
        <w:rPr>
          <w:rFonts w:ascii="Arial" w:hAnsi="Arial" w:cs="Arial"/>
          <w:bCs/>
          <w:sz w:val="22"/>
          <w:szCs w:val="22"/>
          <w:lang w:val="es-ES"/>
        </w:rPr>
        <w:t>: a) apoyar la planificación estratégica del sector energético; b) apoyar el desarrollo de medidas de Eficiencia Energética (EE); y c) apoyar el desarrollo de las ERNC, acciones que contribuirán a consolidar una agenda de energía sostenible en el mediano y largo plazo</w:t>
      </w:r>
    </w:p>
    <w:p w14:paraId="72384F76" w14:textId="77777777" w:rsidR="00EF5654" w:rsidRDefault="00EF5654" w:rsidP="00EF5654">
      <w:pPr>
        <w:tabs>
          <w:tab w:val="left" w:pos="720"/>
        </w:tabs>
        <w:jc w:val="both"/>
        <w:rPr>
          <w:rFonts w:ascii="Arial" w:hAnsi="Arial" w:cs="Arial"/>
          <w:bCs/>
          <w:sz w:val="22"/>
          <w:szCs w:val="22"/>
          <w:lang w:val="es-ES"/>
        </w:rPr>
      </w:pPr>
    </w:p>
    <w:p w14:paraId="754D5FE5" w14:textId="77777777" w:rsidR="00EF5654" w:rsidRPr="007E51F8" w:rsidRDefault="00EF5654" w:rsidP="00EF5654">
      <w:pPr>
        <w:jc w:val="both"/>
        <w:rPr>
          <w:rFonts w:ascii="Arial" w:hAnsi="Arial" w:cs="Arial"/>
          <w:bCs/>
          <w:sz w:val="22"/>
          <w:szCs w:val="22"/>
          <w:lang w:val="es-ES_tradnl"/>
        </w:rPr>
      </w:pPr>
    </w:p>
    <w:p w14:paraId="3464C21D"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OBJETIVO DE LA CONSULTORIA</w:t>
      </w:r>
    </w:p>
    <w:p w14:paraId="187797FF" w14:textId="77777777" w:rsidR="00EF5654" w:rsidRPr="00655491" w:rsidRDefault="00EF5654" w:rsidP="00EF5654">
      <w:pPr>
        <w:jc w:val="both"/>
        <w:rPr>
          <w:rFonts w:ascii="Arial" w:hAnsi="Arial" w:cs="Arial"/>
          <w:bCs/>
          <w:sz w:val="22"/>
          <w:szCs w:val="22"/>
          <w:lang w:val="es-ES"/>
        </w:rPr>
      </w:pPr>
    </w:p>
    <w:p w14:paraId="3F0ED3B9"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El objetivo principal de esta consultoría es desarrollar</w:t>
      </w:r>
      <w:r>
        <w:rPr>
          <w:rFonts w:ascii="Arial" w:hAnsi="Arial" w:cs="Arial"/>
          <w:bCs/>
          <w:sz w:val="22"/>
          <w:szCs w:val="22"/>
          <w:lang w:val="es-ES"/>
        </w:rPr>
        <w:t xml:space="preserve"> una metodología para </w:t>
      </w:r>
      <w:r w:rsidRPr="006E3FF5">
        <w:rPr>
          <w:rFonts w:ascii="Arial" w:hAnsi="Arial" w:cs="Arial"/>
          <w:bCs/>
          <w:sz w:val="22"/>
          <w:szCs w:val="22"/>
          <w:lang w:val="es-ES"/>
        </w:rPr>
        <w:t>la elaboración, transpare</w:t>
      </w:r>
      <w:r>
        <w:rPr>
          <w:rFonts w:ascii="Arial" w:hAnsi="Arial" w:cs="Arial"/>
          <w:bCs/>
          <w:sz w:val="22"/>
          <w:szCs w:val="22"/>
          <w:lang w:val="es-ES"/>
        </w:rPr>
        <w:t>ncia y difusión de información del</w:t>
      </w:r>
      <w:r w:rsidRPr="006E3FF5">
        <w:rPr>
          <w:rFonts w:ascii="Arial" w:hAnsi="Arial" w:cs="Arial"/>
          <w:bCs/>
          <w:sz w:val="22"/>
          <w:szCs w:val="22"/>
          <w:lang w:val="es-ES"/>
        </w:rPr>
        <w:t xml:space="preserve"> sector energético </w:t>
      </w:r>
      <w:r>
        <w:rPr>
          <w:rFonts w:ascii="Arial" w:hAnsi="Arial" w:cs="Arial"/>
          <w:bCs/>
          <w:sz w:val="22"/>
          <w:szCs w:val="22"/>
          <w:lang w:val="es-ES"/>
        </w:rPr>
        <w:t xml:space="preserve">de la República de Argentina, y </w:t>
      </w:r>
      <w:r w:rsidRPr="006E3FF5">
        <w:rPr>
          <w:rFonts w:ascii="Arial" w:hAnsi="Arial" w:cs="Arial"/>
          <w:bCs/>
          <w:sz w:val="22"/>
          <w:szCs w:val="22"/>
          <w:lang w:val="es-ES"/>
        </w:rPr>
        <w:t xml:space="preserve">que contribuya, entre otros, a atraer nuevas inversiones en el sector. </w:t>
      </w:r>
    </w:p>
    <w:p w14:paraId="36DD41FD" w14:textId="77777777" w:rsidR="00EF5654" w:rsidRPr="00655491" w:rsidRDefault="00EF5654" w:rsidP="00EF5654">
      <w:pPr>
        <w:jc w:val="both"/>
        <w:rPr>
          <w:rFonts w:ascii="Arial" w:hAnsi="Arial" w:cs="Arial"/>
          <w:bCs/>
          <w:sz w:val="22"/>
          <w:szCs w:val="22"/>
          <w:lang w:val="es-ES"/>
        </w:rPr>
      </w:pPr>
    </w:p>
    <w:p w14:paraId="61396252"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ACTIVIDADES PRINCIPALES</w:t>
      </w:r>
    </w:p>
    <w:p w14:paraId="717DD4B4" w14:textId="77777777" w:rsidR="00EF5654" w:rsidRPr="00655491" w:rsidRDefault="00EF5654" w:rsidP="00EF5654">
      <w:pPr>
        <w:jc w:val="both"/>
        <w:rPr>
          <w:rFonts w:ascii="Arial" w:hAnsi="Arial" w:cs="Arial"/>
          <w:b/>
          <w:bCs/>
          <w:sz w:val="22"/>
          <w:szCs w:val="22"/>
          <w:lang w:val="es-ES"/>
        </w:rPr>
      </w:pPr>
    </w:p>
    <w:p w14:paraId="0355F355"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Para el cumplimiento del objetivo, el contractual deberá realizar entre otros, las siguientes actividades:</w:t>
      </w:r>
    </w:p>
    <w:p w14:paraId="1364B3C3" w14:textId="77777777" w:rsidR="00EF5654" w:rsidRPr="00655491" w:rsidRDefault="00EF5654" w:rsidP="00EF5654">
      <w:pPr>
        <w:jc w:val="both"/>
        <w:rPr>
          <w:rFonts w:ascii="Arial" w:hAnsi="Arial" w:cs="Arial"/>
          <w:bCs/>
          <w:sz w:val="22"/>
          <w:szCs w:val="22"/>
          <w:lang w:val="es-ES"/>
        </w:rPr>
      </w:pPr>
    </w:p>
    <w:p w14:paraId="1950F5F1" w14:textId="77777777" w:rsidR="00EF5654" w:rsidRPr="006E3FF5" w:rsidRDefault="00EF5654" w:rsidP="00EF5654">
      <w:pPr>
        <w:pStyle w:val="ListParagraph"/>
        <w:numPr>
          <w:ilvl w:val="0"/>
          <w:numId w:val="20"/>
        </w:numPr>
        <w:jc w:val="both"/>
        <w:rPr>
          <w:rFonts w:ascii="Arial" w:hAnsi="Arial" w:cs="Arial"/>
          <w:b/>
          <w:color w:val="000000"/>
          <w:sz w:val="22"/>
          <w:szCs w:val="22"/>
          <w:lang w:val="es-ES" w:eastAsia="es-AR"/>
        </w:rPr>
      </w:pPr>
      <w:r>
        <w:rPr>
          <w:rFonts w:ascii="Arial" w:hAnsi="Arial" w:cs="Arial"/>
          <w:color w:val="000000"/>
          <w:sz w:val="22"/>
          <w:szCs w:val="22"/>
          <w:lang w:val="es-ES" w:eastAsia="es-AR"/>
        </w:rPr>
        <w:t xml:space="preserve">Mediante un análisis de las </w:t>
      </w:r>
      <w:r>
        <w:rPr>
          <w:rFonts w:ascii="Arial" w:hAnsi="Arial" w:cs="Arial"/>
          <w:color w:val="000000"/>
          <w:sz w:val="22"/>
          <w:szCs w:val="22"/>
          <w:lang w:val="es-ES_tradnl" w:eastAsia="es-AR"/>
        </w:rPr>
        <w:t>diferentes fuentes de información del sector disponibles, y de un proceso de consulta con actores relevantes, el consultor identificará las</w:t>
      </w:r>
      <w:r w:rsidRPr="00C17EDC">
        <w:rPr>
          <w:rFonts w:ascii="Arial" w:hAnsi="Arial" w:cs="Arial"/>
          <w:color w:val="000000"/>
          <w:sz w:val="22"/>
          <w:szCs w:val="22"/>
          <w:lang w:val="es-ES_tradnl" w:eastAsia="es-AR"/>
        </w:rPr>
        <w:t xml:space="preserve"> principales </w:t>
      </w:r>
      <w:r w:rsidRPr="00C17EDC">
        <w:rPr>
          <w:rFonts w:ascii="Arial" w:hAnsi="Arial" w:cs="Arial"/>
          <w:color w:val="000000"/>
          <w:sz w:val="22"/>
          <w:szCs w:val="22"/>
          <w:lang w:val="es-ES_tradnl" w:eastAsia="es-AR"/>
        </w:rPr>
        <w:lastRenderedPageBreak/>
        <w:t>necesidades de</w:t>
      </w:r>
      <w:r>
        <w:rPr>
          <w:rFonts w:ascii="Arial" w:hAnsi="Arial" w:cs="Arial"/>
          <w:color w:val="000000"/>
          <w:sz w:val="22"/>
          <w:szCs w:val="22"/>
          <w:lang w:val="es-ES_tradnl" w:eastAsia="es-AR"/>
        </w:rPr>
        <w:t>l</w:t>
      </w:r>
      <w:r w:rsidRPr="00C17EDC">
        <w:rPr>
          <w:rFonts w:ascii="Arial" w:hAnsi="Arial" w:cs="Arial"/>
          <w:color w:val="000000"/>
          <w:sz w:val="22"/>
          <w:szCs w:val="22"/>
          <w:lang w:val="es-ES_tradnl" w:eastAsia="es-AR"/>
        </w:rPr>
        <w:t xml:space="preserve"> país</w:t>
      </w:r>
      <w:r>
        <w:rPr>
          <w:rFonts w:ascii="Arial" w:hAnsi="Arial" w:cs="Arial"/>
          <w:color w:val="000000"/>
          <w:sz w:val="22"/>
          <w:szCs w:val="22"/>
          <w:lang w:val="es-ES_tradnl" w:eastAsia="es-AR"/>
        </w:rPr>
        <w:t xml:space="preserve"> en cuanto a la disponibilidad y calidad de información del sector energético. </w:t>
      </w:r>
    </w:p>
    <w:p w14:paraId="51F7D792" w14:textId="77777777" w:rsidR="00EF5654" w:rsidRPr="006E3FF5" w:rsidRDefault="00EF5654" w:rsidP="00EF5654">
      <w:pPr>
        <w:pStyle w:val="ListParagraph"/>
        <w:rPr>
          <w:rFonts w:ascii="Arial" w:hAnsi="Arial" w:cs="Arial"/>
          <w:color w:val="000000"/>
          <w:sz w:val="22"/>
          <w:szCs w:val="22"/>
          <w:lang w:val="es-ES_tradnl" w:eastAsia="es-AR"/>
        </w:rPr>
      </w:pPr>
    </w:p>
    <w:p w14:paraId="2C15DEA5" w14:textId="77777777" w:rsidR="00EF5654" w:rsidRPr="0006286B" w:rsidRDefault="00EF5654" w:rsidP="00EF5654">
      <w:pPr>
        <w:pStyle w:val="ListParagraph"/>
        <w:numPr>
          <w:ilvl w:val="0"/>
          <w:numId w:val="20"/>
        </w:numPr>
        <w:jc w:val="both"/>
        <w:rPr>
          <w:rFonts w:ascii="Arial" w:hAnsi="Arial" w:cs="Arial"/>
          <w:color w:val="000000"/>
          <w:sz w:val="22"/>
          <w:szCs w:val="22"/>
          <w:lang w:val="es-ES_tradnl" w:eastAsia="es-AR"/>
        </w:rPr>
      </w:pPr>
      <w:r w:rsidRPr="006E3FF5">
        <w:rPr>
          <w:rFonts w:ascii="Arial" w:hAnsi="Arial" w:cs="Arial"/>
          <w:color w:val="000000"/>
          <w:sz w:val="22"/>
          <w:szCs w:val="22"/>
          <w:lang w:val="es-ES_tradnl" w:eastAsia="es-AR"/>
        </w:rPr>
        <w:t>Una vez identificadas las necesidades</w:t>
      </w:r>
      <w:r>
        <w:rPr>
          <w:rFonts w:ascii="Arial" w:hAnsi="Arial" w:cs="Arial"/>
          <w:color w:val="000000"/>
          <w:sz w:val="22"/>
          <w:szCs w:val="22"/>
          <w:lang w:val="es-ES_tradnl" w:eastAsia="es-AR"/>
        </w:rPr>
        <w:t xml:space="preserve"> de información</w:t>
      </w:r>
      <w:r w:rsidRPr="006E3FF5">
        <w:rPr>
          <w:rFonts w:ascii="Arial" w:hAnsi="Arial" w:cs="Arial"/>
          <w:color w:val="000000"/>
          <w:sz w:val="22"/>
          <w:szCs w:val="22"/>
          <w:lang w:val="es-ES_tradnl" w:eastAsia="es-AR"/>
        </w:rPr>
        <w:t xml:space="preserve">, se diseñará una metodología </w:t>
      </w:r>
      <w:r>
        <w:rPr>
          <w:rFonts w:ascii="Arial" w:hAnsi="Arial" w:cs="Arial"/>
          <w:color w:val="000000"/>
          <w:sz w:val="22"/>
          <w:szCs w:val="22"/>
          <w:lang w:val="es-ES_tradnl" w:eastAsia="es-AR"/>
        </w:rPr>
        <w:t>que permita estandarizar</w:t>
      </w:r>
      <w:r w:rsidRPr="006E3FF5">
        <w:rPr>
          <w:rFonts w:ascii="Arial" w:hAnsi="Arial" w:cs="Arial"/>
          <w:color w:val="000000"/>
          <w:sz w:val="22"/>
          <w:szCs w:val="22"/>
          <w:lang w:val="es-ES_tradnl" w:eastAsia="es-AR"/>
        </w:rPr>
        <w:t xml:space="preserve"> la generación, actualización y publicación de información del sector. La metodología </w:t>
      </w:r>
      <w:r>
        <w:rPr>
          <w:rFonts w:ascii="Arial" w:hAnsi="Arial" w:cs="Arial"/>
          <w:color w:val="000000"/>
          <w:sz w:val="22"/>
          <w:szCs w:val="22"/>
          <w:lang w:val="es-ES_tradnl" w:eastAsia="es-AR"/>
        </w:rPr>
        <w:t>deberá ser desarrollada</w:t>
      </w:r>
      <w:r w:rsidRPr="006E3FF5">
        <w:rPr>
          <w:rFonts w:ascii="Arial" w:hAnsi="Arial" w:cs="Arial"/>
          <w:color w:val="000000"/>
          <w:sz w:val="22"/>
          <w:szCs w:val="22"/>
          <w:lang w:val="es-ES_tradnl" w:eastAsia="es-AR"/>
        </w:rPr>
        <w:t xml:space="preserve"> en coordinación con las autoridades </w:t>
      </w:r>
      <w:r>
        <w:rPr>
          <w:rFonts w:ascii="Arial" w:hAnsi="Arial" w:cs="Arial"/>
          <w:color w:val="000000"/>
          <w:sz w:val="22"/>
          <w:szCs w:val="22"/>
          <w:lang w:val="es-ES_tradnl" w:eastAsia="es-AR"/>
        </w:rPr>
        <w:t xml:space="preserve">y actores relevantes de </w:t>
      </w:r>
      <w:r w:rsidRPr="006E3FF5">
        <w:rPr>
          <w:rFonts w:ascii="Arial" w:hAnsi="Arial" w:cs="Arial"/>
          <w:color w:val="000000"/>
          <w:sz w:val="22"/>
          <w:szCs w:val="22"/>
          <w:lang w:val="es-ES_tradnl" w:eastAsia="es-AR"/>
        </w:rPr>
        <w:t xml:space="preserve">sector y </w:t>
      </w:r>
      <w:r>
        <w:rPr>
          <w:rFonts w:ascii="Arial" w:hAnsi="Arial" w:cs="Arial"/>
          <w:color w:val="000000"/>
          <w:sz w:val="22"/>
          <w:szCs w:val="22"/>
          <w:lang w:val="es-ES_tradnl" w:eastAsia="es-AR"/>
        </w:rPr>
        <w:t xml:space="preserve">en cercana coordinación con el </w:t>
      </w:r>
      <w:r w:rsidRPr="006E3FF5">
        <w:rPr>
          <w:rFonts w:ascii="Arial" w:hAnsi="Arial" w:cs="Arial"/>
          <w:color w:val="000000"/>
          <w:sz w:val="22"/>
          <w:szCs w:val="22"/>
          <w:lang w:val="es-ES_tradnl" w:eastAsia="es-AR"/>
        </w:rPr>
        <w:t xml:space="preserve">Banco. El proceso de desarrollo de </w:t>
      </w:r>
      <w:r w:rsidRPr="0006286B">
        <w:rPr>
          <w:rFonts w:ascii="Arial" w:hAnsi="Arial" w:cs="Arial"/>
          <w:color w:val="000000"/>
          <w:sz w:val="22"/>
          <w:szCs w:val="22"/>
          <w:lang w:val="es-ES_tradnl" w:eastAsia="es-AR"/>
        </w:rPr>
        <w:t>la metodología deberá incluir consultas, entrevistas, encuestas etc.</w:t>
      </w:r>
    </w:p>
    <w:p w14:paraId="5E0B3B47" w14:textId="77777777" w:rsidR="00EF5654" w:rsidRPr="0006286B" w:rsidRDefault="00EF5654" w:rsidP="00EF5654">
      <w:pPr>
        <w:pStyle w:val="ListParagraph"/>
        <w:rPr>
          <w:rFonts w:ascii="Arial" w:hAnsi="Arial" w:cs="Arial"/>
          <w:color w:val="000000"/>
          <w:sz w:val="22"/>
          <w:szCs w:val="22"/>
          <w:lang w:val="es-ES_tradnl" w:eastAsia="es-AR"/>
        </w:rPr>
      </w:pPr>
    </w:p>
    <w:p w14:paraId="6FEDFCBD" w14:textId="77777777" w:rsidR="00EF5654" w:rsidRPr="0006286B" w:rsidRDefault="00EF5654" w:rsidP="00EF5654">
      <w:pPr>
        <w:pStyle w:val="ListParagraph"/>
        <w:numPr>
          <w:ilvl w:val="0"/>
          <w:numId w:val="20"/>
        </w:numPr>
        <w:jc w:val="both"/>
        <w:rPr>
          <w:rFonts w:ascii="Arial" w:hAnsi="Arial" w:cs="Arial"/>
          <w:color w:val="000000"/>
          <w:sz w:val="22"/>
          <w:szCs w:val="22"/>
          <w:lang w:val="es-ES" w:eastAsia="es-AR"/>
        </w:rPr>
      </w:pPr>
      <w:r w:rsidRPr="0006286B">
        <w:rPr>
          <w:rFonts w:ascii="Arial" w:hAnsi="Arial" w:cs="Arial"/>
          <w:color w:val="000000"/>
          <w:sz w:val="22"/>
          <w:szCs w:val="22"/>
          <w:lang w:val="es-ES" w:eastAsia="es-AR"/>
        </w:rPr>
        <w:t xml:space="preserve">Para </w:t>
      </w:r>
      <w:r>
        <w:rPr>
          <w:rFonts w:ascii="Arial" w:hAnsi="Arial" w:cs="Arial"/>
          <w:color w:val="000000"/>
          <w:sz w:val="22"/>
          <w:szCs w:val="22"/>
          <w:lang w:val="es-ES" w:eastAsia="es-AR"/>
        </w:rPr>
        <w:t xml:space="preserve">asegurar la correcta implementación de la metodología, el consultor desarrollará las herramientas necesarias para su operación y mantenimiento, incluidos los manuales, sitios web, entre otros. </w:t>
      </w:r>
    </w:p>
    <w:p w14:paraId="1805D8B9" w14:textId="77777777" w:rsidR="00EF5654" w:rsidRPr="0006286B" w:rsidRDefault="00EF5654" w:rsidP="00EF5654">
      <w:pPr>
        <w:pStyle w:val="ListParagraph"/>
        <w:rPr>
          <w:rFonts w:ascii="Arial" w:hAnsi="Arial" w:cs="Arial"/>
          <w:color w:val="000000"/>
          <w:sz w:val="22"/>
          <w:szCs w:val="22"/>
          <w:lang w:val="es-ES_tradnl" w:eastAsia="es-AR"/>
        </w:rPr>
      </w:pPr>
    </w:p>
    <w:p w14:paraId="3357E0A3" w14:textId="77777777" w:rsidR="00EF5654" w:rsidRPr="006E3FF5" w:rsidRDefault="00EF5654" w:rsidP="00EF5654">
      <w:pPr>
        <w:pStyle w:val="ListParagraph"/>
        <w:numPr>
          <w:ilvl w:val="0"/>
          <w:numId w:val="20"/>
        </w:numPr>
        <w:jc w:val="both"/>
        <w:rPr>
          <w:rFonts w:ascii="Arial" w:hAnsi="Arial" w:cs="Arial"/>
          <w:b/>
          <w:color w:val="000000"/>
          <w:sz w:val="22"/>
          <w:szCs w:val="22"/>
          <w:lang w:val="es-ES" w:eastAsia="es-AR"/>
        </w:rPr>
      </w:pPr>
      <w:r w:rsidRPr="0006286B">
        <w:rPr>
          <w:rFonts w:ascii="Arial" w:hAnsi="Arial" w:cs="Arial"/>
          <w:color w:val="000000"/>
          <w:sz w:val="22"/>
          <w:szCs w:val="22"/>
          <w:lang w:val="es-ES_tradnl" w:eastAsia="es-AR"/>
        </w:rPr>
        <w:t xml:space="preserve">Se llevará a cabo un proceso de difusión y capacitación </w:t>
      </w:r>
      <w:r>
        <w:rPr>
          <w:rFonts w:ascii="Arial" w:hAnsi="Arial" w:cs="Arial"/>
          <w:color w:val="000000"/>
          <w:sz w:val="22"/>
          <w:szCs w:val="22"/>
          <w:lang w:val="es-ES_tradnl" w:eastAsia="es-AR"/>
        </w:rPr>
        <w:t xml:space="preserve">dirigido a las </w:t>
      </w:r>
      <w:r w:rsidRPr="0006286B">
        <w:rPr>
          <w:rFonts w:ascii="Arial" w:hAnsi="Arial" w:cs="Arial"/>
          <w:color w:val="000000"/>
          <w:sz w:val="22"/>
          <w:szCs w:val="22"/>
          <w:lang w:val="es-ES_tradnl" w:eastAsia="es-AR"/>
        </w:rPr>
        <w:t xml:space="preserve">autoridades </w:t>
      </w:r>
      <w:r>
        <w:rPr>
          <w:rFonts w:ascii="Arial" w:hAnsi="Arial" w:cs="Arial"/>
          <w:color w:val="000000"/>
          <w:sz w:val="22"/>
          <w:szCs w:val="22"/>
          <w:lang w:val="es-ES_tradnl" w:eastAsia="es-AR"/>
        </w:rPr>
        <w:t xml:space="preserve">del </w:t>
      </w:r>
      <w:r w:rsidRPr="0006286B">
        <w:rPr>
          <w:rFonts w:ascii="Arial" w:hAnsi="Arial" w:cs="Arial"/>
          <w:color w:val="000000"/>
          <w:sz w:val="22"/>
          <w:szCs w:val="22"/>
          <w:lang w:val="es-ES_tradnl" w:eastAsia="es-AR"/>
        </w:rPr>
        <w:t>gobierno y actores del sector</w:t>
      </w:r>
      <w:r>
        <w:rPr>
          <w:rFonts w:ascii="Arial" w:hAnsi="Arial" w:cs="Arial"/>
          <w:color w:val="000000"/>
          <w:sz w:val="22"/>
          <w:szCs w:val="22"/>
          <w:lang w:val="es-ES_tradnl" w:eastAsia="es-AR"/>
        </w:rPr>
        <w:t xml:space="preserve"> en cuanto al funcionamiento y mantenimiento de las herramientas.</w:t>
      </w:r>
      <w:r w:rsidRPr="006E3FF5">
        <w:rPr>
          <w:rFonts w:ascii="Arial" w:hAnsi="Arial" w:cs="Arial"/>
          <w:color w:val="000000"/>
          <w:sz w:val="22"/>
          <w:szCs w:val="22"/>
          <w:lang w:val="es-ES_tradnl" w:eastAsia="es-AR"/>
        </w:rPr>
        <w:t xml:space="preserve"> </w:t>
      </w:r>
    </w:p>
    <w:p w14:paraId="4D51A63B" w14:textId="77777777" w:rsidR="00EF5654" w:rsidRPr="00655491" w:rsidRDefault="00EF5654" w:rsidP="00EF5654">
      <w:pPr>
        <w:pStyle w:val="ListParagraph"/>
        <w:jc w:val="both"/>
        <w:rPr>
          <w:rFonts w:ascii="Arial" w:hAnsi="Arial" w:cs="Arial"/>
          <w:b/>
          <w:color w:val="000000"/>
          <w:sz w:val="22"/>
          <w:szCs w:val="22"/>
          <w:lang w:val="es-ES" w:eastAsia="es-AR"/>
        </w:rPr>
      </w:pPr>
    </w:p>
    <w:p w14:paraId="5062F72E"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 xml:space="preserve">INFORMES Y ENTREGABLES </w:t>
      </w:r>
    </w:p>
    <w:p w14:paraId="7FB18011" w14:textId="77777777" w:rsidR="00EF5654" w:rsidRPr="00655491" w:rsidRDefault="00EF5654" w:rsidP="00EF5654">
      <w:pPr>
        <w:jc w:val="both"/>
        <w:rPr>
          <w:rFonts w:ascii="Arial" w:hAnsi="Arial" w:cs="Arial"/>
          <w:bCs/>
          <w:sz w:val="22"/>
          <w:szCs w:val="22"/>
          <w:lang w:val="es-ES"/>
        </w:rPr>
      </w:pPr>
    </w:p>
    <w:p w14:paraId="578AFCA4" w14:textId="77777777" w:rsidR="00EF5654" w:rsidRPr="00947B07" w:rsidRDefault="00EF5654" w:rsidP="00EF5654">
      <w:pPr>
        <w:numPr>
          <w:ilvl w:val="0"/>
          <w:numId w:val="24"/>
        </w:numPr>
        <w:contextualSpacing/>
        <w:jc w:val="both"/>
        <w:rPr>
          <w:rFonts w:ascii="Arial" w:hAnsi="Arial" w:cs="Arial"/>
          <w:sz w:val="22"/>
          <w:szCs w:val="22"/>
          <w:lang w:val="es-ES_tradnl"/>
        </w:rPr>
      </w:pPr>
      <w:r w:rsidRPr="00947B07">
        <w:rPr>
          <w:rFonts w:ascii="Arial" w:hAnsi="Arial" w:cs="Arial"/>
          <w:sz w:val="22"/>
          <w:szCs w:val="22"/>
          <w:lang w:val="es-ES_tradnl"/>
        </w:rPr>
        <w:t xml:space="preserve">El Consultor deberá presentar un PROGRAMA DE TRABAJO detallado para la ejecución de cada una de las actividades. </w:t>
      </w:r>
    </w:p>
    <w:p w14:paraId="0A0B1226" w14:textId="77777777" w:rsidR="00EF5654" w:rsidRPr="00947B07" w:rsidRDefault="00EF5654" w:rsidP="00EF5654">
      <w:pPr>
        <w:numPr>
          <w:ilvl w:val="0"/>
          <w:numId w:val="24"/>
        </w:numPr>
        <w:contextualSpacing/>
        <w:jc w:val="both"/>
        <w:rPr>
          <w:rFonts w:ascii="Arial" w:hAnsi="Arial" w:cs="Arial"/>
          <w:sz w:val="22"/>
          <w:szCs w:val="22"/>
          <w:lang w:val="es-ES_tradnl"/>
        </w:rPr>
      </w:pPr>
      <w:r w:rsidRPr="00947B07">
        <w:rPr>
          <w:rFonts w:ascii="Arial" w:hAnsi="Arial" w:cs="Arial"/>
          <w:sz w:val="22"/>
          <w:szCs w:val="22"/>
          <w:lang w:val="es-ES_tradnl"/>
        </w:rPr>
        <w:t>Una vez que concluya la recopilación y análisis inicial de la información disponible y la recibida de la contraparte, el Consultor deberá elaborar un informe detallado con las principales actividades y resultados correspondientes a</w:t>
      </w:r>
      <w:r>
        <w:rPr>
          <w:rFonts w:ascii="Arial" w:hAnsi="Arial" w:cs="Arial"/>
          <w:sz w:val="22"/>
          <w:szCs w:val="22"/>
          <w:lang w:val="es-ES_tradnl"/>
        </w:rPr>
        <w:t xml:space="preserve"> </w:t>
      </w:r>
      <w:r w:rsidRPr="00947B07">
        <w:rPr>
          <w:rFonts w:ascii="Arial" w:hAnsi="Arial" w:cs="Arial"/>
          <w:sz w:val="22"/>
          <w:szCs w:val="22"/>
          <w:lang w:val="es-ES_tradnl"/>
        </w:rPr>
        <w:t xml:space="preserve">las actividades i </w:t>
      </w:r>
      <w:r>
        <w:rPr>
          <w:rFonts w:ascii="Arial" w:hAnsi="Arial" w:cs="Arial"/>
          <w:sz w:val="22"/>
          <w:szCs w:val="22"/>
          <w:lang w:val="es-ES_tradnl"/>
        </w:rPr>
        <w:t>y</w:t>
      </w:r>
      <w:r w:rsidRPr="00947B07">
        <w:rPr>
          <w:rFonts w:ascii="Arial" w:hAnsi="Arial" w:cs="Arial"/>
          <w:sz w:val="22"/>
          <w:szCs w:val="22"/>
          <w:lang w:val="es-ES_tradnl"/>
        </w:rPr>
        <w:t xml:space="preserve"> ii dela consultoría.  </w:t>
      </w:r>
    </w:p>
    <w:p w14:paraId="65C3E4DD" w14:textId="77777777" w:rsidR="00EF5654" w:rsidRPr="00947B07" w:rsidRDefault="00EF5654" w:rsidP="00EF5654">
      <w:pPr>
        <w:numPr>
          <w:ilvl w:val="0"/>
          <w:numId w:val="24"/>
        </w:numPr>
        <w:contextualSpacing/>
        <w:jc w:val="both"/>
        <w:rPr>
          <w:rFonts w:ascii="Arial" w:hAnsi="Arial" w:cs="Arial"/>
          <w:sz w:val="22"/>
          <w:szCs w:val="22"/>
          <w:lang w:val="es-ES_tradnl"/>
        </w:rPr>
      </w:pPr>
      <w:r w:rsidRPr="00947B07">
        <w:rPr>
          <w:rFonts w:ascii="Arial" w:hAnsi="Arial" w:cs="Arial"/>
          <w:sz w:val="22"/>
          <w:szCs w:val="22"/>
          <w:lang w:val="es-ES_tradnl"/>
        </w:rPr>
        <w:t xml:space="preserve">El consultor deberá preparar y presentar para satisfacción del Banco, un informe final que incluya la totalidad de las actividades descritas en los términos de referencia para esta consultoría.  </w:t>
      </w:r>
    </w:p>
    <w:p w14:paraId="272FE0CE" w14:textId="77777777" w:rsidR="00EF5654" w:rsidRPr="00947B07" w:rsidRDefault="00EF5654" w:rsidP="00EF5654">
      <w:pPr>
        <w:numPr>
          <w:ilvl w:val="0"/>
          <w:numId w:val="24"/>
        </w:numPr>
        <w:contextualSpacing/>
        <w:jc w:val="both"/>
        <w:rPr>
          <w:rFonts w:ascii="Arial" w:hAnsi="Arial" w:cs="Arial"/>
          <w:sz w:val="22"/>
          <w:szCs w:val="22"/>
          <w:lang w:val="es-ES_tradnl"/>
        </w:rPr>
      </w:pPr>
      <w:r w:rsidRPr="00947B07">
        <w:rPr>
          <w:rFonts w:ascii="Arial" w:hAnsi="Arial" w:cs="Arial"/>
          <w:sz w:val="22"/>
          <w:szCs w:val="22"/>
          <w:lang w:val="es-ES_tradnl"/>
        </w:rPr>
        <w:t xml:space="preserve">Los informes deberán ser elaborados en español y entregados en forma electrónica, en formato Microsoft Word. Los informes deberán incluir una carátula, el documento principal y los anexos (no se aceptarán archivos en formato Zip). </w:t>
      </w:r>
    </w:p>
    <w:p w14:paraId="72D0159A" w14:textId="77777777" w:rsidR="00EF5654" w:rsidRPr="00655491" w:rsidRDefault="00EF5654" w:rsidP="00EF5654">
      <w:pPr>
        <w:ind w:left="720"/>
        <w:contextualSpacing/>
        <w:jc w:val="both"/>
        <w:rPr>
          <w:rFonts w:ascii="Arial" w:hAnsi="Arial" w:cs="Arial"/>
          <w:sz w:val="22"/>
          <w:szCs w:val="22"/>
          <w:lang w:val="es-ES_tradnl"/>
        </w:rPr>
      </w:pPr>
    </w:p>
    <w:p w14:paraId="33D99BD3" w14:textId="77777777" w:rsidR="00EF5654" w:rsidRDefault="00EF5654" w:rsidP="00EF5654">
      <w:pPr>
        <w:jc w:val="both"/>
        <w:rPr>
          <w:rFonts w:ascii="Arial" w:hAnsi="Arial" w:cs="Arial"/>
          <w:bCs/>
          <w:sz w:val="22"/>
          <w:szCs w:val="22"/>
          <w:lang w:val="es-ES_tradnl"/>
        </w:rPr>
      </w:pPr>
    </w:p>
    <w:p w14:paraId="3E3BB044"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 xml:space="preserve">Los informes deberán ser elaborados en español y entregados en forma electrónica, en formato Microsoft Word, y pueden incluir tablas adjuntas en Excel; así como también, copia en PDF de los documentos tomados como información de base para el ejercicio. Los informes deberán incluir una carátula, el documento principal y los anexos (no se aceptarán archivos en formato Zip). </w:t>
      </w:r>
    </w:p>
    <w:p w14:paraId="12E5E68A" w14:textId="77777777" w:rsidR="00EF5654" w:rsidRPr="00655491" w:rsidRDefault="00EF5654" w:rsidP="00EF5654">
      <w:pPr>
        <w:jc w:val="both"/>
        <w:rPr>
          <w:rFonts w:ascii="Arial" w:hAnsi="Arial" w:cs="Arial"/>
          <w:b/>
          <w:bCs/>
          <w:sz w:val="22"/>
          <w:szCs w:val="22"/>
          <w:lang w:val="es-ES"/>
        </w:rPr>
      </w:pPr>
    </w:p>
    <w:p w14:paraId="18C9FAB3"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 xml:space="preserve">CRONOGRAMA DE PAGOS </w:t>
      </w:r>
    </w:p>
    <w:p w14:paraId="17A37235" w14:textId="77777777" w:rsidR="00EF5654" w:rsidRPr="00655491" w:rsidRDefault="00EF5654" w:rsidP="00EF5654">
      <w:pPr>
        <w:jc w:val="both"/>
        <w:rPr>
          <w:rFonts w:ascii="Arial" w:hAnsi="Arial" w:cs="Arial"/>
          <w:bCs/>
          <w:sz w:val="22"/>
          <w:szCs w:val="22"/>
          <w:lang w:val="es-ES"/>
        </w:rPr>
      </w:pPr>
    </w:p>
    <w:p w14:paraId="7461122C"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El pago total por esta consultoría que es por suma incluyendo todos los impuestos, retenciones y otros gastos que pudieran corresponder, y se acordará siguiendo las normas del BID.</w:t>
      </w:r>
    </w:p>
    <w:p w14:paraId="4B0327A8" w14:textId="77777777" w:rsidR="00EF5654" w:rsidRPr="00655491" w:rsidRDefault="00EF5654" w:rsidP="00EF5654">
      <w:pPr>
        <w:jc w:val="both"/>
        <w:rPr>
          <w:rFonts w:ascii="Arial" w:hAnsi="Arial" w:cs="Arial"/>
          <w:bCs/>
          <w:sz w:val="22"/>
          <w:szCs w:val="22"/>
          <w:lang w:val="es-ES"/>
        </w:rPr>
      </w:pPr>
      <w:r w:rsidRPr="00655491">
        <w:rPr>
          <w:rFonts w:ascii="Arial" w:hAnsi="Arial" w:cs="Arial"/>
          <w:bCs/>
          <w:sz w:val="22"/>
          <w:szCs w:val="22"/>
          <w:lang w:val="es-ES"/>
        </w:rPr>
        <w:t>El cronograma de pagos prevista es contra la presentación y aprobación de los siguientes productos:</w:t>
      </w:r>
    </w:p>
    <w:p w14:paraId="531533AB" w14:textId="77777777" w:rsidR="00EF5654" w:rsidRPr="00655491" w:rsidRDefault="00EF5654" w:rsidP="00EF5654">
      <w:pPr>
        <w:pStyle w:val="ListParagraph"/>
        <w:numPr>
          <w:ilvl w:val="0"/>
          <w:numId w:val="17"/>
        </w:numPr>
        <w:ind w:left="1440"/>
        <w:jc w:val="both"/>
        <w:rPr>
          <w:rFonts w:ascii="Arial" w:hAnsi="Arial" w:cs="Arial"/>
          <w:bCs/>
          <w:sz w:val="22"/>
          <w:szCs w:val="22"/>
          <w:lang w:val="es-ES"/>
        </w:rPr>
      </w:pPr>
      <w:r w:rsidRPr="00655491">
        <w:rPr>
          <w:rFonts w:ascii="Arial" w:hAnsi="Arial" w:cs="Arial"/>
          <w:bCs/>
          <w:sz w:val="22"/>
          <w:szCs w:val="22"/>
          <w:lang w:val="es-ES"/>
        </w:rPr>
        <w:t xml:space="preserve">30% a la firma de contrato y presentación </w:t>
      </w:r>
      <w:r>
        <w:rPr>
          <w:rFonts w:ascii="Arial" w:hAnsi="Arial" w:cs="Arial"/>
          <w:bCs/>
          <w:sz w:val="22"/>
          <w:szCs w:val="22"/>
          <w:lang w:val="es-ES"/>
        </w:rPr>
        <w:t>del entregable 1, aprobado por el Banco.</w:t>
      </w:r>
    </w:p>
    <w:p w14:paraId="6F6C0694" w14:textId="77777777" w:rsidR="00EF5654" w:rsidRPr="00655491" w:rsidRDefault="00EF5654" w:rsidP="00EF5654">
      <w:pPr>
        <w:pStyle w:val="ListParagraph"/>
        <w:numPr>
          <w:ilvl w:val="0"/>
          <w:numId w:val="17"/>
        </w:numPr>
        <w:ind w:left="1440"/>
        <w:jc w:val="both"/>
        <w:rPr>
          <w:rFonts w:ascii="Arial" w:hAnsi="Arial" w:cs="Arial"/>
          <w:bCs/>
          <w:sz w:val="22"/>
          <w:szCs w:val="22"/>
          <w:lang w:val="es-ES"/>
        </w:rPr>
      </w:pPr>
      <w:r w:rsidRPr="00655491">
        <w:rPr>
          <w:rFonts w:ascii="Arial" w:hAnsi="Arial" w:cs="Arial"/>
          <w:bCs/>
          <w:sz w:val="22"/>
          <w:szCs w:val="22"/>
          <w:lang w:val="es-ES"/>
        </w:rPr>
        <w:t xml:space="preserve">40% contra la </w:t>
      </w:r>
      <w:r>
        <w:rPr>
          <w:rFonts w:ascii="Arial" w:hAnsi="Arial" w:cs="Arial"/>
          <w:bCs/>
          <w:sz w:val="22"/>
          <w:szCs w:val="22"/>
          <w:lang w:val="es-ES"/>
        </w:rPr>
        <w:t xml:space="preserve">presentación de los informes 2, 3 y 4, aprobados por el Banco, y </w:t>
      </w:r>
    </w:p>
    <w:p w14:paraId="1E454558" w14:textId="77777777" w:rsidR="00EF5654" w:rsidRDefault="00EF5654" w:rsidP="00EF5654">
      <w:pPr>
        <w:pStyle w:val="ListParagraph"/>
        <w:numPr>
          <w:ilvl w:val="0"/>
          <w:numId w:val="17"/>
        </w:numPr>
        <w:ind w:left="1440"/>
        <w:jc w:val="both"/>
        <w:rPr>
          <w:rFonts w:ascii="Arial" w:hAnsi="Arial" w:cs="Arial"/>
          <w:bCs/>
          <w:sz w:val="22"/>
          <w:szCs w:val="22"/>
          <w:lang w:val="es-ES"/>
        </w:rPr>
      </w:pPr>
      <w:r w:rsidRPr="00655491">
        <w:rPr>
          <w:rFonts w:ascii="Arial" w:hAnsi="Arial" w:cs="Arial"/>
          <w:bCs/>
          <w:sz w:val="22"/>
          <w:szCs w:val="22"/>
          <w:lang w:val="es-ES"/>
        </w:rPr>
        <w:t xml:space="preserve">30% contra la </w:t>
      </w:r>
      <w:r>
        <w:rPr>
          <w:rFonts w:ascii="Arial" w:hAnsi="Arial" w:cs="Arial"/>
          <w:bCs/>
          <w:sz w:val="22"/>
          <w:szCs w:val="22"/>
          <w:lang w:val="es-ES"/>
        </w:rPr>
        <w:t>presentación de los entregables 5, 6 y 7, aprobados por el Banco.</w:t>
      </w:r>
    </w:p>
    <w:p w14:paraId="6281F1E5" w14:textId="77777777" w:rsidR="00EF5654" w:rsidRPr="00655491" w:rsidRDefault="00EF5654" w:rsidP="00EF5654">
      <w:pPr>
        <w:pStyle w:val="ListParagraph"/>
        <w:ind w:left="1440"/>
        <w:jc w:val="both"/>
        <w:rPr>
          <w:rFonts w:ascii="Arial" w:hAnsi="Arial" w:cs="Arial"/>
          <w:bCs/>
          <w:sz w:val="22"/>
          <w:szCs w:val="22"/>
          <w:lang w:val="es-ES"/>
        </w:rPr>
      </w:pPr>
      <w:r w:rsidRPr="00655491">
        <w:rPr>
          <w:rFonts w:ascii="Arial" w:hAnsi="Arial" w:cs="Arial"/>
          <w:bCs/>
          <w:sz w:val="22"/>
          <w:szCs w:val="22"/>
          <w:lang w:val="es-ES"/>
        </w:rPr>
        <w:t>.</w:t>
      </w:r>
    </w:p>
    <w:p w14:paraId="2E29CF7C"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 xml:space="preserve">CALIFICACIONES </w:t>
      </w:r>
    </w:p>
    <w:p w14:paraId="1509941A" w14:textId="77777777" w:rsidR="00EF5654" w:rsidRPr="00655491" w:rsidRDefault="00EF5654" w:rsidP="00EF5654">
      <w:pPr>
        <w:jc w:val="both"/>
        <w:rPr>
          <w:rFonts w:ascii="Arial" w:hAnsi="Arial" w:cs="Arial"/>
          <w:b/>
          <w:bCs/>
          <w:sz w:val="22"/>
          <w:szCs w:val="22"/>
          <w:lang w:val="es-ES"/>
        </w:rPr>
      </w:pPr>
    </w:p>
    <w:p w14:paraId="2B836AEF" w14:textId="77777777" w:rsidR="00EF5654" w:rsidRPr="00655491" w:rsidRDefault="00EF5654" w:rsidP="00EF5654">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lastRenderedPageBreak/>
        <w:t>Título/Nivel Académico &amp; Años de Experiencia Profesional:</w:t>
      </w:r>
      <w:r w:rsidRPr="00655491">
        <w:rPr>
          <w:rFonts w:ascii="Arial" w:hAnsi="Arial" w:cs="Arial"/>
          <w:sz w:val="22"/>
          <w:szCs w:val="22"/>
          <w:lang w:val="es-ES"/>
        </w:rPr>
        <w:t xml:space="preserve"> El contractual deberá tener un título de ingeniero mecánico, ingeniero civil, ingeniero industrial, ingeniero electricista o ingeniero electromecánico, preferentemente con grado de maestría, y con al menos cinco años de experiencia en la materia.</w:t>
      </w:r>
    </w:p>
    <w:p w14:paraId="6BAA2338" w14:textId="77777777" w:rsidR="00EF5654" w:rsidRPr="00655491" w:rsidRDefault="00EF5654" w:rsidP="00EF5654">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 xml:space="preserve">Idiomas: </w:t>
      </w:r>
      <w:r w:rsidRPr="00655491">
        <w:rPr>
          <w:rFonts w:ascii="Arial" w:hAnsi="Arial" w:cs="Arial"/>
          <w:sz w:val="22"/>
          <w:szCs w:val="22"/>
          <w:lang w:val="es-ES"/>
        </w:rPr>
        <w:t>español</w:t>
      </w:r>
      <w:r w:rsidRPr="00655491">
        <w:rPr>
          <w:rFonts w:ascii="Arial" w:hAnsi="Arial" w:cs="Arial"/>
          <w:b/>
          <w:sz w:val="22"/>
          <w:szCs w:val="22"/>
          <w:lang w:val="es-ES"/>
        </w:rPr>
        <w:t xml:space="preserve"> </w:t>
      </w:r>
    </w:p>
    <w:p w14:paraId="791617B9" w14:textId="77777777" w:rsidR="00EF5654" w:rsidRPr="00655491" w:rsidRDefault="00EF5654" w:rsidP="00EF5654">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Áreas de Especialización:</w:t>
      </w:r>
      <w:r w:rsidRPr="00655491">
        <w:rPr>
          <w:rFonts w:ascii="Arial" w:hAnsi="Arial" w:cs="Arial"/>
          <w:sz w:val="22"/>
          <w:szCs w:val="22"/>
          <w:lang w:val="es-ES"/>
        </w:rPr>
        <w:t xml:space="preserve"> amplio conocimiento y especialización en el sector energía, en particular en los temas de marcos regulatorios e institucionales del sector energético.</w:t>
      </w:r>
    </w:p>
    <w:p w14:paraId="5F990220" w14:textId="77777777" w:rsidR="00EF5654" w:rsidRPr="00655491" w:rsidRDefault="00EF5654" w:rsidP="00EF5654">
      <w:pPr>
        <w:pStyle w:val="ListParagraph"/>
        <w:numPr>
          <w:ilvl w:val="0"/>
          <w:numId w:val="8"/>
        </w:numPr>
        <w:jc w:val="both"/>
        <w:rPr>
          <w:rFonts w:ascii="Arial" w:hAnsi="Arial" w:cs="Arial"/>
          <w:b/>
          <w:sz w:val="22"/>
          <w:szCs w:val="22"/>
          <w:lang w:val="es-ES"/>
        </w:rPr>
      </w:pPr>
      <w:r w:rsidRPr="00655491">
        <w:rPr>
          <w:rFonts w:ascii="Arial" w:hAnsi="Arial" w:cs="Arial"/>
          <w:b/>
          <w:sz w:val="22"/>
          <w:szCs w:val="22"/>
          <w:lang w:val="es-ES"/>
        </w:rPr>
        <w:t xml:space="preserve">Habilidades: </w:t>
      </w:r>
      <w:r w:rsidRPr="00655491">
        <w:rPr>
          <w:rFonts w:ascii="Arial" w:hAnsi="Arial" w:cs="Arial"/>
          <w:sz w:val="22"/>
          <w:szCs w:val="22"/>
          <w:lang w:val="es-ES"/>
        </w:rPr>
        <w:t>Se valorará especialmente experiencia en el manejo del software LEAP.</w:t>
      </w:r>
    </w:p>
    <w:p w14:paraId="0BF37173" w14:textId="77777777" w:rsidR="00EF5654" w:rsidRPr="00655491" w:rsidRDefault="00EF5654" w:rsidP="00EF5654">
      <w:pPr>
        <w:pStyle w:val="ListParagraph"/>
        <w:ind w:left="1080"/>
        <w:jc w:val="both"/>
        <w:rPr>
          <w:rFonts w:ascii="Arial" w:hAnsi="Arial" w:cs="Arial"/>
          <w:sz w:val="22"/>
          <w:szCs w:val="22"/>
          <w:lang w:val="es-ES"/>
        </w:rPr>
      </w:pPr>
    </w:p>
    <w:p w14:paraId="15540ADE" w14:textId="77777777" w:rsidR="00EF5654" w:rsidRPr="00655491" w:rsidRDefault="00EF5654" w:rsidP="00EF5654">
      <w:pPr>
        <w:jc w:val="both"/>
        <w:rPr>
          <w:rFonts w:ascii="Arial" w:hAnsi="Arial" w:cs="Arial"/>
          <w:b/>
          <w:bCs/>
          <w:sz w:val="22"/>
          <w:szCs w:val="22"/>
          <w:lang w:val="es-ES"/>
        </w:rPr>
      </w:pPr>
      <w:r w:rsidRPr="00655491">
        <w:rPr>
          <w:rFonts w:ascii="Arial" w:hAnsi="Arial" w:cs="Arial"/>
          <w:b/>
          <w:bCs/>
          <w:sz w:val="22"/>
          <w:szCs w:val="22"/>
          <w:lang w:val="es-ES"/>
        </w:rPr>
        <w:t xml:space="preserve">CARACTERISTICAS DE LA CONSULTORIA </w:t>
      </w:r>
    </w:p>
    <w:p w14:paraId="5431A211" w14:textId="77777777" w:rsidR="00EF5654" w:rsidRPr="00655491" w:rsidRDefault="00EF5654" w:rsidP="00EF5654">
      <w:pPr>
        <w:jc w:val="both"/>
        <w:rPr>
          <w:rFonts w:ascii="Arial" w:hAnsi="Arial" w:cs="Arial"/>
          <w:bCs/>
          <w:sz w:val="22"/>
          <w:szCs w:val="22"/>
          <w:lang w:val="es-ES"/>
        </w:rPr>
      </w:pPr>
    </w:p>
    <w:p w14:paraId="0F234197" w14:textId="77777777" w:rsidR="00EF5654" w:rsidRPr="00655491" w:rsidRDefault="00EF5654" w:rsidP="00EF5654">
      <w:pPr>
        <w:pStyle w:val="ListParagraph"/>
        <w:numPr>
          <w:ilvl w:val="0"/>
          <w:numId w:val="18"/>
        </w:numPr>
        <w:rPr>
          <w:rFonts w:ascii="Arial" w:hAnsi="Arial" w:cs="Arial"/>
          <w:bCs/>
          <w:sz w:val="22"/>
          <w:szCs w:val="22"/>
          <w:lang w:val="es-ES"/>
        </w:rPr>
      </w:pPr>
      <w:r w:rsidRPr="00655491">
        <w:rPr>
          <w:rFonts w:ascii="Arial" w:hAnsi="Arial" w:cs="Arial"/>
          <w:b/>
          <w:bCs/>
          <w:sz w:val="22"/>
          <w:szCs w:val="22"/>
          <w:lang w:val="es-ES"/>
        </w:rPr>
        <w:t>Categoría y Modalidad</w:t>
      </w:r>
      <w:r w:rsidRPr="00655491">
        <w:rPr>
          <w:rFonts w:ascii="Arial" w:hAnsi="Arial" w:cs="Arial"/>
          <w:bCs/>
          <w:sz w:val="22"/>
          <w:szCs w:val="22"/>
          <w:lang w:val="es-ES"/>
        </w:rPr>
        <w:t xml:space="preserve"> </w:t>
      </w:r>
      <w:r w:rsidRPr="00655491">
        <w:rPr>
          <w:rFonts w:ascii="Arial" w:hAnsi="Arial" w:cs="Arial"/>
          <w:b/>
          <w:bCs/>
          <w:sz w:val="22"/>
          <w:szCs w:val="22"/>
          <w:lang w:val="es-ES"/>
        </w:rPr>
        <w:t>de la Consultoría:</w:t>
      </w:r>
      <w:r w:rsidRPr="00655491">
        <w:rPr>
          <w:rFonts w:ascii="Arial" w:hAnsi="Arial" w:cs="Arial"/>
          <w:bCs/>
          <w:sz w:val="22"/>
          <w:szCs w:val="22"/>
          <w:lang w:val="es-ES"/>
        </w:rPr>
        <w:t xml:space="preserve"> Contractual de Productos y Servicios Externos, Suma Alzada</w:t>
      </w:r>
    </w:p>
    <w:p w14:paraId="56980868" w14:textId="77777777" w:rsidR="00EF5654" w:rsidRPr="00655491" w:rsidRDefault="00EF5654" w:rsidP="00EF5654">
      <w:pPr>
        <w:pStyle w:val="ListParagraph"/>
        <w:rPr>
          <w:rFonts w:ascii="Arial" w:hAnsi="Arial" w:cs="Arial"/>
          <w:bCs/>
          <w:sz w:val="22"/>
          <w:szCs w:val="22"/>
          <w:lang w:val="es-ES"/>
        </w:rPr>
      </w:pPr>
    </w:p>
    <w:p w14:paraId="218773B8" w14:textId="77777777" w:rsidR="00EF5654" w:rsidRPr="00655491" w:rsidRDefault="00EF5654" w:rsidP="00EF5654">
      <w:pPr>
        <w:pStyle w:val="ListParagraph"/>
        <w:numPr>
          <w:ilvl w:val="0"/>
          <w:numId w:val="18"/>
        </w:numPr>
        <w:jc w:val="both"/>
        <w:rPr>
          <w:rFonts w:ascii="Arial" w:hAnsi="Arial" w:cs="Arial"/>
          <w:bCs/>
          <w:sz w:val="22"/>
          <w:szCs w:val="22"/>
          <w:lang w:val="es-ES"/>
        </w:rPr>
      </w:pPr>
      <w:r w:rsidRPr="00655491">
        <w:rPr>
          <w:rFonts w:ascii="Arial" w:hAnsi="Arial" w:cs="Arial"/>
          <w:b/>
          <w:bCs/>
          <w:sz w:val="22"/>
          <w:szCs w:val="22"/>
          <w:lang w:val="es-ES"/>
        </w:rPr>
        <w:t>Duración del Contrato:</w:t>
      </w:r>
      <w:r w:rsidRPr="00655491">
        <w:rPr>
          <w:rFonts w:ascii="Arial" w:hAnsi="Arial" w:cs="Arial"/>
          <w:bCs/>
          <w:sz w:val="22"/>
          <w:szCs w:val="22"/>
          <w:lang w:val="es-ES"/>
        </w:rPr>
        <w:t xml:space="preserve"> </w:t>
      </w:r>
      <w:r>
        <w:rPr>
          <w:rFonts w:ascii="Arial" w:hAnsi="Arial" w:cs="Arial"/>
          <w:bCs/>
          <w:sz w:val="22"/>
          <w:szCs w:val="22"/>
          <w:lang w:val="es-ES"/>
        </w:rPr>
        <w:t xml:space="preserve">octubre </w:t>
      </w:r>
      <w:r w:rsidRPr="00655491">
        <w:rPr>
          <w:rFonts w:ascii="Arial" w:hAnsi="Arial" w:cs="Arial"/>
          <w:bCs/>
          <w:sz w:val="22"/>
          <w:szCs w:val="22"/>
          <w:lang w:val="es-ES"/>
        </w:rPr>
        <w:t xml:space="preserve">2017 – </w:t>
      </w:r>
      <w:r>
        <w:rPr>
          <w:rFonts w:ascii="Arial" w:hAnsi="Arial" w:cs="Arial"/>
          <w:bCs/>
          <w:sz w:val="22"/>
          <w:szCs w:val="22"/>
          <w:lang w:val="es-ES"/>
        </w:rPr>
        <w:t xml:space="preserve"> diciembre </w:t>
      </w:r>
      <w:r w:rsidRPr="00655491">
        <w:rPr>
          <w:rFonts w:ascii="Arial" w:hAnsi="Arial" w:cs="Arial"/>
          <w:bCs/>
          <w:sz w:val="22"/>
          <w:szCs w:val="22"/>
          <w:lang w:val="es-ES"/>
        </w:rPr>
        <w:t>2018</w:t>
      </w:r>
    </w:p>
    <w:p w14:paraId="646F2FEF" w14:textId="77777777" w:rsidR="00EF5654" w:rsidRPr="00655491" w:rsidRDefault="00EF5654" w:rsidP="00EF5654">
      <w:pPr>
        <w:pStyle w:val="ListParagraph"/>
        <w:numPr>
          <w:ilvl w:val="0"/>
          <w:numId w:val="18"/>
        </w:numPr>
        <w:jc w:val="both"/>
        <w:rPr>
          <w:rFonts w:ascii="Arial" w:hAnsi="Arial" w:cs="Arial"/>
          <w:bCs/>
          <w:sz w:val="22"/>
          <w:szCs w:val="22"/>
          <w:lang w:val="es-ES"/>
        </w:rPr>
      </w:pPr>
      <w:r w:rsidRPr="00655491">
        <w:rPr>
          <w:rFonts w:ascii="Arial" w:hAnsi="Arial" w:cs="Arial"/>
          <w:b/>
          <w:bCs/>
          <w:sz w:val="22"/>
          <w:szCs w:val="22"/>
          <w:lang w:val="es-ES"/>
        </w:rPr>
        <w:t>Viajes:</w:t>
      </w:r>
      <w:r w:rsidRPr="00655491">
        <w:rPr>
          <w:rFonts w:ascii="Arial" w:hAnsi="Arial" w:cs="Arial"/>
          <w:bCs/>
          <w:sz w:val="22"/>
          <w:szCs w:val="22"/>
          <w:lang w:val="es-ES"/>
        </w:rPr>
        <w:t xml:space="preserve"> Se incluyen </w:t>
      </w:r>
      <w:r>
        <w:rPr>
          <w:rFonts w:ascii="Arial" w:hAnsi="Arial" w:cs="Arial"/>
          <w:bCs/>
          <w:sz w:val="22"/>
          <w:szCs w:val="22"/>
          <w:lang w:val="es-ES"/>
        </w:rPr>
        <w:t>XX</w:t>
      </w:r>
      <w:r w:rsidRPr="00655491">
        <w:rPr>
          <w:rFonts w:ascii="Arial" w:hAnsi="Arial" w:cs="Arial"/>
          <w:bCs/>
          <w:sz w:val="22"/>
          <w:szCs w:val="22"/>
          <w:lang w:val="es-ES"/>
        </w:rPr>
        <w:t xml:space="preserve"> viajes desde la </w:t>
      </w:r>
      <w:r>
        <w:rPr>
          <w:rFonts w:ascii="Arial" w:hAnsi="Arial" w:cs="Arial"/>
          <w:bCs/>
          <w:sz w:val="22"/>
          <w:szCs w:val="22"/>
          <w:lang w:val="es-ES"/>
        </w:rPr>
        <w:t>XX</w:t>
      </w:r>
      <w:r w:rsidRPr="00655491">
        <w:rPr>
          <w:rFonts w:ascii="Arial" w:hAnsi="Arial" w:cs="Arial"/>
          <w:bCs/>
          <w:sz w:val="22"/>
          <w:szCs w:val="22"/>
          <w:lang w:val="es-ES"/>
        </w:rPr>
        <w:t xml:space="preserve">, cubriendo los gastos de estadía hasta un máximo de </w:t>
      </w:r>
      <w:r>
        <w:rPr>
          <w:rFonts w:ascii="Arial" w:hAnsi="Arial" w:cs="Arial"/>
          <w:bCs/>
          <w:sz w:val="22"/>
          <w:szCs w:val="22"/>
          <w:lang w:val="es-ES"/>
        </w:rPr>
        <w:t xml:space="preserve">XXX </w:t>
      </w:r>
      <w:r w:rsidRPr="00655491">
        <w:rPr>
          <w:rFonts w:ascii="Arial" w:hAnsi="Arial" w:cs="Arial"/>
          <w:bCs/>
          <w:sz w:val="22"/>
          <w:szCs w:val="22"/>
          <w:lang w:val="es-ES"/>
        </w:rPr>
        <w:t>días en cada viaje.</w:t>
      </w:r>
    </w:p>
    <w:p w14:paraId="188ED8B7" w14:textId="77777777" w:rsidR="00EF5654" w:rsidRPr="00655491" w:rsidRDefault="00EF5654" w:rsidP="00EF5654">
      <w:pPr>
        <w:pStyle w:val="ListParagraph"/>
        <w:numPr>
          <w:ilvl w:val="0"/>
          <w:numId w:val="18"/>
        </w:numPr>
        <w:jc w:val="both"/>
        <w:rPr>
          <w:rFonts w:ascii="Arial" w:hAnsi="Arial" w:cs="Arial"/>
          <w:bCs/>
          <w:sz w:val="22"/>
          <w:szCs w:val="22"/>
          <w:lang w:val="es-ES"/>
        </w:rPr>
      </w:pPr>
      <w:r w:rsidRPr="00655491">
        <w:rPr>
          <w:rFonts w:ascii="Arial" w:hAnsi="Arial" w:cs="Arial"/>
          <w:b/>
          <w:bCs/>
          <w:sz w:val="22"/>
          <w:szCs w:val="22"/>
          <w:lang w:val="es-ES"/>
        </w:rPr>
        <w:t>Lugar(es) de trabajo:</w:t>
      </w:r>
      <w:r w:rsidRPr="00655491">
        <w:rPr>
          <w:rFonts w:ascii="Arial" w:hAnsi="Arial" w:cs="Arial"/>
          <w:bCs/>
          <w:sz w:val="22"/>
          <w:szCs w:val="22"/>
          <w:lang w:val="es-ES"/>
        </w:rPr>
        <w:t xml:space="preserve"> Se desarrollará en el lugar de residencia del contractual en la Ciudad de Salta y en Buenos Aires, Argentina</w:t>
      </w:r>
    </w:p>
    <w:p w14:paraId="3B1CA5BE" w14:textId="77777777" w:rsidR="00EF5654" w:rsidRPr="00655491" w:rsidRDefault="00EF5654" w:rsidP="00EF5654">
      <w:pPr>
        <w:pStyle w:val="ListParagraph"/>
        <w:numPr>
          <w:ilvl w:val="0"/>
          <w:numId w:val="18"/>
        </w:numPr>
        <w:jc w:val="both"/>
        <w:rPr>
          <w:rFonts w:ascii="Arial" w:hAnsi="Arial" w:cs="Arial"/>
          <w:bCs/>
          <w:sz w:val="22"/>
          <w:szCs w:val="22"/>
          <w:lang w:val="es-ES"/>
        </w:rPr>
      </w:pPr>
      <w:r w:rsidRPr="00655491">
        <w:rPr>
          <w:rFonts w:ascii="Arial" w:hAnsi="Arial" w:cs="Arial"/>
          <w:b/>
          <w:bCs/>
          <w:sz w:val="22"/>
          <w:szCs w:val="22"/>
          <w:lang w:val="es-ES"/>
        </w:rPr>
        <w:t>El Coordinador</w:t>
      </w:r>
      <w:r w:rsidRPr="00655491">
        <w:rPr>
          <w:rFonts w:ascii="Arial" w:hAnsi="Arial" w:cs="Arial"/>
          <w:bCs/>
          <w:sz w:val="22"/>
          <w:szCs w:val="22"/>
          <w:lang w:val="es-ES"/>
        </w:rPr>
        <w:t xml:space="preserve"> de esta consultoría será el Sr. Emilio Sawada, Especialista Regional de Energía (ENE/CUR) (</w:t>
      </w:r>
      <w:hyperlink r:id="rId16" w:history="1">
        <w:r w:rsidRPr="00655491">
          <w:rPr>
            <w:rStyle w:val="Hyperlink"/>
            <w:rFonts w:ascii="Arial" w:hAnsi="Arial" w:cs="Arial"/>
            <w:bCs/>
            <w:sz w:val="22"/>
            <w:szCs w:val="22"/>
            <w:lang w:val="es-ES"/>
          </w:rPr>
          <w:t>emilios@iadb.org</w:t>
        </w:r>
      </w:hyperlink>
      <w:r w:rsidRPr="00655491">
        <w:rPr>
          <w:rFonts w:ascii="Arial" w:hAnsi="Arial" w:cs="Arial"/>
          <w:bCs/>
          <w:sz w:val="22"/>
          <w:szCs w:val="22"/>
          <w:lang w:val="es-ES"/>
        </w:rPr>
        <w:t xml:space="preserve"> ; Tel.+(598) 2915-4330), de la División de Energía del BID, basado en la Oficina de Representación del BID en la República Oriental del Uruguay, y responsable de los temas de energía del BID en Argentina. </w:t>
      </w:r>
    </w:p>
    <w:p w14:paraId="550F4BE1" w14:textId="77777777" w:rsidR="00EF5654" w:rsidRPr="00655491" w:rsidRDefault="00EF5654" w:rsidP="00EF5654">
      <w:pPr>
        <w:pStyle w:val="ListParagraph"/>
        <w:jc w:val="both"/>
        <w:rPr>
          <w:rFonts w:ascii="Arial" w:hAnsi="Arial" w:cs="Arial"/>
          <w:bCs/>
          <w:sz w:val="22"/>
          <w:szCs w:val="22"/>
          <w:lang w:val="es-ES"/>
        </w:rPr>
      </w:pPr>
    </w:p>
    <w:p w14:paraId="46DED91E" w14:textId="77777777" w:rsidR="00EF5654" w:rsidRPr="00655491" w:rsidRDefault="00EF5654" w:rsidP="00EF5654">
      <w:pPr>
        <w:jc w:val="both"/>
        <w:rPr>
          <w:rFonts w:ascii="Arial" w:hAnsi="Arial" w:cs="Arial"/>
          <w:sz w:val="22"/>
          <w:szCs w:val="22"/>
          <w:lang w:val="es-ES_tradnl"/>
        </w:rPr>
      </w:pPr>
      <w:r w:rsidRPr="00655491">
        <w:rPr>
          <w:rFonts w:ascii="Arial" w:hAnsi="Arial" w:cs="Arial"/>
          <w:b/>
          <w:sz w:val="22"/>
          <w:szCs w:val="22"/>
          <w:lang w:val="es-ES_tradnl"/>
        </w:rPr>
        <w:t>Pago y Condiciones:</w:t>
      </w:r>
      <w:r w:rsidRPr="00655491">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6E3C40B1" w14:textId="77777777" w:rsidR="00EF5654" w:rsidRPr="00655491" w:rsidRDefault="00EF5654" w:rsidP="00EF5654">
      <w:pPr>
        <w:jc w:val="both"/>
        <w:rPr>
          <w:rFonts w:ascii="Arial" w:hAnsi="Arial" w:cs="Arial"/>
          <w:sz w:val="22"/>
          <w:szCs w:val="22"/>
          <w:lang w:val="es-ES_tradnl"/>
        </w:rPr>
      </w:pPr>
      <w:r w:rsidRPr="00655491">
        <w:rPr>
          <w:rFonts w:ascii="Arial" w:hAnsi="Arial" w:cs="Arial"/>
          <w:sz w:val="22"/>
          <w:szCs w:val="22"/>
          <w:lang w:val="es-ES_tradnl"/>
        </w:rPr>
        <w:t xml:space="preserve"> </w:t>
      </w:r>
    </w:p>
    <w:p w14:paraId="188ABC9E" w14:textId="77777777" w:rsidR="00EF5654" w:rsidRPr="00655491" w:rsidRDefault="00EF5654" w:rsidP="00EF5654">
      <w:pPr>
        <w:jc w:val="both"/>
        <w:rPr>
          <w:rFonts w:ascii="Arial" w:hAnsi="Arial" w:cs="Arial"/>
          <w:sz w:val="22"/>
          <w:szCs w:val="22"/>
          <w:lang w:val="es-ES_tradnl"/>
        </w:rPr>
      </w:pPr>
      <w:r w:rsidRPr="00655491">
        <w:rPr>
          <w:rFonts w:ascii="Arial" w:hAnsi="Arial" w:cs="Arial"/>
          <w:b/>
          <w:sz w:val="22"/>
          <w:szCs w:val="22"/>
          <w:lang w:val="es-ES_tradnl"/>
        </w:rPr>
        <w:t>Consanguinidad:</w:t>
      </w:r>
      <w:r w:rsidRPr="00655491">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1D72A5AF" w14:textId="77777777" w:rsidR="00EF5654" w:rsidRPr="00655491" w:rsidRDefault="00EF5654" w:rsidP="00EF5654">
      <w:pPr>
        <w:jc w:val="both"/>
        <w:rPr>
          <w:rFonts w:ascii="Arial" w:hAnsi="Arial" w:cs="Arial"/>
          <w:sz w:val="22"/>
          <w:szCs w:val="22"/>
          <w:lang w:val="es-ES_tradnl"/>
        </w:rPr>
      </w:pPr>
      <w:r w:rsidRPr="00655491">
        <w:rPr>
          <w:rFonts w:ascii="Arial" w:hAnsi="Arial" w:cs="Arial"/>
          <w:sz w:val="22"/>
          <w:szCs w:val="22"/>
          <w:lang w:val="es-ES_tradnl"/>
        </w:rPr>
        <w:t xml:space="preserve"> </w:t>
      </w:r>
    </w:p>
    <w:p w14:paraId="524AEB76" w14:textId="77777777" w:rsidR="00EF5654" w:rsidRPr="00655491" w:rsidRDefault="00EF5654" w:rsidP="00EF5654">
      <w:pPr>
        <w:jc w:val="both"/>
        <w:rPr>
          <w:rFonts w:ascii="Arial" w:hAnsi="Arial" w:cs="Arial"/>
          <w:sz w:val="22"/>
          <w:szCs w:val="22"/>
          <w:lang w:val="es-ES_tradnl"/>
        </w:rPr>
      </w:pPr>
      <w:r w:rsidRPr="00655491">
        <w:rPr>
          <w:rFonts w:ascii="Arial" w:hAnsi="Arial" w:cs="Arial"/>
          <w:b/>
          <w:sz w:val="22"/>
          <w:szCs w:val="22"/>
          <w:lang w:val="es-ES_tradnl"/>
        </w:rPr>
        <w:t>Diversidad</w:t>
      </w:r>
      <w:r w:rsidRPr="00655491">
        <w:rPr>
          <w:rFonts w:ascii="Arial" w:hAnsi="Arial" w:cs="Arial"/>
          <w:sz w:val="22"/>
          <w:szCs w:val="22"/>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1F37F33F" w14:textId="77777777" w:rsidR="00EF5654" w:rsidRPr="00655491" w:rsidRDefault="00EF5654" w:rsidP="00EF5654">
      <w:pPr>
        <w:jc w:val="both"/>
        <w:rPr>
          <w:rFonts w:ascii="Arial" w:hAnsi="Arial" w:cs="Arial"/>
          <w:sz w:val="22"/>
          <w:szCs w:val="22"/>
          <w:lang w:val="es-ES"/>
        </w:rPr>
      </w:pPr>
    </w:p>
    <w:p w14:paraId="407B8883" w14:textId="77777777" w:rsidR="00EF5654" w:rsidRPr="00655491" w:rsidRDefault="00EF5654" w:rsidP="00EF5654">
      <w:pPr>
        <w:jc w:val="both"/>
        <w:rPr>
          <w:rFonts w:ascii="Arial" w:hAnsi="Arial" w:cs="Arial"/>
          <w:sz w:val="22"/>
          <w:szCs w:val="22"/>
          <w:lang w:val="es-ES"/>
        </w:rPr>
      </w:pPr>
    </w:p>
    <w:p w14:paraId="5E30CE26" w14:textId="77777777" w:rsidR="00EF5654" w:rsidRPr="00655491" w:rsidRDefault="00EF5654" w:rsidP="00EF5654">
      <w:pPr>
        <w:jc w:val="both"/>
        <w:rPr>
          <w:rFonts w:ascii="Arial" w:hAnsi="Arial" w:cs="Arial"/>
          <w:sz w:val="22"/>
          <w:szCs w:val="22"/>
          <w:lang w:val="es-ES"/>
        </w:rPr>
      </w:pPr>
    </w:p>
    <w:p w14:paraId="18166831" w14:textId="626BCEB2" w:rsidR="0099552C" w:rsidRPr="00EF5654" w:rsidRDefault="0099552C" w:rsidP="00EF5654">
      <w:pPr>
        <w:rPr>
          <w:lang w:val="es-ES"/>
        </w:rPr>
      </w:pPr>
      <w:bookmarkStart w:id="1" w:name="_GoBack"/>
      <w:bookmarkEnd w:id="1"/>
    </w:p>
    <w:sectPr w:rsidR="0099552C" w:rsidRPr="00EF5654" w:rsidSect="00EB7525">
      <w:footerReference w:type="default" r:id="rId17"/>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66834" w14:textId="77777777" w:rsidR="00443FC6" w:rsidRDefault="00443FC6">
      <w:r>
        <w:separator/>
      </w:r>
    </w:p>
  </w:endnote>
  <w:endnote w:type="continuationSeparator" w:id="0">
    <w:p w14:paraId="18166835" w14:textId="77777777" w:rsidR="00443FC6" w:rsidRDefault="0044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456420"/>
      <w:docPartObj>
        <w:docPartGallery w:val="Page Numbers (Bottom of Page)"/>
        <w:docPartUnique/>
      </w:docPartObj>
    </w:sdtPr>
    <w:sdtEndPr>
      <w:rPr>
        <w:noProof/>
      </w:rPr>
    </w:sdtEndPr>
    <w:sdtContent>
      <w:p w14:paraId="18166837" w14:textId="07C49AFA" w:rsidR="005579B4" w:rsidRDefault="00FF4168">
        <w:pPr>
          <w:pStyle w:val="Footer"/>
          <w:jc w:val="right"/>
        </w:pPr>
        <w:r>
          <w:fldChar w:fldCharType="begin"/>
        </w:r>
        <w:r w:rsidR="005579B4">
          <w:instrText xml:space="preserve"> PAGE   \* MERGEFORMAT </w:instrText>
        </w:r>
        <w:r>
          <w:fldChar w:fldCharType="separate"/>
        </w:r>
        <w:r w:rsidR="00EF5654">
          <w:rPr>
            <w:noProof/>
          </w:rPr>
          <w:t>9</w:t>
        </w:r>
        <w:r>
          <w:rPr>
            <w:noProof/>
          </w:rPr>
          <w:fldChar w:fldCharType="end"/>
        </w:r>
      </w:p>
    </w:sdtContent>
  </w:sdt>
  <w:p w14:paraId="18166838" w14:textId="77777777" w:rsidR="005579B4" w:rsidRDefault="00557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66832" w14:textId="77777777" w:rsidR="00443FC6" w:rsidRDefault="00443FC6">
      <w:r>
        <w:separator/>
      </w:r>
    </w:p>
  </w:footnote>
  <w:footnote w:type="continuationSeparator" w:id="0">
    <w:p w14:paraId="18166833" w14:textId="77777777" w:rsidR="00443FC6" w:rsidRDefault="00443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87C36"/>
    <w:multiLevelType w:val="hybridMultilevel"/>
    <w:tmpl w:val="F6BE8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420B6"/>
    <w:multiLevelType w:val="hybridMultilevel"/>
    <w:tmpl w:val="1C72C6D4"/>
    <w:lvl w:ilvl="0" w:tplc="040A0001">
      <w:start w:val="1"/>
      <w:numFmt w:val="bullet"/>
      <w:lvlText w:val=""/>
      <w:lvlJc w:val="left"/>
      <w:pPr>
        <w:ind w:left="1068" w:hanging="360"/>
      </w:pPr>
      <w:rPr>
        <w:rFonts w:ascii="Symbol" w:hAnsi="Symbol"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2"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62E42A5"/>
    <w:multiLevelType w:val="hybridMultilevel"/>
    <w:tmpl w:val="E3D60D3A"/>
    <w:lvl w:ilvl="0" w:tplc="AF18A44E">
      <w:start w:val="5"/>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0DAB7FC9"/>
    <w:multiLevelType w:val="multilevel"/>
    <w:tmpl w:val="84FAFBF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lowerLetter"/>
      <w:lvlText w:val="%3."/>
      <w:lvlJc w:val="left"/>
      <w:pPr>
        <w:tabs>
          <w:tab w:val="num" w:pos="1152"/>
        </w:tabs>
        <w:ind w:left="1152" w:hanging="432"/>
      </w:pPr>
      <w:rPr>
        <w:rFonts w:ascii="Times New Roman" w:hAnsi="Times New Roman" w:hint="default"/>
        <w:b w:val="0"/>
        <w:i w:val="0"/>
        <w:sz w:val="24"/>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15:restartNumberingAfterBreak="0">
    <w:nsid w:val="0FB82C8F"/>
    <w:multiLevelType w:val="multilevel"/>
    <w:tmpl w:val="3F54F0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D44BF9"/>
    <w:multiLevelType w:val="hybridMultilevel"/>
    <w:tmpl w:val="050AAFA4"/>
    <w:lvl w:ilvl="0" w:tplc="C5BE866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25032D3E"/>
    <w:multiLevelType w:val="hybridMultilevel"/>
    <w:tmpl w:val="8B884D06"/>
    <w:lvl w:ilvl="0" w:tplc="DC38033C">
      <w:start w:val="3"/>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D13CFE"/>
    <w:multiLevelType w:val="hybridMultilevel"/>
    <w:tmpl w:val="5BF8C38E"/>
    <w:lvl w:ilvl="0" w:tplc="F466988A">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31264E7A"/>
    <w:multiLevelType w:val="hybridMultilevel"/>
    <w:tmpl w:val="C7CC7532"/>
    <w:lvl w:ilvl="0" w:tplc="498284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830A6C"/>
    <w:multiLevelType w:val="multilevel"/>
    <w:tmpl w:val="45427AA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D81E8C"/>
    <w:multiLevelType w:val="multilevel"/>
    <w:tmpl w:val="761EE724"/>
    <w:lvl w:ilvl="0">
      <w:start w:val="1"/>
      <w:numFmt w:val="bullet"/>
      <w:lvlText w:val=""/>
      <w:lvlJc w:val="left"/>
      <w:pPr>
        <w:ind w:left="360" w:hanging="360"/>
      </w:pPr>
      <w:rPr>
        <w:rFonts w:ascii="Symbol" w:hAnsi="Symbol" w:cs="Symbol"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cs="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4A556786"/>
    <w:multiLevelType w:val="hybridMultilevel"/>
    <w:tmpl w:val="1EFA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04650A"/>
    <w:multiLevelType w:val="hybridMultilevel"/>
    <w:tmpl w:val="17C8A9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946FD9"/>
    <w:multiLevelType w:val="hybridMultilevel"/>
    <w:tmpl w:val="050AAFA4"/>
    <w:lvl w:ilvl="0" w:tplc="C5BE8668">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5D991211"/>
    <w:multiLevelType w:val="hybridMultilevel"/>
    <w:tmpl w:val="050AAFA4"/>
    <w:lvl w:ilvl="0" w:tplc="C5BE8668">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9"/>
  </w:num>
  <w:num w:numId="4">
    <w:abstractNumId w:val="21"/>
  </w:num>
  <w:num w:numId="5">
    <w:abstractNumId w:val="13"/>
  </w:num>
  <w:num w:numId="6">
    <w:abstractNumId w:val="4"/>
  </w:num>
  <w:num w:numId="7">
    <w:abstractNumId w:val="2"/>
  </w:num>
  <w:num w:numId="8">
    <w:abstractNumId w:val="11"/>
  </w:num>
  <w:num w:numId="9">
    <w:abstractNumId w:val="23"/>
  </w:num>
  <w:num w:numId="10">
    <w:abstractNumId w:val="6"/>
  </w:num>
  <w:num w:numId="11">
    <w:abstractNumId w:val="15"/>
  </w:num>
  <w:num w:numId="12">
    <w:abstractNumId w:val="16"/>
  </w:num>
  <w:num w:numId="13">
    <w:abstractNumId w:val="3"/>
  </w:num>
  <w:num w:numId="14">
    <w:abstractNumId w:val="10"/>
  </w:num>
  <w:num w:numId="15">
    <w:abstractNumId w:val="14"/>
  </w:num>
  <w:num w:numId="16">
    <w:abstractNumId w:val="5"/>
  </w:num>
  <w:num w:numId="17">
    <w:abstractNumId w:val="12"/>
  </w:num>
  <w:num w:numId="18">
    <w:abstractNumId w:val="0"/>
  </w:num>
  <w:num w:numId="19">
    <w:abstractNumId w:val="1"/>
  </w:num>
  <w:num w:numId="20">
    <w:abstractNumId w:val="18"/>
  </w:num>
  <w:num w:numId="21">
    <w:abstractNumId w:val="8"/>
  </w:num>
  <w:num w:numId="22">
    <w:abstractNumId w:val="20"/>
  </w:num>
  <w:num w:numId="23">
    <w:abstractNumId w:val="2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2CC9"/>
    <w:rsid w:val="0000336D"/>
    <w:rsid w:val="000215DB"/>
    <w:rsid w:val="00027697"/>
    <w:rsid w:val="00034C8E"/>
    <w:rsid w:val="00052A1A"/>
    <w:rsid w:val="00053AE6"/>
    <w:rsid w:val="00064CE4"/>
    <w:rsid w:val="00086701"/>
    <w:rsid w:val="000A13F8"/>
    <w:rsid w:val="00106D34"/>
    <w:rsid w:val="0017002A"/>
    <w:rsid w:val="00173297"/>
    <w:rsid w:val="00183196"/>
    <w:rsid w:val="001A0B27"/>
    <w:rsid w:val="00202C8D"/>
    <w:rsid w:val="00202CC0"/>
    <w:rsid w:val="002067D2"/>
    <w:rsid w:val="00207DD1"/>
    <w:rsid w:val="00226385"/>
    <w:rsid w:val="002361C6"/>
    <w:rsid w:val="00236CC5"/>
    <w:rsid w:val="00253D5A"/>
    <w:rsid w:val="00263584"/>
    <w:rsid w:val="00283806"/>
    <w:rsid w:val="00294785"/>
    <w:rsid w:val="002B411D"/>
    <w:rsid w:val="002C58A7"/>
    <w:rsid w:val="002F1096"/>
    <w:rsid w:val="002F1C07"/>
    <w:rsid w:val="0030136E"/>
    <w:rsid w:val="00313C1B"/>
    <w:rsid w:val="003473DD"/>
    <w:rsid w:val="0035019B"/>
    <w:rsid w:val="0036557D"/>
    <w:rsid w:val="00381358"/>
    <w:rsid w:val="00387C6A"/>
    <w:rsid w:val="00392BF5"/>
    <w:rsid w:val="0039312B"/>
    <w:rsid w:val="003A4515"/>
    <w:rsid w:val="003C6E41"/>
    <w:rsid w:val="003E676A"/>
    <w:rsid w:val="00414E38"/>
    <w:rsid w:val="00436B94"/>
    <w:rsid w:val="00440F69"/>
    <w:rsid w:val="00443FC6"/>
    <w:rsid w:val="00452A7C"/>
    <w:rsid w:val="004645C6"/>
    <w:rsid w:val="00472C06"/>
    <w:rsid w:val="00481545"/>
    <w:rsid w:val="00491E27"/>
    <w:rsid w:val="004B5ACA"/>
    <w:rsid w:val="004F2393"/>
    <w:rsid w:val="005001EF"/>
    <w:rsid w:val="00505693"/>
    <w:rsid w:val="005114FC"/>
    <w:rsid w:val="00527C01"/>
    <w:rsid w:val="005579B4"/>
    <w:rsid w:val="00566E0B"/>
    <w:rsid w:val="00567911"/>
    <w:rsid w:val="00571AB5"/>
    <w:rsid w:val="00576F7E"/>
    <w:rsid w:val="00577CC0"/>
    <w:rsid w:val="00583A1B"/>
    <w:rsid w:val="005907C2"/>
    <w:rsid w:val="005A3D4C"/>
    <w:rsid w:val="005B7F25"/>
    <w:rsid w:val="0060760E"/>
    <w:rsid w:val="00614FC3"/>
    <w:rsid w:val="00620D13"/>
    <w:rsid w:val="00621CA7"/>
    <w:rsid w:val="00675F8A"/>
    <w:rsid w:val="006A21B1"/>
    <w:rsid w:val="006C0B0B"/>
    <w:rsid w:val="006C6950"/>
    <w:rsid w:val="006D7437"/>
    <w:rsid w:val="00702F04"/>
    <w:rsid w:val="00720F96"/>
    <w:rsid w:val="00752A29"/>
    <w:rsid w:val="007B4F37"/>
    <w:rsid w:val="007D4DAD"/>
    <w:rsid w:val="007D7B6B"/>
    <w:rsid w:val="0080549B"/>
    <w:rsid w:val="00861EA7"/>
    <w:rsid w:val="00864FA2"/>
    <w:rsid w:val="00865DBF"/>
    <w:rsid w:val="0087491E"/>
    <w:rsid w:val="008B3AC7"/>
    <w:rsid w:val="008F5BBF"/>
    <w:rsid w:val="0092211B"/>
    <w:rsid w:val="00930FFF"/>
    <w:rsid w:val="00934437"/>
    <w:rsid w:val="0093579C"/>
    <w:rsid w:val="00944B74"/>
    <w:rsid w:val="009544F0"/>
    <w:rsid w:val="009635FB"/>
    <w:rsid w:val="00965CAB"/>
    <w:rsid w:val="0097085E"/>
    <w:rsid w:val="0097784A"/>
    <w:rsid w:val="00993F1D"/>
    <w:rsid w:val="0099552C"/>
    <w:rsid w:val="0099747C"/>
    <w:rsid w:val="009B6748"/>
    <w:rsid w:val="009B7531"/>
    <w:rsid w:val="009D7567"/>
    <w:rsid w:val="009E049C"/>
    <w:rsid w:val="009E3A88"/>
    <w:rsid w:val="009F2CF4"/>
    <w:rsid w:val="009F43F3"/>
    <w:rsid w:val="00A03A43"/>
    <w:rsid w:val="00A066FE"/>
    <w:rsid w:val="00A33B7C"/>
    <w:rsid w:val="00A44B2E"/>
    <w:rsid w:val="00A821CE"/>
    <w:rsid w:val="00A94A9B"/>
    <w:rsid w:val="00AB7D37"/>
    <w:rsid w:val="00AC6FD5"/>
    <w:rsid w:val="00AE2BDA"/>
    <w:rsid w:val="00AF35BC"/>
    <w:rsid w:val="00B0449F"/>
    <w:rsid w:val="00B04840"/>
    <w:rsid w:val="00B05652"/>
    <w:rsid w:val="00B10C07"/>
    <w:rsid w:val="00B15D2C"/>
    <w:rsid w:val="00B565B0"/>
    <w:rsid w:val="00B57F47"/>
    <w:rsid w:val="00B64855"/>
    <w:rsid w:val="00BA5AEC"/>
    <w:rsid w:val="00BB01C8"/>
    <w:rsid w:val="00BB04B2"/>
    <w:rsid w:val="00BC43E9"/>
    <w:rsid w:val="00BE4D09"/>
    <w:rsid w:val="00BE4D37"/>
    <w:rsid w:val="00BF23F4"/>
    <w:rsid w:val="00C04CF2"/>
    <w:rsid w:val="00C13E5D"/>
    <w:rsid w:val="00C16958"/>
    <w:rsid w:val="00C17BE2"/>
    <w:rsid w:val="00C21F73"/>
    <w:rsid w:val="00C32294"/>
    <w:rsid w:val="00C34EF1"/>
    <w:rsid w:val="00C4454B"/>
    <w:rsid w:val="00C44A9E"/>
    <w:rsid w:val="00C50F11"/>
    <w:rsid w:val="00C809C6"/>
    <w:rsid w:val="00C86506"/>
    <w:rsid w:val="00C967F9"/>
    <w:rsid w:val="00CA5E53"/>
    <w:rsid w:val="00CA6B11"/>
    <w:rsid w:val="00CA6BB8"/>
    <w:rsid w:val="00D002F6"/>
    <w:rsid w:val="00D1334C"/>
    <w:rsid w:val="00D43820"/>
    <w:rsid w:val="00D4452D"/>
    <w:rsid w:val="00D92297"/>
    <w:rsid w:val="00D956AD"/>
    <w:rsid w:val="00DB30DA"/>
    <w:rsid w:val="00DC53B9"/>
    <w:rsid w:val="00DD3904"/>
    <w:rsid w:val="00DE1B23"/>
    <w:rsid w:val="00DF4CD8"/>
    <w:rsid w:val="00E15259"/>
    <w:rsid w:val="00E31EF8"/>
    <w:rsid w:val="00E357B9"/>
    <w:rsid w:val="00E362F3"/>
    <w:rsid w:val="00E36B37"/>
    <w:rsid w:val="00E66659"/>
    <w:rsid w:val="00E966D3"/>
    <w:rsid w:val="00EB5F2B"/>
    <w:rsid w:val="00EB7525"/>
    <w:rsid w:val="00EF5654"/>
    <w:rsid w:val="00F102A2"/>
    <w:rsid w:val="00F25F3A"/>
    <w:rsid w:val="00F32EB1"/>
    <w:rsid w:val="00F35F75"/>
    <w:rsid w:val="00F512E3"/>
    <w:rsid w:val="00F52F75"/>
    <w:rsid w:val="00F53FFF"/>
    <w:rsid w:val="00F776A7"/>
    <w:rsid w:val="00F77932"/>
    <w:rsid w:val="00FA5AF8"/>
    <w:rsid w:val="00FB0118"/>
    <w:rsid w:val="00FE4A0A"/>
    <w:rsid w:val="00FF4168"/>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1667F4"/>
  <w15:docId w15:val="{E4AE5DF1-EE40-4DF7-A201-8F3ED2460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styleId="IntenseEmphasis">
    <w:name w:val="Intense Emphasis"/>
    <w:basedOn w:val="DefaultParagraphFont"/>
    <w:uiPriority w:val="21"/>
    <w:qFormat/>
    <w:rsid w:val="00BB04B2"/>
    <w:rPr>
      <w:b/>
      <w:bCs/>
      <w:i/>
      <w:iCs/>
      <w:color w:val="4F81BD" w:themeColor="accent1"/>
    </w:rPr>
  </w:style>
  <w:style w:type="table" w:styleId="TableGrid">
    <w:name w:val="Table Grid"/>
    <w:basedOn w:val="TableNormal"/>
    <w:uiPriority w:val="59"/>
    <w:rsid w:val="00970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52C"/>
    <w:rPr>
      <w:color w:val="0000FF" w:themeColor="hyperlink"/>
      <w:u w:val="single"/>
    </w:rPr>
  </w:style>
  <w:style w:type="character" w:customStyle="1" w:styleId="BodyTextChar">
    <w:name w:val="Body Text Char"/>
    <w:basedOn w:val="DefaultParagraphFont"/>
    <w:link w:val="BodyText"/>
    <w:semiHidden/>
    <w:rsid w:val="00C17BE2"/>
    <w:rPr>
      <w:sz w:val="24"/>
    </w:rPr>
  </w:style>
  <w:style w:type="paragraph" w:customStyle="1" w:styleId="Chapter">
    <w:name w:val="Chapter"/>
    <w:basedOn w:val="Normal"/>
    <w:next w:val="Normal"/>
    <w:rsid w:val="00C17BE2"/>
    <w:pPr>
      <w:tabs>
        <w:tab w:val="num" w:pos="648"/>
        <w:tab w:val="left" w:pos="1440"/>
      </w:tabs>
      <w:spacing w:after="240"/>
      <w:ind w:firstLine="288"/>
      <w:jc w:val="center"/>
    </w:pPr>
    <w:rPr>
      <w:b/>
      <w:smallCaps/>
      <w:sz w:val="24"/>
      <w:lang w:val="es-ES"/>
    </w:rPr>
  </w:style>
  <w:style w:type="paragraph" w:customStyle="1" w:styleId="Paragraph">
    <w:name w:val="Paragraph"/>
    <w:basedOn w:val="BodyTextIndent"/>
    <w:rsid w:val="00C17BE2"/>
    <w:pPr>
      <w:tabs>
        <w:tab w:val="num" w:pos="720"/>
      </w:tabs>
      <w:spacing w:before="120" w:after="120"/>
      <w:ind w:hanging="720"/>
      <w:jc w:val="both"/>
      <w:outlineLvl w:val="1"/>
    </w:pPr>
    <w:rPr>
      <w:i w:val="0"/>
      <w:iCs w:val="0"/>
    </w:rPr>
  </w:style>
  <w:style w:type="paragraph" w:customStyle="1" w:styleId="subpar">
    <w:name w:val="subpar"/>
    <w:basedOn w:val="BodyTextIndent3"/>
    <w:rsid w:val="00C17BE2"/>
    <w:pPr>
      <w:tabs>
        <w:tab w:val="num" w:pos="720"/>
        <w:tab w:val="num" w:pos="1152"/>
      </w:tabs>
      <w:spacing w:before="120"/>
      <w:ind w:left="1152" w:hanging="432"/>
      <w:jc w:val="both"/>
      <w:outlineLvl w:val="2"/>
    </w:pPr>
    <w:rPr>
      <w:sz w:val="24"/>
      <w:szCs w:val="20"/>
      <w:lang w:val="es-ES_tradnl"/>
    </w:rPr>
  </w:style>
  <w:style w:type="character" w:styleId="Strong">
    <w:name w:val="Strong"/>
    <w:basedOn w:val="DefaultParagraphFont"/>
    <w:qFormat/>
    <w:rsid w:val="00C17BE2"/>
    <w:rPr>
      <w:b/>
    </w:rPr>
  </w:style>
  <w:style w:type="paragraph" w:styleId="BodyTextIndent3">
    <w:name w:val="Body Text Indent 3"/>
    <w:basedOn w:val="Normal"/>
    <w:link w:val="BodyTextIndent3Char"/>
    <w:uiPriority w:val="99"/>
    <w:semiHidden/>
    <w:unhideWhenUsed/>
    <w:rsid w:val="00C17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BE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emilios@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emilios@iadb.org"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minem.gob.ar/prensa/25902/convenio-entre-el-ministerio-de-energia-y-mineria-y-la-plataforma-escenarios-energeticos-203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D071D6DC78734E99DD50F240993830" ma:contentTypeVersion="30" ma:contentTypeDescription="A content type to manage public (operations) IDB documents" ma:contentTypeScope="" ma:versionID="81c236a8ada9b1fd3070af0721f32897">
  <xsd:schema xmlns:xsd="http://www.w3.org/2001/XMLSchema" xmlns:xs="http://www.w3.org/2001/XMLSchema" xmlns:p="http://schemas.microsoft.com/office/2006/metadata/properties" xmlns:ns2="cdc7663a-08f0-4737-9e8c-148ce897a09c" targetNamespace="http://schemas.microsoft.com/office/2006/metadata/properties" ma:root="true" ma:fieldsID="7a3792dbdda69a9efe1066974ddfa7b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T114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ATN/OC-16499-AR;ATN/OC-16500-AR;</Approval_x0020_Number>
    <Phase xmlns="cdc7663a-08f0-4737-9e8c-148ce897a09c">ACTIVE</Phas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69</Value>
      <Value>85</Value>
      <Value>28</Value>
      <Value>1</Value>
      <Value>84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AR-T1147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R0001246249</Record_x0020_Number>
    <_dlc_DocId xmlns="cdc7663a-08f0-4737-9e8c-148ce897a09c">EZSHARE-1197073318-7</_dlc_DocId>
    <_dlc_DocIdUrl xmlns="cdc7663a-08f0-4737-9e8c-148ce897a09c">
      <Url>https://idbg.sharepoint.com/teams/EZ-AR-TCP/AR-T1147/_layouts/15/DocIdRedir.aspx?ID=EZSHARE-1197073318-7</Url>
      <Description>EZSHARE-1197073318-7</Description>
    </_dlc_DocIdUrl>
    <Related_x0020_SisCor_x0020_Number xmlns="cdc7663a-08f0-4737-9e8c-148ce897a09c" xsi:nil="true"/>
    <Disclosure_x0020_Activity xmlns="cdc7663a-08f0-4737-9e8c-148ce897a09c">TC Annex for OS operations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2.xml><?xml version="1.0" encoding="utf-8"?>
<ds:datastoreItem xmlns:ds="http://schemas.openxmlformats.org/officeDocument/2006/customXml" ds:itemID="{65840FA2-B21E-4E98-9D2D-D0E4BDA8ADA0}">
  <ds:schemaRefs>
    <ds:schemaRef ds:uri="http://schemas.microsoft.com/sharepoint/events"/>
  </ds:schemaRefs>
</ds:datastoreItem>
</file>

<file path=customXml/itemProps3.xml><?xml version="1.0" encoding="utf-8"?>
<ds:datastoreItem xmlns:ds="http://schemas.openxmlformats.org/officeDocument/2006/customXml" ds:itemID="{BBE4CD07-FFAA-42D6-96CB-1A636D23B4DD}"/>
</file>

<file path=customXml/itemProps4.xml><?xml version="1.0" encoding="utf-8"?>
<ds:datastoreItem xmlns:ds="http://schemas.openxmlformats.org/officeDocument/2006/customXml" ds:itemID="{F51C20E4-67DC-4234-A255-28EB9ECAE35A}"/>
</file>

<file path=customXml/itemProps5.xml><?xml version="1.0" encoding="utf-8"?>
<ds:datastoreItem xmlns:ds="http://schemas.openxmlformats.org/officeDocument/2006/customXml" ds:itemID="{C20A276F-B470-4102-A6DD-F34CA3F4E4DA}">
  <ds:schemaRefs>
    <ds:schemaRef ds:uri="cdc7663a-08f0-4737-9e8c-148ce897a09c"/>
    <ds:schemaRef ds:uri="http://schemas.microsoft.com/office/2006/documentManagement/types"/>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A91B0A12-A5DF-495E-9B92-2A81AC388585}"/>
</file>

<file path=customXml/itemProps7.xml><?xml version="1.0" encoding="utf-8"?>
<ds:datastoreItem xmlns:ds="http://schemas.openxmlformats.org/officeDocument/2006/customXml" ds:itemID="{FD4D6CA9-C457-48A0-B0C9-84FFF0E8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Pages>
  <Words>3484</Words>
  <Characters>19860</Characters>
  <Application>Microsoft Office Word</Application>
  <DocSecurity>0</DocSecurity>
  <Lines>165</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Vanegas Rico, Wilkferg</cp:lastModifiedBy>
  <cp:revision>5</cp:revision>
  <cp:lastPrinted>2016-07-12T14:59:00Z</cp:lastPrinted>
  <dcterms:created xsi:type="dcterms:W3CDTF">2017-09-07T19:00:00Z</dcterms:created>
  <dcterms:modified xsi:type="dcterms:W3CDTF">2017-10-20T16:18:00Z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85;#ENERGY EFFICIENCY AND RENEWABLE ENERGY IN END USE|ab88142a-aa14-42df-80f4-969425d6f976</vt:lpwstr>
  </property>
  <property fmtid="{D5CDD505-2E9C-101B-9397-08002B2CF9AE}" pid="7" name="Fund IDB">
    <vt:lpwstr>69;#TBD|d62f6e05-3e80-4abd-9bb4-5f10b4906ff6</vt:lpwstr>
  </property>
  <property fmtid="{D5CDD505-2E9C-101B-9397-08002B2CF9AE}" pid="8" name="Country">
    <vt:lpwstr>28;#Argentina|eb1b705c-195f-4c3b-9661-b201f2fee3c5</vt:lpwstr>
  </property>
  <property fmtid="{D5CDD505-2E9C-101B-9397-08002B2CF9AE}" pid="9" name="Sector IDB">
    <vt:lpwstr>84;#ENERGY|4fed196a-cd0b-4970-87de-42da17f9b203</vt:lpwstr>
  </property>
  <property fmtid="{D5CDD505-2E9C-101B-9397-08002B2CF9AE}" pid="10" name="Function Operations IDB">
    <vt:lpwstr>1;#Monitoring and Reporting|df3c2aa1-d63e-41aa-b1f5-bb15dee691ca</vt:lpwstr>
  </property>
  <property fmtid="{D5CDD505-2E9C-101B-9397-08002B2CF9AE}" pid="11" name="_dlc_DocIdItemGuid">
    <vt:lpwstr>2754c879-f262-43be-8faa-3160b625e7b6</vt:lpwstr>
  </property>
  <property fmtid="{D5CDD505-2E9C-101B-9397-08002B2CF9AE}" pid="12" name="RecordPoint_ActiveItemMoved">
    <vt:lpwstr>/teams/EZ-AR-TCP/AR-T1147/15 LifeCycle Milestones/Draft Area/AR-T1147 TDR  Comp I.docx</vt:lpwstr>
  </property>
  <property fmtid="{D5CDD505-2E9C-101B-9397-08002B2CF9AE}" pid="13" name="RecordStorageActiveId">
    <vt:lpwstr>e060ba8e-e579-43c5-a160-771e4205c079</vt:lpwstr>
  </property>
  <property fmtid="{D5CDD505-2E9C-101B-9397-08002B2CF9AE}" pid="14" name="Disclosure Activity">
    <vt:lpwstr>TC Annex for OS operations</vt:lpwstr>
  </property>
  <property fmtid="{D5CDD505-2E9C-101B-9397-08002B2CF9AE}" pid="15" name="ContentTypeId">
    <vt:lpwstr>0x0101001A458A224826124E8B45B1D613300CFC0024D071D6DC78734E99DD50F240993830</vt:lpwstr>
  </property>
</Properties>
</file>