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516"/>
        <w:gridCol w:w="3572"/>
        <w:gridCol w:w="3365"/>
        <w:gridCol w:w="4127"/>
      </w:tblGrid>
      <w:tr w:rsidR="00976F2E">
        <w:trPr>
          <w:tblHeader/>
        </w:trPr>
        <w:tc>
          <w:tcPr>
            <w:tcW w:w="14580" w:type="dxa"/>
            <w:gridSpan w:val="4"/>
            <w:shd w:val="clear" w:color="auto" w:fill="D9D9D9"/>
          </w:tcPr>
          <w:p w:rsidR="00976F2E" w:rsidRDefault="00976F2E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MATRIZ DE PROBLEMAS, SOLUÇÕES E RESULTADOS</w:t>
            </w:r>
          </w:p>
          <w:p w:rsidR="00976F2E" w:rsidRDefault="00976F2E">
            <w:pPr>
              <w:jc w:val="center"/>
              <w:rPr>
                <w:b/>
                <w:bCs/>
                <w:color w:val="FF0000"/>
                <w:sz w:val="20"/>
              </w:rPr>
            </w:pPr>
            <w:r>
              <w:rPr>
                <w:b/>
                <w:bCs/>
                <w:iCs/>
                <w:noProof/>
                <w:sz w:val="20"/>
              </w:rPr>
              <w:t>Secretaria Estadual da Fazenda do Estado de Goiás</w:t>
            </w:r>
            <w:r>
              <w:rPr>
                <w:iCs/>
                <w:imprint/>
                <w:noProof/>
                <w:sz w:val="20"/>
                <w:szCs w:val="36"/>
              </w:rPr>
              <w:t xml:space="preserve"> (SEFAZ/GO)</w:t>
            </w:r>
          </w:p>
        </w:tc>
      </w:tr>
      <w:tr w:rsidR="00976F2E">
        <w:trPr>
          <w:tblHeader/>
        </w:trPr>
        <w:tc>
          <w:tcPr>
            <w:tcW w:w="14580" w:type="dxa"/>
            <w:gridSpan w:val="4"/>
            <w:shd w:val="clear" w:color="auto" w:fill="D9D9D9"/>
          </w:tcPr>
          <w:p w:rsidR="00976F2E" w:rsidRDefault="00976F2E" w:rsidP="00033ED3">
            <w:pPr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bCs/>
                <w:color w:val="FF0000"/>
                <w:spacing w:val="-3"/>
                <w:sz w:val="20"/>
              </w:rPr>
              <w:t>Programa de Modernização da Administração Fazendária do Estado de Goiás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bCs/>
                <w:iCs/>
                <w:noProof/>
                <w:color w:val="FF0000"/>
                <w:sz w:val="20"/>
                <w:szCs w:val="56"/>
              </w:rPr>
              <w:t>(</w:t>
            </w:r>
            <w:r>
              <w:rPr>
                <w:b/>
                <w:bCs/>
                <w:color w:val="FF0000"/>
                <w:sz w:val="20"/>
              </w:rPr>
              <w:t>PROFISCO/</w:t>
            </w:r>
            <w:r>
              <w:rPr>
                <w:b/>
                <w:bCs/>
                <w:iCs/>
                <w:noProof/>
                <w:color w:val="FF0000"/>
                <w:sz w:val="20"/>
                <w:szCs w:val="56"/>
              </w:rPr>
              <w:t>GO</w:t>
            </w:r>
            <w:r>
              <w:rPr>
                <w:b/>
                <w:bCs/>
                <w:iCs/>
                <w:noProof/>
                <w:color w:val="FF0000"/>
                <w:sz w:val="20"/>
                <w:szCs w:val="56"/>
                <w:u w:val="single"/>
              </w:rPr>
              <w:t>)</w:t>
            </w:r>
          </w:p>
        </w:tc>
      </w:tr>
      <w:tr w:rsidR="00976F2E">
        <w:tc>
          <w:tcPr>
            <w:tcW w:w="14580" w:type="dxa"/>
            <w:gridSpan w:val="4"/>
            <w:shd w:val="clear" w:color="auto" w:fill="FFFF99"/>
          </w:tcPr>
          <w:p w:rsidR="00976F2E" w:rsidRDefault="00976F2E" w:rsidP="00A304EB">
            <w:pPr>
              <w:pStyle w:val="Heading2"/>
            </w:pPr>
            <w:r>
              <w:t>I. INTEGRAÇÃO DA GESTÃO FAZENDÁRIA</w:t>
            </w: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1. Aperfeiçoamento organizacional e da gestão estratégica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 /Metas</w:t>
            </w:r>
          </w:p>
        </w:tc>
      </w:tr>
      <w:tr w:rsidR="00976F2E">
        <w:trPr>
          <w:cantSplit/>
        </w:trPr>
        <w:tc>
          <w:tcPr>
            <w:tcW w:w="3516" w:type="dxa"/>
            <w:vMerge w:val="restart"/>
          </w:tcPr>
          <w:p w:rsidR="00976F2E" w:rsidRDefault="00976F2E" w:rsidP="00657C26">
            <w:pPr>
              <w:pStyle w:val="FootnoteText"/>
              <w:numPr>
                <w:ilvl w:val="0"/>
                <w:numId w:val="3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Dificuldade na tomada de decisão e no pleno aproveitamento dos recursos estratégicos e financeiros. </w:t>
            </w: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Ausência de cultura de planejamento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4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Implantação de Modelo de Planejamento Integrado de Gestão, com revisão do negócio e definição de metas e indicadores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(a) </w:t>
            </w:r>
            <w:r>
              <w:rPr>
                <w:sz w:val="20"/>
                <w:szCs w:val="20"/>
              </w:rPr>
              <w:t>09 Superintendências da SEFAZ avaliadas conforme as metas e indicadores definidos no Modelo de Planejamento</w:t>
            </w:r>
            <w:r>
              <w:rPr>
                <w:sz w:val="20"/>
              </w:rPr>
              <w:t xml:space="preserve"> Integrado de Gestão.</w:t>
            </w:r>
          </w:p>
          <w:p w:rsidR="00976F2E" w:rsidRDefault="00976F2E">
            <w:pPr>
              <w:pStyle w:val="FootnoteText"/>
            </w:pPr>
            <w:r>
              <w:rPr>
                <w:b/>
              </w:rPr>
              <w:t>Linha de Base:</w:t>
            </w:r>
            <w:r>
              <w:t xml:space="preserve"> 0 unidades da SEFAZ avaliadas com base em metas e indicadores </w:t>
            </w:r>
          </w:p>
          <w:p w:rsidR="00976F2E" w:rsidRDefault="00976F2E" w:rsidP="00657C26">
            <w:pPr>
              <w:pStyle w:val="FootnoteText"/>
              <w:numPr>
                <w:ilvl w:val="1"/>
                <w:numId w:val="25"/>
              </w:numPr>
              <w:jc w:val="both"/>
            </w:pPr>
            <w:r>
              <w:t>(b) Reduzir de 11% para 8,8% da discrepância entre os valores orçados e executados.</w:t>
            </w:r>
          </w:p>
          <w:p w:rsidR="00976F2E" w:rsidRDefault="00976F2E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 xml:space="preserve">Linha de Base: </w:t>
            </w:r>
            <w:r>
              <w:t>11% em 2008.</w:t>
            </w: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Baixa integração das ações da SEFAZ</w:t>
            </w:r>
            <w:r>
              <w:rPr>
                <w:sz w:val="20"/>
                <w:szCs w:val="20"/>
              </w:rPr>
              <w:t>, principalmente pela incorporação de novas atribuições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pStyle w:val="FootnoteText"/>
              <w:rPr>
                <w:szCs w:val="24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Baixa padronização dos procedimentos dos diversos processos da SEFAZ</w:t>
            </w:r>
          </w:p>
        </w:tc>
        <w:tc>
          <w:tcPr>
            <w:tcW w:w="3365" w:type="dxa"/>
            <w:vMerge w:val="restart"/>
          </w:tcPr>
          <w:p w:rsidR="00976F2E" w:rsidRPr="008527A1" w:rsidRDefault="00976F2E" w:rsidP="00657C26">
            <w:pPr>
              <w:numPr>
                <w:ilvl w:val="1"/>
                <w:numId w:val="3"/>
              </w:numPr>
              <w:rPr>
                <w:b/>
                <w:sz w:val="20"/>
              </w:rPr>
            </w:pPr>
            <w:r w:rsidRPr="008527A1">
              <w:rPr>
                <w:b/>
                <w:sz w:val="20"/>
              </w:rPr>
              <w:t xml:space="preserve">Implantação de </w:t>
            </w:r>
            <w:r>
              <w:rPr>
                <w:b/>
                <w:sz w:val="20"/>
              </w:rPr>
              <w:t>solução de Gestão Integrada de Macroprocessos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FootnoteText"/>
              <w:numPr>
                <w:ilvl w:val="1"/>
                <w:numId w:val="25"/>
              </w:numPr>
              <w:jc w:val="both"/>
            </w:pPr>
            <w:r>
              <w:rPr>
                <w:szCs w:val="24"/>
              </w:rPr>
              <w:t>(a) 01 processo piloto implantado na nova solução.</w:t>
            </w:r>
          </w:p>
          <w:p w:rsidR="00976F2E" w:rsidRPr="00020227" w:rsidRDefault="00976F2E" w:rsidP="00352FA2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Linha de Base:</w:t>
            </w:r>
            <w:r>
              <w:rPr>
                <w:sz w:val="20"/>
                <w:szCs w:val="20"/>
              </w:rPr>
              <w:t xml:space="preserve"> </w:t>
            </w:r>
            <w:r w:rsidRPr="00020227">
              <w:rPr>
                <w:sz w:val="20"/>
              </w:rPr>
              <w:t>0 processo piloto mapeado e implantado</w:t>
            </w:r>
            <w:r>
              <w:t xml:space="preserve"> </w:t>
            </w:r>
            <w:r w:rsidRPr="00AA48C8">
              <w:rPr>
                <w:sz w:val="20"/>
                <w:szCs w:val="20"/>
              </w:rPr>
              <w:t>na nova solução</w:t>
            </w:r>
          </w:p>
          <w:p w:rsidR="00976F2E" w:rsidRDefault="00976F2E">
            <w:pPr>
              <w:pStyle w:val="FootnoteText"/>
              <w:rPr>
                <w:szCs w:val="24"/>
              </w:rPr>
            </w:pPr>
          </w:p>
          <w:p w:rsidR="00976F2E" w:rsidRPr="00020227" w:rsidRDefault="00976F2E" w:rsidP="00657C26">
            <w:pPr>
              <w:pStyle w:val="FootnoteText"/>
              <w:numPr>
                <w:ilvl w:val="1"/>
                <w:numId w:val="32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(b) </w:t>
            </w:r>
            <w:r>
              <w:t>Utilização da Gestão Eletrônica de Documentos em 09 Superintendências da SEFAZ.</w:t>
            </w:r>
          </w:p>
          <w:p w:rsidR="00976F2E" w:rsidRDefault="00976F2E" w:rsidP="00020227">
            <w:pPr>
              <w:pStyle w:val="FootnoteText"/>
              <w:ind w:left="18"/>
              <w:jc w:val="both"/>
              <w:rPr>
                <w:szCs w:val="24"/>
              </w:rPr>
            </w:pPr>
            <w:r>
              <w:rPr>
                <w:b/>
              </w:rPr>
              <w:t>Linha de Base:</w:t>
            </w:r>
            <w:r>
              <w:t xml:space="preserve"> 0 Superintendências utilizando GED.</w:t>
            </w: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Dificuldade na gestão e integração das informações dos macroprocessos da SEFAZ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pStyle w:val="FootnoteText"/>
              <w:rPr>
                <w:szCs w:val="24"/>
              </w:rPr>
            </w:pPr>
          </w:p>
        </w:tc>
      </w:tr>
      <w:tr w:rsidR="00976F2E">
        <w:tc>
          <w:tcPr>
            <w:tcW w:w="14580" w:type="dxa"/>
            <w:gridSpan w:val="4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Impactos:</w:t>
            </w:r>
          </w:p>
          <w:p w:rsidR="00976F2E" w:rsidRDefault="00976F2E">
            <w:pPr>
              <w:rPr>
                <w:sz w:val="20"/>
              </w:rPr>
            </w:pPr>
            <w:r>
              <w:rPr>
                <w:sz w:val="20"/>
              </w:rPr>
              <w:t>Aumentar a eficiência dos processos organizacionais</w:t>
            </w:r>
          </w:p>
          <w:p w:rsidR="00976F2E" w:rsidRDefault="00976F2E">
            <w:pPr>
              <w:rPr>
                <w:sz w:val="20"/>
              </w:rPr>
            </w:pPr>
            <w:r>
              <w:rPr>
                <w:sz w:val="20"/>
              </w:rPr>
              <w:t>Redução de erros organizacionais</w:t>
            </w: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2. </w:t>
            </w:r>
            <w:r>
              <w:rPr>
                <w:b/>
                <w:spacing w:val="-3"/>
                <w:sz w:val="20"/>
              </w:rPr>
              <w:t>Cooperação interinstitucional nacional e internacional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  <w:trHeight w:val="125"/>
        </w:trPr>
        <w:tc>
          <w:tcPr>
            <w:tcW w:w="3516" w:type="dxa"/>
            <w:vMerge w:val="restart"/>
          </w:tcPr>
          <w:p w:rsidR="00976F2E" w:rsidRDefault="00976F2E">
            <w:pPr>
              <w:pStyle w:val="FootnoteText"/>
              <w:rPr>
                <w:szCs w:val="24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Pouca interação dos servidores estaduais com os demais profissionais de outros estados pertencentes às áreas afins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7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Implantação do Programa de Intercâmbio com outras Instituições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Contedodatabela"/>
              <w:widowControl/>
              <w:numPr>
                <w:ilvl w:val="1"/>
                <w:numId w:val="8"/>
              </w:numPr>
              <w:suppressLineNumbers w:val="0"/>
              <w:suppressAutoHyphens w:val="0"/>
              <w:jc w:val="both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(a) Realizar 02 eventos para disseminação das práticas divulgadas nos eventos previstos no Programa</w:t>
            </w:r>
            <w:r>
              <w:rPr>
                <w:sz w:val="20"/>
              </w:rPr>
              <w:t xml:space="preserve"> de Intercâmbio.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jc w:val="both"/>
              <w:rPr>
                <w:rFonts w:eastAsia="Times New Roman"/>
                <w:sz w:val="20"/>
                <w:lang w:eastAsia="en-US"/>
              </w:rPr>
            </w:pPr>
            <w:r>
              <w:rPr>
                <w:b/>
                <w:sz w:val="20"/>
              </w:rPr>
              <w:t xml:space="preserve">Linha de Base: </w:t>
            </w:r>
            <w:r>
              <w:rPr>
                <w:sz w:val="20"/>
              </w:rPr>
              <w:t>Inexistência de mecanismos de disseminação de boas práticas</w:t>
            </w:r>
            <w:r>
              <w:rPr>
                <w:b/>
                <w:sz w:val="20"/>
              </w:rPr>
              <w:t>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ind w:left="59"/>
              <w:jc w:val="both"/>
              <w:rPr>
                <w:rFonts w:eastAsia="Times New Roman"/>
                <w:sz w:val="20"/>
                <w:lang w:eastAsia="en-US"/>
              </w:rPr>
            </w:pPr>
          </w:p>
          <w:p w:rsidR="00976F2E" w:rsidRPr="00A945AE" w:rsidRDefault="00976F2E" w:rsidP="00657C26">
            <w:pPr>
              <w:pStyle w:val="Contedodatabela"/>
              <w:widowControl/>
              <w:numPr>
                <w:ilvl w:val="1"/>
                <w:numId w:val="9"/>
              </w:numPr>
              <w:suppressLineNumbers w:val="0"/>
              <w:suppressAutoHyphens w:val="0"/>
              <w:ind w:hanging="414"/>
              <w:jc w:val="both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(b) Incorporar pelo </w:t>
            </w:r>
            <w:r w:rsidRPr="00A945AE">
              <w:rPr>
                <w:rFonts w:eastAsia="Times New Roman"/>
                <w:sz w:val="20"/>
                <w:lang w:eastAsia="en-US"/>
              </w:rPr>
              <w:t xml:space="preserve">menos 2 práticas relevantes para disseminação das soluções resultantes de intercambio. </w:t>
            </w:r>
          </w:p>
          <w:p w:rsidR="00976F2E" w:rsidRDefault="00976F2E">
            <w:pPr>
              <w:tabs>
                <w:tab w:val="num" w:pos="239"/>
              </w:tabs>
              <w:jc w:val="both"/>
              <w:rPr>
                <w:sz w:val="20"/>
              </w:rPr>
            </w:pPr>
            <w:r w:rsidRPr="00A945AE">
              <w:rPr>
                <w:b/>
                <w:sz w:val="20"/>
              </w:rPr>
              <w:t>Linha de Base</w:t>
            </w:r>
            <w:r w:rsidRPr="00A945AE">
              <w:rPr>
                <w:sz w:val="20"/>
              </w:rPr>
              <w:t>: 0 práticas incorporadas em 2008.</w:t>
            </w:r>
          </w:p>
        </w:tc>
      </w:tr>
      <w:tr w:rsidR="00976F2E">
        <w:trPr>
          <w:cantSplit/>
          <w:trHeight w:val="122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Baixa disseminação interna de boas práticas dos fiscos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sz w:val="20"/>
                <w:lang w:eastAsia="en-US"/>
              </w:rPr>
            </w:pPr>
          </w:p>
        </w:tc>
      </w:tr>
      <w:tr w:rsidR="00976F2E">
        <w:trPr>
          <w:cantSplit/>
          <w:trHeight w:val="122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Deficiência nas regras de participação nos Grupos Técnicos (COTEPE / CONFAZ / COGEF)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sz w:val="20"/>
                <w:lang w:eastAsia="en-US"/>
              </w:rPr>
            </w:pPr>
          </w:p>
        </w:tc>
      </w:tr>
      <w:tr w:rsidR="00976F2E">
        <w:trPr>
          <w:cantSplit/>
          <w:trHeight w:val="122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Baixo compartilhamento de soluções e intercâmbio de conhecimentos com outros fiscos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sz w:val="20"/>
                <w:lang w:eastAsia="en-US"/>
              </w:rPr>
            </w:pPr>
          </w:p>
        </w:tc>
      </w:tr>
      <w:tr w:rsidR="00976F2E">
        <w:tc>
          <w:tcPr>
            <w:tcW w:w="14580" w:type="dxa"/>
            <w:gridSpan w:val="4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Impactos:</w:t>
            </w:r>
          </w:p>
          <w:p w:rsidR="00976F2E" w:rsidRDefault="00976F2E" w:rsidP="00657C26">
            <w:pPr>
              <w:numPr>
                <w:ilvl w:val="0"/>
                <w:numId w:val="23"/>
              </w:numPr>
              <w:rPr>
                <w:sz w:val="20"/>
              </w:rPr>
            </w:pPr>
            <w:r>
              <w:rPr>
                <w:sz w:val="20"/>
              </w:rPr>
              <w:t>Melhoria da capacidade de resposta da administração fiscal.</w:t>
            </w:r>
          </w:p>
          <w:p w:rsidR="00976F2E" w:rsidRDefault="00976F2E" w:rsidP="00657C26">
            <w:pPr>
              <w:numPr>
                <w:ilvl w:val="0"/>
                <w:numId w:val="23"/>
              </w:numPr>
              <w:rPr>
                <w:sz w:val="20"/>
              </w:rPr>
            </w:pPr>
            <w:r>
              <w:rPr>
                <w:sz w:val="20"/>
              </w:rPr>
              <w:t>Otimização de recursos organizacional, pela utilização de melhores práticas.</w:t>
            </w:r>
          </w:p>
        </w:tc>
      </w:tr>
      <w:tr w:rsidR="00976F2E">
        <w:tc>
          <w:tcPr>
            <w:tcW w:w="14580" w:type="dxa"/>
            <w:gridSpan w:val="4"/>
            <w:shd w:val="clear" w:color="auto" w:fill="FFFF99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II. ADMINISTRAÇÃO TRIBUTÁRIA E CONTENCIOSO FISCAL</w:t>
            </w: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3. </w:t>
            </w:r>
            <w:r>
              <w:rPr>
                <w:b/>
                <w:spacing w:val="-3"/>
                <w:sz w:val="20"/>
              </w:rPr>
              <w:t>Melhoria da eficiência da administração tributária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  <w:trHeight w:val="696"/>
        </w:trPr>
        <w:tc>
          <w:tcPr>
            <w:tcW w:w="3516" w:type="dxa"/>
            <w:vMerge w:val="restart"/>
          </w:tcPr>
          <w:p w:rsidR="00976F2E" w:rsidRDefault="00976F2E" w:rsidP="00657C26">
            <w:pPr>
              <w:numPr>
                <w:ilvl w:val="0"/>
                <w:numId w:val="10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Dificuldade na obtenção do pleno potencial de arrecadação do Estado</w:t>
            </w: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0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Evasão de receita por deficiência dos mecanismos de controle de tráfego de veículos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11"/>
              </w:numPr>
              <w:jc w:val="both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Ampliação da Sistemática de Fiscalização Eletrônica contemplando Fronteira Fixa e Móvel</w:t>
            </w:r>
          </w:p>
        </w:tc>
        <w:tc>
          <w:tcPr>
            <w:tcW w:w="4127" w:type="dxa"/>
            <w:vMerge w:val="restart"/>
          </w:tcPr>
          <w:p w:rsidR="00976F2E" w:rsidRPr="008223CB" w:rsidRDefault="00976F2E" w:rsidP="00657C26">
            <w:pPr>
              <w:numPr>
                <w:ilvl w:val="1"/>
                <w:numId w:val="15"/>
              </w:numPr>
              <w:jc w:val="both"/>
              <w:rPr>
                <w:sz w:val="20"/>
              </w:rPr>
            </w:pPr>
            <w:r w:rsidRPr="008223CB">
              <w:rPr>
                <w:sz w:val="20"/>
              </w:rPr>
              <w:t xml:space="preserve"> (a) Relatório emitido pelo novo sistema de controle informatizado com evidências da seleção para a fiscalização.</w:t>
            </w:r>
          </w:p>
          <w:p w:rsidR="00976F2E" w:rsidRPr="008223CB" w:rsidRDefault="00976F2E">
            <w:pPr>
              <w:rPr>
                <w:sz w:val="20"/>
              </w:rPr>
            </w:pPr>
            <w:r w:rsidRPr="008223CB">
              <w:rPr>
                <w:b/>
                <w:sz w:val="20"/>
              </w:rPr>
              <w:t>Linha de Base</w:t>
            </w:r>
            <w:r w:rsidRPr="008223CB">
              <w:rPr>
                <w:sz w:val="20"/>
              </w:rPr>
              <w:t>: Inexistência de Sistema de controle informatizado.</w:t>
            </w:r>
          </w:p>
          <w:p w:rsidR="00976F2E" w:rsidRPr="008223CB" w:rsidRDefault="00976F2E">
            <w:pPr>
              <w:ind w:left="284" w:hanging="284"/>
              <w:rPr>
                <w:sz w:val="20"/>
              </w:rPr>
            </w:pPr>
            <w:r w:rsidRPr="008223CB">
              <w:rPr>
                <w:sz w:val="20"/>
              </w:rPr>
              <w:t xml:space="preserve"> </w:t>
            </w:r>
          </w:p>
          <w:p w:rsidR="00976F2E" w:rsidRPr="00732287" w:rsidRDefault="00976F2E" w:rsidP="00657C26">
            <w:pPr>
              <w:numPr>
                <w:ilvl w:val="1"/>
                <w:numId w:val="26"/>
              </w:numPr>
              <w:jc w:val="both"/>
              <w:rPr>
                <w:sz w:val="20"/>
              </w:rPr>
            </w:pPr>
            <w:r w:rsidRPr="008223CB">
              <w:rPr>
                <w:sz w:val="20"/>
              </w:rPr>
              <w:t>(b) Incrementar a arrecadação dos setores sensíveis à fiscalização das Unidades do Projeto Fronteira Móvel (medicamentos, grãos, eletrônicos, atacadistas,</w:t>
            </w:r>
            <w:r>
              <w:rPr>
                <w:sz w:val="20"/>
              </w:rPr>
              <w:t xml:space="preserve"> </w:t>
            </w:r>
            <w:r w:rsidRPr="00732287">
              <w:rPr>
                <w:sz w:val="20"/>
              </w:rPr>
              <w:t>frigoríficos</w:t>
            </w:r>
            <w:r>
              <w:rPr>
                <w:sz w:val="20"/>
              </w:rPr>
              <w:t>, papelaria, têxtil</w:t>
            </w:r>
            <w:r w:rsidRPr="008223CB">
              <w:rPr>
                <w:sz w:val="20"/>
              </w:rPr>
              <w:t xml:space="preserve"> e supermercado), em R$</w:t>
            </w:r>
            <w:r>
              <w:rPr>
                <w:sz w:val="20"/>
              </w:rPr>
              <w:t>31</w:t>
            </w:r>
            <w:r w:rsidRPr="008223CB">
              <w:rPr>
                <w:sz w:val="20"/>
              </w:rPr>
              <w:t>.000.000,00</w:t>
            </w:r>
            <w:r w:rsidRPr="00732287">
              <w:rPr>
                <w:sz w:val="20"/>
              </w:rPr>
              <w:t>.</w:t>
            </w:r>
          </w:p>
          <w:p w:rsidR="00976F2E" w:rsidRPr="008223CB" w:rsidRDefault="00976F2E">
            <w:pPr>
              <w:ind w:left="284" w:hanging="284"/>
              <w:rPr>
                <w:color w:val="FF0000"/>
                <w:sz w:val="20"/>
              </w:rPr>
            </w:pPr>
            <w:r w:rsidRPr="00732287">
              <w:rPr>
                <w:b/>
                <w:sz w:val="20"/>
              </w:rPr>
              <w:t>Linha de Base:</w:t>
            </w:r>
            <w:r w:rsidRPr="00732287">
              <w:rPr>
                <w:sz w:val="20"/>
              </w:rPr>
              <w:t xml:space="preserve"> R$ 587.702.819,</w:t>
            </w:r>
            <w:r w:rsidRPr="008223CB">
              <w:rPr>
                <w:sz w:val="20"/>
                <w:szCs w:val="20"/>
              </w:rPr>
              <w:t>76</w:t>
            </w:r>
          </w:p>
        </w:tc>
      </w:tr>
      <w:tr w:rsidR="00976F2E">
        <w:trPr>
          <w:cantSplit/>
          <w:trHeight w:val="696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0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Inexistência de dispositivos de pesagem em pontos-chave de trânsito de mercadorias na fronteira goiana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697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0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Transito de mercadorias total ou parcialmente desacobertadas, elevando o índice de evasão de barreira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697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0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Inexistência de mecanismos eficazes de controle de veículos nos pátios dos postos fiscais e obsolescência dos atuais dispositivos de pesagem em uso nos postos fiscais.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697"/>
        </w:trPr>
        <w:tc>
          <w:tcPr>
            <w:tcW w:w="3516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0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Pontos de evasão crônicos (desvios) dificultam controle pelas unidades fixas de fiscalização.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BodyText3"/>
              <w:tabs>
                <w:tab w:val="left" w:pos="360"/>
              </w:tabs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Contedodatabela"/>
              <w:widowControl/>
              <w:numPr>
                <w:ilvl w:val="2"/>
                <w:numId w:val="16"/>
              </w:numPr>
              <w:suppressLineNumbers w:val="0"/>
              <w:tabs>
                <w:tab w:val="left" w:pos="360"/>
              </w:tabs>
              <w:suppressAutoHyphens w:val="0"/>
              <w:jc w:val="both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Lentidão no processo de auditoria devido ao grande volume de documentos gerados pelas empresas de </w:t>
            </w:r>
            <w:r>
              <w:rPr>
                <w:sz w:val="20"/>
              </w:rPr>
              <w:t>energia elétrica, comunicação e substituição tributária interestadual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10"/>
              </w:numPr>
              <w:jc w:val="both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Implantação da nova Sistemática de Auditoria dos setores de energia elétrica, comunicação e substituição tributária interestadual 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26"/>
              </w:numPr>
              <w:tabs>
                <w:tab w:val="left" w:pos="23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(a) Auto de Infração emitido a partir das informações capturadas do novo Sistema de Auditoria </w:t>
            </w:r>
          </w:p>
          <w:p w:rsidR="00976F2E" w:rsidRDefault="00976F2E" w:rsidP="003A435F">
            <w:pPr>
              <w:tabs>
                <w:tab w:val="left" w:pos="239"/>
              </w:tabs>
              <w:rPr>
                <w:sz w:val="20"/>
              </w:rPr>
            </w:pPr>
            <w:r w:rsidRPr="003A435F">
              <w:rPr>
                <w:b/>
                <w:sz w:val="20"/>
              </w:rPr>
              <w:t>Linha de Base:</w:t>
            </w:r>
            <w:r w:rsidRPr="003A435F">
              <w:rPr>
                <w:sz w:val="20"/>
              </w:rPr>
              <w:t xml:space="preserve"> Sistema de Auditoria atual não integrado ao Sistema de Auto de Infração. </w:t>
            </w:r>
          </w:p>
          <w:p w:rsidR="00976F2E" w:rsidRDefault="00976F2E" w:rsidP="003A435F">
            <w:pPr>
              <w:tabs>
                <w:tab w:val="left" w:pos="239"/>
              </w:tabs>
              <w:rPr>
                <w:sz w:val="20"/>
              </w:rPr>
            </w:pPr>
          </w:p>
          <w:p w:rsidR="00976F2E" w:rsidRDefault="00976F2E" w:rsidP="00657C26">
            <w:pPr>
              <w:numPr>
                <w:ilvl w:val="1"/>
                <w:numId w:val="15"/>
              </w:numPr>
              <w:tabs>
                <w:tab w:val="left" w:pos="23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(b) Reduzir </w:t>
            </w:r>
            <w:r>
              <w:rPr>
                <w:sz w:val="20"/>
                <w:szCs w:val="20"/>
              </w:rPr>
              <w:t xml:space="preserve">de 5 </w:t>
            </w:r>
            <w:r>
              <w:rPr>
                <w:sz w:val="20"/>
              </w:rPr>
              <w:t>para 1 ano</w:t>
            </w:r>
            <w:r>
              <w:rPr>
                <w:sz w:val="20"/>
                <w:szCs w:val="20"/>
              </w:rPr>
              <w:t xml:space="preserve"> o tempo decorrido entre a ocorrência</w:t>
            </w:r>
            <w:r>
              <w:rPr>
                <w:sz w:val="20"/>
              </w:rPr>
              <w:t xml:space="preserve"> do fato gerador e a auditoria por parte do Fisco.</w:t>
            </w:r>
          </w:p>
          <w:p w:rsidR="00976F2E" w:rsidRDefault="00976F2E">
            <w:pPr>
              <w:pStyle w:val="BodyText3"/>
              <w:tabs>
                <w:tab w:val="left" w:pos="239"/>
              </w:tabs>
              <w:ind w:left="5"/>
              <w:rPr>
                <w:color w:val="FF0000"/>
              </w:rPr>
            </w:pPr>
            <w:r>
              <w:rPr>
                <w:b/>
              </w:rPr>
              <w:t>Linha de Base:</w:t>
            </w:r>
            <w:r>
              <w:t xml:space="preserve"> Mínimo de 5 anos </w:t>
            </w:r>
          </w:p>
        </w:tc>
      </w:tr>
      <w:tr w:rsidR="00976F2E">
        <w:trPr>
          <w:cantSplit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Contedodatabela"/>
              <w:widowControl/>
              <w:numPr>
                <w:ilvl w:val="2"/>
                <w:numId w:val="16"/>
              </w:numPr>
              <w:suppressLineNumbers w:val="0"/>
              <w:tabs>
                <w:tab w:val="left" w:pos="360"/>
              </w:tabs>
              <w:suppressAutoHyphens w:val="0"/>
              <w:jc w:val="both"/>
              <w:rPr>
                <w:sz w:val="20"/>
              </w:rPr>
            </w:pPr>
            <w:r>
              <w:rPr>
                <w:sz w:val="20"/>
              </w:rPr>
              <w:t>Deficiência de equipamentos e sistemas de informática para análise dos registros fiscais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Contedodatabela"/>
              <w:widowControl/>
              <w:numPr>
                <w:ilvl w:val="2"/>
                <w:numId w:val="16"/>
              </w:numPr>
              <w:suppressLineNumbers w:val="0"/>
              <w:tabs>
                <w:tab w:val="left" w:pos="360"/>
              </w:tabs>
              <w:suppressAutoHyphens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Baixa qualidade das escriturações fiscais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realizadas</w:t>
            </w:r>
            <w:r>
              <w:rPr>
                <w:sz w:val="20"/>
                <w:szCs w:val="20"/>
              </w:rPr>
              <w:t xml:space="preserve"> pelos contribuintes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Contedodatabela"/>
              <w:widowControl/>
              <w:numPr>
                <w:ilvl w:val="2"/>
                <w:numId w:val="16"/>
              </w:numPr>
              <w:suppressLineNumbers w:val="0"/>
              <w:tabs>
                <w:tab w:val="left" w:pos="360"/>
              </w:tabs>
              <w:suppressAutoHyphens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Perda de receita decorrente da não detecção de procedimentos de elisão fiscal adotados pelas empresas e de </w:t>
            </w:r>
            <w:r>
              <w:rPr>
                <w:sz w:val="20"/>
              </w:rPr>
              <w:t>erros da autuação ou a falhas no acompanhamento dos processos.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247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FootnoteText"/>
              <w:rPr>
                <w:szCs w:val="24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7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Elevação da quantidade de fraudes estruturadas, com alto poder lesivo ao erário, não detectadas via auditoria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12"/>
              </w:numPr>
              <w:snapToGrid w:val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Aperfeiçoamento do Modelo de Inteligência Fiscal 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Contedodatabela"/>
              <w:widowControl/>
              <w:numPr>
                <w:ilvl w:val="1"/>
                <w:numId w:val="16"/>
              </w:numPr>
              <w:suppressLineNumbers w:val="0"/>
              <w:suppressAutoHyphens w:val="0"/>
              <w:snapToGrid w:val="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(a) Implantar uma ferramenta de cruzamento de informações tipo </w:t>
            </w:r>
            <w:r>
              <w:rPr>
                <w:rFonts w:eastAsia="Times New Roman"/>
                <w:i/>
                <w:sz w:val="20"/>
              </w:rPr>
              <w:t>Datawarehouse.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snapToGrid w:val="0"/>
              <w:jc w:val="both"/>
              <w:rPr>
                <w:rFonts w:eastAsia="Times New Roman"/>
                <w:sz w:val="20"/>
              </w:rPr>
            </w:pPr>
            <w:r>
              <w:rPr>
                <w:b/>
                <w:sz w:val="20"/>
              </w:rPr>
              <w:t>Linha de Base</w:t>
            </w:r>
            <w:r>
              <w:rPr>
                <w:sz w:val="20"/>
              </w:rPr>
              <w:t>:</w:t>
            </w:r>
            <w:r>
              <w:rPr>
                <w:rFonts w:eastAsia="Times New Roman"/>
                <w:color w:val="FF0000"/>
                <w:sz w:val="20"/>
              </w:rPr>
              <w:t xml:space="preserve"> </w:t>
            </w:r>
            <w:r>
              <w:rPr>
                <w:rFonts w:eastAsia="Times New Roman"/>
                <w:sz w:val="20"/>
              </w:rPr>
              <w:t>Inexistência de ferramenta informatizada de cruzamento de informações.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snapToGrid w:val="0"/>
              <w:jc w:val="both"/>
              <w:rPr>
                <w:sz w:val="20"/>
              </w:rPr>
            </w:pPr>
          </w:p>
          <w:p w:rsidR="00976F2E" w:rsidRDefault="00976F2E" w:rsidP="00657C26">
            <w:pPr>
              <w:pStyle w:val="Contedodatabela"/>
              <w:widowControl/>
              <w:numPr>
                <w:ilvl w:val="1"/>
                <w:numId w:val="13"/>
              </w:numPr>
              <w:suppressLineNumbers w:val="0"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(b)</w:t>
            </w:r>
            <w:r>
              <w:rPr>
                <w:rFonts w:eastAsia="Times New Roman"/>
                <w:sz w:val="20"/>
              </w:rPr>
              <w:t xml:space="preserve"> Elevar de 57 para 90</w:t>
            </w:r>
            <w:r>
              <w:rPr>
                <w:rFonts w:eastAsia="Times New Roman"/>
                <w:color w:val="FF0000"/>
                <w:sz w:val="20"/>
              </w:rPr>
              <w:t xml:space="preserve"> </w:t>
            </w:r>
            <w:r>
              <w:rPr>
                <w:rFonts w:eastAsia="Times New Roman"/>
                <w:sz w:val="20"/>
              </w:rPr>
              <w:t>a quantidade de relatórios anuais produzidos pela Gerência de Inteligência Fiscal.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snapToGrid w:val="0"/>
              <w:jc w:val="both"/>
              <w:rPr>
                <w:rFonts w:eastAsia="Times New Roman"/>
                <w:sz w:val="20"/>
              </w:rPr>
            </w:pPr>
            <w:r>
              <w:rPr>
                <w:b/>
                <w:sz w:val="20"/>
              </w:rPr>
              <w:t>Linha de Base:</w:t>
            </w:r>
            <w:r>
              <w:rPr>
                <w:sz w:val="20"/>
              </w:rPr>
              <w:t xml:space="preserve"> </w:t>
            </w:r>
            <w:r>
              <w:rPr>
                <w:rFonts w:eastAsia="Times New Roman"/>
                <w:sz w:val="20"/>
              </w:rPr>
              <w:t>57 relatórios anuais.</w:t>
            </w: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5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Deficiência de equipamentos e sistemas informáticos para cruzamento e análise de grande volume de dados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5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Falta de investimento na qualificação técnica dos recursos humanos da Inteligência Fiscal</w:t>
            </w:r>
          </w:p>
        </w:tc>
        <w:tc>
          <w:tcPr>
            <w:tcW w:w="3365" w:type="dxa"/>
            <w:vMerge/>
            <w:shd w:val="clear" w:color="auto" w:fill="99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4127" w:type="dxa"/>
            <w:vMerge/>
            <w:shd w:val="clear" w:color="auto" w:fill="99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</w:tr>
      <w:tr w:rsidR="00976F2E">
        <w:trPr>
          <w:cantSplit/>
        </w:trPr>
        <w:tc>
          <w:tcPr>
            <w:tcW w:w="14580" w:type="dxa"/>
            <w:gridSpan w:val="4"/>
            <w:shd w:val="clear" w:color="auto" w:fill="D9D9D9"/>
          </w:tcPr>
          <w:p w:rsidR="00976F2E" w:rsidRDefault="00976F2E">
            <w:r>
              <w:rPr>
                <w:b/>
                <w:bCs/>
                <w:sz w:val="20"/>
                <w:szCs w:val="18"/>
              </w:rPr>
              <w:t xml:space="preserve">4. </w:t>
            </w:r>
            <w:r>
              <w:rPr>
                <w:b/>
                <w:spacing w:val="-3"/>
                <w:sz w:val="20"/>
              </w:rPr>
              <w:t>Melhoria da eficiência e eficácia da administração do contencioso fiscal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722"/>
        </w:trPr>
        <w:tc>
          <w:tcPr>
            <w:tcW w:w="3516" w:type="dxa"/>
            <w:vMerge w:val="restart"/>
          </w:tcPr>
          <w:p w:rsidR="00976F2E" w:rsidRDefault="00976F2E">
            <w:pPr>
              <w:pStyle w:val="BodyTextIndent"/>
              <w:ind w:left="0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27"/>
              </w:numPr>
              <w:rPr>
                <w:color w:val="auto"/>
              </w:rPr>
            </w:pPr>
            <w:r>
              <w:rPr>
                <w:color w:val="auto"/>
              </w:rPr>
              <w:t>Ineficiência no processo de recuperação de crédito tributário lançado, ocasionando significativo aumento da dívida ativa.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28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Implantação do novo Modelo de Recuperação de Créditos Tributários Lançados.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Disponibilizar ao contribuinte, via </w:t>
            </w:r>
            <w:r>
              <w:rPr>
                <w:i/>
                <w:sz w:val="20"/>
                <w:szCs w:val="20"/>
              </w:rPr>
              <w:t>web</w:t>
            </w:r>
            <w:r>
              <w:rPr>
                <w:sz w:val="20"/>
                <w:szCs w:val="20"/>
              </w:rPr>
              <w:t>, o saldo de sua dívida para com a Fazenda Pública.</w:t>
            </w:r>
          </w:p>
          <w:p w:rsidR="00976F2E" w:rsidRDefault="00976F2E">
            <w:pPr>
              <w:ind w:left="59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Linha de Base</w:t>
            </w:r>
            <w:r>
              <w:rPr>
                <w:sz w:val="20"/>
                <w:szCs w:val="20"/>
              </w:rPr>
              <w:t xml:space="preserve">: Inexiste a disponibilização do saldo via </w:t>
            </w:r>
            <w:r>
              <w:rPr>
                <w:i/>
                <w:sz w:val="20"/>
                <w:szCs w:val="20"/>
              </w:rPr>
              <w:t>web</w:t>
            </w:r>
            <w:r>
              <w:rPr>
                <w:sz w:val="20"/>
                <w:szCs w:val="20"/>
              </w:rPr>
              <w:t xml:space="preserve"> </w:t>
            </w:r>
          </w:p>
          <w:p w:rsidR="00976F2E" w:rsidRDefault="00976F2E">
            <w:pPr>
              <w:jc w:val="both"/>
              <w:rPr>
                <w:sz w:val="20"/>
                <w:szCs w:val="20"/>
              </w:rPr>
            </w:pPr>
          </w:p>
          <w:p w:rsidR="00976F2E" w:rsidRDefault="00976F2E" w:rsidP="00657C26">
            <w:pPr>
              <w:numPr>
                <w:ilvl w:val="1"/>
                <w:numId w:val="30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(b) </w:t>
            </w:r>
            <w:r>
              <w:rPr>
                <w:sz w:val="20"/>
                <w:szCs w:val="20"/>
              </w:rPr>
              <w:t xml:space="preserve">Aumentar de </w:t>
            </w:r>
            <w:r>
              <w:rPr>
                <w:rFonts w:cs="Tahoma"/>
                <w:sz w:val="20"/>
                <w:szCs w:val="20"/>
              </w:rPr>
              <w:t>R$ 211.357.639,30, ao ano,</w:t>
            </w:r>
            <w:r>
              <w:rPr>
                <w:sz w:val="20"/>
                <w:szCs w:val="20"/>
              </w:rPr>
              <w:t xml:space="preserve"> para R$ 450.000.000,00 o recebimento dos créditos tributários lançados.</w:t>
            </w:r>
          </w:p>
          <w:p w:rsidR="00976F2E" w:rsidRDefault="00976F2E">
            <w:pPr>
              <w:ind w:left="59"/>
              <w:rPr>
                <w:sz w:val="20"/>
              </w:rPr>
            </w:pPr>
            <w:r w:rsidRPr="00A342CD">
              <w:rPr>
                <w:b/>
                <w:sz w:val="20"/>
                <w:szCs w:val="20"/>
              </w:rPr>
              <w:t>Linha de Base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R$ 211.357.639,30</w:t>
            </w:r>
          </w:p>
          <w:p w:rsidR="00976F2E" w:rsidRDefault="00976F2E">
            <w:pPr>
              <w:tabs>
                <w:tab w:val="num" w:pos="239"/>
              </w:tabs>
              <w:ind w:left="59"/>
              <w:rPr>
                <w:sz w:val="20"/>
                <w:szCs w:val="20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27"/>
              </w:numPr>
              <w:rPr>
                <w:color w:val="auto"/>
              </w:rPr>
            </w:pPr>
            <w:r>
              <w:rPr>
                <w:color w:val="auto"/>
              </w:rPr>
              <w:t>Baixa recuperação do crédito tributário lançado devido à ineficiência do processo de recuperação (elevado número de tarefas executadas manualmente.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599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27"/>
              </w:numPr>
              <w:rPr>
                <w:color w:val="auto"/>
              </w:rPr>
            </w:pPr>
            <w:r>
              <w:rPr>
                <w:color w:val="auto"/>
              </w:rPr>
              <w:t xml:space="preserve">Baixa integração entre os sistemas que suportam o processo de recuperação de crédito tributário 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599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27"/>
              </w:numPr>
              <w:rPr>
                <w:color w:val="auto"/>
              </w:rPr>
            </w:pPr>
            <w:r>
              <w:rPr>
                <w:color w:val="auto"/>
              </w:rPr>
              <w:t>Ineficiência de mecanismos alternativos de cobrança administrativa.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379"/>
        </w:trPr>
        <w:tc>
          <w:tcPr>
            <w:tcW w:w="3516" w:type="dxa"/>
            <w:vMerge/>
          </w:tcPr>
          <w:p w:rsidR="00976F2E" w:rsidRDefault="00976F2E">
            <w:pPr>
              <w:jc w:val="both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3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Atuação deficiente da Procuradoria Tributária (PGE) nos processos judiciais e administrativos 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27"/>
              </w:numPr>
              <w:snapToGrid w:val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Implantação de Modelo de Gerenciamento de Processos da Procuradoria Tributária.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34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(a) 100% dos Processos distribuídos por meio de Sistema de Gerenciamento de Processos.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</w:rPr>
              <w:t>Linha de Base</w:t>
            </w:r>
            <w:r>
              <w:rPr>
                <w:sz w:val="20"/>
              </w:rPr>
              <w:t>: Processos distribuídos manualmente em 2008.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rPr>
                <w:rFonts w:eastAsia="Times New Roman"/>
                <w:lang w:eastAsia="en-US"/>
              </w:rPr>
            </w:pPr>
          </w:p>
          <w:p w:rsidR="00976F2E" w:rsidRDefault="00976F2E" w:rsidP="00657C26">
            <w:pPr>
              <w:numPr>
                <w:ilvl w:val="1"/>
                <w:numId w:val="3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(b) Aumentar de </w:t>
            </w:r>
            <w:r>
              <w:rPr>
                <w:sz w:val="20"/>
                <w:szCs w:val="20"/>
              </w:rPr>
              <w:t xml:space="preserve">1200 </w:t>
            </w:r>
            <w:r>
              <w:rPr>
                <w:sz w:val="20"/>
              </w:rPr>
              <w:t xml:space="preserve">para </w:t>
            </w:r>
            <w:r>
              <w:rPr>
                <w:sz w:val="20"/>
                <w:szCs w:val="20"/>
              </w:rPr>
              <w:t xml:space="preserve">1700 </w:t>
            </w:r>
            <w:r>
              <w:rPr>
                <w:sz w:val="20"/>
              </w:rPr>
              <w:t>manifestações, por mês, da Procuradoria Tributária nos processos de execução fiscal</w:t>
            </w:r>
            <w:r>
              <w:rPr>
                <w:sz w:val="20"/>
                <w:szCs w:val="20"/>
              </w:rPr>
              <w:t>.</w:t>
            </w:r>
          </w:p>
          <w:p w:rsidR="00976F2E" w:rsidRDefault="00976F2E">
            <w:pPr>
              <w:rPr>
                <w:sz w:val="20"/>
              </w:rPr>
            </w:pPr>
            <w:r>
              <w:rPr>
                <w:b/>
                <w:sz w:val="20"/>
              </w:rPr>
              <w:t>Linha de Base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1200 </w:t>
            </w:r>
            <w:r>
              <w:rPr>
                <w:sz w:val="20"/>
              </w:rPr>
              <w:t>manifestações, por mês, em 2008.</w:t>
            </w:r>
          </w:p>
        </w:tc>
      </w:tr>
      <w:tr w:rsidR="00976F2E">
        <w:trPr>
          <w:cantSplit/>
          <w:trHeight w:val="379"/>
        </w:trPr>
        <w:tc>
          <w:tcPr>
            <w:tcW w:w="3516" w:type="dxa"/>
            <w:vMerge/>
          </w:tcPr>
          <w:p w:rsidR="00976F2E" w:rsidRDefault="00976F2E">
            <w:pPr>
              <w:jc w:val="both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3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Inexistência de ferramentas informatizadas de apoio aos processos judiciais e administrativos da Procuradoria Tributária.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jc w:val="both"/>
              <w:rPr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Impactos: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Aumento da eficiência no controle do trânsito de mercadorias nos postos fiscais de fronteira;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Diminuição da fraude estruturada;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Redução do nível de sonegação e evasão fiscal com a elevação da percepção de risco pelo contribuinte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Inibir o trânsito de mercadorias em situação irregular;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Aumento da arrecadação espontânea de ICMS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 xml:space="preserve"> Redução da inadimplência dos parcelamentos;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Aumento da arrecadação estadual</w:t>
            </w:r>
          </w:p>
          <w:p w:rsidR="00976F2E" w:rsidRDefault="00976F2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napToGrid w:val="0"/>
              <w:ind w:left="72" w:firstLine="0"/>
              <w:rPr>
                <w:sz w:val="20"/>
              </w:rPr>
            </w:pPr>
            <w:r>
              <w:rPr>
                <w:sz w:val="20"/>
              </w:rPr>
              <w:t>Viabilizar a adjudicação de bens de interesse pelo Estado de Goiás</w:t>
            </w:r>
          </w:p>
        </w:tc>
      </w:tr>
      <w:tr w:rsidR="00976F2E">
        <w:tc>
          <w:tcPr>
            <w:tcW w:w="14580" w:type="dxa"/>
            <w:gridSpan w:val="4"/>
            <w:shd w:val="clear" w:color="auto" w:fill="FFFF99"/>
          </w:tcPr>
          <w:p w:rsidR="00976F2E" w:rsidRDefault="00976F2E" w:rsidP="00A304EB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III. ADMINISTRAÇÃO FINANCEIRA E PATRIMONIAL</w:t>
            </w: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 w:rsidP="00DE5AA8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5. </w:t>
            </w:r>
            <w:r>
              <w:rPr>
                <w:b/>
                <w:bCs/>
                <w:sz w:val="20"/>
              </w:rPr>
              <w:t>Melhoria da eficiência e da eficácia da administração financeira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</w:trPr>
        <w:tc>
          <w:tcPr>
            <w:tcW w:w="3516" w:type="dxa"/>
            <w:vMerge w:val="restart"/>
          </w:tcPr>
          <w:p w:rsidR="00976F2E" w:rsidRDefault="00976F2E" w:rsidP="00657C26">
            <w:pPr>
              <w:numPr>
                <w:ilvl w:val="0"/>
                <w:numId w:val="10"/>
              </w:num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Dificuldade na gestão dos recursos orçamentários, financeiros e patrimoniais, comprometendo a qualidade do gasto público.</w:t>
            </w: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Inexistência de base de dados única sobre os beneficiários dos programas sociais, as instituições envolvidas e os programas, projetos e ações sociais desenvolvidos.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38"/>
              </w:num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Implantação de um Modelo de Gestão Integrado das Informações dos Programas Sociais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39"/>
              </w:numPr>
              <w:snapToGrid w:val="0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(a) Cadastro único de 100% dos beneficiários e instituições executoras de programas sociais, dos 7 órgãos da Administração Estadual.</w:t>
            </w:r>
          </w:p>
          <w:p w:rsidR="00976F2E" w:rsidRDefault="00976F2E">
            <w:pPr>
              <w:pStyle w:val="BodyTextIndent"/>
              <w:snapToGrid w:val="0"/>
              <w:ind w:left="59"/>
              <w:rPr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Linha de base</w:t>
            </w:r>
            <w:r>
              <w:rPr>
                <w:color w:val="auto"/>
                <w:szCs w:val="18"/>
              </w:rPr>
              <w:t>: Inexistência de Cadastro único dos beneficiários e instituições executoras de programas sociais no Estado.</w:t>
            </w:r>
          </w:p>
          <w:p w:rsidR="00976F2E" w:rsidRDefault="00976F2E">
            <w:pPr>
              <w:pStyle w:val="BodyTextIndent"/>
              <w:snapToGrid w:val="0"/>
              <w:ind w:left="360"/>
              <w:rPr>
                <w:color w:val="auto"/>
                <w:szCs w:val="18"/>
              </w:rPr>
            </w:pPr>
          </w:p>
          <w:p w:rsidR="00976F2E" w:rsidRDefault="00976F2E" w:rsidP="00342F8E">
            <w:pPr>
              <w:pStyle w:val="BodyTextIndent"/>
              <w:snapToGrid w:val="0"/>
              <w:ind w:left="382" w:hanging="364"/>
              <w:rPr>
                <w:b/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5.1. (b) 100% dos benefícios concedidos com base em critérios gerados pelo Sistema Integrado das Informações dos Programas Sociais - SIIPS.</w:t>
            </w:r>
          </w:p>
          <w:p w:rsidR="00976F2E" w:rsidRPr="00342F8E" w:rsidRDefault="00976F2E" w:rsidP="00342F8E">
            <w:pPr>
              <w:pStyle w:val="BodyTextIndent"/>
              <w:snapToGrid w:val="0"/>
              <w:ind w:left="382" w:hanging="364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Linha base</w:t>
            </w:r>
            <w:r>
              <w:rPr>
                <w:color w:val="auto"/>
                <w:szCs w:val="18"/>
              </w:rPr>
              <w:t>: Inexistência de Sistema Integrado das Informações dos Programas Sociais</w:t>
            </w: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0000FF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Possibilidade de desperdício de recursos com duplicidade na concessão de benefícios sociais. 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0000FF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3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Carência de informações para definição de critérios técnicos unificados no âmbito das políticas sociais do Estado.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177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0000FF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0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Falta de cultura de planejamento na área de gestão financeira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37"/>
              </w:num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Implantação de Programa Contínuo de Certificação dos Gestores de Financeiros do Estado.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BodyText3"/>
              <w:numPr>
                <w:ilvl w:val="1"/>
                <w:numId w:val="42"/>
              </w:numPr>
              <w:jc w:val="both"/>
            </w:pPr>
            <w:r>
              <w:t>(a) Certificar 60 Gestores Financeiros</w:t>
            </w:r>
          </w:p>
          <w:p w:rsidR="00976F2E" w:rsidRDefault="00976F2E">
            <w:pPr>
              <w:pStyle w:val="BodyText3"/>
              <w:ind w:left="72"/>
              <w:jc w:val="both"/>
            </w:pPr>
            <w:r>
              <w:rPr>
                <w:b/>
                <w:bCs/>
              </w:rPr>
              <w:t xml:space="preserve">Linha de Base: </w:t>
            </w:r>
            <w:r>
              <w:rPr>
                <w:bCs/>
              </w:rPr>
              <w:t xml:space="preserve">0 </w:t>
            </w:r>
            <w:r>
              <w:t>Gestores Financeiros certificados em 2008.</w:t>
            </w:r>
          </w:p>
          <w:p w:rsidR="00976F2E" w:rsidRDefault="00976F2E">
            <w:pPr>
              <w:pStyle w:val="BodyText3"/>
              <w:ind w:left="72"/>
              <w:jc w:val="both"/>
              <w:rPr>
                <w:b/>
                <w:bCs/>
              </w:rPr>
            </w:pPr>
          </w:p>
          <w:p w:rsidR="00976F2E" w:rsidRDefault="00976F2E" w:rsidP="00657C26">
            <w:pPr>
              <w:pStyle w:val="BodyText3"/>
              <w:numPr>
                <w:ilvl w:val="1"/>
                <w:numId w:val="43"/>
              </w:numPr>
              <w:jc w:val="both"/>
            </w:pPr>
            <w:r>
              <w:t>(b) Reduzir de 8,56% para 6% a relação entre restos a pagar e o orçamento autorizado.</w:t>
            </w:r>
          </w:p>
          <w:p w:rsidR="00976F2E" w:rsidRDefault="00976F2E">
            <w:pPr>
              <w:pStyle w:val="BodyText3"/>
              <w:jc w:val="both"/>
            </w:pPr>
            <w:r>
              <w:rPr>
                <w:b/>
                <w:bCs/>
              </w:rPr>
              <w:t>Linha de Base</w:t>
            </w:r>
            <w:r>
              <w:t>: 8,56% de restos a pagar.</w:t>
            </w:r>
          </w:p>
          <w:p w:rsidR="00976F2E" w:rsidRDefault="00976F2E">
            <w:pPr>
              <w:pStyle w:val="BodyText3"/>
              <w:ind w:left="72"/>
              <w:jc w:val="both"/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Capacitação insuficiente dos recursos humanos envolvidos na gestão financeira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6. </w:t>
            </w:r>
            <w:r>
              <w:rPr>
                <w:b/>
                <w:spacing w:val="-3"/>
                <w:sz w:val="20"/>
              </w:rPr>
              <w:t>Melhoria da eficiência e da eficácia da administração de material e de patrimônio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  <w:trHeight w:val="128"/>
        </w:trPr>
        <w:tc>
          <w:tcPr>
            <w:tcW w:w="3516" w:type="dxa"/>
            <w:vMerge w:val="restart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19"/>
              </w:numPr>
              <w:rPr>
                <w:color w:val="auto"/>
              </w:rPr>
            </w:pPr>
            <w:r>
              <w:rPr>
                <w:color w:val="auto"/>
              </w:rPr>
              <w:t>Ausência de cultura de planejamento logístico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44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Implantação de um Modelo de Gestão de Logística e de Patrimônio Mobiliário da SEFAZ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4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(a) 90% das aquisições efetuadas de acordo com o Plano de Logística elaborado com base no Modelo de Gestão implantado.</w:t>
            </w:r>
          </w:p>
          <w:p w:rsidR="00976F2E" w:rsidRDefault="00976F2E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Linha de Base</w:t>
            </w:r>
            <w:r>
              <w:rPr>
                <w:sz w:val="20"/>
              </w:rPr>
              <w:t>: Inexistência de Plano de Logística</w:t>
            </w:r>
          </w:p>
          <w:p w:rsidR="00976F2E" w:rsidRDefault="00976F2E">
            <w:pPr>
              <w:jc w:val="both"/>
              <w:rPr>
                <w:sz w:val="20"/>
              </w:rPr>
            </w:pPr>
          </w:p>
        </w:tc>
      </w:tr>
      <w:tr w:rsidR="00976F2E">
        <w:trPr>
          <w:cantSplit/>
          <w:trHeight w:val="19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19"/>
              </w:numPr>
              <w:rPr>
                <w:color w:val="auto"/>
              </w:rPr>
            </w:pPr>
            <w:r>
              <w:rPr>
                <w:color w:val="auto"/>
              </w:rPr>
              <w:t xml:space="preserve">Ausência de informações sobre o desempenho intrínseco das diversas atividades logísticas 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19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19"/>
              </w:numPr>
              <w:rPr>
                <w:color w:val="auto"/>
              </w:rPr>
            </w:pPr>
            <w:r>
              <w:rPr>
                <w:color w:val="auto"/>
              </w:rPr>
              <w:t xml:space="preserve">Inconsistências nas informações sobre custos logísticos globais e precariedades das informações sobre os centros de custos 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787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19"/>
              </w:numPr>
              <w:rPr>
                <w:color w:val="auto"/>
              </w:rPr>
            </w:pPr>
            <w:r>
              <w:rPr>
                <w:color w:val="auto"/>
              </w:rPr>
              <w:t>Ausência de integração com outros dados corporativos visando a otimização da alocação do gasto logístico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787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19"/>
              </w:numPr>
              <w:rPr>
                <w:color w:val="auto"/>
              </w:rPr>
            </w:pPr>
            <w:r>
              <w:rPr>
                <w:color w:val="auto"/>
              </w:rPr>
              <w:t>Descontinuidade de serviços e falta de padronização no fornecimento centralizado de suprimentos e serviços logísticos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363"/>
        </w:trPr>
        <w:tc>
          <w:tcPr>
            <w:tcW w:w="3516" w:type="dxa"/>
            <w:vMerge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6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Desconhecimento do universo do patrimônio imobiliário do Estado.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4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Aperfeiçoamento do Modelo de Gestão do Patrimônio Imobiliário do Estado de Goiás.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western"/>
              <w:numPr>
                <w:ilvl w:val="1"/>
                <w:numId w:val="47"/>
              </w:numPr>
              <w:spacing w:before="0" w:beforeAutospacing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(a) Cadastrar e vistoriar 9.304 imóveis, de acordo com novo modelo de Gestão do Patrimônio Imobiliário.</w:t>
            </w:r>
          </w:p>
          <w:p w:rsidR="00976F2E" w:rsidRDefault="00976F2E">
            <w:pPr>
              <w:pStyle w:val="western"/>
              <w:tabs>
                <w:tab w:val="num" w:pos="239"/>
              </w:tabs>
              <w:spacing w:before="0" w:beforeAutospacing="0" w:after="0"/>
              <w:ind w:lef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Linha de Base: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4.205 imóveis cadastrados.</w:t>
            </w:r>
          </w:p>
          <w:p w:rsidR="00976F2E" w:rsidRDefault="00976F2E">
            <w:pPr>
              <w:pStyle w:val="western"/>
              <w:tabs>
                <w:tab w:val="num" w:pos="239"/>
              </w:tabs>
              <w:spacing w:before="0" w:beforeAutospacing="0" w:after="0"/>
              <w:ind w:lef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F2E" w:rsidRPr="00146AA2" w:rsidRDefault="00976F2E" w:rsidP="00657C26">
            <w:pPr>
              <w:pStyle w:val="western"/>
              <w:numPr>
                <w:ilvl w:val="1"/>
                <w:numId w:val="48"/>
              </w:numPr>
              <w:spacing w:before="0" w:beforeAutospacing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(b) </w:t>
            </w:r>
            <w:r w:rsidRPr="00146AA2">
              <w:rPr>
                <w:rFonts w:ascii="Times New Roman" w:hAnsi="Times New Roman" w:cs="Times New Roman"/>
                <w:sz w:val="20"/>
                <w:szCs w:val="20"/>
              </w:rPr>
              <w:t>Aumentar de 565 para 2500 a vazão de saída dos processos de regularização.</w:t>
            </w:r>
          </w:p>
          <w:p w:rsidR="00976F2E" w:rsidRPr="00146AA2" w:rsidRDefault="00976F2E">
            <w:pPr>
              <w:pStyle w:val="western"/>
              <w:tabs>
                <w:tab w:val="num" w:pos="239"/>
              </w:tabs>
              <w:spacing w:before="0" w:beforeAutospacing="0" w:after="0"/>
              <w:ind w:lef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A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Linha de Base: </w:t>
            </w:r>
            <w:r w:rsidRPr="00146AA2">
              <w:rPr>
                <w:rFonts w:ascii="Times New Roman" w:hAnsi="Times New Roman" w:cs="Times New Roman"/>
                <w:sz w:val="20"/>
                <w:szCs w:val="20"/>
              </w:rPr>
              <w:t>565 processos em 2008.</w:t>
            </w:r>
          </w:p>
          <w:p w:rsidR="00976F2E" w:rsidRDefault="00976F2E">
            <w:pPr>
              <w:tabs>
                <w:tab w:val="left" w:pos="239"/>
              </w:tabs>
              <w:ind w:left="59"/>
              <w:jc w:val="both"/>
              <w:rPr>
                <w:bCs/>
                <w:sz w:val="20"/>
              </w:rPr>
            </w:pPr>
          </w:p>
        </w:tc>
      </w:tr>
      <w:tr w:rsidR="00976F2E">
        <w:trPr>
          <w:cantSplit/>
          <w:trHeight w:val="556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6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Deficiência na infraestrutura tecnológica e de pessoal de apoio à Gestão do Patrimônio Imobiliário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</w:tr>
      <w:tr w:rsidR="00976F2E">
        <w:trPr>
          <w:cantSplit/>
          <w:trHeight w:val="56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6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Elevado estoque de processos de regularização de imóveis na Gerência e na PGE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</w:tr>
      <w:tr w:rsidR="00976F2E">
        <w:trPr>
          <w:cantSplit/>
          <w:trHeight w:val="557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6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Morosidade na tramitação do processo de Gestão do Patrimônio Imobiliário.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bCs/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7. </w:t>
            </w:r>
            <w:r>
              <w:rPr>
                <w:b/>
                <w:spacing w:val="-3"/>
                <w:sz w:val="20"/>
              </w:rPr>
              <w:t>Aperfeiçoamento dos mecanismos de auditoria e controle interno</w:t>
            </w:r>
          </w:p>
        </w:tc>
      </w:tr>
      <w:tr w:rsidR="00976F2E">
        <w:trPr>
          <w:cantSplit/>
          <w:trHeight w:val="245"/>
        </w:trPr>
        <w:tc>
          <w:tcPr>
            <w:tcW w:w="3516" w:type="dxa"/>
            <w:vMerge w:val="restart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20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Elevado número de processos com irregularidades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FootnoteText"/>
              <w:numPr>
                <w:ilvl w:val="1"/>
                <w:numId w:val="50"/>
              </w:num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Implantação do Sistema de Gestão do Controle Interno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FootnoteText"/>
              <w:numPr>
                <w:ilvl w:val="1"/>
                <w:numId w:val="51"/>
              </w:num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(a) Eliminar o número de processos não conformes e irregulares efetivados.</w:t>
            </w:r>
          </w:p>
          <w:p w:rsidR="00976F2E" w:rsidRDefault="00976F2E">
            <w:pPr>
              <w:pStyle w:val="FootnoteText"/>
              <w:jc w:val="both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Linha de Base</w:t>
            </w:r>
            <w:r>
              <w:rPr>
                <w:bCs/>
                <w:szCs w:val="24"/>
              </w:rPr>
              <w:t>: 8.495 processos não conformes e irregulares efetivados em 2008.</w:t>
            </w:r>
          </w:p>
          <w:p w:rsidR="00976F2E" w:rsidRDefault="00976F2E">
            <w:pPr>
              <w:pStyle w:val="FootnoteText"/>
              <w:ind w:left="59"/>
              <w:jc w:val="both"/>
              <w:rPr>
                <w:bCs/>
                <w:szCs w:val="24"/>
              </w:rPr>
            </w:pPr>
          </w:p>
          <w:p w:rsidR="00976F2E" w:rsidRDefault="00976F2E" w:rsidP="00657C26">
            <w:pPr>
              <w:pStyle w:val="FootnoteText"/>
              <w:numPr>
                <w:ilvl w:val="1"/>
                <w:numId w:val="52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(b) Disponibilizar </w:t>
            </w:r>
            <w:r>
              <w:rPr>
                <w:i/>
                <w:szCs w:val="24"/>
              </w:rPr>
              <w:t>on line</w:t>
            </w:r>
            <w:r>
              <w:rPr>
                <w:szCs w:val="24"/>
              </w:rPr>
              <w:t xml:space="preserve"> ao TCE os relatórios de irregularidades detectadas nos processos licitatórios.</w:t>
            </w:r>
          </w:p>
          <w:p w:rsidR="00976F2E" w:rsidRDefault="00976F2E">
            <w:pPr>
              <w:pStyle w:val="FootnoteText"/>
              <w:jc w:val="both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Linha de Base</w:t>
            </w:r>
            <w:r>
              <w:rPr>
                <w:bCs/>
                <w:szCs w:val="24"/>
              </w:rPr>
              <w:t>: Irregularidades informadas nos relatórios de prestação de contas anuais.</w:t>
            </w: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FFFFCC"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9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Dificuldade de obtenção de informações nas diversas etapas em que atua o Controle Interno, ocasionado, principalmente, pela falta de integração das áreas de análise de licitações, contratos, convênios, auditoria, inspeção, tomada de contas e avaliação do desempenho da gestão governamental.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4127" w:type="dxa"/>
            <w:vMerge/>
            <w:vAlign w:val="center"/>
          </w:tcPr>
          <w:p w:rsidR="00976F2E" w:rsidRDefault="00976F2E">
            <w:pPr>
              <w:rPr>
                <w:b/>
                <w:sz w:val="20"/>
              </w:rPr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FFFFCC"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9"/>
              </w:numPr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Controles manuais dos relatórios de auditoria, inspeção, prestação de contas anuais e avaliação anual da gestão governamental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4127" w:type="dxa"/>
            <w:vMerge/>
            <w:vAlign w:val="center"/>
          </w:tcPr>
          <w:p w:rsidR="00976F2E" w:rsidRDefault="00976F2E">
            <w:pPr>
              <w:rPr>
                <w:b/>
                <w:sz w:val="20"/>
              </w:rPr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FFFFCC"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49"/>
              </w:num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Dificuldade de comprovar a legalidade e avaliar os resultados da gestão orçamentária, financeira e patrimonial da administração estadual e empresas públicas.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sz w:val="20"/>
              </w:rPr>
            </w:pPr>
          </w:p>
        </w:tc>
        <w:tc>
          <w:tcPr>
            <w:tcW w:w="4127" w:type="dxa"/>
            <w:vMerge/>
            <w:vAlign w:val="center"/>
          </w:tcPr>
          <w:p w:rsidR="00976F2E" w:rsidRDefault="00976F2E">
            <w:pPr>
              <w:rPr>
                <w:b/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</w:tcPr>
          <w:p w:rsidR="00976F2E" w:rsidRDefault="00976F2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Impactos: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>Coordenação e integração entre o planejamento e a execução;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>Melhor utilização dos recursos públicos;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>Maior transparência das despesas do serviço público estadual.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 xml:space="preserve">Maior segurança e confiabilidade das informações prestadas ao TCE-GO. 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>Efetivo controle do patrimônio imobiliário do Estado;</w:t>
            </w:r>
          </w:p>
          <w:p w:rsidR="00976F2E" w:rsidRDefault="00976F2E" w:rsidP="00657C26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left="72" w:firstLine="0"/>
              <w:rPr>
                <w:sz w:val="20"/>
              </w:rPr>
            </w:pPr>
            <w:r>
              <w:rPr>
                <w:sz w:val="20"/>
              </w:rPr>
              <w:t>Redução do gasto logístico</w:t>
            </w:r>
          </w:p>
        </w:tc>
      </w:tr>
      <w:tr w:rsidR="00976F2E">
        <w:tc>
          <w:tcPr>
            <w:tcW w:w="14580" w:type="dxa"/>
            <w:gridSpan w:val="4"/>
            <w:shd w:val="clear" w:color="auto" w:fill="FFFF99"/>
          </w:tcPr>
          <w:p w:rsidR="00976F2E" w:rsidRDefault="00976F2E" w:rsidP="00A304EB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IV. GESTÃO DE RECURSOS CORPORATIVOS</w:t>
            </w: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8. </w:t>
            </w:r>
            <w:r>
              <w:rPr>
                <w:b/>
                <w:spacing w:val="-3"/>
                <w:sz w:val="20"/>
              </w:rPr>
              <w:t>Aperfeiçoamento dos mecanismos de transparência e comunicação com a sociedade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</w:trPr>
        <w:tc>
          <w:tcPr>
            <w:tcW w:w="3516" w:type="dxa"/>
            <w:vMerge w:val="restart"/>
          </w:tcPr>
          <w:p w:rsidR="00976F2E" w:rsidRDefault="00976F2E" w:rsidP="00657C26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Insuficiência de infraestrutura física, tecnológica e de pessoal para um atendimento eficiente aos clientes internos e externos da SEFAZ.</w:t>
            </w:r>
          </w:p>
        </w:tc>
        <w:tc>
          <w:tcPr>
            <w:tcW w:w="3572" w:type="dxa"/>
            <w:vAlign w:val="center"/>
          </w:tcPr>
          <w:p w:rsidR="00976F2E" w:rsidRDefault="00976F2E" w:rsidP="00657C26">
            <w:pPr>
              <w:numPr>
                <w:ilvl w:val="2"/>
                <w:numId w:val="21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As Delegacias Regionais não apresentam serviço de atendimento ao contribuinte de acordo com o padrão de qualidade de excelência (Vapt Vupt)</w:t>
            </w:r>
          </w:p>
        </w:tc>
        <w:tc>
          <w:tcPr>
            <w:tcW w:w="3365" w:type="dxa"/>
            <w:vMerge w:val="restart"/>
          </w:tcPr>
          <w:p w:rsidR="00976F2E" w:rsidRDefault="00976F2E" w:rsidP="002538AB">
            <w:pPr>
              <w:numPr>
                <w:ilvl w:val="1"/>
                <w:numId w:val="1"/>
              </w:num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Ampliação do Padrão de Atendimento Vapt Vupt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54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(a) Implantar o Padrão de Atendimento Vapt Vupt em 12 Delegacias Regionais de Fiscalização e no Complexo Fazendário.</w:t>
            </w:r>
          </w:p>
          <w:p w:rsidR="00976F2E" w:rsidRDefault="00976F2E">
            <w:pPr>
              <w:pStyle w:val="BodyText3"/>
              <w:snapToGrid w:val="0"/>
              <w:ind w:left="59"/>
              <w:jc w:val="both"/>
            </w:pPr>
            <w:r>
              <w:rPr>
                <w:b/>
              </w:rPr>
              <w:t>Linha de Base</w:t>
            </w:r>
            <w:r>
              <w:t>: 01 unidade com Padrão de Atendimento Vapt Vupt implantado na DRF de Goiânia, unidade 1.</w:t>
            </w:r>
          </w:p>
          <w:p w:rsidR="00976F2E" w:rsidRDefault="00976F2E" w:rsidP="00657C26">
            <w:pPr>
              <w:numPr>
                <w:ilvl w:val="1"/>
                <w:numId w:val="55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(b) Aumentar de </w:t>
            </w:r>
            <w:r>
              <w:rPr>
                <w:sz w:val="20"/>
                <w:szCs w:val="20"/>
              </w:rPr>
              <w:t xml:space="preserve">85,71% </w:t>
            </w:r>
            <w:r>
              <w:rPr>
                <w:sz w:val="20"/>
              </w:rPr>
              <w:t>para 98,5%.o índice de satisfação dos clientes, com o Padrão de Atendimento Vapt Vupt nas 12 Delegacias Regionais de Fiscalização e no Complexo Fazendário.</w:t>
            </w:r>
          </w:p>
          <w:p w:rsidR="00976F2E" w:rsidRDefault="00976F2E">
            <w:pPr>
              <w:pStyle w:val="FootnoteText"/>
              <w:snapToGrid w:val="0"/>
              <w:ind w:left="59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Linha de Base</w:t>
            </w:r>
            <w:r>
              <w:rPr>
                <w:szCs w:val="24"/>
              </w:rPr>
              <w:t xml:space="preserve">: </w:t>
            </w:r>
            <w:r>
              <w:t>85,71% em 2008.</w:t>
            </w:r>
          </w:p>
        </w:tc>
      </w:tr>
      <w:tr w:rsidR="00976F2E">
        <w:trPr>
          <w:cantSplit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</w:pPr>
          </w:p>
        </w:tc>
        <w:tc>
          <w:tcPr>
            <w:tcW w:w="3572" w:type="dxa"/>
            <w:vAlign w:val="center"/>
          </w:tcPr>
          <w:p w:rsidR="00976F2E" w:rsidRDefault="00976F2E" w:rsidP="00657C26">
            <w:pPr>
              <w:numPr>
                <w:ilvl w:val="2"/>
                <w:numId w:val="53"/>
              </w:num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Deficiência na infraestrutura física e tecnológica e na capacitação das pessoas das Delegacias Regionais para atendimento ao contribuinte de acordo com o padrão de qualidade de excelência (Vapt Vupt).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9. </w:t>
            </w:r>
            <w:r>
              <w:rPr>
                <w:b/>
                <w:spacing w:val="-3"/>
                <w:sz w:val="20"/>
              </w:rPr>
              <w:t>Modernização da gestão tecnológica e aperfeiçoamento dos serviços internos e externos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 w:rsidTr="00713C03">
        <w:trPr>
          <w:cantSplit/>
          <w:trHeight w:val="243"/>
        </w:trPr>
        <w:tc>
          <w:tcPr>
            <w:tcW w:w="3516" w:type="dxa"/>
            <w:vMerge w:val="restart"/>
          </w:tcPr>
          <w:p w:rsidR="00976F2E" w:rsidRDefault="00976F2E">
            <w:pPr>
              <w:pStyle w:val="BodyTextIndent"/>
              <w:ind w:left="0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22"/>
              </w:numPr>
              <w:rPr>
                <w:color w:val="auto"/>
              </w:rPr>
            </w:pPr>
            <w:r>
              <w:rPr>
                <w:color w:val="auto"/>
              </w:rPr>
              <w:t>Ausência do registro de entrada e saída de pessoas na SEFAZ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57"/>
              </w:numPr>
              <w:rPr>
                <w:b/>
                <w:color w:val="auto"/>
              </w:rPr>
            </w:pPr>
            <w:r w:rsidRPr="00713C03">
              <w:rPr>
                <w:b/>
                <w:color w:val="auto"/>
              </w:rPr>
              <w:t xml:space="preserve">Implantação de Controle </w:t>
            </w:r>
            <w:r w:rsidRPr="00713C03">
              <w:rPr>
                <w:b/>
                <w:color w:val="auto"/>
                <w:szCs w:val="20"/>
              </w:rPr>
              <w:t>Eletrônico</w:t>
            </w:r>
            <w:r w:rsidRPr="00713C03">
              <w:rPr>
                <w:b/>
                <w:szCs w:val="20"/>
              </w:rPr>
              <w:t xml:space="preserve"> </w:t>
            </w:r>
            <w:r w:rsidRPr="00713C03">
              <w:rPr>
                <w:b/>
                <w:color w:val="auto"/>
              </w:rPr>
              <w:t>do Fluxo de Acesso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5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Controle Eletrônico de entrada e saída de todas as pessoas no Complexo Fazendário Meia Ponte. </w:t>
            </w:r>
          </w:p>
          <w:p w:rsidR="00976F2E" w:rsidRPr="00713C03" w:rsidRDefault="00976F2E">
            <w:pPr>
              <w:pStyle w:val="FootnoteText"/>
              <w:tabs>
                <w:tab w:val="num" w:pos="239"/>
              </w:tabs>
              <w:ind w:left="59"/>
              <w:jc w:val="both"/>
            </w:pPr>
            <w:r>
              <w:rPr>
                <w:b/>
              </w:rPr>
              <w:t xml:space="preserve">Linha de Base: </w:t>
            </w:r>
            <w:r w:rsidRPr="00713C03">
              <w:t>Inexistência de controle de fluxo de pessoas</w:t>
            </w:r>
          </w:p>
          <w:p w:rsidR="00976F2E" w:rsidRDefault="00976F2E" w:rsidP="00657C26">
            <w:pPr>
              <w:numPr>
                <w:ilvl w:val="1"/>
                <w:numId w:val="59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Eliminar </w:t>
            </w:r>
            <w:r>
              <w:rPr>
                <w:bCs/>
                <w:sz w:val="20"/>
                <w:szCs w:val="20"/>
              </w:rPr>
              <w:t>o número de ocorrências de furtos/roubos registradas na Corregedoria Fiscal e na Delegacia de Crimes contra a Ordem tributária (DOT).</w:t>
            </w:r>
          </w:p>
          <w:p w:rsidR="00976F2E" w:rsidRDefault="00976F2E">
            <w:pPr>
              <w:pStyle w:val="FootnoteText"/>
              <w:tabs>
                <w:tab w:val="num" w:pos="239"/>
              </w:tabs>
              <w:ind w:left="59"/>
              <w:jc w:val="both"/>
              <w:rPr>
                <w:bCs/>
                <w:szCs w:val="24"/>
              </w:rPr>
            </w:pPr>
            <w:r>
              <w:rPr>
                <w:b/>
              </w:rPr>
              <w:t>Linha de Base: 3</w:t>
            </w:r>
          </w:p>
        </w:tc>
      </w:tr>
      <w:tr w:rsidR="00976F2E" w:rsidTr="00713C03">
        <w:trPr>
          <w:cantSplit/>
          <w:trHeight w:val="725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56"/>
              </w:numPr>
              <w:rPr>
                <w:color w:val="auto"/>
              </w:rPr>
            </w:pPr>
            <w:r>
              <w:rPr>
                <w:color w:val="auto"/>
              </w:rPr>
              <w:t>Vulnerabilidade da segurança das informações, documentos e objetos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 w:rsidTr="00713C03">
        <w:trPr>
          <w:cantSplit/>
          <w:trHeight w:val="24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ind w:left="0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0"/>
              </w:numPr>
              <w:rPr>
                <w:color w:val="auto"/>
              </w:rPr>
            </w:pPr>
            <w:r>
              <w:rPr>
                <w:color w:val="auto"/>
              </w:rPr>
              <w:t>Crescente demanda de processamento de informações internas e externas.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56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Ampliação da capacidade de processamento, armazenamento, recuperação e distribuição das informações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62"/>
              </w:numPr>
              <w:rPr>
                <w:color w:val="auto"/>
              </w:rPr>
            </w:pPr>
            <w:r>
              <w:rPr>
                <w:color w:val="auto"/>
              </w:rPr>
              <w:t>(a) Aumentar de</w:t>
            </w:r>
            <w:r>
              <w:rPr>
                <w:color w:val="auto"/>
                <w:szCs w:val="20"/>
              </w:rPr>
              <w:t xml:space="preserve"> 35TB</w:t>
            </w:r>
            <w:r>
              <w:rPr>
                <w:color w:val="auto"/>
              </w:rPr>
              <w:t xml:space="preserve"> para </w:t>
            </w:r>
            <w:r>
              <w:rPr>
                <w:color w:val="auto"/>
                <w:szCs w:val="20"/>
              </w:rPr>
              <w:t>85TB</w:t>
            </w:r>
            <w:r>
              <w:rPr>
                <w:color w:val="auto"/>
              </w:rPr>
              <w:t xml:space="preserve"> a capacidade de armazenamento</w:t>
            </w:r>
          </w:p>
          <w:p w:rsidR="00976F2E" w:rsidRDefault="00976F2E">
            <w:pPr>
              <w:pStyle w:val="BodyText3"/>
              <w:rPr>
                <w:bCs/>
              </w:rPr>
            </w:pPr>
            <w:r>
              <w:rPr>
                <w:b/>
                <w:bCs/>
              </w:rPr>
              <w:t>Linha de Base</w:t>
            </w:r>
            <w:r>
              <w:rPr>
                <w:bCs/>
              </w:rPr>
              <w:t xml:space="preserve">: </w:t>
            </w:r>
            <w:r>
              <w:rPr>
                <w:szCs w:val="20"/>
              </w:rPr>
              <w:t>35</w:t>
            </w:r>
            <w:r>
              <w:rPr>
                <w:bCs/>
              </w:rPr>
              <w:t xml:space="preserve"> em 2008.</w:t>
            </w:r>
          </w:p>
          <w:p w:rsidR="00976F2E" w:rsidRDefault="00976F2E">
            <w:pPr>
              <w:rPr>
                <w:sz w:val="20"/>
              </w:rPr>
            </w:pPr>
          </w:p>
          <w:p w:rsidR="00976F2E" w:rsidRDefault="00976F2E" w:rsidP="00657C26">
            <w:pPr>
              <w:pStyle w:val="BodyTextIndent"/>
              <w:numPr>
                <w:ilvl w:val="1"/>
                <w:numId w:val="63"/>
              </w:numPr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(b) 100% das unidades da SEFAZ interligadas à rede SEFAZ</w:t>
            </w:r>
          </w:p>
          <w:p w:rsidR="00976F2E" w:rsidRDefault="00976F2E">
            <w:pPr>
              <w:pStyle w:val="BodyTextInden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L</w:t>
            </w:r>
            <w:r>
              <w:rPr>
                <w:b/>
                <w:bCs/>
                <w:color w:val="auto"/>
              </w:rPr>
              <w:t>inha de Base:</w:t>
            </w:r>
            <w:r>
              <w:rPr>
                <w:bCs/>
                <w:color w:val="auto"/>
              </w:rPr>
              <w:t xml:space="preserve"> </w:t>
            </w:r>
            <w:r>
              <w:rPr>
                <w:color w:val="auto"/>
              </w:rPr>
              <w:t>74%</w:t>
            </w:r>
            <w:r>
              <w:rPr>
                <w:bCs/>
                <w:color w:val="auto"/>
              </w:rPr>
              <w:t xml:space="preserve"> em 2008.</w:t>
            </w: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1"/>
              </w:numPr>
              <w:rPr>
                <w:color w:val="auto"/>
              </w:rPr>
            </w:pPr>
            <w:r>
              <w:rPr>
                <w:color w:val="auto"/>
              </w:rPr>
              <w:t>Obsolescência dos equipamentos existentes no parque tecnológico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4"/>
              </w:numPr>
              <w:rPr>
                <w:color w:val="auto"/>
              </w:rPr>
            </w:pPr>
            <w:r>
              <w:rPr>
                <w:color w:val="auto"/>
              </w:rPr>
              <w:t>Falta de padronização dos instrumentos de TI, incluindo metodologias, plataformas, telecomunicações e banco de dados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numPr>
                <w:ilvl w:val="1"/>
                <w:numId w:val="61"/>
              </w:num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Implantação e institucionalização de um Plano Diretor de Tecnologia da Informação (PDTI) contemplando a análise de riscos.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66"/>
              </w:numPr>
              <w:rPr>
                <w:sz w:val="20"/>
              </w:rPr>
            </w:pPr>
            <w:r>
              <w:rPr>
                <w:sz w:val="20"/>
              </w:rPr>
              <w:t>(a) Relatório de Auditoria externa indica a utilização das diretrizes estipuladas no PDTI</w:t>
            </w:r>
          </w:p>
          <w:p w:rsidR="00976F2E" w:rsidRDefault="00976F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Linha de Base: Inexistência de PDTI</w:t>
            </w:r>
          </w:p>
          <w:p w:rsidR="00976F2E" w:rsidRDefault="00976F2E">
            <w:pPr>
              <w:rPr>
                <w:b/>
                <w:bCs/>
                <w:sz w:val="20"/>
                <w:szCs w:val="20"/>
              </w:rPr>
            </w:pPr>
          </w:p>
          <w:p w:rsidR="00976F2E" w:rsidRDefault="00976F2E" w:rsidP="00657C26">
            <w:pPr>
              <w:numPr>
                <w:ilvl w:val="1"/>
                <w:numId w:val="6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(b) Aumentar </w:t>
            </w:r>
            <w:r>
              <w:rPr>
                <w:sz w:val="20"/>
                <w:szCs w:val="20"/>
              </w:rPr>
              <w:t>de 82% para 90%</w:t>
            </w:r>
            <w:r>
              <w:rPr>
                <w:szCs w:val="20"/>
              </w:rPr>
              <w:t xml:space="preserve"> </w:t>
            </w:r>
            <w:r>
              <w:rPr>
                <w:sz w:val="20"/>
              </w:rPr>
              <w:t>da disponibilidade dos serviços internos e externos da SEFAZ.</w:t>
            </w:r>
          </w:p>
          <w:p w:rsidR="00976F2E" w:rsidRDefault="00976F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Linha de Base: </w:t>
            </w:r>
            <w:r>
              <w:rPr>
                <w:sz w:val="20"/>
                <w:szCs w:val="20"/>
              </w:rPr>
              <w:t>82%</w:t>
            </w: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5"/>
              </w:numPr>
              <w:rPr>
                <w:color w:val="auto"/>
              </w:rPr>
            </w:pPr>
            <w:r>
              <w:rPr>
                <w:color w:val="auto"/>
              </w:rPr>
              <w:t>Deficiência nas diretrizes relativas às políticas de segurança e armazenamento de dados</w:t>
            </w:r>
          </w:p>
        </w:tc>
        <w:tc>
          <w:tcPr>
            <w:tcW w:w="3365" w:type="dxa"/>
            <w:vMerge/>
          </w:tcPr>
          <w:p w:rsidR="00976F2E" w:rsidRDefault="00976F2E" w:rsidP="00657C26">
            <w:pPr>
              <w:numPr>
                <w:ilvl w:val="1"/>
                <w:numId w:val="66"/>
              </w:num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5"/>
              </w:numPr>
              <w:rPr>
                <w:color w:val="auto"/>
              </w:rPr>
            </w:pPr>
            <w:r>
              <w:rPr>
                <w:color w:val="auto"/>
              </w:rPr>
              <w:t>Insatisfação dos usuários e clientes com relação aos serviços de TI.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ind w:left="591"/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5"/>
              </w:numPr>
              <w:rPr>
                <w:color w:val="auto"/>
              </w:rPr>
            </w:pPr>
            <w:r>
              <w:rPr>
                <w:color w:val="auto"/>
              </w:rPr>
              <w:t>Deficiência de especialização do pessoal de TI em temas estratégicos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ind w:left="591"/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243"/>
        </w:trPr>
        <w:tc>
          <w:tcPr>
            <w:tcW w:w="3516" w:type="dxa"/>
            <w:vMerge/>
          </w:tcPr>
          <w:p w:rsidR="00976F2E" w:rsidRDefault="00976F2E">
            <w:pPr>
              <w:pStyle w:val="BodyTextIndent"/>
              <w:rPr>
                <w:color w:val="auto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pStyle w:val="BodyTextIndent"/>
              <w:numPr>
                <w:ilvl w:val="2"/>
                <w:numId w:val="65"/>
              </w:numPr>
              <w:rPr>
                <w:color w:val="auto"/>
              </w:rPr>
            </w:pPr>
            <w:r>
              <w:rPr>
                <w:color w:val="auto"/>
              </w:rPr>
              <w:t>Baixa capacidade de avaliação dos riscos no ambiente de TI.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ind w:left="591"/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c>
          <w:tcPr>
            <w:tcW w:w="14580" w:type="dxa"/>
            <w:gridSpan w:val="4"/>
            <w:shd w:val="clear" w:color="auto" w:fill="E0E0E0"/>
          </w:tcPr>
          <w:p w:rsidR="00976F2E" w:rsidRDefault="00976F2E" w:rsidP="002538AB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 xml:space="preserve">10. </w:t>
            </w:r>
            <w:r>
              <w:rPr>
                <w:b/>
                <w:spacing w:val="-3"/>
                <w:sz w:val="20"/>
              </w:rPr>
              <w:t>Aperfeiçoamento da gestão de Recursos Humanos</w:t>
            </w:r>
          </w:p>
        </w:tc>
      </w:tr>
      <w:tr w:rsidR="00976F2E">
        <w:tc>
          <w:tcPr>
            <w:tcW w:w="3516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Problemas</w:t>
            </w:r>
          </w:p>
        </w:tc>
        <w:tc>
          <w:tcPr>
            <w:tcW w:w="3572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Causas</w:t>
            </w:r>
          </w:p>
        </w:tc>
        <w:tc>
          <w:tcPr>
            <w:tcW w:w="3365" w:type="dxa"/>
          </w:tcPr>
          <w:p w:rsidR="00976F2E" w:rsidRDefault="00976F2E">
            <w:pPr>
              <w:pStyle w:val="Heading1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Soluções ou Produtos</w:t>
            </w:r>
          </w:p>
        </w:tc>
        <w:tc>
          <w:tcPr>
            <w:tcW w:w="4127" w:type="dxa"/>
          </w:tcPr>
          <w:p w:rsidR="00976F2E" w:rsidRDefault="00976F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Resultados</w:t>
            </w:r>
          </w:p>
        </w:tc>
      </w:tr>
      <w:tr w:rsidR="00976F2E">
        <w:trPr>
          <w:cantSplit/>
          <w:trHeight w:val="174"/>
        </w:trPr>
        <w:tc>
          <w:tcPr>
            <w:tcW w:w="3516" w:type="dxa"/>
            <w:vMerge w:val="restart"/>
          </w:tcPr>
          <w:p w:rsidR="00976F2E" w:rsidRDefault="00976F2E">
            <w:pPr>
              <w:snapToGrid w:val="0"/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1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Baixa participação dos servidores das unidades descentralizadas em atividades de capacitação promovidas na capital 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69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Implantação de um Modelo de Ensino Tele-Presencial 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7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(a) Equipar pelo menos 12 Delegacias Regionais e no Polo Gestor com ferramentas de Ensino Tele-Presencial.</w:t>
            </w:r>
          </w:p>
          <w:p w:rsidR="00976F2E" w:rsidRDefault="00976F2E">
            <w:pPr>
              <w:ind w:left="5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Linha de Base: </w:t>
            </w:r>
            <w:r>
              <w:rPr>
                <w:sz w:val="20"/>
              </w:rPr>
              <w:t>0 Delegacias Regionais equipadas com ferramentas de Ensino Tele-Presencial</w:t>
            </w:r>
          </w:p>
          <w:p w:rsidR="00976F2E" w:rsidRDefault="00976F2E">
            <w:pPr>
              <w:ind w:left="59"/>
              <w:jc w:val="both"/>
              <w:rPr>
                <w:sz w:val="20"/>
              </w:rPr>
            </w:pPr>
          </w:p>
          <w:p w:rsidR="00976F2E" w:rsidRDefault="00976F2E">
            <w:pPr>
              <w:ind w:left="572" w:hanging="5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10.1. (b) Aumentar de </w:t>
            </w:r>
            <w:r>
              <w:rPr>
                <w:sz w:val="20"/>
                <w:szCs w:val="20"/>
              </w:rPr>
              <w:t>2043</w:t>
            </w:r>
            <w:r>
              <w:rPr>
                <w:sz w:val="20"/>
              </w:rPr>
              <w:t xml:space="preserve"> para </w:t>
            </w:r>
            <w:r>
              <w:rPr>
                <w:sz w:val="20"/>
                <w:szCs w:val="20"/>
              </w:rPr>
              <w:t xml:space="preserve">4086 </w:t>
            </w:r>
            <w:r>
              <w:rPr>
                <w:sz w:val="20"/>
              </w:rPr>
              <w:t xml:space="preserve">a participação de servidores das </w:t>
            </w:r>
            <w:r>
              <w:rPr>
                <w:sz w:val="20"/>
                <w:szCs w:val="20"/>
              </w:rPr>
              <w:t>unidades descentralizadas</w:t>
            </w:r>
            <w:r>
              <w:rPr>
                <w:sz w:val="20"/>
              </w:rPr>
              <w:t xml:space="preserve"> em eventos de capacitação, por meio de Ensino Tele-Presencial.</w:t>
            </w:r>
          </w:p>
          <w:p w:rsidR="00976F2E" w:rsidRDefault="00976F2E">
            <w:pPr>
              <w:pStyle w:val="Contedodatabela"/>
              <w:widowControl/>
              <w:suppressLineNumbers w:val="0"/>
              <w:suppressAutoHyphens w:val="0"/>
              <w:jc w:val="both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Linha de Base:</w:t>
            </w: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2043</w:t>
            </w:r>
            <w:r>
              <w:rPr>
                <w:rFonts w:eastAsia="Times New Roman"/>
                <w:sz w:val="20"/>
                <w:lang w:eastAsia="en-US"/>
              </w:rPr>
              <w:t xml:space="preserve"> em 2008.</w:t>
            </w:r>
          </w:p>
        </w:tc>
      </w:tr>
      <w:tr w:rsidR="00976F2E">
        <w:trPr>
          <w:cantSplit/>
          <w:trHeight w:val="18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Elevado custo da capacitação presencial.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18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Despadronização na execução dos processos de trabalho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183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68"/>
              </w:numPr>
              <w:ind w:left="696" w:hanging="6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Instalações físicas (salas de aula e laboratórios de informática) e ferramentas para disseminação, inadequadas e insuficientes para atender de forma tempestiva as demandas de capacitação da SEFAZ</w:t>
            </w:r>
          </w:p>
        </w:tc>
        <w:tc>
          <w:tcPr>
            <w:tcW w:w="3365" w:type="dxa"/>
            <w:vMerge/>
          </w:tcPr>
          <w:p w:rsidR="00976F2E" w:rsidRDefault="00976F2E">
            <w:pPr>
              <w:rPr>
                <w:b/>
                <w:bCs/>
                <w:sz w:val="20"/>
              </w:rPr>
            </w:pPr>
          </w:p>
        </w:tc>
        <w:tc>
          <w:tcPr>
            <w:tcW w:w="4127" w:type="dxa"/>
            <w:vMerge/>
            <w:shd w:val="clear" w:color="auto" w:fill="CCFFCC"/>
          </w:tcPr>
          <w:p w:rsidR="00976F2E" w:rsidRDefault="00976F2E">
            <w:pPr>
              <w:rPr>
                <w:sz w:val="20"/>
              </w:rPr>
            </w:pPr>
          </w:p>
        </w:tc>
      </w:tr>
      <w:tr w:rsidR="00976F2E">
        <w:trPr>
          <w:cantSplit/>
          <w:trHeight w:val="37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color w:val="000000"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70"/>
              </w:num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 Corregedoria Fiscal atua, predominantemente, a partir de demandas externas e não por iniciativa própria.</w:t>
            </w:r>
          </w:p>
        </w:tc>
        <w:tc>
          <w:tcPr>
            <w:tcW w:w="3365" w:type="dxa"/>
            <w:vMerge w:val="restart"/>
          </w:tcPr>
          <w:p w:rsidR="00976F2E" w:rsidRDefault="00976F2E" w:rsidP="00657C26">
            <w:pPr>
              <w:pStyle w:val="BodyTextIndent"/>
              <w:numPr>
                <w:ilvl w:val="1"/>
                <w:numId w:val="68"/>
              </w:numPr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Aperfeiçoamento do Modelo da Corregedoria Fiscal</w:t>
            </w:r>
          </w:p>
        </w:tc>
        <w:tc>
          <w:tcPr>
            <w:tcW w:w="4127" w:type="dxa"/>
            <w:vMerge w:val="restart"/>
          </w:tcPr>
          <w:p w:rsidR="00976F2E" w:rsidRDefault="00976F2E" w:rsidP="00657C26">
            <w:pPr>
              <w:numPr>
                <w:ilvl w:val="1"/>
                <w:numId w:val="72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Aumentar de 0 </w:t>
            </w:r>
            <w:r w:rsidRPr="00CC7064">
              <w:rPr>
                <w:sz w:val="20"/>
                <w:szCs w:val="20"/>
              </w:rPr>
              <w:t>para 12 o número</w:t>
            </w:r>
            <w:r>
              <w:rPr>
                <w:sz w:val="20"/>
                <w:szCs w:val="20"/>
              </w:rPr>
              <w:t xml:space="preserve"> de processos instaurados em decorrência de ações originadas de prospecções efetuadas na Supervisão de Análise e Sindicância (SAS).</w:t>
            </w:r>
          </w:p>
          <w:p w:rsidR="00976F2E" w:rsidRDefault="00976F2E">
            <w:pPr>
              <w:tabs>
                <w:tab w:val="num" w:pos="239"/>
              </w:tabs>
              <w:snapToGrid w:val="0"/>
              <w:ind w:left="59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Linha de Base: </w:t>
            </w:r>
            <w:r>
              <w:rPr>
                <w:sz w:val="20"/>
                <w:szCs w:val="20"/>
              </w:rPr>
              <w:t>0 em 2008</w:t>
            </w:r>
          </w:p>
          <w:p w:rsidR="00976F2E" w:rsidRDefault="00976F2E">
            <w:pPr>
              <w:tabs>
                <w:tab w:val="num" w:pos="239"/>
              </w:tabs>
              <w:snapToGrid w:val="0"/>
              <w:ind w:left="59"/>
              <w:jc w:val="both"/>
              <w:rPr>
                <w:sz w:val="20"/>
                <w:szCs w:val="20"/>
              </w:rPr>
            </w:pPr>
          </w:p>
          <w:p w:rsidR="00976F2E" w:rsidRDefault="00976F2E" w:rsidP="00657C26">
            <w:pPr>
              <w:numPr>
                <w:ilvl w:val="1"/>
                <w:numId w:val="73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(b1) Reduzir de 858 para 260 dias o tempo médio necessário para instrução de sindicâncias ao final deste projeto </w:t>
            </w:r>
          </w:p>
          <w:p w:rsidR="00976F2E" w:rsidRDefault="00976F2E">
            <w:pPr>
              <w:tabs>
                <w:tab w:val="num" w:pos="239"/>
              </w:tabs>
              <w:snapToGrid w:val="0"/>
              <w:ind w:left="59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Linha de Base</w:t>
            </w:r>
            <w:r>
              <w:rPr>
                <w:sz w:val="20"/>
                <w:szCs w:val="20"/>
              </w:rPr>
              <w:t>: 858 dias  em 2008.</w:t>
            </w:r>
          </w:p>
          <w:p w:rsidR="00976F2E" w:rsidRDefault="00976F2E">
            <w:pPr>
              <w:tabs>
                <w:tab w:val="num" w:pos="239"/>
              </w:tabs>
              <w:snapToGrid w:val="0"/>
              <w:ind w:left="59"/>
              <w:jc w:val="both"/>
              <w:rPr>
                <w:sz w:val="20"/>
                <w:szCs w:val="20"/>
              </w:rPr>
            </w:pPr>
          </w:p>
          <w:p w:rsidR="00976F2E" w:rsidRDefault="00976F2E" w:rsidP="00657C26">
            <w:pPr>
              <w:numPr>
                <w:ilvl w:val="1"/>
                <w:numId w:val="74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(b2) Reduzir de 854 para 520 dias o tempo médio necessário para instrução de processos administrativos disciplinares ao final deste projeto </w:t>
            </w:r>
          </w:p>
          <w:p w:rsidR="00976F2E" w:rsidRDefault="00976F2E" w:rsidP="00CC7064">
            <w:pPr>
              <w:tabs>
                <w:tab w:val="num" w:pos="239"/>
              </w:tabs>
              <w:snapToGrid w:val="0"/>
              <w:ind w:left="59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Linha de Base</w:t>
            </w:r>
            <w:r>
              <w:rPr>
                <w:sz w:val="20"/>
                <w:szCs w:val="20"/>
              </w:rPr>
              <w:t>: 854 dias em 2008</w:t>
            </w: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70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Lentidão na tramitação dos procedimentos administrativos</w:t>
            </w:r>
            <w:r>
              <w:rPr>
                <w:color w:val="000000"/>
                <w:sz w:val="20"/>
                <w:szCs w:val="20"/>
              </w:rPr>
              <w:t xml:space="preserve"> possibilitando a ocorrência da prescrição processual.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sz w:val="20"/>
                <w:szCs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snapToGrid w:val="0"/>
              <w:rPr>
                <w:sz w:val="20"/>
                <w:szCs w:val="20"/>
              </w:rPr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70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Carência </w:t>
            </w:r>
            <w:r>
              <w:rPr>
                <w:sz w:val="20"/>
                <w:szCs w:val="20"/>
              </w:rPr>
              <w:t xml:space="preserve">de planejamento sistemático e </w:t>
            </w:r>
            <w:r>
              <w:rPr>
                <w:color w:val="000000"/>
                <w:sz w:val="20"/>
                <w:szCs w:val="20"/>
              </w:rPr>
              <w:t>periódico</w:t>
            </w:r>
            <w:r>
              <w:rPr>
                <w:sz w:val="20"/>
                <w:szCs w:val="20"/>
              </w:rPr>
              <w:t xml:space="preserve"> de ações, baseado em metodologias e parâmetros técnico-científicos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rPr>
                <w:sz w:val="20"/>
                <w:szCs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snapToGrid w:val="0"/>
              <w:rPr>
                <w:sz w:val="20"/>
                <w:szCs w:val="20"/>
              </w:rPr>
            </w:pPr>
          </w:p>
        </w:tc>
      </w:tr>
      <w:tr w:rsidR="00976F2E">
        <w:trPr>
          <w:cantSplit/>
          <w:trHeight w:val="245"/>
        </w:trPr>
        <w:tc>
          <w:tcPr>
            <w:tcW w:w="3516" w:type="dxa"/>
            <w:vMerge/>
            <w:shd w:val="clear" w:color="auto" w:fill="CCFFCC"/>
          </w:tcPr>
          <w:p w:rsidR="00976F2E" w:rsidRDefault="00976F2E">
            <w:pPr>
              <w:snapToGrid w:val="0"/>
              <w:rPr>
                <w:sz w:val="20"/>
              </w:rPr>
            </w:pPr>
          </w:p>
        </w:tc>
        <w:tc>
          <w:tcPr>
            <w:tcW w:w="3572" w:type="dxa"/>
          </w:tcPr>
          <w:p w:rsidR="00976F2E" w:rsidRDefault="00976F2E" w:rsidP="00657C26">
            <w:pPr>
              <w:numPr>
                <w:ilvl w:val="2"/>
                <w:numId w:val="70"/>
              </w:numPr>
              <w:snapToGrid w:val="0"/>
              <w:ind w:left="696" w:hanging="696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</w:rPr>
              <w:t>Deficiência na infraestrutura física e tecnológica e na capacitação das pessoas para execução das atividades da COF.</w:t>
            </w:r>
          </w:p>
        </w:tc>
        <w:tc>
          <w:tcPr>
            <w:tcW w:w="3365" w:type="dxa"/>
            <w:vMerge/>
            <w:shd w:val="clear" w:color="auto" w:fill="CCFFCC"/>
          </w:tcPr>
          <w:p w:rsidR="00976F2E" w:rsidRDefault="00976F2E">
            <w:pPr>
              <w:pStyle w:val="Heading2"/>
              <w:tabs>
                <w:tab w:val="left" w:pos="0"/>
              </w:tabs>
              <w:snapToGrid w:val="0"/>
              <w:rPr>
                <w:b w:val="0"/>
                <w:color w:val="000000"/>
                <w:szCs w:val="20"/>
              </w:rPr>
            </w:pPr>
          </w:p>
        </w:tc>
        <w:tc>
          <w:tcPr>
            <w:tcW w:w="4127" w:type="dxa"/>
            <w:vMerge/>
          </w:tcPr>
          <w:p w:rsidR="00976F2E" w:rsidRDefault="00976F2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76F2E">
        <w:tc>
          <w:tcPr>
            <w:tcW w:w="14580" w:type="dxa"/>
            <w:gridSpan w:val="4"/>
          </w:tcPr>
          <w:p w:rsidR="00976F2E" w:rsidRDefault="00976F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Impactos:</w:t>
            </w:r>
          </w:p>
          <w:p w:rsidR="00976F2E" w:rsidRDefault="00976F2E" w:rsidP="00657C26">
            <w:pPr>
              <w:pStyle w:val="BodyTextIndent"/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72" w:firstLine="0"/>
              <w:rPr>
                <w:color w:val="auto"/>
              </w:rPr>
            </w:pPr>
            <w:r>
              <w:rPr>
                <w:color w:val="auto"/>
              </w:rPr>
              <w:t>Melhoria da imagem institucional da SEFAZ junto ao contribuinte e a sociedade em geral</w:t>
            </w:r>
          </w:p>
          <w:p w:rsidR="00976F2E" w:rsidRDefault="00976F2E" w:rsidP="00657C26">
            <w:pPr>
              <w:pStyle w:val="BodyTextIndent"/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72" w:firstLine="0"/>
              <w:rPr>
                <w:color w:val="auto"/>
              </w:rPr>
            </w:pPr>
            <w:r>
              <w:rPr>
                <w:color w:val="auto"/>
              </w:rPr>
              <w:t>Agilidade no atendimento ao contribuinte;</w:t>
            </w:r>
          </w:p>
          <w:p w:rsidR="00976F2E" w:rsidRDefault="00976F2E" w:rsidP="00657C26">
            <w:pPr>
              <w:pStyle w:val="BodyTextIndent"/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72" w:firstLine="0"/>
              <w:rPr>
                <w:color w:val="auto"/>
              </w:rPr>
            </w:pPr>
            <w:r>
              <w:rPr>
                <w:color w:val="auto"/>
              </w:rPr>
              <w:t>Melhoria da satisfação do cliente e do servidor.</w:t>
            </w:r>
          </w:p>
        </w:tc>
      </w:tr>
    </w:tbl>
    <w:p w:rsidR="00976F2E" w:rsidRDefault="00976F2E"/>
    <w:sectPr w:rsidR="00976F2E" w:rsidSect="00976F2E">
      <w:headerReference w:type="default" r:id="rId7"/>
      <w:footerReference w:type="even" r:id="rId8"/>
      <w:footerReference w:type="default" r:id="rId9"/>
      <w:pgSz w:w="16840" w:h="11907" w:orient="landscape" w:code="9"/>
      <w:pgMar w:top="1797" w:right="1134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F2E" w:rsidRDefault="00976F2E">
      <w:r>
        <w:separator/>
      </w:r>
    </w:p>
  </w:endnote>
  <w:endnote w:type="continuationSeparator" w:id="0">
    <w:p w:rsidR="00976F2E" w:rsidRDefault="0097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2E" w:rsidRDefault="00976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F2E" w:rsidRDefault="00976F2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2E" w:rsidRDefault="00976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76F2E" w:rsidRDefault="00976F2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F2E" w:rsidRDefault="00976F2E">
      <w:r>
        <w:separator/>
      </w:r>
    </w:p>
  </w:footnote>
  <w:footnote w:type="continuationSeparator" w:id="0">
    <w:p w:rsidR="00976F2E" w:rsidRDefault="00976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2E" w:rsidRDefault="00976F2E">
    <w:pPr>
      <w:pStyle w:val="Header"/>
      <w:jc w:val="right"/>
      <w:rPr>
        <w:b/>
        <w:bCs/>
        <w:sz w:val="22"/>
        <w:szCs w:val="22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1.4pt;margin-top:-1.15pt;width:126pt;height:44.85pt;z-index:-251656192" wrapcoords="-150 0 -150 21176 21600 21176 21600 0 -150 0" fillcolor="#bbe0e3">
          <v:imagedata r:id="rId1" o:title=""/>
          <w10:wrap type="tight"/>
        </v:shape>
      </w:pict>
    </w:r>
    <w:r>
      <w:rPr>
        <w:b/>
        <w:bCs/>
        <w:sz w:val="22"/>
        <w:szCs w:val="22"/>
      </w:rPr>
      <w:t>PROFISCO/GO</w:t>
    </w:r>
  </w:p>
  <w:p w:rsidR="00976F2E" w:rsidRDefault="00976F2E">
    <w:pPr>
      <w:pStyle w:val="Header"/>
      <w:pBdr>
        <w:bottom w:val="single" w:sz="6" w:space="12" w:color="auto"/>
      </w:pBdr>
      <w:jc w:val="right"/>
      <w:rPr>
        <w:b/>
        <w:bCs/>
        <w:sz w:val="22"/>
        <w:szCs w:val="22"/>
      </w:rPr>
    </w:pPr>
    <w:r>
      <w:rPr>
        <w:b/>
        <w:bCs/>
        <w:sz w:val="22"/>
        <w:szCs w:val="22"/>
      </w:rPr>
      <w:t>Matriz de Problemas, Soluções e Resultados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720"/>
        </w:tabs>
      </w:pPr>
      <w:rPr>
        <w:rFonts w:ascii="Arial" w:hAnsi="Arial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  <w:sz w:val="18"/>
      </w:rPr>
    </w:lvl>
  </w:abstractNum>
  <w:abstractNum w:abstractNumId="2">
    <w:nsid w:val="00000004"/>
    <w:multiLevelType w:val="singleLevel"/>
    <w:tmpl w:val="00000004"/>
    <w:name w:val="WW8Num35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16"/>
    <w:lvl w:ilvl="0">
      <w:start w:val="10"/>
      <w:numFmt w:val="decimal"/>
      <w:lvlText w:val="%1."/>
      <w:lvlJc w:val="left"/>
      <w:pPr>
        <w:tabs>
          <w:tab w:val="num" w:pos="0"/>
        </w:tabs>
      </w:pPr>
      <w:rPr>
        <w:rFonts w:cs="Times New Roman"/>
        <w:color w:val="auto"/>
      </w:rPr>
    </w:lvl>
    <w:lvl w:ilvl="1">
      <w:start w:val="2"/>
      <w:numFmt w:val="decimal"/>
      <w:lvlText w:val="11.%2."/>
      <w:lvlJc w:val="left"/>
      <w:pPr>
        <w:tabs>
          <w:tab w:val="num" w:pos="464"/>
        </w:tabs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  <w:color w:val="auto"/>
      </w:rPr>
    </w:lvl>
  </w:abstractNum>
  <w:abstractNum w:abstractNumId="5">
    <w:nsid w:val="00000014"/>
    <w:multiLevelType w:val="multilevel"/>
    <w:tmpl w:val="00000014"/>
    <w:name w:val="WW8Num20"/>
    <w:lvl w:ilvl="0">
      <w:start w:val="10"/>
      <w:numFmt w:val="decimal"/>
      <w:lvlText w:val="%1."/>
      <w:lvlJc w:val="left"/>
      <w:pPr>
        <w:tabs>
          <w:tab w:val="num" w:pos="0"/>
        </w:tabs>
      </w:pPr>
      <w:rPr>
        <w:rFonts w:cs="Times New Roman"/>
        <w:color w:val="auto"/>
      </w:rPr>
    </w:lvl>
    <w:lvl w:ilvl="1">
      <w:start w:val="2"/>
      <w:numFmt w:val="decimal"/>
      <w:lvlText w:val="11.%2."/>
      <w:lvlJc w:val="left"/>
      <w:pPr>
        <w:tabs>
          <w:tab w:val="num" w:pos="464"/>
        </w:tabs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  <w:color w:val="auto"/>
      </w:rPr>
    </w:lvl>
  </w:abstractNum>
  <w:abstractNum w:abstractNumId="6">
    <w:nsid w:val="00EA4A81"/>
    <w:multiLevelType w:val="multilevel"/>
    <w:tmpl w:val="CB249BC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16" w:hanging="1440"/>
      </w:pPr>
      <w:rPr>
        <w:rFonts w:cs="Times New Roman" w:hint="default"/>
      </w:rPr>
    </w:lvl>
  </w:abstractNum>
  <w:abstractNum w:abstractNumId="7">
    <w:nsid w:val="02C14308"/>
    <w:multiLevelType w:val="multilevel"/>
    <w:tmpl w:val="A50C2E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8">
    <w:nsid w:val="035A51BB"/>
    <w:multiLevelType w:val="multilevel"/>
    <w:tmpl w:val="6A3AD20E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9">
    <w:nsid w:val="04BA11F0"/>
    <w:multiLevelType w:val="hybridMultilevel"/>
    <w:tmpl w:val="1CD8C9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152BA4"/>
    <w:multiLevelType w:val="multilevel"/>
    <w:tmpl w:val="DFB01E0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cs="Times New Roman" w:hint="default"/>
      </w:rPr>
    </w:lvl>
  </w:abstractNum>
  <w:abstractNum w:abstractNumId="11">
    <w:nsid w:val="058324CE"/>
    <w:multiLevelType w:val="multilevel"/>
    <w:tmpl w:val="3C724A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cs="Times New Roman" w:hint="default"/>
      </w:rPr>
    </w:lvl>
  </w:abstractNum>
  <w:abstractNum w:abstractNumId="12">
    <w:nsid w:val="07D11725"/>
    <w:multiLevelType w:val="multilevel"/>
    <w:tmpl w:val="2806C5E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1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12" w:hanging="1440"/>
      </w:pPr>
      <w:rPr>
        <w:rFonts w:cs="Times New Roman" w:hint="default"/>
      </w:rPr>
    </w:lvl>
  </w:abstractNum>
  <w:abstractNum w:abstractNumId="13">
    <w:nsid w:val="08137946"/>
    <w:multiLevelType w:val="multilevel"/>
    <w:tmpl w:val="6D56FA5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cs="Times New Roman" w:hint="default"/>
      </w:rPr>
    </w:lvl>
  </w:abstractNum>
  <w:abstractNum w:abstractNumId="14">
    <w:nsid w:val="0C7C1FA8"/>
    <w:multiLevelType w:val="multilevel"/>
    <w:tmpl w:val="C96E02C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>
    <w:nsid w:val="10222E70"/>
    <w:multiLevelType w:val="multilevel"/>
    <w:tmpl w:val="DD0003B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10AD77A9"/>
    <w:multiLevelType w:val="multilevel"/>
    <w:tmpl w:val="C220ED4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7">
    <w:nsid w:val="15910FD6"/>
    <w:multiLevelType w:val="multilevel"/>
    <w:tmpl w:val="8C82E8A0"/>
    <w:lvl w:ilvl="0">
      <w:start w:val="10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477"/>
        </w:tabs>
        <w:ind w:left="47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16" w:hanging="1440"/>
      </w:pPr>
      <w:rPr>
        <w:rFonts w:cs="Times New Roman" w:hint="default"/>
      </w:rPr>
    </w:lvl>
  </w:abstractNum>
  <w:abstractNum w:abstractNumId="18">
    <w:nsid w:val="19103403"/>
    <w:multiLevelType w:val="multilevel"/>
    <w:tmpl w:val="C7F0C9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1B6351B6"/>
    <w:multiLevelType w:val="multilevel"/>
    <w:tmpl w:val="14CA0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8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4" w:hanging="1440"/>
      </w:pPr>
      <w:rPr>
        <w:rFonts w:cs="Times New Roman" w:hint="default"/>
      </w:rPr>
    </w:lvl>
  </w:abstractNum>
  <w:abstractNum w:abstractNumId="20">
    <w:nsid w:val="1BE271AB"/>
    <w:multiLevelType w:val="multilevel"/>
    <w:tmpl w:val="DD0003B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1">
    <w:nsid w:val="1C912593"/>
    <w:multiLevelType w:val="multilevel"/>
    <w:tmpl w:val="EE249972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22">
    <w:nsid w:val="204B12D3"/>
    <w:multiLevelType w:val="multilevel"/>
    <w:tmpl w:val="C40C8DE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cs="Times New Roman" w:hint="default"/>
      </w:rPr>
    </w:lvl>
  </w:abstractNum>
  <w:abstractNum w:abstractNumId="23">
    <w:nsid w:val="23DF537B"/>
    <w:multiLevelType w:val="multilevel"/>
    <w:tmpl w:val="B3A2F9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>
    <w:nsid w:val="24A747D7"/>
    <w:multiLevelType w:val="multilevel"/>
    <w:tmpl w:val="DD0003B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288E7988"/>
    <w:multiLevelType w:val="multilevel"/>
    <w:tmpl w:val="74264F1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29387CE6"/>
    <w:multiLevelType w:val="multilevel"/>
    <w:tmpl w:val="C96E02C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2B7A1A3D"/>
    <w:multiLevelType w:val="multilevel"/>
    <w:tmpl w:val="6A3AD20E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28">
    <w:nsid w:val="2D930AF1"/>
    <w:multiLevelType w:val="multilevel"/>
    <w:tmpl w:val="5904614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9">
    <w:nsid w:val="2DC34E58"/>
    <w:multiLevelType w:val="multilevel"/>
    <w:tmpl w:val="B5203D7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12" w:hanging="1440"/>
      </w:pPr>
      <w:rPr>
        <w:rFonts w:cs="Times New Roman" w:hint="default"/>
      </w:rPr>
    </w:lvl>
  </w:abstractNum>
  <w:abstractNum w:abstractNumId="30">
    <w:nsid w:val="30A42F94"/>
    <w:multiLevelType w:val="multilevel"/>
    <w:tmpl w:val="80CA2C8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30F2764F"/>
    <w:multiLevelType w:val="multilevel"/>
    <w:tmpl w:val="6A3AD20E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32">
    <w:nsid w:val="31217ACA"/>
    <w:multiLevelType w:val="multilevel"/>
    <w:tmpl w:val="F8080FE6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792"/>
        </w:tabs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16" w:hanging="1440"/>
      </w:pPr>
      <w:rPr>
        <w:rFonts w:cs="Times New Roman" w:hint="default"/>
      </w:rPr>
    </w:lvl>
  </w:abstractNum>
  <w:abstractNum w:abstractNumId="33">
    <w:nsid w:val="31AB28A3"/>
    <w:multiLevelType w:val="multilevel"/>
    <w:tmpl w:val="488C997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>
    <w:nsid w:val="32830ADA"/>
    <w:multiLevelType w:val="multilevel"/>
    <w:tmpl w:val="DD0003B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5">
    <w:nsid w:val="33EF2866"/>
    <w:multiLevelType w:val="multilevel"/>
    <w:tmpl w:val="F4446C24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36">
    <w:nsid w:val="34DA55AF"/>
    <w:multiLevelType w:val="multilevel"/>
    <w:tmpl w:val="E2EE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6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</w:abstractNum>
  <w:abstractNum w:abstractNumId="37">
    <w:nsid w:val="36824539"/>
    <w:multiLevelType w:val="multilevel"/>
    <w:tmpl w:val="AC920C18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8">
    <w:nsid w:val="3B282EA7"/>
    <w:multiLevelType w:val="multilevel"/>
    <w:tmpl w:val="E00A7CD8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>
    <w:nsid w:val="3D465C0A"/>
    <w:multiLevelType w:val="multilevel"/>
    <w:tmpl w:val="96DCE9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40">
    <w:nsid w:val="3E0F759C"/>
    <w:multiLevelType w:val="multilevel"/>
    <w:tmpl w:val="690ED9B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1">
    <w:nsid w:val="3E2010A2"/>
    <w:multiLevelType w:val="multilevel"/>
    <w:tmpl w:val="062C0704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42">
    <w:nsid w:val="3E3D65E6"/>
    <w:multiLevelType w:val="multilevel"/>
    <w:tmpl w:val="DD0003B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3">
    <w:nsid w:val="3FD21238"/>
    <w:multiLevelType w:val="multilevel"/>
    <w:tmpl w:val="DD0003B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4">
    <w:nsid w:val="42656CFA"/>
    <w:multiLevelType w:val="multilevel"/>
    <w:tmpl w:val="44BC5FD0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5">
    <w:nsid w:val="426B4BF0"/>
    <w:multiLevelType w:val="multilevel"/>
    <w:tmpl w:val="87DA1A04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6">
    <w:nsid w:val="45A939DF"/>
    <w:multiLevelType w:val="multilevel"/>
    <w:tmpl w:val="C5980A14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7">
    <w:nsid w:val="45F46592"/>
    <w:multiLevelType w:val="multilevel"/>
    <w:tmpl w:val="4B1C056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48">
    <w:nsid w:val="4B622CC0"/>
    <w:multiLevelType w:val="multilevel"/>
    <w:tmpl w:val="A196759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9">
    <w:nsid w:val="508128D7"/>
    <w:multiLevelType w:val="multilevel"/>
    <w:tmpl w:val="DB303D2E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0">
    <w:nsid w:val="50D0037E"/>
    <w:multiLevelType w:val="multilevel"/>
    <w:tmpl w:val="636800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1">
    <w:nsid w:val="5327523B"/>
    <w:multiLevelType w:val="multilevel"/>
    <w:tmpl w:val="CC8CCE48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52">
    <w:nsid w:val="53F35715"/>
    <w:multiLevelType w:val="multilevel"/>
    <w:tmpl w:val="C94059F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53">
    <w:nsid w:val="54DC5194"/>
    <w:multiLevelType w:val="multilevel"/>
    <w:tmpl w:val="531CE3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8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4" w:hanging="1440"/>
      </w:pPr>
      <w:rPr>
        <w:rFonts w:cs="Times New Roman" w:hint="default"/>
      </w:rPr>
    </w:lvl>
  </w:abstractNum>
  <w:abstractNum w:abstractNumId="54">
    <w:nsid w:val="55D35176"/>
    <w:multiLevelType w:val="multilevel"/>
    <w:tmpl w:val="09A2FE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55">
    <w:nsid w:val="58464059"/>
    <w:multiLevelType w:val="multilevel"/>
    <w:tmpl w:val="82A2F92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6">
    <w:nsid w:val="5BA21C2D"/>
    <w:multiLevelType w:val="multilevel"/>
    <w:tmpl w:val="6160057C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57">
    <w:nsid w:val="5BC44435"/>
    <w:multiLevelType w:val="multilevel"/>
    <w:tmpl w:val="AB1E2556"/>
    <w:lvl w:ilvl="0">
      <w:start w:val="6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8">
    <w:nsid w:val="6030663E"/>
    <w:multiLevelType w:val="multilevel"/>
    <w:tmpl w:val="80CA2C8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9">
    <w:nsid w:val="627204BC"/>
    <w:multiLevelType w:val="multilevel"/>
    <w:tmpl w:val="680E75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60">
    <w:nsid w:val="629F4A2E"/>
    <w:multiLevelType w:val="multilevel"/>
    <w:tmpl w:val="80CA2C8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1">
    <w:nsid w:val="64BA0EF4"/>
    <w:multiLevelType w:val="multilevel"/>
    <w:tmpl w:val="80CA2C8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2">
    <w:nsid w:val="65F81FA3"/>
    <w:multiLevelType w:val="multilevel"/>
    <w:tmpl w:val="3412F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3">
    <w:nsid w:val="66C02741"/>
    <w:multiLevelType w:val="multilevel"/>
    <w:tmpl w:val="95DC90F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4">
    <w:nsid w:val="6AC30938"/>
    <w:multiLevelType w:val="multilevel"/>
    <w:tmpl w:val="80A8205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5">
    <w:nsid w:val="6C524253"/>
    <w:multiLevelType w:val="multilevel"/>
    <w:tmpl w:val="FBDC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66">
    <w:nsid w:val="6D84412F"/>
    <w:multiLevelType w:val="multilevel"/>
    <w:tmpl w:val="1822111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7">
    <w:nsid w:val="6D9652AF"/>
    <w:multiLevelType w:val="multilevel"/>
    <w:tmpl w:val="A4F25DD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68">
    <w:nsid w:val="6DCF6B34"/>
    <w:multiLevelType w:val="multilevel"/>
    <w:tmpl w:val="DE0036B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9">
    <w:nsid w:val="6FC07496"/>
    <w:multiLevelType w:val="multilevel"/>
    <w:tmpl w:val="F0FEC4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0">
    <w:nsid w:val="70A65760"/>
    <w:multiLevelType w:val="multilevel"/>
    <w:tmpl w:val="6CB6089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86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cs="Times New Roman" w:hint="default"/>
      </w:rPr>
    </w:lvl>
  </w:abstractNum>
  <w:abstractNum w:abstractNumId="71">
    <w:nsid w:val="76322A57"/>
    <w:multiLevelType w:val="multilevel"/>
    <w:tmpl w:val="292A93FE"/>
    <w:lvl w:ilvl="0">
      <w:start w:val="8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2">
    <w:nsid w:val="76777E46"/>
    <w:multiLevelType w:val="multilevel"/>
    <w:tmpl w:val="C0864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3">
    <w:nsid w:val="77845637"/>
    <w:multiLevelType w:val="multilevel"/>
    <w:tmpl w:val="1404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4">
    <w:nsid w:val="79421F05"/>
    <w:multiLevelType w:val="multilevel"/>
    <w:tmpl w:val="DD0003B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5">
    <w:nsid w:val="7B9977C3"/>
    <w:multiLevelType w:val="multilevel"/>
    <w:tmpl w:val="7382D02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6">
    <w:nsid w:val="7C8666E4"/>
    <w:multiLevelType w:val="multilevel"/>
    <w:tmpl w:val="01FA0EA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7">
    <w:nsid w:val="7CC4445A"/>
    <w:multiLevelType w:val="multilevel"/>
    <w:tmpl w:val="DF02DAB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8">
    <w:nsid w:val="7F332A80"/>
    <w:multiLevelType w:val="multilevel"/>
    <w:tmpl w:val="61DC8A2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9">
    <w:nsid w:val="7F512940"/>
    <w:multiLevelType w:val="multilevel"/>
    <w:tmpl w:val="DD0003B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36"/>
  </w:num>
  <w:num w:numId="2">
    <w:abstractNumId w:val="72"/>
  </w:num>
  <w:num w:numId="3">
    <w:abstractNumId w:val="62"/>
  </w:num>
  <w:num w:numId="4">
    <w:abstractNumId w:val="23"/>
  </w:num>
  <w:num w:numId="5">
    <w:abstractNumId w:val="50"/>
  </w:num>
  <w:num w:numId="6">
    <w:abstractNumId w:val="75"/>
  </w:num>
  <w:num w:numId="7">
    <w:abstractNumId w:val="69"/>
  </w:num>
  <w:num w:numId="8">
    <w:abstractNumId w:val="33"/>
  </w:num>
  <w:num w:numId="9">
    <w:abstractNumId w:val="12"/>
  </w:num>
  <w:num w:numId="10">
    <w:abstractNumId w:val="59"/>
  </w:num>
  <w:num w:numId="11">
    <w:abstractNumId w:val="7"/>
  </w:num>
  <w:num w:numId="12">
    <w:abstractNumId w:val="52"/>
  </w:num>
  <w:num w:numId="13">
    <w:abstractNumId w:val="54"/>
  </w:num>
  <w:num w:numId="14">
    <w:abstractNumId w:val="17"/>
  </w:num>
  <w:num w:numId="15">
    <w:abstractNumId w:val="26"/>
  </w:num>
  <w:num w:numId="16">
    <w:abstractNumId w:val="76"/>
  </w:num>
  <w:num w:numId="17">
    <w:abstractNumId w:val="65"/>
  </w:num>
  <w:num w:numId="18">
    <w:abstractNumId w:val="39"/>
  </w:num>
  <w:num w:numId="19">
    <w:abstractNumId w:val="6"/>
  </w:num>
  <w:num w:numId="20">
    <w:abstractNumId w:val="56"/>
  </w:num>
  <w:num w:numId="21">
    <w:abstractNumId w:val="47"/>
  </w:num>
  <w:num w:numId="22">
    <w:abstractNumId w:val="32"/>
  </w:num>
  <w:num w:numId="23">
    <w:abstractNumId w:val="9"/>
  </w:num>
  <w:num w:numId="24">
    <w:abstractNumId w:val="73"/>
  </w:num>
  <w:num w:numId="25">
    <w:abstractNumId w:val="19"/>
  </w:num>
  <w:num w:numId="26">
    <w:abstractNumId w:val="14"/>
  </w:num>
  <w:num w:numId="27">
    <w:abstractNumId w:val="44"/>
  </w:num>
  <w:num w:numId="28">
    <w:abstractNumId w:val="11"/>
  </w:num>
  <w:num w:numId="29">
    <w:abstractNumId w:val="16"/>
  </w:num>
  <w:num w:numId="30">
    <w:abstractNumId w:val="78"/>
  </w:num>
  <w:num w:numId="31">
    <w:abstractNumId w:val="18"/>
  </w:num>
  <w:num w:numId="32">
    <w:abstractNumId w:val="53"/>
  </w:num>
  <w:num w:numId="33">
    <w:abstractNumId w:val="63"/>
  </w:num>
  <w:num w:numId="34">
    <w:abstractNumId w:val="48"/>
  </w:num>
  <w:num w:numId="35">
    <w:abstractNumId w:val="64"/>
  </w:num>
  <w:num w:numId="36">
    <w:abstractNumId w:val="60"/>
  </w:num>
  <w:num w:numId="37">
    <w:abstractNumId w:val="58"/>
  </w:num>
  <w:num w:numId="38">
    <w:abstractNumId w:val="25"/>
  </w:num>
  <w:num w:numId="39">
    <w:abstractNumId w:val="77"/>
  </w:num>
  <w:num w:numId="40">
    <w:abstractNumId w:val="61"/>
  </w:num>
  <w:num w:numId="41">
    <w:abstractNumId w:val="30"/>
  </w:num>
  <w:num w:numId="42">
    <w:abstractNumId w:val="68"/>
  </w:num>
  <w:num w:numId="43">
    <w:abstractNumId w:val="28"/>
  </w:num>
  <w:num w:numId="44">
    <w:abstractNumId w:val="13"/>
  </w:num>
  <w:num w:numId="45">
    <w:abstractNumId w:val="40"/>
  </w:num>
  <w:num w:numId="46">
    <w:abstractNumId w:val="57"/>
  </w:num>
  <w:num w:numId="47">
    <w:abstractNumId w:val="55"/>
  </w:num>
  <w:num w:numId="48">
    <w:abstractNumId w:val="24"/>
  </w:num>
  <w:num w:numId="49">
    <w:abstractNumId w:val="37"/>
  </w:num>
  <w:num w:numId="50">
    <w:abstractNumId w:val="34"/>
  </w:num>
  <w:num w:numId="51">
    <w:abstractNumId w:val="74"/>
  </w:num>
  <w:num w:numId="52">
    <w:abstractNumId w:val="42"/>
  </w:num>
  <w:num w:numId="53">
    <w:abstractNumId w:val="71"/>
  </w:num>
  <w:num w:numId="54">
    <w:abstractNumId w:val="79"/>
  </w:num>
  <w:num w:numId="55">
    <w:abstractNumId w:val="43"/>
  </w:num>
  <w:num w:numId="56">
    <w:abstractNumId w:val="35"/>
  </w:num>
  <w:num w:numId="57">
    <w:abstractNumId w:val="22"/>
  </w:num>
  <w:num w:numId="58">
    <w:abstractNumId w:val="20"/>
  </w:num>
  <w:num w:numId="59">
    <w:abstractNumId w:val="15"/>
  </w:num>
  <w:num w:numId="60">
    <w:abstractNumId w:val="46"/>
  </w:num>
  <w:num w:numId="61">
    <w:abstractNumId w:val="70"/>
  </w:num>
  <w:num w:numId="62">
    <w:abstractNumId w:val="67"/>
  </w:num>
  <w:num w:numId="63">
    <w:abstractNumId w:val="8"/>
  </w:num>
  <w:num w:numId="64">
    <w:abstractNumId w:val="31"/>
  </w:num>
  <w:num w:numId="65">
    <w:abstractNumId w:val="27"/>
  </w:num>
  <w:num w:numId="66">
    <w:abstractNumId w:val="41"/>
  </w:num>
  <w:num w:numId="67">
    <w:abstractNumId w:val="21"/>
  </w:num>
  <w:num w:numId="68">
    <w:abstractNumId w:val="38"/>
  </w:num>
  <w:num w:numId="69">
    <w:abstractNumId w:val="10"/>
  </w:num>
  <w:num w:numId="70">
    <w:abstractNumId w:val="51"/>
  </w:num>
  <w:num w:numId="71">
    <w:abstractNumId w:val="29"/>
  </w:num>
  <w:num w:numId="72">
    <w:abstractNumId w:val="49"/>
  </w:num>
  <w:num w:numId="73">
    <w:abstractNumId w:val="66"/>
  </w:num>
  <w:num w:numId="74">
    <w:abstractNumId w:val="45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oNotTrackMoves/>
  <w:defaultTabStop w:val="720"/>
  <w:noPunctuationKerning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ED3"/>
    <w:rsid w:val="00020227"/>
    <w:rsid w:val="00033ED3"/>
    <w:rsid w:val="00053CF5"/>
    <w:rsid w:val="00060BC2"/>
    <w:rsid w:val="000A66CE"/>
    <w:rsid w:val="00146AA2"/>
    <w:rsid w:val="001D2787"/>
    <w:rsid w:val="001F3FC7"/>
    <w:rsid w:val="00234779"/>
    <w:rsid w:val="002538AB"/>
    <w:rsid w:val="002E3D28"/>
    <w:rsid w:val="0031348F"/>
    <w:rsid w:val="00342F8E"/>
    <w:rsid w:val="00352FA2"/>
    <w:rsid w:val="0035302D"/>
    <w:rsid w:val="003A435F"/>
    <w:rsid w:val="004116DA"/>
    <w:rsid w:val="00491252"/>
    <w:rsid w:val="004F0D09"/>
    <w:rsid w:val="005A7945"/>
    <w:rsid w:val="00657C26"/>
    <w:rsid w:val="006C2154"/>
    <w:rsid w:val="006F0922"/>
    <w:rsid w:val="00713C03"/>
    <w:rsid w:val="00732287"/>
    <w:rsid w:val="0078385F"/>
    <w:rsid w:val="008223CB"/>
    <w:rsid w:val="008527A1"/>
    <w:rsid w:val="0088104D"/>
    <w:rsid w:val="008C36D9"/>
    <w:rsid w:val="00976F2E"/>
    <w:rsid w:val="00A20773"/>
    <w:rsid w:val="00A304EB"/>
    <w:rsid w:val="00A342CD"/>
    <w:rsid w:val="00A945AE"/>
    <w:rsid w:val="00A97184"/>
    <w:rsid w:val="00AA48C8"/>
    <w:rsid w:val="00AD20B8"/>
    <w:rsid w:val="00B03B86"/>
    <w:rsid w:val="00B45FD5"/>
    <w:rsid w:val="00B62F6F"/>
    <w:rsid w:val="00BB3E90"/>
    <w:rsid w:val="00C02597"/>
    <w:rsid w:val="00C47832"/>
    <w:rsid w:val="00CC7064"/>
    <w:rsid w:val="00D13071"/>
    <w:rsid w:val="00D26BDE"/>
    <w:rsid w:val="00D81737"/>
    <w:rsid w:val="00DE5AA8"/>
    <w:rsid w:val="00E714A3"/>
    <w:rsid w:val="00E8186E"/>
    <w:rsid w:val="00F31551"/>
    <w:rsid w:val="00F661A1"/>
    <w:rsid w:val="00F97347"/>
    <w:rsid w:val="00FA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b/>
      <w:bCs/>
      <w:sz w:val="20"/>
      <w:szCs w:val="1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left="720"/>
      <w:outlineLvl w:val="2"/>
    </w:pPr>
    <w:rPr>
      <w:rFonts w:ascii="Arial" w:hAnsi="Arial"/>
      <w:bCs/>
      <w:u w:val="single"/>
      <w:lang w:eastAsia="pt-BR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240"/>
      <w:outlineLvl w:val="3"/>
    </w:pPr>
    <w:rPr>
      <w:rFonts w:ascii="Arial" w:hAnsi="Arial"/>
      <w:bCs/>
      <w:u w:val="single"/>
      <w:lang w:eastAsia="pt-BR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6BD"/>
    <w:rPr>
      <w:rFonts w:asciiTheme="majorHAnsi" w:eastAsiaTheme="majorEastAsia" w:hAnsiTheme="majorHAnsi" w:cstheme="majorBidi"/>
      <w:b/>
      <w:bCs/>
      <w:kern w:val="32"/>
      <w:sz w:val="32"/>
      <w:szCs w:val="32"/>
      <w:lang w:val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6BD"/>
    <w:rPr>
      <w:rFonts w:asciiTheme="majorHAnsi" w:eastAsiaTheme="majorEastAsia" w:hAnsiTheme="majorHAnsi" w:cstheme="majorBidi"/>
      <w:b/>
      <w:bCs/>
      <w:i/>
      <w:iCs/>
      <w:sz w:val="28"/>
      <w:szCs w:val="28"/>
      <w:lang w:val="pt-B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6BD"/>
    <w:rPr>
      <w:rFonts w:asciiTheme="majorHAnsi" w:eastAsiaTheme="majorEastAsia" w:hAnsiTheme="majorHAnsi" w:cstheme="majorBidi"/>
      <w:b/>
      <w:bCs/>
      <w:sz w:val="26"/>
      <w:szCs w:val="26"/>
      <w:lang w:val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6BD"/>
    <w:rPr>
      <w:rFonts w:asciiTheme="minorHAnsi" w:eastAsiaTheme="minorEastAsia" w:hAnsiTheme="minorHAnsi" w:cstheme="minorBidi"/>
      <w:b/>
      <w:bCs/>
      <w:sz w:val="28"/>
      <w:szCs w:val="28"/>
      <w:lang w:val="pt-BR"/>
    </w:rPr>
  </w:style>
  <w:style w:type="paragraph" w:customStyle="1" w:styleId="Contedodatabela">
    <w:name w:val="Conteúdo da tabela"/>
    <w:basedOn w:val="Normal"/>
    <w:pPr>
      <w:widowControl w:val="0"/>
      <w:suppressLineNumbers/>
      <w:suppressAutoHyphens/>
    </w:pPr>
    <w:rPr>
      <w:rFonts w:eastAsia="Arial Unicode MS" w:cs="Tahoma"/>
      <w:lang/>
    </w:rPr>
  </w:style>
  <w:style w:type="paragraph" w:styleId="BodyText">
    <w:name w:val="Body Text"/>
    <w:basedOn w:val="Normal"/>
    <w:link w:val="BodyTextChar"/>
    <w:uiPriority w:val="99"/>
    <w:semiHidden/>
    <w:pPr>
      <w:jc w:val="both"/>
    </w:pPr>
    <w:rPr>
      <w:rFonts w:ascii="Tahoma" w:hAnsi="Tahoma" w:cs="Tahoma"/>
      <w:sz w:val="20"/>
      <w:szCs w:val="20"/>
      <w:lang w:eastAsia="pt-B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B36BD"/>
    <w:rPr>
      <w:sz w:val="24"/>
      <w:szCs w:val="24"/>
      <w:lang w:val="pt-BR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6BD"/>
    <w:rPr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6BD"/>
    <w:rPr>
      <w:sz w:val="24"/>
      <w:szCs w:val="24"/>
      <w:lang w:val="pt-BR"/>
    </w:rPr>
  </w:style>
  <w:style w:type="paragraph" w:styleId="BodyText2">
    <w:name w:val="Body Text 2"/>
    <w:basedOn w:val="Normal"/>
    <w:link w:val="BodyText2Char"/>
    <w:uiPriority w:val="99"/>
    <w:semiHidden/>
    <w:pPr>
      <w:spacing w:before="60"/>
      <w:jc w:val="both"/>
    </w:pPr>
    <w:rPr>
      <w:spacing w:val="-3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36BD"/>
    <w:rPr>
      <w:sz w:val="24"/>
      <w:szCs w:val="24"/>
      <w:lang w:val="pt-BR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B36BD"/>
    <w:rPr>
      <w:sz w:val="16"/>
      <w:szCs w:val="16"/>
      <w:lang w:val="pt-BR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36BD"/>
    <w:rPr>
      <w:lang w:val="pt-BR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pPr>
      <w:ind w:left="72"/>
      <w:jc w:val="both"/>
    </w:pPr>
    <w:rPr>
      <w:color w:val="FF0000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36BD"/>
    <w:rPr>
      <w:sz w:val="24"/>
      <w:szCs w:val="24"/>
      <w:lang w:val="pt-BR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customStyle="1" w:styleId="xl70">
    <w:name w:val="xl70"/>
    <w:basedOn w:val="Normal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pt-BR"/>
    </w:rPr>
  </w:style>
  <w:style w:type="paragraph" w:styleId="BlockText">
    <w:name w:val="Block Text"/>
    <w:basedOn w:val="Normal"/>
    <w:uiPriority w:val="99"/>
    <w:semiHidden/>
    <w:pPr>
      <w:ind w:left="851" w:right="567"/>
      <w:jc w:val="both"/>
    </w:pPr>
    <w:rPr>
      <w:rFonts w:ascii="Arial" w:hAnsi="Arial"/>
      <w:szCs w:val="20"/>
      <w:lang w:eastAsia="pt-BR"/>
    </w:rPr>
  </w:style>
  <w:style w:type="character" w:customStyle="1" w:styleId="WW-Absatz-Standardschriftart1">
    <w:name w:val="WW-Absatz-Standardschriftart1"/>
  </w:style>
  <w:style w:type="paragraph" w:styleId="BodyTextIndent2">
    <w:name w:val="Body Text Indent 2"/>
    <w:basedOn w:val="Normal"/>
    <w:link w:val="BodyTextIndent2Char"/>
    <w:uiPriority w:val="99"/>
    <w:semiHidden/>
    <w:pPr>
      <w:ind w:left="72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36BD"/>
    <w:rPr>
      <w:sz w:val="24"/>
      <w:szCs w:val="24"/>
      <w:lang w:val="pt-BR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Arial" w:hAnsi="Arial"/>
    </w:rPr>
  </w:style>
  <w:style w:type="character" w:customStyle="1" w:styleId="WW8Num1z2">
    <w:name w:val="WW8Num1z2"/>
    <w:rPr>
      <w:rFonts w:ascii="StarSymbol" w:hAnsi="StarSymbol"/>
      <w:sz w:val="18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paragraph" w:customStyle="1" w:styleId="western">
    <w:name w:val="western"/>
    <w:basedOn w:val="Normal"/>
    <w:pPr>
      <w:spacing w:before="100" w:beforeAutospacing="1" w:after="119"/>
    </w:pPr>
    <w:rPr>
      <w:rFonts w:ascii="Arial Unicode MS" w:eastAsia="Arial Unicode MS" w:hAnsi="Arial Unicode MS" w:cs="Arial Unicode MS"/>
      <w:lang w:eastAsia="pt-BR"/>
    </w:rPr>
  </w:style>
  <w:style w:type="paragraph" w:styleId="NormalWeb">
    <w:name w:val="Normal (Web)"/>
    <w:basedOn w:val="Normal"/>
    <w:uiPriority w:val="99"/>
    <w:semiHidden/>
    <w:pPr>
      <w:spacing w:before="100" w:beforeAutospacing="1" w:after="119"/>
    </w:pPr>
    <w:rPr>
      <w:rFonts w:ascii="Arial Unicode MS" w:eastAsia="Arial Unicode MS" w:hAnsi="Arial Unicode MS" w:cs="Arial Unicode MS"/>
      <w:lang w:eastAsia="pt-BR"/>
    </w:rPr>
  </w:style>
  <w:style w:type="character" w:customStyle="1" w:styleId="WW8Num2z0">
    <w:name w:val="WW8Num2z0"/>
    <w:rPr>
      <w:rFonts w:ascii="Symbol" w:hAnsi="Symbol"/>
    </w:rPr>
  </w:style>
  <w:style w:type="paragraph" w:styleId="BodyTextIndent3">
    <w:name w:val="Body Text Indent 3"/>
    <w:basedOn w:val="Normal"/>
    <w:link w:val="BodyTextIndent3Char"/>
    <w:uiPriority w:val="99"/>
    <w:semiHidden/>
    <w:pPr>
      <w:tabs>
        <w:tab w:val="left" w:pos="239"/>
      </w:tabs>
      <w:ind w:left="59"/>
      <w:jc w:val="both"/>
    </w:pPr>
    <w:rPr>
      <w:color w:val="FF000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36BD"/>
    <w:rPr>
      <w:sz w:val="16"/>
      <w:szCs w:val="16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6BD"/>
    <w:rPr>
      <w:sz w:val="0"/>
      <w:szCs w:val="0"/>
      <w:lang w:val="pt-BR"/>
    </w:rPr>
  </w:style>
  <w:style w:type="character" w:customStyle="1" w:styleId="TextodebaloChar">
    <w:name w:val="Texto de balão Char"/>
    <w:basedOn w:val="DefaultParagraphFont"/>
    <w:semiHidden/>
    <w:rPr>
      <w:rFonts w:ascii="Tahoma" w:hAnsi="Tahoma" w:cs="Tahoma"/>
      <w:sz w:val="16"/>
      <w:szCs w:val="16"/>
      <w:lang w:eastAsia="en-US"/>
    </w:rPr>
  </w:style>
  <w:style w:type="paragraph" w:customStyle="1" w:styleId="PargrafodaLista">
    <w:name w:val="Parágrafo da Lista"/>
    <w:basedOn w:val="Normal"/>
    <w:qFormat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1905E8F6F489749A21C47D2284C22BA" ma:contentTypeVersion="0" ma:contentTypeDescription="A content type to manage public (operations) IDB documents" ma:contentTypeScope="" ma:versionID="738e5edc4186c572963a857f6ca3655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2141520</IDBDocs_x0020_Number>
    <Document_x0020_Author xmlns="9c571b2f-e523-4ab2-ba2e-09e151a03ef4">Curvelo, Aderbal Jose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11</Value>
      <Value>10</Value>
    </TaxCatchAll>
    <Fiscal_x0020_Year_x0020_IDB xmlns="9c571b2f-e523-4ab2-ba2e-09e151a03ef4">2009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BR-L1233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Proposal&lt;/USER_STAGE&gt;&lt;PD_OBJ_TYPE&gt;0&lt;/PD_OBJ_TYPE&gt;&lt;MAKERECORD&gt;N&lt;/MAKERECORD&gt;&lt;PD_FILEPT_NO&gt;PO-BR-L1233-Anl&lt;/PD_FILEPT_NO&gt;&lt;/Data&gt;</Migration_x0020_Info>
    <Approval_x0020_Number xmlns="9c571b2f-e523-4ab2-ba2e-09e151a03ef4">2906/OC-BR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RM-PUB</Webtopic>
    <Identifier xmlns="9c571b2f-e523-4ab2-ba2e-09e151a03ef4">LP-POD_PROFISCO GO_BR-L1233 -  TECFILE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EB7F92C1-4CCD-4376-9333-2C27AD89A622}"/>
</file>

<file path=customXml/itemProps2.xml><?xml version="1.0" encoding="utf-8"?>
<ds:datastoreItem xmlns:ds="http://schemas.openxmlformats.org/officeDocument/2006/customXml" ds:itemID="{4BDAB015-BE2E-4EB6-A597-F0F1B611FCE9}"/>
</file>

<file path=customXml/itemProps3.xml><?xml version="1.0" encoding="utf-8"?>
<ds:datastoreItem xmlns:ds="http://schemas.openxmlformats.org/officeDocument/2006/customXml" ds:itemID="{323C2323-B16A-4D81-97FA-ED030163B39C}"/>
</file>

<file path=customXml/itemProps4.xml><?xml version="1.0" encoding="utf-8"?>
<ds:datastoreItem xmlns:ds="http://schemas.openxmlformats.org/officeDocument/2006/customXml" ds:itemID="{B79F6A6A-535B-4EFB-8479-37F27A431153}"/>
</file>

<file path=customXml/itemProps5.xml><?xml version="1.0" encoding="utf-8"?>
<ds:datastoreItem xmlns:ds="http://schemas.openxmlformats.org/officeDocument/2006/customXml" ds:itemID="{91CCA604-84B2-4DA4-9071-DADC0AEC974B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2607</Words>
  <Characters>14865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Problemas</dc:title>
  <dc:subject/>
  <dc:creator>ADERBALC</dc:creator>
  <cp:keywords/>
  <dc:description/>
  <cp:lastModifiedBy>Inter-American Development Bank</cp:lastModifiedBy>
  <cp:revision>2</cp:revision>
  <cp:lastPrinted>2009-07-16T15:05:00Z</cp:lastPrinted>
  <dcterms:created xsi:type="dcterms:W3CDTF">2009-09-02T23:49:00Z</dcterms:created>
  <dcterms:modified xsi:type="dcterms:W3CDTF">2009-09-02T23:49:00Z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0x01010046CF21643EE8D14686A648AA6DAD08920011905E8F6F489749A21C47D2284C22BA</vt:lpwstr>
  </property>
  <property fmtid="{D5CDD505-2E9C-101B-9397-08002B2CF9AE}" pid="5" name="TaxKeywordTaxHTField">
    <vt:lpwstr/>
  </property>
  <property fmtid="{D5CDD505-2E9C-101B-9397-08002B2CF9AE}" pid="6" name="Series Operations IDB">
    <vt:lpwstr>10;#Loan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11;#Project Preparation, Planning and Design|29ca0c72-1fc4-435f-a09c-28585cb5eac9</vt:lpwstr>
  </property>
</Properties>
</file>