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2EADC7" w14:textId="77777777" w:rsidR="00EA22E9" w:rsidRPr="00C82BD1" w:rsidRDefault="00EA22E9" w:rsidP="00EA22E9">
      <w:pPr>
        <w:spacing w:after="200" w:line="276" w:lineRule="auto"/>
        <w:rPr>
          <w:rFonts w:ascii="Arial" w:hAnsi="Arial" w:cs="Arial"/>
          <w:b/>
          <w:sz w:val="22"/>
          <w:szCs w:val="22"/>
          <w:lang w:val="es-ES"/>
        </w:rPr>
      </w:pPr>
      <w:r w:rsidRPr="00C82BD1">
        <w:rPr>
          <w:rFonts w:ascii="Arial" w:hAnsi="Arial" w:cs="Arial"/>
          <w:noProof/>
          <w:sz w:val="22"/>
          <w:szCs w:val="22"/>
          <w:lang w:val="es-ES" w:eastAsia="es-ES"/>
        </w:rPr>
        <w:drawing>
          <wp:anchor distT="0" distB="0" distL="114300" distR="114300" simplePos="0" relativeHeight="251662336" behindDoc="0" locked="0" layoutInCell="1" allowOverlap="1" wp14:anchorId="662EB04F" wp14:editId="662EB050">
            <wp:simplePos x="0" y="0"/>
            <wp:positionH relativeFrom="column">
              <wp:posOffset>114300</wp:posOffset>
            </wp:positionH>
            <wp:positionV relativeFrom="paragraph">
              <wp:posOffset>-228600</wp:posOffset>
            </wp:positionV>
            <wp:extent cx="2337435" cy="1275715"/>
            <wp:effectExtent l="0" t="0" r="0" b="0"/>
            <wp:wrapNone/>
            <wp:docPr id="3" name="Picture 3" descr="../../../Desktop/bid_espan_ol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bid_espan_ol_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37435" cy="12757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2BD1">
        <w:rPr>
          <w:rFonts w:ascii="Arial" w:hAnsi="Arial" w:cs="Arial"/>
          <w:noProof/>
          <w:sz w:val="22"/>
          <w:szCs w:val="22"/>
          <w:lang w:val="es-ES" w:eastAsia="es-ES"/>
        </w:rPr>
        <mc:AlternateContent>
          <mc:Choice Requires="wps">
            <w:drawing>
              <wp:anchor distT="36576" distB="36576" distL="36576" distR="36576" simplePos="0" relativeHeight="251660288" behindDoc="0" locked="0" layoutInCell="1" allowOverlap="1" wp14:anchorId="662EB051" wp14:editId="662EB052">
                <wp:simplePos x="0" y="0"/>
                <wp:positionH relativeFrom="column">
                  <wp:posOffset>3538855</wp:posOffset>
                </wp:positionH>
                <wp:positionV relativeFrom="page">
                  <wp:posOffset>0</wp:posOffset>
                </wp:positionV>
                <wp:extent cx="3319145" cy="10125075"/>
                <wp:effectExtent l="0" t="0" r="8255" b="9525"/>
                <wp:wrapTight wrapText="bothSides">
                  <wp:wrapPolygon edited="0">
                    <wp:start x="0" y="0"/>
                    <wp:lineTo x="0" y="21566"/>
                    <wp:lineTo x="21488" y="21566"/>
                    <wp:lineTo x="21488" y="0"/>
                    <wp:lineTo x="0" y="0"/>
                  </wp:wrapPolygon>
                </wp:wrapTight>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153B5E"/>
                        </a:solidFill>
                        <a:ln>
                          <a:noFill/>
                        </a:ln>
                        <a:effectLs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C69F78" id="Rectangle 9" o:spid="_x0000_s1026" style="position:absolute;margin-left:278.65pt;margin-top:0;width:261.35pt;height:797.2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" fillcolor="#153b5e" stroked="f">
                <v:textbox inset="2.88pt,2.88pt,2.88pt,2.88pt"/>
                <w10:wrap type="tight" anchory="page"/>
              </v:rect>
            </w:pict>
          </mc:Fallback>
        </mc:AlternateContent>
      </w:r>
    </w:p>
    <w:p w14:paraId="662EADC8" w14:textId="77777777" w:rsidR="00EA22E9" w:rsidRPr="00C82BD1" w:rsidRDefault="00EA22E9" w:rsidP="00EA22E9">
      <w:pPr>
        <w:rPr>
          <w:rFonts w:ascii="Arial" w:hAnsi="Arial" w:cs="Arial"/>
          <w:sz w:val="22"/>
          <w:szCs w:val="22"/>
          <w:lang w:val="es-ES"/>
        </w:rPr>
      </w:pPr>
    </w:p>
    <w:p w14:paraId="662EADC9" w14:textId="77777777" w:rsidR="00EA22E9" w:rsidRPr="00C82BD1" w:rsidRDefault="00EA22E9" w:rsidP="00EA22E9">
      <w:pPr>
        <w:rPr>
          <w:rFonts w:ascii="Arial" w:hAnsi="Arial" w:cs="Arial"/>
          <w:sz w:val="22"/>
          <w:szCs w:val="22"/>
          <w:lang w:val="es-ES"/>
        </w:rPr>
      </w:pPr>
    </w:p>
    <w:p w14:paraId="662EADCA" w14:textId="77777777" w:rsidR="00EA22E9" w:rsidRPr="00C82BD1" w:rsidRDefault="00EA22E9" w:rsidP="00EA22E9">
      <w:pPr>
        <w:rPr>
          <w:rFonts w:ascii="Arial" w:hAnsi="Arial" w:cs="Arial"/>
          <w:sz w:val="22"/>
          <w:szCs w:val="22"/>
          <w:lang w:val="es-ES"/>
        </w:rPr>
      </w:pPr>
    </w:p>
    <w:p w14:paraId="662EADCB" w14:textId="77777777" w:rsidR="00EA22E9" w:rsidRPr="00C82BD1" w:rsidRDefault="00EA22E9" w:rsidP="00EA22E9">
      <w:pPr>
        <w:rPr>
          <w:rFonts w:ascii="Arial" w:hAnsi="Arial" w:cs="Arial"/>
          <w:sz w:val="22"/>
          <w:szCs w:val="22"/>
          <w:lang w:val="es-ES"/>
        </w:rPr>
      </w:pPr>
    </w:p>
    <w:p w14:paraId="662EADCC" w14:textId="77777777" w:rsidR="00EA22E9" w:rsidRPr="00C82BD1" w:rsidRDefault="00EA22E9" w:rsidP="00EA22E9">
      <w:pPr>
        <w:rPr>
          <w:rFonts w:ascii="Arial" w:hAnsi="Arial" w:cs="Arial"/>
          <w:sz w:val="22"/>
          <w:szCs w:val="22"/>
          <w:lang w:val="es-ES"/>
        </w:rPr>
      </w:pPr>
    </w:p>
    <w:p w14:paraId="662EADCD" w14:textId="77777777" w:rsidR="00EA22E9" w:rsidRPr="00C82BD1" w:rsidRDefault="00EA22E9" w:rsidP="00EA22E9">
      <w:pPr>
        <w:rPr>
          <w:rFonts w:ascii="Arial" w:hAnsi="Arial" w:cs="Arial"/>
          <w:sz w:val="22"/>
          <w:szCs w:val="22"/>
          <w:lang w:val="es-ES"/>
        </w:rPr>
      </w:pPr>
    </w:p>
    <w:p w14:paraId="662EADCE" w14:textId="77777777" w:rsidR="00EA22E9" w:rsidRPr="00C82BD1" w:rsidRDefault="00EA22E9" w:rsidP="00EA22E9">
      <w:pPr>
        <w:rPr>
          <w:rFonts w:ascii="Arial" w:hAnsi="Arial" w:cs="Arial"/>
          <w:sz w:val="22"/>
          <w:szCs w:val="22"/>
          <w:lang w:val="es-ES"/>
        </w:rPr>
      </w:pPr>
    </w:p>
    <w:p w14:paraId="662EADCF" w14:textId="77777777" w:rsidR="00EA22E9" w:rsidRPr="00C82BD1" w:rsidRDefault="00EA22E9" w:rsidP="00EA22E9">
      <w:pPr>
        <w:rPr>
          <w:rFonts w:ascii="Arial" w:hAnsi="Arial" w:cs="Arial"/>
          <w:sz w:val="22"/>
          <w:szCs w:val="22"/>
          <w:lang w:val="es-ES"/>
        </w:rPr>
      </w:pPr>
      <w:r w:rsidRPr="00C82BD1">
        <w:rPr>
          <w:rFonts w:ascii="Arial" w:hAnsi="Arial" w:cs="Arial"/>
          <w:noProof/>
          <w:sz w:val="22"/>
          <w:szCs w:val="22"/>
          <w:lang w:val="es-ES" w:eastAsia="es-ES"/>
        </w:rPr>
        <mc:AlternateContent>
          <mc:Choice Requires="wps">
            <w:drawing>
              <wp:anchor distT="0" distB="0" distL="114300" distR="114300" simplePos="0" relativeHeight="251661312" behindDoc="0" locked="0" layoutInCell="1" allowOverlap="1" wp14:anchorId="662EB053" wp14:editId="662EB054">
                <wp:simplePos x="0" y="0"/>
                <wp:positionH relativeFrom="column">
                  <wp:posOffset>-457200</wp:posOffset>
                </wp:positionH>
                <wp:positionV relativeFrom="paragraph">
                  <wp:posOffset>49530</wp:posOffset>
                </wp:positionV>
                <wp:extent cx="3352800" cy="2771775"/>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2771775"/>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2EB06C" w14:textId="77777777" w:rsidR="001452A8" w:rsidRPr="00517AE5" w:rsidRDefault="001452A8" w:rsidP="00EA22E9">
                            <w:pPr>
                              <w:spacing w:before="120" w:after="120"/>
                              <w:rPr>
                                <w:rFonts w:ascii="Arial" w:hAnsi="Arial" w:cs="Arial"/>
                                <w:b/>
                                <w:bCs/>
                                <w:sz w:val="44"/>
                                <w:lang w:val="es-ES"/>
                              </w:rPr>
                            </w:pPr>
                            <w:r w:rsidRPr="00517AE5">
                              <w:rPr>
                                <w:rFonts w:ascii="Arial" w:hAnsi="Arial" w:cs="Arial"/>
                                <w:b/>
                                <w:bCs/>
                                <w:sz w:val="44"/>
                                <w:lang w:val="es-ES"/>
                              </w:rPr>
                              <w:t>Análisis Económico</w:t>
                            </w:r>
                          </w:p>
                          <w:p w14:paraId="662EB06D" w14:textId="77777777" w:rsidR="001452A8" w:rsidRPr="00517AE5" w:rsidRDefault="001452A8" w:rsidP="00EA22E9">
                            <w:pPr>
                              <w:spacing w:before="120" w:after="120"/>
                              <w:rPr>
                                <w:rFonts w:ascii="Arial" w:hAnsi="Arial" w:cs="Arial"/>
                                <w:smallCaps/>
                                <w:sz w:val="32"/>
                                <w:szCs w:val="32"/>
                                <w:lang w:val="es-ES_tradnl"/>
                              </w:rPr>
                            </w:pPr>
                            <w:r>
                              <w:rPr>
                                <w:rFonts w:ascii="Arial" w:hAnsi="Arial" w:cs="Arial"/>
                                <w:smallCaps/>
                                <w:sz w:val="32"/>
                                <w:szCs w:val="32"/>
                                <w:lang w:val="es-ES_tradnl"/>
                              </w:rPr>
                              <w:t>NI-L1143</w:t>
                            </w:r>
                          </w:p>
                          <w:p w14:paraId="662EB06E" w14:textId="77777777" w:rsidR="001452A8" w:rsidRPr="00517AE5" w:rsidRDefault="001452A8" w:rsidP="00EA22E9">
                            <w:pPr>
                              <w:spacing w:before="120" w:after="120"/>
                              <w:rPr>
                                <w:rFonts w:ascii="Arial" w:hAnsi="Arial" w:cs="Arial"/>
                                <w:smallCaps/>
                                <w:sz w:val="32"/>
                                <w:szCs w:val="32"/>
                                <w:lang w:val="es-ES_tradnl"/>
                              </w:rPr>
                            </w:pPr>
                            <w:r>
                              <w:rPr>
                                <w:rFonts w:ascii="Arial" w:hAnsi="Arial" w:cs="Arial"/>
                                <w:smallCaps/>
                                <w:sz w:val="32"/>
                                <w:szCs w:val="32"/>
                                <w:lang w:val="es-ES_tradnl"/>
                              </w:rPr>
                              <w:t>Programa Multisectorial de Atención a Determinantes de la Salud en el Corredor Seco</w:t>
                            </w:r>
                          </w:p>
                          <w:p w14:paraId="662EB06F" w14:textId="77777777" w:rsidR="001452A8" w:rsidRPr="00740026" w:rsidRDefault="001452A8" w:rsidP="00EA22E9">
                            <w:pPr>
                              <w:spacing w:before="120" w:after="120"/>
                              <w:rPr>
                                <w:rFonts w:cs="Arial"/>
                                <w:bCs/>
                                <w:sz w:val="44"/>
                                <w:lang w:val="es-ES_trad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2EB053" id="_x0000_t202" coordsize="21600,21600" o:spt="202" path="m,l,21600r21600,l21600,xe">
                <v:stroke joinstyle="miter"/>
                <v:path gradientshapeok="t" o:connecttype="rect"/>
              </v:shapetype>
              <v:shape id="Text Box 7" o:spid="_x0000_s1026" type="#_x0000_t202" style="position:absolute;margin-left:-36pt;margin-top:3.9pt;width:264pt;height:21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" filled="f" fillcolor="navy" stroked="f">
                <v:textbox>
                  <w:txbxContent>
                    <w:p w14:paraId="662EB06C" w14:textId="77777777" w:rsidR="001452A8" w:rsidRPr="00517AE5" w:rsidRDefault="001452A8" w:rsidP="00EA22E9">
                      <w:pPr>
                        <w:spacing w:before="120" w:after="120"/>
                        <w:rPr>
                          <w:rFonts w:ascii="Arial" w:hAnsi="Arial" w:cs="Arial"/>
                          <w:b/>
                          <w:bCs/>
                          <w:sz w:val="44"/>
                          <w:lang w:val="es-ES"/>
                        </w:rPr>
                      </w:pPr>
                      <w:r w:rsidRPr="00517AE5">
                        <w:rPr>
                          <w:rFonts w:ascii="Arial" w:hAnsi="Arial" w:cs="Arial"/>
                          <w:b/>
                          <w:bCs/>
                          <w:sz w:val="44"/>
                          <w:lang w:val="es-ES"/>
                        </w:rPr>
                        <w:t>Análisis Económico</w:t>
                      </w:r>
                    </w:p>
                    <w:p w14:paraId="662EB06D" w14:textId="77777777" w:rsidR="001452A8" w:rsidRPr="00517AE5" w:rsidRDefault="001452A8" w:rsidP="00EA22E9">
                      <w:pPr>
                        <w:spacing w:before="120" w:after="120"/>
                        <w:rPr>
                          <w:rFonts w:ascii="Arial" w:hAnsi="Arial" w:cs="Arial"/>
                          <w:smallCaps/>
                          <w:sz w:val="32"/>
                          <w:szCs w:val="32"/>
                          <w:lang w:val="es-ES_tradnl"/>
                        </w:rPr>
                      </w:pPr>
                      <w:r>
                        <w:rPr>
                          <w:rFonts w:ascii="Arial" w:hAnsi="Arial" w:cs="Arial"/>
                          <w:smallCaps/>
                          <w:sz w:val="32"/>
                          <w:szCs w:val="32"/>
                          <w:lang w:val="es-ES_tradnl"/>
                        </w:rPr>
                        <w:t>NI-L1143</w:t>
                      </w:r>
                    </w:p>
                    <w:p w14:paraId="662EB06E" w14:textId="77777777" w:rsidR="001452A8" w:rsidRPr="00517AE5" w:rsidRDefault="001452A8" w:rsidP="00EA22E9">
                      <w:pPr>
                        <w:spacing w:before="120" w:after="120"/>
                        <w:rPr>
                          <w:rFonts w:ascii="Arial" w:hAnsi="Arial" w:cs="Arial"/>
                          <w:smallCaps/>
                          <w:sz w:val="32"/>
                          <w:szCs w:val="32"/>
                          <w:lang w:val="es-ES_tradnl"/>
                        </w:rPr>
                      </w:pPr>
                      <w:r>
                        <w:rPr>
                          <w:rFonts w:ascii="Arial" w:hAnsi="Arial" w:cs="Arial"/>
                          <w:smallCaps/>
                          <w:sz w:val="32"/>
                          <w:szCs w:val="32"/>
                          <w:lang w:val="es-ES_tradnl"/>
                        </w:rPr>
                        <w:t>Programa Multisectorial de Atención a Determinantes de la Salud en el Corredor Seco</w:t>
                      </w:r>
                    </w:p>
                    <w:p w14:paraId="662EB06F" w14:textId="77777777" w:rsidR="001452A8" w:rsidRPr="00740026" w:rsidRDefault="001452A8" w:rsidP="00EA22E9">
                      <w:pPr>
                        <w:spacing w:before="120" w:after="120"/>
                        <w:rPr>
                          <w:rFonts w:cs="Arial"/>
                          <w:bCs/>
                          <w:sz w:val="44"/>
                          <w:lang w:val="es-ES_tradnl"/>
                        </w:rPr>
                      </w:pPr>
                    </w:p>
                  </w:txbxContent>
                </v:textbox>
                <w10:wrap type="square"/>
              </v:shape>
            </w:pict>
          </mc:Fallback>
        </mc:AlternateContent>
      </w:r>
    </w:p>
    <w:p w14:paraId="662EADD0" w14:textId="77777777" w:rsidR="00EA22E9" w:rsidRPr="00C82BD1" w:rsidRDefault="00EA22E9" w:rsidP="00EA22E9">
      <w:pPr>
        <w:rPr>
          <w:rFonts w:ascii="Arial" w:hAnsi="Arial" w:cs="Arial"/>
          <w:sz w:val="22"/>
          <w:szCs w:val="22"/>
          <w:lang w:val="es-ES"/>
        </w:rPr>
      </w:pPr>
    </w:p>
    <w:p w14:paraId="662EADD1" w14:textId="77777777" w:rsidR="00EA22E9" w:rsidRPr="00C82BD1" w:rsidRDefault="00EA22E9" w:rsidP="00EA22E9">
      <w:pPr>
        <w:rPr>
          <w:rFonts w:ascii="Arial" w:hAnsi="Arial" w:cs="Arial"/>
          <w:sz w:val="22"/>
          <w:szCs w:val="22"/>
          <w:lang w:val="es-ES"/>
        </w:rPr>
      </w:pPr>
    </w:p>
    <w:p w14:paraId="662EADD2" w14:textId="77777777" w:rsidR="00EA22E9" w:rsidRPr="00C82BD1" w:rsidRDefault="00EA22E9" w:rsidP="00EA22E9">
      <w:pPr>
        <w:rPr>
          <w:rFonts w:ascii="Arial" w:hAnsi="Arial" w:cs="Arial"/>
          <w:sz w:val="22"/>
          <w:szCs w:val="22"/>
          <w:lang w:val="es-ES"/>
        </w:rPr>
      </w:pPr>
    </w:p>
    <w:p w14:paraId="662EADD3" w14:textId="77777777" w:rsidR="00EA22E9" w:rsidRPr="00C82BD1" w:rsidRDefault="00EA22E9" w:rsidP="00EA22E9">
      <w:pPr>
        <w:rPr>
          <w:rFonts w:ascii="Arial" w:hAnsi="Arial" w:cs="Arial"/>
          <w:sz w:val="22"/>
          <w:szCs w:val="22"/>
          <w:lang w:val="es-ES"/>
        </w:rPr>
      </w:pPr>
    </w:p>
    <w:p w14:paraId="662EADD4" w14:textId="77777777" w:rsidR="00EA22E9" w:rsidRPr="00C82BD1" w:rsidRDefault="00EA22E9" w:rsidP="00EA22E9">
      <w:pPr>
        <w:rPr>
          <w:rFonts w:ascii="Arial" w:hAnsi="Arial" w:cs="Arial"/>
          <w:sz w:val="22"/>
          <w:szCs w:val="22"/>
          <w:lang w:val="es-ES"/>
        </w:rPr>
      </w:pPr>
    </w:p>
    <w:p w14:paraId="662EADD5" w14:textId="77777777" w:rsidR="00EA22E9" w:rsidRPr="00C82BD1" w:rsidRDefault="00EA22E9" w:rsidP="00EA22E9">
      <w:pPr>
        <w:rPr>
          <w:rFonts w:ascii="Arial" w:hAnsi="Arial" w:cs="Arial"/>
          <w:sz w:val="22"/>
          <w:szCs w:val="22"/>
          <w:lang w:val="es-ES"/>
        </w:rPr>
      </w:pPr>
    </w:p>
    <w:p w14:paraId="662EADD6" w14:textId="77777777" w:rsidR="00EA22E9" w:rsidRPr="00C82BD1" w:rsidRDefault="00EA22E9" w:rsidP="00EA22E9">
      <w:pPr>
        <w:rPr>
          <w:rFonts w:ascii="Arial" w:hAnsi="Arial" w:cs="Arial"/>
          <w:sz w:val="22"/>
          <w:szCs w:val="22"/>
          <w:lang w:val="es-ES"/>
        </w:rPr>
      </w:pPr>
    </w:p>
    <w:p w14:paraId="662EADD7" w14:textId="77777777" w:rsidR="00EA22E9" w:rsidRPr="00C82BD1" w:rsidRDefault="00EA22E9" w:rsidP="00EA22E9">
      <w:pPr>
        <w:rPr>
          <w:rFonts w:ascii="Arial" w:hAnsi="Arial" w:cs="Arial"/>
          <w:sz w:val="22"/>
          <w:szCs w:val="22"/>
          <w:lang w:val="es-ES"/>
        </w:rPr>
      </w:pPr>
    </w:p>
    <w:p w14:paraId="662EADD8" w14:textId="77777777" w:rsidR="00EA22E9" w:rsidRPr="00C82BD1" w:rsidRDefault="00EA22E9" w:rsidP="00EA22E9">
      <w:pPr>
        <w:rPr>
          <w:rFonts w:ascii="Arial" w:hAnsi="Arial" w:cs="Arial"/>
          <w:sz w:val="22"/>
          <w:szCs w:val="22"/>
          <w:lang w:val="es-ES"/>
        </w:rPr>
      </w:pPr>
    </w:p>
    <w:p w14:paraId="662EADD9" w14:textId="77777777" w:rsidR="00EA22E9" w:rsidRPr="00C82BD1" w:rsidRDefault="00EA22E9" w:rsidP="00EA22E9">
      <w:pPr>
        <w:rPr>
          <w:rFonts w:ascii="Arial" w:hAnsi="Arial" w:cs="Arial"/>
          <w:sz w:val="22"/>
          <w:szCs w:val="22"/>
          <w:lang w:val="es-ES"/>
        </w:rPr>
      </w:pPr>
    </w:p>
    <w:p w14:paraId="662EADDA" w14:textId="77777777" w:rsidR="00EA22E9" w:rsidRPr="00C82BD1" w:rsidRDefault="00754CE1" w:rsidP="00EA22E9">
      <w:pPr>
        <w:tabs>
          <w:tab w:val="left" w:pos="1440"/>
          <w:tab w:val="left" w:pos="3060"/>
        </w:tabs>
        <w:spacing w:before="120" w:after="120"/>
        <w:jc w:val="both"/>
        <w:rPr>
          <w:rFonts w:ascii="Arial" w:hAnsi="Arial" w:cs="Arial"/>
          <w:b/>
          <w:smallCaps/>
          <w:sz w:val="22"/>
          <w:szCs w:val="22"/>
          <w:lang w:val="es-ES"/>
        </w:rPr>
      </w:pPr>
      <w:r w:rsidRPr="00C82BD1">
        <w:rPr>
          <w:rFonts w:ascii="Arial" w:hAnsi="Arial" w:cs="Arial"/>
          <w:b/>
          <w:smallCaps/>
          <w:sz w:val="22"/>
          <w:szCs w:val="22"/>
          <w:lang w:val="es-ES"/>
        </w:rPr>
        <w:t xml:space="preserve">Septiembre de </w:t>
      </w:r>
      <w:r w:rsidR="003A6BC2" w:rsidRPr="00C82BD1">
        <w:rPr>
          <w:rFonts w:ascii="Arial" w:hAnsi="Arial" w:cs="Arial"/>
          <w:b/>
          <w:smallCaps/>
          <w:sz w:val="22"/>
          <w:szCs w:val="22"/>
          <w:lang w:val="es-ES"/>
        </w:rPr>
        <w:t>2017</w:t>
      </w:r>
    </w:p>
    <w:p w14:paraId="662EADDB" w14:textId="77777777" w:rsidR="00EA22E9" w:rsidRPr="00C82BD1" w:rsidRDefault="00EA22E9" w:rsidP="00EA22E9">
      <w:pPr>
        <w:rPr>
          <w:rFonts w:ascii="Arial" w:hAnsi="Arial" w:cs="Arial"/>
          <w:sz w:val="22"/>
          <w:szCs w:val="22"/>
          <w:lang w:val="es-ES"/>
        </w:rPr>
      </w:pPr>
    </w:p>
    <w:p w14:paraId="662EADDC" w14:textId="77777777" w:rsidR="00EA22E9" w:rsidRPr="00C82BD1" w:rsidRDefault="00EA22E9" w:rsidP="00EA22E9">
      <w:pPr>
        <w:tabs>
          <w:tab w:val="left" w:pos="1440"/>
          <w:tab w:val="left" w:pos="3060"/>
        </w:tabs>
        <w:jc w:val="center"/>
        <w:rPr>
          <w:rFonts w:ascii="Arial" w:hAnsi="Arial" w:cs="Arial"/>
          <w:b/>
          <w:smallCaps/>
          <w:sz w:val="22"/>
          <w:szCs w:val="22"/>
          <w:lang w:val="es-ES"/>
        </w:rPr>
      </w:pPr>
    </w:p>
    <w:p w14:paraId="662EADDD" w14:textId="77777777" w:rsidR="00EA22E9" w:rsidRPr="00C82BD1" w:rsidRDefault="00EA22E9" w:rsidP="00EA22E9">
      <w:pPr>
        <w:rPr>
          <w:rFonts w:ascii="Arial" w:hAnsi="Arial" w:cs="Arial"/>
          <w:b/>
          <w:smallCaps/>
          <w:sz w:val="22"/>
          <w:szCs w:val="22"/>
          <w:lang w:val="es-ES"/>
        </w:rPr>
      </w:pPr>
      <w:r w:rsidRPr="00C82BD1">
        <w:rPr>
          <w:rFonts w:ascii="Arial" w:hAnsi="Arial" w:cs="Arial"/>
          <w:b/>
          <w:smallCaps/>
          <w:sz w:val="22"/>
          <w:szCs w:val="22"/>
          <w:lang w:val="es-ES"/>
        </w:rPr>
        <w:br w:type="page"/>
      </w:r>
    </w:p>
    <w:p w14:paraId="662EADDE" w14:textId="77777777" w:rsidR="00EA22E9" w:rsidRPr="00C82BD1" w:rsidRDefault="00EA22E9" w:rsidP="00EA22E9">
      <w:pPr>
        <w:tabs>
          <w:tab w:val="left" w:pos="1440"/>
          <w:tab w:val="left" w:pos="3060"/>
        </w:tabs>
        <w:jc w:val="center"/>
        <w:rPr>
          <w:rFonts w:ascii="Arial" w:hAnsi="Arial" w:cs="Arial"/>
          <w:b/>
          <w:smallCaps/>
          <w:sz w:val="22"/>
          <w:szCs w:val="22"/>
          <w:lang w:val="es-ES"/>
        </w:rPr>
      </w:pPr>
    </w:p>
    <w:p w14:paraId="662EADDF" w14:textId="77777777" w:rsidR="00EA22E9" w:rsidRPr="00C82BD1" w:rsidRDefault="00EA22E9" w:rsidP="00EA22E9">
      <w:pPr>
        <w:tabs>
          <w:tab w:val="left" w:pos="1440"/>
          <w:tab w:val="left" w:pos="3060"/>
        </w:tabs>
        <w:jc w:val="center"/>
        <w:rPr>
          <w:rFonts w:ascii="Arial" w:hAnsi="Arial" w:cs="Arial"/>
          <w:b/>
          <w:smallCaps/>
          <w:sz w:val="22"/>
          <w:szCs w:val="22"/>
          <w:lang w:val="es-ES"/>
        </w:rPr>
      </w:pPr>
      <w:r w:rsidRPr="00C82BD1">
        <w:rPr>
          <w:rFonts w:ascii="Arial" w:hAnsi="Arial" w:cs="Arial"/>
          <w:b/>
          <w:smallCaps/>
          <w:sz w:val="22"/>
          <w:szCs w:val="22"/>
          <w:lang w:val="es-ES"/>
        </w:rPr>
        <w:t>Tabla de Contenido</w:t>
      </w:r>
    </w:p>
    <w:p w14:paraId="662EADE0" w14:textId="77777777" w:rsidR="00EA22E9" w:rsidRPr="00C82BD1" w:rsidRDefault="00EA22E9" w:rsidP="00EA22E9">
      <w:pPr>
        <w:rPr>
          <w:rFonts w:ascii="Arial" w:eastAsia="Arial Unicode MS" w:hAnsi="Arial" w:cs="Arial"/>
          <w:bCs/>
          <w:smallCaps/>
          <w:sz w:val="22"/>
          <w:szCs w:val="22"/>
          <w:lang w:val="es-ES"/>
        </w:rPr>
      </w:pPr>
    </w:p>
    <w:sdt>
      <w:sdtPr>
        <w:rPr>
          <w:rFonts w:ascii="Times New Roman" w:eastAsia="Calibri" w:hAnsi="Times New Roman" w:cs="Times New Roman"/>
          <w:b w:val="0"/>
          <w:bCs w:val="0"/>
          <w:sz w:val="24"/>
          <w:szCs w:val="24"/>
          <w:lang w:val="es-ES"/>
        </w:rPr>
        <w:id w:val="690341951"/>
        <w:docPartObj>
          <w:docPartGallery w:val="Table of Contents"/>
          <w:docPartUnique/>
        </w:docPartObj>
      </w:sdtPr>
      <w:sdtEndPr>
        <w:rPr>
          <w:noProof/>
        </w:rPr>
      </w:sdtEndPr>
      <w:sdtContent>
        <w:p w14:paraId="662EADE1" w14:textId="77777777" w:rsidR="00EA22E9" w:rsidRPr="00C82BD1" w:rsidRDefault="00EA22E9" w:rsidP="00162A70">
          <w:pPr>
            <w:pStyle w:val="Heading1"/>
            <w:numPr>
              <w:ilvl w:val="0"/>
              <w:numId w:val="0"/>
            </w:numPr>
            <w:ind w:left="720"/>
            <w:rPr>
              <w:lang w:val="es-ES"/>
            </w:rPr>
          </w:pPr>
        </w:p>
        <w:p w14:paraId="662EADE2" w14:textId="77777777" w:rsidR="00EA22E9" w:rsidRPr="00C82BD1" w:rsidRDefault="00EA22E9" w:rsidP="003F7A80">
          <w:pPr>
            <w:pStyle w:val="TOC1"/>
            <w:rPr>
              <w:rFonts w:eastAsiaTheme="minorEastAsia" w:cstheme="minorBidi"/>
              <w:lang w:val="es-ES" w:eastAsia="es-ES"/>
            </w:rPr>
          </w:pPr>
          <w:r w:rsidRPr="00C82BD1">
            <w:rPr>
              <w:noProof w:val="0"/>
              <w:lang w:val="es-ES"/>
            </w:rPr>
            <w:fldChar w:fldCharType="begin"/>
          </w:r>
          <w:r w:rsidRPr="00C82BD1">
            <w:rPr>
              <w:lang w:val="es-ES"/>
            </w:rPr>
            <w:instrText xml:space="preserve"> TOC \o "1-3" \h \z \u </w:instrText>
          </w:r>
          <w:r w:rsidRPr="00C82BD1">
            <w:rPr>
              <w:noProof w:val="0"/>
              <w:lang w:val="es-ES"/>
            </w:rPr>
            <w:fldChar w:fldCharType="separate"/>
          </w:r>
          <w:hyperlink w:anchor="_Toc430331017" w:history="1">
            <w:r w:rsidRPr="00C82BD1">
              <w:rPr>
                <w:rStyle w:val="Hyperlink"/>
                <w:u w:val="none"/>
                <w:lang w:val="es-ES"/>
              </w:rPr>
              <w:t>1.</w:t>
            </w:r>
            <w:r w:rsidRPr="00C82BD1">
              <w:rPr>
                <w:rFonts w:eastAsiaTheme="minorEastAsia" w:cstheme="minorBidi"/>
                <w:lang w:val="es-ES" w:eastAsia="es-ES"/>
              </w:rPr>
              <w:tab/>
            </w:r>
            <w:r w:rsidRPr="00C82BD1">
              <w:rPr>
                <w:rStyle w:val="Hyperlink"/>
                <w:u w:val="none"/>
                <w:lang w:val="es-ES"/>
              </w:rPr>
              <w:t>Resumen</w:t>
            </w:r>
            <w:r w:rsidRPr="00C82BD1">
              <w:rPr>
                <w:webHidden/>
                <w:lang w:val="es-ES"/>
              </w:rPr>
              <w:tab/>
            </w:r>
            <w:r w:rsidRPr="00C82BD1">
              <w:rPr>
                <w:webHidden/>
                <w:lang w:val="es-ES"/>
              </w:rPr>
              <w:fldChar w:fldCharType="begin"/>
            </w:r>
            <w:r w:rsidRPr="00C82BD1">
              <w:rPr>
                <w:webHidden/>
                <w:lang w:val="es-ES"/>
              </w:rPr>
              <w:instrText xml:space="preserve"> PAGEREF _Toc430331017 \h </w:instrText>
            </w:r>
            <w:r w:rsidRPr="00C82BD1">
              <w:rPr>
                <w:webHidden/>
                <w:lang w:val="es-ES"/>
              </w:rPr>
            </w:r>
            <w:r w:rsidRPr="00C82BD1">
              <w:rPr>
                <w:webHidden/>
                <w:lang w:val="es-ES"/>
              </w:rPr>
              <w:fldChar w:fldCharType="separate"/>
            </w:r>
            <w:r w:rsidRPr="00C82BD1">
              <w:rPr>
                <w:webHidden/>
                <w:lang w:val="es-ES"/>
              </w:rPr>
              <w:t>2</w:t>
            </w:r>
            <w:r w:rsidRPr="00C82BD1">
              <w:rPr>
                <w:webHidden/>
                <w:lang w:val="es-ES"/>
              </w:rPr>
              <w:fldChar w:fldCharType="end"/>
            </w:r>
          </w:hyperlink>
        </w:p>
        <w:p w14:paraId="662EADE3" w14:textId="77777777" w:rsidR="00EA22E9" w:rsidRPr="00C82BD1" w:rsidRDefault="00361EA1" w:rsidP="003F7A80">
          <w:pPr>
            <w:pStyle w:val="TOC1"/>
            <w:rPr>
              <w:rFonts w:eastAsiaTheme="minorEastAsia" w:cstheme="minorBidi"/>
              <w:lang w:val="es-ES" w:eastAsia="es-ES"/>
            </w:rPr>
          </w:pPr>
          <w:hyperlink w:anchor="_Toc430331018" w:history="1">
            <w:r w:rsidR="00EA22E9" w:rsidRPr="00C82BD1">
              <w:rPr>
                <w:rStyle w:val="Hyperlink"/>
                <w:u w:val="none"/>
                <w:lang w:val="es-ES"/>
              </w:rPr>
              <w:t>2.</w:t>
            </w:r>
            <w:r w:rsidR="00EA22E9" w:rsidRPr="00C82BD1">
              <w:rPr>
                <w:rFonts w:eastAsiaTheme="minorEastAsia" w:cstheme="minorBidi"/>
                <w:lang w:val="es-ES" w:eastAsia="es-ES"/>
              </w:rPr>
              <w:tab/>
            </w:r>
            <w:r w:rsidR="00EA22E9" w:rsidRPr="00C82BD1">
              <w:rPr>
                <w:rStyle w:val="Hyperlink"/>
                <w:u w:val="none"/>
                <w:lang w:val="es-ES"/>
              </w:rPr>
              <w:t>Análisis económico</w:t>
            </w:r>
            <w:r w:rsidR="00EA22E9" w:rsidRPr="00C82BD1">
              <w:rPr>
                <w:webHidden/>
                <w:lang w:val="es-ES"/>
              </w:rPr>
              <w:tab/>
            </w:r>
            <w:r w:rsidR="00EA22E9" w:rsidRPr="00C82BD1">
              <w:rPr>
                <w:webHidden/>
                <w:lang w:val="es-ES"/>
              </w:rPr>
              <w:fldChar w:fldCharType="begin"/>
            </w:r>
            <w:r w:rsidR="00EA22E9" w:rsidRPr="00C82BD1">
              <w:rPr>
                <w:webHidden/>
                <w:lang w:val="es-ES"/>
              </w:rPr>
              <w:instrText xml:space="preserve"> PAGEREF _Toc430331018 \h </w:instrText>
            </w:r>
            <w:r w:rsidR="00EA22E9" w:rsidRPr="00C82BD1">
              <w:rPr>
                <w:webHidden/>
                <w:lang w:val="es-ES"/>
              </w:rPr>
            </w:r>
            <w:r w:rsidR="00EA22E9" w:rsidRPr="00C82BD1">
              <w:rPr>
                <w:webHidden/>
                <w:lang w:val="es-ES"/>
              </w:rPr>
              <w:fldChar w:fldCharType="separate"/>
            </w:r>
            <w:r w:rsidR="00EA22E9" w:rsidRPr="00C82BD1">
              <w:rPr>
                <w:webHidden/>
                <w:lang w:val="es-ES"/>
              </w:rPr>
              <w:t>3</w:t>
            </w:r>
            <w:r w:rsidR="00EA22E9" w:rsidRPr="00C82BD1">
              <w:rPr>
                <w:webHidden/>
                <w:lang w:val="es-ES"/>
              </w:rPr>
              <w:fldChar w:fldCharType="end"/>
            </w:r>
          </w:hyperlink>
        </w:p>
        <w:p w14:paraId="662EADE4" w14:textId="77777777" w:rsidR="00EA22E9" w:rsidRPr="00C82BD1" w:rsidRDefault="00361EA1" w:rsidP="00EA22E9">
          <w:pPr>
            <w:pStyle w:val="TOC2"/>
            <w:tabs>
              <w:tab w:val="left" w:pos="720"/>
              <w:tab w:val="right" w:leader="dot" w:pos="9350"/>
            </w:tabs>
            <w:rPr>
              <w:rFonts w:eastAsiaTheme="minorEastAsia" w:cstheme="minorBidi"/>
              <w:i w:val="0"/>
              <w:noProof/>
              <w:lang w:val="es-ES" w:eastAsia="es-ES"/>
            </w:rPr>
          </w:pPr>
          <w:hyperlink w:anchor="_Toc430331019" w:history="1">
            <w:r w:rsidR="00EA22E9" w:rsidRPr="00C82BD1">
              <w:rPr>
                <w:rStyle w:val="Hyperlink"/>
                <w:noProof/>
                <w:u w:val="none"/>
                <w:lang w:val="es-ES"/>
              </w:rPr>
              <w:t>A.</w:t>
            </w:r>
            <w:r w:rsidR="00EA22E9" w:rsidRPr="00C82BD1">
              <w:rPr>
                <w:rFonts w:eastAsiaTheme="minorEastAsia" w:cstheme="minorBidi"/>
                <w:i w:val="0"/>
                <w:noProof/>
                <w:lang w:val="es-ES" w:eastAsia="es-ES"/>
              </w:rPr>
              <w:tab/>
            </w:r>
            <w:r w:rsidR="00EA22E9" w:rsidRPr="00C82BD1">
              <w:rPr>
                <w:rStyle w:val="Hyperlink"/>
                <w:noProof/>
                <w:u w:val="none"/>
                <w:lang w:val="es-ES"/>
              </w:rPr>
              <w:t>Costos</w:t>
            </w:r>
            <w:r w:rsidR="00EA22E9" w:rsidRPr="00C82BD1">
              <w:rPr>
                <w:noProof/>
                <w:webHidden/>
                <w:lang w:val="es-ES"/>
              </w:rPr>
              <w:tab/>
            </w:r>
            <w:r w:rsidR="00EA22E9" w:rsidRPr="00C82BD1">
              <w:rPr>
                <w:noProof/>
                <w:webHidden/>
                <w:lang w:val="es-ES"/>
              </w:rPr>
              <w:fldChar w:fldCharType="begin"/>
            </w:r>
            <w:r w:rsidR="00EA22E9" w:rsidRPr="00C82BD1">
              <w:rPr>
                <w:noProof/>
                <w:webHidden/>
                <w:lang w:val="es-ES"/>
              </w:rPr>
              <w:instrText xml:space="preserve"> PAGEREF _Toc430331019 \h </w:instrText>
            </w:r>
            <w:r w:rsidR="00EA22E9" w:rsidRPr="00C82BD1">
              <w:rPr>
                <w:noProof/>
                <w:webHidden/>
                <w:lang w:val="es-ES"/>
              </w:rPr>
            </w:r>
            <w:r w:rsidR="00EA22E9" w:rsidRPr="00C82BD1">
              <w:rPr>
                <w:noProof/>
                <w:webHidden/>
                <w:lang w:val="es-ES"/>
              </w:rPr>
              <w:fldChar w:fldCharType="separate"/>
            </w:r>
            <w:r w:rsidR="00EA22E9" w:rsidRPr="00C82BD1">
              <w:rPr>
                <w:noProof/>
                <w:webHidden/>
                <w:lang w:val="es-ES"/>
              </w:rPr>
              <w:t>4</w:t>
            </w:r>
            <w:r w:rsidR="00EA22E9" w:rsidRPr="00C82BD1">
              <w:rPr>
                <w:noProof/>
                <w:webHidden/>
                <w:lang w:val="es-ES"/>
              </w:rPr>
              <w:fldChar w:fldCharType="end"/>
            </w:r>
          </w:hyperlink>
        </w:p>
        <w:p w14:paraId="662EADE5" w14:textId="77777777" w:rsidR="00EA22E9" w:rsidRPr="00C82BD1" w:rsidRDefault="00361EA1" w:rsidP="00EA22E9">
          <w:pPr>
            <w:pStyle w:val="TOC2"/>
            <w:tabs>
              <w:tab w:val="left" w:pos="720"/>
              <w:tab w:val="right" w:leader="dot" w:pos="9350"/>
            </w:tabs>
            <w:rPr>
              <w:rFonts w:eastAsiaTheme="minorEastAsia" w:cstheme="minorBidi"/>
              <w:i w:val="0"/>
              <w:noProof/>
              <w:lang w:val="es-ES" w:eastAsia="es-ES"/>
            </w:rPr>
          </w:pPr>
          <w:hyperlink w:anchor="_Toc430331020" w:history="1">
            <w:r w:rsidR="00EA22E9" w:rsidRPr="00C82BD1">
              <w:rPr>
                <w:rStyle w:val="Hyperlink"/>
                <w:noProof/>
                <w:u w:val="none"/>
                <w:lang w:val="es-ES"/>
              </w:rPr>
              <w:t>B.</w:t>
            </w:r>
            <w:r w:rsidR="00EA22E9" w:rsidRPr="00C82BD1">
              <w:rPr>
                <w:rFonts w:eastAsiaTheme="minorEastAsia" w:cstheme="minorBidi"/>
                <w:i w:val="0"/>
                <w:noProof/>
                <w:lang w:val="es-ES" w:eastAsia="es-ES"/>
              </w:rPr>
              <w:tab/>
            </w:r>
            <w:r w:rsidR="00EA22E9" w:rsidRPr="00C82BD1">
              <w:rPr>
                <w:rStyle w:val="Hyperlink"/>
                <w:noProof/>
                <w:u w:val="none"/>
                <w:lang w:val="es-ES"/>
              </w:rPr>
              <w:t>Beneficios</w:t>
            </w:r>
            <w:r w:rsidR="00EA22E9" w:rsidRPr="00C82BD1">
              <w:rPr>
                <w:noProof/>
                <w:webHidden/>
                <w:lang w:val="es-ES"/>
              </w:rPr>
              <w:tab/>
            </w:r>
            <w:r w:rsidR="00EA22E9" w:rsidRPr="00C82BD1">
              <w:rPr>
                <w:noProof/>
                <w:webHidden/>
                <w:lang w:val="es-ES"/>
              </w:rPr>
              <w:fldChar w:fldCharType="begin"/>
            </w:r>
            <w:r w:rsidR="00EA22E9" w:rsidRPr="00C82BD1">
              <w:rPr>
                <w:noProof/>
                <w:webHidden/>
                <w:lang w:val="es-ES"/>
              </w:rPr>
              <w:instrText xml:space="preserve"> PAGEREF _Toc430331020 \h </w:instrText>
            </w:r>
            <w:r w:rsidR="00EA22E9" w:rsidRPr="00C82BD1">
              <w:rPr>
                <w:noProof/>
                <w:webHidden/>
                <w:lang w:val="es-ES"/>
              </w:rPr>
            </w:r>
            <w:r w:rsidR="00EA22E9" w:rsidRPr="00C82BD1">
              <w:rPr>
                <w:noProof/>
                <w:webHidden/>
                <w:lang w:val="es-ES"/>
              </w:rPr>
              <w:fldChar w:fldCharType="separate"/>
            </w:r>
            <w:r w:rsidR="00EA22E9" w:rsidRPr="00C82BD1">
              <w:rPr>
                <w:noProof/>
                <w:webHidden/>
                <w:lang w:val="es-ES"/>
              </w:rPr>
              <w:t>7</w:t>
            </w:r>
            <w:r w:rsidR="00EA22E9" w:rsidRPr="00C82BD1">
              <w:rPr>
                <w:noProof/>
                <w:webHidden/>
                <w:lang w:val="es-ES"/>
              </w:rPr>
              <w:fldChar w:fldCharType="end"/>
            </w:r>
          </w:hyperlink>
        </w:p>
        <w:p w14:paraId="662EADE6" w14:textId="77777777" w:rsidR="00EA22E9" w:rsidRPr="00C82BD1" w:rsidRDefault="00361EA1" w:rsidP="003F7A80">
          <w:pPr>
            <w:pStyle w:val="TOC1"/>
            <w:rPr>
              <w:rFonts w:eastAsiaTheme="minorEastAsia" w:cstheme="minorBidi"/>
              <w:lang w:val="es-ES" w:eastAsia="es-ES"/>
            </w:rPr>
          </w:pPr>
          <w:hyperlink w:anchor="_Toc430331021" w:history="1">
            <w:r w:rsidR="00EA22E9" w:rsidRPr="00C82BD1">
              <w:rPr>
                <w:rStyle w:val="Hyperlink"/>
                <w:color w:val="auto"/>
                <w:u w:val="none"/>
                <w:lang w:val="es-ES"/>
              </w:rPr>
              <w:t>3.</w:t>
            </w:r>
            <w:r w:rsidR="00EA22E9" w:rsidRPr="00C82BD1">
              <w:rPr>
                <w:rFonts w:eastAsiaTheme="minorEastAsia" w:cstheme="minorBidi"/>
                <w:lang w:val="es-ES" w:eastAsia="es-ES"/>
              </w:rPr>
              <w:tab/>
            </w:r>
            <w:r w:rsidR="00EA22E9" w:rsidRPr="00C82BD1">
              <w:rPr>
                <w:rStyle w:val="Hyperlink"/>
                <w:color w:val="auto"/>
                <w:u w:val="none"/>
                <w:lang w:val="es-ES"/>
              </w:rPr>
              <w:t>Análisis de sensibilidad</w:t>
            </w:r>
            <w:r w:rsidR="00EA22E9" w:rsidRPr="00C82BD1">
              <w:rPr>
                <w:webHidden/>
                <w:lang w:val="es-ES"/>
              </w:rPr>
              <w:tab/>
            </w:r>
          </w:hyperlink>
          <w:r w:rsidR="00EA22E9" w:rsidRPr="00C82BD1">
            <w:rPr>
              <w:rStyle w:val="Hyperlink"/>
              <w:color w:val="auto"/>
              <w:u w:val="none"/>
              <w:lang w:val="es-ES"/>
            </w:rPr>
            <w:fldChar w:fldCharType="begin"/>
          </w:r>
          <w:r w:rsidR="00EA22E9" w:rsidRPr="00C82BD1">
            <w:rPr>
              <w:rStyle w:val="Hyperlink"/>
              <w:color w:val="auto"/>
              <w:u w:val="none"/>
              <w:lang w:val="es-ES"/>
            </w:rPr>
            <w:instrText xml:space="preserve"> =14 </w:instrText>
          </w:r>
          <w:r w:rsidR="00EA22E9" w:rsidRPr="00C82BD1">
            <w:rPr>
              <w:rStyle w:val="Hyperlink"/>
              <w:color w:val="auto"/>
              <w:u w:val="none"/>
              <w:lang w:val="es-ES"/>
            </w:rPr>
            <w:fldChar w:fldCharType="separate"/>
          </w:r>
          <w:r w:rsidR="00EA22E9" w:rsidRPr="00C82BD1">
            <w:rPr>
              <w:rStyle w:val="Hyperlink"/>
              <w:color w:val="auto"/>
              <w:u w:val="none"/>
              <w:lang w:val="es-ES"/>
            </w:rPr>
            <w:t>14</w:t>
          </w:r>
          <w:r w:rsidR="00EA22E9" w:rsidRPr="00C82BD1">
            <w:rPr>
              <w:rStyle w:val="Hyperlink"/>
              <w:color w:val="auto"/>
              <w:u w:val="none"/>
              <w:lang w:val="es-ES"/>
            </w:rPr>
            <w:fldChar w:fldCharType="end"/>
          </w:r>
        </w:p>
        <w:p w14:paraId="662EADE7" w14:textId="77777777" w:rsidR="00EA22E9" w:rsidRPr="00C82BD1" w:rsidRDefault="00361EA1" w:rsidP="003F7A80">
          <w:pPr>
            <w:pStyle w:val="TOC1"/>
            <w:rPr>
              <w:rFonts w:eastAsiaTheme="minorEastAsia" w:cstheme="minorBidi"/>
              <w:lang w:val="es-ES" w:eastAsia="es-ES"/>
            </w:rPr>
          </w:pPr>
          <w:hyperlink w:anchor="_Toc430331022" w:history="1">
            <w:r w:rsidR="00EA22E9" w:rsidRPr="00C82BD1">
              <w:rPr>
                <w:rStyle w:val="Hyperlink"/>
                <w:lang w:val="es-ES"/>
              </w:rPr>
              <w:t>4.</w:t>
            </w:r>
            <w:r w:rsidR="00EA22E9" w:rsidRPr="00C82BD1">
              <w:rPr>
                <w:rFonts w:eastAsiaTheme="minorEastAsia" w:cstheme="minorBidi"/>
                <w:lang w:val="es-ES" w:eastAsia="es-ES"/>
              </w:rPr>
              <w:tab/>
            </w:r>
            <w:r w:rsidR="00EA22E9" w:rsidRPr="00C82BD1">
              <w:rPr>
                <w:rStyle w:val="Hyperlink"/>
                <w:lang w:val="es-ES"/>
              </w:rPr>
              <w:t>Conclusiones</w:t>
            </w:r>
            <w:r w:rsidR="00EA22E9" w:rsidRPr="00C82BD1">
              <w:rPr>
                <w:webHidden/>
                <w:lang w:val="es-ES"/>
              </w:rPr>
              <w:tab/>
            </w:r>
            <w:r w:rsidR="00EA22E9" w:rsidRPr="00C82BD1">
              <w:rPr>
                <w:webHidden/>
                <w:lang w:val="es-ES"/>
              </w:rPr>
              <w:fldChar w:fldCharType="begin"/>
            </w:r>
            <w:r w:rsidR="00EA22E9" w:rsidRPr="00C82BD1">
              <w:rPr>
                <w:webHidden/>
                <w:lang w:val="es-ES"/>
              </w:rPr>
              <w:instrText xml:space="preserve"> 15 </w:instrText>
            </w:r>
            <w:r w:rsidR="00EA22E9" w:rsidRPr="00C82BD1">
              <w:rPr>
                <w:webHidden/>
                <w:lang w:val="es-ES"/>
              </w:rPr>
              <w:fldChar w:fldCharType="end"/>
            </w:r>
            <w:r w:rsidR="00EA22E9" w:rsidRPr="00C82BD1">
              <w:rPr>
                <w:webHidden/>
                <w:lang w:val="es-ES"/>
              </w:rPr>
              <w:fldChar w:fldCharType="begin"/>
            </w:r>
            <w:r w:rsidR="00EA22E9" w:rsidRPr="00C82BD1">
              <w:rPr>
                <w:webHidden/>
                <w:lang w:val="es-ES"/>
              </w:rPr>
              <w:instrText xml:space="preserve"> =15 </w:instrText>
            </w:r>
            <w:r w:rsidR="00EA22E9" w:rsidRPr="00C82BD1">
              <w:rPr>
                <w:webHidden/>
                <w:lang w:val="es-ES"/>
              </w:rPr>
              <w:fldChar w:fldCharType="separate"/>
            </w:r>
            <w:r w:rsidR="00EA22E9" w:rsidRPr="00C82BD1">
              <w:rPr>
                <w:webHidden/>
                <w:lang w:val="es-ES"/>
              </w:rPr>
              <w:t>15</w:t>
            </w:r>
            <w:r w:rsidR="00EA22E9" w:rsidRPr="00C82BD1">
              <w:rPr>
                <w:webHidden/>
                <w:lang w:val="es-ES"/>
              </w:rPr>
              <w:fldChar w:fldCharType="end"/>
            </w:r>
          </w:hyperlink>
        </w:p>
        <w:p w14:paraId="662EADE8" w14:textId="77777777" w:rsidR="00EA22E9" w:rsidRPr="00C82BD1" w:rsidRDefault="00361EA1" w:rsidP="003F7A80">
          <w:pPr>
            <w:pStyle w:val="TOC1"/>
            <w:rPr>
              <w:rFonts w:eastAsiaTheme="minorEastAsia" w:cstheme="minorBidi"/>
              <w:lang w:val="es-ES" w:eastAsia="es-ES"/>
            </w:rPr>
          </w:pPr>
          <w:hyperlink w:anchor="_Toc430331023" w:history="1">
            <w:r w:rsidR="00EA22E9" w:rsidRPr="00C82BD1">
              <w:rPr>
                <w:rStyle w:val="Hyperlink"/>
                <w:lang w:val="es-ES"/>
              </w:rPr>
              <w:t>Referencias</w:t>
            </w:r>
            <w:r w:rsidR="00EA22E9" w:rsidRPr="00C82BD1">
              <w:rPr>
                <w:webHidden/>
                <w:lang w:val="es-ES"/>
              </w:rPr>
              <w:tab/>
            </w:r>
            <w:r w:rsidR="00EA22E9" w:rsidRPr="00C82BD1">
              <w:rPr>
                <w:webHidden/>
                <w:lang w:val="es-ES"/>
              </w:rPr>
              <w:fldChar w:fldCharType="begin"/>
            </w:r>
            <w:r w:rsidR="00EA22E9" w:rsidRPr="00C82BD1">
              <w:rPr>
                <w:webHidden/>
                <w:lang w:val="es-ES"/>
              </w:rPr>
              <w:instrText xml:space="preserve"> =16 </w:instrText>
            </w:r>
            <w:r w:rsidR="00EA22E9" w:rsidRPr="00C82BD1">
              <w:rPr>
                <w:webHidden/>
                <w:lang w:val="es-ES"/>
              </w:rPr>
              <w:fldChar w:fldCharType="separate"/>
            </w:r>
            <w:r w:rsidR="00EA22E9" w:rsidRPr="00C82BD1">
              <w:rPr>
                <w:webHidden/>
                <w:lang w:val="es-ES"/>
              </w:rPr>
              <w:t>16</w:t>
            </w:r>
            <w:r w:rsidR="00EA22E9" w:rsidRPr="00C82BD1">
              <w:rPr>
                <w:webHidden/>
                <w:lang w:val="es-ES"/>
              </w:rPr>
              <w:fldChar w:fldCharType="end"/>
            </w:r>
          </w:hyperlink>
        </w:p>
        <w:p w14:paraId="662EADE9" w14:textId="77777777" w:rsidR="00EA22E9" w:rsidRPr="00C82BD1" w:rsidRDefault="00EA22E9" w:rsidP="00EA22E9">
          <w:pPr>
            <w:rPr>
              <w:lang w:val="es-ES"/>
            </w:rPr>
          </w:pPr>
          <w:r w:rsidRPr="00C82BD1">
            <w:rPr>
              <w:b/>
              <w:bCs/>
              <w:noProof/>
              <w:lang w:val="es-ES"/>
            </w:rPr>
            <w:fldChar w:fldCharType="end"/>
          </w:r>
        </w:p>
      </w:sdtContent>
    </w:sdt>
    <w:p w14:paraId="662EADEA" w14:textId="77777777" w:rsidR="00EA22E9" w:rsidRPr="00C82BD1" w:rsidRDefault="00EA22E9" w:rsidP="00EA22E9">
      <w:pPr>
        <w:rPr>
          <w:rFonts w:ascii="Arial" w:eastAsia="Arial Unicode MS" w:hAnsi="Arial" w:cs="Arial"/>
          <w:bCs/>
          <w:smallCaps/>
          <w:sz w:val="22"/>
          <w:szCs w:val="22"/>
          <w:lang w:val="es-ES"/>
        </w:rPr>
      </w:pPr>
      <w:r w:rsidRPr="00C82BD1">
        <w:rPr>
          <w:rFonts w:ascii="Arial" w:eastAsia="Arial Unicode MS" w:hAnsi="Arial" w:cs="Arial"/>
          <w:bCs/>
          <w:smallCaps/>
          <w:sz w:val="22"/>
          <w:szCs w:val="22"/>
          <w:lang w:val="es-ES"/>
        </w:rPr>
        <w:br w:type="page"/>
      </w:r>
    </w:p>
    <w:p w14:paraId="662EADEB" w14:textId="77777777" w:rsidR="00EA22E9" w:rsidRPr="00C82BD1" w:rsidRDefault="00EA22E9" w:rsidP="00162A70">
      <w:pPr>
        <w:pStyle w:val="Heading1"/>
        <w:rPr>
          <w:lang w:val="es-ES"/>
        </w:rPr>
      </w:pPr>
      <w:bookmarkStart w:id="0" w:name="_Toc296257181"/>
      <w:bookmarkStart w:id="1" w:name="_Toc429421746"/>
      <w:bookmarkStart w:id="2" w:name="_Toc430331017"/>
      <w:r w:rsidRPr="00C82BD1">
        <w:rPr>
          <w:lang w:val="es-ES"/>
        </w:rPr>
        <w:lastRenderedPageBreak/>
        <w:t>Resumen</w:t>
      </w:r>
      <w:bookmarkEnd w:id="0"/>
      <w:bookmarkEnd w:id="1"/>
      <w:bookmarkEnd w:id="2"/>
    </w:p>
    <w:p w14:paraId="662EADEC" w14:textId="77777777" w:rsidR="00EA22E9" w:rsidRPr="00C82BD1" w:rsidRDefault="00EA22E9" w:rsidP="00011851">
      <w:pPr>
        <w:spacing w:before="120" w:after="120"/>
        <w:jc w:val="both"/>
        <w:rPr>
          <w:rFonts w:ascii="Arial" w:hAnsi="Arial" w:cs="Arial"/>
          <w:sz w:val="22"/>
          <w:szCs w:val="22"/>
          <w:lang w:val="es-ES"/>
        </w:rPr>
      </w:pPr>
      <w:r w:rsidRPr="00C82BD1">
        <w:rPr>
          <w:rFonts w:ascii="Arial" w:hAnsi="Arial" w:cs="Arial"/>
          <w:spacing w:val="-2"/>
          <w:sz w:val="22"/>
          <w:szCs w:val="22"/>
          <w:lang w:val="es-ES"/>
        </w:rPr>
        <w:t xml:space="preserve">Este documento desarrolla el enfoque y los resultados del análisis económico del </w:t>
      </w:r>
      <w:r w:rsidR="003A6BC2" w:rsidRPr="00C82BD1">
        <w:rPr>
          <w:rFonts w:ascii="Arial" w:hAnsi="Arial" w:cs="Arial"/>
          <w:spacing w:val="-2"/>
          <w:sz w:val="22"/>
          <w:szCs w:val="22"/>
          <w:lang w:val="es-ES"/>
        </w:rPr>
        <w:t>Programa Multisectorial de Atención a Determinantes de la Salud en el Corredor Seco (NI-L1143</w:t>
      </w:r>
      <w:r w:rsidR="00531819" w:rsidRPr="00C82BD1">
        <w:rPr>
          <w:rFonts w:ascii="Arial" w:hAnsi="Arial" w:cs="Arial"/>
          <w:spacing w:val="-2"/>
          <w:sz w:val="22"/>
          <w:szCs w:val="22"/>
          <w:lang w:val="es-ES"/>
        </w:rPr>
        <w:t>)</w:t>
      </w:r>
      <w:r w:rsidRPr="00C82BD1">
        <w:rPr>
          <w:rFonts w:ascii="Arial" w:hAnsi="Arial" w:cs="Arial"/>
          <w:spacing w:val="-2"/>
          <w:sz w:val="22"/>
          <w:szCs w:val="22"/>
          <w:lang w:val="es-ES"/>
        </w:rPr>
        <w:t xml:space="preserve">. Más específicamente, se presenta el análisis de los costos y beneficios esperados del financiamiento de </w:t>
      </w:r>
      <w:r w:rsidR="00EC0920" w:rsidRPr="00C82BD1">
        <w:rPr>
          <w:rFonts w:ascii="Arial" w:hAnsi="Arial" w:cs="Arial"/>
          <w:sz w:val="22"/>
          <w:szCs w:val="22"/>
          <w:lang w:val="es-ES"/>
        </w:rPr>
        <w:t>intervenciones que buscan mejorar el acceso</w:t>
      </w:r>
      <w:r w:rsidR="007D4110">
        <w:rPr>
          <w:rFonts w:ascii="Arial" w:hAnsi="Arial" w:cs="Arial"/>
          <w:sz w:val="22"/>
          <w:szCs w:val="22"/>
          <w:lang w:val="es-ES"/>
        </w:rPr>
        <w:t xml:space="preserve"> y calidad</w:t>
      </w:r>
      <w:r w:rsidR="00EC0920" w:rsidRPr="00C82BD1">
        <w:rPr>
          <w:rFonts w:ascii="Arial" w:hAnsi="Arial" w:cs="Arial"/>
          <w:sz w:val="22"/>
          <w:szCs w:val="22"/>
          <w:lang w:val="es-ES"/>
        </w:rPr>
        <w:t xml:space="preserve"> a los servicios básicos de salud</w:t>
      </w:r>
      <w:r w:rsidRPr="00C82BD1">
        <w:rPr>
          <w:rFonts w:ascii="Arial" w:hAnsi="Arial" w:cs="Arial"/>
          <w:spacing w:val="-2"/>
          <w:sz w:val="22"/>
          <w:szCs w:val="22"/>
          <w:lang w:val="es-ES"/>
        </w:rPr>
        <w:t xml:space="preserve">. La descripción completa de la operación </w:t>
      </w:r>
      <w:r w:rsidR="003A6BC2" w:rsidRPr="00C82BD1">
        <w:rPr>
          <w:rFonts w:ascii="Arial" w:hAnsi="Arial" w:cs="Arial"/>
          <w:spacing w:val="-2"/>
          <w:sz w:val="22"/>
          <w:szCs w:val="22"/>
          <w:lang w:val="es-ES"/>
        </w:rPr>
        <w:t>NI-L1143</w:t>
      </w:r>
      <w:r w:rsidRPr="00C82BD1">
        <w:rPr>
          <w:rFonts w:ascii="Arial" w:hAnsi="Arial" w:cs="Arial"/>
          <w:spacing w:val="-2"/>
          <w:sz w:val="22"/>
          <w:szCs w:val="22"/>
          <w:lang w:val="es-ES"/>
        </w:rPr>
        <w:t xml:space="preserve"> se encuentra en el documento de propuesta para el desarrollo de la operación (POD, por sus siglas en inglés), del cual este documento es un anexo</w:t>
      </w:r>
      <w:r w:rsidRPr="00C82BD1">
        <w:rPr>
          <w:rFonts w:ascii="Arial" w:hAnsi="Arial" w:cs="Arial"/>
          <w:sz w:val="22"/>
          <w:szCs w:val="22"/>
          <w:lang w:val="es-ES"/>
        </w:rPr>
        <w:t xml:space="preserve">. </w:t>
      </w:r>
    </w:p>
    <w:p w14:paraId="662EADED" w14:textId="77777777" w:rsidR="00EA22E9" w:rsidRPr="00C82BD1" w:rsidRDefault="00EA22E9" w:rsidP="00011851">
      <w:pPr>
        <w:spacing w:before="120" w:after="120"/>
        <w:jc w:val="both"/>
        <w:rPr>
          <w:rFonts w:ascii="Arial" w:hAnsi="Arial" w:cs="Arial"/>
          <w:sz w:val="22"/>
          <w:szCs w:val="22"/>
          <w:lang w:val="es-ES"/>
        </w:rPr>
      </w:pPr>
      <w:r w:rsidRPr="00C82BD1">
        <w:rPr>
          <w:rFonts w:ascii="Arial" w:hAnsi="Arial" w:cs="Arial"/>
          <w:sz w:val="22"/>
          <w:szCs w:val="22"/>
          <w:lang w:val="es-ES"/>
        </w:rPr>
        <w:t xml:space="preserve">El análisis considera varios escenarios que permiten realizar un detallado análisis de sensibilidad. Por medio del análisis de costo beneficio, se evalúa si los beneficios obtenidos </w:t>
      </w:r>
      <w:r w:rsidR="00AF2386" w:rsidRPr="00C82BD1">
        <w:rPr>
          <w:rFonts w:ascii="Arial" w:hAnsi="Arial" w:cs="Arial"/>
          <w:sz w:val="22"/>
          <w:szCs w:val="22"/>
          <w:lang w:val="es-ES"/>
        </w:rPr>
        <w:t xml:space="preserve">de intervenciones financiadas bajo el marco del Programa Multisectorial de Atención a Determinantes de la salud en el Corredor Seco </w:t>
      </w:r>
      <w:r w:rsidRPr="00C82BD1">
        <w:rPr>
          <w:rFonts w:ascii="Arial" w:hAnsi="Arial" w:cs="Arial"/>
          <w:sz w:val="22"/>
          <w:szCs w:val="22"/>
          <w:lang w:val="es-ES"/>
        </w:rPr>
        <w:t xml:space="preserve">justifican sus costos. El análisis de costo-beneficio es una técnica analítica que enumera y compara el costo neto de una intervención con los beneficios que surgen como consecuencia de aplicar dicha intervención. </w:t>
      </w:r>
    </w:p>
    <w:p w14:paraId="662EADEE" w14:textId="77777777" w:rsidR="00394829" w:rsidRPr="00C82BD1" w:rsidRDefault="00394829" w:rsidP="00011851">
      <w:pPr>
        <w:spacing w:before="120" w:after="120"/>
        <w:jc w:val="both"/>
        <w:rPr>
          <w:rFonts w:ascii="Arial" w:hAnsi="Arial" w:cs="Arial"/>
          <w:sz w:val="22"/>
          <w:szCs w:val="22"/>
          <w:lang w:val="es-ES"/>
        </w:rPr>
      </w:pPr>
      <w:r w:rsidRPr="00C82BD1">
        <w:rPr>
          <w:rFonts w:ascii="Arial" w:hAnsi="Arial" w:cs="Arial"/>
          <w:sz w:val="22"/>
          <w:szCs w:val="22"/>
          <w:lang w:val="es-ES"/>
        </w:rPr>
        <w:t>.</w:t>
      </w:r>
      <w:r w:rsidR="00D16FFB" w:rsidRPr="00C82BD1">
        <w:rPr>
          <w:rFonts w:ascii="Arial" w:hAnsi="Arial" w:cs="Arial"/>
          <w:sz w:val="22"/>
          <w:szCs w:val="22"/>
          <w:lang w:val="es-ES"/>
        </w:rPr>
        <w:t xml:space="preserve"> </w:t>
      </w:r>
      <w:r w:rsidR="001C2741" w:rsidRPr="00853F78">
        <w:rPr>
          <w:rFonts w:ascii="Arial" w:hAnsi="Arial" w:cs="Arial"/>
          <w:sz w:val="22"/>
          <w:szCs w:val="22"/>
          <w:lang w:val="es-ES"/>
        </w:rPr>
        <w:t xml:space="preserve">El objetivo del programa es mejorar la salud de la población a través de la gestión territorial de la salud y </w:t>
      </w:r>
      <w:bookmarkStart w:id="3" w:name="_Hlk496087214"/>
      <w:r w:rsidR="001C2741" w:rsidRPr="00853F78">
        <w:rPr>
          <w:rFonts w:ascii="Arial" w:hAnsi="Arial" w:cs="Arial"/>
          <w:sz w:val="22"/>
          <w:szCs w:val="22"/>
          <w:lang w:val="es-ES"/>
        </w:rPr>
        <w:t>algunos de sus determinantes más significativos en áreas priorizadas, impulsando prácticas de salubridad, mejorando las vías de acceso, la cobertura y calidad de los servicios de salud,</w:t>
      </w:r>
      <w:bookmarkEnd w:id="3"/>
      <w:r w:rsidR="001C2741" w:rsidRPr="00853F78">
        <w:rPr>
          <w:rFonts w:ascii="Arial" w:hAnsi="Arial" w:cs="Arial"/>
          <w:sz w:val="22"/>
          <w:szCs w:val="22"/>
          <w:lang w:val="es-ES"/>
        </w:rPr>
        <w:t xml:space="preserve"> con el fin de acelerar la reducción de la morbilidad y mortalidad materna e infantil, y frenar el avance de las principales enfermedades crónicas</w:t>
      </w:r>
      <w:r w:rsidR="001C2741">
        <w:rPr>
          <w:rFonts w:ascii="Arial" w:hAnsi="Arial" w:cs="Arial"/>
          <w:sz w:val="22"/>
          <w:szCs w:val="22"/>
          <w:lang w:val="es-ES"/>
        </w:rPr>
        <w:t xml:space="preserve">. </w:t>
      </w:r>
      <w:r w:rsidR="00D16FFB" w:rsidRPr="00C82BD1">
        <w:rPr>
          <w:rFonts w:ascii="Arial" w:hAnsi="Arial" w:cs="Arial"/>
          <w:sz w:val="22"/>
          <w:szCs w:val="22"/>
          <w:lang w:val="es-ES"/>
        </w:rPr>
        <w:t>Se analiza el costo de</w:t>
      </w:r>
      <w:r w:rsidR="00355400">
        <w:rPr>
          <w:rFonts w:ascii="Arial" w:hAnsi="Arial" w:cs="Arial"/>
          <w:sz w:val="22"/>
          <w:szCs w:val="22"/>
          <w:lang w:val="es-ES"/>
        </w:rPr>
        <w:t xml:space="preserve">l mantenimiento </w:t>
      </w:r>
      <w:r w:rsidR="002D2A10" w:rsidRPr="00C82BD1">
        <w:rPr>
          <w:rFonts w:ascii="Arial" w:hAnsi="Arial" w:cs="Arial"/>
          <w:sz w:val="22"/>
          <w:szCs w:val="22"/>
          <w:lang w:val="es-ES"/>
        </w:rPr>
        <w:t>de</w:t>
      </w:r>
      <w:r w:rsidR="00355400">
        <w:rPr>
          <w:rFonts w:ascii="Arial" w:hAnsi="Arial" w:cs="Arial"/>
          <w:sz w:val="22"/>
          <w:szCs w:val="22"/>
          <w:lang w:val="es-ES"/>
        </w:rPr>
        <w:t>l</w:t>
      </w:r>
      <w:r w:rsidR="002D2A10" w:rsidRPr="00C82BD1">
        <w:rPr>
          <w:rFonts w:ascii="Arial" w:hAnsi="Arial" w:cs="Arial"/>
          <w:sz w:val="22"/>
          <w:szCs w:val="22"/>
          <w:lang w:val="es-ES"/>
        </w:rPr>
        <w:t xml:space="preserve"> acceso vial</w:t>
      </w:r>
      <w:r w:rsidR="00FB406B" w:rsidRPr="00C82BD1">
        <w:rPr>
          <w:rFonts w:ascii="Arial" w:hAnsi="Arial" w:cs="Arial"/>
          <w:sz w:val="22"/>
          <w:szCs w:val="22"/>
          <w:lang w:val="es-ES"/>
        </w:rPr>
        <w:t xml:space="preserve"> para hogares, financiado </w:t>
      </w:r>
      <w:r w:rsidR="00D16FFB" w:rsidRPr="00C82BD1">
        <w:rPr>
          <w:rFonts w:ascii="Arial" w:hAnsi="Arial" w:cs="Arial"/>
          <w:sz w:val="22"/>
          <w:szCs w:val="22"/>
          <w:lang w:val="es-ES"/>
        </w:rPr>
        <w:t xml:space="preserve">bajo el marco del Componente 1, </w:t>
      </w:r>
      <w:r w:rsidR="00D94712" w:rsidRPr="00C82BD1">
        <w:rPr>
          <w:rFonts w:ascii="Arial" w:hAnsi="Arial" w:cs="Arial"/>
          <w:sz w:val="22"/>
          <w:szCs w:val="22"/>
          <w:lang w:val="es-ES"/>
        </w:rPr>
        <w:t>c</w:t>
      </w:r>
      <w:r w:rsidR="00FB406B" w:rsidRPr="00C82BD1">
        <w:rPr>
          <w:rFonts w:ascii="Arial" w:hAnsi="Arial" w:cs="Arial"/>
          <w:sz w:val="22"/>
          <w:szCs w:val="22"/>
          <w:lang w:val="es-ES"/>
        </w:rPr>
        <w:t xml:space="preserve">omparado con </w:t>
      </w:r>
      <w:r w:rsidR="00D94712" w:rsidRPr="00C82BD1">
        <w:rPr>
          <w:rFonts w:ascii="Arial" w:hAnsi="Arial" w:cs="Arial"/>
          <w:sz w:val="22"/>
          <w:szCs w:val="22"/>
          <w:lang w:val="es-ES"/>
        </w:rPr>
        <w:t xml:space="preserve">los beneficios de </w:t>
      </w:r>
      <w:r w:rsidR="002D2A10" w:rsidRPr="00C82BD1">
        <w:rPr>
          <w:rFonts w:ascii="Arial" w:hAnsi="Arial" w:cs="Arial"/>
          <w:sz w:val="22"/>
          <w:szCs w:val="22"/>
          <w:lang w:val="es-ES"/>
        </w:rPr>
        <w:t>ahorro de tiempo de transporte por mejoramiento de condiciones viales y</w:t>
      </w:r>
      <w:r w:rsidR="001466C7" w:rsidRPr="00C82BD1">
        <w:rPr>
          <w:rFonts w:ascii="Arial" w:hAnsi="Arial" w:cs="Arial"/>
          <w:sz w:val="22"/>
          <w:szCs w:val="22"/>
          <w:lang w:val="es-ES"/>
        </w:rPr>
        <w:t xml:space="preserve"> al dejar de utilizarse fuentes alternativas</w:t>
      </w:r>
      <w:r w:rsidR="00D94712" w:rsidRPr="00C82BD1">
        <w:rPr>
          <w:rFonts w:ascii="Arial" w:hAnsi="Arial" w:cs="Arial"/>
          <w:sz w:val="22"/>
          <w:szCs w:val="22"/>
          <w:lang w:val="es-ES"/>
        </w:rPr>
        <w:t xml:space="preserve">. De igual manera, el documento analiza el costo de </w:t>
      </w:r>
      <w:r w:rsidR="00DC3A74" w:rsidRPr="00C82BD1">
        <w:rPr>
          <w:rFonts w:ascii="Arial" w:hAnsi="Arial" w:cs="Arial"/>
          <w:sz w:val="22"/>
          <w:szCs w:val="22"/>
          <w:lang w:val="es-ES"/>
        </w:rPr>
        <w:t>las intervenciones que mejoran la calidad de la atención en salud por ciclo de vida,</w:t>
      </w:r>
      <w:r w:rsidR="00D94712" w:rsidRPr="00C82BD1">
        <w:rPr>
          <w:rFonts w:ascii="Arial" w:hAnsi="Arial" w:cs="Arial"/>
          <w:sz w:val="22"/>
          <w:szCs w:val="22"/>
          <w:lang w:val="es-ES"/>
        </w:rPr>
        <w:t xml:space="preserve"> contra el retorno de años de vida ajustados por discapacidad (AVADs) evitados</w:t>
      </w:r>
      <w:r w:rsidR="003E5F89" w:rsidRPr="00C82BD1">
        <w:rPr>
          <w:rStyle w:val="FootnoteReference"/>
          <w:rFonts w:ascii="Arial" w:hAnsi="Arial" w:cs="Arial"/>
          <w:sz w:val="22"/>
          <w:szCs w:val="22"/>
          <w:lang w:val="es-ES"/>
        </w:rPr>
        <w:footnoteReference w:id="1"/>
      </w:r>
      <w:r w:rsidR="00D94712" w:rsidRPr="00C82BD1">
        <w:rPr>
          <w:rFonts w:ascii="Arial" w:hAnsi="Arial" w:cs="Arial"/>
          <w:sz w:val="22"/>
          <w:szCs w:val="22"/>
          <w:lang w:val="es-ES"/>
        </w:rPr>
        <w:t xml:space="preserve">. </w:t>
      </w:r>
    </w:p>
    <w:p w14:paraId="662EADEF" w14:textId="77777777" w:rsidR="00451347" w:rsidRPr="00C82BD1" w:rsidRDefault="00451347" w:rsidP="00011851">
      <w:pPr>
        <w:pStyle w:val="ColorfulList-Accent11"/>
        <w:spacing w:before="120" w:after="120" w:line="240" w:lineRule="auto"/>
        <w:ind w:left="0"/>
        <w:contextualSpacing w:val="0"/>
        <w:jc w:val="both"/>
        <w:rPr>
          <w:rFonts w:cs="Arial"/>
          <w:lang w:val="es-ES"/>
        </w:rPr>
      </w:pPr>
      <w:r w:rsidRPr="00C82BD1">
        <w:rPr>
          <w:rFonts w:cs="Arial"/>
          <w:lang w:val="es-ES"/>
        </w:rPr>
        <w:t>El análisis arroja los siguientes resultados. Respecto a los ahorros en el tiempo</w:t>
      </w:r>
      <w:r w:rsidR="002D2A10" w:rsidRPr="00C82BD1">
        <w:rPr>
          <w:rFonts w:cs="Arial"/>
          <w:lang w:val="es-ES"/>
        </w:rPr>
        <w:t>, frente al mejoramiento vial</w:t>
      </w:r>
      <w:r w:rsidR="00355400">
        <w:rPr>
          <w:rFonts w:cs="Arial"/>
          <w:lang w:val="es-ES"/>
        </w:rPr>
        <w:t>,</w:t>
      </w:r>
      <w:r w:rsidR="002D2A10" w:rsidRPr="00C82BD1">
        <w:rPr>
          <w:rFonts w:cs="Arial"/>
          <w:lang w:val="es-ES"/>
        </w:rPr>
        <w:t xml:space="preserve"> </w:t>
      </w:r>
      <w:r w:rsidRPr="00C82BD1">
        <w:rPr>
          <w:rFonts w:cs="Arial"/>
          <w:lang w:val="es-ES"/>
        </w:rPr>
        <w:t xml:space="preserve">se calcula que por mes cada hogar invierte el equivalente </w:t>
      </w:r>
      <w:r w:rsidR="002D2A10" w:rsidRPr="00C82BD1">
        <w:rPr>
          <w:rFonts w:cs="Arial"/>
          <w:lang w:val="es-ES"/>
        </w:rPr>
        <w:t xml:space="preserve">en transporte inadecuado </w:t>
      </w:r>
      <w:r w:rsidR="001C2741">
        <w:rPr>
          <w:rFonts w:cs="Arial"/>
          <w:lang w:val="es-ES"/>
        </w:rPr>
        <w:t xml:space="preserve">un </w:t>
      </w:r>
      <w:r w:rsidR="00A47E57">
        <w:rPr>
          <w:rFonts w:cs="Arial"/>
          <w:lang w:val="es-ES"/>
        </w:rPr>
        <w:t>$20,87 de tiempo laboral</w:t>
      </w:r>
      <w:r w:rsidRPr="00C82BD1">
        <w:rPr>
          <w:rFonts w:cs="Arial"/>
          <w:lang w:val="es-ES"/>
        </w:rPr>
        <w:t xml:space="preserve">. </w:t>
      </w:r>
      <w:r w:rsidR="004F73ED" w:rsidRPr="00C82BD1">
        <w:rPr>
          <w:rFonts w:cs="Arial"/>
          <w:spacing w:val="-2"/>
          <w:lang w:val="es-ES"/>
        </w:rPr>
        <w:t>Si se considera los costos de las intervenciones en mejoras viales, el VPN asciende a US</w:t>
      </w:r>
      <w:r w:rsidR="003B3C37" w:rsidRPr="00C82BD1">
        <w:rPr>
          <w:rFonts w:cs="Arial"/>
          <w:spacing w:val="-2"/>
          <w:lang w:val="es-ES"/>
        </w:rPr>
        <w:t>$</w:t>
      </w:r>
      <w:r w:rsidR="004F73ED" w:rsidRPr="00C82BD1">
        <w:rPr>
          <w:rFonts w:cs="Arial"/>
          <w:spacing w:val="-2"/>
          <w:lang w:val="es-ES"/>
        </w:rPr>
        <w:t xml:space="preserve"> 14.650.853,83, con una razón costo beneficio de 3,23, lo cual justifica inversiones en este proyecto</w:t>
      </w:r>
      <w:r w:rsidR="002020B2" w:rsidRPr="00C82BD1">
        <w:rPr>
          <w:rFonts w:cs="Arial"/>
          <w:lang w:val="es-ES"/>
        </w:rPr>
        <w:t>. Al ajustar el costo por AVAD evitado para incluir los 5 años de la operación, se obtiene un costo de US</w:t>
      </w:r>
      <w:r w:rsidR="003B3C37" w:rsidRPr="00C82BD1">
        <w:rPr>
          <w:rFonts w:cs="Arial"/>
          <w:lang w:val="es-ES"/>
        </w:rPr>
        <w:t>$</w:t>
      </w:r>
      <w:r w:rsidR="002020B2" w:rsidRPr="00C82BD1">
        <w:rPr>
          <w:rFonts w:cs="Arial"/>
          <w:lang w:val="es-ES"/>
        </w:rPr>
        <w:t>110,85 contra el NPV del costo de la operación</w:t>
      </w:r>
      <w:r w:rsidR="005E1956" w:rsidRPr="00C82BD1">
        <w:rPr>
          <w:rFonts w:cs="Arial"/>
          <w:lang w:val="es-ES"/>
        </w:rPr>
        <w:t>, clasificándose como muy costo efectivo según los umbrales del OMS.</w:t>
      </w:r>
    </w:p>
    <w:p w14:paraId="662EADF0" w14:textId="77777777" w:rsidR="00EA22E9" w:rsidRPr="00C82BD1" w:rsidRDefault="00EA22E9" w:rsidP="00011851">
      <w:pPr>
        <w:spacing w:before="120" w:after="120"/>
        <w:jc w:val="both"/>
        <w:rPr>
          <w:rFonts w:ascii="Arial" w:hAnsi="Arial" w:cs="Arial"/>
          <w:sz w:val="22"/>
          <w:szCs w:val="22"/>
          <w:lang w:val="es-ES"/>
        </w:rPr>
      </w:pPr>
      <w:r w:rsidRPr="00C82BD1">
        <w:rPr>
          <w:rFonts w:ascii="Arial" w:hAnsi="Arial" w:cs="Arial"/>
          <w:sz w:val="22"/>
          <w:szCs w:val="22"/>
          <w:lang w:val="es-ES"/>
        </w:rPr>
        <w:t>El principal supuesto del presente análisis es que al facilitar el acceso y uso de las intervenciones en salud</w:t>
      </w:r>
      <w:r w:rsidR="00451347" w:rsidRPr="00C82BD1">
        <w:rPr>
          <w:rFonts w:ascii="Arial" w:hAnsi="Arial" w:cs="Arial"/>
          <w:sz w:val="22"/>
          <w:szCs w:val="22"/>
          <w:lang w:val="es-ES"/>
        </w:rPr>
        <w:t xml:space="preserve"> </w:t>
      </w:r>
      <w:r w:rsidRPr="00C82BD1">
        <w:rPr>
          <w:rFonts w:ascii="Arial" w:hAnsi="Arial" w:cs="Arial"/>
          <w:sz w:val="22"/>
          <w:szCs w:val="22"/>
          <w:lang w:val="es-ES"/>
        </w:rPr>
        <w:t>habrá una resolución de los principales problemas de salud de la población. Un supuesto adicional es que las intervenciones en salud</w:t>
      </w:r>
      <w:r w:rsidR="00355400">
        <w:rPr>
          <w:rFonts w:ascii="Arial" w:hAnsi="Arial" w:cs="Arial"/>
          <w:sz w:val="22"/>
          <w:szCs w:val="22"/>
          <w:lang w:val="es-ES"/>
        </w:rPr>
        <w:t xml:space="preserve"> y acceso vial </w:t>
      </w:r>
      <w:r w:rsidRPr="00C82BD1">
        <w:rPr>
          <w:rFonts w:ascii="Arial" w:hAnsi="Arial" w:cs="Arial"/>
          <w:sz w:val="22"/>
          <w:szCs w:val="22"/>
          <w:lang w:val="es-ES"/>
        </w:rPr>
        <w:t xml:space="preserve">se prestarán bajo condiciones de calidad para garantizar su efectividad, gracias a las demás inversiones del programa. También se asume que las intervenciones financiadas bajo el marco del </w:t>
      </w:r>
      <w:r w:rsidR="00C61B7E" w:rsidRPr="00C82BD1">
        <w:rPr>
          <w:rFonts w:ascii="Arial" w:hAnsi="Arial" w:cs="Arial"/>
          <w:sz w:val="22"/>
          <w:szCs w:val="22"/>
          <w:lang w:val="es-ES"/>
        </w:rPr>
        <w:t>NI-L1143</w:t>
      </w:r>
      <w:r w:rsidRPr="00C82BD1">
        <w:rPr>
          <w:rFonts w:ascii="Arial" w:hAnsi="Arial" w:cs="Arial"/>
          <w:sz w:val="22"/>
          <w:szCs w:val="22"/>
          <w:lang w:val="es-ES"/>
        </w:rPr>
        <w:t xml:space="preserve"> contribuirán al mejoramiento de acceso</w:t>
      </w:r>
      <w:r w:rsidR="00355400">
        <w:rPr>
          <w:rFonts w:ascii="Arial" w:hAnsi="Arial" w:cs="Arial"/>
          <w:sz w:val="22"/>
          <w:szCs w:val="22"/>
          <w:lang w:val="es-ES"/>
        </w:rPr>
        <w:t xml:space="preserve"> a</w:t>
      </w:r>
      <w:r w:rsidRPr="00C82BD1">
        <w:rPr>
          <w:rFonts w:ascii="Arial" w:hAnsi="Arial" w:cs="Arial"/>
          <w:sz w:val="22"/>
          <w:szCs w:val="22"/>
          <w:lang w:val="es-ES"/>
        </w:rPr>
        <w:t xml:space="preserve"> </w:t>
      </w:r>
      <w:r w:rsidR="00C61B7E" w:rsidRPr="00C82BD1">
        <w:rPr>
          <w:rFonts w:ascii="Arial" w:hAnsi="Arial" w:cs="Arial"/>
          <w:sz w:val="22"/>
          <w:szCs w:val="22"/>
          <w:lang w:val="es-ES"/>
        </w:rPr>
        <w:t>servicios de salud</w:t>
      </w:r>
      <w:r w:rsidRPr="00C82BD1">
        <w:rPr>
          <w:rFonts w:ascii="Arial" w:hAnsi="Arial" w:cs="Arial"/>
          <w:sz w:val="22"/>
          <w:szCs w:val="22"/>
          <w:lang w:val="es-ES"/>
        </w:rPr>
        <w:t xml:space="preserve">, y que las inversiones en materia de fortalecimiento institucional y consolidación de redes integradas aumentarán la calidad y el acceso </w:t>
      </w:r>
      <w:r w:rsidR="00C61B7E" w:rsidRPr="00C82BD1">
        <w:rPr>
          <w:rFonts w:ascii="Arial" w:hAnsi="Arial" w:cs="Arial"/>
          <w:sz w:val="22"/>
          <w:szCs w:val="22"/>
          <w:lang w:val="es-ES"/>
        </w:rPr>
        <w:t>para</w:t>
      </w:r>
      <w:r w:rsidRPr="00C82BD1">
        <w:rPr>
          <w:rFonts w:ascii="Arial" w:hAnsi="Arial" w:cs="Arial"/>
          <w:sz w:val="22"/>
          <w:szCs w:val="22"/>
          <w:lang w:val="es-ES"/>
        </w:rPr>
        <w:t xml:space="preserve"> la población beneficiaria. Se asume además que los beneficio</w:t>
      </w:r>
      <w:r w:rsidR="00C61B7E" w:rsidRPr="00C82BD1">
        <w:rPr>
          <w:rFonts w:ascii="Arial" w:hAnsi="Arial" w:cs="Arial"/>
          <w:sz w:val="22"/>
          <w:szCs w:val="22"/>
          <w:lang w:val="es-ES"/>
        </w:rPr>
        <w:t>s se incorporan a partir de 2018</w:t>
      </w:r>
      <w:r w:rsidRPr="00C82BD1">
        <w:rPr>
          <w:rFonts w:ascii="Arial" w:hAnsi="Arial" w:cs="Arial"/>
          <w:sz w:val="22"/>
          <w:szCs w:val="22"/>
          <w:lang w:val="es-ES"/>
        </w:rPr>
        <w:t>,</w:t>
      </w:r>
      <w:r w:rsidR="00C61B7E" w:rsidRPr="00C82BD1">
        <w:rPr>
          <w:rFonts w:ascii="Arial" w:hAnsi="Arial" w:cs="Arial"/>
          <w:sz w:val="22"/>
          <w:szCs w:val="22"/>
          <w:lang w:val="es-ES"/>
        </w:rPr>
        <w:t xml:space="preserve"> año del primer desembolso del </w:t>
      </w:r>
      <w:r w:rsidRPr="00C82BD1">
        <w:rPr>
          <w:rFonts w:ascii="Arial" w:hAnsi="Arial" w:cs="Arial"/>
          <w:sz w:val="22"/>
          <w:szCs w:val="22"/>
          <w:lang w:val="es-ES"/>
        </w:rPr>
        <w:t>N</w:t>
      </w:r>
      <w:r w:rsidR="00C61B7E" w:rsidRPr="00C82BD1">
        <w:rPr>
          <w:rFonts w:ascii="Arial" w:hAnsi="Arial" w:cs="Arial"/>
          <w:sz w:val="22"/>
          <w:szCs w:val="22"/>
          <w:lang w:val="es-ES"/>
        </w:rPr>
        <w:t>I-L1143</w:t>
      </w:r>
      <w:r w:rsidRPr="00C82BD1">
        <w:rPr>
          <w:rStyle w:val="FootnoteReference"/>
          <w:rFonts w:ascii="Arial" w:hAnsi="Arial" w:cs="Arial"/>
          <w:sz w:val="22"/>
          <w:szCs w:val="22"/>
          <w:lang w:val="es-ES"/>
        </w:rPr>
        <w:footnoteReference w:id="2"/>
      </w:r>
      <w:r w:rsidRPr="00C82BD1">
        <w:rPr>
          <w:rFonts w:ascii="Arial" w:hAnsi="Arial" w:cs="Arial"/>
          <w:sz w:val="22"/>
          <w:szCs w:val="22"/>
          <w:lang w:val="es-ES"/>
        </w:rPr>
        <w:t xml:space="preserve">. Finalmente, se asume que </w:t>
      </w:r>
      <w:r w:rsidR="00C61B7E" w:rsidRPr="00C82BD1">
        <w:rPr>
          <w:rFonts w:ascii="Arial" w:hAnsi="Arial" w:cs="Arial"/>
          <w:sz w:val="22"/>
          <w:szCs w:val="22"/>
          <w:lang w:val="es-ES"/>
        </w:rPr>
        <w:t>las intervenciones</w:t>
      </w:r>
      <w:r w:rsidRPr="00C82BD1">
        <w:rPr>
          <w:rFonts w:ascii="Arial" w:hAnsi="Arial" w:cs="Arial"/>
          <w:sz w:val="22"/>
          <w:szCs w:val="22"/>
          <w:lang w:val="es-ES"/>
        </w:rPr>
        <w:t xml:space="preserve"> se prestan bajo mecanismos de referencia y contra-referencia funcionales, disponibilidad de insumos y medicamentos, y de recursos humanos para atender las necesidades.</w:t>
      </w:r>
    </w:p>
    <w:p w14:paraId="662EADF1" w14:textId="77777777" w:rsidR="00EA22E9" w:rsidRPr="00C82BD1" w:rsidRDefault="00EA22E9" w:rsidP="00011851">
      <w:pPr>
        <w:spacing w:before="120" w:after="120"/>
        <w:jc w:val="both"/>
        <w:rPr>
          <w:rFonts w:ascii="Arial" w:hAnsi="Arial" w:cs="Arial"/>
          <w:sz w:val="22"/>
          <w:szCs w:val="22"/>
          <w:lang w:val="es-ES"/>
        </w:rPr>
      </w:pPr>
      <w:r w:rsidRPr="00C82BD1">
        <w:rPr>
          <w:rFonts w:ascii="Arial" w:hAnsi="Arial" w:cs="Arial"/>
          <w:sz w:val="22"/>
          <w:szCs w:val="22"/>
          <w:lang w:val="es-ES"/>
        </w:rPr>
        <w:lastRenderedPageBreak/>
        <w:t xml:space="preserve">Las secciones posteriores de este documento se organizan de la siguiente forma: en la </w:t>
      </w:r>
      <w:r w:rsidR="00EE25C9" w:rsidRPr="00C82BD1">
        <w:rPr>
          <w:rFonts w:ascii="Arial" w:hAnsi="Arial" w:cs="Arial"/>
          <w:sz w:val="22"/>
          <w:szCs w:val="22"/>
          <w:lang w:val="es-ES"/>
        </w:rPr>
        <w:t>sección </w:t>
      </w:r>
      <w:r w:rsidR="00C61B7E" w:rsidRPr="00C82BD1">
        <w:rPr>
          <w:rFonts w:ascii="Arial" w:hAnsi="Arial" w:cs="Arial"/>
          <w:sz w:val="22"/>
          <w:szCs w:val="22"/>
          <w:lang w:val="es-ES"/>
        </w:rPr>
        <w:t>3</w:t>
      </w:r>
      <w:r w:rsidRPr="00C82BD1">
        <w:rPr>
          <w:rFonts w:ascii="Arial" w:hAnsi="Arial" w:cs="Arial"/>
          <w:sz w:val="22"/>
          <w:szCs w:val="22"/>
          <w:lang w:val="es-ES"/>
        </w:rPr>
        <w:t>, se presenta la lógica vertical de la pre</w:t>
      </w:r>
      <w:r w:rsidR="00C61B7E" w:rsidRPr="00C82BD1">
        <w:rPr>
          <w:rFonts w:ascii="Arial" w:hAnsi="Arial" w:cs="Arial"/>
          <w:sz w:val="22"/>
          <w:szCs w:val="22"/>
          <w:lang w:val="es-ES"/>
        </w:rPr>
        <w:t>sente operación; en la sección 4</w:t>
      </w:r>
      <w:r w:rsidRPr="00C82BD1">
        <w:rPr>
          <w:rFonts w:ascii="Arial" w:hAnsi="Arial" w:cs="Arial"/>
          <w:sz w:val="22"/>
          <w:szCs w:val="22"/>
          <w:lang w:val="es-ES"/>
        </w:rPr>
        <w:t xml:space="preserve"> se presenta el aná</w:t>
      </w:r>
      <w:r w:rsidR="00C61B7E" w:rsidRPr="00C82BD1">
        <w:rPr>
          <w:rFonts w:ascii="Arial" w:hAnsi="Arial" w:cs="Arial"/>
          <w:sz w:val="22"/>
          <w:szCs w:val="22"/>
          <w:lang w:val="es-ES"/>
        </w:rPr>
        <w:t>lisis económico; en la sección 5</w:t>
      </w:r>
      <w:r w:rsidRPr="00C82BD1">
        <w:rPr>
          <w:rFonts w:ascii="Arial" w:hAnsi="Arial" w:cs="Arial"/>
          <w:sz w:val="22"/>
          <w:szCs w:val="22"/>
          <w:lang w:val="es-ES"/>
        </w:rPr>
        <w:t xml:space="preserve"> se presenta el análisis de</w:t>
      </w:r>
      <w:r w:rsidR="00C61B7E" w:rsidRPr="00C82BD1">
        <w:rPr>
          <w:rFonts w:ascii="Arial" w:hAnsi="Arial" w:cs="Arial"/>
          <w:sz w:val="22"/>
          <w:szCs w:val="22"/>
          <w:lang w:val="es-ES"/>
        </w:rPr>
        <w:t xml:space="preserve"> sensibilidad; y en la sección 6</w:t>
      </w:r>
      <w:r w:rsidRPr="00C82BD1">
        <w:rPr>
          <w:rFonts w:ascii="Arial" w:hAnsi="Arial" w:cs="Arial"/>
          <w:sz w:val="22"/>
          <w:szCs w:val="22"/>
          <w:lang w:val="es-ES"/>
        </w:rPr>
        <w:t xml:space="preserve">, se presentan las conclusiones. </w:t>
      </w:r>
    </w:p>
    <w:p w14:paraId="662EADF2" w14:textId="77777777" w:rsidR="001466D8" w:rsidRPr="00C82BD1" w:rsidRDefault="00EA22E9" w:rsidP="00162A70">
      <w:pPr>
        <w:pStyle w:val="Heading1"/>
        <w:rPr>
          <w:lang w:val="es-ES"/>
        </w:rPr>
      </w:pPr>
      <w:bookmarkStart w:id="4" w:name="_Toc430331018"/>
      <w:r w:rsidRPr="00C82BD1">
        <w:rPr>
          <w:lang w:val="es-ES"/>
        </w:rPr>
        <w:t>Lógica Vertical</w:t>
      </w:r>
    </w:p>
    <w:p w14:paraId="662EADF3" w14:textId="77777777" w:rsidR="00421A7A" w:rsidRPr="00C82BD1" w:rsidRDefault="00EA22E9" w:rsidP="00011851">
      <w:pPr>
        <w:spacing w:before="120" w:after="120"/>
        <w:jc w:val="both"/>
        <w:rPr>
          <w:rFonts w:ascii="Arial" w:hAnsi="Arial" w:cs="Arial"/>
          <w:sz w:val="22"/>
          <w:szCs w:val="22"/>
          <w:lang w:val="es-ES"/>
        </w:rPr>
      </w:pPr>
      <w:r w:rsidRPr="00C82BD1">
        <w:rPr>
          <w:rFonts w:ascii="Arial" w:hAnsi="Arial" w:cs="Arial"/>
          <w:sz w:val="22"/>
          <w:szCs w:val="22"/>
          <w:lang w:val="es-ES"/>
        </w:rPr>
        <w:t>L</w:t>
      </w:r>
      <w:r w:rsidR="001466D8" w:rsidRPr="00C82BD1">
        <w:rPr>
          <w:rFonts w:ascii="Arial" w:hAnsi="Arial" w:cs="Arial"/>
          <w:sz w:val="22"/>
          <w:szCs w:val="22"/>
          <w:lang w:val="es-ES"/>
        </w:rPr>
        <w:t>a operación NI-L1143 busca mejorar la salud y bienestar de la población a través de la gestión territorial de la salud y sus determinantes más significativos en áreas priorizadas</w:t>
      </w:r>
      <w:r w:rsidR="001466D8" w:rsidRPr="00C82BD1">
        <w:rPr>
          <w:rFonts w:ascii="Arial" w:hAnsi="Arial" w:cs="Arial"/>
          <w:sz w:val="22"/>
          <w:szCs w:val="22"/>
          <w:vertAlign w:val="superscript"/>
          <w:lang w:val="es-ES"/>
        </w:rPr>
        <w:footnoteReference w:id="3"/>
      </w:r>
      <w:r w:rsidR="001466D8" w:rsidRPr="00C82BD1">
        <w:rPr>
          <w:rFonts w:ascii="Arial" w:hAnsi="Arial" w:cs="Arial"/>
          <w:sz w:val="22"/>
          <w:szCs w:val="22"/>
          <w:lang w:val="es-ES"/>
        </w:rPr>
        <w:t>, m</w:t>
      </w:r>
      <w:r w:rsidR="00950109" w:rsidRPr="00C82BD1">
        <w:rPr>
          <w:rFonts w:ascii="Arial" w:hAnsi="Arial" w:cs="Arial"/>
          <w:sz w:val="22"/>
          <w:szCs w:val="22"/>
          <w:lang w:val="es-ES"/>
        </w:rPr>
        <w:t>ejorando el acceso y cobertura de</w:t>
      </w:r>
      <w:r w:rsidR="001466D8" w:rsidRPr="00C82BD1">
        <w:rPr>
          <w:rFonts w:ascii="Arial" w:hAnsi="Arial" w:cs="Arial"/>
          <w:sz w:val="22"/>
          <w:szCs w:val="22"/>
          <w:lang w:val="es-ES"/>
        </w:rPr>
        <w:t xml:space="preserve"> servicios </w:t>
      </w:r>
      <w:r w:rsidR="00950109" w:rsidRPr="00C82BD1">
        <w:rPr>
          <w:rFonts w:ascii="Arial" w:hAnsi="Arial" w:cs="Arial"/>
          <w:sz w:val="22"/>
          <w:szCs w:val="22"/>
          <w:lang w:val="es-ES"/>
        </w:rPr>
        <w:t>de</w:t>
      </w:r>
      <w:r w:rsidR="001466D8" w:rsidRPr="00C82BD1">
        <w:rPr>
          <w:rFonts w:ascii="Arial" w:hAnsi="Arial" w:cs="Arial"/>
          <w:sz w:val="22"/>
          <w:szCs w:val="22"/>
          <w:lang w:val="es-ES"/>
        </w:rPr>
        <w:t xml:space="preserve"> salud</w:t>
      </w:r>
      <w:r w:rsidR="00421A7A" w:rsidRPr="00C82BD1">
        <w:rPr>
          <w:rFonts w:ascii="Arial" w:hAnsi="Arial" w:cs="Arial"/>
          <w:sz w:val="22"/>
          <w:szCs w:val="22"/>
          <w:lang w:val="es-ES"/>
        </w:rPr>
        <w:t>. Dicho objetivo será cumplido mediante el financiamiento de: (1) intervenciones que fortalezcan la gestión territorial de los determinantes de la salud; (2) mejoras a la calidad de la atención en salud por ciclo de vida; y (3)</w:t>
      </w:r>
      <w:r w:rsidR="0036747A" w:rsidRPr="00C82BD1">
        <w:rPr>
          <w:rFonts w:ascii="Arial" w:hAnsi="Arial" w:cs="Arial"/>
          <w:sz w:val="22"/>
          <w:szCs w:val="22"/>
          <w:lang w:val="es-ES"/>
        </w:rPr>
        <w:t xml:space="preserve"> </w:t>
      </w:r>
      <w:r w:rsidR="00950109" w:rsidRPr="00C82BD1">
        <w:rPr>
          <w:rFonts w:ascii="Arial" w:hAnsi="Arial" w:cs="Arial"/>
          <w:sz w:val="22"/>
          <w:szCs w:val="22"/>
          <w:lang w:val="es-ES"/>
        </w:rPr>
        <w:t xml:space="preserve">el </w:t>
      </w:r>
      <w:r w:rsidR="00421A7A" w:rsidRPr="00C82BD1">
        <w:rPr>
          <w:rFonts w:ascii="Arial" w:hAnsi="Arial" w:cs="Arial"/>
          <w:sz w:val="22"/>
          <w:szCs w:val="22"/>
          <w:lang w:val="es-ES"/>
        </w:rPr>
        <w:t xml:space="preserve">fortalecimiento de la gestión del Modelo de Salud Familiar y Comunitario (MOSAFC). </w:t>
      </w:r>
    </w:p>
    <w:p w14:paraId="662EADF4" w14:textId="77777777" w:rsidR="00883AB0" w:rsidRPr="00C82BD1" w:rsidRDefault="00421A7A" w:rsidP="00011851">
      <w:pPr>
        <w:spacing w:before="120" w:after="120"/>
        <w:jc w:val="both"/>
        <w:rPr>
          <w:rFonts w:ascii="Arial" w:hAnsi="Arial" w:cs="Arial"/>
          <w:sz w:val="22"/>
          <w:szCs w:val="22"/>
          <w:lang w:val="es-ES"/>
        </w:rPr>
      </w:pPr>
      <w:r w:rsidRPr="00C82BD1">
        <w:rPr>
          <w:rFonts w:ascii="Arial" w:hAnsi="Arial" w:cs="Arial"/>
          <w:sz w:val="22"/>
          <w:szCs w:val="22"/>
          <w:lang w:val="es-ES"/>
        </w:rPr>
        <w:t>Las intervenciones contempladas abarcan las causas principales de</w:t>
      </w:r>
      <w:r w:rsidR="00883AB0" w:rsidRPr="00C82BD1">
        <w:rPr>
          <w:rFonts w:ascii="Arial" w:hAnsi="Arial" w:cs="Arial"/>
          <w:sz w:val="22"/>
          <w:szCs w:val="22"/>
          <w:lang w:val="es-ES"/>
        </w:rPr>
        <w:t xml:space="preserve"> las enfermedades transmisibles</w:t>
      </w:r>
      <w:r w:rsidRPr="00C82BD1">
        <w:rPr>
          <w:rFonts w:ascii="Arial" w:hAnsi="Arial" w:cs="Arial"/>
          <w:sz w:val="22"/>
          <w:szCs w:val="22"/>
          <w:lang w:val="es-ES"/>
        </w:rPr>
        <w:t xml:space="preserve">, </w:t>
      </w:r>
      <w:r w:rsidR="00883AB0" w:rsidRPr="00C82BD1">
        <w:rPr>
          <w:rFonts w:ascii="Arial" w:hAnsi="Arial" w:cs="Arial"/>
          <w:sz w:val="22"/>
          <w:szCs w:val="22"/>
          <w:lang w:val="es-ES"/>
        </w:rPr>
        <w:t xml:space="preserve">la </w:t>
      </w:r>
      <w:r w:rsidRPr="00C82BD1">
        <w:rPr>
          <w:rFonts w:ascii="Arial" w:hAnsi="Arial" w:cs="Arial"/>
          <w:sz w:val="22"/>
          <w:szCs w:val="22"/>
          <w:lang w:val="es-ES"/>
        </w:rPr>
        <w:t xml:space="preserve">mala nutrición y </w:t>
      </w:r>
      <w:r w:rsidR="0036747A" w:rsidRPr="00C82BD1">
        <w:rPr>
          <w:rFonts w:ascii="Arial" w:hAnsi="Arial" w:cs="Arial"/>
          <w:sz w:val="22"/>
          <w:szCs w:val="22"/>
          <w:lang w:val="es-ES"/>
        </w:rPr>
        <w:t>las afecciones perinatales</w:t>
      </w:r>
      <w:r w:rsidR="00883AB0" w:rsidRPr="00C82BD1">
        <w:rPr>
          <w:rFonts w:ascii="Arial" w:hAnsi="Arial" w:cs="Arial"/>
          <w:sz w:val="22"/>
          <w:szCs w:val="22"/>
          <w:lang w:val="es-ES"/>
        </w:rPr>
        <w:t xml:space="preserve">, y mejorará la atención a las </w:t>
      </w:r>
      <w:r w:rsidR="00171771" w:rsidRPr="00C82BD1">
        <w:rPr>
          <w:rFonts w:ascii="Arial" w:hAnsi="Arial" w:cs="Arial"/>
          <w:sz w:val="22"/>
          <w:szCs w:val="22"/>
          <w:lang w:val="es-ES"/>
        </w:rPr>
        <w:t>Enfermedades</w:t>
      </w:r>
      <w:r w:rsidR="00883AB0" w:rsidRPr="00C82BD1">
        <w:rPr>
          <w:rFonts w:ascii="Arial" w:hAnsi="Arial" w:cs="Arial"/>
          <w:sz w:val="22"/>
          <w:szCs w:val="22"/>
          <w:lang w:val="es-ES"/>
        </w:rPr>
        <w:t xml:space="preserve"> Crónicas no Transmisibles (ECNT) en las áreas priorizadas, a través del mejoramiento del acceso a los servicios básicos de salud, y en paralelo </w:t>
      </w:r>
      <w:r w:rsidR="0036747A" w:rsidRPr="00C82BD1">
        <w:rPr>
          <w:rFonts w:ascii="Arial" w:hAnsi="Arial" w:cs="Arial"/>
          <w:sz w:val="22"/>
          <w:szCs w:val="22"/>
          <w:lang w:val="es-ES"/>
        </w:rPr>
        <w:t>mitigará y disminuirá</w:t>
      </w:r>
      <w:r w:rsidR="00883AB0" w:rsidRPr="00C82BD1">
        <w:rPr>
          <w:rFonts w:ascii="Arial" w:hAnsi="Arial" w:cs="Arial"/>
          <w:sz w:val="22"/>
          <w:szCs w:val="22"/>
          <w:lang w:val="es-ES"/>
        </w:rPr>
        <w:t xml:space="preserve"> los efectos del uso insostenible de recursos naturales.  </w:t>
      </w:r>
    </w:p>
    <w:p w14:paraId="662EADF5" w14:textId="77777777" w:rsidR="00A66C7C" w:rsidRPr="00C82BD1" w:rsidRDefault="001673F0" w:rsidP="00011851">
      <w:pPr>
        <w:spacing w:before="120" w:after="120"/>
        <w:jc w:val="both"/>
        <w:rPr>
          <w:rFonts w:ascii="Arial" w:hAnsi="Arial" w:cs="Arial"/>
          <w:sz w:val="22"/>
          <w:szCs w:val="22"/>
          <w:lang w:val="es-ES"/>
        </w:rPr>
      </w:pPr>
      <w:r w:rsidRPr="00C82BD1">
        <w:rPr>
          <w:rFonts w:ascii="Arial" w:hAnsi="Arial" w:cs="Arial"/>
          <w:sz w:val="22"/>
          <w:szCs w:val="22"/>
          <w:lang w:val="es-ES"/>
        </w:rPr>
        <w:t xml:space="preserve">El análisis económico considera los beneficios que derivan </w:t>
      </w:r>
      <w:r w:rsidR="00EA22E9" w:rsidRPr="00C82BD1">
        <w:rPr>
          <w:rFonts w:ascii="Arial" w:hAnsi="Arial" w:cs="Arial"/>
          <w:sz w:val="22"/>
          <w:szCs w:val="22"/>
          <w:lang w:val="es-ES"/>
        </w:rPr>
        <w:t>de una mayor cobertura, calidad y contin</w:t>
      </w:r>
      <w:r w:rsidRPr="00C82BD1">
        <w:rPr>
          <w:rFonts w:ascii="Arial" w:hAnsi="Arial" w:cs="Arial"/>
          <w:sz w:val="22"/>
          <w:szCs w:val="22"/>
          <w:lang w:val="es-ES"/>
        </w:rPr>
        <w:t>uidad de los servicios de salud en las áreas priorizadas</w:t>
      </w:r>
      <w:r w:rsidR="00CF2D76" w:rsidRPr="00C82BD1">
        <w:rPr>
          <w:rFonts w:ascii="Arial" w:hAnsi="Arial" w:cs="Arial"/>
          <w:sz w:val="22"/>
          <w:szCs w:val="22"/>
          <w:lang w:val="es-ES"/>
        </w:rPr>
        <w:t>, junto con los beneficios de las mejoras en el acceso y cobertura de servicios</w:t>
      </w:r>
      <w:r w:rsidR="002D2A10" w:rsidRPr="00C82BD1">
        <w:rPr>
          <w:rFonts w:ascii="Arial" w:hAnsi="Arial" w:cs="Arial"/>
          <w:sz w:val="22"/>
          <w:szCs w:val="22"/>
          <w:lang w:val="es-ES"/>
        </w:rPr>
        <w:t xml:space="preserve"> viales y</w:t>
      </w:r>
      <w:r w:rsidR="00011224">
        <w:rPr>
          <w:rFonts w:ascii="Arial" w:hAnsi="Arial" w:cs="Arial"/>
          <w:sz w:val="22"/>
          <w:szCs w:val="22"/>
          <w:lang w:val="es-ES"/>
        </w:rPr>
        <w:t xml:space="preserve"> calidad del agua en el hogar</w:t>
      </w:r>
      <w:r w:rsidR="00CF2D76" w:rsidRPr="00C82BD1">
        <w:rPr>
          <w:rFonts w:ascii="Arial" w:hAnsi="Arial" w:cs="Arial"/>
          <w:sz w:val="22"/>
          <w:szCs w:val="22"/>
          <w:lang w:val="es-ES"/>
        </w:rPr>
        <w:t>.</w:t>
      </w:r>
      <w:r w:rsidRPr="00C82BD1">
        <w:rPr>
          <w:rFonts w:ascii="Arial" w:hAnsi="Arial" w:cs="Arial"/>
          <w:sz w:val="22"/>
          <w:szCs w:val="22"/>
          <w:lang w:val="es-ES"/>
        </w:rPr>
        <w:t xml:space="preserve">  </w:t>
      </w:r>
      <w:r w:rsidR="00CF2D76" w:rsidRPr="00C82BD1">
        <w:rPr>
          <w:rFonts w:ascii="Arial" w:hAnsi="Arial" w:cs="Arial"/>
          <w:sz w:val="22"/>
          <w:szCs w:val="22"/>
          <w:lang w:val="es-ES"/>
        </w:rPr>
        <w:t xml:space="preserve">Más específicamente, </w:t>
      </w:r>
      <w:r w:rsidR="00EA22E9" w:rsidRPr="00C82BD1">
        <w:rPr>
          <w:rFonts w:ascii="Arial" w:hAnsi="Arial" w:cs="Arial"/>
          <w:sz w:val="22"/>
          <w:szCs w:val="22"/>
          <w:lang w:val="es-ES"/>
        </w:rPr>
        <w:t>se espera</w:t>
      </w:r>
      <w:r w:rsidR="00CF2D76" w:rsidRPr="00C82BD1">
        <w:rPr>
          <w:rFonts w:ascii="Arial" w:hAnsi="Arial" w:cs="Arial"/>
          <w:sz w:val="22"/>
          <w:szCs w:val="22"/>
          <w:lang w:val="es-ES"/>
        </w:rPr>
        <w:t xml:space="preserve"> como beneficios: </w:t>
      </w:r>
    </w:p>
    <w:p w14:paraId="662EADF6" w14:textId="77777777" w:rsidR="001F206C" w:rsidRPr="00C82BD1" w:rsidRDefault="002D2A10" w:rsidP="00011851">
      <w:pPr>
        <w:pStyle w:val="ListParagraph"/>
        <w:numPr>
          <w:ilvl w:val="0"/>
          <w:numId w:val="11"/>
        </w:numPr>
        <w:spacing w:before="120" w:after="120"/>
        <w:contextualSpacing w:val="0"/>
        <w:jc w:val="both"/>
        <w:rPr>
          <w:rFonts w:ascii="Arial" w:hAnsi="Arial" w:cs="Arial"/>
          <w:lang w:val="es-ES"/>
        </w:rPr>
      </w:pPr>
      <w:r w:rsidRPr="00C82BD1">
        <w:rPr>
          <w:rFonts w:ascii="Arial" w:hAnsi="Arial" w:cs="Arial"/>
          <w:lang w:val="es-ES"/>
        </w:rPr>
        <w:t>p</w:t>
      </w:r>
      <w:r w:rsidR="001F206C" w:rsidRPr="00C82BD1">
        <w:rPr>
          <w:rFonts w:ascii="Arial" w:hAnsi="Arial" w:cs="Arial"/>
          <w:lang w:val="es-ES"/>
        </w:rPr>
        <w:t>ara el caso de</w:t>
      </w:r>
      <w:r w:rsidRPr="00C82BD1">
        <w:rPr>
          <w:rFonts w:ascii="Arial" w:hAnsi="Arial" w:cs="Arial"/>
          <w:lang w:val="es-ES"/>
        </w:rPr>
        <w:t xml:space="preserve"> mantenimiento vial,</w:t>
      </w:r>
      <w:r w:rsidR="001F206C" w:rsidRPr="00C82BD1">
        <w:rPr>
          <w:rFonts w:ascii="Arial" w:hAnsi="Arial" w:cs="Arial"/>
          <w:lang w:val="es-ES"/>
        </w:rPr>
        <w:t xml:space="preserve"> ahorros en tiempo empleado en el</w:t>
      </w:r>
      <w:r w:rsidRPr="00C82BD1">
        <w:rPr>
          <w:rFonts w:ascii="Arial" w:hAnsi="Arial" w:cs="Arial"/>
          <w:lang w:val="es-ES"/>
        </w:rPr>
        <w:t xml:space="preserve"> viaje y</w:t>
      </w:r>
      <w:r w:rsidR="001F206C" w:rsidRPr="00C82BD1">
        <w:rPr>
          <w:rFonts w:ascii="Arial" w:hAnsi="Arial" w:cs="Arial"/>
          <w:lang w:val="es-ES"/>
        </w:rPr>
        <w:t xml:space="preserve"> tiempo de retraso</w:t>
      </w:r>
      <w:r w:rsidR="001F206C" w:rsidRPr="00C82BD1">
        <w:rPr>
          <w:rFonts w:ascii="Arial Narrow" w:hAnsi="Arial Narrow"/>
          <w:lang w:val="es-ES"/>
        </w:rPr>
        <w:t xml:space="preserve"> </w:t>
      </w:r>
    </w:p>
    <w:p w14:paraId="662EADF7" w14:textId="77777777" w:rsidR="00531819" w:rsidRPr="00C82BD1" w:rsidRDefault="00531819" w:rsidP="00011851">
      <w:pPr>
        <w:pStyle w:val="ListParagraph"/>
        <w:numPr>
          <w:ilvl w:val="0"/>
          <w:numId w:val="11"/>
        </w:numPr>
        <w:spacing w:before="120" w:after="120"/>
        <w:contextualSpacing w:val="0"/>
        <w:jc w:val="both"/>
        <w:rPr>
          <w:rFonts w:ascii="Arial" w:hAnsi="Arial" w:cs="Arial"/>
          <w:lang w:val="es-ES"/>
        </w:rPr>
      </w:pPr>
      <w:r w:rsidRPr="00C82BD1">
        <w:rPr>
          <w:rFonts w:ascii="Arial" w:hAnsi="Arial" w:cs="Arial"/>
          <w:lang w:val="es-ES"/>
        </w:rPr>
        <w:t>para el caso de mejoras</w:t>
      </w:r>
      <w:r w:rsidR="001C2741">
        <w:rPr>
          <w:rFonts w:ascii="Arial" w:hAnsi="Arial" w:cs="Arial"/>
          <w:lang w:val="es-ES"/>
        </w:rPr>
        <w:t xml:space="preserve"> en la calidad del agua y prácticas saludables en entorno, </w:t>
      </w:r>
      <w:r w:rsidRPr="00C82BD1">
        <w:rPr>
          <w:rFonts w:ascii="Arial" w:hAnsi="Arial" w:cs="Arial"/>
          <w:lang w:val="es-ES"/>
        </w:rPr>
        <w:t>beneficios por</w:t>
      </w:r>
      <w:r w:rsidR="001C2741">
        <w:rPr>
          <w:rFonts w:ascii="Arial" w:hAnsi="Arial" w:cs="Arial"/>
          <w:lang w:val="es-ES"/>
        </w:rPr>
        <w:t xml:space="preserve"> una reducción</w:t>
      </w:r>
      <w:r w:rsidR="00011224">
        <w:rPr>
          <w:rFonts w:ascii="Arial" w:hAnsi="Arial" w:cs="Arial"/>
          <w:lang w:val="es-ES"/>
        </w:rPr>
        <w:t xml:space="preserve"> de Enfermedades Diarreicas Agu</w:t>
      </w:r>
      <w:r w:rsidR="001C2741">
        <w:rPr>
          <w:rFonts w:ascii="Arial" w:hAnsi="Arial" w:cs="Arial"/>
          <w:lang w:val="es-ES"/>
        </w:rPr>
        <w:t>das en menores cinco años</w:t>
      </w:r>
      <w:r w:rsidRPr="00C82BD1">
        <w:rPr>
          <w:rFonts w:ascii="Arial" w:hAnsi="Arial" w:cs="Arial"/>
          <w:lang w:val="es-ES"/>
        </w:rPr>
        <w:t>.</w:t>
      </w:r>
    </w:p>
    <w:p w14:paraId="662EADF8" w14:textId="77777777" w:rsidR="00531819" w:rsidRPr="00C82BD1" w:rsidRDefault="00531819" w:rsidP="00011851">
      <w:pPr>
        <w:pStyle w:val="ListParagraph"/>
        <w:numPr>
          <w:ilvl w:val="0"/>
          <w:numId w:val="11"/>
        </w:numPr>
        <w:spacing w:before="120" w:after="120"/>
        <w:contextualSpacing w:val="0"/>
        <w:jc w:val="both"/>
        <w:rPr>
          <w:rFonts w:ascii="Arial" w:hAnsi="Arial" w:cs="Arial"/>
          <w:lang w:val="es-ES"/>
        </w:rPr>
      </w:pPr>
      <w:r w:rsidRPr="00C82BD1">
        <w:rPr>
          <w:rFonts w:ascii="Arial" w:hAnsi="Arial" w:cs="Arial"/>
          <w:lang w:val="es-ES"/>
        </w:rPr>
        <w:t>para el c</w:t>
      </w:r>
      <w:r w:rsidR="00122400" w:rsidRPr="00C82BD1">
        <w:rPr>
          <w:rFonts w:ascii="Arial" w:hAnsi="Arial" w:cs="Arial"/>
          <w:lang w:val="es-ES"/>
        </w:rPr>
        <w:t>aso de mejoras a la provisión y acceso a</w:t>
      </w:r>
      <w:r w:rsidRPr="00C82BD1">
        <w:rPr>
          <w:rFonts w:ascii="Arial" w:hAnsi="Arial" w:cs="Arial"/>
          <w:lang w:val="es-ES"/>
        </w:rPr>
        <w:t xml:space="preserve"> los servicios de salud, una reducción de años de vida aju</w:t>
      </w:r>
      <w:r w:rsidR="00011851" w:rsidRPr="00C82BD1">
        <w:rPr>
          <w:rFonts w:ascii="Arial" w:hAnsi="Arial" w:cs="Arial"/>
          <w:lang w:val="es-ES"/>
        </w:rPr>
        <w:t>stados por discapacidad (AVADs).</w:t>
      </w:r>
    </w:p>
    <w:p w14:paraId="662EADF9" w14:textId="77777777" w:rsidR="00A870F1" w:rsidRDefault="00E32A6A" w:rsidP="00853F78">
      <w:pPr>
        <w:pStyle w:val="Paragraph"/>
        <w:tabs>
          <w:tab w:val="clear" w:pos="720"/>
          <w:tab w:val="num" w:pos="1296"/>
        </w:tabs>
        <w:ind w:left="0" w:firstLine="0"/>
      </w:pPr>
      <w:r w:rsidRPr="00AE1037">
        <w:t xml:space="preserve">La </w:t>
      </w:r>
      <w:hyperlink r:id="rId9" w:history="1">
        <w:r w:rsidRPr="00AE1037">
          <w:rPr>
            <w:rStyle w:val="Hyperlink"/>
          </w:rPr>
          <w:t>MR</w:t>
        </w:r>
      </w:hyperlink>
      <w:r w:rsidRPr="00AE1037">
        <w:t xml:space="preserve"> plantea indicadores de impacto en la salud de la población a lo largo de la vida, relacionados con las problemáticas que reflejan la vulnerabilidad socio-sanitaria de las regiones priorizadas. El impacto en la salud infantil y de la mujer, incluyendo las adolescentes, se reflejará en la reducción sostenida de la mortalidad materna, de la morbi-mortalidad infantil y de la desnutrición crónica, la cual, además, reducirá su propensión a desarrollar ECNT en la adultez; para la población, se espera el inicio de contención de las ECNT (como el Cáncer Cérvico-uterino) y el control de las ETV más prevalentes (en especial la malaria). Lo anterior se espera mediante el logro de los siguientes resultados: (i) disminución de los episodios y severidad de la diarrea e infecciones respiratorias agudas; (ii) la adopción de prácticas saludables y sostenibles de higiene, alimentación y calidad del agua consumida en el hogar; (iii) reducción de las barreras de acceso a los servicios de salud (aumentando la velocidad de tránsito en las vías hacia las unidades de salud y la oferta de transporte colectivo); (iv) la mejora de la calidad de atención del parto institucional, y salud y nutrición infantil, con el fomento de la demanda y mejor pertinencia de la atención, en especial a adolescentes, y a comunidades étnicas; (v) una búsqueda oportuna de atención (detección de enfermos crónicos personas con necesidades especiales- </w:t>
      </w:r>
      <w:r w:rsidRPr="00AE1037">
        <w:lastRenderedPageBreak/>
        <w:t xml:space="preserve">discapacidad y rehabilitación, ingreso hospitalario oportuno); (vi) la capacidad resolutiva de las redes locales); y (vii) una mejora de la vigilancia y atención oportuna de los casos de ETV. </w:t>
      </w:r>
    </w:p>
    <w:p w14:paraId="662EADFA" w14:textId="77777777" w:rsidR="001C2741" w:rsidRPr="006E140D" w:rsidRDefault="001C2741" w:rsidP="00853F78">
      <w:pPr>
        <w:pStyle w:val="Paragraph"/>
        <w:tabs>
          <w:tab w:val="clear" w:pos="720"/>
        </w:tabs>
        <w:ind w:left="0" w:firstLine="0"/>
      </w:pPr>
      <w:r w:rsidRPr="001452A8">
        <w:rPr>
          <w:b/>
        </w:rPr>
        <w:t>Focalización</w:t>
      </w:r>
      <w:r w:rsidRPr="00853F78">
        <w:t>. El Map</w:t>
      </w:r>
      <w:r w:rsidR="001452A8">
        <w:t>a abajo</w:t>
      </w:r>
      <w:r w:rsidRPr="00853F78">
        <w:t xml:space="preserve"> identifica el ámbito geográfico focalizado del programa en su conjunto, y los municipios específicos que serán atendidos en el Componente 1. Los SILAIS priorizados corresponden a los departamentos de NS, MZ, ES, MT</w:t>
      </w:r>
      <w:r w:rsidRPr="00853F78">
        <w:footnoteReference w:id="4"/>
      </w:r>
      <w:r w:rsidRPr="00853F78">
        <w:t xml:space="preserve"> y JI, cuentan con una población de 1,7 millones de personas entre los cuales cerca de 250 mil son menores de 5 años y 459 mil mujeres en edad fértil. El programa consta de tres componentes. El Componente</w:t>
      </w:r>
      <w:r w:rsidRPr="00764088">
        <w:t> </w:t>
      </w:r>
      <w:r w:rsidRPr="00853F78">
        <w:t xml:space="preserve">1 focaliza los municipios de Wiwilí (JI), Quilalí (NS) y Las Sabanas (MZ), teniendo en cuenta que: (i) presentan amplias brechas de servicios de A&amp;S, acceso y servicios de salud, requiriendo una intervención multisectorial para mejorar los indicadores de salud; (ii) cada uno pertenece a un SILAIS diferente; y (iii) tiene características geográficas diferentes. El alcance de los productos está detallado en la </w:t>
      </w:r>
      <w:hyperlink r:id="rId10" w:history="1">
        <w:r w:rsidRPr="00853F78">
          <w:t>Matriz de Resultados (MR)</w:t>
        </w:r>
      </w:hyperlink>
      <w:r w:rsidRPr="00823F38">
        <w:rPr>
          <w:lang w:val="es-ES_tradnl"/>
        </w:rPr>
        <w:t>:</w:t>
      </w:r>
    </w:p>
    <w:p w14:paraId="662EADFB" w14:textId="77777777" w:rsidR="001C2741" w:rsidRPr="00162187" w:rsidRDefault="001452A8" w:rsidP="001C2741">
      <w:pPr>
        <w:pStyle w:val="Paragraph"/>
        <w:tabs>
          <w:tab w:val="clear" w:pos="720"/>
        </w:tabs>
        <w:ind w:firstLine="0"/>
        <w:jc w:val="center"/>
        <w:rPr>
          <w:b/>
          <w:sz w:val="18"/>
          <w:szCs w:val="18"/>
        </w:rPr>
      </w:pPr>
      <w:r>
        <w:rPr>
          <w:b/>
          <w:sz w:val="18"/>
          <w:szCs w:val="18"/>
        </w:rPr>
        <w:t>Mapa</w:t>
      </w:r>
      <w:r w:rsidR="001C2741" w:rsidRPr="00162187">
        <w:rPr>
          <w:b/>
          <w:sz w:val="18"/>
          <w:szCs w:val="18"/>
        </w:rPr>
        <w:t>. Focalización del Programa</w:t>
      </w:r>
    </w:p>
    <w:p w14:paraId="662EADFC" w14:textId="77777777" w:rsidR="001C2741" w:rsidRDefault="001C2741" w:rsidP="001C2741">
      <w:pPr>
        <w:pStyle w:val="Paragraph"/>
        <w:tabs>
          <w:tab w:val="clear" w:pos="720"/>
        </w:tabs>
        <w:ind w:firstLine="0"/>
      </w:pPr>
      <w:r>
        <w:rPr>
          <w:noProof/>
        </w:rPr>
        <w:drawing>
          <wp:inline distT="0" distB="0" distL="0" distR="0" wp14:anchorId="662EB055" wp14:editId="662EB056">
            <wp:extent cx="4419430" cy="3009669"/>
            <wp:effectExtent l="0" t="0" r="635" b="63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471640" cy="3045225"/>
                    </a:xfrm>
                    <a:prstGeom prst="rect">
                      <a:avLst/>
                    </a:prstGeom>
                  </pic:spPr>
                </pic:pic>
              </a:graphicData>
            </a:graphic>
          </wp:inline>
        </w:drawing>
      </w:r>
    </w:p>
    <w:p w14:paraId="662EADFD" w14:textId="77777777" w:rsidR="001C2741" w:rsidRPr="00C82BD1" w:rsidRDefault="001C2741" w:rsidP="00853F78">
      <w:pPr>
        <w:pStyle w:val="Paragraph"/>
        <w:tabs>
          <w:tab w:val="clear" w:pos="720"/>
          <w:tab w:val="num" w:pos="1296"/>
        </w:tabs>
        <w:ind w:left="0" w:firstLine="0"/>
      </w:pPr>
    </w:p>
    <w:p w14:paraId="662EADFE" w14:textId="77777777" w:rsidR="00A870F1" w:rsidRPr="00C82BD1" w:rsidRDefault="00A870F1" w:rsidP="00A870F1">
      <w:pPr>
        <w:widowControl w:val="0"/>
        <w:jc w:val="center"/>
        <w:rPr>
          <w:rFonts w:ascii="Arial" w:hAnsi="Arial" w:cs="Arial"/>
          <w:b/>
          <w:sz w:val="18"/>
          <w:szCs w:val="22"/>
          <w:lang w:val="es-ES"/>
        </w:rPr>
      </w:pPr>
    </w:p>
    <w:p w14:paraId="662EADFF" w14:textId="77777777" w:rsidR="00A870F1" w:rsidRPr="00C82BD1" w:rsidRDefault="00A870F1" w:rsidP="00A870F1">
      <w:pPr>
        <w:widowControl w:val="0"/>
        <w:jc w:val="center"/>
        <w:rPr>
          <w:rFonts w:ascii="Arial" w:hAnsi="Arial" w:cs="Arial"/>
          <w:b/>
          <w:sz w:val="18"/>
          <w:szCs w:val="18"/>
          <w:lang w:val="es-ES"/>
        </w:rPr>
      </w:pPr>
      <w:r w:rsidRPr="00C82BD1">
        <w:rPr>
          <w:rFonts w:ascii="Arial" w:hAnsi="Arial" w:cs="Arial"/>
          <w:b/>
          <w:sz w:val="18"/>
          <w:szCs w:val="18"/>
          <w:lang w:val="es-ES"/>
        </w:rPr>
        <w:t>Cuadro 1: Distribución de Población Beneficiaria en Municipios Priorizados</w:t>
      </w:r>
    </w:p>
    <w:tbl>
      <w:tblPr>
        <w:tblStyle w:val="TableGrid"/>
        <w:tblpPr w:leftFromText="180" w:rightFromText="180" w:vertAnchor="text" w:tblpXSpec="center" w:tblpY="1"/>
        <w:tblOverlap w:val="never"/>
        <w:tblW w:w="0" w:type="auto"/>
        <w:tblLook w:val="04A0" w:firstRow="1" w:lastRow="0" w:firstColumn="1" w:lastColumn="0" w:noHBand="0" w:noVBand="1"/>
      </w:tblPr>
      <w:tblGrid>
        <w:gridCol w:w="1907"/>
        <w:gridCol w:w="3362"/>
        <w:gridCol w:w="2036"/>
      </w:tblGrid>
      <w:tr w:rsidR="00A870F1" w:rsidRPr="00C82BD1" w14:paraId="662EAE03" w14:textId="77777777" w:rsidTr="00853F78">
        <w:trPr>
          <w:trHeight w:val="521"/>
          <w:tblHeader/>
        </w:trPr>
        <w:tc>
          <w:tcPr>
            <w:tcW w:w="1907" w:type="dxa"/>
            <w:tcBorders>
              <w:top w:val="single" w:sz="4" w:space="0" w:color="000000"/>
              <w:left w:val="single" w:sz="4" w:space="0" w:color="000000"/>
              <w:bottom w:val="single" w:sz="4" w:space="0" w:color="000000"/>
              <w:right w:val="single" w:sz="4" w:space="0" w:color="000000"/>
            </w:tcBorders>
            <w:shd w:val="clear" w:color="auto" w:fill="548DD4" w:themeFill="text2" w:themeFillTint="99"/>
            <w:vAlign w:val="center"/>
            <w:hideMark/>
          </w:tcPr>
          <w:p w14:paraId="662EAE00" w14:textId="77777777" w:rsidR="00A870F1" w:rsidRPr="00C82BD1" w:rsidRDefault="00A870F1" w:rsidP="00011851">
            <w:pPr>
              <w:pStyle w:val="ListParagraph"/>
              <w:spacing w:before="60" w:after="60" w:line="240" w:lineRule="auto"/>
              <w:jc w:val="both"/>
              <w:rPr>
                <w:rFonts w:ascii="Arial" w:hAnsi="Arial" w:cs="Arial"/>
                <w:b/>
                <w:sz w:val="18"/>
                <w:szCs w:val="18"/>
                <w:lang w:val="es-ES"/>
              </w:rPr>
            </w:pPr>
            <w:r w:rsidRPr="00C82BD1">
              <w:rPr>
                <w:rFonts w:ascii="Arial" w:hAnsi="Arial" w:cs="Arial"/>
                <w:b/>
                <w:sz w:val="18"/>
                <w:szCs w:val="18"/>
                <w:lang w:val="es-ES"/>
              </w:rPr>
              <w:t>SILAIS</w:t>
            </w:r>
          </w:p>
        </w:tc>
        <w:tc>
          <w:tcPr>
            <w:tcW w:w="3362" w:type="dxa"/>
            <w:tcBorders>
              <w:top w:val="single" w:sz="4" w:space="0" w:color="000000"/>
              <w:left w:val="single" w:sz="4" w:space="0" w:color="000000"/>
              <w:bottom w:val="single" w:sz="4" w:space="0" w:color="000000"/>
              <w:right w:val="single" w:sz="4" w:space="0" w:color="000000"/>
            </w:tcBorders>
            <w:shd w:val="clear" w:color="auto" w:fill="548DD4" w:themeFill="text2" w:themeFillTint="99"/>
            <w:vAlign w:val="center"/>
            <w:hideMark/>
          </w:tcPr>
          <w:p w14:paraId="662EAE01" w14:textId="77777777" w:rsidR="00A870F1" w:rsidRPr="00C82BD1" w:rsidRDefault="00A870F1" w:rsidP="00011851">
            <w:pPr>
              <w:pStyle w:val="ListParagraph"/>
              <w:spacing w:before="60" w:after="60" w:line="240" w:lineRule="auto"/>
              <w:jc w:val="both"/>
              <w:rPr>
                <w:rFonts w:ascii="Arial" w:hAnsi="Arial" w:cs="Arial"/>
                <w:b/>
                <w:sz w:val="18"/>
                <w:szCs w:val="18"/>
                <w:lang w:val="es-ES"/>
              </w:rPr>
            </w:pPr>
            <w:r w:rsidRPr="00C82BD1">
              <w:rPr>
                <w:rFonts w:ascii="Arial" w:hAnsi="Arial" w:cs="Arial"/>
                <w:b/>
                <w:sz w:val="18"/>
                <w:szCs w:val="18"/>
                <w:lang w:val="es-ES"/>
              </w:rPr>
              <w:t>MUNICIPIO</w:t>
            </w:r>
          </w:p>
        </w:tc>
        <w:tc>
          <w:tcPr>
            <w:tcW w:w="2036" w:type="dxa"/>
            <w:tcBorders>
              <w:top w:val="single" w:sz="4" w:space="0" w:color="000000"/>
              <w:left w:val="single" w:sz="4" w:space="0" w:color="000000"/>
              <w:bottom w:val="single" w:sz="4" w:space="0" w:color="000000"/>
              <w:right w:val="single" w:sz="4" w:space="0" w:color="000000"/>
            </w:tcBorders>
            <w:shd w:val="clear" w:color="auto" w:fill="548DD4" w:themeFill="text2" w:themeFillTint="99"/>
            <w:vAlign w:val="center"/>
            <w:hideMark/>
          </w:tcPr>
          <w:p w14:paraId="662EAE02" w14:textId="77777777" w:rsidR="00A870F1" w:rsidRPr="00C82BD1" w:rsidRDefault="00A870F1" w:rsidP="00011851">
            <w:pPr>
              <w:pStyle w:val="ListParagraph"/>
              <w:spacing w:before="60" w:after="60" w:line="240" w:lineRule="auto"/>
              <w:ind w:left="0"/>
              <w:jc w:val="center"/>
              <w:rPr>
                <w:rFonts w:ascii="Arial" w:hAnsi="Arial" w:cs="Arial"/>
                <w:b/>
                <w:sz w:val="18"/>
                <w:szCs w:val="18"/>
                <w:lang w:val="es-ES"/>
              </w:rPr>
            </w:pPr>
            <w:r w:rsidRPr="00C82BD1">
              <w:rPr>
                <w:rFonts w:ascii="Arial" w:hAnsi="Arial" w:cs="Arial"/>
                <w:b/>
                <w:sz w:val="18"/>
                <w:szCs w:val="18"/>
                <w:lang w:val="es-ES"/>
              </w:rPr>
              <w:t>POBLACIÓN TOTAL (2016)</w:t>
            </w:r>
          </w:p>
        </w:tc>
      </w:tr>
      <w:tr w:rsidR="00A870F1" w:rsidRPr="00C82BD1" w14:paraId="662EAE07"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04"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Jinotega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05"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Jinotega</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06"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133.704</w:t>
            </w:r>
          </w:p>
        </w:tc>
      </w:tr>
      <w:tr w:rsidR="00A870F1" w:rsidRPr="00C82BD1" w14:paraId="662EAE0B"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08"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Jinotega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09"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San José Bocay</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0A"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61.963</w:t>
            </w:r>
          </w:p>
        </w:tc>
      </w:tr>
      <w:tr w:rsidR="00A870F1" w:rsidRPr="00C82BD1" w14:paraId="662EAE0F"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0C"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Jinotega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0D"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Wiwilí de Jinotega</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0E"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74.280</w:t>
            </w:r>
          </w:p>
        </w:tc>
      </w:tr>
      <w:tr w:rsidR="00A870F1" w:rsidRPr="00C82BD1" w14:paraId="662EAE13"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10"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Jinotega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11"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El Cuá</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12"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58.825</w:t>
            </w:r>
          </w:p>
        </w:tc>
      </w:tr>
      <w:tr w:rsidR="00A870F1" w:rsidRPr="00C82BD1" w14:paraId="662EAE17"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14"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Jinotega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15"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Sta. Ma. Pantasma</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16"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52.801</w:t>
            </w:r>
          </w:p>
        </w:tc>
      </w:tr>
      <w:tr w:rsidR="00A870F1" w:rsidRPr="00C82BD1" w14:paraId="662EAE1B"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18"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Jinotega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19"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San Sebastián de Yalí</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1A"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34.910</w:t>
            </w:r>
          </w:p>
        </w:tc>
      </w:tr>
      <w:tr w:rsidR="00A870F1" w:rsidRPr="00C82BD1" w14:paraId="662EAE1F"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1C"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Matagalpa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1D"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Sébaco</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1E"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36.519</w:t>
            </w:r>
          </w:p>
        </w:tc>
      </w:tr>
      <w:tr w:rsidR="00A870F1" w:rsidRPr="00C82BD1" w14:paraId="662EAE23"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20"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Matagalpa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21"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Waslala</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22"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68.376</w:t>
            </w:r>
          </w:p>
        </w:tc>
      </w:tr>
      <w:tr w:rsidR="00A870F1" w:rsidRPr="00C82BD1" w14:paraId="662EAE27"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24"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Matagalpa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25"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Rancho Grande</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26"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36.936</w:t>
            </w:r>
          </w:p>
        </w:tc>
      </w:tr>
      <w:tr w:rsidR="00A870F1" w:rsidRPr="00C82BD1" w14:paraId="662EAE2B"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28"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Matagalpa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29"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Tuma-La Dalia</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2A"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72.233</w:t>
            </w:r>
          </w:p>
        </w:tc>
      </w:tr>
      <w:tr w:rsidR="00A870F1" w:rsidRPr="00C82BD1" w14:paraId="662EAE2F"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2C"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Matagalpa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2D"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Matiguás</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2E"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51.865</w:t>
            </w:r>
          </w:p>
        </w:tc>
      </w:tr>
      <w:tr w:rsidR="00A870F1" w:rsidRPr="00C82BD1" w14:paraId="662EAE33"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30"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lastRenderedPageBreak/>
              <w:t>Matagalpa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31"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San Dionisio</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32"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18.337</w:t>
            </w:r>
          </w:p>
        </w:tc>
      </w:tr>
      <w:tr w:rsidR="00A870F1" w:rsidRPr="00C82BD1" w14:paraId="662EAE37"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34"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Matagalpa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35"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Río Blanco</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36"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35.542</w:t>
            </w:r>
          </w:p>
        </w:tc>
      </w:tr>
      <w:tr w:rsidR="00A870F1" w:rsidRPr="00C82BD1" w14:paraId="662EAE3B"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38"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Matagalpa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39"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Terrabona</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3A"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14.384</w:t>
            </w:r>
          </w:p>
        </w:tc>
      </w:tr>
      <w:tr w:rsidR="00A870F1" w:rsidRPr="00C82BD1" w14:paraId="662EAE3F"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3C"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Matagalpa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3D"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Ciudad Darío</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3E"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51.668</w:t>
            </w:r>
          </w:p>
        </w:tc>
      </w:tr>
      <w:tr w:rsidR="00A870F1" w:rsidRPr="00C82BD1" w14:paraId="662EAE43"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40"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Nueva Segovia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41"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Ciudad Antigua</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42"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6.339</w:t>
            </w:r>
          </w:p>
        </w:tc>
      </w:tr>
      <w:tr w:rsidR="00A870F1" w:rsidRPr="00C82BD1" w14:paraId="662EAE47"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44"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Nueva Segovia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45"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Dipilto</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46"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6.435</w:t>
            </w:r>
          </w:p>
        </w:tc>
      </w:tr>
      <w:tr w:rsidR="00A870F1" w:rsidRPr="00C82BD1" w14:paraId="662EAE4B"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48"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Nueva Segovia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49"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Macuelizo</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4A"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6.843</w:t>
            </w:r>
          </w:p>
        </w:tc>
      </w:tr>
      <w:tr w:rsidR="00A870F1" w:rsidRPr="00C82BD1" w14:paraId="662EAE4F"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4C"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Nueva Segovia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4D"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Mozonte</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4E"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8.413</w:t>
            </w:r>
          </w:p>
        </w:tc>
      </w:tr>
      <w:tr w:rsidR="00A870F1" w:rsidRPr="00C82BD1" w14:paraId="662EAE53"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50"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Nueva Segovia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51"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Ocotal</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52"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45.064</w:t>
            </w:r>
          </w:p>
        </w:tc>
      </w:tr>
      <w:tr w:rsidR="00A870F1" w:rsidRPr="00C82BD1" w14:paraId="662EAE57"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54"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Nueva Segovia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55"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San Fernando</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56"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11.074</w:t>
            </w:r>
          </w:p>
        </w:tc>
      </w:tr>
      <w:tr w:rsidR="00A870F1" w:rsidRPr="00C82BD1" w14:paraId="662EAE5B"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58"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Nueva Segovia</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59"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Santa María</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5A"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4.914</w:t>
            </w:r>
          </w:p>
        </w:tc>
      </w:tr>
      <w:tr w:rsidR="00A870F1" w:rsidRPr="00C82BD1" w14:paraId="662EAE5F"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5C"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Estelí</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5D"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Condega</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5E"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30.714</w:t>
            </w:r>
          </w:p>
        </w:tc>
      </w:tr>
      <w:tr w:rsidR="00A870F1" w:rsidRPr="00C82BD1" w14:paraId="662EAE63"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60"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Estelí</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61"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Estelí</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62"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126.289</w:t>
            </w:r>
          </w:p>
        </w:tc>
      </w:tr>
      <w:tr w:rsidR="00A870F1" w:rsidRPr="00C82BD1" w14:paraId="662EAE67"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64"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Estelí</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65"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La Trinidad</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66"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22.252</w:t>
            </w:r>
          </w:p>
        </w:tc>
      </w:tr>
      <w:tr w:rsidR="00A870F1" w:rsidRPr="00C82BD1" w14:paraId="662EAE6B"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68"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Estelí</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69"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Pueblo Nuevo</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6A"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23.725</w:t>
            </w:r>
          </w:p>
        </w:tc>
      </w:tr>
      <w:tr w:rsidR="00A870F1" w:rsidRPr="00C82BD1" w14:paraId="662EAE6F"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6C"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Estelí</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6D"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San Juan de Limay</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6E"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14.892</w:t>
            </w:r>
          </w:p>
        </w:tc>
      </w:tr>
      <w:tr w:rsidR="00A870F1" w:rsidRPr="00C82BD1" w14:paraId="662EAE73"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70"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Estelí</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71"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San Nicolás</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72"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7.511</w:t>
            </w:r>
          </w:p>
        </w:tc>
      </w:tr>
      <w:tr w:rsidR="00A870F1" w:rsidRPr="00C82BD1" w14:paraId="662EAE77"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74"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Madriz</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75"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Las Sabanas</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76"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4.962</w:t>
            </w:r>
          </w:p>
        </w:tc>
      </w:tr>
      <w:tr w:rsidR="00A870F1" w:rsidRPr="00C82BD1" w14:paraId="662EAE7B"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78"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Madriz</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79"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Palacaguina</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7A"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15.205</w:t>
            </w:r>
          </w:p>
        </w:tc>
      </w:tr>
      <w:tr w:rsidR="00A870F1" w:rsidRPr="00C82BD1" w14:paraId="662EAE7F"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7C"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Madriz</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7D"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San José de Cusmapa</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7E"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8.048</w:t>
            </w:r>
          </w:p>
        </w:tc>
      </w:tr>
      <w:tr w:rsidR="00A870F1" w:rsidRPr="00C82BD1" w14:paraId="662EAE83"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80"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Madriz</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81"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San Juan de Rio Coco</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82"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32.830</w:t>
            </w:r>
          </w:p>
        </w:tc>
      </w:tr>
      <w:tr w:rsidR="00A870F1" w:rsidRPr="00C82BD1" w14:paraId="662EAE87"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84"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Madriz</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85"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San Lucas</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86"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15.605</w:t>
            </w:r>
          </w:p>
        </w:tc>
      </w:tr>
      <w:tr w:rsidR="00A870F1" w:rsidRPr="00C82BD1" w14:paraId="662EAE8B"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88"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Madriz</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89"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Somoto</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8A"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38.793</w:t>
            </w:r>
          </w:p>
        </w:tc>
      </w:tr>
      <w:tr w:rsidR="00A870F1" w:rsidRPr="00C82BD1" w14:paraId="662EAE8F"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8C"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Madriz</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8D"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Telpaneca</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8E"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23.092</w:t>
            </w:r>
          </w:p>
        </w:tc>
      </w:tr>
      <w:tr w:rsidR="00A870F1" w:rsidRPr="00C82BD1" w14:paraId="662EAE93"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90"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Madriz</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91"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Totogalpa</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92"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15.298</w:t>
            </w:r>
          </w:p>
        </w:tc>
      </w:tr>
      <w:tr w:rsidR="00A870F1" w:rsidRPr="00C82BD1" w14:paraId="662EAE97" w14:textId="77777777" w:rsidTr="00853F78">
        <w:tc>
          <w:tcPr>
            <w:tcW w:w="1907" w:type="dxa"/>
            <w:tcBorders>
              <w:top w:val="single" w:sz="4" w:space="0" w:color="000000"/>
              <w:left w:val="single" w:sz="4" w:space="0" w:color="000000"/>
              <w:bottom w:val="single" w:sz="4" w:space="0" w:color="000000"/>
              <w:right w:val="single" w:sz="4" w:space="0" w:color="000000"/>
            </w:tcBorders>
            <w:vAlign w:val="bottom"/>
            <w:hideMark/>
          </w:tcPr>
          <w:p w14:paraId="662EAE94" w14:textId="77777777" w:rsidR="00A870F1" w:rsidRPr="00C82BD1" w:rsidRDefault="00A870F1" w:rsidP="00011851">
            <w:pPr>
              <w:rPr>
                <w:rFonts w:ascii="Arial" w:hAnsi="Arial" w:cs="Arial"/>
                <w:sz w:val="18"/>
                <w:szCs w:val="18"/>
                <w:lang w:val="es-ES"/>
              </w:rPr>
            </w:pPr>
            <w:r w:rsidRPr="00C82BD1">
              <w:rPr>
                <w:rFonts w:ascii="Arial" w:hAnsi="Arial" w:cs="Arial"/>
                <w:sz w:val="18"/>
                <w:szCs w:val="18"/>
                <w:lang w:val="es-ES"/>
              </w:rPr>
              <w:t>Madriz</w:t>
            </w:r>
          </w:p>
        </w:tc>
        <w:tc>
          <w:tcPr>
            <w:tcW w:w="3362" w:type="dxa"/>
            <w:tcBorders>
              <w:top w:val="single" w:sz="4" w:space="0" w:color="000000"/>
              <w:left w:val="single" w:sz="4" w:space="0" w:color="000000"/>
              <w:bottom w:val="single" w:sz="4" w:space="0" w:color="000000"/>
              <w:right w:val="single" w:sz="4" w:space="0" w:color="000000"/>
            </w:tcBorders>
            <w:vAlign w:val="center"/>
            <w:hideMark/>
          </w:tcPr>
          <w:p w14:paraId="662EAE95"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Yalaguina</w:t>
            </w:r>
          </w:p>
        </w:tc>
        <w:tc>
          <w:tcPr>
            <w:tcW w:w="2036" w:type="dxa"/>
            <w:tcBorders>
              <w:top w:val="single" w:sz="4" w:space="0" w:color="000000"/>
              <w:left w:val="single" w:sz="4" w:space="0" w:color="000000"/>
              <w:bottom w:val="single" w:sz="4" w:space="0" w:color="000000"/>
              <w:right w:val="single" w:sz="4" w:space="0" w:color="000000"/>
            </w:tcBorders>
            <w:vAlign w:val="center"/>
            <w:hideMark/>
          </w:tcPr>
          <w:p w14:paraId="662EAE96" w14:textId="77777777" w:rsidR="00A870F1" w:rsidRPr="00C82BD1" w:rsidRDefault="00A870F1" w:rsidP="00011851">
            <w:pPr>
              <w:pStyle w:val="ListParagraph"/>
              <w:spacing w:after="0" w:line="240" w:lineRule="auto"/>
              <w:contextualSpacing w:val="0"/>
              <w:jc w:val="both"/>
              <w:rPr>
                <w:rFonts w:ascii="Arial" w:hAnsi="Arial" w:cs="Arial"/>
                <w:sz w:val="18"/>
                <w:szCs w:val="18"/>
                <w:lang w:val="es-ES"/>
              </w:rPr>
            </w:pPr>
            <w:r w:rsidRPr="00C82BD1">
              <w:rPr>
                <w:rFonts w:ascii="Arial" w:hAnsi="Arial" w:cs="Arial"/>
                <w:sz w:val="18"/>
                <w:szCs w:val="18"/>
                <w:lang w:val="es-ES"/>
              </w:rPr>
              <w:t>12.394</w:t>
            </w:r>
          </w:p>
        </w:tc>
      </w:tr>
      <w:tr w:rsidR="00A870F1" w:rsidRPr="00C82BD1" w14:paraId="662EAE9B" w14:textId="77777777" w:rsidTr="00853F78">
        <w:trPr>
          <w:trHeight w:val="251"/>
        </w:trPr>
        <w:tc>
          <w:tcPr>
            <w:tcW w:w="1907" w:type="dxa"/>
            <w:tcBorders>
              <w:top w:val="single" w:sz="4" w:space="0" w:color="000000"/>
              <w:left w:val="single" w:sz="4" w:space="0" w:color="000000"/>
              <w:bottom w:val="single" w:sz="4" w:space="0" w:color="000000"/>
              <w:right w:val="single" w:sz="4" w:space="0" w:color="000000"/>
            </w:tcBorders>
            <w:shd w:val="clear" w:color="auto" w:fill="548DD4" w:themeFill="text2" w:themeFillTint="99"/>
            <w:vAlign w:val="center"/>
            <w:hideMark/>
          </w:tcPr>
          <w:p w14:paraId="662EAE98" w14:textId="77777777" w:rsidR="00A870F1" w:rsidRPr="00C82BD1" w:rsidRDefault="00A870F1" w:rsidP="00011851">
            <w:pPr>
              <w:pStyle w:val="ListParagraph"/>
              <w:spacing w:after="0" w:line="240" w:lineRule="auto"/>
              <w:contextualSpacing w:val="0"/>
              <w:jc w:val="both"/>
              <w:rPr>
                <w:rFonts w:ascii="Arial" w:hAnsi="Arial" w:cs="Arial"/>
                <w:b/>
                <w:sz w:val="18"/>
                <w:szCs w:val="18"/>
                <w:lang w:val="es-ES"/>
              </w:rPr>
            </w:pPr>
            <w:r w:rsidRPr="00C82BD1">
              <w:rPr>
                <w:rFonts w:ascii="Arial" w:hAnsi="Arial" w:cs="Arial"/>
                <w:b/>
                <w:sz w:val="18"/>
                <w:szCs w:val="18"/>
                <w:lang w:val="es-ES"/>
              </w:rPr>
              <w:t>Total</w:t>
            </w:r>
          </w:p>
        </w:tc>
        <w:tc>
          <w:tcPr>
            <w:tcW w:w="3362" w:type="dxa"/>
            <w:tcBorders>
              <w:top w:val="single" w:sz="4" w:space="0" w:color="000000"/>
              <w:left w:val="single" w:sz="4" w:space="0" w:color="000000"/>
              <w:bottom w:val="single" w:sz="4" w:space="0" w:color="000000"/>
              <w:right w:val="single" w:sz="4" w:space="0" w:color="000000"/>
            </w:tcBorders>
            <w:shd w:val="clear" w:color="auto" w:fill="548DD4" w:themeFill="text2" w:themeFillTint="99"/>
            <w:vAlign w:val="bottom"/>
            <w:hideMark/>
          </w:tcPr>
          <w:p w14:paraId="662EAE99" w14:textId="77777777" w:rsidR="00A870F1" w:rsidRPr="00C82BD1" w:rsidRDefault="00A870F1" w:rsidP="00011851">
            <w:pPr>
              <w:jc w:val="both"/>
              <w:rPr>
                <w:rFonts w:ascii="Arial" w:hAnsi="Arial" w:cs="Arial"/>
                <w:b/>
                <w:sz w:val="18"/>
                <w:szCs w:val="18"/>
                <w:lang w:val="es-ES"/>
              </w:rPr>
            </w:pPr>
            <w:r w:rsidRPr="00C82BD1">
              <w:rPr>
                <w:rFonts w:ascii="Arial" w:hAnsi="Arial" w:cs="Arial"/>
                <w:b/>
                <w:sz w:val="18"/>
                <w:szCs w:val="18"/>
                <w:lang w:val="es-ES"/>
              </w:rPr>
              <w:t>37 municipios</w:t>
            </w:r>
          </w:p>
        </w:tc>
        <w:tc>
          <w:tcPr>
            <w:tcW w:w="2036" w:type="dxa"/>
            <w:tcBorders>
              <w:top w:val="single" w:sz="4" w:space="0" w:color="000000"/>
              <w:left w:val="single" w:sz="4" w:space="0" w:color="000000"/>
              <w:bottom w:val="single" w:sz="4" w:space="0" w:color="000000"/>
              <w:right w:val="single" w:sz="4" w:space="0" w:color="000000"/>
            </w:tcBorders>
            <w:shd w:val="clear" w:color="auto" w:fill="548DD4" w:themeFill="text2" w:themeFillTint="99"/>
            <w:vAlign w:val="center"/>
            <w:hideMark/>
          </w:tcPr>
          <w:p w14:paraId="662EAE9A" w14:textId="77777777" w:rsidR="00A870F1" w:rsidRPr="00C82BD1" w:rsidRDefault="00A870F1" w:rsidP="00011851">
            <w:pPr>
              <w:pStyle w:val="ListParagraph"/>
              <w:spacing w:after="0"/>
              <w:jc w:val="both"/>
              <w:rPr>
                <w:rFonts w:ascii="Arial" w:hAnsi="Arial" w:cs="Arial"/>
                <w:b/>
                <w:sz w:val="18"/>
                <w:szCs w:val="18"/>
                <w:lang w:val="es-ES"/>
              </w:rPr>
            </w:pPr>
            <w:r w:rsidRPr="00C82BD1">
              <w:rPr>
                <w:rFonts w:ascii="Arial" w:hAnsi="Arial" w:cs="Arial"/>
                <w:b/>
                <w:sz w:val="18"/>
                <w:szCs w:val="18"/>
                <w:lang w:val="es-ES"/>
              </w:rPr>
              <w:t>1.283.035</w:t>
            </w:r>
          </w:p>
        </w:tc>
      </w:tr>
    </w:tbl>
    <w:p w14:paraId="662EAE9C" w14:textId="77777777" w:rsidR="00011851" w:rsidRPr="00C82BD1" w:rsidRDefault="00011851" w:rsidP="00011851">
      <w:pPr>
        <w:widowControl w:val="0"/>
        <w:rPr>
          <w:rFonts w:ascii="Arial" w:hAnsi="Arial" w:cs="Arial"/>
          <w:sz w:val="22"/>
          <w:szCs w:val="22"/>
          <w:lang w:val="es-ES"/>
        </w:rPr>
      </w:pPr>
      <w:r w:rsidRPr="00C82BD1">
        <w:rPr>
          <w:rFonts w:ascii="Arial" w:hAnsi="Arial" w:cs="Arial"/>
          <w:sz w:val="22"/>
          <w:szCs w:val="22"/>
          <w:shd w:val="clear" w:color="auto" w:fill="548DD4" w:themeFill="text2" w:themeFillTint="99"/>
          <w:lang w:val="es-ES"/>
        </w:rPr>
        <w:br w:type="textWrapping" w:clear="all"/>
      </w:r>
    </w:p>
    <w:p w14:paraId="662EAE9D" w14:textId="77777777" w:rsidR="00A870F1" w:rsidRPr="00C82BD1" w:rsidRDefault="00A870F1" w:rsidP="00853F78">
      <w:pPr>
        <w:spacing w:after="200" w:line="276" w:lineRule="auto"/>
        <w:rPr>
          <w:rFonts w:ascii="Arial" w:hAnsi="Arial" w:cs="Arial"/>
          <w:sz w:val="22"/>
          <w:szCs w:val="22"/>
          <w:lang w:val="es-ES"/>
        </w:rPr>
      </w:pPr>
      <w:r w:rsidRPr="00C82BD1">
        <w:rPr>
          <w:rFonts w:ascii="Arial" w:hAnsi="Arial" w:cs="Arial"/>
          <w:sz w:val="22"/>
          <w:szCs w:val="22"/>
          <w:lang w:val="es-ES"/>
        </w:rPr>
        <w:t xml:space="preserve">En la siguiente tabla se presenta las proyecciones de población para el periodo 2018-2022 para los grupos </w:t>
      </w:r>
      <w:r w:rsidR="00171771" w:rsidRPr="00C82BD1">
        <w:rPr>
          <w:rFonts w:ascii="Arial" w:hAnsi="Arial" w:cs="Arial"/>
          <w:sz w:val="22"/>
          <w:szCs w:val="22"/>
          <w:lang w:val="es-ES"/>
        </w:rPr>
        <w:t>prioritarios</w:t>
      </w:r>
      <w:r w:rsidRPr="00C82BD1">
        <w:rPr>
          <w:rFonts w:ascii="Arial" w:hAnsi="Arial" w:cs="Arial"/>
          <w:sz w:val="22"/>
          <w:szCs w:val="22"/>
          <w:lang w:val="es-ES"/>
        </w:rPr>
        <w:t>: Mujeres en edad fértil, mujeres embarazadas, menores de dos años y menores de seis años</w:t>
      </w:r>
      <w:r w:rsidRPr="00C82BD1">
        <w:rPr>
          <w:rStyle w:val="FootnoteReference"/>
          <w:rFonts w:ascii="Arial" w:hAnsi="Arial" w:cs="Arial"/>
          <w:sz w:val="22"/>
          <w:szCs w:val="22"/>
          <w:lang w:val="es-ES"/>
        </w:rPr>
        <w:footnoteReference w:id="5"/>
      </w:r>
      <w:r w:rsidRPr="00C82BD1">
        <w:rPr>
          <w:rFonts w:ascii="Arial" w:hAnsi="Arial" w:cs="Arial"/>
          <w:sz w:val="22"/>
          <w:szCs w:val="22"/>
          <w:lang w:val="es-ES"/>
        </w:rPr>
        <w:t xml:space="preserve">. </w:t>
      </w:r>
    </w:p>
    <w:p w14:paraId="662EAE9E" w14:textId="77777777" w:rsidR="00A870F1" w:rsidRPr="00C82BD1" w:rsidRDefault="00A870F1" w:rsidP="00A870F1">
      <w:pPr>
        <w:widowControl w:val="0"/>
        <w:jc w:val="both"/>
        <w:rPr>
          <w:rFonts w:ascii="Arial" w:hAnsi="Arial" w:cs="Arial"/>
          <w:sz w:val="22"/>
          <w:szCs w:val="22"/>
          <w:lang w:val="es-ES"/>
        </w:rPr>
      </w:pPr>
    </w:p>
    <w:p w14:paraId="662EAE9F" w14:textId="77777777" w:rsidR="00A870F1" w:rsidRPr="00C82BD1" w:rsidRDefault="00A870F1" w:rsidP="00011851">
      <w:pPr>
        <w:widowControl w:val="0"/>
        <w:jc w:val="center"/>
        <w:rPr>
          <w:rFonts w:ascii="Arial" w:hAnsi="Arial" w:cs="Arial"/>
          <w:b/>
          <w:sz w:val="18"/>
          <w:szCs w:val="22"/>
          <w:lang w:val="es-ES"/>
        </w:rPr>
      </w:pPr>
      <w:r w:rsidRPr="00C82BD1">
        <w:rPr>
          <w:rFonts w:ascii="Arial" w:hAnsi="Arial" w:cs="Arial"/>
          <w:b/>
          <w:sz w:val="18"/>
          <w:szCs w:val="22"/>
          <w:lang w:val="es-ES"/>
        </w:rPr>
        <w:t>Cuadro 2: Proyecciones de población de Grupos Prioritarios</w:t>
      </w:r>
    </w:p>
    <w:tbl>
      <w:tblPr>
        <w:tblW w:w="10412" w:type="dxa"/>
        <w:jc w:val="center"/>
        <w:tblLook w:val="04A0" w:firstRow="1" w:lastRow="0" w:firstColumn="1" w:lastColumn="0" w:noHBand="0" w:noVBand="1"/>
      </w:tblPr>
      <w:tblGrid>
        <w:gridCol w:w="2939"/>
        <w:gridCol w:w="1457"/>
        <w:gridCol w:w="1267"/>
        <w:gridCol w:w="1623"/>
        <w:gridCol w:w="1444"/>
        <w:gridCol w:w="1682"/>
      </w:tblGrid>
      <w:tr w:rsidR="00A870F1" w:rsidRPr="00C82BD1" w14:paraId="662EAEA2" w14:textId="77777777" w:rsidTr="00011851">
        <w:trPr>
          <w:trHeight w:val="285"/>
          <w:jc w:val="center"/>
        </w:trPr>
        <w:tc>
          <w:tcPr>
            <w:tcW w:w="2939"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center"/>
            <w:hideMark/>
          </w:tcPr>
          <w:p w14:paraId="662EAEA0" w14:textId="77777777" w:rsidR="00A870F1" w:rsidRPr="00C82BD1" w:rsidRDefault="00A870F1" w:rsidP="00011851">
            <w:pPr>
              <w:spacing w:before="100" w:beforeAutospacing="1" w:after="120"/>
              <w:jc w:val="center"/>
              <w:rPr>
                <w:rFonts w:ascii="Arial" w:eastAsiaTheme="minorHAnsi" w:hAnsi="Arial" w:cs="Arial"/>
                <w:sz w:val="18"/>
                <w:szCs w:val="18"/>
                <w:lang w:val="es-ES"/>
              </w:rPr>
            </w:pPr>
            <w:r w:rsidRPr="00C82BD1">
              <w:rPr>
                <w:rFonts w:ascii="Arial" w:hAnsi="Arial" w:cs="Arial"/>
                <w:b/>
                <w:bCs/>
                <w:sz w:val="18"/>
                <w:szCs w:val="18"/>
                <w:lang w:val="es-ES"/>
              </w:rPr>
              <w:t>Grupo Prioritario</w:t>
            </w:r>
          </w:p>
        </w:tc>
        <w:tc>
          <w:tcPr>
            <w:tcW w:w="7473" w:type="dxa"/>
            <w:gridSpan w:val="5"/>
            <w:tcBorders>
              <w:top w:val="single" w:sz="4" w:space="0" w:color="auto"/>
              <w:left w:val="nil"/>
              <w:bottom w:val="single" w:sz="4" w:space="0" w:color="auto"/>
              <w:right w:val="single" w:sz="4" w:space="0" w:color="auto"/>
            </w:tcBorders>
            <w:shd w:val="clear" w:color="auto" w:fill="548DD4" w:themeFill="text2" w:themeFillTint="99"/>
            <w:noWrap/>
            <w:vAlign w:val="bottom"/>
            <w:hideMark/>
          </w:tcPr>
          <w:p w14:paraId="662EAEA1" w14:textId="77777777" w:rsidR="00A870F1" w:rsidRPr="00C82BD1" w:rsidRDefault="00A870F1" w:rsidP="00011851">
            <w:pPr>
              <w:spacing w:before="100" w:beforeAutospacing="1" w:after="120"/>
              <w:jc w:val="center"/>
              <w:rPr>
                <w:rFonts w:ascii="Arial" w:hAnsi="Arial" w:cs="Arial"/>
                <w:b/>
                <w:bCs/>
                <w:sz w:val="18"/>
                <w:szCs w:val="18"/>
                <w:lang w:val="es-ES"/>
              </w:rPr>
            </w:pPr>
            <w:r w:rsidRPr="00C82BD1">
              <w:rPr>
                <w:rFonts w:ascii="Arial" w:hAnsi="Arial" w:cs="Arial"/>
                <w:b/>
                <w:bCs/>
                <w:sz w:val="18"/>
                <w:szCs w:val="18"/>
                <w:lang w:val="es-ES"/>
              </w:rPr>
              <w:t>Años</w:t>
            </w:r>
          </w:p>
        </w:tc>
      </w:tr>
      <w:tr w:rsidR="00A870F1" w:rsidRPr="00C82BD1" w14:paraId="662EAEA9" w14:textId="77777777" w:rsidTr="00011851">
        <w:trPr>
          <w:trHeight w:val="285"/>
          <w:jc w:val="center"/>
        </w:trPr>
        <w:tc>
          <w:tcPr>
            <w:tcW w:w="0" w:type="auto"/>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14:paraId="662EAEA3" w14:textId="77777777" w:rsidR="00A870F1" w:rsidRPr="00C82BD1" w:rsidRDefault="00A870F1" w:rsidP="00011851">
            <w:pPr>
              <w:jc w:val="center"/>
              <w:rPr>
                <w:rFonts w:ascii="Arial" w:eastAsiaTheme="minorHAnsi" w:hAnsi="Arial" w:cs="Arial"/>
                <w:sz w:val="18"/>
                <w:szCs w:val="18"/>
                <w:lang w:val="es-ES"/>
              </w:rPr>
            </w:pPr>
          </w:p>
        </w:tc>
        <w:tc>
          <w:tcPr>
            <w:tcW w:w="1457" w:type="dxa"/>
            <w:tcBorders>
              <w:top w:val="nil"/>
              <w:left w:val="nil"/>
              <w:bottom w:val="single" w:sz="4" w:space="0" w:color="auto"/>
              <w:right w:val="single" w:sz="4" w:space="0" w:color="auto"/>
            </w:tcBorders>
            <w:shd w:val="clear" w:color="auto" w:fill="548DD4" w:themeFill="text2" w:themeFillTint="99"/>
            <w:noWrap/>
            <w:vAlign w:val="bottom"/>
            <w:hideMark/>
          </w:tcPr>
          <w:p w14:paraId="662EAEA4" w14:textId="77777777" w:rsidR="00A870F1" w:rsidRPr="00C82BD1" w:rsidRDefault="00A870F1" w:rsidP="00011851">
            <w:pPr>
              <w:spacing w:before="100" w:beforeAutospacing="1" w:after="120"/>
              <w:jc w:val="center"/>
              <w:rPr>
                <w:rFonts w:ascii="Arial" w:eastAsiaTheme="minorHAnsi" w:hAnsi="Arial" w:cs="Arial"/>
                <w:sz w:val="18"/>
                <w:szCs w:val="18"/>
                <w:lang w:val="es-ES"/>
              </w:rPr>
            </w:pPr>
            <w:r w:rsidRPr="00C82BD1">
              <w:rPr>
                <w:rFonts w:ascii="Arial" w:hAnsi="Arial" w:cs="Arial"/>
                <w:b/>
                <w:bCs/>
                <w:sz w:val="18"/>
                <w:szCs w:val="18"/>
                <w:lang w:val="es-ES"/>
              </w:rPr>
              <w:t>2018</w:t>
            </w:r>
          </w:p>
        </w:tc>
        <w:tc>
          <w:tcPr>
            <w:tcW w:w="1077" w:type="dxa"/>
            <w:tcBorders>
              <w:top w:val="nil"/>
              <w:left w:val="nil"/>
              <w:bottom w:val="single" w:sz="4" w:space="0" w:color="auto"/>
              <w:right w:val="single" w:sz="4" w:space="0" w:color="auto"/>
            </w:tcBorders>
            <w:shd w:val="clear" w:color="auto" w:fill="548DD4" w:themeFill="text2" w:themeFillTint="99"/>
            <w:noWrap/>
            <w:vAlign w:val="bottom"/>
            <w:hideMark/>
          </w:tcPr>
          <w:p w14:paraId="662EAEA5" w14:textId="77777777" w:rsidR="00A870F1" w:rsidRPr="00C82BD1" w:rsidRDefault="00A870F1" w:rsidP="00011851">
            <w:pPr>
              <w:spacing w:before="100" w:beforeAutospacing="1" w:after="120"/>
              <w:jc w:val="center"/>
              <w:rPr>
                <w:rFonts w:ascii="Arial" w:eastAsiaTheme="minorHAnsi" w:hAnsi="Arial" w:cs="Arial"/>
                <w:sz w:val="18"/>
                <w:szCs w:val="18"/>
                <w:lang w:val="es-ES"/>
              </w:rPr>
            </w:pPr>
            <w:r w:rsidRPr="00C82BD1">
              <w:rPr>
                <w:rFonts w:ascii="Arial" w:hAnsi="Arial" w:cs="Arial"/>
                <w:b/>
                <w:bCs/>
                <w:sz w:val="18"/>
                <w:szCs w:val="18"/>
                <w:lang w:val="es-ES"/>
              </w:rPr>
              <w:t>2019</w:t>
            </w:r>
          </w:p>
        </w:tc>
        <w:tc>
          <w:tcPr>
            <w:tcW w:w="1623" w:type="dxa"/>
            <w:tcBorders>
              <w:top w:val="nil"/>
              <w:left w:val="nil"/>
              <w:bottom w:val="single" w:sz="4" w:space="0" w:color="auto"/>
              <w:right w:val="single" w:sz="4" w:space="0" w:color="auto"/>
            </w:tcBorders>
            <w:shd w:val="clear" w:color="auto" w:fill="548DD4" w:themeFill="text2" w:themeFillTint="99"/>
            <w:noWrap/>
            <w:vAlign w:val="bottom"/>
            <w:hideMark/>
          </w:tcPr>
          <w:p w14:paraId="662EAEA6" w14:textId="77777777" w:rsidR="00A870F1" w:rsidRPr="00C82BD1" w:rsidRDefault="00A870F1" w:rsidP="00011851">
            <w:pPr>
              <w:spacing w:before="100" w:beforeAutospacing="1" w:after="120"/>
              <w:jc w:val="center"/>
              <w:rPr>
                <w:rFonts w:ascii="Arial" w:eastAsiaTheme="minorHAnsi" w:hAnsi="Arial" w:cs="Arial"/>
                <w:sz w:val="18"/>
                <w:szCs w:val="18"/>
                <w:lang w:val="es-ES"/>
              </w:rPr>
            </w:pPr>
            <w:r w:rsidRPr="00C82BD1">
              <w:rPr>
                <w:rFonts w:ascii="Arial" w:hAnsi="Arial" w:cs="Arial"/>
                <w:b/>
                <w:bCs/>
                <w:sz w:val="18"/>
                <w:szCs w:val="18"/>
                <w:lang w:val="es-ES"/>
              </w:rPr>
              <w:t>2020</w:t>
            </w:r>
          </w:p>
        </w:tc>
        <w:tc>
          <w:tcPr>
            <w:tcW w:w="1444" w:type="dxa"/>
            <w:tcBorders>
              <w:top w:val="nil"/>
              <w:left w:val="nil"/>
              <w:bottom w:val="single" w:sz="4" w:space="0" w:color="auto"/>
              <w:right w:val="single" w:sz="4" w:space="0" w:color="auto"/>
            </w:tcBorders>
            <w:shd w:val="clear" w:color="auto" w:fill="548DD4" w:themeFill="text2" w:themeFillTint="99"/>
            <w:noWrap/>
            <w:vAlign w:val="bottom"/>
            <w:hideMark/>
          </w:tcPr>
          <w:p w14:paraId="662EAEA7" w14:textId="77777777" w:rsidR="00A870F1" w:rsidRPr="00C82BD1" w:rsidRDefault="00A870F1" w:rsidP="00011851">
            <w:pPr>
              <w:spacing w:before="100" w:beforeAutospacing="1" w:after="120"/>
              <w:jc w:val="center"/>
              <w:rPr>
                <w:rFonts w:ascii="Arial" w:eastAsiaTheme="minorHAnsi" w:hAnsi="Arial" w:cs="Arial"/>
                <w:sz w:val="18"/>
                <w:szCs w:val="18"/>
                <w:lang w:val="es-ES"/>
              </w:rPr>
            </w:pPr>
            <w:r w:rsidRPr="00C82BD1">
              <w:rPr>
                <w:rFonts w:ascii="Arial" w:hAnsi="Arial" w:cs="Arial"/>
                <w:b/>
                <w:bCs/>
                <w:sz w:val="18"/>
                <w:szCs w:val="18"/>
                <w:lang w:val="es-ES"/>
              </w:rPr>
              <w:t>2021</w:t>
            </w:r>
          </w:p>
        </w:tc>
        <w:tc>
          <w:tcPr>
            <w:tcW w:w="1872" w:type="dxa"/>
            <w:tcBorders>
              <w:top w:val="nil"/>
              <w:left w:val="nil"/>
              <w:bottom w:val="single" w:sz="4" w:space="0" w:color="auto"/>
              <w:right w:val="single" w:sz="4" w:space="0" w:color="auto"/>
            </w:tcBorders>
            <w:shd w:val="clear" w:color="auto" w:fill="548DD4" w:themeFill="text2" w:themeFillTint="99"/>
          </w:tcPr>
          <w:p w14:paraId="662EAEA8" w14:textId="77777777" w:rsidR="00A870F1" w:rsidRPr="00C82BD1" w:rsidRDefault="00A870F1" w:rsidP="00011851">
            <w:pPr>
              <w:spacing w:before="100" w:beforeAutospacing="1" w:after="120"/>
              <w:jc w:val="center"/>
              <w:rPr>
                <w:rFonts w:ascii="Arial" w:hAnsi="Arial" w:cs="Arial"/>
                <w:b/>
                <w:bCs/>
                <w:sz w:val="18"/>
                <w:szCs w:val="18"/>
                <w:lang w:val="es-ES"/>
              </w:rPr>
            </w:pPr>
            <w:r w:rsidRPr="00C82BD1">
              <w:rPr>
                <w:rFonts w:ascii="Arial" w:hAnsi="Arial" w:cs="Arial"/>
                <w:b/>
                <w:bCs/>
                <w:sz w:val="18"/>
                <w:szCs w:val="18"/>
                <w:lang w:val="es-ES"/>
              </w:rPr>
              <w:t>2022</w:t>
            </w:r>
          </w:p>
        </w:tc>
      </w:tr>
      <w:tr w:rsidR="00A870F1" w:rsidRPr="00C82BD1" w14:paraId="662EAEB0" w14:textId="77777777" w:rsidTr="00E302A7">
        <w:trPr>
          <w:trHeight w:val="285"/>
          <w:jc w:val="center"/>
        </w:trPr>
        <w:tc>
          <w:tcPr>
            <w:tcW w:w="2939" w:type="dxa"/>
            <w:tcBorders>
              <w:top w:val="nil"/>
              <w:left w:val="single" w:sz="4" w:space="0" w:color="auto"/>
              <w:bottom w:val="single" w:sz="4" w:space="0" w:color="auto"/>
              <w:right w:val="single" w:sz="4" w:space="0" w:color="auto"/>
            </w:tcBorders>
            <w:noWrap/>
            <w:vAlign w:val="bottom"/>
            <w:hideMark/>
          </w:tcPr>
          <w:p w14:paraId="662EAEAA" w14:textId="77777777" w:rsidR="00A870F1" w:rsidRPr="00C82BD1" w:rsidRDefault="00A870F1" w:rsidP="00E302A7">
            <w:pPr>
              <w:spacing w:before="100" w:beforeAutospacing="1" w:after="120"/>
              <w:rPr>
                <w:rFonts w:ascii="Arial" w:eastAsiaTheme="minorHAnsi" w:hAnsi="Arial" w:cs="Arial"/>
                <w:sz w:val="18"/>
                <w:szCs w:val="18"/>
                <w:lang w:val="es-ES"/>
              </w:rPr>
            </w:pPr>
            <w:r w:rsidRPr="00C82BD1">
              <w:rPr>
                <w:rFonts w:ascii="Arial" w:hAnsi="Arial" w:cs="Arial"/>
                <w:bCs/>
                <w:sz w:val="18"/>
                <w:szCs w:val="18"/>
                <w:lang w:val="es-ES"/>
              </w:rPr>
              <w:t>Población total</w:t>
            </w:r>
          </w:p>
        </w:tc>
        <w:tc>
          <w:tcPr>
            <w:tcW w:w="1457" w:type="dxa"/>
            <w:tcBorders>
              <w:top w:val="nil"/>
              <w:left w:val="nil"/>
              <w:bottom w:val="single" w:sz="4" w:space="0" w:color="auto"/>
              <w:right w:val="single" w:sz="4" w:space="0" w:color="auto"/>
            </w:tcBorders>
            <w:noWrap/>
            <w:vAlign w:val="bottom"/>
          </w:tcPr>
          <w:p w14:paraId="662EAEAB"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1</w:t>
            </w:r>
            <w:r w:rsidR="00F775EE" w:rsidRPr="00C82BD1">
              <w:rPr>
                <w:rFonts w:ascii="Arial" w:hAnsi="Arial" w:cs="Arial"/>
                <w:sz w:val="18"/>
                <w:szCs w:val="18"/>
                <w:lang w:val="es-ES"/>
              </w:rPr>
              <w:t>.</w:t>
            </w:r>
            <w:r w:rsidRPr="00C82BD1">
              <w:rPr>
                <w:rFonts w:ascii="Arial" w:hAnsi="Arial" w:cs="Arial"/>
                <w:sz w:val="18"/>
                <w:szCs w:val="18"/>
                <w:lang w:val="es-ES"/>
              </w:rPr>
              <w:t>313</w:t>
            </w:r>
            <w:r w:rsidR="00F775EE" w:rsidRPr="00C82BD1">
              <w:rPr>
                <w:rFonts w:ascii="Arial" w:hAnsi="Arial" w:cs="Arial"/>
                <w:sz w:val="18"/>
                <w:szCs w:val="18"/>
                <w:lang w:val="es-ES"/>
              </w:rPr>
              <w:t>.</w:t>
            </w:r>
            <w:r w:rsidRPr="00C82BD1">
              <w:rPr>
                <w:rFonts w:ascii="Arial" w:hAnsi="Arial" w:cs="Arial"/>
                <w:sz w:val="18"/>
                <w:szCs w:val="18"/>
                <w:lang w:val="es-ES"/>
              </w:rPr>
              <w:t>493</w:t>
            </w:r>
            <w:r w:rsidR="00F775EE" w:rsidRPr="00C82BD1">
              <w:rPr>
                <w:rFonts w:ascii="Arial" w:hAnsi="Arial" w:cs="Arial"/>
                <w:sz w:val="18"/>
                <w:szCs w:val="18"/>
                <w:lang w:val="es-ES"/>
              </w:rPr>
              <w:t>,</w:t>
            </w:r>
            <w:r w:rsidRPr="00C82BD1">
              <w:rPr>
                <w:rFonts w:ascii="Arial" w:hAnsi="Arial" w:cs="Arial"/>
                <w:sz w:val="18"/>
                <w:szCs w:val="18"/>
                <w:lang w:val="es-ES"/>
              </w:rPr>
              <w:t>28</w:t>
            </w:r>
          </w:p>
        </w:tc>
        <w:tc>
          <w:tcPr>
            <w:tcW w:w="1077" w:type="dxa"/>
            <w:tcBorders>
              <w:top w:val="nil"/>
              <w:left w:val="nil"/>
              <w:bottom w:val="single" w:sz="4" w:space="0" w:color="auto"/>
              <w:right w:val="single" w:sz="4" w:space="0" w:color="auto"/>
            </w:tcBorders>
            <w:noWrap/>
            <w:vAlign w:val="bottom"/>
          </w:tcPr>
          <w:p w14:paraId="662EAEAC"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1</w:t>
            </w:r>
            <w:r w:rsidR="00F775EE" w:rsidRPr="00C82BD1">
              <w:rPr>
                <w:rFonts w:ascii="Arial" w:hAnsi="Arial" w:cs="Arial"/>
                <w:sz w:val="18"/>
                <w:szCs w:val="18"/>
                <w:lang w:val="es-ES"/>
              </w:rPr>
              <w:t>.</w:t>
            </w:r>
            <w:r w:rsidRPr="00C82BD1">
              <w:rPr>
                <w:rFonts w:ascii="Arial" w:hAnsi="Arial" w:cs="Arial"/>
                <w:sz w:val="18"/>
                <w:szCs w:val="18"/>
                <w:lang w:val="es-ES"/>
              </w:rPr>
              <w:t>328</w:t>
            </w:r>
            <w:r w:rsidR="00F775EE" w:rsidRPr="00C82BD1">
              <w:rPr>
                <w:rFonts w:ascii="Arial" w:hAnsi="Arial" w:cs="Arial"/>
                <w:sz w:val="18"/>
                <w:szCs w:val="18"/>
                <w:lang w:val="es-ES"/>
              </w:rPr>
              <w:t>.</w:t>
            </w:r>
            <w:r w:rsidRPr="00C82BD1">
              <w:rPr>
                <w:rFonts w:ascii="Arial" w:hAnsi="Arial" w:cs="Arial"/>
                <w:sz w:val="18"/>
                <w:szCs w:val="18"/>
                <w:lang w:val="es-ES"/>
              </w:rPr>
              <w:t>992</w:t>
            </w:r>
            <w:r w:rsidR="00F775EE" w:rsidRPr="00C82BD1">
              <w:rPr>
                <w:rFonts w:ascii="Arial" w:hAnsi="Arial" w:cs="Arial"/>
                <w:sz w:val="18"/>
                <w:szCs w:val="18"/>
                <w:lang w:val="es-ES"/>
              </w:rPr>
              <w:t>,</w:t>
            </w:r>
            <w:r w:rsidRPr="00C82BD1">
              <w:rPr>
                <w:rFonts w:ascii="Arial" w:hAnsi="Arial" w:cs="Arial"/>
                <w:sz w:val="18"/>
                <w:szCs w:val="18"/>
                <w:lang w:val="es-ES"/>
              </w:rPr>
              <w:t>50</w:t>
            </w:r>
          </w:p>
        </w:tc>
        <w:tc>
          <w:tcPr>
            <w:tcW w:w="1623" w:type="dxa"/>
            <w:tcBorders>
              <w:top w:val="nil"/>
              <w:left w:val="nil"/>
              <w:bottom w:val="single" w:sz="4" w:space="0" w:color="auto"/>
              <w:right w:val="single" w:sz="4" w:space="0" w:color="auto"/>
            </w:tcBorders>
            <w:noWrap/>
            <w:vAlign w:val="bottom"/>
          </w:tcPr>
          <w:p w14:paraId="662EAEAD"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1</w:t>
            </w:r>
            <w:r w:rsidR="00DB7826" w:rsidRPr="00C82BD1">
              <w:rPr>
                <w:rFonts w:ascii="Arial" w:hAnsi="Arial" w:cs="Arial"/>
                <w:sz w:val="18"/>
                <w:szCs w:val="18"/>
                <w:lang w:val="es-ES"/>
              </w:rPr>
              <w:t>.344.</w:t>
            </w:r>
            <w:r w:rsidRPr="00C82BD1">
              <w:rPr>
                <w:rFonts w:ascii="Arial" w:hAnsi="Arial" w:cs="Arial"/>
                <w:sz w:val="18"/>
                <w:szCs w:val="18"/>
                <w:lang w:val="es-ES"/>
              </w:rPr>
              <w:t>674</w:t>
            </w:r>
            <w:r w:rsidR="00DB7826" w:rsidRPr="00C82BD1">
              <w:rPr>
                <w:rFonts w:ascii="Arial" w:hAnsi="Arial" w:cs="Arial"/>
                <w:sz w:val="18"/>
                <w:szCs w:val="18"/>
                <w:lang w:val="es-ES"/>
              </w:rPr>
              <w:t>,</w:t>
            </w:r>
            <w:r w:rsidRPr="00C82BD1">
              <w:rPr>
                <w:rFonts w:ascii="Arial" w:hAnsi="Arial" w:cs="Arial"/>
                <w:sz w:val="18"/>
                <w:szCs w:val="18"/>
                <w:lang w:val="es-ES"/>
              </w:rPr>
              <w:t>61</w:t>
            </w:r>
          </w:p>
        </w:tc>
        <w:tc>
          <w:tcPr>
            <w:tcW w:w="1444" w:type="dxa"/>
            <w:tcBorders>
              <w:top w:val="nil"/>
              <w:left w:val="nil"/>
              <w:bottom w:val="single" w:sz="4" w:space="0" w:color="auto"/>
              <w:right w:val="single" w:sz="4" w:space="0" w:color="auto"/>
            </w:tcBorders>
            <w:noWrap/>
            <w:vAlign w:val="bottom"/>
          </w:tcPr>
          <w:p w14:paraId="662EAEAE"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1</w:t>
            </w:r>
            <w:r w:rsidR="002E496E" w:rsidRPr="00C82BD1">
              <w:rPr>
                <w:rFonts w:ascii="Arial" w:hAnsi="Arial" w:cs="Arial"/>
                <w:sz w:val="18"/>
                <w:szCs w:val="18"/>
                <w:lang w:val="es-ES"/>
              </w:rPr>
              <w:t>.</w:t>
            </w:r>
            <w:r w:rsidRPr="00C82BD1">
              <w:rPr>
                <w:rFonts w:ascii="Arial" w:hAnsi="Arial" w:cs="Arial"/>
                <w:sz w:val="18"/>
                <w:szCs w:val="18"/>
                <w:lang w:val="es-ES"/>
              </w:rPr>
              <w:t>360</w:t>
            </w:r>
            <w:r w:rsidR="002E496E" w:rsidRPr="00C82BD1">
              <w:rPr>
                <w:rFonts w:ascii="Arial" w:hAnsi="Arial" w:cs="Arial"/>
                <w:sz w:val="18"/>
                <w:szCs w:val="18"/>
                <w:lang w:val="es-ES"/>
              </w:rPr>
              <w:t>.</w:t>
            </w:r>
            <w:r w:rsidRPr="00C82BD1">
              <w:rPr>
                <w:rFonts w:ascii="Arial" w:hAnsi="Arial" w:cs="Arial"/>
                <w:sz w:val="18"/>
                <w:szCs w:val="18"/>
                <w:lang w:val="es-ES"/>
              </w:rPr>
              <w:t>541</w:t>
            </w:r>
            <w:r w:rsidR="002E496E" w:rsidRPr="00C82BD1">
              <w:rPr>
                <w:rFonts w:ascii="Arial" w:hAnsi="Arial" w:cs="Arial"/>
                <w:sz w:val="18"/>
                <w:szCs w:val="18"/>
                <w:lang w:val="es-ES"/>
              </w:rPr>
              <w:t>,</w:t>
            </w:r>
            <w:r w:rsidRPr="00C82BD1">
              <w:rPr>
                <w:rFonts w:ascii="Arial" w:hAnsi="Arial" w:cs="Arial"/>
                <w:sz w:val="18"/>
                <w:szCs w:val="18"/>
                <w:lang w:val="es-ES"/>
              </w:rPr>
              <w:t>77</w:t>
            </w:r>
          </w:p>
        </w:tc>
        <w:tc>
          <w:tcPr>
            <w:tcW w:w="1872" w:type="dxa"/>
            <w:tcBorders>
              <w:top w:val="nil"/>
              <w:left w:val="nil"/>
              <w:bottom w:val="single" w:sz="4" w:space="0" w:color="auto"/>
              <w:right w:val="single" w:sz="4" w:space="0" w:color="auto"/>
            </w:tcBorders>
            <w:vAlign w:val="bottom"/>
          </w:tcPr>
          <w:p w14:paraId="662EAEAF"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1</w:t>
            </w:r>
            <w:r w:rsidR="00D07EE7" w:rsidRPr="00C82BD1">
              <w:rPr>
                <w:rFonts w:ascii="Arial" w:hAnsi="Arial" w:cs="Arial"/>
                <w:sz w:val="18"/>
                <w:szCs w:val="18"/>
                <w:lang w:val="es-ES"/>
              </w:rPr>
              <w:t>.</w:t>
            </w:r>
            <w:r w:rsidRPr="00C82BD1">
              <w:rPr>
                <w:rFonts w:ascii="Arial" w:hAnsi="Arial" w:cs="Arial"/>
                <w:sz w:val="18"/>
                <w:szCs w:val="18"/>
                <w:lang w:val="es-ES"/>
              </w:rPr>
              <w:t>376</w:t>
            </w:r>
            <w:r w:rsidR="00D07EE7" w:rsidRPr="00C82BD1">
              <w:rPr>
                <w:rFonts w:ascii="Arial" w:hAnsi="Arial" w:cs="Arial"/>
                <w:sz w:val="18"/>
                <w:szCs w:val="18"/>
                <w:lang w:val="es-ES"/>
              </w:rPr>
              <w:t>.</w:t>
            </w:r>
            <w:r w:rsidRPr="00C82BD1">
              <w:rPr>
                <w:rFonts w:ascii="Arial" w:hAnsi="Arial" w:cs="Arial"/>
                <w:sz w:val="18"/>
                <w:szCs w:val="18"/>
                <w:lang w:val="es-ES"/>
              </w:rPr>
              <w:t>596</w:t>
            </w:r>
            <w:r w:rsidR="00D07EE7" w:rsidRPr="00C82BD1">
              <w:rPr>
                <w:rFonts w:ascii="Arial" w:hAnsi="Arial" w:cs="Arial"/>
                <w:sz w:val="18"/>
                <w:szCs w:val="18"/>
                <w:lang w:val="es-ES"/>
              </w:rPr>
              <w:t>,</w:t>
            </w:r>
            <w:r w:rsidRPr="00C82BD1">
              <w:rPr>
                <w:rFonts w:ascii="Arial" w:hAnsi="Arial" w:cs="Arial"/>
                <w:sz w:val="18"/>
                <w:szCs w:val="18"/>
                <w:lang w:val="es-ES"/>
              </w:rPr>
              <w:t>16</w:t>
            </w:r>
          </w:p>
        </w:tc>
      </w:tr>
      <w:tr w:rsidR="00A870F1" w:rsidRPr="00C82BD1" w14:paraId="662EAEB7" w14:textId="77777777" w:rsidTr="00E302A7">
        <w:trPr>
          <w:trHeight w:val="285"/>
          <w:jc w:val="center"/>
        </w:trPr>
        <w:tc>
          <w:tcPr>
            <w:tcW w:w="2939" w:type="dxa"/>
            <w:tcBorders>
              <w:top w:val="nil"/>
              <w:left w:val="single" w:sz="4" w:space="0" w:color="auto"/>
              <w:bottom w:val="single" w:sz="4" w:space="0" w:color="auto"/>
              <w:right w:val="single" w:sz="4" w:space="0" w:color="auto"/>
            </w:tcBorders>
            <w:noWrap/>
            <w:vAlign w:val="bottom"/>
          </w:tcPr>
          <w:p w14:paraId="662EAEB1" w14:textId="77777777" w:rsidR="00A870F1" w:rsidRPr="00C82BD1" w:rsidRDefault="00A870F1" w:rsidP="00E302A7">
            <w:pPr>
              <w:spacing w:before="100" w:beforeAutospacing="1" w:after="120"/>
              <w:rPr>
                <w:rFonts w:ascii="Arial" w:hAnsi="Arial" w:cs="Arial"/>
                <w:bCs/>
                <w:sz w:val="18"/>
                <w:szCs w:val="18"/>
                <w:lang w:val="es-ES"/>
              </w:rPr>
            </w:pPr>
            <w:r w:rsidRPr="00C82BD1">
              <w:rPr>
                <w:rFonts w:ascii="Arial" w:hAnsi="Arial" w:cs="Arial"/>
                <w:bCs/>
                <w:sz w:val="18"/>
                <w:szCs w:val="18"/>
                <w:lang w:val="es-ES"/>
              </w:rPr>
              <w:t>Número de hogares</w:t>
            </w:r>
          </w:p>
        </w:tc>
        <w:tc>
          <w:tcPr>
            <w:tcW w:w="1457" w:type="dxa"/>
            <w:tcBorders>
              <w:top w:val="nil"/>
              <w:left w:val="nil"/>
              <w:bottom w:val="single" w:sz="4" w:space="0" w:color="auto"/>
              <w:right w:val="single" w:sz="4" w:space="0" w:color="auto"/>
            </w:tcBorders>
            <w:noWrap/>
            <w:vAlign w:val="bottom"/>
          </w:tcPr>
          <w:p w14:paraId="662EAEB2"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219</w:t>
            </w:r>
            <w:r w:rsidR="00F775EE" w:rsidRPr="00C82BD1">
              <w:rPr>
                <w:rFonts w:ascii="Arial" w:hAnsi="Arial" w:cs="Arial"/>
                <w:sz w:val="18"/>
                <w:szCs w:val="18"/>
                <w:lang w:val="es-ES"/>
              </w:rPr>
              <w:t>.</w:t>
            </w:r>
            <w:r w:rsidRPr="00C82BD1">
              <w:rPr>
                <w:rFonts w:ascii="Arial" w:hAnsi="Arial" w:cs="Arial"/>
                <w:sz w:val="18"/>
                <w:szCs w:val="18"/>
                <w:lang w:val="es-ES"/>
              </w:rPr>
              <w:t>281</w:t>
            </w:r>
            <w:r w:rsidR="00F775EE" w:rsidRPr="00C82BD1">
              <w:rPr>
                <w:rFonts w:ascii="Arial" w:hAnsi="Arial" w:cs="Arial"/>
                <w:sz w:val="18"/>
                <w:szCs w:val="18"/>
                <w:lang w:val="es-ES"/>
              </w:rPr>
              <w:t>,</w:t>
            </w:r>
            <w:r w:rsidRPr="00C82BD1">
              <w:rPr>
                <w:rFonts w:ascii="Arial" w:hAnsi="Arial" w:cs="Arial"/>
                <w:sz w:val="18"/>
                <w:szCs w:val="18"/>
                <w:lang w:val="es-ES"/>
              </w:rPr>
              <w:t>01</w:t>
            </w:r>
          </w:p>
        </w:tc>
        <w:tc>
          <w:tcPr>
            <w:tcW w:w="1077" w:type="dxa"/>
            <w:tcBorders>
              <w:top w:val="nil"/>
              <w:left w:val="nil"/>
              <w:bottom w:val="single" w:sz="4" w:space="0" w:color="auto"/>
              <w:right w:val="single" w:sz="4" w:space="0" w:color="auto"/>
            </w:tcBorders>
            <w:noWrap/>
            <w:vAlign w:val="bottom"/>
          </w:tcPr>
          <w:p w14:paraId="662EAEB3"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221</w:t>
            </w:r>
            <w:r w:rsidR="00F775EE" w:rsidRPr="00C82BD1">
              <w:rPr>
                <w:rFonts w:ascii="Arial" w:hAnsi="Arial" w:cs="Arial"/>
                <w:sz w:val="18"/>
                <w:szCs w:val="18"/>
                <w:lang w:val="es-ES"/>
              </w:rPr>
              <w:t>.</w:t>
            </w:r>
            <w:r w:rsidRPr="00C82BD1">
              <w:rPr>
                <w:rFonts w:ascii="Arial" w:hAnsi="Arial" w:cs="Arial"/>
                <w:sz w:val="18"/>
                <w:szCs w:val="18"/>
                <w:lang w:val="es-ES"/>
              </w:rPr>
              <w:t>868</w:t>
            </w:r>
            <w:r w:rsidR="00F775EE" w:rsidRPr="00C82BD1">
              <w:rPr>
                <w:rFonts w:ascii="Arial" w:hAnsi="Arial" w:cs="Arial"/>
                <w:sz w:val="18"/>
                <w:szCs w:val="18"/>
                <w:lang w:val="es-ES"/>
              </w:rPr>
              <w:t>,</w:t>
            </w:r>
            <w:r w:rsidRPr="00C82BD1">
              <w:rPr>
                <w:rFonts w:ascii="Arial" w:hAnsi="Arial" w:cs="Arial"/>
                <w:sz w:val="18"/>
                <w:szCs w:val="18"/>
                <w:lang w:val="es-ES"/>
              </w:rPr>
              <w:t>53</w:t>
            </w:r>
          </w:p>
        </w:tc>
        <w:tc>
          <w:tcPr>
            <w:tcW w:w="1623" w:type="dxa"/>
            <w:tcBorders>
              <w:top w:val="nil"/>
              <w:left w:val="nil"/>
              <w:bottom w:val="single" w:sz="4" w:space="0" w:color="auto"/>
              <w:right w:val="single" w:sz="4" w:space="0" w:color="auto"/>
            </w:tcBorders>
            <w:noWrap/>
            <w:vAlign w:val="bottom"/>
          </w:tcPr>
          <w:p w14:paraId="662EAEB4"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224</w:t>
            </w:r>
            <w:r w:rsidR="00DB7826" w:rsidRPr="00C82BD1">
              <w:rPr>
                <w:rFonts w:ascii="Arial" w:hAnsi="Arial" w:cs="Arial"/>
                <w:sz w:val="18"/>
                <w:szCs w:val="18"/>
                <w:lang w:val="es-ES"/>
              </w:rPr>
              <w:t>.</w:t>
            </w:r>
            <w:r w:rsidRPr="00C82BD1">
              <w:rPr>
                <w:rFonts w:ascii="Arial" w:hAnsi="Arial" w:cs="Arial"/>
                <w:sz w:val="18"/>
                <w:szCs w:val="18"/>
                <w:lang w:val="es-ES"/>
              </w:rPr>
              <w:t>486</w:t>
            </w:r>
            <w:r w:rsidR="00DB7826" w:rsidRPr="00C82BD1">
              <w:rPr>
                <w:rFonts w:ascii="Arial" w:hAnsi="Arial" w:cs="Arial"/>
                <w:sz w:val="18"/>
                <w:szCs w:val="18"/>
                <w:lang w:val="es-ES"/>
              </w:rPr>
              <w:t>,</w:t>
            </w:r>
            <w:r w:rsidRPr="00C82BD1">
              <w:rPr>
                <w:rFonts w:ascii="Arial" w:hAnsi="Arial" w:cs="Arial"/>
                <w:sz w:val="18"/>
                <w:szCs w:val="18"/>
                <w:lang w:val="es-ES"/>
              </w:rPr>
              <w:t>58</w:t>
            </w:r>
          </w:p>
        </w:tc>
        <w:tc>
          <w:tcPr>
            <w:tcW w:w="1444" w:type="dxa"/>
            <w:tcBorders>
              <w:top w:val="nil"/>
              <w:left w:val="nil"/>
              <w:bottom w:val="single" w:sz="4" w:space="0" w:color="auto"/>
              <w:right w:val="single" w:sz="4" w:space="0" w:color="auto"/>
            </w:tcBorders>
            <w:noWrap/>
            <w:vAlign w:val="bottom"/>
          </w:tcPr>
          <w:p w14:paraId="662EAEB5"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227</w:t>
            </w:r>
            <w:r w:rsidR="002E496E" w:rsidRPr="00C82BD1">
              <w:rPr>
                <w:rFonts w:ascii="Arial" w:hAnsi="Arial" w:cs="Arial"/>
                <w:sz w:val="18"/>
                <w:szCs w:val="18"/>
                <w:lang w:val="es-ES"/>
              </w:rPr>
              <w:t>.</w:t>
            </w:r>
            <w:r w:rsidRPr="00C82BD1">
              <w:rPr>
                <w:rFonts w:ascii="Arial" w:hAnsi="Arial" w:cs="Arial"/>
                <w:sz w:val="18"/>
                <w:szCs w:val="18"/>
                <w:lang w:val="es-ES"/>
              </w:rPr>
              <w:t>135</w:t>
            </w:r>
            <w:r w:rsidR="002E496E" w:rsidRPr="00C82BD1">
              <w:rPr>
                <w:rFonts w:ascii="Arial" w:hAnsi="Arial" w:cs="Arial"/>
                <w:sz w:val="18"/>
                <w:szCs w:val="18"/>
                <w:lang w:val="es-ES"/>
              </w:rPr>
              <w:t>,</w:t>
            </w:r>
            <w:r w:rsidRPr="00C82BD1">
              <w:rPr>
                <w:rFonts w:ascii="Arial" w:hAnsi="Arial" w:cs="Arial"/>
                <w:sz w:val="18"/>
                <w:szCs w:val="18"/>
                <w:lang w:val="es-ES"/>
              </w:rPr>
              <w:t>52</w:t>
            </w:r>
          </w:p>
        </w:tc>
        <w:tc>
          <w:tcPr>
            <w:tcW w:w="1872" w:type="dxa"/>
            <w:tcBorders>
              <w:top w:val="nil"/>
              <w:left w:val="nil"/>
              <w:bottom w:val="single" w:sz="4" w:space="0" w:color="auto"/>
              <w:right w:val="single" w:sz="4" w:space="0" w:color="auto"/>
            </w:tcBorders>
            <w:vAlign w:val="bottom"/>
          </w:tcPr>
          <w:p w14:paraId="662EAEB6"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229</w:t>
            </w:r>
            <w:r w:rsidR="00D07EE7" w:rsidRPr="00C82BD1">
              <w:rPr>
                <w:rFonts w:ascii="Arial" w:hAnsi="Arial" w:cs="Arial"/>
                <w:sz w:val="18"/>
                <w:szCs w:val="18"/>
                <w:lang w:val="es-ES"/>
              </w:rPr>
              <w:t>.</w:t>
            </w:r>
            <w:r w:rsidRPr="00C82BD1">
              <w:rPr>
                <w:rFonts w:ascii="Arial" w:hAnsi="Arial" w:cs="Arial"/>
                <w:sz w:val="18"/>
                <w:szCs w:val="18"/>
                <w:lang w:val="es-ES"/>
              </w:rPr>
              <w:t>815</w:t>
            </w:r>
            <w:r w:rsidR="00D07EE7" w:rsidRPr="00C82BD1">
              <w:rPr>
                <w:rFonts w:ascii="Arial" w:hAnsi="Arial" w:cs="Arial"/>
                <w:sz w:val="18"/>
                <w:szCs w:val="18"/>
                <w:lang w:val="es-ES"/>
              </w:rPr>
              <w:t>,</w:t>
            </w:r>
            <w:r w:rsidRPr="00C82BD1">
              <w:rPr>
                <w:rFonts w:ascii="Arial" w:hAnsi="Arial" w:cs="Arial"/>
                <w:sz w:val="18"/>
                <w:szCs w:val="18"/>
                <w:lang w:val="es-ES"/>
              </w:rPr>
              <w:t>72</w:t>
            </w:r>
          </w:p>
        </w:tc>
      </w:tr>
      <w:tr w:rsidR="00A870F1" w:rsidRPr="00C82BD1" w14:paraId="662EAEBE" w14:textId="77777777" w:rsidTr="00E302A7">
        <w:trPr>
          <w:trHeight w:val="285"/>
          <w:jc w:val="center"/>
        </w:trPr>
        <w:tc>
          <w:tcPr>
            <w:tcW w:w="2939" w:type="dxa"/>
            <w:tcBorders>
              <w:top w:val="nil"/>
              <w:left w:val="single" w:sz="4" w:space="0" w:color="auto"/>
              <w:bottom w:val="single" w:sz="4" w:space="0" w:color="auto"/>
              <w:right w:val="single" w:sz="4" w:space="0" w:color="auto"/>
            </w:tcBorders>
            <w:noWrap/>
            <w:vAlign w:val="bottom"/>
            <w:hideMark/>
          </w:tcPr>
          <w:p w14:paraId="662EAEB8" w14:textId="77777777" w:rsidR="00A870F1" w:rsidRPr="00C82BD1" w:rsidRDefault="00A870F1" w:rsidP="00E302A7">
            <w:pPr>
              <w:spacing w:before="100" w:beforeAutospacing="1" w:after="120"/>
              <w:rPr>
                <w:rFonts w:ascii="Arial" w:eastAsiaTheme="minorHAnsi" w:hAnsi="Arial" w:cs="Arial"/>
                <w:sz w:val="18"/>
                <w:szCs w:val="18"/>
                <w:lang w:val="es-ES"/>
              </w:rPr>
            </w:pPr>
            <w:r w:rsidRPr="00C82BD1">
              <w:rPr>
                <w:rFonts w:ascii="Arial" w:hAnsi="Arial" w:cs="Arial"/>
                <w:bCs/>
                <w:sz w:val="18"/>
                <w:szCs w:val="18"/>
                <w:lang w:val="es-ES"/>
              </w:rPr>
              <w:t xml:space="preserve">Número de mujeres en edad fértil </w:t>
            </w:r>
          </w:p>
        </w:tc>
        <w:tc>
          <w:tcPr>
            <w:tcW w:w="1457" w:type="dxa"/>
            <w:tcBorders>
              <w:top w:val="nil"/>
              <w:left w:val="nil"/>
              <w:bottom w:val="single" w:sz="4" w:space="0" w:color="auto"/>
              <w:right w:val="single" w:sz="4" w:space="0" w:color="auto"/>
            </w:tcBorders>
            <w:noWrap/>
            <w:vAlign w:val="bottom"/>
          </w:tcPr>
          <w:p w14:paraId="662EAEB9"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345</w:t>
            </w:r>
            <w:r w:rsidR="00F775EE" w:rsidRPr="00C82BD1">
              <w:rPr>
                <w:rFonts w:ascii="Arial" w:hAnsi="Arial" w:cs="Arial"/>
                <w:sz w:val="18"/>
                <w:szCs w:val="18"/>
                <w:lang w:val="es-ES"/>
              </w:rPr>
              <w:t>.</w:t>
            </w:r>
            <w:r w:rsidRPr="00C82BD1">
              <w:rPr>
                <w:rFonts w:ascii="Arial" w:hAnsi="Arial" w:cs="Arial"/>
                <w:sz w:val="18"/>
                <w:szCs w:val="18"/>
                <w:lang w:val="es-ES"/>
              </w:rPr>
              <w:t>371</w:t>
            </w:r>
            <w:r w:rsidR="00F775EE" w:rsidRPr="00C82BD1">
              <w:rPr>
                <w:rFonts w:ascii="Arial" w:hAnsi="Arial" w:cs="Arial"/>
                <w:sz w:val="18"/>
                <w:szCs w:val="18"/>
                <w:lang w:val="es-ES"/>
              </w:rPr>
              <w:t>,</w:t>
            </w:r>
            <w:r w:rsidRPr="00C82BD1">
              <w:rPr>
                <w:rFonts w:ascii="Arial" w:hAnsi="Arial" w:cs="Arial"/>
                <w:sz w:val="18"/>
                <w:szCs w:val="18"/>
                <w:lang w:val="es-ES"/>
              </w:rPr>
              <w:t>90</w:t>
            </w:r>
          </w:p>
        </w:tc>
        <w:tc>
          <w:tcPr>
            <w:tcW w:w="1077" w:type="dxa"/>
            <w:tcBorders>
              <w:top w:val="nil"/>
              <w:left w:val="nil"/>
              <w:bottom w:val="single" w:sz="4" w:space="0" w:color="auto"/>
              <w:right w:val="single" w:sz="4" w:space="0" w:color="auto"/>
            </w:tcBorders>
            <w:noWrap/>
            <w:vAlign w:val="bottom"/>
          </w:tcPr>
          <w:p w14:paraId="662EAEBA"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349</w:t>
            </w:r>
            <w:r w:rsidR="00F775EE" w:rsidRPr="00C82BD1">
              <w:rPr>
                <w:rFonts w:ascii="Arial" w:hAnsi="Arial" w:cs="Arial"/>
                <w:sz w:val="18"/>
                <w:szCs w:val="18"/>
                <w:lang w:val="es-ES"/>
              </w:rPr>
              <w:t>.</w:t>
            </w:r>
            <w:r w:rsidRPr="00C82BD1">
              <w:rPr>
                <w:rFonts w:ascii="Arial" w:hAnsi="Arial" w:cs="Arial"/>
                <w:sz w:val="18"/>
                <w:szCs w:val="18"/>
                <w:lang w:val="es-ES"/>
              </w:rPr>
              <w:t>447</w:t>
            </w:r>
            <w:r w:rsidR="00F775EE" w:rsidRPr="00C82BD1">
              <w:rPr>
                <w:rFonts w:ascii="Arial" w:hAnsi="Arial" w:cs="Arial"/>
                <w:sz w:val="18"/>
                <w:szCs w:val="18"/>
                <w:lang w:val="es-ES"/>
              </w:rPr>
              <w:t>,</w:t>
            </w:r>
            <w:r w:rsidRPr="00C82BD1">
              <w:rPr>
                <w:rFonts w:ascii="Arial" w:hAnsi="Arial" w:cs="Arial"/>
                <w:sz w:val="18"/>
                <w:szCs w:val="18"/>
                <w:lang w:val="es-ES"/>
              </w:rPr>
              <w:t>29</w:t>
            </w:r>
          </w:p>
        </w:tc>
        <w:tc>
          <w:tcPr>
            <w:tcW w:w="1623" w:type="dxa"/>
            <w:tcBorders>
              <w:top w:val="nil"/>
              <w:left w:val="nil"/>
              <w:bottom w:val="single" w:sz="4" w:space="0" w:color="auto"/>
              <w:right w:val="single" w:sz="4" w:space="0" w:color="auto"/>
            </w:tcBorders>
            <w:noWrap/>
            <w:vAlign w:val="bottom"/>
          </w:tcPr>
          <w:p w14:paraId="662EAEBB"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353</w:t>
            </w:r>
            <w:r w:rsidR="00DB7826" w:rsidRPr="00C82BD1">
              <w:rPr>
                <w:rFonts w:ascii="Arial" w:hAnsi="Arial" w:cs="Arial"/>
                <w:sz w:val="18"/>
                <w:szCs w:val="18"/>
                <w:lang w:val="es-ES"/>
              </w:rPr>
              <w:t>.</w:t>
            </w:r>
            <w:r w:rsidRPr="00C82BD1">
              <w:rPr>
                <w:rFonts w:ascii="Arial" w:hAnsi="Arial" w:cs="Arial"/>
                <w:sz w:val="18"/>
                <w:szCs w:val="18"/>
                <w:lang w:val="es-ES"/>
              </w:rPr>
              <w:t>570</w:t>
            </w:r>
            <w:r w:rsidR="00DB7826" w:rsidRPr="00C82BD1">
              <w:rPr>
                <w:rFonts w:ascii="Arial" w:hAnsi="Arial" w:cs="Arial"/>
                <w:sz w:val="18"/>
                <w:szCs w:val="18"/>
                <w:lang w:val="es-ES"/>
              </w:rPr>
              <w:t>,</w:t>
            </w:r>
            <w:r w:rsidRPr="00C82BD1">
              <w:rPr>
                <w:rFonts w:ascii="Arial" w:hAnsi="Arial" w:cs="Arial"/>
                <w:sz w:val="18"/>
                <w:szCs w:val="18"/>
                <w:lang w:val="es-ES"/>
              </w:rPr>
              <w:t>76</w:t>
            </w:r>
          </w:p>
        </w:tc>
        <w:tc>
          <w:tcPr>
            <w:tcW w:w="1444" w:type="dxa"/>
            <w:tcBorders>
              <w:top w:val="nil"/>
              <w:left w:val="nil"/>
              <w:bottom w:val="single" w:sz="4" w:space="0" w:color="auto"/>
              <w:right w:val="single" w:sz="4" w:space="0" w:color="auto"/>
            </w:tcBorders>
            <w:noWrap/>
            <w:vAlign w:val="bottom"/>
          </w:tcPr>
          <w:p w14:paraId="662EAEBC"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357</w:t>
            </w:r>
            <w:r w:rsidR="002E496E" w:rsidRPr="00C82BD1">
              <w:rPr>
                <w:rFonts w:ascii="Arial" w:hAnsi="Arial" w:cs="Arial"/>
                <w:sz w:val="18"/>
                <w:szCs w:val="18"/>
                <w:lang w:val="es-ES"/>
              </w:rPr>
              <w:t>.</w:t>
            </w:r>
            <w:r w:rsidRPr="00C82BD1">
              <w:rPr>
                <w:rFonts w:ascii="Arial" w:hAnsi="Arial" w:cs="Arial"/>
                <w:sz w:val="18"/>
                <w:szCs w:val="18"/>
                <w:lang w:val="es-ES"/>
              </w:rPr>
              <w:t>742</w:t>
            </w:r>
            <w:r w:rsidR="002E496E" w:rsidRPr="00C82BD1">
              <w:rPr>
                <w:rFonts w:ascii="Arial" w:hAnsi="Arial" w:cs="Arial"/>
                <w:sz w:val="18"/>
                <w:szCs w:val="18"/>
                <w:lang w:val="es-ES"/>
              </w:rPr>
              <w:t>,</w:t>
            </w:r>
            <w:r w:rsidRPr="00C82BD1">
              <w:rPr>
                <w:rFonts w:ascii="Arial" w:hAnsi="Arial" w:cs="Arial"/>
                <w:sz w:val="18"/>
                <w:szCs w:val="18"/>
                <w:lang w:val="es-ES"/>
              </w:rPr>
              <w:t>90</w:t>
            </w:r>
          </w:p>
        </w:tc>
        <w:tc>
          <w:tcPr>
            <w:tcW w:w="1872" w:type="dxa"/>
            <w:tcBorders>
              <w:top w:val="nil"/>
              <w:left w:val="nil"/>
              <w:bottom w:val="single" w:sz="4" w:space="0" w:color="auto"/>
              <w:right w:val="single" w:sz="4" w:space="0" w:color="auto"/>
            </w:tcBorders>
            <w:vAlign w:val="bottom"/>
          </w:tcPr>
          <w:p w14:paraId="662EAEBD"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361</w:t>
            </w:r>
            <w:r w:rsidR="00D07EE7" w:rsidRPr="00C82BD1">
              <w:rPr>
                <w:rFonts w:ascii="Arial" w:hAnsi="Arial" w:cs="Arial"/>
                <w:sz w:val="18"/>
                <w:szCs w:val="18"/>
                <w:lang w:val="es-ES"/>
              </w:rPr>
              <w:t>.</w:t>
            </w:r>
            <w:r w:rsidRPr="00C82BD1">
              <w:rPr>
                <w:rFonts w:ascii="Arial" w:hAnsi="Arial" w:cs="Arial"/>
                <w:sz w:val="18"/>
                <w:szCs w:val="18"/>
                <w:lang w:val="es-ES"/>
              </w:rPr>
              <w:t>964</w:t>
            </w:r>
            <w:r w:rsidR="00D07EE7" w:rsidRPr="00C82BD1">
              <w:rPr>
                <w:rFonts w:ascii="Arial" w:hAnsi="Arial" w:cs="Arial"/>
                <w:sz w:val="18"/>
                <w:szCs w:val="18"/>
                <w:lang w:val="es-ES"/>
              </w:rPr>
              <w:t>,</w:t>
            </w:r>
            <w:r w:rsidRPr="00C82BD1">
              <w:rPr>
                <w:rFonts w:ascii="Arial" w:hAnsi="Arial" w:cs="Arial"/>
                <w:sz w:val="18"/>
                <w:szCs w:val="18"/>
                <w:lang w:val="es-ES"/>
              </w:rPr>
              <w:t>27</w:t>
            </w:r>
          </w:p>
        </w:tc>
      </w:tr>
      <w:tr w:rsidR="00A870F1" w:rsidRPr="00C82BD1" w14:paraId="662EAEC5" w14:textId="77777777" w:rsidTr="00E302A7">
        <w:trPr>
          <w:trHeight w:val="285"/>
          <w:jc w:val="center"/>
        </w:trPr>
        <w:tc>
          <w:tcPr>
            <w:tcW w:w="2939" w:type="dxa"/>
            <w:tcBorders>
              <w:top w:val="nil"/>
              <w:left w:val="single" w:sz="4" w:space="0" w:color="auto"/>
              <w:bottom w:val="single" w:sz="4" w:space="0" w:color="auto"/>
              <w:right w:val="single" w:sz="4" w:space="0" w:color="auto"/>
            </w:tcBorders>
            <w:noWrap/>
            <w:vAlign w:val="bottom"/>
            <w:hideMark/>
          </w:tcPr>
          <w:p w14:paraId="662EAEBF" w14:textId="77777777" w:rsidR="00A870F1" w:rsidRPr="00C82BD1" w:rsidRDefault="00A870F1" w:rsidP="00E302A7">
            <w:pPr>
              <w:spacing w:before="100" w:beforeAutospacing="1" w:after="120"/>
              <w:rPr>
                <w:rFonts w:ascii="Arial" w:eastAsiaTheme="minorHAnsi" w:hAnsi="Arial" w:cs="Arial"/>
                <w:sz w:val="18"/>
                <w:szCs w:val="18"/>
                <w:lang w:val="es-ES"/>
              </w:rPr>
            </w:pPr>
            <w:r w:rsidRPr="00C82BD1">
              <w:rPr>
                <w:rFonts w:ascii="Arial" w:hAnsi="Arial" w:cs="Arial"/>
                <w:bCs/>
                <w:sz w:val="18"/>
                <w:szCs w:val="18"/>
                <w:lang w:val="es-ES"/>
              </w:rPr>
              <w:t>Número de mujeres embarazadas</w:t>
            </w:r>
          </w:p>
        </w:tc>
        <w:tc>
          <w:tcPr>
            <w:tcW w:w="1457" w:type="dxa"/>
            <w:tcBorders>
              <w:top w:val="nil"/>
              <w:left w:val="nil"/>
              <w:bottom w:val="single" w:sz="4" w:space="0" w:color="auto"/>
              <w:right w:val="single" w:sz="4" w:space="0" w:color="auto"/>
            </w:tcBorders>
            <w:noWrap/>
            <w:vAlign w:val="bottom"/>
          </w:tcPr>
          <w:p w14:paraId="662EAEC0"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40</w:t>
            </w:r>
            <w:r w:rsidR="00F775EE" w:rsidRPr="00C82BD1">
              <w:rPr>
                <w:rFonts w:ascii="Arial" w:hAnsi="Arial" w:cs="Arial"/>
                <w:sz w:val="18"/>
                <w:szCs w:val="18"/>
                <w:lang w:val="es-ES"/>
              </w:rPr>
              <w:t>.</w:t>
            </w:r>
            <w:r w:rsidRPr="00C82BD1">
              <w:rPr>
                <w:rFonts w:ascii="Arial" w:hAnsi="Arial" w:cs="Arial"/>
                <w:sz w:val="18"/>
                <w:szCs w:val="18"/>
                <w:lang w:val="es-ES"/>
              </w:rPr>
              <w:t>988</w:t>
            </w:r>
            <w:r w:rsidR="00F775EE" w:rsidRPr="00C82BD1">
              <w:rPr>
                <w:rFonts w:ascii="Arial" w:hAnsi="Arial" w:cs="Arial"/>
                <w:sz w:val="18"/>
                <w:szCs w:val="18"/>
                <w:lang w:val="es-ES"/>
              </w:rPr>
              <w:t>,</w:t>
            </w:r>
            <w:r w:rsidRPr="00C82BD1">
              <w:rPr>
                <w:rFonts w:ascii="Arial" w:hAnsi="Arial" w:cs="Arial"/>
                <w:sz w:val="18"/>
                <w:szCs w:val="18"/>
                <w:lang w:val="es-ES"/>
              </w:rPr>
              <w:t>28</w:t>
            </w:r>
          </w:p>
        </w:tc>
        <w:tc>
          <w:tcPr>
            <w:tcW w:w="1077" w:type="dxa"/>
            <w:tcBorders>
              <w:top w:val="nil"/>
              <w:left w:val="nil"/>
              <w:bottom w:val="single" w:sz="4" w:space="0" w:color="auto"/>
              <w:right w:val="single" w:sz="4" w:space="0" w:color="auto"/>
            </w:tcBorders>
            <w:noWrap/>
            <w:vAlign w:val="bottom"/>
          </w:tcPr>
          <w:p w14:paraId="662EAEC1"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41</w:t>
            </w:r>
            <w:r w:rsidR="00F775EE" w:rsidRPr="00C82BD1">
              <w:rPr>
                <w:rFonts w:ascii="Arial" w:hAnsi="Arial" w:cs="Arial"/>
                <w:sz w:val="18"/>
                <w:szCs w:val="18"/>
                <w:lang w:val="es-ES"/>
              </w:rPr>
              <w:t>.</w:t>
            </w:r>
            <w:r w:rsidRPr="00C82BD1">
              <w:rPr>
                <w:rFonts w:ascii="Arial" w:hAnsi="Arial" w:cs="Arial"/>
                <w:sz w:val="18"/>
                <w:szCs w:val="18"/>
                <w:lang w:val="es-ES"/>
              </w:rPr>
              <w:t>471</w:t>
            </w:r>
            <w:r w:rsidR="00F775EE" w:rsidRPr="00C82BD1">
              <w:rPr>
                <w:rFonts w:ascii="Arial" w:hAnsi="Arial" w:cs="Arial"/>
                <w:sz w:val="18"/>
                <w:szCs w:val="18"/>
                <w:lang w:val="es-ES"/>
              </w:rPr>
              <w:t>,</w:t>
            </w:r>
            <w:r w:rsidRPr="00C82BD1">
              <w:rPr>
                <w:rFonts w:ascii="Arial" w:hAnsi="Arial" w:cs="Arial"/>
                <w:sz w:val="18"/>
                <w:szCs w:val="18"/>
                <w:lang w:val="es-ES"/>
              </w:rPr>
              <w:t>94</w:t>
            </w:r>
          </w:p>
        </w:tc>
        <w:tc>
          <w:tcPr>
            <w:tcW w:w="1623" w:type="dxa"/>
            <w:tcBorders>
              <w:top w:val="nil"/>
              <w:left w:val="nil"/>
              <w:bottom w:val="single" w:sz="4" w:space="0" w:color="auto"/>
              <w:right w:val="single" w:sz="4" w:space="0" w:color="auto"/>
            </w:tcBorders>
            <w:noWrap/>
            <w:vAlign w:val="bottom"/>
          </w:tcPr>
          <w:p w14:paraId="662EAEC2"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41</w:t>
            </w:r>
            <w:r w:rsidR="00DB7826" w:rsidRPr="00C82BD1">
              <w:rPr>
                <w:rFonts w:ascii="Arial" w:hAnsi="Arial" w:cs="Arial"/>
                <w:sz w:val="18"/>
                <w:szCs w:val="18"/>
                <w:lang w:val="es-ES"/>
              </w:rPr>
              <w:t>.</w:t>
            </w:r>
            <w:r w:rsidRPr="00C82BD1">
              <w:rPr>
                <w:rFonts w:ascii="Arial" w:hAnsi="Arial" w:cs="Arial"/>
                <w:sz w:val="18"/>
                <w:szCs w:val="18"/>
                <w:lang w:val="es-ES"/>
              </w:rPr>
              <w:t>961</w:t>
            </w:r>
            <w:r w:rsidR="00DB7826" w:rsidRPr="00C82BD1">
              <w:rPr>
                <w:rFonts w:ascii="Arial" w:hAnsi="Arial" w:cs="Arial"/>
                <w:sz w:val="18"/>
                <w:szCs w:val="18"/>
                <w:lang w:val="es-ES"/>
              </w:rPr>
              <w:t>,</w:t>
            </w:r>
            <w:r w:rsidRPr="00C82BD1">
              <w:rPr>
                <w:rFonts w:ascii="Arial" w:hAnsi="Arial" w:cs="Arial"/>
                <w:sz w:val="18"/>
                <w:szCs w:val="18"/>
                <w:lang w:val="es-ES"/>
              </w:rPr>
              <w:t>31</w:t>
            </w:r>
          </w:p>
        </w:tc>
        <w:tc>
          <w:tcPr>
            <w:tcW w:w="1444" w:type="dxa"/>
            <w:tcBorders>
              <w:top w:val="nil"/>
              <w:left w:val="nil"/>
              <w:bottom w:val="single" w:sz="4" w:space="0" w:color="auto"/>
              <w:right w:val="single" w:sz="4" w:space="0" w:color="auto"/>
            </w:tcBorders>
            <w:noWrap/>
            <w:vAlign w:val="bottom"/>
          </w:tcPr>
          <w:p w14:paraId="662EAEC3"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42</w:t>
            </w:r>
            <w:r w:rsidR="002E496E" w:rsidRPr="00C82BD1">
              <w:rPr>
                <w:rFonts w:ascii="Arial" w:hAnsi="Arial" w:cs="Arial"/>
                <w:sz w:val="18"/>
                <w:szCs w:val="18"/>
                <w:lang w:val="es-ES"/>
              </w:rPr>
              <w:t>.</w:t>
            </w:r>
            <w:r w:rsidRPr="00C82BD1">
              <w:rPr>
                <w:rFonts w:ascii="Arial" w:hAnsi="Arial" w:cs="Arial"/>
                <w:sz w:val="18"/>
                <w:szCs w:val="18"/>
                <w:lang w:val="es-ES"/>
              </w:rPr>
              <w:t>456</w:t>
            </w:r>
            <w:r w:rsidR="002E496E" w:rsidRPr="00C82BD1">
              <w:rPr>
                <w:rFonts w:ascii="Arial" w:hAnsi="Arial" w:cs="Arial"/>
                <w:sz w:val="18"/>
                <w:szCs w:val="18"/>
                <w:lang w:val="es-ES"/>
              </w:rPr>
              <w:t>,</w:t>
            </w:r>
            <w:r w:rsidRPr="00C82BD1">
              <w:rPr>
                <w:rFonts w:ascii="Arial" w:hAnsi="Arial" w:cs="Arial"/>
                <w:sz w:val="18"/>
                <w:szCs w:val="18"/>
                <w:lang w:val="es-ES"/>
              </w:rPr>
              <w:t>46</w:t>
            </w:r>
          </w:p>
        </w:tc>
        <w:tc>
          <w:tcPr>
            <w:tcW w:w="1872" w:type="dxa"/>
            <w:tcBorders>
              <w:top w:val="nil"/>
              <w:left w:val="nil"/>
              <w:bottom w:val="single" w:sz="4" w:space="0" w:color="auto"/>
              <w:right w:val="single" w:sz="4" w:space="0" w:color="auto"/>
            </w:tcBorders>
            <w:vAlign w:val="bottom"/>
          </w:tcPr>
          <w:p w14:paraId="662EAEC4"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42</w:t>
            </w:r>
            <w:r w:rsidR="00D07EE7" w:rsidRPr="00C82BD1">
              <w:rPr>
                <w:rFonts w:ascii="Arial" w:hAnsi="Arial" w:cs="Arial"/>
                <w:sz w:val="18"/>
                <w:szCs w:val="18"/>
                <w:lang w:val="es-ES"/>
              </w:rPr>
              <w:t>.</w:t>
            </w:r>
            <w:r w:rsidRPr="00C82BD1">
              <w:rPr>
                <w:rFonts w:ascii="Arial" w:hAnsi="Arial" w:cs="Arial"/>
                <w:sz w:val="18"/>
                <w:szCs w:val="18"/>
                <w:lang w:val="es-ES"/>
              </w:rPr>
              <w:t>957</w:t>
            </w:r>
            <w:r w:rsidR="00D07EE7" w:rsidRPr="00C82BD1">
              <w:rPr>
                <w:rFonts w:ascii="Arial" w:hAnsi="Arial" w:cs="Arial"/>
                <w:sz w:val="18"/>
                <w:szCs w:val="18"/>
                <w:lang w:val="es-ES"/>
              </w:rPr>
              <w:t>,</w:t>
            </w:r>
            <w:r w:rsidRPr="00C82BD1">
              <w:rPr>
                <w:rFonts w:ascii="Arial" w:hAnsi="Arial" w:cs="Arial"/>
                <w:sz w:val="18"/>
                <w:szCs w:val="18"/>
                <w:lang w:val="es-ES"/>
              </w:rPr>
              <w:t>44</w:t>
            </w:r>
          </w:p>
        </w:tc>
      </w:tr>
      <w:tr w:rsidR="00A870F1" w:rsidRPr="00C82BD1" w14:paraId="662EAECC" w14:textId="77777777" w:rsidTr="00DB7826">
        <w:trPr>
          <w:trHeight w:val="440"/>
          <w:jc w:val="center"/>
        </w:trPr>
        <w:tc>
          <w:tcPr>
            <w:tcW w:w="2939" w:type="dxa"/>
            <w:tcBorders>
              <w:top w:val="nil"/>
              <w:left w:val="single" w:sz="4" w:space="0" w:color="auto"/>
              <w:bottom w:val="single" w:sz="4" w:space="0" w:color="auto"/>
              <w:right w:val="single" w:sz="4" w:space="0" w:color="auto"/>
            </w:tcBorders>
            <w:noWrap/>
            <w:vAlign w:val="bottom"/>
            <w:hideMark/>
          </w:tcPr>
          <w:p w14:paraId="662EAEC6" w14:textId="77777777" w:rsidR="00A870F1" w:rsidRPr="00C82BD1" w:rsidRDefault="00A870F1" w:rsidP="00E302A7">
            <w:pPr>
              <w:spacing w:before="100" w:beforeAutospacing="1" w:after="120"/>
              <w:rPr>
                <w:rFonts w:ascii="Arial" w:eastAsiaTheme="minorHAnsi" w:hAnsi="Arial" w:cs="Arial"/>
                <w:sz w:val="18"/>
                <w:szCs w:val="18"/>
                <w:lang w:val="es-ES"/>
              </w:rPr>
            </w:pPr>
            <w:r w:rsidRPr="00C82BD1">
              <w:rPr>
                <w:rFonts w:ascii="Arial" w:hAnsi="Arial" w:cs="Arial"/>
                <w:bCs/>
                <w:sz w:val="18"/>
                <w:szCs w:val="18"/>
                <w:lang w:val="es-ES"/>
              </w:rPr>
              <w:t>Número de niños menores de dos años</w:t>
            </w:r>
          </w:p>
        </w:tc>
        <w:tc>
          <w:tcPr>
            <w:tcW w:w="1457" w:type="dxa"/>
            <w:tcBorders>
              <w:top w:val="nil"/>
              <w:left w:val="nil"/>
              <w:bottom w:val="single" w:sz="4" w:space="0" w:color="auto"/>
              <w:right w:val="single" w:sz="4" w:space="0" w:color="auto"/>
            </w:tcBorders>
            <w:noWrap/>
            <w:vAlign w:val="bottom"/>
          </w:tcPr>
          <w:p w14:paraId="662EAEC7"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68</w:t>
            </w:r>
            <w:r w:rsidR="00F775EE" w:rsidRPr="00C82BD1">
              <w:rPr>
                <w:rFonts w:ascii="Arial" w:hAnsi="Arial" w:cs="Arial"/>
                <w:sz w:val="18"/>
                <w:szCs w:val="18"/>
                <w:lang w:val="es-ES"/>
              </w:rPr>
              <w:t>.</w:t>
            </w:r>
            <w:r w:rsidRPr="00C82BD1">
              <w:rPr>
                <w:rFonts w:ascii="Arial" w:hAnsi="Arial" w:cs="Arial"/>
                <w:sz w:val="18"/>
                <w:szCs w:val="18"/>
                <w:lang w:val="es-ES"/>
              </w:rPr>
              <w:t>422</w:t>
            </w:r>
            <w:r w:rsidR="00F775EE" w:rsidRPr="00C82BD1">
              <w:rPr>
                <w:rFonts w:ascii="Arial" w:hAnsi="Arial" w:cs="Arial"/>
                <w:sz w:val="18"/>
                <w:szCs w:val="18"/>
                <w:lang w:val="es-ES"/>
              </w:rPr>
              <w:t>,</w:t>
            </w:r>
            <w:r w:rsidRPr="00C82BD1">
              <w:rPr>
                <w:rFonts w:ascii="Arial" w:hAnsi="Arial" w:cs="Arial"/>
                <w:sz w:val="18"/>
                <w:szCs w:val="18"/>
                <w:lang w:val="es-ES"/>
              </w:rPr>
              <w:t>38</w:t>
            </w:r>
          </w:p>
        </w:tc>
        <w:tc>
          <w:tcPr>
            <w:tcW w:w="1077" w:type="dxa"/>
            <w:tcBorders>
              <w:top w:val="nil"/>
              <w:left w:val="nil"/>
              <w:bottom w:val="single" w:sz="4" w:space="0" w:color="auto"/>
              <w:right w:val="single" w:sz="4" w:space="0" w:color="auto"/>
            </w:tcBorders>
            <w:noWrap/>
            <w:vAlign w:val="bottom"/>
          </w:tcPr>
          <w:p w14:paraId="662EAEC8"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69</w:t>
            </w:r>
            <w:r w:rsidR="00F775EE" w:rsidRPr="00C82BD1">
              <w:rPr>
                <w:rFonts w:ascii="Arial" w:hAnsi="Arial" w:cs="Arial"/>
                <w:sz w:val="18"/>
                <w:szCs w:val="18"/>
                <w:lang w:val="es-ES"/>
              </w:rPr>
              <w:t>.</w:t>
            </w:r>
            <w:r w:rsidRPr="00C82BD1">
              <w:rPr>
                <w:rFonts w:ascii="Arial" w:hAnsi="Arial" w:cs="Arial"/>
                <w:sz w:val="18"/>
                <w:szCs w:val="18"/>
                <w:lang w:val="es-ES"/>
              </w:rPr>
              <w:t>229</w:t>
            </w:r>
            <w:r w:rsidR="00F775EE" w:rsidRPr="00C82BD1">
              <w:rPr>
                <w:rFonts w:ascii="Arial" w:hAnsi="Arial" w:cs="Arial"/>
                <w:sz w:val="18"/>
                <w:szCs w:val="18"/>
                <w:lang w:val="es-ES"/>
              </w:rPr>
              <w:t>,</w:t>
            </w:r>
            <w:r w:rsidRPr="00C82BD1">
              <w:rPr>
                <w:rFonts w:ascii="Arial" w:hAnsi="Arial" w:cs="Arial"/>
                <w:sz w:val="18"/>
                <w:szCs w:val="18"/>
                <w:lang w:val="es-ES"/>
              </w:rPr>
              <w:t>77</w:t>
            </w:r>
          </w:p>
        </w:tc>
        <w:tc>
          <w:tcPr>
            <w:tcW w:w="1623" w:type="dxa"/>
            <w:tcBorders>
              <w:top w:val="nil"/>
              <w:left w:val="nil"/>
              <w:bottom w:val="single" w:sz="4" w:space="0" w:color="auto"/>
              <w:right w:val="single" w:sz="4" w:space="0" w:color="auto"/>
            </w:tcBorders>
            <w:noWrap/>
            <w:vAlign w:val="bottom"/>
          </w:tcPr>
          <w:p w14:paraId="662EAEC9"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70</w:t>
            </w:r>
            <w:r w:rsidR="00DB7826" w:rsidRPr="00C82BD1">
              <w:rPr>
                <w:rFonts w:ascii="Arial" w:hAnsi="Arial" w:cs="Arial"/>
                <w:sz w:val="18"/>
                <w:szCs w:val="18"/>
                <w:lang w:val="es-ES"/>
              </w:rPr>
              <w:t>.</w:t>
            </w:r>
            <w:r w:rsidRPr="00C82BD1">
              <w:rPr>
                <w:rFonts w:ascii="Arial" w:hAnsi="Arial" w:cs="Arial"/>
                <w:sz w:val="18"/>
                <w:szCs w:val="18"/>
                <w:lang w:val="es-ES"/>
              </w:rPr>
              <w:t>046</w:t>
            </w:r>
            <w:r w:rsidR="00DB7826" w:rsidRPr="00C82BD1">
              <w:rPr>
                <w:rFonts w:ascii="Arial" w:hAnsi="Arial" w:cs="Arial"/>
                <w:sz w:val="18"/>
                <w:szCs w:val="18"/>
                <w:lang w:val="es-ES"/>
              </w:rPr>
              <w:t>,</w:t>
            </w:r>
            <w:r w:rsidRPr="00C82BD1">
              <w:rPr>
                <w:rFonts w:ascii="Arial" w:hAnsi="Arial" w:cs="Arial"/>
                <w:sz w:val="18"/>
                <w:szCs w:val="18"/>
                <w:lang w:val="es-ES"/>
              </w:rPr>
              <w:t>68</w:t>
            </w:r>
          </w:p>
        </w:tc>
        <w:tc>
          <w:tcPr>
            <w:tcW w:w="1444" w:type="dxa"/>
            <w:tcBorders>
              <w:top w:val="nil"/>
              <w:left w:val="nil"/>
              <w:bottom w:val="single" w:sz="4" w:space="0" w:color="auto"/>
              <w:right w:val="single" w:sz="4" w:space="0" w:color="auto"/>
            </w:tcBorders>
            <w:noWrap/>
            <w:vAlign w:val="bottom"/>
          </w:tcPr>
          <w:p w14:paraId="662EAECA"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70</w:t>
            </w:r>
            <w:r w:rsidR="002E496E" w:rsidRPr="00C82BD1">
              <w:rPr>
                <w:rFonts w:ascii="Arial" w:hAnsi="Arial" w:cs="Arial"/>
                <w:sz w:val="18"/>
                <w:szCs w:val="18"/>
                <w:lang w:val="es-ES"/>
              </w:rPr>
              <w:t>.</w:t>
            </w:r>
            <w:r w:rsidRPr="00C82BD1">
              <w:rPr>
                <w:rFonts w:ascii="Arial" w:hAnsi="Arial" w:cs="Arial"/>
                <w:sz w:val="18"/>
                <w:szCs w:val="18"/>
                <w:lang w:val="es-ES"/>
              </w:rPr>
              <w:t>873</w:t>
            </w:r>
            <w:r w:rsidR="002E496E" w:rsidRPr="00C82BD1">
              <w:rPr>
                <w:rFonts w:ascii="Arial" w:hAnsi="Arial" w:cs="Arial"/>
                <w:sz w:val="18"/>
                <w:szCs w:val="18"/>
                <w:lang w:val="es-ES"/>
              </w:rPr>
              <w:t>,</w:t>
            </w:r>
            <w:r w:rsidRPr="00C82BD1">
              <w:rPr>
                <w:rFonts w:ascii="Arial" w:hAnsi="Arial" w:cs="Arial"/>
                <w:sz w:val="18"/>
                <w:szCs w:val="18"/>
                <w:lang w:val="es-ES"/>
              </w:rPr>
              <w:t>23</w:t>
            </w:r>
          </w:p>
        </w:tc>
        <w:tc>
          <w:tcPr>
            <w:tcW w:w="1872" w:type="dxa"/>
            <w:tcBorders>
              <w:top w:val="nil"/>
              <w:left w:val="nil"/>
              <w:bottom w:val="single" w:sz="4" w:space="0" w:color="auto"/>
              <w:right w:val="single" w:sz="4" w:space="0" w:color="auto"/>
            </w:tcBorders>
            <w:vAlign w:val="bottom"/>
          </w:tcPr>
          <w:p w14:paraId="662EAECB"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71</w:t>
            </w:r>
            <w:r w:rsidR="00D07EE7" w:rsidRPr="00C82BD1">
              <w:rPr>
                <w:rFonts w:ascii="Arial" w:hAnsi="Arial" w:cs="Arial"/>
                <w:sz w:val="18"/>
                <w:szCs w:val="18"/>
                <w:lang w:val="es-ES"/>
              </w:rPr>
              <w:t>.</w:t>
            </w:r>
            <w:r w:rsidRPr="00C82BD1">
              <w:rPr>
                <w:rFonts w:ascii="Arial" w:hAnsi="Arial" w:cs="Arial"/>
                <w:sz w:val="18"/>
                <w:szCs w:val="18"/>
                <w:lang w:val="es-ES"/>
              </w:rPr>
              <w:t>709</w:t>
            </w:r>
            <w:r w:rsidR="00D07EE7" w:rsidRPr="00C82BD1">
              <w:rPr>
                <w:rFonts w:ascii="Arial" w:hAnsi="Arial" w:cs="Arial"/>
                <w:sz w:val="18"/>
                <w:szCs w:val="18"/>
                <w:lang w:val="es-ES"/>
              </w:rPr>
              <w:t>,</w:t>
            </w:r>
            <w:r w:rsidRPr="00C82BD1">
              <w:rPr>
                <w:rFonts w:ascii="Arial" w:hAnsi="Arial" w:cs="Arial"/>
                <w:sz w:val="18"/>
                <w:szCs w:val="18"/>
                <w:lang w:val="es-ES"/>
              </w:rPr>
              <w:t>53</w:t>
            </w:r>
          </w:p>
        </w:tc>
      </w:tr>
      <w:tr w:rsidR="00A870F1" w:rsidRPr="00C82BD1" w14:paraId="662EAED3" w14:textId="77777777" w:rsidTr="00E302A7">
        <w:trPr>
          <w:trHeight w:val="285"/>
          <w:jc w:val="center"/>
        </w:trPr>
        <w:tc>
          <w:tcPr>
            <w:tcW w:w="2939" w:type="dxa"/>
            <w:tcBorders>
              <w:top w:val="nil"/>
              <w:left w:val="single" w:sz="4" w:space="0" w:color="auto"/>
              <w:bottom w:val="single" w:sz="4" w:space="0" w:color="auto"/>
              <w:right w:val="single" w:sz="4" w:space="0" w:color="auto"/>
            </w:tcBorders>
            <w:noWrap/>
            <w:vAlign w:val="bottom"/>
            <w:hideMark/>
          </w:tcPr>
          <w:p w14:paraId="662EAECD" w14:textId="77777777" w:rsidR="00A870F1" w:rsidRPr="00C82BD1" w:rsidRDefault="00A870F1" w:rsidP="00E302A7">
            <w:pPr>
              <w:spacing w:before="100" w:beforeAutospacing="1" w:after="120"/>
              <w:rPr>
                <w:rFonts w:ascii="Arial" w:eastAsiaTheme="minorHAnsi" w:hAnsi="Arial" w:cs="Arial"/>
                <w:sz w:val="18"/>
                <w:szCs w:val="18"/>
                <w:lang w:val="es-ES"/>
              </w:rPr>
            </w:pPr>
            <w:r w:rsidRPr="00C82BD1">
              <w:rPr>
                <w:rFonts w:ascii="Arial" w:hAnsi="Arial" w:cs="Arial"/>
                <w:bCs/>
                <w:sz w:val="18"/>
                <w:szCs w:val="18"/>
                <w:lang w:val="es-ES"/>
              </w:rPr>
              <w:t>Número de niños menores de seis años</w:t>
            </w:r>
          </w:p>
        </w:tc>
        <w:tc>
          <w:tcPr>
            <w:tcW w:w="1457" w:type="dxa"/>
            <w:tcBorders>
              <w:top w:val="nil"/>
              <w:left w:val="nil"/>
              <w:bottom w:val="single" w:sz="4" w:space="0" w:color="auto"/>
              <w:right w:val="single" w:sz="4" w:space="0" w:color="auto"/>
            </w:tcBorders>
            <w:noWrap/>
            <w:vAlign w:val="bottom"/>
          </w:tcPr>
          <w:p w14:paraId="662EAECE"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199</w:t>
            </w:r>
            <w:r w:rsidR="00F775EE" w:rsidRPr="00C82BD1">
              <w:rPr>
                <w:rFonts w:ascii="Arial" w:hAnsi="Arial" w:cs="Arial"/>
                <w:sz w:val="18"/>
                <w:szCs w:val="18"/>
                <w:lang w:val="es-ES"/>
              </w:rPr>
              <w:t>.</w:t>
            </w:r>
            <w:r w:rsidRPr="00C82BD1">
              <w:rPr>
                <w:rFonts w:ascii="Arial" w:hAnsi="Arial" w:cs="Arial"/>
                <w:sz w:val="18"/>
                <w:szCs w:val="18"/>
                <w:lang w:val="es-ES"/>
              </w:rPr>
              <w:t>600</w:t>
            </w:r>
            <w:r w:rsidR="00F775EE" w:rsidRPr="00C82BD1">
              <w:rPr>
                <w:rFonts w:ascii="Arial" w:hAnsi="Arial" w:cs="Arial"/>
                <w:sz w:val="18"/>
                <w:szCs w:val="18"/>
                <w:lang w:val="es-ES"/>
              </w:rPr>
              <w:t>,</w:t>
            </w:r>
            <w:r w:rsidRPr="00C82BD1">
              <w:rPr>
                <w:rFonts w:ascii="Arial" w:hAnsi="Arial" w:cs="Arial"/>
                <w:sz w:val="18"/>
                <w:szCs w:val="18"/>
                <w:lang w:val="es-ES"/>
              </w:rPr>
              <w:t>15</w:t>
            </w:r>
          </w:p>
        </w:tc>
        <w:tc>
          <w:tcPr>
            <w:tcW w:w="1077" w:type="dxa"/>
            <w:tcBorders>
              <w:top w:val="nil"/>
              <w:left w:val="nil"/>
              <w:bottom w:val="single" w:sz="4" w:space="0" w:color="auto"/>
              <w:right w:val="single" w:sz="4" w:space="0" w:color="auto"/>
            </w:tcBorders>
            <w:noWrap/>
            <w:vAlign w:val="bottom"/>
          </w:tcPr>
          <w:p w14:paraId="662EAECF"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201</w:t>
            </w:r>
            <w:r w:rsidR="00DB7826" w:rsidRPr="00C82BD1">
              <w:rPr>
                <w:rFonts w:ascii="Arial" w:hAnsi="Arial" w:cs="Arial"/>
                <w:sz w:val="18"/>
                <w:szCs w:val="18"/>
                <w:lang w:val="es-ES"/>
              </w:rPr>
              <w:t>.</w:t>
            </w:r>
            <w:r w:rsidRPr="00C82BD1">
              <w:rPr>
                <w:rFonts w:ascii="Arial" w:hAnsi="Arial" w:cs="Arial"/>
                <w:sz w:val="18"/>
                <w:szCs w:val="18"/>
                <w:lang w:val="es-ES"/>
              </w:rPr>
              <w:t>955</w:t>
            </w:r>
            <w:r w:rsidR="00DB7826" w:rsidRPr="00C82BD1">
              <w:rPr>
                <w:rFonts w:ascii="Arial" w:hAnsi="Arial" w:cs="Arial"/>
                <w:sz w:val="18"/>
                <w:szCs w:val="18"/>
                <w:lang w:val="es-ES"/>
              </w:rPr>
              <w:t>,</w:t>
            </w:r>
            <w:r w:rsidRPr="00C82BD1">
              <w:rPr>
                <w:rFonts w:ascii="Arial" w:hAnsi="Arial" w:cs="Arial"/>
                <w:sz w:val="18"/>
                <w:szCs w:val="18"/>
                <w:lang w:val="es-ES"/>
              </w:rPr>
              <w:t>43</w:t>
            </w:r>
          </w:p>
        </w:tc>
        <w:tc>
          <w:tcPr>
            <w:tcW w:w="1623" w:type="dxa"/>
            <w:tcBorders>
              <w:top w:val="nil"/>
              <w:left w:val="nil"/>
              <w:bottom w:val="single" w:sz="4" w:space="0" w:color="auto"/>
              <w:right w:val="single" w:sz="4" w:space="0" w:color="auto"/>
            </w:tcBorders>
            <w:noWrap/>
            <w:vAlign w:val="bottom"/>
          </w:tcPr>
          <w:p w14:paraId="662EAED0"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204</w:t>
            </w:r>
            <w:r w:rsidR="00DB7826" w:rsidRPr="00C82BD1">
              <w:rPr>
                <w:rFonts w:ascii="Arial" w:hAnsi="Arial" w:cs="Arial"/>
                <w:sz w:val="18"/>
                <w:szCs w:val="18"/>
                <w:lang w:val="es-ES"/>
              </w:rPr>
              <w:t>.338,</w:t>
            </w:r>
            <w:r w:rsidRPr="00C82BD1">
              <w:rPr>
                <w:rFonts w:ascii="Arial" w:hAnsi="Arial" w:cs="Arial"/>
                <w:sz w:val="18"/>
                <w:szCs w:val="18"/>
                <w:lang w:val="es-ES"/>
              </w:rPr>
              <w:t>51</w:t>
            </w:r>
          </w:p>
        </w:tc>
        <w:tc>
          <w:tcPr>
            <w:tcW w:w="1444" w:type="dxa"/>
            <w:tcBorders>
              <w:top w:val="nil"/>
              <w:left w:val="nil"/>
              <w:bottom w:val="single" w:sz="4" w:space="0" w:color="auto"/>
              <w:right w:val="single" w:sz="4" w:space="0" w:color="auto"/>
            </w:tcBorders>
            <w:noWrap/>
            <w:vAlign w:val="bottom"/>
          </w:tcPr>
          <w:p w14:paraId="662EAED1"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206</w:t>
            </w:r>
            <w:r w:rsidR="002E496E" w:rsidRPr="00C82BD1">
              <w:rPr>
                <w:rFonts w:ascii="Arial" w:hAnsi="Arial" w:cs="Arial"/>
                <w:sz w:val="18"/>
                <w:szCs w:val="18"/>
                <w:lang w:val="es-ES"/>
              </w:rPr>
              <w:t>.</w:t>
            </w:r>
            <w:r w:rsidRPr="00C82BD1">
              <w:rPr>
                <w:rFonts w:ascii="Arial" w:hAnsi="Arial" w:cs="Arial"/>
                <w:sz w:val="18"/>
                <w:szCs w:val="18"/>
                <w:lang w:val="es-ES"/>
              </w:rPr>
              <w:t>749</w:t>
            </w:r>
            <w:r w:rsidR="002E496E" w:rsidRPr="00C82BD1">
              <w:rPr>
                <w:rFonts w:ascii="Arial" w:hAnsi="Arial" w:cs="Arial"/>
                <w:sz w:val="18"/>
                <w:szCs w:val="18"/>
                <w:lang w:val="es-ES"/>
              </w:rPr>
              <w:t>,</w:t>
            </w:r>
            <w:r w:rsidRPr="00C82BD1">
              <w:rPr>
                <w:rFonts w:ascii="Arial" w:hAnsi="Arial" w:cs="Arial"/>
                <w:sz w:val="18"/>
                <w:szCs w:val="18"/>
                <w:lang w:val="es-ES"/>
              </w:rPr>
              <w:t>70</w:t>
            </w:r>
          </w:p>
        </w:tc>
        <w:tc>
          <w:tcPr>
            <w:tcW w:w="1872" w:type="dxa"/>
            <w:tcBorders>
              <w:top w:val="nil"/>
              <w:left w:val="nil"/>
              <w:bottom w:val="single" w:sz="4" w:space="0" w:color="auto"/>
              <w:right w:val="single" w:sz="4" w:space="0" w:color="auto"/>
            </w:tcBorders>
            <w:vAlign w:val="bottom"/>
          </w:tcPr>
          <w:p w14:paraId="662EAED2" w14:textId="77777777" w:rsidR="00A870F1" w:rsidRPr="00C82BD1" w:rsidRDefault="00A870F1" w:rsidP="00E302A7">
            <w:pPr>
              <w:widowControl w:val="0"/>
              <w:jc w:val="center"/>
              <w:rPr>
                <w:rFonts w:ascii="Arial" w:hAnsi="Arial" w:cs="Arial"/>
                <w:sz w:val="18"/>
                <w:szCs w:val="18"/>
                <w:lang w:val="es-ES"/>
              </w:rPr>
            </w:pPr>
            <w:r w:rsidRPr="00C82BD1">
              <w:rPr>
                <w:rFonts w:ascii="Arial" w:hAnsi="Arial" w:cs="Arial"/>
                <w:sz w:val="18"/>
                <w:szCs w:val="18"/>
                <w:lang w:val="es-ES"/>
              </w:rPr>
              <w:t>209</w:t>
            </w:r>
            <w:r w:rsidR="00D07EE7" w:rsidRPr="00C82BD1">
              <w:rPr>
                <w:rFonts w:ascii="Arial" w:hAnsi="Arial" w:cs="Arial"/>
                <w:sz w:val="18"/>
                <w:szCs w:val="18"/>
                <w:lang w:val="es-ES"/>
              </w:rPr>
              <w:t>.</w:t>
            </w:r>
            <w:r w:rsidRPr="00C82BD1">
              <w:rPr>
                <w:rFonts w:ascii="Arial" w:hAnsi="Arial" w:cs="Arial"/>
                <w:sz w:val="18"/>
                <w:szCs w:val="18"/>
                <w:lang w:val="es-ES"/>
              </w:rPr>
              <w:t>189</w:t>
            </w:r>
            <w:r w:rsidR="00D07EE7" w:rsidRPr="00C82BD1">
              <w:rPr>
                <w:rFonts w:ascii="Arial" w:hAnsi="Arial" w:cs="Arial"/>
                <w:sz w:val="18"/>
                <w:szCs w:val="18"/>
                <w:lang w:val="es-ES"/>
              </w:rPr>
              <w:t>,</w:t>
            </w:r>
            <w:r w:rsidRPr="00C82BD1">
              <w:rPr>
                <w:rFonts w:ascii="Arial" w:hAnsi="Arial" w:cs="Arial"/>
                <w:sz w:val="18"/>
                <w:szCs w:val="18"/>
                <w:lang w:val="es-ES"/>
              </w:rPr>
              <w:t>35</w:t>
            </w:r>
          </w:p>
        </w:tc>
      </w:tr>
    </w:tbl>
    <w:p w14:paraId="662EAED4" w14:textId="77777777" w:rsidR="00A870F1" w:rsidRPr="00C82BD1" w:rsidRDefault="00A870F1" w:rsidP="009203F9">
      <w:pPr>
        <w:widowControl w:val="0"/>
        <w:spacing w:before="60"/>
        <w:jc w:val="center"/>
        <w:rPr>
          <w:rFonts w:ascii="Arial" w:hAnsi="Arial" w:cs="Arial"/>
          <w:sz w:val="18"/>
          <w:szCs w:val="22"/>
          <w:lang w:val="es-ES"/>
        </w:rPr>
      </w:pPr>
      <w:r w:rsidRPr="00C82BD1">
        <w:rPr>
          <w:rFonts w:ascii="Arial" w:hAnsi="Arial" w:cs="Arial"/>
          <w:sz w:val="18"/>
          <w:szCs w:val="22"/>
          <w:lang w:val="es-ES"/>
        </w:rPr>
        <w:t>Fuente: Elaboración propia con información del MINSA y arrojado por el NI-L1095</w:t>
      </w:r>
    </w:p>
    <w:p w14:paraId="662EAED5" w14:textId="77777777" w:rsidR="00EA22E9" w:rsidRPr="00C82BD1" w:rsidRDefault="00EA22E9" w:rsidP="00162A70">
      <w:pPr>
        <w:pStyle w:val="Heading1"/>
        <w:rPr>
          <w:lang w:val="es-ES"/>
        </w:rPr>
      </w:pPr>
      <w:r w:rsidRPr="00C82BD1">
        <w:rPr>
          <w:lang w:val="es-ES"/>
        </w:rPr>
        <w:lastRenderedPageBreak/>
        <w:t>Análisis económico</w:t>
      </w:r>
      <w:bookmarkEnd w:id="4"/>
    </w:p>
    <w:p w14:paraId="662EAED6" w14:textId="77777777" w:rsidR="00FA7A50" w:rsidRPr="00C82BD1" w:rsidRDefault="00FA7A50" w:rsidP="009203F9">
      <w:pPr>
        <w:spacing w:before="120" w:after="120"/>
        <w:jc w:val="both"/>
        <w:rPr>
          <w:rFonts w:ascii="Arial" w:hAnsi="Arial" w:cs="Arial"/>
          <w:sz w:val="22"/>
          <w:szCs w:val="22"/>
          <w:lang w:val="es-ES"/>
        </w:rPr>
      </w:pPr>
      <w:r w:rsidRPr="00C82BD1">
        <w:rPr>
          <w:rFonts w:ascii="Arial" w:hAnsi="Arial" w:cs="Arial"/>
          <w:sz w:val="22"/>
          <w:szCs w:val="22"/>
          <w:lang w:val="es-ES"/>
        </w:rPr>
        <w:t>El análisis económico considera los beneficios que derivan de una mayor cobertura, calidad y continuidad de los servicios de salud en las áreas priorizadas, junto con los beneficios de las mejoras en</w:t>
      </w:r>
      <w:r w:rsidR="00B33083">
        <w:rPr>
          <w:rFonts w:ascii="Arial" w:hAnsi="Arial" w:cs="Arial"/>
          <w:sz w:val="22"/>
          <w:szCs w:val="22"/>
          <w:lang w:val="es-ES"/>
        </w:rPr>
        <w:t xml:space="preserve"> la calidad de agua consumida en el hogar</w:t>
      </w:r>
      <w:r w:rsidRPr="00C82BD1">
        <w:rPr>
          <w:rFonts w:ascii="Arial" w:hAnsi="Arial" w:cs="Arial"/>
          <w:sz w:val="22"/>
          <w:szCs w:val="22"/>
          <w:lang w:val="es-ES"/>
        </w:rPr>
        <w:t xml:space="preserve">.  Más específicamente, se espera como beneficios: </w:t>
      </w:r>
    </w:p>
    <w:p w14:paraId="662EAED7" w14:textId="77777777" w:rsidR="002D2A10" w:rsidRPr="00853F78" w:rsidRDefault="002D2A10" w:rsidP="009203F9">
      <w:pPr>
        <w:pStyle w:val="ListParagraph"/>
        <w:numPr>
          <w:ilvl w:val="0"/>
          <w:numId w:val="15"/>
        </w:numPr>
        <w:spacing w:before="120" w:after="40" w:line="240" w:lineRule="auto"/>
        <w:contextualSpacing w:val="0"/>
        <w:jc w:val="both"/>
        <w:rPr>
          <w:rFonts w:ascii="Arial" w:hAnsi="Arial" w:cs="Arial"/>
          <w:lang w:val="es-ES"/>
        </w:rPr>
      </w:pPr>
      <w:r w:rsidRPr="00C82BD1">
        <w:rPr>
          <w:rFonts w:ascii="Arial" w:hAnsi="Arial" w:cs="Arial"/>
          <w:lang w:val="es-ES"/>
        </w:rPr>
        <w:t>para el caso de mantenimiento vial, ahorros en tiempo empleado en el viaje y tiempo de retraso</w:t>
      </w:r>
      <w:r w:rsidRPr="00C82BD1">
        <w:rPr>
          <w:rFonts w:ascii="Arial Narrow" w:hAnsi="Arial Narrow"/>
          <w:lang w:val="es-ES"/>
        </w:rPr>
        <w:t xml:space="preserve"> </w:t>
      </w:r>
    </w:p>
    <w:p w14:paraId="662EAED8" w14:textId="77777777" w:rsidR="00E32A6A" w:rsidRPr="00C82BD1" w:rsidRDefault="00E32A6A" w:rsidP="00E32A6A">
      <w:pPr>
        <w:pStyle w:val="ListParagraph"/>
        <w:numPr>
          <w:ilvl w:val="0"/>
          <w:numId w:val="15"/>
        </w:numPr>
        <w:spacing w:before="120" w:after="120"/>
        <w:contextualSpacing w:val="0"/>
        <w:jc w:val="both"/>
        <w:rPr>
          <w:rFonts w:ascii="Arial" w:hAnsi="Arial" w:cs="Arial"/>
          <w:lang w:val="es-ES"/>
        </w:rPr>
      </w:pPr>
      <w:r w:rsidRPr="00C82BD1">
        <w:rPr>
          <w:rFonts w:ascii="Arial" w:hAnsi="Arial" w:cs="Arial"/>
          <w:lang w:val="es-ES"/>
        </w:rPr>
        <w:t>para el caso de mejoras</w:t>
      </w:r>
      <w:r>
        <w:rPr>
          <w:rFonts w:ascii="Arial" w:hAnsi="Arial" w:cs="Arial"/>
          <w:lang w:val="es-ES"/>
        </w:rPr>
        <w:t xml:space="preserve"> en la calidad del agua y prácticas saludables en entorno, </w:t>
      </w:r>
      <w:r w:rsidRPr="00C82BD1">
        <w:rPr>
          <w:rFonts w:ascii="Arial" w:hAnsi="Arial" w:cs="Arial"/>
          <w:lang w:val="es-ES"/>
        </w:rPr>
        <w:t>beneficios por</w:t>
      </w:r>
      <w:r>
        <w:rPr>
          <w:rFonts w:ascii="Arial" w:hAnsi="Arial" w:cs="Arial"/>
          <w:lang w:val="es-ES"/>
        </w:rPr>
        <w:t xml:space="preserve"> una reducción</w:t>
      </w:r>
      <w:r w:rsidR="00B33083">
        <w:rPr>
          <w:rFonts w:ascii="Arial" w:hAnsi="Arial" w:cs="Arial"/>
          <w:lang w:val="es-ES"/>
        </w:rPr>
        <w:t xml:space="preserve"> de Enfermedades Diarreicas Agu</w:t>
      </w:r>
      <w:r>
        <w:rPr>
          <w:rFonts w:ascii="Arial" w:hAnsi="Arial" w:cs="Arial"/>
          <w:lang w:val="es-ES"/>
        </w:rPr>
        <w:t>das en menores cinco años</w:t>
      </w:r>
      <w:r w:rsidRPr="00C82BD1">
        <w:rPr>
          <w:rFonts w:ascii="Arial" w:hAnsi="Arial" w:cs="Arial"/>
          <w:lang w:val="es-ES"/>
        </w:rPr>
        <w:t>.</w:t>
      </w:r>
    </w:p>
    <w:p w14:paraId="662EAED9" w14:textId="77777777" w:rsidR="00FA7A50" w:rsidRPr="00C82BD1" w:rsidRDefault="00FA7A50" w:rsidP="004004CF">
      <w:pPr>
        <w:pStyle w:val="ListParagraph"/>
        <w:numPr>
          <w:ilvl w:val="0"/>
          <w:numId w:val="15"/>
        </w:numPr>
        <w:spacing w:before="40" w:after="120" w:line="240" w:lineRule="auto"/>
        <w:contextualSpacing w:val="0"/>
        <w:jc w:val="both"/>
        <w:rPr>
          <w:rFonts w:ascii="Arial" w:hAnsi="Arial" w:cs="Arial"/>
          <w:lang w:val="es-ES"/>
        </w:rPr>
      </w:pPr>
      <w:r w:rsidRPr="00C82BD1">
        <w:rPr>
          <w:rFonts w:ascii="Arial" w:hAnsi="Arial" w:cs="Arial"/>
          <w:lang w:val="es-ES"/>
        </w:rPr>
        <w:t>para el caso de mejoras a la provisión de los servicios de salud, una reducción de años de vida aju</w:t>
      </w:r>
      <w:r w:rsidR="009203F9" w:rsidRPr="00C82BD1">
        <w:rPr>
          <w:rFonts w:ascii="Arial" w:hAnsi="Arial" w:cs="Arial"/>
          <w:lang w:val="es-ES"/>
        </w:rPr>
        <w:t>stados por discapacidad (AVADs).</w:t>
      </w:r>
    </w:p>
    <w:p w14:paraId="662EAEDA" w14:textId="77777777" w:rsidR="00EA22E9" w:rsidRPr="00C82BD1" w:rsidRDefault="00EA22E9" w:rsidP="009203F9">
      <w:pPr>
        <w:autoSpaceDE w:val="0"/>
        <w:autoSpaceDN w:val="0"/>
        <w:adjustRightInd w:val="0"/>
        <w:spacing w:before="120" w:after="120"/>
        <w:contextualSpacing/>
        <w:jc w:val="both"/>
        <w:rPr>
          <w:rFonts w:ascii="Arial" w:hAnsi="Arial" w:cs="Arial"/>
          <w:sz w:val="22"/>
          <w:szCs w:val="22"/>
          <w:lang w:val="es-ES"/>
        </w:rPr>
      </w:pPr>
      <w:r w:rsidRPr="00C82BD1">
        <w:rPr>
          <w:rFonts w:ascii="Arial" w:hAnsi="Arial" w:cs="Arial"/>
          <w:sz w:val="22"/>
          <w:szCs w:val="22"/>
          <w:lang w:val="es-ES"/>
        </w:rPr>
        <w:t>El enfoque aquí desarrollado ha sido utilizado anteriormente para analizar la relación costo-beneficio de varios proyectos financiados por el Banco</w:t>
      </w:r>
      <w:r w:rsidR="002D2A10" w:rsidRPr="00C82BD1">
        <w:rPr>
          <w:rFonts w:ascii="Arial" w:hAnsi="Arial" w:cs="Arial"/>
          <w:sz w:val="22"/>
          <w:szCs w:val="22"/>
          <w:lang w:val="es-ES"/>
        </w:rPr>
        <w:t>, incluyendo: (A) para el caso del análisis de beneficios en términos de tiempo emplado en viajes y tiempos de retrasos, en la justificación del proyecto de habilitación del acceso vial Quilalí – Empalme Panalí – Wiwilí de Nueva Segovia, y en el PN-L1047 en Panamá;</w:t>
      </w:r>
      <w:r w:rsidR="00C463ED">
        <w:rPr>
          <w:rFonts w:ascii="Arial" w:hAnsi="Arial" w:cs="Arial"/>
          <w:sz w:val="22"/>
          <w:szCs w:val="22"/>
          <w:lang w:val="es-ES"/>
        </w:rPr>
        <w:t xml:space="preserve"> y  </w:t>
      </w:r>
      <w:r w:rsidR="002D2A10" w:rsidRPr="00C82BD1">
        <w:rPr>
          <w:rFonts w:ascii="Arial" w:hAnsi="Arial" w:cs="Arial"/>
          <w:sz w:val="22"/>
          <w:szCs w:val="22"/>
          <w:lang w:val="es-ES"/>
        </w:rPr>
        <w:t>(</w:t>
      </w:r>
      <w:r w:rsidR="00C463ED">
        <w:rPr>
          <w:rFonts w:ascii="Arial" w:hAnsi="Arial" w:cs="Arial"/>
          <w:sz w:val="22"/>
          <w:szCs w:val="22"/>
          <w:lang w:val="es-ES"/>
        </w:rPr>
        <w:t>B</w:t>
      </w:r>
      <w:r w:rsidR="00FA7A50" w:rsidRPr="00C82BD1">
        <w:rPr>
          <w:rFonts w:ascii="Arial" w:hAnsi="Arial" w:cs="Arial"/>
          <w:sz w:val="22"/>
          <w:szCs w:val="22"/>
          <w:lang w:val="es-ES"/>
        </w:rPr>
        <w:t xml:space="preserve">) para el caso del análisis de beneficios en términos de AVADs, el </w:t>
      </w:r>
      <w:r w:rsidR="00844315" w:rsidRPr="00C82BD1">
        <w:rPr>
          <w:rFonts w:ascii="Arial" w:hAnsi="Arial" w:cs="Arial"/>
          <w:sz w:val="22"/>
          <w:szCs w:val="22"/>
          <w:lang w:val="es-ES"/>
        </w:rPr>
        <w:t>NI-L1095</w:t>
      </w:r>
      <w:r w:rsidR="00FA7A50" w:rsidRPr="00C82BD1">
        <w:rPr>
          <w:rFonts w:ascii="Arial" w:hAnsi="Arial" w:cs="Arial"/>
          <w:sz w:val="22"/>
          <w:szCs w:val="22"/>
          <w:lang w:val="es-ES"/>
        </w:rPr>
        <w:t xml:space="preserve"> en Nicaragua</w:t>
      </w:r>
      <w:r w:rsidR="00844315" w:rsidRPr="00C82BD1">
        <w:rPr>
          <w:rFonts w:ascii="Arial" w:hAnsi="Arial" w:cs="Arial"/>
          <w:sz w:val="22"/>
          <w:szCs w:val="22"/>
          <w:lang w:val="es-ES"/>
        </w:rPr>
        <w:t>,</w:t>
      </w:r>
      <w:r w:rsidRPr="00C82BD1">
        <w:rPr>
          <w:rFonts w:ascii="Arial" w:hAnsi="Arial" w:cs="Arial"/>
          <w:sz w:val="22"/>
          <w:szCs w:val="22"/>
          <w:lang w:val="es-ES"/>
        </w:rPr>
        <w:t xml:space="preserve"> </w:t>
      </w:r>
      <w:r w:rsidR="00FA7A50" w:rsidRPr="00C82BD1">
        <w:rPr>
          <w:rFonts w:ascii="Arial" w:hAnsi="Arial" w:cs="Arial"/>
          <w:sz w:val="22"/>
          <w:szCs w:val="22"/>
          <w:lang w:val="es-ES"/>
        </w:rPr>
        <w:t>el</w:t>
      </w:r>
      <w:r w:rsidRPr="00C82BD1">
        <w:rPr>
          <w:rFonts w:ascii="Arial" w:hAnsi="Arial" w:cs="Arial"/>
          <w:sz w:val="22"/>
          <w:szCs w:val="22"/>
          <w:lang w:val="es-ES"/>
        </w:rPr>
        <w:t xml:space="preserve"> BR-L1414 y BR-L1408 en </w:t>
      </w:r>
      <w:r w:rsidR="00FA7A50" w:rsidRPr="00C82BD1">
        <w:rPr>
          <w:rFonts w:ascii="Arial" w:hAnsi="Arial" w:cs="Arial"/>
          <w:sz w:val="22"/>
          <w:szCs w:val="22"/>
          <w:lang w:val="es-ES"/>
        </w:rPr>
        <w:t>Brasil</w:t>
      </w:r>
      <w:r w:rsidRPr="00C82BD1">
        <w:rPr>
          <w:rFonts w:ascii="Arial" w:hAnsi="Arial" w:cs="Arial"/>
          <w:sz w:val="22"/>
          <w:szCs w:val="22"/>
          <w:lang w:val="es-ES"/>
        </w:rPr>
        <w:t>, y en El Salvador bajo el marco del ES-L1095. Este enfoque permite cuantificar los beneficios de programas que incluyen varias intervenciones</w:t>
      </w:r>
      <w:bookmarkStart w:id="5" w:name="_Toc296257186"/>
      <w:r w:rsidRPr="00C82BD1">
        <w:rPr>
          <w:rFonts w:ascii="Arial" w:hAnsi="Arial" w:cs="Arial"/>
          <w:sz w:val="22"/>
          <w:szCs w:val="22"/>
          <w:lang w:val="es-ES"/>
        </w:rPr>
        <w:t xml:space="preserve"> que fortalecen a una red de servicios de salud</w:t>
      </w:r>
      <w:r w:rsidR="00EE25C9" w:rsidRPr="00C82BD1">
        <w:rPr>
          <w:rFonts w:ascii="Arial" w:hAnsi="Arial" w:cs="Arial"/>
          <w:sz w:val="22"/>
          <w:szCs w:val="22"/>
          <w:lang w:val="es-ES"/>
        </w:rPr>
        <w:t>.</w:t>
      </w:r>
    </w:p>
    <w:p w14:paraId="662EAEDB" w14:textId="77777777" w:rsidR="00BE5792" w:rsidRPr="00C82BD1" w:rsidRDefault="00BE5792" w:rsidP="00EA22E9">
      <w:pPr>
        <w:autoSpaceDE w:val="0"/>
        <w:autoSpaceDN w:val="0"/>
        <w:adjustRightInd w:val="0"/>
        <w:spacing w:before="120" w:after="120"/>
        <w:contextualSpacing/>
        <w:jc w:val="both"/>
        <w:rPr>
          <w:rFonts w:ascii="Arial" w:hAnsi="Arial" w:cs="Arial"/>
          <w:sz w:val="22"/>
          <w:szCs w:val="22"/>
          <w:lang w:val="es-ES"/>
        </w:rPr>
      </w:pPr>
    </w:p>
    <w:p w14:paraId="662EAEDC" w14:textId="77777777" w:rsidR="00EA22E9" w:rsidRPr="00C82BD1" w:rsidRDefault="00EA22E9" w:rsidP="001742E0">
      <w:pPr>
        <w:pStyle w:val="Heading2"/>
      </w:pPr>
      <w:bookmarkStart w:id="6" w:name="_Toc430331019"/>
      <w:bookmarkStart w:id="7" w:name="_Toc296257187"/>
      <w:bookmarkStart w:id="8" w:name="_Toc429421751"/>
      <w:bookmarkEnd w:id="5"/>
      <w:r w:rsidRPr="00C82BD1">
        <w:t>Costos</w:t>
      </w:r>
      <w:bookmarkEnd w:id="6"/>
    </w:p>
    <w:p w14:paraId="662EAEDD" w14:textId="77777777" w:rsidR="00EA22E9" w:rsidRDefault="002906DE" w:rsidP="004004CF">
      <w:pPr>
        <w:spacing w:before="120" w:after="120"/>
        <w:jc w:val="both"/>
        <w:rPr>
          <w:rFonts w:ascii="Arial" w:hAnsi="Arial" w:cs="Arial"/>
          <w:sz w:val="22"/>
          <w:szCs w:val="22"/>
          <w:lang w:val="es-ES"/>
        </w:rPr>
      </w:pPr>
      <w:r w:rsidRPr="00C82BD1">
        <w:rPr>
          <w:rFonts w:ascii="Arial" w:hAnsi="Arial" w:cs="Arial"/>
          <w:sz w:val="22"/>
          <w:szCs w:val="22"/>
          <w:lang w:val="es-ES"/>
        </w:rPr>
        <w:t>En esta sección, se analiza el costo de</w:t>
      </w:r>
      <w:r w:rsidR="00752C59" w:rsidRPr="00C82BD1">
        <w:rPr>
          <w:rFonts w:ascii="Arial" w:hAnsi="Arial" w:cs="Arial"/>
          <w:sz w:val="22"/>
          <w:szCs w:val="22"/>
          <w:lang w:val="es-ES"/>
        </w:rPr>
        <w:t xml:space="preserve"> la gestión territorial de determinantes de salud, incluyendo el fortalecimiento institucional de micro-empresas de mantenimiento vial</w:t>
      </w:r>
      <w:r w:rsidR="00385ACC">
        <w:rPr>
          <w:rFonts w:ascii="Arial" w:hAnsi="Arial" w:cs="Arial"/>
          <w:sz w:val="22"/>
          <w:szCs w:val="22"/>
          <w:lang w:val="es-ES"/>
        </w:rPr>
        <w:t xml:space="preserve"> y las intervenciones en salud</w:t>
      </w:r>
      <w:r w:rsidRPr="00C82BD1">
        <w:rPr>
          <w:rFonts w:ascii="Arial" w:hAnsi="Arial" w:cs="Arial"/>
          <w:sz w:val="22"/>
          <w:szCs w:val="22"/>
          <w:lang w:val="es-ES"/>
        </w:rPr>
        <w:t>, financiad</w:t>
      </w:r>
      <w:r w:rsidR="00385ACC">
        <w:rPr>
          <w:rFonts w:ascii="Arial" w:hAnsi="Arial" w:cs="Arial"/>
          <w:sz w:val="22"/>
          <w:szCs w:val="22"/>
          <w:lang w:val="es-ES"/>
        </w:rPr>
        <w:t>as</w:t>
      </w:r>
      <w:r w:rsidRPr="00C82BD1">
        <w:rPr>
          <w:rFonts w:ascii="Arial" w:hAnsi="Arial" w:cs="Arial"/>
          <w:sz w:val="22"/>
          <w:szCs w:val="22"/>
          <w:lang w:val="es-ES"/>
        </w:rPr>
        <w:t xml:space="preserve"> bajo el marco del Componente 1</w:t>
      </w:r>
      <w:r w:rsidR="009F4B93" w:rsidRPr="00C82BD1">
        <w:rPr>
          <w:rFonts w:ascii="Arial" w:hAnsi="Arial" w:cs="Arial"/>
          <w:sz w:val="22"/>
          <w:szCs w:val="22"/>
          <w:lang w:val="es-ES"/>
        </w:rPr>
        <w:t xml:space="preserve"> de la operación</w:t>
      </w:r>
      <w:r w:rsidRPr="00C82BD1">
        <w:rPr>
          <w:rFonts w:ascii="Arial" w:hAnsi="Arial" w:cs="Arial"/>
          <w:sz w:val="22"/>
          <w:szCs w:val="22"/>
          <w:lang w:val="es-ES"/>
        </w:rPr>
        <w:t>, y el costo de las intervenciones que mejoran la calidad de la atención en salud por ciclo de vida, bajo el marco del Componente 2 y 3 del programa.</w:t>
      </w:r>
    </w:p>
    <w:p w14:paraId="662EAEDE" w14:textId="77777777" w:rsidR="0046203F" w:rsidRPr="00C82BD1" w:rsidRDefault="0046203F" w:rsidP="004004CF">
      <w:pPr>
        <w:spacing w:before="120" w:after="120"/>
        <w:jc w:val="both"/>
        <w:rPr>
          <w:rFonts w:ascii="Arial" w:hAnsi="Arial" w:cs="Arial"/>
          <w:lang w:val="es-ES"/>
        </w:rPr>
      </w:pPr>
      <w:r w:rsidRPr="00C82BD1">
        <w:rPr>
          <w:rFonts w:ascii="Arial" w:hAnsi="Arial" w:cs="Arial"/>
          <w:sz w:val="22"/>
          <w:szCs w:val="22"/>
          <w:lang w:val="es-ES"/>
        </w:rPr>
        <w:t>La presente operación contempla el mejoramiento del acceso y cobertura de servicios</w:t>
      </w:r>
      <w:r>
        <w:rPr>
          <w:rFonts w:ascii="Arial" w:hAnsi="Arial" w:cs="Arial"/>
          <w:sz w:val="22"/>
          <w:szCs w:val="22"/>
          <w:lang w:val="es-ES"/>
        </w:rPr>
        <w:t xml:space="preserve"> de salud</w:t>
      </w:r>
      <w:r w:rsidRPr="00C82BD1">
        <w:rPr>
          <w:rFonts w:ascii="Arial" w:hAnsi="Arial" w:cs="Arial"/>
          <w:sz w:val="22"/>
          <w:szCs w:val="22"/>
          <w:lang w:val="es-ES"/>
        </w:rPr>
        <w:t xml:space="preserve">, mediante el fortalecimiento de la gestión territorial de inversiones básicas y el cambio de comportamiento y activación de usuarios de inversiones básicas. Los costos de inversión incluyen los costos directos de construcción y costos indirectos, tales como costos de supervisión, capacitación y otros servicios, así como contingencias. También se incluyen los costos de fortalecimiento de las unidades de gestión territorial de inversiones básicas, dado que los mismos se consideran necesarios para la correcta operación y mantenimiento del sistema. Los precios unitarios fueron deducidos de precios por trabajos similares llevados a cabo por el Ministerio de Transporte e Infraestructura, y </w:t>
      </w:r>
      <w:r>
        <w:rPr>
          <w:rFonts w:ascii="Arial" w:hAnsi="Arial" w:cs="Arial"/>
          <w:sz w:val="22"/>
          <w:szCs w:val="22"/>
          <w:lang w:val="es-ES"/>
        </w:rPr>
        <w:t xml:space="preserve">el MINSA </w:t>
      </w:r>
      <w:r w:rsidRPr="00C82BD1">
        <w:rPr>
          <w:rFonts w:ascii="Arial" w:hAnsi="Arial" w:cs="Arial"/>
          <w:sz w:val="22"/>
          <w:szCs w:val="22"/>
          <w:lang w:val="es-ES"/>
        </w:rPr>
        <w:t>en años recientes</w:t>
      </w:r>
    </w:p>
    <w:p w14:paraId="662EAEDF" w14:textId="77777777" w:rsidR="00C463ED" w:rsidRDefault="00C463ED" w:rsidP="004004CF">
      <w:pPr>
        <w:spacing w:before="120" w:after="120"/>
        <w:rPr>
          <w:rFonts w:ascii="Arial" w:hAnsi="Arial" w:cs="Arial"/>
          <w:i/>
          <w:sz w:val="22"/>
          <w:szCs w:val="22"/>
          <w:u w:val="single"/>
          <w:lang w:val="es-ES"/>
        </w:rPr>
      </w:pPr>
    </w:p>
    <w:p w14:paraId="662EAEE0" w14:textId="77777777" w:rsidR="00D65BBE" w:rsidRPr="00C82BD1" w:rsidRDefault="00D65BBE" w:rsidP="004004CF">
      <w:pPr>
        <w:spacing w:before="120" w:after="120"/>
        <w:rPr>
          <w:rFonts w:ascii="Arial" w:hAnsi="Arial" w:cs="Arial"/>
          <w:i/>
          <w:sz w:val="22"/>
          <w:szCs w:val="22"/>
          <w:u w:val="single"/>
          <w:lang w:val="es-ES"/>
        </w:rPr>
      </w:pPr>
      <w:r w:rsidRPr="00C82BD1">
        <w:rPr>
          <w:rFonts w:ascii="Arial" w:hAnsi="Arial" w:cs="Arial"/>
          <w:i/>
          <w:sz w:val="22"/>
          <w:szCs w:val="22"/>
          <w:u w:val="single"/>
          <w:lang w:val="es-ES"/>
        </w:rPr>
        <w:t>Costos de las mejoras en</w:t>
      </w:r>
      <w:r w:rsidR="00011224">
        <w:rPr>
          <w:rFonts w:ascii="Arial" w:hAnsi="Arial" w:cs="Arial"/>
          <w:i/>
          <w:sz w:val="22"/>
          <w:szCs w:val="22"/>
          <w:u w:val="single"/>
          <w:lang w:val="es-ES"/>
        </w:rPr>
        <w:t xml:space="preserve"> los servicios</w:t>
      </w:r>
      <w:r w:rsidR="0046203F">
        <w:rPr>
          <w:rFonts w:ascii="Arial" w:hAnsi="Arial" w:cs="Arial"/>
          <w:i/>
          <w:sz w:val="22"/>
          <w:szCs w:val="22"/>
          <w:u w:val="single"/>
          <w:lang w:val="es-ES"/>
        </w:rPr>
        <w:t xml:space="preserve"> viales</w:t>
      </w:r>
    </w:p>
    <w:p w14:paraId="662EAEE1" w14:textId="77777777" w:rsidR="00752C59" w:rsidRDefault="00752C59" w:rsidP="004004CF">
      <w:pPr>
        <w:widowControl w:val="0"/>
        <w:spacing w:before="120" w:after="120"/>
        <w:jc w:val="both"/>
        <w:rPr>
          <w:rFonts w:ascii="Arial" w:hAnsi="Arial" w:cs="Arial"/>
          <w:sz w:val="22"/>
          <w:szCs w:val="22"/>
          <w:lang w:val="es-ES"/>
        </w:rPr>
      </w:pPr>
      <w:r w:rsidRPr="00C82BD1">
        <w:rPr>
          <w:rFonts w:ascii="Arial" w:hAnsi="Arial" w:cs="Arial"/>
          <w:sz w:val="22"/>
          <w:szCs w:val="22"/>
          <w:lang w:val="es-ES"/>
        </w:rPr>
        <w:t xml:space="preserve">Para el caso del </w:t>
      </w:r>
      <w:r w:rsidR="00EB0D1A" w:rsidRPr="00C82BD1">
        <w:rPr>
          <w:rFonts w:ascii="Arial" w:hAnsi="Arial" w:cs="Arial"/>
          <w:sz w:val="22"/>
          <w:szCs w:val="22"/>
          <w:lang w:val="es-ES"/>
        </w:rPr>
        <w:t>apoyo</w:t>
      </w:r>
      <w:r w:rsidRPr="00C82BD1">
        <w:rPr>
          <w:rFonts w:ascii="Arial" w:hAnsi="Arial" w:cs="Arial"/>
          <w:sz w:val="22"/>
          <w:szCs w:val="22"/>
          <w:lang w:val="es-ES"/>
        </w:rPr>
        <w:t xml:space="preserve"> micro empresas de mantenimiento vial, se considera los costos de </w:t>
      </w:r>
      <w:r w:rsidR="00CF2E9D" w:rsidRPr="00C82BD1">
        <w:rPr>
          <w:rFonts w:ascii="Arial" w:hAnsi="Arial" w:cs="Arial"/>
          <w:sz w:val="22"/>
          <w:szCs w:val="22"/>
          <w:lang w:val="es-ES"/>
        </w:rPr>
        <w:t xml:space="preserve">las </w:t>
      </w:r>
      <w:r w:rsidR="00342627" w:rsidRPr="00C82BD1">
        <w:rPr>
          <w:rFonts w:ascii="Arial" w:hAnsi="Arial" w:cs="Arial"/>
          <w:sz w:val="22"/>
          <w:szCs w:val="22"/>
          <w:lang w:val="es-ES"/>
        </w:rPr>
        <w:t>del f</w:t>
      </w:r>
      <w:r w:rsidRPr="00C82BD1">
        <w:rPr>
          <w:rFonts w:ascii="Arial" w:hAnsi="Arial" w:cs="Arial"/>
          <w:sz w:val="22"/>
          <w:szCs w:val="22"/>
          <w:lang w:val="es-ES"/>
        </w:rPr>
        <w:t>ortalecimiento</w:t>
      </w:r>
      <w:r w:rsidR="00EB0D1A" w:rsidRPr="00C82BD1">
        <w:rPr>
          <w:rFonts w:ascii="Arial" w:hAnsi="Arial" w:cs="Arial"/>
          <w:sz w:val="22"/>
          <w:szCs w:val="22"/>
          <w:lang w:val="es-ES"/>
        </w:rPr>
        <w:t xml:space="preserve"> institucional</w:t>
      </w:r>
      <w:r w:rsidR="00342627" w:rsidRPr="00C82BD1">
        <w:rPr>
          <w:rFonts w:ascii="Arial" w:hAnsi="Arial" w:cs="Arial"/>
          <w:sz w:val="22"/>
          <w:szCs w:val="22"/>
          <w:lang w:val="es-ES"/>
        </w:rPr>
        <w:t xml:space="preserve"> y</w:t>
      </w:r>
      <w:r w:rsidR="0046203F">
        <w:rPr>
          <w:rFonts w:ascii="Arial" w:hAnsi="Arial" w:cs="Arial"/>
          <w:sz w:val="22"/>
          <w:szCs w:val="22"/>
          <w:lang w:val="es-ES"/>
        </w:rPr>
        <w:t xml:space="preserve"> del</w:t>
      </w:r>
      <w:r w:rsidR="00342627" w:rsidRPr="00C82BD1">
        <w:rPr>
          <w:rFonts w:ascii="Arial" w:hAnsi="Arial" w:cs="Arial"/>
          <w:sz w:val="22"/>
          <w:szCs w:val="22"/>
          <w:lang w:val="es-ES"/>
        </w:rPr>
        <w:t xml:space="preserve"> recarpeteo de caminos viales</w:t>
      </w:r>
      <w:r w:rsidR="00EB0D1A" w:rsidRPr="00C82BD1">
        <w:rPr>
          <w:rFonts w:ascii="Arial" w:hAnsi="Arial" w:cs="Arial"/>
          <w:sz w:val="22"/>
          <w:szCs w:val="22"/>
          <w:lang w:val="es-ES"/>
        </w:rPr>
        <w:t>:</w:t>
      </w:r>
    </w:p>
    <w:p w14:paraId="662EAEE2" w14:textId="77777777" w:rsidR="0046203F" w:rsidRDefault="0046203F" w:rsidP="004004CF">
      <w:pPr>
        <w:widowControl w:val="0"/>
        <w:spacing w:before="120" w:after="120"/>
        <w:jc w:val="both"/>
        <w:rPr>
          <w:rFonts w:ascii="Arial" w:hAnsi="Arial" w:cs="Arial"/>
          <w:sz w:val="22"/>
          <w:szCs w:val="22"/>
          <w:lang w:val="es-ES"/>
        </w:rPr>
      </w:pPr>
    </w:p>
    <w:p w14:paraId="662EAEE3" w14:textId="77777777" w:rsidR="0046203F" w:rsidRPr="00C82BD1" w:rsidRDefault="0046203F" w:rsidP="004004CF">
      <w:pPr>
        <w:widowControl w:val="0"/>
        <w:spacing w:before="120" w:after="120"/>
        <w:jc w:val="both"/>
        <w:rPr>
          <w:rFonts w:ascii="Arial" w:hAnsi="Arial" w:cs="Arial"/>
          <w:sz w:val="22"/>
          <w:szCs w:val="22"/>
          <w:lang w:val="es-ES"/>
        </w:rPr>
      </w:pPr>
    </w:p>
    <w:p w14:paraId="662EAEE4" w14:textId="77777777" w:rsidR="00CF2E9D" w:rsidRPr="00C82BD1" w:rsidRDefault="00CF2E9D" w:rsidP="00CF2E9D">
      <w:pPr>
        <w:widowControl w:val="0"/>
        <w:jc w:val="center"/>
        <w:rPr>
          <w:rFonts w:ascii="Arial" w:hAnsi="Arial" w:cs="Arial"/>
          <w:sz w:val="22"/>
          <w:szCs w:val="22"/>
          <w:lang w:val="es-ES"/>
        </w:rPr>
      </w:pPr>
      <w:r w:rsidRPr="00C82BD1">
        <w:rPr>
          <w:rFonts w:ascii="Arial" w:hAnsi="Arial" w:cs="Arial"/>
          <w:b/>
          <w:sz w:val="18"/>
          <w:szCs w:val="22"/>
          <w:lang w:val="es-ES"/>
        </w:rPr>
        <w:lastRenderedPageBreak/>
        <w:t>Cuadro 3: Estimación de costo de intervenciones de mejoramiento vial</w:t>
      </w:r>
    </w:p>
    <w:tbl>
      <w:tblPr>
        <w:tblStyle w:val="TableGrid"/>
        <w:tblW w:w="5000" w:type="pct"/>
        <w:tblLook w:val="04A0" w:firstRow="1" w:lastRow="0" w:firstColumn="1" w:lastColumn="0" w:noHBand="0" w:noVBand="1"/>
      </w:tblPr>
      <w:tblGrid>
        <w:gridCol w:w="1610"/>
        <w:gridCol w:w="1034"/>
        <w:gridCol w:w="1034"/>
        <w:gridCol w:w="1034"/>
        <w:gridCol w:w="1034"/>
        <w:gridCol w:w="1034"/>
        <w:gridCol w:w="1285"/>
        <w:gridCol w:w="1285"/>
      </w:tblGrid>
      <w:tr w:rsidR="002A5597" w:rsidRPr="00C82BD1" w14:paraId="662EAEE9" w14:textId="77777777" w:rsidTr="0072007A">
        <w:trPr>
          <w:trHeight w:val="207"/>
        </w:trPr>
        <w:tc>
          <w:tcPr>
            <w:tcW w:w="861" w:type="pct"/>
            <w:vMerge w:val="restart"/>
            <w:shd w:val="clear" w:color="auto" w:fill="548DD4" w:themeFill="text2" w:themeFillTint="99"/>
          </w:tcPr>
          <w:p w14:paraId="662EAEE5" w14:textId="77777777" w:rsidR="002A5597" w:rsidRPr="00C82BD1" w:rsidRDefault="002A5597" w:rsidP="00A645D3">
            <w:pPr>
              <w:widowControl w:val="0"/>
              <w:jc w:val="center"/>
              <w:rPr>
                <w:rFonts w:ascii="Arial" w:hAnsi="Arial" w:cs="Arial"/>
                <w:b/>
                <w:sz w:val="18"/>
                <w:szCs w:val="18"/>
                <w:lang w:val="es-ES"/>
              </w:rPr>
            </w:pPr>
            <w:r w:rsidRPr="00C82BD1">
              <w:rPr>
                <w:rFonts w:ascii="Arial" w:hAnsi="Arial" w:cs="Arial"/>
                <w:b/>
                <w:sz w:val="18"/>
                <w:szCs w:val="18"/>
                <w:lang w:val="es-ES"/>
              </w:rPr>
              <w:t>Categoría</w:t>
            </w:r>
          </w:p>
        </w:tc>
        <w:tc>
          <w:tcPr>
            <w:tcW w:w="2765" w:type="pct"/>
            <w:gridSpan w:val="5"/>
            <w:shd w:val="clear" w:color="auto" w:fill="548DD4" w:themeFill="text2" w:themeFillTint="99"/>
          </w:tcPr>
          <w:p w14:paraId="662EAEE6" w14:textId="77777777" w:rsidR="002A5597" w:rsidRPr="00C82BD1" w:rsidRDefault="002A5597" w:rsidP="00A645D3">
            <w:pPr>
              <w:widowControl w:val="0"/>
              <w:jc w:val="center"/>
              <w:rPr>
                <w:rFonts w:ascii="Arial" w:hAnsi="Arial" w:cs="Arial"/>
                <w:b/>
                <w:sz w:val="18"/>
                <w:szCs w:val="18"/>
                <w:lang w:val="es-ES"/>
              </w:rPr>
            </w:pPr>
            <w:r w:rsidRPr="00C82BD1">
              <w:rPr>
                <w:rFonts w:ascii="Arial" w:hAnsi="Arial" w:cs="Arial"/>
                <w:b/>
                <w:sz w:val="18"/>
                <w:szCs w:val="18"/>
                <w:lang w:val="es-ES"/>
              </w:rPr>
              <w:t>Años del proyecto</w:t>
            </w:r>
          </w:p>
        </w:tc>
        <w:tc>
          <w:tcPr>
            <w:tcW w:w="687" w:type="pct"/>
            <w:shd w:val="clear" w:color="auto" w:fill="548DD4" w:themeFill="text2" w:themeFillTint="99"/>
          </w:tcPr>
          <w:p w14:paraId="662EAEE7" w14:textId="77777777" w:rsidR="002A5597" w:rsidRPr="00C82BD1" w:rsidRDefault="002A5597" w:rsidP="00A645D3">
            <w:pPr>
              <w:widowControl w:val="0"/>
              <w:jc w:val="center"/>
              <w:rPr>
                <w:rFonts w:ascii="Arial" w:hAnsi="Arial" w:cs="Arial"/>
                <w:b/>
                <w:sz w:val="18"/>
                <w:szCs w:val="18"/>
                <w:lang w:val="es-ES"/>
              </w:rPr>
            </w:pPr>
          </w:p>
        </w:tc>
        <w:tc>
          <w:tcPr>
            <w:tcW w:w="687" w:type="pct"/>
            <w:vMerge w:val="restart"/>
            <w:shd w:val="clear" w:color="auto" w:fill="548DD4" w:themeFill="text2" w:themeFillTint="99"/>
          </w:tcPr>
          <w:p w14:paraId="662EAEE8" w14:textId="77777777" w:rsidR="002A5597" w:rsidRPr="00C82BD1" w:rsidRDefault="002A5597" w:rsidP="00A645D3">
            <w:pPr>
              <w:widowControl w:val="0"/>
              <w:jc w:val="center"/>
              <w:rPr>
                <w:rFonts w:ascii="Arial" w:hAnsi="Arial" w:cs="Arial"/>
                <w:b/>
                <w:sz w:val="18"/>
                <w:szCs w:val="18"/>
                <w:lang w:val="es-ES"/>
              </w:rPr>
            </w:pPr>
            <w:r w:rsidRPr="00C82BD1">
              <w:rPr>
                <w:rFonts w:ascii="Arial" w:hAnsi="Arial" w:cs="Arial"/>
                <w:b/>
                <w:sz w:val="18"/>
                <w:szCs w:val="18"/>
                <w:lang w:val="es-ES"/>
              </w:rPr>
              <w:t>TOTAL (US</w:t>
            </w:r>
            <w:r w:rsidR="008D5733" w:rsidRPr="00C82BD1">
              <w:rPr>
                <w:rFonts w:ascii="Arial" w:hAnsi="Arial" w:cs="Arial"/>
                <w:b/>
                <w:sz w:val="18"/>
                <w:szCs w:val="18"/>
                <w:lang w:val="es-ES"/>
              </w:rPr>
              <w:t>$</w:t>
            </w:r>
            <w:r w:rsidRPr="00C82BD1">
              <w:rPr>
                <w:rFonts w:ascii="Arial" w:hAnsi="Arial" w:cs="Arial"/>
                <w:b/>
                <w:sz w:val="18"/>
                <w:szCs w:val="18"/>
                <w:lang w:val="es-ES"/>
              </w:rPr>
              <w:t>)</w:t>
            </w:r>
          </w:p>
        </w:tc>
      </w:tr>
      <w:tr w:rsidR="002A5597" w:rsidRPr="00C82BD1" w14:paraId="662EAEF2" w14:textId="77777777" w:rsidTr="0072007A">
        <w:trPr>
          <w:trHeight w:val="207"/>
        </w:trPr>
        <w:tc>
          <w:tcPr>
            <w:tcW w:w="861" w:type="pct"/>
            <w:vMerge/>
            <w:shd w:val="clear" w:color="auto" w:fill="548DD4" w:themeFill="text2" w:themeFillTint="99"/>
          </w:tcPr>
          <w:p w14:paraId="662EAEEA" w14:textId="77777777" w:rsidR="002A5597" w:rsidRPr="00C82BD1" w:rsidRDefault="002A5597" w:rsidP="00A645D3">
            <w:pPr>
              <w:widowControl w:val="0"/>
              <w:jc w:val="center"/>
              <w:rPr>
                <w:rFonts w:ascii="Arial" w:hAnsi="Arial" w:cs="Arial"/>
                <w:b/>
                <w:sz w:val="18"/>
                <w:szCs w:val="18"/>
                <w:lang w:val="es-ES"/>
              </w:rPr>
            </w:pPr>
          </w:p>
        </w:tc>
        <w:tc>
          <w:tcPr>
            <w:tcW w:w="553" w:type="pct"/>
            <w:shd w:val="clear" w:color="auto" w:fill="548DD4" w:themeFill="text2" w:themeFillTint="99"/>
          </w:tcPr>
          <w:p w14:paraId="662EAEEB" w14:textId="77777777" w:rsidR="002A5597" w:rsidRPr="00C82BD1" w:rsidRDefault="002A5597" w:rsidP="00A645D3">
            <w:pPr>
              <w:widowControl w:val="0"/>
              <w:jc w:val="center"/>
              <w:rPr>
                <w:rFonts w:ascii="Arial" w:hAnsi="Arial" w:cs="Arial"/>
                <w:b/>
                <w:sz w:val="18"/>
                <w:szCs w:val="18"/>
                <w:lang w:val="es-ES"/>
              </w:rPr>
            </w:pPr>
            <w:r w:rsidRPr="00C82BD1">
              <w:rPr>
                <w:rFonts w:ascii="Arial" w:hAnsi="Arial" w:cs="Arial"/>
                <w:b/>
                <w:sz w:val="18"/>
                <w:szCs w:val="18"/>
                <w:lang w:val="es-ES"/>
              </w:rPr>
              <w:t>2018</w:t>
            </w:r>
          </w:p>
        </w:tc>
        <w:tc>
          <w:tcPr>
            <w:tcW w:w="553" w:type="pct"/>
            <w:shd w:val="clear" w:color="auto" w:fill="548DD4" w:themeFill="text2" w:themeFillTint="99"/>
          </w:tcPr>
          <w:p w14:paraId="662EAEEC" w14:textId="77777777" w:rsidR="002A5597" w:rsidRPr="00C82BD1" w:rsidRDefault="002A5597" w:rsidP="00A645D3">
            <w:pPr>
              <w:widowControl w:val="0"/>
              <w:jc w:val="center"/>
              <w:rPr>
                <w:rFonts w:ascii="Arial" w:hAnsi="Arial" w:cs="Arial"/>
                <w:b/>
                <w:sz w:val="18"/>
                <w:szCs w:val="18"/>
                <w:lang w:val="es-ES"/>
              </w:rPr>
            </w:pPr>
            <w:r w:rsidRPr="00C82BD1">
              <w:rPr>
                <w:rFonts w:ascii="Arial" w:hAnsi="Arial" w:cs="Arial"/>
                <w:b/>
                <w:sz w:val="18"/>
                <w:szCs w:val="18"/>
                <w:lang w:val="es-ES"/>
              </w:rPr>
              <w:t>2019</w:t>
            </w:r>
          </w:p>
        </w:tc>
        <w:tc>
          <w:tcPr>
            <w:tcW w:w="553" w:type="pct"/>
            <w:shd w:val="clear" w:color="auto" w:fill="548DD4" w:themeFill="text2" w:themeFillTint="99"/>
          </w:tcPr>
          <w:p w14:paraId="662EAEED" w14:textId="77777777" w:rsidR="002A5597" w:rsidRPr="00C82BD1" w:rsidRDefault="002A5597" w:rsidP="00A645D3">
            <w:pPr>
              <w:widowControl w:val="0"/>
              <w:jc w:val="center"/>
              <w:rPr>
                <w:rFonts w:ascii="Arial" w:hAnsi="Arial" w:cs="Arial"/>
                <w:b/>
                <w:sz w:val="18"/>
                <w:szCs w:val="18"/>
                <w:lang w:val="es-ES"/>
              </w:rPr>
            </w:pPr>
            <w:r w:rsidRPr="00C82BD1">
              <w:rPr>
                <w:rFonts w:ascii="Arial" w:hAnsi="Arial" w:cs="Arial"/>
                <w:b/>
                <w:sz w:val="18"/>
                <w:szCs w:val="18"/>
                <w:lang w:val="es-ES"/>
              </w:rPr>
              <w:t>2020</w:t>
            </w:r>
          </w:p>
        </w:tc>
        <w:tc>
          <w:tcPr>
            <w:tcW w:w="553" w:type="pct"/>
            <w:shd w:val="clear" w:color="auto" w:fill="548DD4" w:themeFill="text2" w:themeFillTint="99"/>
          </w:tcPr>
          <w:p w14:paraId="662EAEEE" w14:textId="77777777" w:rsidR="002A5597" w:rsidRPr="00C82BD1" w:rsidRDefault="002A5597" w:rsidP="00A645D3">
            <w:pPr>
              <w:widowControl w:val="0"/>
              <w:jc w:val="center"/>
              <w:rPr>
                <w:rFonts w:ascii="Arial" w:hAnsi="Arial" w:cs="Arial"/>
                <w:b/>
                <w:sz w:val="18"/>
                <w:szCs w:val="18"/>
                <w:lang w:val="es-ES"/>
              </w:rPr>
            </w:pPr>
            <w:r w:rsidRPr="00C82BD1">
              <w:rPr>
                <w:rFonts w:ascii="Arial" w:hAnsi="Arial" w:cs="Arial"/>
                <w:b/>
                <w:sz w:val="18"/>
                <w:szCs w:val="18"/>
                <w:lang w:val="es-ES"/>
              </w:rPr>
              <w:t>2021</w:t>
            </w:r>
          </w:p>
        </w:tc>
        <w:tc>
          <w:tcPr>
            <w:tcW w:w="553" w:type="pct"/>
            <w:shd w:val="clear" w:color="auto" w:fill="548DD4" w:themeFill="text2" w:themeFillTint="99"/>
          </w:tcPr>
          <w:p w14:paraId="662EAEEF" w14:textId="77777777" w:rsidR="002A5597" w:rsidRPr="00C82BD1" w:rsidRDefault="002A5597" w:rsidP="00A645D3">
            <w:pPr>
              <w:widowControl w:val="0"/>
              <w:jc w:val="center"/>
              <w:rPr>
                <w:rFonts w:ascii="Arial" w:hAnsi="Arial" w:cs="Arial"/>
                <w:b/>
                <w:sz w:val="18"/>
                <w:szCs w:val="18"/>
                <w:lang w:val="es-ES"/>
              </w:rPr>
            </w:pPr>
            <w:r w:rsidRPr="00C82BD1">
              <w:rPr>
                <w:rFonts w:ascii="Arial" w:hAnsi="Arial" w:cs="Arial"/>
                <w:b/>
                <w:sz w:val="18"/>
                <w:szCs w:val="18"/>
                <w:lang w:val="es-ES"/>
              </w:rPr>
              <w:t>2022</w:t>
            </w:r>
          </w:p>
        </w:tc>
        <w:tc>
          <w:tcPr>
            <w:tcW w:w="687" w:type="pct"/>
            <w:shd w:val="clear" w:color="auto" w:fill="548DD4" w:themeFill="text2" w:themeFillTint="99"/>
          </w:tcPr>
          <w:p w14:paraId="662EAEF0" w14:textId="77777777" w:rsidR="002A5597" w:rsidRPr="00C82BD1" w:rsidRDefault="002A5597" w:rsidP="00A645D3">
            <w:pPr>
              <w:widowControl w:val="0"/>
              <w:jc w:val="center"/>
              <w:rPr>
                <w:rFonts w:ascii="Arial" w:hAnsi="Arial" w:cs="Arial"/>
                <w:b/>
                <w:sz w:val="18"/>
                <w:szCs w:val="18"/>
                <w:lang w:val="es-ES"/>
              </w:rPr>
            </w:pPr>
          </w:p>
        </w:tc>
        <w:tc>
          <w:tcPr>
            <w:tcW w:w="687" w:type="pct"/>
            <w:vMerge/>
            <w:shd w:val="clear" w:color="auto" w:fill="548DD4" w:themeFill="text2" w:themeFillTint="99"/>
          </w:tcPr>
          <w:p w14:paraId="662EAEF1" w14:textId="77777777" w:rsidR="002A5597" w:rsidRPr="00C82BD1" w:rsidRDefault="002A5597" w:rsidP="00A645D3">
            <w:pPr>
              <w:widowControl w:val="0"/>
              <w:jc w:val="center"/>
              <w:rPr>
                <w:rFonts w:ascii="Arial" w:hAnsi="Arial" w:cs="Arial"/>
                <w:b/>
                <w:sz w:val="18"/>
                <w:szCs w:val="18"/>
                <w:lang w:val="es-ES"/>
              </w:rPr>
            </w:pPr>
          </w:p>
        </w:tc>
      </w:tr>
      <w:tr w:rsidR="002A5597" w:rsidRPr="00C82BD1" w14:paraId="662EAEFB" w14:textId="77777777" w:rsidTr="008D5733">
        <w:tc>
          <w:tcPr>
            <w:tcW w:w="861" w:type="pct"/>
            <w:vAlign w:val="bottom"/>
          </w:tcPr>
          <w:p w14:paraId="662EAEF3" w14:textId="77777777" w:rsidR="002A5597" w:rsidRPr="00C82BD1" w:rsidRDefault="002A5597" w:rsidP="00342627">
            <w:pPr>
              <w:widowControl w:val="0"/>
              <w:jc w:val="center"/>
              <w:rPr>
                <w:rFonts w:ascii="Arial" w:hAnsi="Arial" w:cs="Arial"/>
                <w:sz w:val="18"/>
                <w:szCs w:val="18"/>
                <w:lang w:val="es-ES"/>
              </w:rPr>
            </w:pPr>
            <w:r w:rsidRPr="00C82BD1">
              <w:rPr>
                <w:rFonts w:ascii="Arial" w:hAnsi="Arial" w:cs="Arial"/>
                <w:sz w:val="18"/>
                <w:szCs w:val="18"/>
                <w:lang w:val="es-ES"/>
              </w:rPr>
              <w:t>Fortalecimiento institucional</w:t>
            </w:r>
          </w:p>
        </w:tc>
        <w:tc>
          <w:tcPr>
            <w:tcW w:w="553" w:type="pct"/>
          </w:tcPr>
          <w:p w14:paraId="662EAEF4" w14:textId="77777777" w:rsidR="002A5597" w:rsidRPr="00C82BD1" w:rsidRDefault="002A5597" w:rsidP="00342627">
            <w:pPr>
              <w:widowControl w:val="0"/>
              <w:jc w:val="center"/>
              <w:rPr>
                <w:rFonts w:ascii="Arial" w:hAnsi="Arial" w:cs="Arial"/>
                <w:color w:val="000000"/>
                <w:sz w:val="18"/>
                <w:szCs w:val="18"/>
                <w:lang w:val="es-ES"/>
              </w:rPr>
            </w:pPr>
            <w:r w:rsidRPr="00C82BD1">
              <w:rPr>
                <w:rFonts w:ascii="Arial" w:hAnsi="Arial" w:cs="Arial"/>
                <w:color w:val="000000"/>
                <w:sz w:val="18"/>
                <w:szCs w:val="18"/>
                <w:lang w:val="es-ES"/>
              </w:rPr>
              <w:t>500.000</w:t>
            </w:r>
          </w:p>
        </w:tc>
        <w:tc>
          <w:tcPr>
            <w:tcW w:w="553" w:type="pct"/>
          </w:tcPr>
          <w:p w14:paraId="662EAEF5" w14:textId="77777777" w:rsidR="002A5597" w:rsidRPr="00C82BD1" w:rsidRDefault="002A5597" w:rsidP="00342627">
            <w:pPr>
              <w:widowControl w:val="0"/>
              <w:jc w:val="center"/>
              <w:rPr>
                <w:rFonts w:ascii="Arial" w:hAnsi="Arial" w:cs="Arial"/>
                <w:color w:val="000000"/>
                <w:sz w:val="18"/>
                <w:szCs w:val="18"/>
                <w:lang w:val="es-ES"/>
              </w:rPr>
            </w:pPr>
            <w:r w:rsidRPr="00C82BD1">
              <w:rPr>
                <w:rFonts w:ascii="Arial" w:hAnsi="Arial" w:cs="Arial"/>
                <w:color w:val="000000"/>
                <w:sz w:val="18"/>
                <w:szCs w:val="18"/>
                <w:lang w:val="es-ES"/>
              </w:rPr>
              <w:t>300.000</w:t>
            </w:r>
          </w:p>
        </w:tc>
        <w:tc>
          <w:tcPr>
            <w:tcW w:w="553" w:type="pct"/>
          </w:tcPr>
          <w:p w14:paraId="662EAEF6" w14:textId="77777777" w:rsidR="002A5597" w:rsidRPr="00C82BD1" w:rsidRDefault="002A5597" w:rsidP="00342627">
            <w:pPr>
              <w:widowControl w:val="0"/>
              <w:jc w:val="center"/>
              <w:rPr>
                <w:rFonts w:ascii="Arial" w:hAnsi="Arial" w:cs="Arial"/>
                <w:color w:val="000000"/>
                <w:sz w:val="18"/>
                <w:szCs w:val="18"/>
                <w:lang w:val="es-ES"/>
              </w:rPr>
            </w:pPr>
            <w:r w:rsidRPr="00C82BD1">
              <w:rPr>
                <w:rFonts w:ascii="Arial" w:hAnsi="Arial" w:cs="Arial"/>
                <w:color w:val="000000"/>
                <w:sz w:val="18"/>
                <w:szCs w:val="18"/>
                <w:lang w:val="es-ES"/>
              </w:rPr>
              <w:t>100.000</w:t>
            </w:r>
          </w:p>
        </w:tc>
        <w:tc>
          <w:tcPr>
            <w:tcW w:w="553" w:type="pct"/>
          </w:tcPr>
          <w:p w14:paraId="662EAEF7" w14:textId="77777777" w:rsidR="002A5597" w:rsidRPr="00C82BD1" w:rsidRDefault="002A5597" w:rsidP="00342627">
            <w:pPr>
              <w:widowControl w:val="0"/>
              <w:jc w:val="center"/>
              <w:rPr>
                <w:rFonts w:ascii="Arial" w:hAnsi="Arial" w:cs="Arial"/>
                <w:color w:val="000000"/>
                <w:sz w:val="18"/>
                <w:szCs w:val="18"/>
                <w:lang w:val="es-ES"/>
              </w:rPr>
            </w:pPr>
            <w:r w:rsidRPr="00C82BD1">
              <w:rPr>
                <w:rFonts w:ascii="Arial" w:hAnsi="Arial" w:cs="Arial"/>
                <w:color w:val="000000"/>
                <w:sz w:val="18"/>
                <w:szCs w:val="18"/>
                <w:lang w:val="es-ES"/>
              </w:rPr>
              <w:t>50.000</w:t>
            </w:r>
          </w:p>
        </w:tc>
        <w:tc>
          <w:tcPr>
            <w:tcW w:w="553" w:type="pct"/>
          </w:tcPr>
          <w:p w14:paraId="662EAEF8" w14:textId="77777777" w:rsidR="002A5597" w:rsidRPr="00C82BD1" w:rsidRDefault="002A5597" w:rsidP="00342627">
            <w:pPr>
              <w:widowControl w:val="0"/>
              <w:jc w:val="center"/>
              <w:rPr>
                <w:rFonts w:ascii="Arial" w:hAnsi="Arial" w:cs="Arial"/>
                <w:color w:val="000000"/>
                <w:sz w:val="18"/>
                <w:szCs w:val="18"/>
                <w:lang w:val="es-ES"/>
              </w:rPr>
            </w:pPr>
            <w:r w:rsidRPr="00C82BD1">
              <w:rPr>
                <w:rFonts w:ascii="Arial" w:hAnsi="Arial" w:cs="Arial"/>
                <w:color w:val="000000"/>
                <w:sz w:val="18"/>
                <w:szCs w:val="18"/>
                <w:lang w:val="es-ES"/>
              </w:rPr>
              <w:t>50.000</w:t>
            </w:r>
          </w:p>
        </w:tc>
        <w:tc>
          <w:tcPr>
            <w:tcW w:w="687" w:type="pct"/>
          </w:tcPr>
          <w:p w14:paraId="662EAEF9" w14:textId="77777777" w:rsidR="002A5597" w:rsidRPr="00C82BD1" w:rsidRDefault="002A5597" w:rsidP="00342627">
            <w:pPr>
              <w:widowControl w:val="0"/>
              <w:jc w:val="center"/>
              <w:rPr>
                <w:rFonts w:ascii="Arial" w:hAnsi="Arial" w:cs="Arial"/>
                <w:color w:val="000000"/>
                <w:sz w:val="18"/>
                <w:szCs w:val="18"/>
                <w:lang w:val="es-ES"/>
              </w:rPr>
            </w:pPr>
          </w:p>
        </w:tc>
        <w:tc>
          <w:tcPr>
            <w:tcW w:w="687" w:type="pct"/>
          </w:tcPr>
          <w:p w14:paraId="662EAEFA" w14:textId="77777777" w:rsidR="002A5597" w:rsidRPr="00C82BD1" w:rsidRDefault="002A5597" w:rsidP="00342627">
            <w:pPr>
              <w:widowControl w:val="0"/>
              <w:jc w:val="center"/>
              <w:rPr>
                <w:rFonts w:ascii="Arial" w:hAnsi="Arial" w:cs="Arial"/>
                <w:color w:val="000000"/>
                <w:sz w:val="18"/>
                <w:szCs w:val="18"/>
                <w:lang w:val="es-ES"/>
              </w:rPr>
            </w:pPr>
            <w:r w:rsidRPr="00C82BD1">
              <w:rPr>
                <w:rFonts w:ascii="Arial" w:hAnsi="Arial" w:cs="Arial"/>
                <w:color w:val="000000"/>
                <w:sz w:val="18"/>
                <w:szCs w:val="18"/>
                <w:lang w:val="es-ES"/>
              </w:rPr>
              <w:t>1.000.000</w:t>
            </w:r>
          </w:p>
        </w:tc>
      </w:tr>
      <w:tr w:rsidR="002A5597" w:rsidRPr="00C82BD1" w14:paraId="662EAF04" w14:textId="77777777" w:rsidTr="008D5733">
        <w:tc>
          <w:tcPr>
            <w:tcW w:w="861" w:type="pct"/>
            <w:vAlign w:val="bottom"/>
          </w:tcPr>
          <w:p w14:paraId="662EAEFC" w14:textId="77777777" w:rsidR="002A5597" w:rsidRPr="00C82BD1" w:rsidRDefault="002A5597" w:rsidP="00342627">
            <w:pPr>
              <w:widowControl w:val="0"/>
              <w:jc w:val="center"/>
              <w:rPr>
                <w:rFonts w:ascii="Arial" w:hAnsi="Arial" w:cs="Arial"/>
                <w:sz w:val="18"/>
                <w:szCs w:val="18"/>
                <w:lang w:val="es-ES"/>
              </w:rPr>
            </w:pPr>
            <w:r w:rsidRPr="00C82BD1">
              <w:rPr>
                <w:rFonts w:ascii="Arial" w:hAnsi="Arial" w:cs="Arial"/>
                <w:sz w:val="18"/>
                <w:szCs w:val="18"/>
                <w:lang w:val="es-ES"/>
              </w:rPr>
              <w:t>Recarpeteo de caminos viales</w:t>
            </w:r>
          </w:p>
        </w:tc>
        <w:tc>
          <w:tcPr>
            <w:tcW w:w="553" w:type="pct"/>
          </w:tcPr>
          <w:p w14:paraId="662EAEFD" w14:textId="77777777" w:rsidR="002A5597" w:rsidRPr="00C82BD1" w:rsidRDefault="002A5597" w:rsidP="00342627">
            <w:pPr>
              <w:widowControl w:val="0"/>
              <w:jc w:val="center"/>
              <w:rPr>
                <w:rFonts w:ascii="Arial" w:hAnsi="Arial" w:cs="Arial"/>
                <w:color w:val="000000"/>
                <w:sz w:val="18"/>
                <w:szCs w:val="18"/>
                <w:lang w:val="es-ES"/>
              </w:rPr>
            </w:pPr>
            <w:r w:rsidRPr="00C82BD1">
              <w:rPr>
                <w:rFonts w:ascii="Arial" w:hAnsi="Arial" w:cs="Arial"/>
                <w:color w:val="000000"/>
                <w:sz w:val="18"/>
                <w:szCs w:val="18"/>
                <w:lang w:val="es-ES"/>
              </w:rPr>
              <w:t>0</w:t>
            </w:r>
          </w:p>
        </w:tc>
        <w:tc>
          <w:tcPr>
            <w:tcW w:w="553" w:type="pct"/>
          </w:tcPr>
          <w:p w14:paraId="662EAEFE" w14:textId="77777777" w:rsidR="002A5597" w:rsidRPr="00C82BD1" w:rsidRDefault="002A5597" w:rsidP="00342627">
            <w:pPr>
              <w:widowControl w:val="0"/>
              <w:jc w:val="center"/>
              <w:rPr>
                <w:rFonts w:ascii="Arial" w:hAnsi="Arial" w:cs="Arial"/>
                <w:color w:val="000000"/>
                <w:sz w:val="18"/>
                <w:szCs w:val="18"/>
                <w:lang w:val="es-ES"/>
              </w:rPr>
            </w:pPr>
            <w:r w:rsidRPr="00C82BD1">
              <w:rPr>
                <w:rFonts w:ascii="Arial" w:hAnsi="Arial" w:cs="Arial"/>
                <w:color w:val="000000"/>
                <w:sz w:val="18"/>
                <w:szCs w:val="18"/>
                <w:lang w:val="es-ES"/>
              </w:rPr>
              <w:t>1.000.000</w:t>
            </w:r>
          </w:p>
        </w:tc>
        <w:tc>
          <w:tcPr>
            <w:tcW w:w="553" w:type="pct"/>
          </w:tcPr>
          <w:p w14:paraId="662EAEFF" w14:textId="77777777" w:rsidR="002A5597" w:rsidRPr="00C82BD1" w:rsidRDefault="002A5597" w:rsidP="00342627">
            <w:pPr>
              <w:widowControl w:val="0"/>
              <w:jc w:val="center"/>
              <w:rPr>
                <w:rFonts w:ascii="Arial" w:hAnsi="Arial" w:cs="Arial"/>
                <w:color w:val="000000"/>
                <w:sz w:val="18"/>
                <w:szCs w:val="18"/>
                <w:lang w:val="es-ES"/>
              </w:rPr>
            </w:pPr>
            <w:r w:rsidRPr="00C82BD1">
              <w:rPr>
                <w:rFonts w:ascii="Arial" w:hAnsi="Arial" w:cs="Arial"/>
                <w:color w:val="000000"/>
                <w:sz w:val="18"/>
                <w:szCs w:val="18"/>
                <w:lang w:val="es-ES"/>
              </w:rPr>
              <w:t>2.000.000</w:t>
            </w:r>
          </w:p>
        </w:tc>
        <w:tc>
          <w:tcPr>
            <w:tcW w:w="553" w:type="pct"/>
          </w:tcPr>
          <w:p w14:paraId="662EAF00" w14:textId="77777777" w:rsidR="002A5597" w:rsidRPr="00C82BD1" w:rsidRDefault="002A5597" w:rsidP="00342627">
            <w:pPr>
              <w:widowControl w:val="0"/>
              <w:jc w:val="center"/>
              <w:rPr>
                <w:rFonts w:ascii="Arial" w:hAnsi="Arial" w:cs="Arial"/>
                <w:color w:val="000000"/>
                <w:sz w:val="18"/>
                <w:szCs w:val="18"/>
                <w:lang w:val="es-ES"/>
              </w:rPr>
            </w:pPr>
            <w:r w:rsidRPr="00C82BD1">
              <w:rPr>
                <w:rFonts w:ascii="Arial" w:hAnsi="Arial" w:cs="Arial"/>
                <w:color w:val="000000"/>
                <w:sz w:val="18"/>
                <w:szCs w:val="18"/>
                <w:lang w:val="es-ES"/>
              </w:rPr>
              <w:t>4.000.000</w:t>
            </w:r>
          </w:p>
        </w:tc>
        <w:tc>
          <w:tcPr>
            <w:tcW w:w="553" w:type="pct"/>
          </w:tcPr>
          <w:p w14:paraId="662EAF01" w14:textId="77777777" w:rsidR="002A5597" w:rsidRPr="00C82BD1" w:rsidRDefault="002A5597" w:rsidP="00342627">
            <w:pPr>
              <w:widowControl w:val="0"/>
              <w:jc w:val="center"/>
              <w:rPr>
                <w:rFonts w:ascii="Arial" w:hAnsi="Arial" w:cs="Arial"/>
                <w:color w:val="000000"/>
                <w:sz w:val="18"/>
                <w:szCs w:val="18"/>
                <w:lang w:val="es-ES"/>
              </w:rPr>
            </w:pPr>
            <w:r w:rsidRPr="00C82BD1">
              <w:rPr>
                <w:rFonts w:ascii="Arial" w:hAnsi="Arial" w:cs="Arial"/>
                <w:color w:val="000000"/>
                <w:sz w:val="18"/>
                <w:szCs w:val="18"/>
                <w:lang w:val="es-ES"/>
              </w:rPr>
              <w:t>1.000.000</w:t>
            </w:r>
          </w:p>
        </w:tc>
        <w:tc>
          <w:tcPr>
            <w:tcW w:w="687" w:type="pct"/>
          </w:tcPr>
          <w:p w14:paraId="662EAF02" w14:textId="77777777" w:rsidR="002A5597" w:rsidRPr="00C82BD1" w:rsidRDefault="002A5597" w:rsidP="00342627">
            <w:pPr>
              <w:widowControl w:val="0"/>
              <w:jc w:val="center"/>
              <w:rPr>
                <w:rFonts w:ascii="Arial" w:hAnsi="Arial" w:cs="Arial"/>
                <w:color w:val="000000"/>
                <w:sz w:val="18"/>
                <w:szCs w:val="18"/>
                <w:lang w:val="es-ES"/>
              </w:rPr>
            </w:pPr>
          </w:p>
        </w:tc>
        <w:tc>
          <w:tcPr>
            <w:tcW w:w="687" w:type="pct"/>
          </w:tcPr>
          <w:p w14:paraId="662EAF03" w14:textId="77777777" w:rsidR="002A5597" w:rsidRPr="00C82BD1" w:rsidRDefault="002A5597" w:rsidP="00342627">
            <w:pPr>
              <w:widowControl w:val="0"/>
              <w:jc w:val="center"/>
              <w:rPr>
                <w:rFonts w:ascii="Arial" w:hAnsi="Arial" w:cs="Arial"/>
                <w:color w:val="000000"/>
                <w:sz w:val="18"/>
                <w:szCs w:val="18"/>
                <w:lang w:val="es-ES"/>
              </w:rPr>
            </w:pPr>
            <w:r w:rsidRPr="00C82BD1">
              <w:rPr>
                <w:rFonts w:ascii="Arial" w:hAnsi="Arial" w:cs="Arial"/>
                <w:color w:val="000000"/>
                <w:sz w:val="18"/>
                <w:szCs w:val="18"/>
                <w:lang w:val="es-ES"/>
              </w:rPr>
              <w:t>8.000.000</w:t>
            </w:r>
          </w:p>
        </w:tc>
      </w:tr>
      <w:tr w:rsidR="002A5597" w:rsidRPr="00C82BD1" w14:paraId="662EAF0D" w14:textId="77777777" w:rsidTr="002A5597">
        <w:tc>
          <w:tcPr>
            <w:tcW w:w="861" w:type="pct"/>
            <w:vAlign w:val="bottom"/>
          </w:tcPr>
          <w:p w14:paraId="662EAF05" w14:textId="77777777" w:rsidR="002A5597" w:rsidRPr="00C82BD1" w:rsidRDefault="002A5597" w:rsidP="00342627">
            <w:pPr>
              <w:widowControl w:val="0"/>
              <w:jc w:val="center"/>
              <w:rPr>
                <w:rFonts w:ascii="Arial" w:hAnsi="Arial" w:cs="Arial"/>
                <w:color w:val="000000"/>
                <w:sz w:val="18"/>
                <w:szCs w:val="18"/>
                <w:lang w:val="es-ES"/>
              </w:rPr>
            </w:pPr>
            <w:r w:rsidRPr="00C82BD1">
              <w:rPr>
                <w:rFonts w:ascii="Arial" w:hAnsi="Arial" w:cs="Arial"/>
                <w:color w:val="000000"/>
                <w:sz w:val="18"/>
                <w:szCs w:val="18"/>
                <w:lang w:val="es-ES"/>
              </w:rPr>
              <w:t>TOTAL</w:t>
            </w:r>
          </w:p>
        </w:tc>
        <w:tc>
          <w:tcPr>
            <w:tcW w:w="553" w:type="pct"/>
          </w:tcPr>
          <w:p w14:paraId="662EAF06" w14:textId="77777777" w:rsidR="002A5597" w:rsidRPr="00C82BD1" w:rsidRDefault="002A5597" w:rsidP="00342627">
            <w:pPr>
              <w:widowControl w:val="0"/>
              <w:jc w:val="center"/>
              <w:rPr>
                <w:rFonts w:ascii="Arial" w:hAnsi="Arial" w:cs="Arial"/>
                <w:color w:val="000000"/>
                <w:sz w:val="18"/>
                <w:szCs w:val="18"/>
                <w:lang w:val="es-ES"/>
              </w:rPr>
            </w:pPr>
            <w:r w:rsidRPr="00C82BD1">
              <w:rPr>
                <w:rFonts w:ascii="Arial" w:hAnsi="Arial" w:cs="Arial"/>
                <w:color w:val="000000"/>
                <w:sz w:val="18"/>
                <w:szCs w:val="18"/>
                <w:lang w:val="es-ES"/>
              </w:rPr>
              <w:t>500.000</w:t>
            </w:r>
          </w:p>
        </w:tc>
        <w:tc>
          <w:tcPr>
            <w:tcW w:w="553" w:type="pct"/>
          </w:tcPr>
          <w:p w14:paraId="662EAF07" w14:textId="77777777" w:rsidR="002A5597" w:rsidRPr="00C82BD1" w:rsidRDefault="002A5597" w:rsidP="00342627">
            <w:pPr>
              <w:widowControl w:val="0"/>
              <w:jc w:val="center"/>
              <w:rPr>
                <w:rFonts w:ascii="Arial" w:hAnsi="Arial" w:cs="Arial"/>
                <w:color w:val="000000"/>
                <w:sz w:val="18"/>
                <w:szCs w:val="18"/>
                <w:lang w:val="es-ES"/>
              </w:rPr>
            </w:pPr>
            <w:r w:rsidRPr="00C82BD1">
              <w:rPr>
                <w:rFonts w:ascii="Arial" w:hAnsi="Arial" w:cs="Arial"/>
                <w:color w:val="000000"/>
                <w:sz w:val="18"/>
                <w:szCs w:val="18"/>
                <w:lang w:val="es-ES"/>
              </w:rPr>
              <w:t>1.300.000</w:t>
            </w:r>
          </w:p>
        </w:tc>
        <w:tc>
          <w:tcPr>
            <w:tcW w:w="553" w:type="pct"/>
          </w:tcPr>
          <w:p w14:paraId="662EAF08" w14:textId="77777777" w:rsidR="002A5597" w:rsidRPr="00C82BD1" w:rsidRDefault="002A5597" w:rsidP="00342627">
            <w:pPr>
              <w:widowControl w:val="0"/>
              <w:jc w:val="center"/>
              <w:rPr>
                <w:rFonts w:ascii="Arial" w:hAnsi="Arial" w:cs="Arial"/>
                <w:color w:val="000000"/>
                <w:sz w:val="18"/>
                <w:szCs w:val="18"/>
                <w:lang w:val="es-ES"/>
              </w:rPr>
            </w:pPr>
            <w:r w:rsidRPr="00C82BD1">
              <w:rPr>
                <w:rFonts w:ascii="Arial" w:hAnsi="Arial" w:cs="Arial"/>
                <w:color w:val="000000"/>
                <w:sz w:val="18"/>
                <w:szCs w:val="18"/>
                <w:lang w:val="es-ES"/>
              </w:rPr>
              <w:t>2.100.000</w:t>
            </w:r>
          </w:p>
        </w:tc>
        <w:tc>
          <w:tcPr>
            <w:tcW w:w="553" w:type="pct"/>
          </w:tcPr>
          <w:p w14:paraId="662EAF09" w14:textId="77777777" w:rsidR="002A5597" w:rsidRPr="00C82BD1" w:rsidRDefault="002A5597" w:rsidP="00342627">
            <w:pPr>
              <w:widowControl w:val="0"/>
              <w:jc w:val="center"/>
              <w:rPr>
                <w:rFonts w:ascii="Arial" w:hAnsi="Arial" w:cs="Arial"/>
                <w:color w:val="000000"/>
                <w:sz w:val="18"/>
                <w:szCs w:val="18"/>
                <w:lang w:val="es-ES"/>
              </w:rPr>
            </w:pPr>
            <w:r w:rsidRPr="00C82BD1">
              <w:rPr>
                <w:rFonts w:ascii="Arial" w:hAnsi="Arial" w:cs="Arial"/>
                <w:color w:val="000000"/>
                <w:sz w:val="18"/>
                <w:szCs w:val="18"/>
                <w:lang w:val="es-ES"/>
              </w:rPr>
              <w:t>4.050.000</w:t>
            </w:r>
          </w:p>
        </w:tc>
        <w:tc>
          <w:tcPr>
            <w:tcW w:w="553" w:type="pct"/>
          </w:tcPr>
          <w:p w14:paraId="662EAF0A" w14:textId="77777777" w:rsidR="002A5597" w:rsidRPr="00C82BD1" w:rsidRDefault="002A5597" w:rsidP="00342627">
            <w:pPr>
              <w:widowControl w:val="0"/>
              <w:jc w:val="center"/>
              <w:rPr>
                <w:rFonts w:ascii="Arial" w:hAnsi="Arial" w:cs="Arial"/>
                <w:color w:val="000000"/>
                <w:sz w:val="18"/>
                <w:szCs w:val="18"/>
                <w:lang w:val="es-ES"/>
              </w:rPr>
            </w:pPr>
            <w:r w:rsidRPr="00C82BD1">
              <w:rPr>
                <w:rFonts w:ascii="Arial" w:hAnsi="Arial" w:cs="Arial"/>
                <w:color w:val="000000"/>
                <w:sz w:val="18"/>
                <w:szCs w:val="18"/>
                <w:lang w:val="es-ES"/>
              </w:rPr>
              <w:t>1.050.000</w:t>
            </w:r>
          </w:p>
        </w:tc>
        <w:tc>
          <w:tcPr>
            <w:tcW w:w="687" w:type="pct"/>
          </w:tcPr>
          <w:p w14:paraId="662EAF0B" w14:textId="77777777" w:rsidR="002A5597" w:rsidRPr="00C82BD1" w:rsidRDefault="002A5597" w:rsidP="00342627">
            <w:pPr>
              <w:widowControl w:val="0"/>
              <w:jc w:val="center"/>
              <w:rPr>
                <w:rFonts w:ascii="Arial" w:hAnsi="Arial" w:cs="Arial"/>
                <w:color w:val="000000"/>
                <w:sz w:val="18"/>
                <w:szCs w:val="18"/>
                <w:lang w:val="es-ES"/>
              </w:rPr>
            </w:pPr>
          </w:p>
        </w:tc>
        <w:tc>
          <w:tcPr>
            <w:tcW w:w="687" w:type="pct"/>
          </w:tcPr>
          <w:p w14:paraId="662EAF0C" w14:textId="77777777" w:rsidR="002A5597" w:rsidRPr="00C82BD1" w:rsidRDefault="002A5597" w:rsidP="00342627">
            <w:pPr>
              <w:widowControl w:val="0"/>
              <w:jc w:val="center"/>
              <w:rPr>
                <w:rFonts w:ascii="Arial" w:hAnsi="Arial" w:cs="Arial"/>
                <w:color w:val="000000"/>
                <w:sz w:val="18"/>
                <w:szCs w:val="18"/>
                <w:lang w:val="es-ES"/>
              </w:rPr>
            </w:pPr>
            <w:r w:rsidRPr="00C82BD1">
              <w:rPr>
                <w:rFonts w:ascii="Arial" w:hAnsi="Arial" w:cs="Arial"/>
                <w:color w:val="000000"/>
                <w:sz w:val="18"/>
                <w:szCs w:val="18"/>
                <w:lang w:val="es-ES"/>
              </w:rPr>
              <w:t>9.000.000</w:t>
            </w:r>
          </w:p>
        </w:tc>
      </w:tr>
    </w:tbl>
    <w:p w14:paraId="662EAF0E" w14:textId="77777777" w:rsidR="0009690F" w:rsidRPr="00C82BD1" w:rsidRDefault="0009690F" w:rsidP="0009690F">
      <w:pPr>
        <w:widowControl w:val="0"/>
        <w:jc w:val="center"/>
        <w:rPr>
          <w:rFonts w:ascii="Arial" w:hAnsi="Arial" w:cs="Arial"/>
          <w:sz w:val="18"/>
          <w:szCs w:val="22"/>
          <w:lang w:val="es-ES"/>
        </w:rPr>
      </w:pPr>
      <w:r w:rsidRPr="00C82BD1">
        <w:rPr>
          <w:rFonts w:ascii="Arial" w:hAnsi="Arial" w:cs="Arial"/>
          <w:sz w:val="18"/>
          <w:szCs w:val="22"/>
          <w:lang w:val="es-ES"/>
        </w:rPr>
        <w:t xml:space="preserve">Fuente: Elaboración propia </w:t>
      </w:r>
    </w:p>
    <w:p w14:paraId="662EAF0F" w14:textId="77777777" w:rsidR="00752C59" w:rsidRPr="00C82BD1" w:rsidRDefault="00752C59" w:rsidP="001D2043">
      <w:pPr>
        <w:widowControl w:val="0"/>
        <w:jc w:val="both"/>
        <w:rPr>
          <w:rFonts w:ascii="Arial" w:hAnsi="Arial" w:cs="Arial"/>
          <w:sz w:val="22"/>
          <w:szCs w:val="22"/>
          <w:lang w:val="es-ES"/>
        </w:rPr>
      </w:pPr>
    </w:p>
    <w:p w14:paraId="662EAF10" w14:textId="77777777" w:rsidR="00342627" w:rsidRPr="00C82BD1" w:rsidRDefault="00342627" w:rsidP="001D2043">
      <w:pPr>
        <w:widowControl w:val="0"/>
        <w:jc w:val="both"/>
        <w:rPr>
          <w:rFonts w:ascii="Arial" w:hAnsi="Arial" w:cs="Arial"/>
          <w:spacing w:val="-2"/>
          <w:sz w:val="22"/>
          <w:szCs w:val="22"/>
          <w:lang w:val="es-ES"/>
        </w:rPr>
      </w:pPr>
      <w:r w:rsidRPr="00C82BD1">
        <w:rPr>
          <w:rFonts w:ascii="Arial" w:hAnsi="Arial" w:cs="Arial"/>
          <w:spacing w:val="-2"/>
          <w:sz w:val="22"/>
          <w:szCs w:val="22"/>
          <w:lang w:val="es-ES"/>
        </w:rPr>
        <w:t>Dado que la duración del programa es de cinco años, se ajustó el costo a partir del segundo año con base al aumento por inflación de Nicaragua y se trajeron dichos valores a valor presente neto para así poder estimar el costo beneficio del total de los cinco años. Se ajustó el costo para los cuatro años siguientes de acuerdo a la tasa de inflación estimada para Nicaragua (8,86%) y se empleó una tasa de descuento del 10%</w:t>
      </w:r>
      <w:r w:rsidRPr="00C82BD1">
        <w:rPr>
          <w:rStyle w:val="FootnoteReference"/>
          <w:rFonts w:ascii="Arial" w:hAnsi="Arial" w:cs="Arial"/>
          <w:spacing w:val="-2"/>
          <w:sz w:val="22"/>
          <w:szCs w:val="22"/>
          <w:lang w:val="es-ES"/>
        </w:rPr>
        <w:footnoteReference w:id="6"/>
      </w:r>
      <w:r w:rsidRPr="00C82BD1">
        <w:rPr>
          <w:rFonts w:ascii="Arial" w:hAnsi="Arial" w:cs="Arial"/>
          <w:spacing w:val="-2"/>
          <w:sz w:val="22"/>
          <w:szCs w:val="22"/>
          <w:lang w:val="es-ES"/>
        </w:rPr>
        <w:t>,</w:t>
      </w:r>
      <w:r w:rsidR="00926B15" w:rsidRPr="00C82BD1">
        <w:rPr>
          <w:rFonts w:ascii="Arial" w:hAnsi="Arial" w:cs="Arial"/>
          <w:spacing w:val="-2"/>
          <w:sz w:val="22"/>
          <w:szCs w:val="22"/>
          <w:lang w:val="es-ES"/>
        </w:rPr>
        <w:t xml:space="preserve"> por un costo total de US</w:t>
      </w:r>
      <w:r w:rsidR="0035103D" w:rsidRPr="00C82BD1">
        <w:rPr>
          <w:rFonts w:ascii="Arial" w:hAnsi="Arial" w:cs="Arial"/>
          <w:spacing w:val="-2"/>
          <w:sz w:val="22"/>
          <w:szCs w:val="22"/>
          <w:lang w:val="es-ES"/>
        </w:rPr>
        <w:t>$</w:t>
      </w:r>
      <w:r w:rsidR="00926B15" w:rsidRPr="00C82BD1">
        <w:rPr>
          <w:rFonts w:ascii="Arial" w:hAnsi="Arial" w:cs="Arial"/>
          <w:spacing w:val="-2"/>
          <w:sz w:val="22"/>
          <w:szCs w:val="22"/>
          <w:lang w:val="es-ES"/>
        </w:rPr>
        <w:t xml:space="preserve"> 8.785.669,88</w:t>
      </w:r>
    </w:p>
    <w:p w14:paraId="662EAF11" w14:textId="77777777" w:rsidR="00DF3DD8" w:rsidRPr="00C82BD1" w:rsidRDefault="00DF3DD8" w:rsidP="001D2043">
      <w:pPr>
        <w:widowControl w:val="0"/>
        <w:jc w:val="both"/>
        <w:rPr>
          <w:rFonts w:ascii="Arial" w:hAnsi="Arial" w:cs="Arial"/>
          <w:spacing w:val="-2"/>
          <w:sz w:val="22"/>
          <w:szCs w:val="22"/>
          <w:lang w:val="es-ES"/>
        </w:rPr>
      </w:pPr>
    </w:p>
    <w:p w14:paraId="662EAF12" w14:textId="77777777" w:rsidR="0072007A" w:rsidRPr="00C82BD1" w:rsidRDefault="0072007A" w:rsidP="001D2043">
      <w:pPr>
        <w:widowControl w:val="0"/>
        <w:jc w:val="both"/>
        <w:rPr>
          <w:rFonts w:ascii="Arial" w:hAnsi="Arial" w:cs="Arial"/>
          <w:spacing w:val="-2"/>
          <w:sz w:val="22"/>
          <w:szCs w:val="22"/>
          <w:lang w:val="es-ES"/>
        </w:rPr>
      </w:pPr>
    </w:p>
    <w:p w14:paraId="662EAF13" w14:textId="77777777" w:rsidR="00DF3DD8" w:rsidRPr="00C82BD1" w:rsidRDefault="00DF3DD8" w:rsidP="00926B15">
      <w:pPr>
        <w:pStyle w:val="ListParagraph"/>
        <w:spacing w:after="0" w:line="240" w:lineRule="auto"/>
        <w:ind w:left="0"/>
        <w:jc w:val="center"/>
        <w:rPr>
          <w:rFonts w:ascii="Arial" w:hAnsi="Arial" w:cs="Arial"/>
          <w:b/>
          <w:sz w:val="18"/>
          <w:lang w:val="es-ES"/>
        </w:rPr>
      </w:pPr>
      <w:r w:rsidRPr="00C82BD1">
        <w:rPr>
          <w:rFonts w:ascii="Arial" w:hAnsi="Arial" w:cs="Arial"/>
          <w:b/>
          <w:sz w:val="18"/>
          <w:lang w:val="es-ES"/>
        </w:rPr>
        <w:t xml:space="preserve">Cuadro 4: </w:t>
      </w:r>
      <w:r w:rsidR="00926B15" w:rsidRPr="00C82BD1">
        <w:rPr>
          <w:rFonts w:ascii="Arial" w:hAnsi="Arial" w:cs="Arial"/>
          <w:b/>
          <w:sz w:val="18"/>
          <w:szCs w:val="18"/>
          <w:lang w:val="es-ES"/>
        </w:rPr>
        <w:t xml:space="preserve">Valor presente neto del gasto total de </w:t>
      </w:r>
      <w:r w:rsidRPr="00C82BD1">
        <w:rPr>
          <w:rFonts w:ascii="Arial" w:hAnsi="Arial" w:cs="Arial"/>
          <w:b/>
          <w:sz w:val="18"/>
          <w:lang w:val="es-ES"/>
        </w:rPr>
        <w:t>intervenciones de mejoramiento vial</w:t>
      </w:r>
      <w:r w:rsidR="00926B15" w:rsidRPr="00C82BD1">
        <w:rPr>
          <w:rFonts w:ascii="Arial" w:hAnsi="Arial" w:cs="Arial"/>
          <w:b/>
          <w:sz w:val="18"/>
          <w:lang w:val="es-ES"/>
        </w:rPr>
        <w:t xml:space="preserve"> a 5 años</w:t>
      </w:r>
      <w:r w:rsidR="00D61C85" w:rsidRPr="00C82BD1">
        <w:rPr>
          <w:rFonts w:ascii="Arial" w:hAnsi="Arial" w:cs="Arial"/>
          <w:b/>
          <w:sz w:val="18"/>
          <w:lang w:val="es-ES"/>
        </w:rPr>
        <w:t xml:space="preserve"> (en US$)</w:t>
      </w:r>
    </w:p>
    <w:tbl>
      <w:tblPr>
        <w:tblStyle w:val="TableGrid"/>
        <w:tblW w:w="5000" w:type="pct"/>
        <w:tblLook w:val="04A0" w:firstRow="1" w:lastRow="0" w:firstColumn="1" w:lastColumn="0" w:noHBand="0" w:noVBand="1"/>
      </w:tblPr>
      <w:tblGrid>
        <w:gridCol w:w="1047"/>
        <w:gridCol w:w="1277"/>
        <w:gridCol w:w="1406"/>
        <w:gridCol w:w="1406"/>
        <w:gridCol w:w="1406"/>
        <w:gridCol w:w="1406"/>
        <w:gridCol w:w="1402"/>
      </w:tblGrid>
      <w:tr w:rsidR="009A16F1" w:rsidRPr="00C82BD1" w14:paraId="662EAF17" w14:textId="77777777" w:rsidTr="009A16F1">
        <w:trPr>
          <w:trHeight w:val="207"/>
        </w:trPr>
        <w:tc>
          <w:tcPr>
            <w:tcW w:w="535" w:type="pct"/>
            <w:vMerge w:val="restart"/>
            <w:shd w:val="clear" w:color="auto" w:fill="548DD4" w:themeFill="text2" w:themeFillTint="99"/>
          </w:tcPr>
          <w:p w14:paraId="662EAF14" w14:textId="77777777" w:rsidR="00DF3DD8" w:rsidRPr="00C82BD1" w:rsidRDefault="00DF3DD8" w:rsidP="00D61C85">
            <w:pPr>
              <w:widowControl w:val="0"/>
              <w:spacing w:after="40"/>
              <w:jc w:val="center"/>
              <w:rPr>
                <w:rFonts w:ascii="Arial" w:hAnsi="Arial" w:cs="Arial"/>
                <w:b/>
                <w:sz w:val="18"/>
                <w:szCs w:val="18"/>
                <w:lang w:val="es-ES"/>
              </w:rPr>
            </w:pPr>
            <w:r w:rsidRPr="00C82BD1">
              <w:rPr>
                <w:rFonts w:ascii="Arial" w:hAnsi="Arial" w:cs="Arial"/>
                <w:b/>
                <w:sz w:val="18"/>
                <w:szCs w:val="18"/>
                <w:lang w:val="es-ES"/>
              </w:rPr>
              <w:t>Categoría</w:t>
            </w:r>
          </w:p>
        </w:tc>
        <w:tc>
          <w:tcPr>
            <w:tcW w:w="3709" w:type="pct"/>
            <w:gridSpan w:val="5"/>
            <w:shd w:val="clear" w:color="auto" w:fill="548DD4" w:themeFill="text2" w:themeFillTint="99"/>
          </w:tcPr>
          <w:p w14:paraId="662EAF15" w14:textId="77777777" w:rsidR="00DF3DD8" w:rsidRPr="00C82BD1" w:rsidRDefault="00DF3DD8" w:rsidP="00D61C85">
            <w:pPr>
              <w:widowControl w:val="0"/>
              <w:spacing w:after="40"/>
              <w:jc w:val="center"/>
              <w:rPr>
                <w:rFonts w:ascii="Arial" w:hAnsi="Arial" w:cs="Arial"/>
                <w:b/>
                <w:sz w:val="18"/>
                <w:szCs w:val="18"/>
                <w:lang w:val="es-ES"/>
              </w:rPr>
            </w:pPr>
            <w:r w:rsidRPr="00C82BD1">
              <w:rPr>
                <w:rFonts w:ascii="Arial" w:hAnsi="Arial" w:cs="Arial"/>
                <w:b/>
                <w:sz w:val="18"/>
                <w:szCs w:val="18"/>
                <w:lang w:val="es-ES"/>
              </w:rPr>
              <w:t>Años del proyecto</w:t>
            </w:r>
          </w:p>
        </w:tc>
        <w:tc>
          <w:tcPr>
            <w:tcW w:w="756" w:type="pct"/>
            <w:vMerge w:val="restart"/>
            <w:shd w:val="clear" w:color="auto" w:fill="548DD4" w:themeFill="text2" w:themeFillTint="99"/>
          </w:tcPr>
          <w:p w14:paraId="662EAF16" w14:textId="77777777" w:rsidR="00DF3DD8" w:rsidRPr="00C82BD1" w:rsidRDefault="00DF3DD8" w:rsidP="00D61C85">
            <w:pPr>
              <w:widowControl w:val="0"/>
              <w:spacing w:after="40"/>
              <w:jc w:val="center"/>
              <w:rPr>
                <w:rFonts w:ascii="Arial" w:hAnsi="Arial" w:cs="Arial"/>
                <w:b/>
                <w:sz w:val="18"/>
                <w:szCs w:val="18"/>
                <w:lang w:val="es-ES"/>
              </w:rPr>
            </w:pPr>
            <w:r w:rsidRPr="00C82BD1">
              <w:rPr>
                <w:rFonts w:ascii="Arial" w:hAnsi="Arial" w:cs="Arial"/>
                <w:b/>
                <w:sz w:val="18"/>
                <w:szCs w:val="18"/>
                <w:lang w:val="es-ES"/>
              </w:rPr>
              <w:t>TOTAL (US</w:t>
            </w:r>
            <w:r w:rsidR="00D61C85" w:rsidRPr="00C82BD1">
              <w:rPr>
                <w:rFonts w:ascii="Arial" w:hAnsi="Arial" w:cs="Arial"/>
                <w:b/>
                <w:sz w:val="18"/>
                <w:szCs w:val="18"/>
                <w:lang w:val="es-ES"/>
              </w:rPr>
              <w:t>$</w:t>
            </w:r>
            <w:r w:rsidRPr="00C82BD1">
              <w:rPr>
                <w:rFonts w:ascii="Arial" w:hAnsi="Arial" w:cs="Arial"/>
                <w:b/>
                <w:sz w:val="18"/>
                <w:szCs w:val="18"/>
                <w:lang w:val="es-ES"/>
              </w:rPr>
              <w:t>)</w:t>
            </w:r>
          </w:p>
        </w:tc>
      </w:tr>
      <w:tr w:rsidR="00D61C85" w:rsidRPr="00C82BD1" w14:paraId="662EAF1F" w14:textId="77777777" w:rsidTr="009A16F1">
        <w:trPr>
          <w:trHeight w:val="207"/>
        </w:trPr>
        <w:tc>
          <w:tcPr>
            <w:tcW w:w="535" w:type="pct"/>
            <w:vMerge/>
            <w:shd w:val="clear" w:color="auto" w:fill="548DD4" w:themeFill="text2" w:themeFillTint="99"/>
          </w:tcPr>
          <w:p w14:paraId="662EAF18" w14:textId="77777777" w:rsidR="00DF3DD8" w:rsidRPr="00C82BD1" w:rsidRDefault="00DF3DD8" w:rsidP="00D61C85">
            <w:pPr>
              <w:widowControl w:val="0"/>
              <w:spacing w:after="40"/>
              <w:jc w:val="center"/>
              <w:rPr>
                <w:rFonts w:ascii="Arial" w:hAnsi="Arial" w:cs="Arial"/>
                <w:b/>
                <w:sz w:val="18"/>
                <w:szCs w:val="18"/>
                <w:lang w:val="es-ES"/>
              </w:rPr>
            </w:pPr>
          </w:p>
        </w:tc>
        <w:tc>
          <w:tcPr>
            <w:tcW w:w="687" w:type="pct"/>
            <w:shd w:val="clear" w:color="auto" w:fill="548DD4" w:themeFill="text2" w:themeFillTint="99"/>
          </w:tcPr>
          <w:p w14:paraId="662EAF19" w14:textId="77777777" w:rsidR="00DF3DD8" w:rsidRPr="00C82BD1" w:rsidRDefault="00DF3DD8" w:rsidP="00D61C85">
            <w:pPr>
              <w:widowControl w:val="0"/>
              <w:spacing w:after="40"/>
              <w:jc w:val="center"/>
              <w:rPr>
                <w:rFonts w:ascii="Arial" w:hAnsi="Arial" w:cs="Arial"/>
                <w:b/>
                <w:sz w:val="18"/>
                <w:szCs w:val="18"/>
                <w:lang w:val="es-ES"/>
              </w:rPr>
            </w:pPr>
            <w:r w:rsidRPr="00C82BD1">
              <w:rPr>
                <w:rFonts w:ascii="Arial" w:hAnsi="Arial" w:cs="Arial"/>
                <w:b/>
                <w:sz w:val="18"/>
                <w:szCs w:val="18"/>
                <w:lang w:val="es-ES"/>
              </w:rPr>
              <w:t>2018</w:t>
            </w:r>
          </w:p>
        </w:tc>
        <w:tc>
          <w:tcPr>
            <w:tcW w:w="756" w:type="pct"/>
            <w:shd w:val="clear" w:color="auto" w:fill="548DD4" w:themeFill="text2" w:themeFillTint="99"/>
          </w:tcPr>
          <w:p w14:paraId="662EAF1A" w14:textId="77777777" w:rsidR="00DF3DD8" w:rsidRPr="00C82BD1" w:rsidRDefault="00DF3DD8" w:rsidP="00D61C85">
            <w:pPr>
              <w:widowControl w:val="0"/>
              <w:spacing w:after="40"/>
              <w:jc w:val="center"/>
              <w:rPr>
                <w:rFonts w:ascii="Arial" w:hAnsi="Arial" w:cs="Arial"/>
                <w:b/>
                <w:sz w:val="18"/>
                <w:szCs w:val="18"/>
                <w:lang w:val="es-ES"/>
              </w:rPr>
            </w:pPr>
            <w:r w:rsidRPr="00C82BD1">
              <w:rPr>
                <w:rFonts w:ascii="Arial" w:hAnsi="Arial" w:cs="Arial"/>
                <w:b/>
                <w:sz w:val="18"/>
                <w:szCs w:val="18"/>
                <w:lang w:val="es-ES"/>
              </w:rPr>
              <w:t>2019</w:t>
            </w:r>
          </w:p>
        </w:tc>
        <w:tc>
          <w:tcPr>
            <w:tcW w:w="756" w:type="pct"/>
            <w:shd w:val="clear" w:color="auto" w:fill="548DD4" w:themeFill="text2" w:themeFillTint="99"/>
          </w:tcPr>
          <w:p w14:paraId="662EAF1B" w14:textId="77777777" w:rsidR="00DF3DD8" w:rsidRPr="00C82BD1" w:rsidRDefault="00DF3DD8" w:rsidP="00D61C85">
            <w:pPr>
              <w:widowControl w:val="0"/>
              <w:spacing w:after="40"/>
              <w:jc w:val="center"/>
              <w:rPr>
                <w:rFonts w:ascii="Arial" w:hAnsi="Arial" w:cs="Arial"/>
                <w:b/>
                <w:sz w:val="18"/>
                <w:szCs w:val="18"/>
                <w:lang w:val="es-ES"/>
              </w:rPr>
            </w:pPr>
            <w:r w:rsidRPr="00C82BD1">
              <w:rPr>
                <w:rFonts w:ascii="Arial" w:hAnsi="Arial" w:cs="Arial"/>
                <w:b/>
                <w:sz w:val="18"/>
                <w:szCs w:val="18"/>
                <w:lang w:val="es-ES"/>
              </w:rPr>
              <w:t>2020</w:t>
            </w:r>
          </w:p>
        </w:tc>
        <w:tc>
          <w:tcPr>
            <w:tcW w:w="756" w:type="pct"/>
            <w:shd w:val="clear" w:color="auto" w:fill="548DD4" w:themeFill="text2" w:themeFillTint="99"/>
          </w:tcPr>
          <w:p w14:paraId="662EAF1C" w14:textId="77777777" w:rsidR="00DF3DD8" w:rsidRPr="00C82BD1" w:rsidRDefault="00DF3DD8" w:rsidP="00D61C85">
            <w:pPr>
              <w:widowControl w:val="0"/>
              <w:spacing w:after="40"/>
              <w:jc w:val="center"/>
              <w:rPr>
                <w:rFonts w:ascii="Arial" w:hAnsi="Arial" w:cs="Arial"/>
                <w:b/>
                <w:sz w:val="18"/>
                <w:szCs w:val="18"/>
                <w:lang w:val="es-ES"/>
              </w:rPr>
            </w:pPr>
            <w:r w:rsidRPr="00C82BD1">
              <w:rPr>
                <w:rFonts w:ascii="Arial" w:hAnsi="Arial" w:cs="Arial"/>
                <w:b/>
                <w:sz w:val="18"/>
                <w:szCs w:val="18"/>
                <w:lang w:val="es-ES"/>
              </w:rPr>
              <w:t>2021</w:t>
            </w:r>
          </w:p>
        </w:tc>
        <w:tc>
          <w:tcPr>
            <w:tcW w:w="756" w:type="pct"/>
            <w:shd w:val="clear" w:color="auto" w:fill="548DD4" w:themeFill="text2" w:themeFillTint="99"/>
          </w:tcPr>
          <w:p w14:paraId="662EAF1D" w14:textId="77777777" w:rsidR="00DF3DD8" w:rsidRPr="00C82BD1" w:rsidRDefault="00DF3DD8" w:rsidP="00D61C85">
            <w:pPr>
              <w:widowControl w:val="0"/>
              <w:spacing w:after="40"/>
              <w:jc w:val="center"/>
              <w:rPr>
                <w:rFonts w:ascii="Arial" w:hAnsi="Arial" w:cs="Arial"/>
                <w:b/>
                <w:sz w:val="18"/>
                <w:szCs w:val="18"/>
                <w:lang w:val="es-ES"/>
              </w:rPr>
            </w:pPr>
            <w:r w:rsidRPr="00C82BD1">
              <w:rPr>
                <w:rFonts w:ascii="Arial" w:hAnsi="Arial" w:cs="Arial"/>
                <w:b/>
                <w:sz w:val="18"/>
                <w:szCs w:val="18"/>
                <w:lang w:val="es-ES"/>
              </w:rPr>
              <w:t>2022</w:t>
            </w:r>
          </w:p>
        </w:tc>
        <w:tc>
          <w:tcPr>
            <w:tcW w:w="756" w:type="pct"/>
            <w:vMerge/>
            <w:shd w:val="clear" w:color="auto" w:fill="548DD4" w:themeFill="text2" w:themeFillTint="99"/>
          </w:tcPr>
          <w:p w14:paraId="662EAF1E" w14:textId="77777777" w:rsidR="00DF3DD8" w:rsidRPr="00C82BD1" w:rsidRDefault="00DF3DD8" w:rsidP="00D61C85">
            <w:pPr>
              <w:widowControl w:val="0"/>
              <w:spacing w:after="40"/>
              <w:jc w:val="center"/>
              <w:rPr>
                <w:rFonts w:ascii="Arial" w:hAnsi="Arial" w:cs="Arial"/>
                <w:b/>
                <w:sz w:val="18"/>
                <w:szCs w:val="18"/>
                <w:lang w:val="es-ES"/>
              </w:rPr>
            </w:pPr>
          </w:p>
        </w:tc>
      </w:tr>
      <w:tr w:rsidR="00D61C85" w:rsidRPr="00C82BD1" w14:paraId="662EAF27" w14:textId="77777777" w:rsidTr="00D61C85">
        <w:tc>
          <w:tcPr>
            <w:tcW w:w="535" w:type="pct"/>
            <w:vAlign w:val="bottom"/>
          </w:tcPr>
          <w:p w14:paraId="662EAF20" w14:textId="77777777" w:rsidR="00926B15" w:rsidRPr="00C82BD1" w:rsidRDefault="00926B15" w:rsidP="00D61C85">
            <w:pPr>
              <w:widowControl w:val="0"/>
              <w:spacing w:after="40"/>
              <w:jc w:val="center"/>
              <w:rPr>
                <w:rFonts w:ascii="Arial" w:hAnsi="Arial" w:cs="Arial"/>
                <w:sz w:val="18"/>
                <w:szCs w:val="18"/>
                <w:lang w:val="es-ES"/>
              </w:rPr>
            </w:pPr>
            <w:r w:rsidRPr="00C82BD1">
              <w:rPr>
                <w:rFonts w:ascii="Arial" w:hAnsi="Arial" w:cs="Arial"/>
                <w:sz w:val="18"/>
                <w:szCs w:val="18"/>
                <w:lang w:val="es-ES"/>
              </w:rPr>
              <w:t>Costo</w:t>
            </w:r>
          </w:p>
        </w:tc>
        <w:tc>
          <w:tcPr>
            <w:tcW w:w="687" w:type="pct"/>
          </w:tcPr>
          <w:p w14:paraId="662EAF21" w14:textId="77777777" w:rsidR="00926B15" w:rsidRPr="00C82BD1" w:rsidRDefault="00926B15" w:rsidP="00D61C85">
            <w:pPr>
              <w:widowControl w:val="0"/>
              <w:spacing w:after="40"/>
              <w:jc w:val="center"/>
              <w:rPr>
                <w:rFonts w:ascii="Arial" w:hAnsi="Arial" w:cs="Arial"/>
                <w:color w:val="000000"/>
                <w:sz w:val="18"/>
                <w:szCs w:val="18"/>
                <w:lang w:val="es-ES"/>
              </w:rPr>
            </w:pPr>
            <w:r w:rsidRPr="00C82BD1">
              <w:rPr>
                <w:rFonts w:ascii="Arial" w:hAnsi="Arial" w:cs="Arial"/>
                <w:color w:val="000000"/>
                <w:sz w:val="18"/>
                <w:szCs w:val="18"/>
                <w:lang w:val="es-ES"/>
              </w:rPr>
              <w:t>500.000</w:t>
            </w:r>
            <w:r w:rsidR="00D61C85" w:rsidRPr="00C82BD1">
              <w:rPr>
                <w:rFonts w:ascii="Arial" w:hAnsi="Arial" w:cs="Arial"/>
                <w:color w:val="000000"/>
                <w:sz w:val="18"/>
                <w:szCs w:val="18"/>
                <w:lang w:val="es-ES"/>
              </w:rPr>
              <w:t>,00</w:t>
            </w:r>
          </w:p>
        </w:tc>
        <w:tc>
          <w:tcPr>
            <w:tcW w:w="756" w:type="pct"/>
          </w:tcPr>
          <w:p w14:paraId="662EAF22" w14:textId="77777777" w:rsidR="00926B15" w:rsidRPr="00C82BD1" w:rsidRDefault="00926B15" w:rsidP="00D61C85">
            <w:pPr>
              <w:widowControl w:val="0"/>
              <w:spacing w:after="40"/>
              <w:jc w:val="center"/>
              <w:rPr>
                <w:rFonts w:ascii="Arial" w:hAnsi="Arial" w:cs="Arial"/>
                <w:color w:val="000000"/>
                <w:sz w:val="18"/>
                <w:szCs w:val="18"/>
                <w:lang w:val="es-ES"/>
              </w:rPr>
            </w:pPr>
            <w:r w:rsidRPr="00C82BD1">
              <w:rPr>
                <w:rFonts w:ascii="Arial" w:hAnsi="Arial" w:cs="Arial"/>
                <w:color w:val="000000"/>
                <w:sz w:val="18"/>
                <w:szCs w:val="18"/>
                <w:lang w:val="es-ES"/>
              </w:rPr>
              <w:t>1.300.000</w:t>
            </w:r>
            <w:r w:rsidR="00D61C85" w:rsidRPr="00C82BD1">
              <w:rPr>
                <w:rFonts w:ascii="Arial" w:hAnsi="Arial" w:cs="Arial"/>
                <w:color w:val="000000"/>
                <w:sz w:val="18"/>
                <w:szCs w:val="18"/>
                <w:lang w:val="es-ES"/>
              </w:rPr>
              <w:t>,00</w:t>
            </w:r>
          </w:p>
        </w:tc>
        <w:tc>
          <w:tcPr>
            <w:tcW w:w="756" w:type="pct"/>
          </w:tcPr>
          <w:p w14:paraId="662EAF23" w14:textId="77777777" w:rsidR="00926B15" w:rsidRPr="00C82BD1" w:rsidRDefault="00926B15" w:rsidP="00D61C85">
            <w:pPr>
              <w:widowControl w:val="0"/>
              <w:spacing w:after="40"/>
              <w:jc w:val="center"/>
              <w:rPr>
                <w:rFonts w:ascii="Arial" w:hAnsi="Arial" w:cs="Arial"/>
                <w:color w:val="000000"/>
                <w:sz w:val="18"/>
                <w:szCs w:val="18"/>
                <w:lang w:val="es-ES"/>
              </w:rPr>
            </w:pPr>
            <w:r w:rsidRPr="00C82BD1">
              <w:rPr>
                <w:rFonts w:ascii="Arial" w:hAnsi="Arial" w:cs="Arial"/>
                <w:color w:val="000000"/>
                <w:sz w:val="18"/>
                <w:szCs w:val="18"/>
                <w:lang w:val="es-ES"/>
              </w:rPr>
              <w:t>2.100.000</w:t>
            </w:r>
            <w:r w:rsidR="00D61C85" w:rsidRPr="00C82BD1">
              <w:rPr>
                <w:rFonts w:ascii="Arial" w:hAnsi="Arial" w:cs="Arial"/>
                <w:color w:val="000000"/>
                <w:sz w:val="18"/>
                <w:szCs w:val="18"/>
                <w:lang w:val="es-ES"/>
              </w:rPr>
              <w:t>,00</w:t>
            </w:r>
          </w:p>
        </w:tc>
        <w:tc>
          <w:tcPr>
            <w:tcW w:w="756" w:type="pct"/>
          </w:tcPr>
          <w:p w14:paraId="662EAF24" w14:textId="77777777" w:rsidR="00926B15" w:rsidRPr="00C82BD1" w:rsidRDefault="00926B15" w:rsidP="00D61C85">
            <w:pPr>
              <w:widowControl w:val="0"/>
              <w:spacing w:after="40"/>
              <w:jc w:val="center"/>
              <w:rPr>
                <w:rFonts w:ascii="Arial" w:hAnsi="Arial" w:cs="Arial"/>
                <w:color w:val="000000"/>
                <w:sz w:val="18"/>
                <w:szCs w:val="18"/>
                <w:lang w:val="es-ES"/>
              </w:rPr>
            </w:pPr>
            <w:r w:rsidRPr="00C82BD1">
              <w:rPr>
                <w:rFonts w:ascii="Arial" w:hAnsi="Arial" w:cs="Arial"/>
                <w:color w:val="000000"/>
                <w:sz w:val="18"/>
                <w:szCs w:val="18"/>
                <w:lang w:val="es-ES"/>
              </w:rPr>
              <w:t>4.050.000</w:t>
            </w:r>
            <w:r w:rsidR="00D61C85" w:rsidRPr="00C82BD1">
              <w:rPr>
                <w:rFonts w:ascii="Arial" w:hAnsi="Arial" w:cs="Arial"/>
                <w:color w:val="000000"/>
                <w:sz w:val="18"/>
                <w:szCs w:val="18"/>
                <w:lang w:val="es-ES"/>
              </w:rPr>
              <w:t>,00</w:t>
            </w:r>
          </w:p>
        </w:tc>
        <w:tc>
          <w:tcPr>
            <w:tcW w:w="756" w:type="pct"/>
          </w:tcPr>
          <w:p w14:paraId="662EAF25" w14:textId="77777777" w:rsidR="00926B15" w:rsidRPr="00C82BD1" w:rsidRDefault="00926B15" w:rsidP="00D61C85">
            <w:pPr>
              <w:widowControl w:val="0"/>
              <w:spacing w:after="40"/>
              <w:jc w:val="center"/>
              <w:rPr>
                <w:rFonts w:ascii="Arial" w:hAnsi="Arial" w:cs="Arial"/>
                <w:color w:val="000000"/>
                <w:sz w:val="18"/>
                <w:szCs w:val="18"/>
                <w:lang w:val="es-ES"/>
              </w:rPr>
            </w:pPr>
            <w:r w:rsidRPr="00C82BD1">
              <w:rPr>
                <w:rFonts w:ascii="Arial" w:hAnsi="Arial" w:cs="Arial"/>
                <w:color w:val="000000"/>
                <w:sz w:val="18"/>
                <w:szCs w:val="18"/>
                <w:lang w:val="es-ES"/>
              </w:rPr>
              <w:t>1.050.000</w:t>
            </w:r>
            <w:r w:rsidR="00D61C85" w:rsidRPr="00C82BD1">
              <w:rPr>
                <w:rFonts w:ascii="Arial" w:hAnsi="Arial" w:cs="Arial"/>
                <w:color w:val="000000"/>
                <w:sz w:val="18"/>
                <w:szCs w:val="18"/>
                <w:lang w:val="es-ES"/>
              </w:rPr>
              <w:t>,00</w:t>
            </w:r>
          </w:p>
        </w:tc>
        <w:tc>
          <w:tcPr>
            <w:tcW w:w="756" w:type="pct"/>
          </w:tcPr>
          <w:p w14:paraId="662EAF26" w14:textId="77777777" w:rsidR="00926B15" w:rsidRPr="00C82BD1" w:rsidRDefault="00926B15" w:rsidP="00D61C85">
            <w:pPr>
              <w:widowControl w:val="0"/>
              <w:spacing w:after="40"/>
              <w:jc w:val="center"/>
              <w:rPr>
                <w:rFonts w:ascii="Arial" w:hAnsi="Arial" w:cs="Arial"/>
                <w:color w:val="000000"/>
                <w:sz w:val="18"/>
                <w:szCs w:val="18"/>
                <w:lang w:val="es-ES"/>
              </w:rPr>
            </w:pPr>
            <w:r w:rsidRPr="00C82BD1">
              <w:rPr>
                <w:rFonts w:ascii="Arial" w:hAnsi="Arial" w:cs="Arial"/>
                <w:color w:val="000000"/>
                <w:sz w:val="18"/>
                <w:szCs w:val="18"/>
                <w:lang w:val="es-ES"/>
              </w:rPr>
              <w:t>9.000.000</w:t>
            </w:r>
            <w:r w:rsidR="00D61C85" w:rsidRPr="00C82BD1">
              <w:rPr>
                <w:rFonts w:ascii="Arial" w:hAnsi="Arial" w:cs="Arial"/>
                <w:color w:val="000000"/>
                <w:sz w:val="18"/>
                <w:szCs w:val="18"/>
                <w:lang w:val="es-ES"/>
              </w:rPr>
              <w:t>,00</w:t>
            </w:r>
          </w:p>
        </w:tc>
      </w:tr>
      <w:tr w:rsidR="00D61C85" w:rsidRPr="00C82BD1" w14:paraId="662EAF2F" w14:textId="77777777" w:rsidTr="00D61C85">
        <w:tc>
          <w:tcPr>
            <w:tcW w:w="535" w:type="pct"/>
            <w:vAlign w:val="bottom"/>
          </w:tcPr>
          <w:p w14:paraId="662EAF28" w14:textId="77777777" w:rsidR="00926B15" w:rsidRPr="00C82BD1" w:rsidRDefault="00926B15" w:rsidP="00D61C85">
            <w:pPr>
              <w:widowControl w:val="0"/>
              <w:spacing w:after="40"/>
              <w:jc w:val="center"/>
              <w:rPr>
                <w:rFonts w:ascii="Arial" w:hAnsi="Arial" w:cs="Arial"/>
                <w:sz w:val="18"/>
                <w:szCs w:val="18"/>
                <w:lang w:val="es-ES"/>
              </w:rPr>
            </w:pPr>
            <w:r w:rsidRPr="00C82BD1">
              <w:rPr>
                <w:rFonts w:ascii="Arial" w:hAnsi="Arial" w:cs="Arial"/>
                <w:sz w:val="18"/>
                <w:szCs w:val="18"/>
                <w:lang w:val="es-ES"/>
              </w:rPr>
              <w:t>VPN</w:t>
            </w:r>
          </w:p>
        </w:tc>
        <w:tc>
          <w:tcPr>
            <w:tcW w:w="687" w:type="pct"/>
            <w:vAlign w:val="bottom"/>
          </w:tcPr>
          <w:p w14:paraId="662EAF29" w14:textId="77777777" w:rsidR="00926B15" w:rsidRPr="00C82BD1" w:rsidRDefault="00D61C85" w:rsidP="00D61C85">
            <w:pPr>
              <w:widowControl w:val="0"/>
              <w:spacing w:after="40"/>
              <w:jc w:val="center"/>
              <w:rPr>
                <w:rFonts w:ascii="Arial" w:hAnsi="Arial" w:cs="Arial"/>
                <w:color w:val="000000"/>
                <w:sz w:val="18"/>
                <w:szCs w:val="18"/>
                <w:lang w:val="es-ES"/>
              </w:rPr>
            </w:pPr>
            <w:r w:rsidRPr="00C82BD1">
              <w:rPr>
                <w:rFonts w:ascii="Arial" w:hAnsi="Arial" w:cs="Arial"/>
                <w:color w:val="000000"/>
                <w:sz w:val="18"/>
                <w:szCs w:val="18"/>
                <w:lang w:val="es-ES"/>
              </w:rPr>
              <w:t xml:space="preserve"> 500.000,00</w:t>
            </w:r>
          </w:p>
        </w:tc>
        <w:tc>
          <w:tcPr>
            <w:tcW w:w="756" w:type="pct"/>
            <w:vAlign w:val="bottom"/>
          </w:tcPr>
          <w:p w14:paraId="662EAF2A" w14:textId="77777777" w:rsidR="00926B15" w:rsidRPr="00C82BD1" w:rsidRDefault="00D61C85" w:rsidP="00D61C85">
            <w:pPr>
              <w:widowControl w:val="0"/>
              <w:spacing w:after="40"/>
              <w:jc w:val="center"/>
              <w:rPr>
                <w:rFonts w:ascii="Arial" w:hAnsi="Arial" w:cs="Arial"/>
                <w:color w:val="000000"/>
                <w:sz w:val="18"/>
                <w:szCs w:val="18"/>
                <w:lang w:val="es-ES"/>
              </w:rPr>
            </w:pPr>
            <w:r w:rsidRPr="00C82BD1">
              <w:rPr>
                <w:rFonts w:ascii="Arial" w:hAnsi="Arial" w:cs="Arial"/>
                <w:color w:val="000000"/>
                <w:sz w:val="18"/>
                <w:szCs w:val="18"/>
                <w:lang w:val="es-ES"/>
              </w:rPr>
              <w:t xml:space="preserve"> </w:t>
            </w:r>
            <w:r w:rsidR="00926B15" w:rsidRPr="00C82BD1">
              <w:rPr>
                <w:rFonts w:ascii="Arial" w:hAnsi="Arial" w:cs="Arial"/>
                <w:color w:val="000000"/>
                <w:sz w:val="18"/>
                <w:szCs w:val="18"/>
                <w:lang w:val="es-ES"/>
              </w:rPr>
              <w:t xml:space="preserve">1.287.128,71 </w:t>
            </w:r>
          </w:p>
        </w:tc>
        <w:tc>
          <w:tcPr>
            <w:tcW w:w="756" w:type="pct"/>
            <w:vAlign w:val="bottom"/>
          </w:tcPr>
          <w:p w14:paraId="662EAF2B" w14:textId="77777777" w:rsidR="00926B15" w:rsidRPr="00C82BD1" w:rsidRDefault="00D61C85" w:rsidP="00D61C85">
            <w:pPr>
              <w:widowControl w:val="0"/>
              <w:spacing w:after="40"/>
              <w:jc w:val="center"/>
              <w:rPr>
                <w:rFonts w:ascii="Arial" w:hAnsi="Arial" w:cs="Arial"/>
                <w:color w:val="000000"/>
                <w:sz w:val="18"/>
                <w:szCs w:val="18"/>
                <w:lang w:val="es-ES"/>
              </w:rPr>
            </w:pPr>
            <w:r w:rsidRPr="00C82BD1">
              <w:rPr>
                <w:rFonts w:ascii="Arial" w:hAnsi="Arial" w:cs="Arial"/>
                <w:color w:val="000000"/>
                <w:sz w:val="18"/>
                <w:szCs w:val="18"/>
                <w:lang w:val="es-ES"/>
              </w:rPr>
              <w:t xml:space="preserve"> </w:t>
            </w:r>
            <w:r w:rsidR="00926B15" w:rsidRPr="00C82BD1">
              <w:rPr>
                <w:rFonts w:ascii="Arial" w:hAnsi="Arial" w:cs="Arial"/>
                <w:color w:val="000000"/>
                <w:sz w:val="18"/>
                <w:szCs w:val="18"/>
                <w:lang w:val="es-ES"/>
              </w:rPr>
              <w:t xml:space="preserve">2.058.621,70 </w:t>
            </w:r>
          </w:p>
        </w:tc>
        <w:tc>
          <w:tcPr>
            <w:tcW w:w="756" w:type="pct"/>
            <w:vAlign w:val="bottom"/>
          </w:tcPr>
          <w:p w14:paraId="662EAF2C" w14:textId="77777777" w:rsidR="00926B15" w:rsidRPr="00C82BD1" w:rsidRDefault="00D61C85" w:rsidP="00D61C85">
            <w:pPr>
              <w:widowControl w:val="0"/>
              <w:spacing w:after="40"/>
              <w:jc w:val="center"/>
              <w:rPr>
                <w:rFonts w:ascii="Arial" w:hAnsi="Arial" w:cs="Arial"/>
                <w:color w:val="000000"/>
                <w:sz w:val="18"/>
                <w:szCs w:val="18"/>
                <w:lang w:val="es-ES"/>
              </w:rPr>
            </w:pPr>
            <w:r w:rsidRPr="00C82BD1">
              <w:rPr>
                <w:rFonts w:ascii="Arial" w:hAnsi="Arial" w:cs="Arial"/>
                <w:color w:val="000000"/>
                <w:sz w:val="18"/>
                <w:szCs w:val="18"/>
                <w:lang w:val="es-ES"/>
              </w:rPr>
              <w:t xml:space="preserve"> </w:t>
            </w:r>
            <w:r w:rsidR="00926B15" w:rsidRPr="00C82BD1">
              <w:rPr>
                <w:rFonts w:ascii="Arial" w:hAnsi="Arial" w:cs="Arial"/>
                <w:color w:val="000000"/>
                <w:sz w:val="18"/>
                <w:szCs w:val="18"/>
                <w:lang w:val="es-ES"/>
              </w:rPr>
              <w:t xml:space="preserve">3.930.890,10 </w:t>
            </w:r>
          </w:p>
        </w:tc>
        <w:tc>
          <w:tcPr>
            <w:tcW w:w="756" w:type="pct"/>
            <w:vAlign w:val="bottom"/>
          </w:tcPr>
          <w:p w14:paraId="662EAF2D" w14:textId="77777777" w:rsidR="00926B15" w:rsidRPr="00C82BD1" w:rsidRDefault="00D61C85" w:rsidP="00D61C85">
            <w:pPr>
              <w:widowControl w:val="0"/>
              <w:spacing w:after="40"/>
              <w:jc w:val="center"/>
              <w:rPr>
                <w:rFonts w:ascii="Arial" w:hAnsi="Arial" w:cs="Arial"/>
                <w:color w:val="000000"/>
                <w:sz w:val="18"/>
                <w:szCs w:val="18"/>
                <w:lang w:val="es-ES"/>
              </w:rPr>
            </w:pPr>
            <w:r w:rsidRPr="00C82BD1">
              <w:rPr>
                <w:rFonts w:ascii="Arial" w:hAnsi="Arial" w:cs="Arial"/>
                <w:color w:val="000000"/>
                <w:sz w:val="18"/>
                <w:szCs w:val="18"/>
                <w:lang w:val="es-ES"/>
              </w:rPr>
              <w:t xml:space="preserve"> </w:t>
            </w:r>
            <w:r w:rsidR="00926B15" w:rsidRPr="00C82BD1">
              <w:rPr>
                <w:rFonts w:ascii="Arial" w:hAnsi="Arial" w:cs="Arial"/>
                <w:color w:val="000000"/>
                <w:sz w:val="18"/>
                <w:szCs w:val="18"/>
                <w:lang w:val="es-ES"/>
              </w:rPr>
              <w:t xml:space="preserve">1.009.029,36 </w:t>
            </w:r>
          </w:p>
        </w:tc>
        <w:tc>
          <w:tcPr>
            <w:tcW w:w="756" w:type="pct"/>
            <w:vAlign w:val="bottom"/>
          </w:tcPr>
          <w:p w14:paraId="662EAF2E" w14:textId="77777777" w:rsidR="00926B15" w:rsidRPr="00C82BD1" w:rsidRDefault="00D61C85" w:rsidP="00D61C85">
            <w:pPr>
              <w:widowControl w:val="0"/>
              <w:spacing w:after="40"/>
              <w:jc w:val="center"/>
              <w:rPr>
                <w:rFonts w:ascii="Arial" w:hAnsi="Arial" w:cs="Arial"/>
                <w:color w:val="000000"/>
                <w:sz w:val="18"/>
                <w:szCs w:val="18"/>
                <w:lang w:val="es-ES"/>
              </w:rPr>
            </w:pPr>
            <w:r w:rsidRPr="00C82BD1">
              <w:rPr>
                <w:rFonts w:ascii="Arial" w:hAnsi="Arial" w:cs="Arial"/>
                <w:color w:val="000000"/>
                <w:sz w:val="18"/>
                <w:szCs w:val="18"/>
                <w:lang w:val="es-ES"/>
              </w:rPr>
              <w:t xml:space="preserve"> </w:t>
            </w:r>
            <w:r w:rsidR="00926B15" w:rsidRPr="00C82BD1">
              <w:rPr>
                <w:rFonts w:ascii="Arial" w:hAnsi="Arial" w:cs="Arial"/>
                <w:color w:val="000000"/>
                <w:sz w:val="18"/>
                <w:szCs w:val="18"/>
                <w:lang w:val="es-ES"/>
              </w:rPr>
              <w:t xml:space="preserve">8.785.669,88 </w:t>
            </w:r>
          </w:p>
        </w:tc>
      </w:tr>
    </w:tbl>
    <w:p w14:paraId="662EAF30" w14:textId="77777777" w:rsidR="00DF3DD8" w:rsidRPr="00C82BD1" w:rsidRDefault="00DF3DD8" w:rsidP="00DF3DD8">
      <w:pPr>
        <w:widowControl w:val="0"/>
        <w:jc w:val="center"/>
        <w:rPr>
          <w:rFonts w:ascii="Arial" w:hAnsi="Arial" w:cs="Arial"/>
          <w:sz w:val="18"/>
          <w:szCs w:val="22"/>
          <w:lang w:val="es-ES"/>
        </w:rPr>
      </w:pPr>
      <w:r w:rsidRPr="00C82BD1">
        <w:rPr>
          <w:rFonts w:ascii="Arial" w:hAnsi="Arial" w:cs="Arial"/>
          <w:sz w:val="18"/>
          <w:szCs w:val="22"/>
          <w:lang w:val="es-ES"/>
        </w:rPr>
        <w:t xml:space="preserve">Fuente: Elaboración propia </w:t>
      </w:r>
    </w:p>
    <w:p w14:paraId="662EAF31" w14:textId="77777777" w:rsidR="00DF3DD8" w:rsidRPr="00C82BD1" w:rsidRDefault="00DF3DD8" w:rsidP="001D2043">
      <w:pPr>
        <w:widowControl w:val="0"/>
        <w:jc w:val="both"/>
        <w:rPr>
          <w:rFonts w:ascii="Arial" w:hAnsi="Arial" w:cs="Arial"/>
          <w:sz w:val="22"/>
          <w:szCs w:val="22"/>
          <w:lang w:val="es-ES"/>
        </w:rPr>
      </w:pPr>
    </w:p>
    <w:p w14:paraId="662EAF32" w14:textId="77777777" w:rsidR="00D65BBE" w:rsidRPr="00C82BD1" w:rsidRDefault="00D65BBE" w:rsidP="00853F78">
      <w:pPr>
        <w:widowControl w:val="0"/>
        <w:spacing w:before="120"/>
        <w:rPr>
          <w:rFonts w:ascii="Arial" w:hAnsi="Arial" w:cs="Arial"/>
          <w:i/>
          <w:sz w:val="22"/>
          <w:szCs w:val="22"/>
          <w:u w:val="single"/>
          <w:lang w:val="es-ES"/>
        </w:rPr>
      </w:pPr>
      <w:r w:rsidRPr="00C82BD1">
        <w:rPr>
          <w:rFonts w:ascii="Arial" w:hAnsi="Arial" w:cs="Arial"/>
          <w:i/>
          <w:sz w:val="22"/>
          <w:szCs w:val="22"/>
          <w:u w:val="single"/>
          <w:lang w:val="es-ES"/>
        </w:rPr>
        <w:t>Costos de las mejoras a la provisión de los servicios de salud</w:t>
      </w:r>
    </w:p>
    <w:p w14:paraId="662EAF33" w14:textId="77777777" w:rsidR="00EA2186" w:rsidRPr="00C82BD1" w:rsidRDefault="00EA2186" w:rsidP="00131646">
      <w:pPr>
        <w:widowControl w:val="0"/>
        <w:spacing w:before="120" w:after="120"/>
        <w:jc w:val="both"/>
        <w:rPr>
          <w:rFonts w:ascii="Arial" w:hAnsi="Arial" w:cs="Arial"/>
          <w:spacing w:val="-2"/>
          <w:sz w:val="22"/>
          <w:szCs w:val="22"/>
          <w:lang w:val="es-ES"/>
        </w:rPr>
      </w:pPr>
      <w:r w:rsidRPr="00C82BD1">
        <w:rPr>
          <w:rFonts w:ascii="Arial" w:hAnsi="Arial" w:cs="Arial"/>
          <w:sz w:val="22"/>
          <w:szCs w:val="22"/>
          <w:lang w:val="es-ES"/>
        </w:rPr>
        <w:t>La presente operación</w:t>
      </w:r>
      <w:r w:rsidR="001D2B6B" w:rsidRPr="00C82BD1">
        <w:rPr>
          <w:rFonts w:ascii="Arial" w:hAnsi="Arial" w:cs="Arial"/>
          <w:sz w:val="22"/>
          <w:szCs w:val="22"/>
          <w:lang w:val="es-ES"/>
        </w:rPr>
        <w:t xml:space="preserve"> busca mejorar la calidad de la atención en salud, a través de la consolidación de las intervenciones en salud por ciclo de vida, el mejoramiento de la capacidad resolutiva de las redes priorizadas, la erradicación de la malaria y el control de otras enfermedades trasmisibles</w:t>
      </w:r>
      <w:r w:rsidR="005077FE" w:rsidRPr="00C82BD1">
        <w:rPr>
          <w:rFonts w:ascii="Arial" w:hAnsi="Arial" w:cs="Arial"/>
          <w:sz w:val="22"/>
          <w:szCs w:val="22"/>
          <w:lang w:val="es-ES"/>
        </w:rPr>
        <w:t xml:space="preserve">, y </w:t>
      </w:r>
      <w:r w:rsidR="001D2B6B" w:rsidRPr="00C82BD1">
        <w:rPr>
          <w:rFonts w:ascii="Arial" w:hAnsi="Arial" w:cs="Arial"/>
          <w:sz w:val="22"/>
          <w:szCs w:val="22"/>
          <w:lang w:val="es-ES"/>
        </w:rPr>
        <w:t>el fortalecimiento de la gestión del MOSAFC</w:t>
      </w:r>
      <w:r w:rsidR="005077FE" w:rsidRPr="00C82BD1">
        <w:rPr>
          <w:rFonts w:ascii="Arial" w:hAnsi="Arial" w:cs="Arial"/>
          <w:sz w:val="22"/>
          <w:szCs w:val="22"/>
          <w:lang w:val="es-ES"/>
        </w:rPr>
        <w:t xml:space="preserve">. </w:t>
      </w:r>
      <w:r w:rsidR="001227E8" w:rsidRPr="00C82BD1">
        <w:rPr>
          <w:rFonts w:ascii="Arial" w:hAnsi="Arial" w:cs="Arial"/>
          <w:sz w:val="22"/>
          <w:szCs w:val="22"/>
          <w:lang w:val="es-ES"/>
        </w:rPr>
        <w:t>Dichas intervenciones</w:t>
      </w:r>
      <w:r w:rsidR="00D05E00" w:rsidRPr="00C82BD1">
        <w:rPr>
          <w:rFonts w:ascii="Arial" w:hAnsi="Arial" w:cs="Arial"/>
          <w:sz w:val="22"/>
          <w:szCs w:val="22"/>
          <w:lang w:val="es-ES"/>
        </w:rPr>
        <w:t xml:space="preserve"> constituyen el 100% del Componente 2 y Componente 3 de la operación, sumando a </w:t>
      </w:r>
      <w:r w:rsidR="001227E8" w:rsidRPr="00C82BD1">
        <w:rPr>
          <w:rFonts w:ascii="Arial" w:hAnsi="Arial" w:cs="Arial"/>
          <w:sz w:val="22"/>
          <w:szCs w:val="22"/>
          <w:lang w:val="es-ES"/>
        </w:rPr>
        <w:t xml:space="preserve">$112 millones. </w:t>
      </w:r>
      <w:r w:rsidR="004B4214" w:rsidRPr="00C82BD1">
        <w:rPr>
          <w:rFonts w:ascii="Arial" w:hAnsi="Arial" w:cs="Arial"/>
          <w:spacing w:val="-2"/>
          <w:sz w:val="22"/>
          <w:szCs w:val="22"/>
          <w:lang w:val="es-ES"/>
        </w:rPr>
        <w:t xml:space="preserve">Al ajustar el costo </w:t>
      </w:r>
      <w:r w:rsidR="00C9356E" w:rsidRPr="00C82BD1">
        <w:rPr>
          <w:rFonts w:ascii="Arial" w:hAnsi="Arial" w:cs="Arial"/>
          <w:spacing w:val="-2"/>
          <w:sz w:val="22"/>
          <w:szCs w:val="22"/>
          <w:lang w:val="es-ES"/>
        </w:rPr>
        <w:t xml:space="preserve">de </w:t>
      </w:r>
      <w:r w:rsidR="004B4214" w:rsidRPr="00C82BD1">
        <w:rPr>
          <w:rFonts w:ascii="Arial" w:hAnsi="Arial" w:cs="Arial"/>
          <w:spacing w:val="-2"/>
          <w:sz w:val="22"/>
          <w:szCs w:val="22"/>
          <w:lang w:val="es-ES"/>
        </w:rPr>
        <w:t>acuerdo a la tasa de inflación estimada para Nicaragua (8,86%) y una tasa de descuento del 10%</w:t>
      </w:r>
      <w:r w:rsidR="00C9356E" w:rsidRPr="00C82BD1">
        <w:rPr>
          <w:rFonts w:ascii="Arial" w:hAnsi="Arial" w:cs="Arial"/>
          <w:spacing w:val="-2"/>
          <w:sz w:val="22"/>
          <w:szCs w:val="22"/>
          <w:lang w:val="es-ES"/>
        </w:rPr>
        <w:t xml:space="preserve">, se arroja un costo de </w:t>
      </w:r>
      <w:r w:rsidR="00036E1F" w:rsidRPr="00C82BD1">
        <w:rPr>
          <w:rFonts w:ascii="Arial" w:hAnsi="Arial" w:cs="Arial"/>
          <w:spacing w:val="-2"/>
          <w:sz w:val="22"/>
          <w:szCs w:val="22"/>
          <w:lang w:val="es-ES"/>
        </w:rPr>
        <w:t>$101 millones.</w:t>
      </w:r>
    </w:p>
    <w:p w14:paraId="662EAF34" w14:textId="77777777" w:rsidR="00036E1F" w:rsidRPr="00C82BD1" w:rsidRDefault="00036E1F" w:rsidP="001742E0">
      <w:pPr>
        <w:pStyle w:val="ListParagraph"/>
        <w:spacing w:after="120" w:line="240" w:lineRule="auto"/>
        <w:ind w:left="0"/>
        <w:contextualSpacing w:val="0"/>
        <w:jc w:val="center"/>
        <w:rPr>
          <w:rFonts w:ascii="Arial" w:hAnsi="Arial" w:cs="Arial"/>
          <w:b/>
          <w:sz w:val="18"/>
          <w:szCs w:val="18"/>
          <w:lang w:val="es-ES"/>
        </w:rPr>
      </w:pPr>
      <w:r w:rsidRPr="00C82BD1">
        <w:rPr>
          <w:rFonts w:ascii="Arial" w:hAnsi="Arial" w:cs="Arial"/>
          <w:b/>
          <w:sz w:val="18"/>
          <w:szCs w:val="18"/>
          <w:lang w:val="es-ES"/>
        </w:rPr>
        <w:t>Cuadro 6: Valor presente neto del gasto total a cinco años</w:t>
      </w:r>
    </w:p>
    <w:tbl>
      <w:tblPr>
        <w:tblStyle w:val="TableGrid"/>
        <w:tblW w:w="0" w:type="auto"/>
        <w:tblLook w:val="04A0" w:firstRow="1" w:lastRow="0" w:firstColumn="1" w:lastColumn="0" w:noHBand="0" w:noVBand="1"/>
      </w:tblPr>
      <w:tblGrid>
        <w:gridCol w:w="1298"/>
        <w:gridCol w:w="1341"/>
        <w:gridCol w:w="1340"/>
        <w:gridCol w:w="1340"/>
        <w:gridCol w:w="1340"/>
        <w:gridCol w:w="1340"/>
        <w:gridCol w:w="1351"/>
      </w:tblGrid>
      <w:tr w:rsidR="00036E1F" w:rsidRPr="00C82BD1" w14:paraId="662EAF38" w14:textId="77777777" w:rsidTr="00131646">
        <w:tc>
          <w:tcPr>
            <w:tcW w:w="1368" w:type="dxa"/>
            <w:vMerge w:val="restart"/>
            <w:shd w:val="clear" w:color="auto" w:fill="548DD4" w:themeFill="text2" w:themeFillTint="99"/>
          </w:tcPr>
          <w:p w14:paraId="662EAF35" w14:textId="77777777" w:rsidR="00036E1F" w:rsidRPr="00C82BD1" w:rsidRDefault="00036E1F" w:rsidP="00131646">
            <w:pPr>
              <w:widowControl w:val="0"/>
              <w:jc w:val="center"/>
              <w:rPr>
                <w:rFonts w:ascii="Arial" w:hAnsi="Arial" w:cs="Arial"/>
                <w:b/>
                <w:sz w:val="18"/>
                <w:szCs w:val="18"/>
                <w:lang w:val="es-ES"/>
              </w:rPr>
            </w:pPr>
          </w:p>
        </w:tc>
        <w:tc>
          <w:tcPr>
            <w:tcW w:w="6840" w:type="dxa"/>
            <w:gridSpan w:val="5"/>
            <w:shd w:val="clear" w:color="auto" w:fill="548DD4" w:themeFill="text2" w:themeFillTint="99"/>
          </w:tcPr>
          <w:p w14:paraId="662EAF36" w14:textId="77777777" w:rsidR="00036E1F" w:rsidRPr="00C82BD1" w:rsidRDefault="00036E1F" w:rsidP="00131646">
            <w:pPr>
              <w:widowControl w:val="0"/>
              <w:jc w:val="center"/>
              <w:rPr>
                <w:rFonts w:ascii="Arial" w:hAnsi="Arial" w:cs="Arial"/>
                <w:b/>
                <w:sz w:val="18"/>
                <w:szCs w:val="18"/>
                <w:lang w:val="es-ES"/>
              </w:rPr>
            </w:pPr>
            <w:r w:rsidRPr="00C82BD1">
              <w:rPr>
                <w:rFonts w:ascii="Arial" w:hAnsi="Arial" w:cs="Arial"/>
                <w:b/>
                <w:sz w:val="18"/>
                <w:szCs w:val="18"/>
                <w:lang w:val="es-ES"/>
              </w:rPr>
              <w:t>Años del Programa</w:t>
            </w:r>
          </w:p>
        </w:tc>
        <w:tc>
          <w:tcPr>
            <w:tcW w:w="1368" w:type="dxa"/>
            <w:vMerge w:val="restart"/>
            <w:shd w:val="clear" w:color="auto" w:fill="548DD4" w:themeFill="text2" w:themeFillTint="99"/>
          </w:tcPr>
          <w:p w14:paraId="662EAF37" w14:textId="77777777" w:rsidR="00036E1F" w:rsidRPr="00C82BD1" w:rsidRDefault="00036E1F" w:rsidP="00131646">
            <w:pPr>
              <w:widowControl w:val="0"/>
              <w:jc w:val="center"/>
              <w:rPr>
                <w:rFonts w:ascii="Arial" w:hAnsi="Arial" w:cs="Arial"/>
                <w:b/>
                <w:sz w:val="18"/>
                <w:szCs w:val="18"/>
                <w:lang w:val="es-ES"/>
              </w:rPr>
            </w:pPr>
            <w:r w:rsidRPr="00C82BD1">
              <w:rPr>
                <w:rFonts w:ascii="Arial" w:hAnsi="Arial" w:cs="Arial"/>
                <w:b/>
                <w:sz w:val="18"/>
                <w:szCs w:val="18"/>
                <w:lang w:val="es-ES"/>
              </w:rPr>
              <w:t>TOTAL</w:t>
            </w:r>
          </w:p>
        </w:tc>
      </w:tr>
      <w:tr w:rsidR="00036E1F" w:rsidRPr="00C82BD1" w14:paraId="662EAF40" w14:textId="77777777" w:rsidTr="00131646">
        <w:tc>
          <w:tcPr>
            <w:tcW w:w="1368" w:type="dxa"/>
            <w:vMerge/>
            <w:shd w:val="clear" w:color="auto" w:fill="548DD4" w:themeFill="text2" w:themeFillTint="99"/>
          </w:tcPr>
          <w:p w14:paraId="662EAF39" w14:textId="77777777" w:rsidR="00036E1F" w:rsidRPr="00C82BD1" w:rsidRDefault="00036E1F" w:rsidP="00131646">
            <w:pPr>
              <w:widowControl w:val="0"/>
              <w:jc w:val="center"/>
              <w:rPr>
                <w:rFonts w:ascii="Arial" w:hAnsi="Arial" w:cs="Arial"/>
                <w:b/>
                <w:sz w:val="18"/>
                <w:szCs w:val="18"/>
                <w:lang w:val="es-ES"/>
              </w:rPr>
            </w:pPr>
          </w:p>
        </w:tc>
        <w:tc>
          <w:tcPr>
            <w:tcW w:w="1368" w:type="dxa"/>
            <w:shd w:val="clear" w:color="auto" w:fill="548DD4" w:themeFill="text2" w:themeFillTint="99"/>
          </w:tcPr>
          <w:p w14:paraId="662EAF3A" w14:textId="77777777" w:rsidR="00036E1F" w:rsidRPr="00C82BD1" w:rsidRDefault="00036E1F" w:rsidP="00131646">
            <w:pPr>
              <w:widowControl w:val="0"/>
              <w:jc w:val="center"/>
              <w:rPr>
                <w:rFonts w:ascii="Arial" w:hAnsi="Arial" w:cs="Arial"/>
                <w:b/>
                <w:sz w:val="18"/>
                <w:szCs w:val="18"/>
                <w:lang w:val="es-ES"/>
              </w:rPr>
            </w:pPr>
            <w:r w:rsidRPr="00C82BD1">
              <w:rPr>
                <w:rFonts w:ascii="Arial" w:hAnsi="Arial" w:cs="Arial"/>
                <w:b/>
                <w:sz w:val="18"/>
                <w:szCs w:val="18"/>
                <w:lang w:val="es-ES"/>
              </w:rPr>
              <w:t>2018</w:t>
            </w:r>
          </w:p>
        </w:tc>
        <w:tc>
          <w:tcPr>
            <w:tcW w:w="1368" w:type="dxa"/>
            <w:shd w:val="clear" w:color="auto" w:fill="548DD4" w:themeFill="text2" w:themeFillTint="99"/>
          </w:tcPr>
          <w:p w14:paraId="662EAF3B" w14:textId="77777777" w:rsidR="00036E1F" w:rsidRPr="00C82BD1" w:rsidRDefault="00036E1F" w:rsidP="00131646">
            <w:pPr>
              <w:widowControl w:val="0"/>
              <w:jc w:val="center"/>
              <w:rPr>
                <w:rFonts w:ascii="Arial" w:hAnsi="Arial" w:cs="Arial"/>
                <w:b/>
                <w:sz w:val="18"/>
                <w:szCs w:val="18"/>
                <w:lang w:val="es-ES"/>
              </w:rPr>
            </w:pPr>
            <w:r w:rsidRPr="00C82BD1">
              <w:rPr>
                <w:rFonts w:ascii="Arial" w:hAnsi="Arial" w:cs="Arial"/>
                <w:b/>
                <w:sz w:val="18"/>
                <w:szCs w:val="18"/>
                <w:lang w:val="es-ES"/>
              </w:rPr>
              <w:t>2019</w:t>
            </w:r>
          </w:p>
        </w:tc>
        <w:tc>
          <w:tcPr>
            <w:tcW w:w="1368" w:type="dxa"/>
            <w:shd w:val="clear" w:color="auto" w:fill="548DD4" w:themeFill="text2" w:themeFillTint="99"/>
          </w:tcPr>
          <w:p w14:paraId="662EAF3C" w14:textId="77777777" w:rsidR="00036E1F" w:rsidRPr="00C82BD1" w:rsidRDefault="00036E1F" w:rsidP="00131646">
            <w:pPr>
              <w:widowControl w:val="0"/>
              <w:jc w:val="center"/>
              <w:rPr>
                <w:rFonts w:ascii="Arial" w:hAnsi="Arial" w:cs="Arial"/>
                <w:b/>
                <w:sz w:val="18"/>
                <w:szCs w:val="18"/>
                <w:lang w:val="es-ES"/>
              </w:rPr>
            </w:pPr>
            <w:r w:rsidRPr="00C82BD1">
              <w:rPr>
                <w:rFonts w:ascii="Arial" w:hAnsi="Arial" w:cs="Arial"/>
                <w:b/>
                <w:sz w:val="18"/>
                <w:szCs w:val="18"/>
                <w:lang w:val="es-ES"/>
              </w:rPr>
              <w:t>2020</w:t>
            </w:r>
          </w:p>
        </w:tc>
        <w:tc>
          <w:tcPr>
            <w:tcW w:w="1368" w:type="dxa"/>
            <w:shd w:val="clear" w:color="auto" w:fill="548DD4" w:themeFill="text2" w:themeFillTint="99"/>
          </w:tcPr>
          <w:p w14:paraId="662EAF3D" w14:textId="77777777" w:rsidR="00036E1F" w:rsidRPr="00C82BD1" w:rsidRDefault="00036E1F" w:rsidP="00131646">
            <w:pPr>
              <w:widowControl w:val="0"/>
              <w:jc w:val="center"/>
              <w:rPr>
                <w:rFonts w:ascii="Arial" w:hAnsi="Arial" w:cs="Arial"/>
                <w:b/>
                <w:sz w:val="18"/>
                <w:szCs w:val="18"/>
                <w:lang w:val="es-ES"/>
              </w:rPr>
            </w:pPr>
            <w:r w:rsidRPr="00C82BD1">
              <w:rPr>
                <w:rFonts w:ascii="Arial" w:hAnsi="Arial" w:cs="Arial"/>
                <w:b/>
                <w:sz w:val="18"/>
                <w:szCs w:val="18"/>
                <w:lang w:val="es-ES"/>
              </w:rPr>
              <w:t>2021</w:t>
            </w:r>
          </w:p>
        </w:tc>
        <w:tc>
          <w:tcPr>
            <w:tcW w:w="1368" w:type="dxa"/>
            <w:shd w:val="clear" w:color="auto" w:fill="548DD4" w:themeFill="text2" w:themeFillTint="99"/>
          </w:tcPr>
          <w:p w14:paraId="662EAF3E" w14:textId="77777777" w:rsidR="00036E1F" w:rsidRPr="00C82BD1" w:rsidRDefault="00036E1F" w:rsidP="00131646">
            <w:pPr>
              <w:widowControl w:val="0"/>
              <w:jc w:val="center"/>
              <w:rPr>
                <w:rFonts w:ascii="Arial" w:hAnsi="Arial" w:cs="Arial"/>
                <w:b/>
                <w:sz w:val="18"/>
                <w:szCs w:val="18"/>
                <w:lang w:val="es-ES"/>
              </w:rPr>
            </w:pPr>
            <w:r w:rsidRPr="00C82BD1">
              <w:rPr>
                <w:rFonts w:ascii="Arial" w:hAnsi="Arial" w:cs="Arial"/>
                <w:b/>
                <w:sz w:val="18"/>
                <w:szCs w:val="18"/>
                <w:lang w:val="es-ES"/>
              </w:rPr>
              <w:t>2022</w:t>
            </w:r>
          </w:p>
        </w:tc>
        <w:tc>
          <w:tcPr>
            <w:tcW w:w="1368" w:type="dxa"/>
            <w:vMerge/>
            <w:shd w:val="clear" w:color="auto" w:fill="548DD4" w:themeFill="text2" w:themeFillTint="99"/>
          </w:tcPr>
          <w:p w14:paraId="662EAF3F" w14:textId="77777777" w:rsidR="00036E1F" w:rsidRPr="00C82BD1" w:rsidRDefault="00036E1F" w:rsidP="00131646">
            <w:pPr>
              <w:widowControl w:val="0"/>
              <w:jc w:val="center"/>
              <w:rPr>
                <w:rFonts w:ascii="Arial" w:hAnsi="Arial" w:cs="Arial"/>
                <w:sz w:val="18"/>
                <w:szCs w:val="18"/>
                <w:lang w:val="es-ES"/>
              </w:rPr>
            </w:pPr>
          </w:p>
        </w:tc>
      </w:tr>
      <w:tr w:rsidR="00036E1F" w:rsidRPr="00C82BD1" w14:paraId="662EAF48" w14:textId="77777777" w:rsidTr="00E302A7">
        <w:tc>
          <w:tcPr>
            <w:tcW w:w="1368" w:type="dxa"/>
          </w:tcPr>
          <w:p w14:paraId="662EAF41" w14:textId="77777777" w:rsidR="00036E1F" w:rsidRPr="00C82BD1" w:rsidRDefault="00036E1F" w:rsidP="00036E1F">
            <w:pPr>
              <w:widowControl w:val="0"/>
              <w:jc w:val="both"/>
              <w:rPr>
                <w:rFonts w:ascii="Arial" w:hAnsi="Arial" w:cs="Arial"/>
                <w:b/>
                <w:sz w:val="18"/>
                <w:szCs w:val="18"/>
                <w:lang w:val="es-ES"/>
              </w:rPr>
            </w:pPr>
            <w:r w:rsidRPr="00C82BD1">
              <w:rPr>
                <w:rFonts w:ascii="Arial" w:hAnsi="Arial" w:cs="Arial"/>
                <w:b/>
                <w:sz w:val="18"/>
                <w:szCs w:val="18"/>
                <w:lang w:val="es-ES"/>
              </w:rPr>
              <w:t>Costo</w:t>
            </w:r>
          </w:p>
        </w:tc>
        <w:tc>
          <w:tcPr>
            <w:tcW w:w="1368" w:type="dxa"/>
            <w:vAlign w:val="bottom"/>
          </w:tcPr>
          <w:p w14:paraId="662EAF42" w14:textId="77777777" w:rsidR="00036E1F" w:rsidRPr="00C82BD1" w:rsidRDefault="00036E1F" w:rsidP="00036E1F">
            <w:pPr>
              <w:widowControl w:val="0"/>
              <w:jc w:val="both"/>
              <w:rPr>
                <w:rFonts w:ascii="Arial" w:hAnsi="Arial" w:cs="Arial"/>
                <w:color w:val="000000"/>
                <w:sz w:val="18"/>
                <w:szCs w:val="18"/>
                <w:lang w:val="es-ES"/>
              </w:rPr>
            </w:pPr>
            <w:r w:rsidRPr="00C82BD1">
              <w:rPr>
                <w:rFonts w:ascii="Arial" w:hAnsi="Arial" w:cs="Arial"/>
                <w:color w:val="000000"/>
                <w:sz w:val="18"/>
                <w:szCs w:val="18"/>
                <w:lang w:val="es-ES"/>
              </w:rPr>
              <w:t>21,795,000</w:t>
            </w:r>
          </w:p>
        </w:tc>
        <w:tc>
          <w:tcPr>
            <w:tcW w:w="1368" w:type="dxa"/>
            <w:vAlign w:val="bottom"/>
          </w:tcPr>
          <w:p w14:paraId="662EAF43" w14:textId="77777777" w:rsidR="00036E1F" w:rsidRPr="00C82BD1" w:rsidRDefault="00036E1F" w:rsidP="00036E1F">
            <w:pPr>
              <w:widowControl w:val="0"/>
              <w:jc w:val="both"/>
              <w:rPr>
                <w:rFonts w:ascii="Arial" w:hAnsi="Arial" w:cs="Arial"/>
                <w:color w:val="000000"/>
                <w:sz w:val="18"/>
                <w:szCs w:val="18"/>
                <w:lang w:val="es-ES"/>
              </w:rPr>
            </w:pPr>
            <w:r w:rsidRPr="00C82BD1">
              <w:rPr>
                <w:rFonts w:ascii="Arial" w:hAnsi="Arial" w:cs="Arial"/>
                <w:color w:val="000000"/>
                <w:sz w:val="18"/>
                <w:szCs w:val="18"/>
                <w:lang w:val="es-ES"/>
              </w:rPr>
              <w:t>22,094,311</w:t>
            </w:r>
          </w:p>
        </w:tc>
        <w:tc>
          <w:tcPr>
            <w:tcW w:w="1368" w:type="dxa"/>
            <w:vAlign w:val="bottom"/>
          </w:tcPr>
          <w:p w14:paraId="662EAF44" w14:textId="77777777" w:rsidR="00036E1F" w:rsidRPr="00C82BD1" w:rsidRDefault="00036E1F" w:rsidP="00036E1F">
            <w:pPr>
              <w:widowControl w:val="0"/>
              <w:jc w:val="both"/>
              <w:rPr>
                <w:rFonts w:ascii="Arial" w:hAnsi="Arial" w:cs="Arial"/>
                <w:color w:val="000000"/>
                <w:sz w:val="18"/>
                <w:szCs w:val="18"/>
                <w:lang w:val="es-ES"/>
              </w:rPr>
            </w:pPr>
            <w:r w:rsidRPr="00C82BD1">
              <w:rPr>
                <w:rFonts w:ascii="Arial" w:hAnsi="Arial" w:cs="Arial"/>
                <w:color w:val="000000"/>
                <w:sz w:val="18"/>
                <w:szCs w:val="18"/>
                <w:lang w:val="es-ES"/>
              </w:rPr>
              <w:t>22,397,732</w:t>
            </w:r>
          </w:p>
        </w:tc>
        <w:tc>
          <w:tcPr>
            <w:tcW w:w="1368" w:type="dxa"/>
            <w:vAlign w:val="bottom"/>
          </w:tcPr>
          <w:p w14:paraId="662EAF45" w14:textId="77777777" w:rsidR="00036E1F" w:rsidRPr="00C82BD1" w:rsidRDefault="00036E1F" w:rsidP="00036E1F">
            <w:pPr>
              <w:widowControl w:val="0"/>
              <w:jc w:val="both"/>
              <w:rPr>
                <w:rFonts w:ascii="Arial" w:hAnsi="Arial" w:cs="Arial"/>
                <w:color w:val="000000"/>
                <w:sz w:val="18"/>
                <w:szCs w:val="18"/>
                <w:lang w:val="es-ES"/>
              </w:rPr>
            </w:pPr>
            <w:r w:rsidRPr="00C82BD1">
              <w:rPr>
                <w:rFonts w:ascii="Arial" w:hAnsi="Arial" w:cs="Arial"/>
                <w:color w:val="000000"/>
                <w:sz w:val="18"/>
                <w:szCs w:val="18"/>
                <w:lang w:val="es-ES"/>
              </w:rPr>
              <w:t>22,705,320</w:t>
            </w:r>
          </w:p>
        </w:tc>
        <w:tc>
          <w:tcPr>
            <w:tcW w:w="1368" w:type="dxa"/>
            <w:vAlign w:val="bottom"/>
          </w:tcPr>
          <w:p w14:paraId="662EAF46" w14:textId="77777777" w:rsidR="00036E1F" w:rsidRPr="00C82BD1" w:rsidRDefault="00036E1F" w:rsidP="00036E1F">
            <w:pPr>
              <w:widowControl w:val="0"/>
              <w:jc w:val="both"/>
              <w:rPr>
                <w:rFonts w:ascii="Arial" w:hAnsi="Arial" w:cs="Arial"/>
                <w:color w:val="000000"/>
                <w:sz w:val="18"/>
                <w:szCs w:val="18"/>
                <w:lang w:val="es-ES"/>
              </w:rPr>
            </w:pPr>
            <w:r w:rsidRPr="00C82BD1">
              <w:rPr>
                <w:rFonts w:ascii="Arial" w:hAnsi="Arial" w:cs="Arial"/>
                <w:color w:val="000000"/>
                <w:sz w:val="18"/>
                <w:szCs w:val="18"/>
                <w:lang w:val="es-ES"/>
              </w:rPr>
              <w:t>23,017,132</w:t>
            </w:r>
          </w:p>
        </w:tc>
        <w:tc>
          <w:tcPr>
            <w:tcW w:w="1368" w:type="dxa"/>
            <w:vAlign w:val="bottom"/>
          </w:tcPr>
          <w:p w14:paraId="662EAF47" w14:textId="77777777" w:rsidR="00036E1F" w:rsidRPr="00C82BD1" w:rsidRDefault="00036E1F" w:rsidP="00036E1F">
            <w:pPr>
              <w:widowControl w:val="0"/>
              <w:jc w:val="both"/>
              <w:rPr>
                <w:rFonts w:ascii="Arial" w:hAnsi="Arial" w:cs="Arial"/>
                <w:color w:val="000000"/>
                <w:sz w:val="18"/>
                <w:szCs w:val="18"/>
                <w:lang w:val="es-ES"/>
              </w:rPr>
            </w:pPr>
            <w:r w:rsidRPr="00C82BD1">
              <w:rPr>
                <w:rFonts w:ascii="Arial" w:hAnsi="Arial" w:cs="Arial"/>
                <w:color w:val="000000"/>
                <w:sz w:val="18"/>
                <w:szCs w:val="18"/>
                <w:lang w:val="es-ES"/>
              </w:rPr>
              <w:t>112,009,495</w:t>
            </w:r>
          </w:p>
        </w:tc>
      </w:tr>
      <w:tr w:rsidR="00036E1F" w:rsidRPr="00C82BD1" w14:paraId="662EAF50" w14:textId="77777777" w:rsidTr="00E302A7">
        <w:tc>
          <w:tcPr>
            <w:tcW w:w="1368" w:type="dxa"/>
          </w:tcPr>
          <w:p w14:paraId="662EAF49" w14:textId="77777777" w:rsidR="00036E1F" w:rsidRPr="00C82BD1" w:rsidRDefault="00036E1F" w:rsidP="00036E1F">
            <w:pPr>
              <w:widowControl w:val="0"/>
              <w:jc w:val="both"/>
              <w:rPr>
                <w:rFonts w:ascii="Arial" w:hAnsi="Arial" w:cs="Arial"/>
                <w:b/>
                <w:sz w:val="18"/>
                <w:szCs w:val="18"/>
                <w:lang w:val="es-ES"/>
              </w:rPr>
            </w:pPr>
            <w:r w:rsidRPr="00C82BD1">
              <w:rPr>
                <w:rFonts w:ascii="Arial" w:hAnsi="Arial" w:cs="Arial"/>
                <w:b/>
                <w:sz w:val="18"/>
                <w:szCs w:val="18"/>
                <w:lang w:val="es-ES"/>
              </w:rPr>
              <w:t>VPN</w:t>
            </w:r>
          </w:p>
        </w:tc>
        <w:tc>
          <w:tcPr>
            <w:tcW w:w="1368" w:type="dxa"/>
            <w:vAlign w:val="bottom"/>
          </w:tcPr>
          <w:p w14:paraId="662EAF4A" w14:textId="77777777" w:rsidR="00036E1F" w:rsidRPr="00C82BD1" w:rsidRDefault="00036E1F" w:rsidP="00036E1F">
            <w:pPr>
              <w:widowControl w:val="0"/>
              <w:jc w:val="both"/>
              <w:rPr>
                <w:rFonts w:ascii="Arial" w:hAnsi="Arial" w:cs="Arial"/>
                <w:color w:val="000000"/>
                <w:sz w:val="18"/>
                <w:szCs w:val="18"/>
                <w:lang w:val="es-ES"/>
              </w:rPr>
            </w:pPr>
            <w:r w:rsidRPr="00C82BD1">
              <w:rPr>
                <w:rFonts w:ascii="Arial" w:hAnsi="Arial" w:cs="Arial"/>
                <w:color w:val="000000"/>
                <w:sz w:val="18"/>
                <w:szCs w:val="18"/>
                <w:lang w:val="es-ES"/>
              </w:rPr>
              <w:t>21,795,000</w:t>
            </w:r>
          </w:p>
        </w:tc>
        <w:tc>
          <w:tcPr>
            <w:tcW w:w="1368" w:type="dxa"/>
            <w:vAlign w:val="bottom"/>
          </w:tcPr>
          <w:p w14:paraId="662EAF4B" w14:textId="77777777" w:rsidR="00036E1F" w:rsidRPr="00C82BD1" w:rsidRDefault="00036E1F" w:rsidP="00036E1F">
            <w:pPr>
              <w:widowControl w:val="0"/>
              <w:jc w:val="both"/>
              <w:rPr>
                <w:rFonts w:ascii="Arial" w:hAnsi="Arial" w:cs="Arial"/>
                <w:color w:val="000000"/>
                <w:sz w:val="18"/>
                <w:szCs w:val="18"/>
                <w:lang w:val="es-ES"/>
              </w:rPr>
            </w:pPr>
            <w:r w:rsidRPr="00C82BD1">
              <w:rPr>
                <w:rFonts w:ascii="Arial" w:hAnsi="Arial" w:cs="Arial"/>
                <w:color w:val="000000"/>
                <w:sz w:val="18"/>
                <w:szCs w:val="18"/>
                <w:lang w:val="es-ES"/>
              </w:rPr>
              <w:t>21,042,201</w:t>
            </w:r>
          </w:p>
        </w:tc>
        <w:tc>
          <w:tcPr>
            <w:tcW w:w="1368" w:type="dxa"/>
            <w:vAlign w:val="bottom"/>
          </w:tcPr>
          <w:p w14:paraId="662EAF4C" w14:textId="77777777" w:rsidR="00036E1F" w:rsidRPr="00C82BD1" w:rsidRDefault="00036E1F" w:rsidP="00036E1F">
            <w:pPr>
              <w:widowControl w:val="0"/>
              <w:jc w:val="both"/>
              <w:rPr>
                <w:rFonts w:ascii="Arial" w:hAnsi="Arial" w:cs="Arial"/>
                <w:color w:val="000000"/>
                <w:sz w:val="18"/>
                <w:szCs w:val="18"/>
                <w:lang w:val="es-ES"/>
              </w:rPr>
            </w:pPr>
            <w:r w:rsidRPr="00C82BD1">
              <w:rPr>
                <w:rFonts w:ascii="Arial" w:hAnsi="Arial" w:cs="Arial"/>
                <w:color w:val="000000"/>
                <w:sz w:val="18"/>
                <w:szCs w:val="18"/>
                <w:lang w:val="es-ES"/>
              </w:rPr>
              <w:t>20,315,403</w:t>
            </w:r>
          </w:p>
        </w:tc>
        <w:tc>
          <w:tcPr>
            <w:tcW w:w="1368" w:type="dxa"/>
            <w:vAlign w:val="bottom"/>
          </w:tcPr>
          <w:p w14:paraId="662EAF4D" w14:textId="77777777" w:rsidR="00036E1F" w:rsidRPr="00C82BD1" w:rsidRDefault="00036E1F" w:rsidP="00036E1F">
            <w:pPr>
              <w:widowControl w:val="0"/>
              <w:jc w:val="both"/>
              <w:rPr>
                <w:rFonts w:ascii="Arial" w:hAnsi="Arial" w:cs="Arial"/>
                <w:color w:val="000000"/>
                <w:sz w:val="18"/>
                <w:szCs w:val="18"/>
                <w:lang w:val="es-ES"/>
              </w:rPr>
            </w:pPr>
            <w:r w:rsidRPr="00C82BD1">
              <w:rPr>
                <w:rFonts w:ascii="Arial" w:hAnsi="Arial" w:cs="Arial"/>
                <w:color w:val="000000"/>
                <w:sz w:val="18"/>
                <w:szCs w:val="18"/>
                <w:lang w:val="es-ES"/>
              </w:rPr>
              <w:t>19,613,709</w:t>
            </w:r>
          </w:p>
        </w:tc>
        <w:tc>
          <w:tcPr>
            <w:tcW w:w="1368" w:type="dxa"/>
            <w:vAlign w:val="bottom"/>
          </w:tcPr>
          <w:p w14:paraId="662EAF4E" w14:textId="77777777" w:rsidR="00036E1F" w:rsidRPr="00C82BD1" w:rsidRDefault="00036E1F" w:rsidP="00036E1F">
            <w:pPr>
              <w:widowControl w:val="0"/>
              <w:jc w:val="both"/>
              <w:rPr>
                <w:rFonts w:ascii="Arial" w:hAnsi="Arial" w:cs="Arial"/>
                <w:color w:val="000000"/>
                <w:sz w:val="18"/>
                <w:szCs w:val="18"/>
                <w:lang w:val="es-ES"/>
              </w:rPr>
            </w:pPr>
            <w:r w:rsidRPr="00C82BD1">
              <w:rPr>
                <w:rFonts w:ascii="Arial" w:hAnsi="Arial" w:cs="Arial"/>
                <w:color w:val="000000"/>
                <w:sz w:val="18"/>
                <w:szCs w:val="18"/>
                <w:lang w:val="es-ES"/>
              </w:rPr>
              <w:t>18,936,252</w:t>
            </w:r>
          </w:p>
        </w:tc>
        <w:tc>
          <w:tcPr>
            <w:tcW w:w="1368" w:type="dxa"/>
            <w:vAlign w:val="bottom"/>
          </w:tcPr>
          <w:p w14:paraId="662EAF4F" w14:textId="77777777" w:rsidR="00036E1F" w:rsidRPr="00C82BD1" w:rsidRDefault="00036E1F" w:rsidP="00036E1F">
            <w:pPr>
              <w:widowControl w:val="0"/>
              <w:jc w:val="both"/>
              <w:rPr>
                <w:rFonts w:ascii="Arial" w:hAnsi="Arial" w:cs="Arial"/>
                <w:color w:val="000000"/>
                <w:sz w:val="18"/>
                <w:szCs w:val="18"/>
                <w:lang w:val="es-ES"/>
              </w:rPr>
            </w:pPr>
            <w:r w:rsidRPr="00C82BD1">
              <w:rPr>
                <w:rFonts w:ascii="Arial" w:hAnsi="Arial" w:cs="Arial"/>
                <w:color w:val="000000"/>
                <w:sz w:val="18"/>
                <w:szCs w:val="18"/>
                <w:lang w:val="es-ES"/>
              </w:rPr>
              <w:t>101,702,564</w:t>
            </w:r>
          </w:p>
        </w:tc>
      </w:tr>
    </w:tbl>
    <w:p w14:paraId="662EAF51" w14:textId="77777777" w:rsidR="00046926" w:rsidRPr="00C82BD1" w:rsidRDefault="00046926" w:rsidP="00131646">
      <w:pPr>
        <w:widowControl w:val="0"/>
        <w:spacing w:before="120"/>
        <w:rPr>
          <w:rFonts w:ascii="Arial" w:hAnsi="Arial" w:cs="Arial"/>
          <w:sz w:val="16"/>
          <w:szCs w:val="16"/>
          <w:lang w:val="es-ES"/>
        </w:rPr>
      </w:pPr>
      <w:r w:rsidRPr="00C82BD1">
        <w:rPr>
          <w:rFonts w:ascii="Arial" w:hAnsi="Arial" w:cs="Arial"/>
          <w:sz w:val="16"/>
          <w:szCs w:val="16"/>
          <w:lang w:val="es-ES"/>
        </w:rPr>
        <w:t>Fuente: Elaboración propia</w:t>
      </w:r>
    </w:p>
    <w:p w14:paraId="662EAF52" w14:textId="77777777" w:rsidR="00EA22E9" w:rsidRPr="00C82BD1" w:rsidRDefault="00EA22E9" w:rsidP="001742E0">
      <w:pPr>
        <w:pStyle w:val="Heading2"/>
      </w:pPr>
      <w:bookmarkStart w:id="9" w:name="_Toc430331020"/>
      <w:r w:rsidRPr="00C82BD1">
        <w:lastRenderedPageBreak/>
        <w:t>Beneficios</w:t>
      </w:r>
      <w:bookmarkEnd w:id="7"/>
      <w:bookmarkEnd w:id="8"/>
      <w:bookmarkEnd w:id="9"/>
    </w:p>
    <w:p w14:paraId="662EAF53" w14:textId="77777777" w:rsidR="00EC0920" w:rsidRPr="00C82BD1" w:rsidRDefault="00385ACC" w:rsidP="001742E0">
      <w:pPr>
        <w:spacing w:before="120" w:after="120"/>
        <w:jc w:val="both"/>
        <w:rPr>
          <w:rFonts w:ascii="Arial" w:hAnsi="Arial" w:cs="Arial"/>
          <w:sz w:val="22"/>
          <w:szCs w:val="22"/>
          <w:lang w:val="es-ES"/>
        </w:rPr>
      </w:pPr>
      <w:r>
        <w:rPr>
          <w:rFonts w:ascii="Arial" w:hAnsi="Arial" w:cs="Arial"/>
          <w:sz w:val="22"/>
          <w:szCs w:val="22"/>
          <w:lang w:val="es-ES"/>
        </w:rPr>
        <w:t>En esta secci</w:t>
      </w:r>
      <w:r w:rsidR="008A55D4">
        <w:rPr>
          <w:rFonts w:ascii="Arial" w:hAnsi="Arial" w:cs="Arial"/>
          <w:sz w:val="22"/>
          <w:szCs w:val="22"/>
          <w:lang w:val="es-ES"/>
        </w:rPr>
        <w:t xml:space="preserve">ón se </w:t>
      </w:r>
      <w:r w:rsidR="000E6C79" w:rsidRPr="00C82BD1">
        <w:rPr>
          <w:rFonts w:ascii="Arial" w:hAnsi="Arial" w:cs="Arial"/>
          <w:sz w:val="22"/>
          <w:szCs w:val="22"/>
          <w:lang w:val="es-ES"/>
        </w:rPr>
        <w:t>estima el retorno de años de vida ajustados por discapacidad (AVADs) evitados, a raíz de las mejoras a la provisión de servicios de salud.</w:t>
      </w:r>
    </w:p>
    <w:p w14:paraId="662EAF54" w14:textId="77777777" w:rsidR="009A3B14" w:rsidRPr="00C82BD1" w:rsidRDefault="009A3B14" w:rsidP="001742E0">
      <w:pPr>
        <w:pStyle w:val="ColorfulList-Accent11"/>
        <w:spacing w:before="120" w:after="120" w:line="240" w:lineRule="auto"/>
        <w:ind w:left="0"/>
        <w:contextualSpacing w:val="0"/>
        <w:jc w:val="both"/>
        <w:rPr>
          <w:rFonts w:cs="Arial"/>
          <w:lang w:val="es-ES"/>
        </w:rPr>
      </w:pPr>
      <w:r w:rsidRPr="00C82BD1">
        <w:rPr>
          <w:rFonts w:cs="Arial"/>
          <w:lang w:val="es-ES"/>
        </w:rPr>
        <w:t xml:space="preserve">Para ambos análisis, se utiliza el indicador “años de vida ajustados por discapacidad” (AVADs o DALYs por sus siglas en inglés) combina años de vida perdidos por muerte prematura y los años perdidos por discapacidad severa. Se espera que las intervenciones financiadas bajo el NI-L1143 contribuyan a una población más saludable y a reducir el número de AVADS perdidos. Existe un sólido trabajo académico para medir los impactos de implementar diferentes líneas de atención de salud en una población en términos de AVADs. La primera vez que se utilizó este enfoque fue en el Informe de Desarrollo Mundial 1993 del Banco Mundial </w:t>
      </w:r>
      <w:r w:rsidRPr="00C82BD1">
        <w:rPr>
          <w:rFonts w:cs="Arial"/>
          <w:lang w:val="es-ES"/>
        </w:rPr>
        <w:fldChar w:fldCharType="begin" w:fldLock="1"/>
      </w:r>
      <w:r w:rsidRPr="00C82BD1">
        <w:rPr>
          <w:rFonts w:cs="Arial"/>
          <w:lang w:val="es-ES"/>
        </w:rPr>
        <w:instrText>ADDIN CSL_CITATION { "citationItems" : [ { "id" : "ITEM-1", "itemData" : { "abstract" : "This is the sixteenth in the annual series and examines the interplay between human health, health policy and economic development. Because good health increases the economic productivity of individuals and the economic growth rate of countries, investing in health is one means of accelerating development. More important, good health is a goal in itself. During the past forty years life expectancy in the developing world has risen and child mortality has decreased, sometimes dramatically. But progress is only one side of the picture. The toll from childhood and tropical diseases remains high even as new problems - including AIDS and the diseases of aging populations - appear on the scene. And all countries are struggling with the problems of controlling health expenditures and making health care accessible to the broad population. This report examines the controversial questions surrounding health care and health policy. Its findings are based in large part on innovative research, including estimation of the global burden of disease and the cost-effectiveness of interventions. These assessments can help in setting priorities for health spending. The report advocates a threefold approach to health policy for governments in developing countries and in the formerly socialist countries. First, to foster an economic environment that will enable households to improve their own health. Policies for economic growth that ensure income gains for the poor are essential. So, too, is expanded investment in schooling, particulary for girls. Second, redirect government spending away from specialized care and toward such low-cost and highly effective activities such as immunization, programs to combat micronutrient deficiencies, and control and treatment of infectious diseases. By adopting the packages of public health measures and essential clinical care dsecribed in the report, developing countries could reduce their burden of disease by 25 percent. Third, encourage greater diversity and competition in the provision of health services by decentralizing government services, promoting competitive procurement practices, fostering greater involvement by nongovernmental and other private organizations, and regulating insurance markets. These reforms could translate into longer, healthier, and more productive lives for people around the world, and especially for the more than 1 billion poor. As in previous editions, this report includes the World Development Indicators, wh\u2026", "author" : [ { "dropping-particle" : "", "family" : "Berkley", "given" : "Seth", "non-dropping-particle" : "", "parse-names" : false, "suffix" : "" }, { "dropping-particle" : "", "family" : "Murray", "given" : "Christopher J. L.", "non-dropping-particle" : "", "parse-names" : false, "suffix" : "" }, { "dropping-particle" : "", "family" : "Hecht", "given" : "Robert", "non-dropping-particle" : "", "parse-names" : false, "suffix" : "" }, { "dropping-particle" : "", "family" : "Saxenian", "given" : "Helen", "non-dropping-particle" : "", "parse-names" : false, "suffix" : "" }, { "dropping-particle" : "", "family" : "Musgrove", "given" : "Philip", "non-dropping-particle" : "", "parse-names" : false, "suffix" : "" }, { "dropping-particle" : "", "family" : "Tan", "given" : "Jee-Peng", "non-dropping-particle" : "", "parse-names" : false, "suffix" : "" }, { "dropping-particle" : "", "family" : "Bobadilla", "given" : "Jose-Luis", "non-dropping-particle" : "", "parse-names" : false, "suffix" : "" }, { "dropping-particle" : "", "family" : "Hill", "given" : "Kenneth", "non-dropping-particle" : "", "parse-names" : false, "suffix" : "" }, { "dropping-particle" : "", "family" : "Jamison", "given" : "Dean T.", "non-dropping-particle" : "", "parse-names" : false, "suffix" : "" } ], "id" : "ITEM-1", "issued" : { "date-parts" : [ [ "1993", "7", "1" ] ] }, "language" : "es", "page" : "1-351", "title" : "Informe sobre el desarrollo mundial 1993 : investir en salud", "type" : "article-journal" }, "uris" : [ "http://www.mendeley.com/documents/?uuid=aca2a692-f864-422d-882c-49c255a22f2c" ] } ], "mendeley" : { "formattedCitation" : "(Berkley et al. 1993)", "plainTextFormattedCitation" : "(Berkley et al. 1993)", "previouslyFormattedCitation" : "(Berkley et al. 1993)" }, "properties" : { "noteIndex" : 0 }, "schema" : "https://github.com/citation-style-language/schema/raw/master/csl-citation.json" }</w:instrText>
      </w:r>
      <w:r w:rsidRPr="00C82BD1">
        <w:rPr>
          <w:rFonts w:cs="Arial"/>
          <w:lang w:val="es-ES"/>
        </w:rPr>
        <w:fldChar w:fldCharType="separate"/>
      </w:r>
      <w:r w:rsidRPr="00C82BD1">
        <w:rPr>
          <w:rFonts w:cs="Arial"/>
          <w:noProof/>
          <w:lang w:val="es-ES"/>
        </w:rPr>
        <w:t>(Berkley et al. 1993)</w:t>
      </w:r>
      <w:r w:rsidRPr="00C82BD1">
        <w:rPr>
          <w:rFonts w:cs="Arial"/>
          <w:lang w:val="es-ES"/>
        </w:rPr>
        <w:fldChar w:fldCharType="end"/>
      </w:r>
      <w:r w:rsidRPr="00C82BD1">
        <w:rPr>
          <w:rFonts w:cs="Arial"/>
          <w:lang w:val="es-ES"/>
        </w:rPr>
        <w:t xml:space="preserve"> y en el respectivo libro de referencia </w:t>
      </w:r>
      <w:r w:rsidRPr="00C82BD1">
        <w:rPr>
          <w:rFonts w:cs="Arial"/>
          <w:i/>
          <w:iCs/>
          <w:lang w:val="es-ES"/>
        </w:rPr>
        <w:t>Disease Control Priorities in Developing</w:t>
      </w:r>
      <w:r w:rsidRPr="00C82BD1">
        <w:rPr>
          <w:rFonts w:cs="Arial"/>
          <w:lang w:val="es-ES"/>
        </w:rPr>
        <w:t xml:space="preserve"> </w:t>
      </w:r>
      <w:r w:rsidRPr="00C82BD1">
        <w:rPr>
          <w:rFonts w:cs="Arial"/>
          <w:i/>
          <w:iCs/>
          <w:lang w:val="es-ES"/>
        </w:rPr>
        <w:t xml:space="preserve">Countries </w:t>
      </w:r>
      <w:r w:rsidRPr="00C82BD1">
        <w:rPr>
          <w:rFonts w:cs="Arial"/>
          <w:i/>
          <w:iCs/>
          <w:lang w:val="es-ES"/>
        </w:rPr>
        <w:fldChar w:fldCharType="begin" w:fldLock="1"/>
      </w:r>
      <w:r w:rsidRPr="00C82BD1">
        <w:rPr>
          <w:rFonts w:cs="Arial"/>
          <w:i/>
          <w:iCs/>
          <w:lang w:val="es-ES"/>
        </w:rPr>
        <w:instrText>ADDIN CSL_CITATION { "citationItems" : [ { "id" : "ITEM-1", "itemData" : { "PMID" : "21250309", "author" : [ { "dropping-particle" : "", "family" : "Jamison", "given" : "Dean T", "non-dropping-particle" : "", "parse-names" : false, "suffix" : "" }, { "dropping-particle" : "", "family" : "Breman", "given" : "Joel G", "non-dropping-particle" : "", "parse-names" : false, "suffix" : "" }, { "dropping-particle" : "", "family" : "Measham", "given" : "Anthony R", "non-dropping-particle" : "", "parse-names" : false, "suffix" : "" }, { "dropping-particle" : "", "family" : "Alleyne", "given" : "George", "non-dropping-particle" : "", "parse-names" : false, "suffix" : "" }, { "dropping-particle" : "", "family" : "Claeson", "given" : "Mariam", "non-dropping-particle" : "", "parse-names" : false, "suffix" : "" }, { "dropping-particle" : "", "family" : "Evans", "given" : "David B", "non-dropping-particle" : "", "parse-names" : false, "suffix" : "" }, { "dropping-particle" : "", "family" : "Jha", "given" : "Prabhat", "non-dropping-particle" : "", "parse-names" : false, "suffix" : "" }, { "dropping-particle" : "", "family" : "Mills", "given" : "Anne", "non-dropping-particle" : "", "parse-names" : false, "suffix" : "" }, { "dropping-particle" : "", "family" : "Musgrove", "given" : "Philip", "non-dropping-particle" : "", "parse-names" : false, "suffix" : "" } ], "id" : "ITEM-1", "issued" : { "date-parts" : [ [ "2006" ] ] }, "language" : "en", "publisher" : "World Bank", "title" : "Disease Control Priorities in Developing Countries", "type" : "article" }, "uris" : [ "http://www.mendeley.com/documents/?uuid=64a8ed3c-bb59-4fc6-ab56-b821ebef995e" ] } ], "mendeley" : { "formattedCitation" : "(Jamison et al. 2006)", "plainTextFormattedCitation" : "(Jamison et al. 2006)", "previouslyFormattedCitation" : "(Jamison et al. 2006)" }, "properties" : { "noteIndex" : 0 }, "schema" : "https://github.com/citation-style-language/schema/raw/master/csl-citation.json" }</w:instrText>
      </w:r>
      <w:r w:rsidRPr="00C82BD1">
        <w:rPr>
          <w:rFonts w:cs="Arial"/>
          <w:i/>
          <w:iCs/>
          <w:lang w:val="es-ES"/>
        </w:rPr>
        <w:fldChar w:fldCharType="separate"/>
      </w:r>
      <w:r w:rsidRPr="00C82BD1">
        <w:rPr>
          <w:rFonts w:cs="Arial"/>
          <w:iCs/>
          <w:noProof/>
          <w:lang w:val="es-ES"/>
        </w:rPr>
        <w:t>(Jamison et al. 2006)</w:t>
      </w:r>
      <w:r w:rsidRPr="00C82BD1">
        <w:rPr>
          <w:rFonts w:cs="Arial"/>
          <w:i/>
          <w:iCs/>
          <w:lang w:val="es-ES"/>
        </w:rPr>
        <w:fldChar w:fldCharType="end"/>
      </w:r>
      <w:r w:rsidRPr="00C82BD1">
        <w:rPr>
          <w:rFonts w:cs="Arial"/>
          <w:lang w:val="es-ES"/>
        </w:rPr>
        <w:t>. Hoy en día, este es un indicador ampliamente usado en el ámbito del desarrollo internacional para estimar la carga mundial de enfermedad y para estudios comparativos de costo-efectividad. El uso como medida de salud de los AVADs permite cuantificar el estado de salud de una población con las siguientes propiedades:</w:t>
      </w:r>
    </w:p>
    <w:p w14:paraId="662EAF55" w14:textId="77777777" w:rsidR="009A3B14" w:rsidRPr="00C82BD1" w:rsidRDefault="009A3B14" w:rsidP="009A3B14">
      <w:pPr>
        <w:numPr>
          <w:ilvl w:val="0"/>
          <w:numId w:val="3"/>
        </w:numPr>
        <w:spacing w:before="120" w:after="120"/>
        <w:contextualSpacing/>
        <w:jc w:val="both"/>
        <w:rPr>
          <w:rFonts w:ascii="Arial" w:eastAsia="Times New Roman" w:hAnsi="Arial" w:cs="Arial"/>
          <w:sz w:val="22"/>
          <w:szCs w:val="22"/>
          <w:lang w:val="es-ES"/>
        </w:rPr>
      </w:pPr>
      <w:r w:rsidRPr="00C82BD1">
        <w:rPr>
          <w:rFonts w:ascii="Arial" w:eastAsia="Times New Roman" w:hAnsi="Arial" w:cs="Arial"/>
          <w:sz w:val="22"/>
          <w:szCs w:val="22"/>
          <w:lang w:val="es-ES"/>
        </w:rPr>
        <w:t>Incorporar condiciones no fatales en las evaluaciones de los estados de salud.</w:t>
      </w:r>
    </w:p>
    <w:p w14:paraId="662EAF56" w14:textId="77777777" w:rsidR="009A3B14" w:rsidRPr="00C82BD1" w:rsidRDefault="009A3B14" w:rsidP="009A3B14">
      <w:pPr>
        <w:numPr>
          <w:ilvl w:val="0"/>
          <w:numId w:val="3"/>
        </w:numPr>
        <w:spacing w:before="120" w:after="120"/>
        <w:contextualSpacing/>
        <w:jc w:val="both"/>
        <w:rPr>
          <w:rFonts w:ascii="Arial" w:eastAsia="Times New Roman" w:hAnsi="Arial" w:cs="Arial"/>
          <w:sz w:val="22"/>
          <w:szCs w:val="22"/>
          <w:lang w:val="es-ES"/>
        </w:rPr>
      </w:pPr>
      <w:r w:rsidRPr="00C82BD1">
        <w:rPr>
          <w:rFonts w:ascii="Arial" w:eastAsia="Times New Roman" w:hAnsi="Arial" w:cs="Arial"/>
          <w:sz w:val="22"/>
          <w:szCs w:val="22"/>
          <w:lang w:val="es-ES"/>
        </w:rPr>
        <w:t>Obtener estimaciones objetivas y plausibles de las cargas de condiciones y enfermedades particulares.</w:t>
      </w:r>
    </w:p>
    <w:p w14:paraId="662EAF57" w14:textId="77777777" w:rsidR="009A3B14" w:rsidRPr="00C82BD1" w:rsidRDefault="009A3B14" w:rsidP="009A3B14">
      <w:pPr>
        <w:numPr>
          <w:ilvl w:val="0"/>
          <w:numId w:val="3"/>
        </w:numPr>
        <w:spacing w:before="120" w:after="120"/>
        <w:contextualSpacing/>
        <w:jc w:val="both"/>
        <w:rPr>
          <w:rFonts w:ascii="Arial" w:eastAsia="Times New Roman" w:hAnsi="Arial" w:cs="Arial"/>
          <w:sz w:val="22"/>
          <w:szCs w:val="22"/>
          <w:lang w:val="es-ES"/>
        </w:rPr>
      </w:pPr>
      <w:r w:rsidRPr="00C82BD1">
        <w:rPr>
          <w:rFonts w:ascii="Arial" w:eastAsia="Times New Roman" w:hAnsi="Arial" w:cs="Arial"/>
          <w:sz w:val="22"/>
          <w:szCs w:val="22"/>
          <w:lang w:val="es-ES"/>
        </w:rPr>
        <w:t>Medir la carga de enfermedades y da</w:t>
      </w:r>
      <w:r w:rsidRPr="00C82BD1">
        <w:rPr>
          <w:rFonts w:ascii="Arial" w:hAnsi="Arial" w:cs="Arial"/>
          <w:sz w:val="22"/>
          <w:szCs w:val="22"/>
          <w:lang w:val="es-ES"/>
        </w:rPr>
        <w:t>ños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físicos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en</w:t>
      </w:r>
      <w:r w:rsidRPr="00C82BD1">
        <w:rPr>
          <w:rFonts w:ascii="Arial" w:eastAsia="Times New Roman" w:hAnsi="Arial" w:cs="Arial"/>
          <w:sz w:val="22"/>
          <w:szCs w:val="22"/>
          <w:lang w:val="es-ES"/>
        </w:rPr>
        <w:t xml:space="preserve"> </w:t>
      </w:r>
      <w:r w:rsidRPr="00C82BD1">
        <w:rPr>
          <w:rFonts w:ascii="Arial" w:hAnsi="Arial" w:cs="Arial"/>
          <w:sz w:val="22"/>
          <w:szCs w:val="22"/>
          <w:lang w:val="es-ES"/>
        </w:rPr>
        <w:t>una</w:t>
      </w:r>
      <w:r w:rsidRPr="00C82BD1">
        <w:rPr>
          <w:rFonts w:ascii="Arial" w:eastAsia="Times New Roman" w:hAnsi="Arial" w:cs="Arial"/>
          <w:sz w:val="22"/>
          <w:szCs w:val="22"/>
          <w:lang w:val="es-ES"/>
        </w:rPr>
        <w:t xml:space="preserve"> </w:t>
      </w:r>
      <w:r w:rsidRPr="00C82BD1">
        <w:rPr>
          <w:rFonts w:ascii="Arial" w:hAnsi="Arial" w:cs="Arial"/>
          <w:sz w:val="22"/>
          <w:szCs w:val="22"/>
          <w:lang w:val="es-ES"/>
        </w:rPr>
        <w:t>unidad</w:t>
      </w:r>
      <w:r w:rsidRPr="00C82BD1">
        <w:rPr>
          <w:rFonts w:ascii="Arial" w:eastAsia="Times New Roman" w:hAnsi="Arial" w:cs="Arial"/>
          <w:sz w:val="22"/>
          <w:szCs w:val="22"/>
          <w:lang w:val="es-ES"/>
        </w:rPr>
        <w:t xml:space="preserve"> </w:t>
      </w:r>
      <w:r w:rsidRPr="00C82BD1">
        <w:rPr>
          <w:rFonts w:ascii="Arial" w:hAnsi="Arial" w:cs="Arial"/>
          <w:sz w:val="22"/>
          <w:szCs w:val="22"/>
          <w:lang w:val="es-ES"/>
        </w:rPr>
        <w:t>que</w:t>
      </w:r>
      <w:r w:rsidRPr="00C82BD1">
        <w:rPr>
          <w:rFonts w:ascii="Arial" w:eastAsia="Times New Roman" w:hAnsi="Arial" w:cs="Arial"/>
          <w:sz w:val="22"/>
          <w:szCs w:val="22"/>
          <w:lang w:val="es-ES"/>
        </w:rPr>
        <w:t xml:space="preserve"> </w:t>
      </w:r>
      <w:r w:rsidRPr="00C82BD1">
        <w:rPr>
          <w:rFonts w:ascii="Arial" w:hAnsi="Arial" w:cs="Arial"/>
          <w:sz w:val="22"/>
          <w:szCs w:val="22"/>
          <w:lang w:val="es-ES"/>
        </w:rPr>
        <w:t>permita</w:t>
      </w:r>
      <w:r w:rsidRPr="00C82BD1">
        <w:rPr>
          <w:rFonts w:ascii="Arial" w:eastAsia="Times New Roman" w:hAnsi="Arial" w:cs="Arial"/>
          <w:sz w:val="22"/>
          <w:szCs w:val="22"/>
          <w:lang w:val="es-ES"/>
        </w:rPr>
        <w:t xml:space="preserve"> </w:t>
      </w:r>
      <w:r w:rsidRPr="00C82BD1">
        <w:rPr>
          <w:rFonts w:ascii="Arial" w:hAnsi="Arial" w:cs="Arial"/>
          <w:sz w:val="22"/>
          <w:szCs w:val="22"/>
          <w:lang w:val="es-ES"/>
        </w:rPr>
        <w:t>también</w:t>
      </w:r>
      <w:r w:rsidRPr="00C82BD1">
        <w:rPr>
          <w:rFonts w:ascii="Arial" w:eastAsia="Times New Roman" w:hAnsi="Arial" w:cs="Arial"/>
          <w:sz w:val="22"/>
          <w:szCs w:val="22"/>
          <w:lang w:val="es-ES"/>
        </w:rPr>
        <w:t xml:space="preserve"> </w:t>
      </w:r>
      <w:r w:rsidRPr="00C82BD1">
        <w:rPr>
          <w:rFonts w:ascii="Arial" w:hAnsi="Arial" w:cs="Arial"/>
          <w:sz w:val="22"/>
          <w:szCs w:val="22"/>
          <w:lang w:val="es-ES"/>
        </w:rPr>
        <w:t>evaluar</w:t>
      </w:r>
      <w:r w:rsidRPr="00C82BD1">
        <w:rPr>
          <w:rFonts w:ascii="Arial" w:eastAsia="Times New Roman" w:hAnsi="Arial" w:cs="Arial"/>
          <w:sz w:val="22"/>
          <w:szCs w:val="22"/>
          <w:lang w:val="es-ES"/>
        </w:rPr>
        <w:t xml:space="preserve"> </w:t>
      </w:r>
      <w:r w:rsidRPr="00C82BD1">
        <w:rPr>
          <w:rFonts w:ascii="Arial" w:hAnsi="Arial" w:cs="Arial"/>
          <w:sz w:val="22"/>
          <w:szCs w:val="22"/>
          <w:lang w:val="es-ES"/>
        </w:rPr>
        <w:t>el</w:t>
      </w:r>
      <w:r w:rsidRPr="00C82BD1">
        <w:rPr>
          <w:rFonts w:ascii="Arial" w:eastAsia="Times New Roman" w:hAnsi="Arial" w:cs="Arial"/>
          <w:sz w:val="22"/>
          <w:szCs w:val="22"/>
          <w:lang w:val="es-ES"/>
        </w:rPr>
        <w:t xml:space="preserve"> </w:t>
      </w:r>
      <w:r w:rsidRPr="00C82BD1">
        <w:rPr>
          <w:rFonts w:ascii="Arial" w:hAnsi="Arial" w:cs="Arial"/>
          <w:sz w:val="22"/>
          <w:szCs w:val="22"/>
          <w:lang w:val="es-ES"/>
        </w:rPr>
        <w:t>costo</w:t>
      </w:r>
      <w:r w:rsidRPr="00C82BD1">
        <w:rPr>
          <w:rFonts w:ascii="Arial" w:eastAsia="Times New Roman" w:hAnsi="Arial" w:cs="Arial"/>
          <w:sz w:val="22"/>
          <w:szCs w:val="22"/>
          <w:lang w:val="es-ES"/>
        </w:rPr>
        <w:t>/</w:t>
      </w:r>
      <w:r w:rsidRPr="00C82BD1">
        <w:rPr>
          <w:rFonts w:ascii="Arial" w:hAnsi="Arial" w:cs="Arial"/>
          <w:sz w:val="22"/>
          <w:szCs w:val="22"/>
          <w:lang w:val="es-ES"/>
        </w:rPr>
        <w:t>efectividad</w:t>
      </w:r>
      <w:r w:rsidRPr="00C82BD1">
        <w:rPr>
          <w:rFonts w:ascii="Arial" w:eastAsia="Times New Roman" w:hAnsi="Arial" w:cs="Arial"/>
          <w:sz w:val="22"/>
          <w:szCs w:val="22"/>
          <w:lang w:val="es-ES"/>
        </w:rPr>
        <w:t xml:space="preserve"> </w:t>
      </w:r>
      <w:r w:rsidRPr="00C82BD1">
        <w:rPr>
          <w:rFonts w:ascii="Arial" w:hAnsi="Arial" w:cs="Arial"/>
          <w:sz w:val="22"/>
          <w:szCs w:val="22"/>
          <w:lang w:val="es-ES"/>
        </w:rPr>
        <w:t>de</w:t>
      </w:r>
      <w:r w:rsidRPr="00C82BD1">
        <w:rPr>
          <w:rFonts w:ascii="Arial" w:eastAsia="Times New Roman" w:hAnsi="Arial" w:cs="Arial"/>
          <w:sz w:val="22"/>
          <w:szCs w:val="22"/>
          <w:lang w:val="es-ES"/>
        </w:rPr>
        <w:t xml:space="preserve"> </w:t>
      </w:r>
      <w:r w:rsidRPr="00C82BD1">
        <w:rPr>
          <w:rFonts w:ascii="Arial" w:hAnsi="Arial" w:cs="Arial"/>
          <w:sz w:val="22"/>
          <w:szCs w:val="22"/>
          <w:lang w:val="es-ES"/>
        </w:rPr>
        <w:t>las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intervenciones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en</w:t>
      </w:r>
      <w:r w:rsidRPr="00C82BD1">
        <w:rPr>
          <w:rFonts w:ascii="Arial" w:eastAsia="Times New Roman" w:hAnsi="Arial" w:cs="Arial"/>
          <w:sz w:val="22"/>
          <w:szCs w:val="22"/>
          <w:lang w:val="es-ES"/>
        </w:rPr>
        <w:t xml:space="preserve"> </w:t>
      </w:r>
      <w:r w:rsidRPr="00C82BD1">
        <w:rPr>
          <w:rFonts w:ascii="Arial" w:hAnsi="Arial" w:cs="Arial"/>
          <w:sz w:val="22"/>
          <w:szCs w:val="22"/>
          <w:lang w:val="es-ES"/>
        </w:rPr>
        <w:t>términos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de</w:t>
      </w:r>
      <w:r w:rsidRPr="00C82BD1">
        <w:rPr>
          <w:rFonts w:ascii="Arial" w:eastAsia="Times New Roman" w:hAnsi="Arial" w:cs="Arial"/>
          <w:sz w:val="22"/>
          <w:szCs w:val="22"/>
          <w:lang w:val="es-ES"/>
        </w:rPr>
        <w:t xml:space="preserve"> </w:t>
      </w:r>
      <w:r w:rsidRPr="00C82BD1">
        <w:rPr>
          <w:rFonts w:ascii="Arial" w:hAnsi="Arial" w:cs="Arial"/>
          <w:sz w:val="22"/>
          <w:szCs w:val="22"/>
          <w:lang w:val="es-ES"/>
        </w:rPr>
        <w:t>costo</w:t>
      </w:r>
      <w:r w:rsidRPr="00C82BD1">
        <w:rPr>
          <w:rFonts w:ascii="Arial" w:eastAsia="Times New Roman" w:hAnsi="Arial" w:cs="Arial"/>
          <w:sz w:val="22"/>
          <w:szCs w:val="22"/>
          <w:lang w:val="es-ES"/>
        </w:rPr>
        <w:t xml:space="preserve"> </w:t>
      </w:r>
      <w:r w:rsidRPr="00C82BD1">
        <w:rPr>
          <w:rFonts w:ascii="Arial" w:hAnsi="Arial" w:cs="Arial"/>
          <w:sz w:val="22"/>
          <w:szCs w:val="22"/>
          <w:lang w:val="es-ES"/>
        </w:rPr>
        <w:t>por</w:t>
      </w:r>
      <w:r w:rsidRPr="00C82BD1">
        <w:rPr>
          <w:rFonts w:ascii="Arial" w:eastAsia="Times New Roman" w:hAnsi="Arial" w:cs="Arial"/>
          <w:sz w:val="22"/>
          <w:szCs w:val="22"/>
          <w:lang w:val="es-ES"/>
        </w:rPr>
        <w:t xml:space="preserve"> </w:t>
      </w:r>
      <w:r w:rsidRPr="00C82BD1">
        <w:rPr>
          <w:rFonts w:ascii="Arial" w:hAnsi="Arial" w:cs="Arial"/>
          <w:sz w:val="22"/>
          <w:szCs w:val="22"/>
          <w:lang w:val="es-ES"/>
        </w:rPr>
        <w:t>unidad</w:t>
      </w:r>
      <w:r w:rsidRPr="00C82BD1">
        <w:rPr>
          <w:rFonts w:ascii="Arial" w:eastAsia="Times New Roman" w:hAnsi="Arial" w:cs="Arial"/>
          <w:sz w:val="22"/>
          <w:szCs w:val="22"/>
          <w:lang w:val="es-ES"/>
        </w:rPr>
        <w:t xml:space="preserve"> </w:t>
      </w:r>
      <w:r w:rsidRPr="00C82BD1">
        <w:rPr>
          <w:rFonts w:ascii="Arial" w:hAnsi="Arial" w:cs="Arial"/>
          <w:sz w:val="22"/>
          <w:szCs w:val="22"/>
          <w:lang w:val="es-ES"/>
        </w:rPr>
        <w:t>de</w:t>
      </w:r>
      <w:r w:rsidRPr="00C82BD1">
        <w:rPr>
          <w:rFonts w:ascii="Arial" w:eastAsia="Times New Roman" w:hAnsi="Arial" w:cs="Arial"/>
          <w:sz w:val="22"/>
          <w:szCs w:val="22"/>
          <w:lang w:val="es-ES"/>
        </w:rPr>
        <w:t xml:space="preserve"> </w:t>
      </w:r>
      <w:r w:rsidRPr="00C82BD1">
        <w:rPr>
          <w:rFonts w:ascii="Arial" w:hAnsi="Arial" w:cs="Arial"/>
          <w:sz w:val="22"/>
          <w:szCs w:val="22"/>
          <w:lang w:val="es-ES"/>
        </w:rPr>
        <w:t>carga</w:t>
      </w:r>
      <w:r w:rsidRPr="00C82BD1">
        <w:rPr>
          <w:rFonts w:ascii="Arial" w:eastAsia="Times New Roman" w:hAnsi="Arial" w:cs="Arial"/>
          <w:sz w:val="22"/>
          <w:szCs w:val="22"/>
          <w:lang w:val="es-ES"/>
        </w:rPr>
        <w:t xml:space="preserve"> </w:t>
      </w:r>
      <w:r w:rsidRPr="00C82BD1">
        <w:rPr>
          <w:rFonts w:ascii="Arial" w:hAnsi="Arial" w:cs="Arial"/>
          <w:sz w:val="22"/>
          <w:szCs w:val="22"/>
          <w:lang w:val="es-ES"/>
        </w:rPr>
        <w:t>de</w:t>
      </w:r>
      <w:r w:rsidRPr="00C82BD1">
        <w:rPr>
          <w:rFonts w:ascii="Arial" w:eastAsia="Times New Roman" w:hAnsi="Arial" w:cs="Arial"/>
          <w:sz w:val="22"/>
          <w:szCs w:val="22"/>
          <w:lang w:val="es-ES"/>
        </w:rPr>
        <w:t xml:space="preserve"> </w:t>
      </w:r>
      <w:r w:rsidRPr="00C82BD1">
        <w:rPr>
          <w:rFonts w:ascii="Arial" w:hAnsi="Arial" w:cs="Arial"/>
          <w:sz w:val="22"/>
          <w:szCs w:val="22"/>
          <w:lang w:val="es-ES"/>
        </w:rPr>
        <w:t>enfermedad</w:t>
      </w:r>
      <w:r w:rsidRPr="00C82BD1">
        <w:rPr>
          <w:rFonts w:ascii="Arial" w:eastAsia="Times New Roman" w:hAnsi="Arial" w:cs="Arial"/>
          <w:sz w:val="22"/>
          <w:szCs w:val="22"/>
          <w:lang w:val="es-ES"/>
        </w:rPr>
        <w:t xml:space="preserve"> eliminada.</w:t>
      </w:r>
    </w:p>
    <w:p w14:paraId="662EAF58" w14:textId="77777777" w:rsidR="008A55D4" w:rsidRDefault="008A55D4" w:rsidP="00884AA4">
      <w:pPr>
        <w:spacing w:before="120" w:after="120"/>
        <w:jc w:val="both"/>
        <w:rPr>
          <w:rFonts w:ascii="Arial" w:hAnsi="Arial" w:cs="Arial"/>
          <w:sz w:val="22"/>
          <w:szCs w:val="22"/>
          <w:lang w:val="es-ES"/>
        </w:rPr>
      </w:pPr>
    </w:p>
    <w:p w14:paraId="662EAF59" w14:textId="77777777" w:rsidR="009A3B14" w:rsidRPr="00C82BD1" w:rsidRDefault="009A3B14" w:rsidP="00884AA4">
      <w:pPr>
        <w:spacing w:before="120" w:after="120"/>
        <w:jc w:val="both"/>
        <w:rPr>
          <w:rFonts w:ascii="Arial" w:hAnsi="Arial" w:cs="Arial"/>
          <w:sz w:val="22"/>
          <w:szCs w:val="22"/>
          <w:lang w:val="es-ES"/>
        </w:rPr>
      </w:pPr>
      <w:r w:rsidRPr="00C82BD1">
        <w:rPr>
          <w:rFonts w:ascii="Arial" w:hAnsi="Arial" w:cs="Arial"/>
          <w:sz w:val="22"/>
          <w:szCs w:val="22"/>
          <w:lang w:val="es-ES"/>
        </w:rPr>
        <w:t xml:space="preserve">Los años de vida perdidos por cada muerte prematura se establecen en función de la Esperanza de Vida restante a la edad de cada muerte. Un AVAD representa la pérdida de un año que equivale a un año totalmente saludable. </w:t>
      </w:r>
    </w:p>
    <w:p w14:paraId="662EAF5A" w14:textId="77777777" w:rsidR="009A3B14" w:rsidRPr="00C82BD1" w:rsidRDefault="009A3B14" w:rsidP="00884AA4">
      <w:pPr>
        <w:spacing w:before="120" w:after="120"/>
        <w:jc w:val="both"/>
        <w:rPr>
          <w:rFonts w:ascii="Arial" w:hAnsi="Arial" w:cs="Arial"/>
          <w:sz w:val="22"/>
          <w:szCs w:val="22"/>
          <w:lang w:val="es-ES"/>
        </w:rPr>
      </w:pPr>
      <w:bookmarkStart w:id="10" w:name="f1"/>
      <w:bookmarkEnd w:id="10"/>
      <w:r w:rsidRPr="00C82BD1">
        <w:rPr>
          <w:rFonts w:ascii="Arial" w:hAnsi="Arial" w:cs="Arial"/>
          <w:sz w:val="22"/>
          <w:szCs w:val="22"/>
          <w:lang w:val="es-ES"/>
        </w:rPr>
        <w:t>En términos generales los AVADs dependen de los siguientes parámetros: AVD: total Años Vividos con Discapacidad. N</w:t>
      </w:r>
      <w:r w:rsidRPr="00C82BD1">
        <w:rPr>
          <w:rFonts w:ascii="Arial" w:hAnsi="Arial" w:cs="Arial"/>
          <w:sz w:val="22"/>
          <w:szCs w:val="22"/>
          <w:vertAlign w:val="subscript"/>
          <w:lang w:val="es-ES"/>
        </w:rPr>
        <w:t>j</w:t>
      </w:r>
      <w:r w:rsidRPr="00C82BD1">
        <w:rPr>
          <w:rFonts w:ascii="Arial" w:hAnsi="Arial" w:cs="Arial"/>
          <w:sz w:val="22"/>
          <w:szCs w:val="22"/>
          <w:lang w:val="es-ES"/>
        </w:rPr>
        <w:t>: Población susceptible de enfermar a cada edad (0 - L). I</w:t>
      </w:r>
      <w:r w:rsidRPr="00C82BD1">
        <w:rPr>
          <w:rFonts w:ascii="Arial" w:hAnsi="Arial" w:cs="Arial"/>
          <w:sz w:val="22"/>
          <w:szCs w:val="22"/>
          <w:vertAlign w:val="subscript"/>
          <w:lang w:val="es-ES"/>
        </w:rPr>
        <w:t>j</w:t>
      </w:r>
      <w:r w:rsidRPr="00C82BD1">
        <w:rPr>
          <w:rFonts w:ascii="Arial" w:hAnsi="Arial" w:cs="Arial"/>
          <w:sz w:val="22"/>
          <w:szCs w:val="22"/>
          <w:lang w:val="es-ES"/>
        </w:rPr>
        <w:t>: Incidencia de la enfermedad a cada edad (0 - L). T</w:t>
      </w:r>
      <w:r w:rsidRPr="00C82BD1">
        <w:rPr>
          <w:rFonts w:ascii="Arial" w:hAnsi="Arial" w:cs="Arial"/>
          <w:sz w:val="22"/>
          <w:szCs w:val="22"/>
          <w:vertAlign w:val="subscript"/>
          <w:lang w:val="es-ES"/>
        </w:rPr>
        <w:t>j</w:t>
      </w:r>
      <w:r w:rsidRPr="00C82BD1">
        <w:rPr>
          <w:rFonts w:ascii="Arial" w:hAnsi="Arial" w:cs="Arial"/>
          <w:sz w:val="22"/>
          <w:szCs w:val="22"/>
          <w:lang w:val="es-ES"/>
        </w:rPr>
        <w:t xml:space="preserve">: Duración media de la enfermedad desde la edad de inicio (0 - L). D: Valor que pondera la discapacidad entre valores de "0 = salud perfecta" y "1 = máxima discapacidad o equivalente al estado de muerte". El método para establecer las escalas de severidad o ponderación de la discapacidad usada para los AVAD es el de Equivalencia de personas </w:t>
      </w:r>
      <w:r w:rsidRPr="00C82BD1">
        <w:rPr>
          <w:rFonts w:ascii="Arial" w:hAnsi="Arial" w:cs="Arial"/>
          <w:sz w:val="22"/>
          <w:szCs w:val="22"/>
          <w:lang w:val="es-ES"/>
        </w:rPr>
        <w:fldChar w:fldCharType="begin" w:fldLock="1"/>
      </w:r>
      <w:r w:rsidRPr="00C82BD1">
        <w:rPr>
          <w:rFonts w:ascii="Arial" w:hAnsi="Arial" w:cs="Arial"/>
          <w:sz w:val="22"/>
          <w:szCs w:val="22"/>
          <w:lang w:val="es-ES"/>
        </w:rPr>
        <w:instrText>ADDIN CSL_CITATION { "citationItems" : [ { "id" : "ITEM-1", "itemData" : { "ISSN" : "0042-9686", "PMID" : "8062403", "abstract" : "Conventional methods for collecting, analysing and disseminating data and information on disability in populations have relied on cross-sectional censuses and surveys which measure prevalence in a given period. While this may be relevant for defining the extent and demographic pattern of disabilities in a population, and thus indicating the need for rehabilitative services, prevention requires detailed information on the underlying diseases and injuries that cause disabilities. The Global Burden of Disease methodology described in this paper provides a mechanism for quantifying the health consequences of the years of life lived with disabilities by first estimating the age-sex-specific incidence rates of underlying conditions, and then mapping these to a single disability index which collectively reflects the probability of progressing to a disability, the duration of life lived with the disability, and the approximate severity of the disability in terms of activity restriction. Detailed estimates of the number of disability-adjusted life years (DALYs) lived are provided in this paper, for eight geographical regions. The results should be useful to those concerned with planning health services for the disabled and, more particularly, with determining policies to prevent the underlying conditions which give rise to serious disabling sequelae.", "author" : [ { "dropping-particle" : "", "family" : "Murray", "given" : "C J", "non-dropping-particle" : "", "parse-names" : false, "suffix" : "" }, { "dropping-particle" : "", "family" : "Lopez", "given" : "A D", "non-dropping-particle" : "", "parse-names" : false, "suffix" : "" } ], "container-title" : "Bulletin of the World Health Organization", "id" : "ITEM-1", "issue" : "3", "issued" : { "date-parts" : [ [ "1994", "1" ] ] }, "page" : "481-94", "title" : "Quantifying disability: data, methods and results.", "type" : "article-journal", "volume" : "72" }, "uris" : [ "http://www.mendeley.com/documents/?uuid=4d26c997-ee43-4358-ad62-eb467cf111a9" ] } ], "mendeley" : { "formattedCitation" : "(C. J. Murray and Lopez 1994)", "manualFormatting" : "(Murray y Lopez 1994)", "plainTextFormattedCitation" : "(C. J. Murray and Lopez 1994)", "previouslyFormattedCitation" : "(C. J. Murray and Lopez 1994)" }, "properties" : { "noteIndex" : 0 }, "schema" : "https://github.com/citation-style-language/schema/raw/master/csl-citation.json" }</w:instrText>
      </w:r>
      <w:r w:rsidRPr="00C82BD1">
        <w:rPr>
          <w:rFonts w:ascii="Arial" w:hAnsi="Arial" w:cs="Arial"/>
          <w:sz w:val="22"/>
          <w:szCs w:val="22"/>
          <w:lang w:val="es-ES"/>
        </w:rPr>
        <w:fldChar w:fldCharType="separate"/>
      </w:r>
      <w:r w:rsidRPr="00C82BD1">
        <w:rPr>
          <w:rFonts w:ascii="Arial" w:hAnsi="Arial" w:cs="Arial"/>
          <w:noProof/>
          <w:sz w:val="22"/>
          <w:szCs w:val="22"/>
          <w:lang w:val="es-ES"/>
        </w:rPr>
        <w:t>(Murray y Lopez 1994)</w:t>
      </w:r>
      <w:r w:rsidRPr="00C82BD1">
        <w:rPr>
          <w:rFonts w:ascii="Arial" w:hAnsi="Arial" w:cs="Arial"/>
          <w:sz w:val="22"/>
          <w:szCs w:val="22"/>
          <w:lang w:val="es-ES"/>
        </w:rPr>
        <w:fldChar w:fldCharType="end"/>
      </w:r>
      <w:r w:rsidRPr="00C82BD1">
        <w:rPr>
          <w:rFonts w:ascii="Arial" w:hAnsi="Arial" w:cs="Arial"/>
          <w:sz w:val="22"/>
          <w:szCs w:val="22"/>
          <w:lang w:val="es-ES"/>
        </w:rPr>
        <w:t>.</w:t>
      </w:r>
    </w:p>
    <w:p w14:paraId="662EAF5B" w14:textId="77777777" w:rsidR="009A3B14" w:rsidRPr="00C82BD1" w:rsidRDefault="009A3B14" w:rsidP="00884AA4">
      <w:pPr>
        <w:spacing w:before="120" w:after="120"/>
        <w:jc w:val="both"/>
        <w:rPr>
          <w:rFonts w:ascii="Arial" w:eastAsia="Times New Roman" w:hAnsi="Arial" w:cs="Arial"/>
          <w:sz w:val="22"/>
          <w:szCs w:val="22"/>
          <w:lang w:val="es-ES"/>
        </w:rPr>
      </w:pPr>
      <w:r w:rsidRPr="00C82BD1">
        <w:rPr>
          <w:rFonts w:ascii="Arial" w:eastAsia="Times New Roman" w:hAnsi="Arial" w:cs="Arial"/>
          <w:sz w:val="22"/>
          <w:szCs w:val="22"/>
          <w:lang w:val="es-ES"/>
        </w:rPr>
        <w:t xml:space="preserve">Como discuten </w:t>
      </w:r>
      <w:r w:rsidRPr="00C82BD1">
        <w:rPr>
          <w:rFonts w:ascii="Arial" w:eastAsia="Times New Roman" w:hAnsi="Arial" w:cs="Arial"/>
          <w:sz w:val="22"/>
          <w:szCs w:val="22"/>
          <w:lang w:val="es-ES"/>
        </w:rPr>
        <w:fldChar w:fldCharType="begin" w:fldLock="1"/>
      </w:r>
      <w:r w:rsidRPr="00C82BD1">
        <w:rPr>
          <w:rFonts w:ascii="Arial" w:eastAsia="Times New Roman" w:hAnsi="Arial" w:cs="Arial"/>
          <w:sz w:val="22"/>
          <w:szCs w:val="22"/>
          <w:lang w:val="es-ES"/>
        </w:rPr>
        <w:instrText>ADDIN CSL_CITATION { "citationItems" : [ { "id" : "ITEM-1", "itemData" : { "DOI" : "10.4067/S0034-98872010001000005", "ISSN" : "0034-9887", "author" : [ { "dropping-particle" : "", "family" : "Alvis", "given" : "Nelson", "non-dropping-particle" : "", "parse-names" : false, "suffix" : "" }, { "dropping-particle" : "", "family" : "Valenzuela", "given" : "Mar\u00eda Teresa", "non-dropping-particle" : "", "parse-names" : false, "suffix" : "" } ], "container-title" : "Revista m\u00e9dica de Chile", "id" : "ITEM-1", "issued" : { "date-parts" : [ [ "2010", "9" ] ] }, "page" : "83-87", "publisher" : "Sociedad M\u00e9dica de Santiago", "title" : "Los QALYs y DALYs como indicadores sint\u00e9ticos de salud", "type" : "article-journal", "volume" : "138" }, "uris" : [ "http://www.mendeley.com/documents/?uuid=1d14ce35-712c-4909-bd3b-a2eecdfe3e42" ] } ], "mendeley" : { "formattedCitation" : "(Alvis and Valenzuela 2010)", "manualFormatting" : "Alvis y Valenzuela (2010)", "plainTextFormattedCitation" : "(Alvis and Valenzuela 2010)", "previouslyFormattedCitation" : "(Alvis and Valenzuela 2010)" }, "properties" : { "noteIndex" : 0 }, "schema" : "https://github.com/citation-style-language/schema/raw/master/csl-citation.json" }</w:instrText>
      </w:r>
      <w:r w:rsidRPr="00C82BD1">
        <w:rPr>
          <w:rFonts w:ascii="Arial" w:eastAsia="Times New Roman" w:hAnsi="Arial" w:cs="Arial"/>
          <w:sz w:val="22"/>
          <w:szCs w:val="22"/>
          <w:lang w:val="es-ES"/>
        </w:rPr>
        <w:fldChar w:fldCharType="separate"/>
      </w:r>
      <w:r w:rsidRPr="00C82BD1">
        <w:rPr>
          <w:rFonts w:ascii="Arial" w:eastAsia="Times New Roman" w:hAnsi="Arial" w:cs="Arial"/>
          <w:noProof/>
          <w:sz w:val="22"/>
          <w:szCs w:val="22"/>
          <w:lang w:val="es-ES"/>
        </w:rPr>
        <w:t>Alvis y Valenzuela (2010)</w:t>
      </w:r>
      <w:r w:rsidRPr="00C82BD1">
        <w:rPr>
          <w:rFonts w:ascii="Arial" w:eastAsia="Times New Roman" w:hAnsi="Arial" w:cs="Arial"/>
          <w:sz w:val="22"/>
          <w:szCs w:val="22"/>
          <w:lang w:val="es-ES"/>
        </w:rPr>
        <w:fldChar w:fldCharType="end"/>
      </w:r>
      <w:r w:rsidRPr="00C82BD1">
        <w:rPr>
          <w:rFonts w:ascii="Arial" w:eastAsia="Times New Roman" w:hAnsi="Arial" w:cs="Arial"/>
          <w:sz w:val="22"/>
          <w:szCs w:val="22"/>
          <w:lang w:val="es-ES"/>
        </w:rPr>
        <w:t xml:space="preserve">, </w:t>
      </w:r>
      <w:r w:rsidRPr="00C82BD1">
        <w:rPr>
          <w:rFonts w:ascii="Arial" w:eastAsia="Times New Roman" w:hAnsi="Arial" w:cs="Arial"/>
          <w:sz w:val="22"/>
          <w:szCs w:val="22"/>
          <w:lang w:val="es-ES"/>
        </w:rPr>
        <w:fldChar w:fldCharType="begin" w:fldLock="1"/>
      </w:r>
      <w:r w:rsidRPr="00C82BD1">
        <w:rPr>
          <w:rFonts w:ascii="Arial" w:eastAsia="Times New Roman" w:hAnsi="Arial" w:cs="Arial"/>
          <w:sz w:val="22"/>
          <w:szCs w:val="22"/>
          <w:lang w:val="es-ES"/>
        </w:rPr>
        <w:instrText>ADDIN CSL_CITATION { "citationItems" : [ { "id" : "ITEM-1", "itemData" : { "editor" : [ { "dropping-particle" : "", "family" : "Mathers", "given" : "Colin", "non-dropping-particle" : "", "parse-names" : false, "suffix" : "" }, { "dropping-particle" : "", "family" : "Vos", "given" : "THeo", "non-dropping-particle" : "", "parse-names" : false, "suffix" : "" }, { "dropping-particle" : "", "family" : "Lopez", "given" : "Alan", "non-dropping-particle" : "", "parse-names" : false, "suffix" : "" }, { "dropping-particle" : "", "family" : "Salomon", "given" : "Josh", "non-dropping-particle" : "", "parse-names" : false, "suffix" : "" }, { "dropping-particle" : "", "family" : "Ezzati", "given" : "Majid", "non-dropping-particle" : "", "parse-names" : false, "suffix" : "" } ], "id" : "ITEM-1", "issued" : { "date-parts" : [ [ "2001" ] ] }, "publisher" : "Organizaci\u00f3n Mundial de la Salud", "publisher-place" : "Giinebra, Suiza", "title" : "National Burden of Disease Studies: A Practical Guide. Edition 2.0", "type" : "book" }, "uris" : [ "http://www.mendeley.com/documents/?uuid=93efaa13-0271-4d8d-b569-cd766b3b6008" ] } ], "mendeley" : { "formattedCitation" : "(Mathers et al. 2001)", "manualFormatting" : "Mathers et al. (2001)", "plainTextFormattedCitation" : "(Mathers et al. 2001)", "previouslyFormattedCitation" : "(Mathers et al. 2001)" }, "properties" : { "noteIndex" : 0 }, "schema" : "https://github.com/citation-style-language/schema/raw/master/csl-citation.json" }</w:instrText>
      </w:r>
      <w:r w:rsidRPr="00C82BD1">
        <w:rPr>
          <w:rFonts w:ascii="Arial" w:eastAsia="Times New Roman" w:hAnsi="Arial" w:cs="Arial"/>
          <w:sz w:val="22"/>
          <w:szCs w:val="22"/>
          <w:lang w:val="es-ES"/>
        </w:rPr>
        <w:fldChar w:fldCharType="separate"/>
      </w:r>
      <w:r w:rsidRPr="00C82BD1">
        <w:rPr>
          <w:rFonts w:ascii="Arial" w:eastAsia="Times New Roman" w:hAnsi="Arial" w:cs="Arial"/>
          <w:noProof/>
          <w:sz w:val="22"/>
          <w:szCs w:val="22"/>
          <w:lang w:val="es-ES"/>
        </w:rPr>
        <w:t>Mathers et al. (2001)</w:t>
      </w:r>
      <w:r w:rsidRPr="00C82BD1">
        <w:rPr>
          <w:rFonts w:ascii="Arial" w:eastAsia="Times New Roman" w:hAnsi="Arial" w:cs="Arial"/>
          <w:sz w:val="22"/>
          <w:szCs w:val="22"/>
          <w:lang w:val="es-ES"/>
        </w:rPr>
        <w:fldChar w:fldCharType="end"/>
      </w:r>
      <w:r w:rsidRPr="00C82BD1">
        <w:rPr>
          <w:rFonts w:ascii="Arial" w:eastAsia="Times New Roman" w:hAnsi="Arial" w:cs="Arial"/>
          <w:sz w:val="22"/>
          <w:szCs w:val="22"/>
          <w:lang w:val="es-ES"/>
        </w:rPr>
        <w:t xml:space="preserve"> y </w:t>
      </w:r>
      <w:r w:rsidRPr="00C82BD1">
        <w:rPr>
          <w:rFonts w:ascii="Arial" w:eastAsia="Times New Roman" w:hAnsi="Arial" w:cs="Arial"/>
          <w:sz w:val="22"/>
          <w:szCs w:val="22"/>
          <w:lang w:val="es-ES"/>
        </w:rPr>
        <w:fldChar w:fldCharType="begin" w:fldLock="1"/>
      </w:r>
      <w:r w:rsidRPr="00C82BD1">
        <w:rPr>
          <w:rFonts w:ascii="Arial" w:eastAsia="Times New Roman" w:hAnsi="Arial" w:cs="Arial"/>
          <w:sz w:val="22"/>
          <w:szCs w:val="22"/>
          <w:lang w:val="es-ES"/>
        </w:rPr>
        <w:instrText>ADDIN CSL_CITATION { "citationItems" : [ { "id" : "ITEM-1", "itemData" : { "editor" : [ { "dropping-particle" : "", "family" : "Tan-Torres Edejer", "given" : "T", "non-dropping-particle" : "", "parse-names" : false, "suffix" : "" }, { "dropping-particle" : "", "family" : "Baltussen", "given" : "R.", "non-dropping-particle" : "", "parse-names" : false, "suffix" : "" }, { "dropping-particle" : "", "family" : "Adam", "given" : "T", "non-dropping-particle" : "", "parse-names" : false, "suffix" : "" }, { "dropping-particle" : "", "family" : "Hutubessy", "given" : "R", "non-dropping-particle" : "", "parse-names" : false, "suffix" : "" }, { "dropping-particle" : "", "family" : "Acharya", "given" : "A.", "non-dropping-particle" : "", "parse-names" : false, "suffix" : "" }, { "dropping-particle" : "", "family" : "Evans", "given" : "D.B.", "non-dropping-particle" : "", "parse-names" : false, "suffix" : "" }, { "dropping-particle" : "", "family" : "Murray", "given" : "C.J.L.", "non-dropping-particle" : "", "parse-names" : false, "suffix" : "" } ], "id" : "ITEM-1", "issued" : { "date-parts" : [ [ "2003" ] ] }, "publisher" : "Organizaci\u00f3n Mundial de la Salud", "publisher-place" : "Ginebra, Suiza", "title" : "Making Choices in Health:WHO Guide to Cost-Effectiveness Analysis", "type" : "book" }, "uris" : [ "http://www.mendeley.com/documents/?uuid=25a26c8b-dbda-4a68-ae1c-4aef5e08e5d1" ] } ], "mendeley" : { "formattedCitation" : "(Tan-Torres Edejer et al. 2003)", "manualFormatting" : "Tan-Torres Edeker et al. (2003)", "plainTextFormattedCitation" : "(Tan-Torres Edejer et al. 2003)", "previouslyFormattedCitation" : "(Tan-Torres Edejer et al. 2003)" }, "properties" : { "noteIndex" : 0 }, "schema" : "https://github.com/citation-style-language/schema/raw/master/csl-citation.json" }</w:instrText>
      </w:r>
      <w:r w:rsidRPr="00C82BD1">
        <w:rPr>
          <w:rFonts w:ascii="Arial" w:eastAsia="Times New Roman" w:hAnsi="Arial" w:cs="Arial"/>
          <w:sz w:val="22"/>
          <w:szCs w:val="22"/>
          <w:lang w:val="es-ES"/>
        </w:rPr>
        <w:fldChar w:fldCharType="separate"/>
      </w:r>
      <w:r w:rsidRPr="00C82BD1">
        <w:rPr>
          <w:rFonts w:ascii="Arial" w:eastAsia="Times New Roman" w:hAnsi="Arial" w:cs="Arial"/>
          <w:noProof/>
          <w:sz w:val="22"/>
          <w:szCs w:val="22"/>
          <w:lang w:val="es-ES"/>
        </w:rPr>
        <w:t>Tan-Torres Edeker et al. (2003)</w:t>
      </w:r>
      <w:r w:rsidRPr="00C82BD1">
        <w:rPr>
          <w:rFonts w:ascii="Arial" w:eastAsia="Times New Roman" w:hAnsi="Arial" w:cs="Arial"/>
          <w:sz w:val="22"/>
          <w:szCs w:val="22"/>
          <w:lang w:val="es-ES"/>
        </w:rPr>
        <w:fldChar w:fldCharType="end"/>
      </w:r>
      <w:r w:rsidRPr="00C82BD1">
        <w:rPr>
          <w:rFonts w:ascii="Arial" w:eastAsia="Times New Roman" w:hAnsi="Arial" w:cs="Arial"/>
          <w:sz w:val="22"/>
          <w:szCs w:val="22"/>
          <w:lang w:val="es-ES"/>
        </w:rPr>
        <w:t>, entre muchos otras referencias, los AVADs resumen, mediante estudios de carga de la enfermedad, el impacto de la mortalidad y discapacidad asociada a enfermedades espec</w:t>
      </w:r>
      <w:r w:rsidRPr="00C82BD1">
        <w:rPr>
          <w:rFonts w:ascii="Arial" w:hAnsi="Arial" w:cs="Arial"/>
          <w:sz w:val="22"/>
          <w:szCs w:val="22"/>
          <w:lang w:val="es-ES"/>
        </w:rPr>
        <w:t>íficas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en</w:t>
      </w:r>
      <w:r w:rsidRPr="00C82BD1">
        <w:rPr>
          <w:rFonts w:ascii="Arial" w:eastAsia="Times New Roman" w:hAnsi="Arial" w:cs="Arial"/>
          <w:sz w:val="22"/>
          <w:szCs w:val="22"/>
          <w:lang w:val="es-ES"/>
        </w:rPr>
        <w:t xml:space="preserve"> </w:t>
      </w:r>
      <w:r w:rsidRPr="00C82BD1">
        <w:rPr>
          <w:rFonts w:ascii="Arial" w:hAnsi="Arial" w:cs="Arial"/>
          <w:sz w:val="22"/>
          <w:szCs w:val="22"/>
          <w:lang w:val="es-ES"/>
        </w:rPr>
        <w:t>distintas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comunidades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los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AVAD</w:t>
      </w:r>
      <w:r w:rsidRPr="00C82BD1">
        <w:rPr>
          <w:rFonts w:ascii="Arial" w:eastAsia="Times New Roman" w:hAnsi="Arial" w:cs="Arial"/>
          <w:sz w:val="22"/>
          <w:szCs w:val="22"/>
          <w:lang w:val="es-ES"/>
        </w:rPr>
        <w:t xml:space="preserve"> </w:t>
      </w:r>
      <w:r w:rsidRPr="00C82BD1">
        <w:rPr>
          <w:rFonts w:ascii="Arial" w:hAnsi="Arial" w:cs="Arial"/>
          <w:sz w:val="22"/>
          <w:szCs w:val="22"/>
          <w:lang w:val="es-ES"/>
        </w:rPr>
        <w:t>son</w:t>
      </w:r>
      <w:r w:rsidRPr="00C82BD1">
        <w:rPr>
          <w:rFonts w:ascii="Arial" w:eastAsia="Times New Roman" w:hAnsi="Arial" w:cs="Arial"/>
          <w:sz w:val="22"/>
          <w:szCs w:val="22"/>
          <w:lang w:val="es-ES"/>
        </w:rPr>
        <w:t xml:space="preserve"> </w:t>
      </w:r>
      <w:r w:rsidRPr="00C82BD1">
        <w:rPr>
          <w:rFonts w:ascii="Arial" w:hAnsi="Arial" w:cs="Arial"/>
          <w:sz w:val="22"/>
          <w:szCs w:val="22"/>
          <w:lang w:val="es-ES"/>
        </w:rPr>
        <w:t>comúnmente</w:t>
      </w:r>
      <w:r w:rsidRPr="00C82BD1">
        <w:rPr>
          <w:rFonts w:ascii="Arial" w:eastAsia="Times New Roman" w:hAnsi="Arial" w:cs="Arial"/>
          <w:sz w:val="22"/>
          <w:szCs w:val="22"/>
          <w:lang w:val="es-ES"/>
        </w:rPr>
        <w:t xml:space="preserve"> </w:t>
      </w:r>
      <w:r w:rsidRPr="00C82BD1">
        <w:rPr>
          <w:rFonts w:ascii="Arial" w:hAnsi="Arial" w:cs="Arial"/>
          <w:sz w:val="22"/>
          <w:szCs w:val="22"/>
          <w:lang w:val="es-ES"/>
        </w:rPr>
        <w:t>utilizados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como</w:t>
      </w:r>
      <w:r w:rsidRPr="00C82BD1">
        <w:rPr>
          <w:rFonts w:ascii="Arial" w:eastAsia="Times New Roman" w:hAnsi="Arial" w:cs="Arial"/>
          <w:sz w:val="22"/>
          <w:szCs w:val="22"/>
          <w:lang w:val="es-ES"/>
        </w:rPr>
        <w:t xml:space="preserve"> </w:t>
      </w:r>
      <w:r w:rsidRPr="00C82BD1">
        <w:rPr>
          <w:rFonts w:ascii="Arial" w:hAnsi="Arial" w:cs="Arial"/>
          <w:sz w:val="22"/>
          <w:szCs w:val="22"/>
          <w:lang w:val="es-ES"/>
        </w:rPr>
        <w:t>medidas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de</w:t>
      </w:r>
      <w:r w:rsidRPr="00C82BD1">
        <w:rPr>
          <w:rFonts w:ascii="Arial" w:eastAsia="Times New Roman" w:hAnsi="Arial" w:cs="Arial"/>
          <w:sz w:val="22"/>
          <w:szCs w:val="22"/>
          <w:lang w:val="es-ES"/>
        </w:rPr>
        <w:t xml:space="preserve"> </w:t>
      </w:r>
      <w:r w:rsidRPr="00C82BD1">
        <w:rPr>
          <w:rFonts w:ascii="Arial" w:hAnsi="Arial" w:cs="Arial"/>
          <w:sz w:val="22"/>
          <w:szCs w:val="22"/>
          <w:lang w:val="es-ES"/>
        </w:rPr>
        <w:t>resultado</w:t>
      </w:r>
      <w:r w:rsidRPr="00C82BD1">
        <w:rPr>
          <w:rFonts w:ascii="Arial" w:eastAsia="Times New Roman" w:hAnsi="Arial" w:cs="Arial"/>
          <w:sz w:val="22"/>
          <w:szCs w:val="22"/>
          <w:lang w:val="es-ES"/>
        </w:rPr>
        <w:t xml:space="preserve"> </w:t>
      </w:r>
      <w:r w:rsidRPr="00C82BD1">
        <w:rPr>
          <w:rFonts w:ascii="Arial" w:hAnsi="Arial" w:cs="Arial"/>
          <w:sz w:val="22"/>
          <w:szCs w:val="22"/>
          <w:lang w:val="es-ES"/>
        </w:rPr>
        <w:t>en</w:t>
      </w:r>
      <w:r w:rsidRPr="00C82BD1">
        <w:rPr>
          <w:rFonts w:ascii="Arial" w:eastAsia="Times New Roman" w:hAnsi="Arial" w:cs="Arial"/>
          <w:sz w:val="22"/>
          <w:szCs w:val="22"/>
          <w:lang w:val="es-ES"/>
        </w:rPr>
        <w:t xml:space="preserve"> </w:t>
      </w:r>
      <w:r w:rsidRPr="00C82BD1">
        <w:rPr>
          <w:rFonts w:ascii="Arial" w:hAnsi="Arial" w:cs="Arial"/>
          <w:sz w:val="22"/>
          <w:szCs w:val="22"/>
          <w:lang w:val="es-ES"/>
        </w:rPr>
        <w:t>los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estudios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de</w:t>
      </w:r>
      <w:r w:rsidRPr="00C82BD1">
        <w:rPr>
          <w:rFonts w:ascii="Arial" w:eastAsia="Times New Roman" w:hAnsi="Arial" w:cs="Arial"/>
          <w:sz w:val="22"/>
          <w:szCs w:val="22"/>
          <w:lang w:val="es-ES"/>
        </w:rPr>
        <w:t xml:space="preserve"> </w:t>
      </w:r>
      <w:r w:rsidRPr="00C82BD1">
        <w:rPr>
          <w:rFonts w:ascii="Arial" w:hAnsi="Arial" w:cs="Arial"/>
          <w:sz w:val="22"/>
          <w:szCs w:val="22"/>
          <w:lang w:val="es-ES"/>
        </w:rPr>
        <w:t>evaluación</w:t>
      </w:r>
      <w:r w:rsidRPr="00C82BD1">
        <w:rPr>
          <w:rFonts w:ascii="Arial" w:eastAsia="Times New Roman" w:hAnsi="Arial" w:cs="Arial"/>
          <w:sz w:val="22"/>
          <w:szCs w:val="22"/>
          <w:lang w:val="es-ES"/>
        </w:rPr>
        <w:t xml:space="preserve"> </w:t>
      </w:r>
      <w:r w:rsidRPr="00C82BD1">
        <w:rPr>
          <w:rFonts w:ascii="Arial" w:hAnsi="Arial" w:cs="Arial"/>
          <w:sz w:val="22"/>
          <w:szCs w:val="22"/>
          <w:lang w:val="es-ES"/>
        </w:rPr>
        <w:t>económica</w:t>
      </w:r>
      <w:r w:rsidRPr="00C82BD1">
        <w:rPr>
          <w:rFonts w:ascii="Arial" w:eastAsia="Times New Roman" w:hAnsi="Arial" w:cs="Arial"/>
          <w:sz w:val="22"/>
          <w:szCs w:val="22"/>
          <w:lang w:val="es-ES"/>
        </w:rPr>
        <w:t xml:space="preserve"> </w:t>
      </w:r>
      <w:r w:rsidRPr="00C82BD1">
        <w:rPr>
          <w:rFonts w:ascii="Arial" w:hAnsi="Arial" w:cs="Arial"/>
          <w:sz w:val="22"/>
          <w:szCs w:val="22"/>
          <w:lang w:val="es-ES"/>
        </w:rPr>
        <w:t>midiendo</w:t>
      </w:r>
      <w:r w:rsidRPr="00C82BD1">
        <w:rPr>
          <w:rFonts w:ascii="Arial" w:eastAsia="Times New Roman" w:hAnsi="Arial" w:cs="Arial"/>
          <w:sz w:val="22"/>
          <w:szCs w:val="22"/>
          <w:lang w:val="es-ES"/>
        </w:rPr>
        <w:t xml:space="preserve"> </w:t>
      </w:r>
      <w:r w:rsidRPr="00C82BD1">
        <w:rPr>
          <w:rFonts w:ascii="Arial" w:hAnsi="Arial" w:cs="Arial"/>
          <w:sz w:val="22"/>
          <w:szCs w:val="22"/>
          <w:lang w:val="es-ES"/>
        </w:rPr>
        <w:t>el</w:t>
      </w:r>
      <w:r w:rsidRPr="00C82BD1">
        <w:rPr>
          <w:rFonts w:ascii="Arial" w:eastAsia="Times New Roman" w:hAnsi="Arial" w:cs="Arial"/>
          <w:sz w:val="22"/>
          <w:szCs w:val="22"/>
          <w:lang w:val="es-ES"/>
        </w:rPr>
        <w:t xml:space="preserve"> </w:t>
      </w:r>
      <w:r w:rsidRPr="00C82BD1">
        <w:rPr>
          <w:rFonts w:ascii="Arial" w:hAnsi="Arial" w:cs="Arial"/>
          <w:sz w:val="22"/>
          <w:szCs w:val="22"/>
          <w:lang w:val="es-ES"/>
        </w:rPr>
        <w:t>impacto</w:t>
      </w:r>
      <w:r w:rsidRPr="00C82BD1">
        <w:rPr>
          <w:rFonts w:ascii="Arial" w:eastAsia="Times New Roman" w:hAnsi="Arial" w:cs="Arial"/>
          <w:sz w:val="22"/>
          <w:szCs w:val="22"/>
          <w:lang w:val="es-ES"/>
        </w:rPr>
        <w:t xml:space="preserve"> </w:t>
      </w:r>
      <w:r w:rsidRPr="00C82BD1">
        <w:rPr>
          <w:rFonts w:ascii="Arial" w:hAnsi="Arial" w:cs="Arial"/>
          <w:sz w:val="22"/>
          <w:szCs w:val="22"/>
          <w:lang w:val="es-ES"/>
        </w:rPr>
        <w:t>de</w:t>
      </w:r>
      <w:r w:rsidRPr="00C82BD1">
        <w:rPr>
          <w:rFonts w:ascii="Arial" w:eastAsia="Times New Roman" w:hAnsi="Arial" w:cs="Arial"/>
          <w:sz w:val="22"/>
          <w:szCs w:val="22"/>
          <w:lang w:val="es-ES"/>
        </w:rPr>
        <w:t xml:space="preserve"> </w:t>
      </w:r>
      <w:r w:rsidRPr="00C82BD1">
        <w:rPr>
          <w:rFonts w:ascii="Arial" w:hAnsi="Arial" w:cs="Arial"/>
          <w:sz w:val="22"/>
          <w:szCs w:val="22"/>
          <w:lang w:val="es-ES"/>
        </w:rPr>
        <w:t>acciones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o</w:t>
      </w:r>
      <w:r w:rsidRPr="00C82BD1">
        <w:rPr>
          <w:rFonts w:ascii="Arial" w:eastAsia="Times New Roman" w:hAnsi="Arial" w:cs="Arial"/>
          <w:sz w:val="22"/>
          <w:szCs w:val="22"/>
          <w:lang w:val="es-ES"/>
        </w:rPr>
        <w:t xml:space="preserve"> </w:t>
      </w:r>
      <w:r w:rsidRPr="00C82BD1">
        <w:rPr>
          <w:rFonts w:ascii="Arial" w:hAnsi="Arial" w:cs="Arial"/>
          <w:sz w:val="22"/>
          <w:szCs w:val="22"/>
          <w:lang w:val="es-ES"/>
        </w:rPr>
        <w:t>intervenciones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específicas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para</w:t>
      </w:r>
      <w:r w:rsidRPr="00C82BD1">
        <w:rPr>
          <w:rFonts w:ascii="Arial" w:eastAsia="Times New Roman" w:hAnsi="Arial" w:cs="Arial"/>
          <w:sz w:val="22"/>
          <w:szCs w:val="22"/>
          <w:lang w:val="es-ES"/>
        </w:rPr>
        <w:t xml:space="preserve"> </w:t>
      </w:r>
      <w:r w:rsidRPr="00C82BD1">
        <w:rPr>
          <w:rFonts w:ascii="Arial" w:hAnsi="Arial" w:cs="Arial"/>
          <w:sz w:val="22"/>
          <w:szCs w:val="22"/>
          <w:lang w:val="es-ES"/>
        </w:rPr>
        <w:t>reve</w:t>
      </w:r>
      <w:r w:rsidRPr="00C82BD1">
        <w:rPr>
          <w:rFonts w:ascii="Arial" w:eastAsia="Times New Roman" w:hAnsi="Arial" w:cs="Arial"/>
          <w:sz w:val="22"/>
          <w:szCs w:val="22"/>
          <w:lang w:val="es-ES"/>
        </w:rPr>
        <w:t>rtir la carga de la enfermedad. Su car</w:t>
      </w:r>
      <w:r w:rsidRPr="00C82BD1">
        <w:rPr>
          <w:rFonts w:ascii="Arial" w:hAnsi="Arial" w:cs="Arial"/>
          <w:sz w:val="22"/>
          <w:szCs w:val="22"/>
          <w:lang w:val="es-ES"/>
        </w:rPr>
        <w:t>ácter</w:t>
      </w:r>
      <w:r w:rsidRPr="00C82BD1">
        <w:rPr>
          <w:rFonts w:ascii="Arial" w:eastAsia="Times New Roman" w:hAnsi="Arial" w:cs="Arial"/>
          <w:sz w:val="22"/>
          <w:szCs w:val="22"/>
          <w:lang w:val="es-ES"/>
        </w:rPr>
        <w:t xml:space="preserve"> </w:t>
      </w:r>
      <w:r w:rsidRPr="00C82BD1">
        <w:rPr>
          <w:rFonts w:ascii="Arial" w:hAnsi="Arial" w:cs="Arial"/>
          <w:sz w:val="22"/>
          <w:szCs w:val="22"/>
          <w:lang w:val="es-ES"/>
        </w:rPr>
        <w:t>genérico</w:t>
      </w:r>
      <w:r w:rsidRPr="00C82BD1">
        <w:rPr>
          <w:rFonts w:ascii="Arial" w:eastAsia="Times New Roman" w:hAnsi="Arial" w:cs="Arial"/>
          <w:sz w:val="22"/>
          <w:szCs w:val="22"/>
          <w:lang w:val="es-ES"/>
        </w:rPr>
        <w:t xml:space="preserve"> </w:t>
      </w:r>
      <w:r w:rsidRPr="00C82BD1">
        <w:rPr>
          <w:rFonts w:ascii="Arial" w:hAnsi="Arial" w:cs="Arial"/>
          <w:sz w:val="22"/>
          <w:szCs w:val="22"/>
          <w:lang w:val="es-ES"/>
        </w:rPr>
        <w:t>permite</w:t>
      </w:r>
      <w:r w:rsidRPr="00C82BD1">
        <w:rPr>
          <w:rFonts w:ascii="Arial" w:eastAsia="Times New Roman" w:hAnsi="Arial" w:cs="Arial"/>
          <w:sz w:val="22"/>
          <w:szCs w:val="22"/>
          <w:lang w:val="es-ES"/>
        </w:rPr>
        <w:t xml:space="preserve"> </w:t>
      </w:r>
      <w:r w:rsidRPr="00C82BD1">
        <w:rPr>
          <w:rFonts w:ascii="Arial" w:hAnsi="Arial" w:cs="Arial"/>
          <w:sz w:val="22"/>
          <w:szCs w:val="22"/>
          <w:lang w:val="es-ES"/>
        </w:rPr>
        <w:t>comparar</w:t>
      </w:r>
      <w:r w:rsidRPr="00C82BD1">
        <w:rPr>
          <w:rFonts w:ascii="Arial" w:eastAsia="Times New Roman" w:hAnsi="Arial" w:cs="Arial"/>
          <w:sz w:val="22"/>
          <w:szCs w:val="22"/>
          <w:lang w:val="es-ES"/>
        </w:rPr>
        <w:t xml:space="preserve"> </w:t>
      </w:r>
      <w:r w:rsidRPr="00C82BD1">
        <w:rPr>
          <w:rFonts w:ascii="Arial" w:hAnsi="Arial" w:cs="Arial"/>
          <w:sz w:val="22"/>
          <w:szCs w:val="22"/>
          <w:lang w:val="es-ES"/>
        </w:rPr>
        <w:t>el</w:t>
      </w:r>
      <w:r w:rsidRPr="00C82BD1">
        <w:rPr>
          <w:rFonts w:ascii="Arial" w:eastAsia="Times New Roman" w:hAnsi="Arial" w:cs="Arial"/>
          <w:sz w:val="22"/>
          <w:szCs w:val="22"/>
          <w:lang w:val="es-ES"/>
        </w:rPr>
        <w:t xml:space="preserve"> </w:t>
      </w:r>
      <w:r w:rsidRPr="00C82BD1">
        <w:rPr>
          <w:rFonts w:ascii="Arial" w:hAnsi="Arial" w:cs="Arial"/>
          <w:sz w:val="22"/>
          <w:szCs w:val="22"/>
          <w:lang w:val="es-ES"/>
        </w:rPr>
        <w:t>impacto</w:t>
      </w:r>
      <w:r w:rsidRPr="00C82BD1">
        <w:rPr>
          <w:rFonts w:ascii="Arial" w:eastAsia="Times New Roman" w:hAnsi="Arial" w:cs="Arial"/>
          <w:sz w:val="22"/>
          <w:szCs w:val="22"/>
          <w:lang w:val="es-ES"/>
        </w:rPr>
        <w:t xml:space="preserve"> </w:t>
      </w:r>
      <w:r w:rsidRPr="00C82BD1">
        <w:rPr>
          <w:rFonts w:ascii="Arial" w:hAnsi="Arial" w:cs="Arial"/>
          <w:sz w:val="22"/>
          <w:szCs w:val="22"/>
          <w:lang w:val="es-ES"/>
        </w:rPr>
        <w:t>de</w:t>
      </w:r>
      <w:r w:rsidRPr="00C82BD1">
        <w:rPr>
          <w:rFonts w:ascii="Arial" w:eastAsia="Times New Roman" w:hAnsi="Arial" w:cs="Arial"/>
          <w:sz w:val="22"/>
          <w:szCs w:val="22"/>
          <w:lang w:val="es-ES"/>
        </w:rPr>
        <w:t xml:space="preserve"> </w:t>
      </w:r>
      <w:r w:rsidRPr="00C82BD1">
        <w:rPr>
          <w:rFonts w:ascii="Arial" w:hAnsi="Arial" w:cs="Arial"/>
          <w:sz w:val="22"/>
          <w:szCs w:val="22"/>
          <w:lang w:val="es-ES"/>
        </w:rPr>
        <w:t>intervenciones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de</w:t>
      </w:r>
      <w:r w:rsidRPr="00C82BD1">
        <w:rPr>
          <w:rFonts w:ascii="Arial" w:eastAsia="Times New Roman" w:hAnsi="Arial" w:cs="Arial"/>
          <w:sz w:val="22"/>
          <w:szCs w:val="22"/>
          <w:lang w:val="es-ES"/>
        </w:rPr>
        <w:t xml:space="preserve"> </w:t>
      </w:r>
      <w:r w:rsidRPr="00C82BD1">
        <w:rPr>
          <w:rFonts w:ascii="Arial" w:hAnsi="Arial" w:cs="Arial"/>
          <w:sz w:val="22"/>
          <w:szCs w:val="22"/>
          <w:lang w:val="es-ES"/>
        </w:rPr>
        <w:t>salud</w:t>
      </w:r>
      <w:r w:rsidRPr="00C82BD1">
        <w:rPr>
          <w:rFonts w:ascii="Arial" w:eastAsia="Times New Roman" w:hAnsi="Arial" w:cs="Arial"/>
          <w:sz w:val="22"/>
          <w:szCs w:val="22"/>
          <w:lang w:val="es-ES"/>
        </w:rPr>
        <w:t xml:space="preserve"> enfocados en atender diferentes enfermedades.</w:t>
      </w:r>
    </w:p>
    <w:p w14:paraId="662EAF5C" w14:textId="77777777" w:rsidR="009A3B14" w:rsidRPr="00C82BD1" w:rsidRDefault="009A3B14" w:rsidP="00884AA4">
      <w:pPr>
        <w:spacing w:before="120" w:after="240"/>
        <w:jc w:val="both"/>
        <w:rPr>
          <w:rFonts w:ascii="Arial" w:eastAsia="Times New Roman" w:hAnsi="Arial" w:cs="Arial"/>
          <w:sz w:val="22"/>
          <w:szCs w:val="22"/>
          <w:lang w:val="es-ES"/>
        </w:rPr>
      </w:pPr>
      <w:r w:rsidRPr="00C82BD1">
        <w:rPr>
          <w:rFonts w:ascii="Arial" w:eastAsia="Times New Roman" w:hAnsi="Arial" w:cs="Arial"/>
          <w:sz w:val="22"/>
          <w:szCs w:val="22"/>
          <w:lang w:val="es-ES"/>
        </w:rPr>
        <w:t>De acuerdo a la metodolog</w:t>
      </w:r>
      <w:r w:rsidRPr="00C82BD1">
        <w:rPr>
          <w:rFonts w:ascii="Arial" w:hAnsi="Arial" w:cs="Arial"/>
          <w:sz w:val="22"/>
          <w:szCs w:val="22"/>
          <w:lang w:val="es-ES"/>
        </w:rPr>
        <w:t>ía</w:t>
      </w:r>
      <w:r w:rsidRPr="00C82BD1">
        <w:rPr>
          <w:rFonts w:ascii="Arial" w:eastAsia="Times New Roman" w:hAnsi="Arial" w:cs="Arial"/>
          <w:sz w:val="22"/>
          <w:szCs w:val="22"/>
          <w:lang w:val="es-ES"/>
        </w:rPr>
        <w:t xml:space="preserve"> </w:t>
      </w:r>
      <w:r w:rsidRPr="00C82BD1">
        <w:rPr>
          <w:rFonts w:ascii="Arial" w:hAnsi="Arial" w:cs="Arial"/>
          <w:sz w:val="22"/>
          <w:szCs w:val="22"/>
          <w:lang w:val="es-ES"/>
        </w:rPr>
        <w:t>original</w:t>
      </w:r>
      <w:r w:rsidRPr="00C82BD1">
        <w:rPr>
          <w:rFonts w:ascii="Arial" w:eastAsia="Times New Roman" w:hAnsi="Arial" w:cs="Arial"/>
          <w:sz w:val="22"/>
          <w:szCs w:val="22"/>
          <w:lang w:val="es-ES"/>
        </w:rPr>
        <w:t xml:space="preserve">, </w:t>
      </w:r>
      <w:r w:rsidRPr="00C82BD1">
        <w:rPr>
          <w:rFonts w:ascii="Arial" w:hAnsi="Arial" w:cs="Arial"/>
          <w:sz w:val="22"/>
          <w:szCs w:val="22"/>
          <w:lang w:val="es-ES"/>
        </w:rPr>
        <w:t>el</w:t>
      </w:r>
      <w:r w:rsidRPr="00C82BD1">
        <w:rPr>
          <w:rFonts w:ascii="Arial" w:eastAsia="Times New Roman" w:hAnsi="Arial" w:cs="Arial"/>
          <w:sz w:val="22"/>
          <w:szCs w:val="22"/>
          <w:lang w:val="es-ES"/>
        </w:rPr>
        <w:t xml:space="preserve"> </w:t>
      </w:r>
      <w:r w:rsidRPr="00C82BD1">
        <w:rPr>
          <w:rFonts w:ascii="Arial" w:hAnsi="Arial" w:cs="Arial"/>
          <w:sz w:val="22"/>
          <w:szCs w:val="22"/>
          <w:lang w:val="es-ES"/>
        </w:rPr>
        <w:t>cálculo</w:t>
      </w:r>
      <w:r w:rsidRPr="00C82BD1">
        <w:rPr>
          <w:rFonts w:ascii="Arial" w:eastAsia="Times New Roman" w:hAnsi="Arial" w:cs="Arial"/>
          <w:sz w:val="22"/>
          <w:szCs w:val="22"/>
          <w:lang w:val="es-ES"/>
        </w:rPr>
        <w:t xml:space="preserve"> </w:t>
      </w:r>
      <w:r w:rsidRPr="00C82BD1">
        <w:rPr>
          <w:rFonts w:ascii="Arial" w:hAnsi="Arial" w:cs="Arial"/>
          <w:sz w:val="22"/>
          <w:szCs w:val="22"/>
          <w:lang w:val="es-ES"/>
        </w:rPr>
        <w:t>de</w:t>
      </w:r>
      <w:r w:rsidRPr="00C82BD1">
        <w:rPr>
          <w:rFonts w:ascii="Arial" w:eastAsia="Times New Roman" w:hAnsi="Arial" w:cs="Arial"/>
          <w:sz w:val="22"/>
          <w:szCs w:val="22"/>
          <w:lang w:val="es-ES"/>
        </w:rPr>
        <w:t xml:space="preserve"> </w:t>
      </w:r>
      <w:r w:rsidRPr="00C82BD1">
        <w:rPr>
          <w:rFonts w:ascii="Arial" w:hAnsi="Arial" w:cs="Arial"/>
          <w:sz w:val="22"/>
          <w:szCs w:val="22"/>
          <w:lang w:val="es-ES"/>
        </w:rPr>
        <w:t>los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AVADs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requiere</w:t>
      </w:r>
      <w:r w:rsidRPr="00C82BD1">
        <w:rPr>
          <w:rFonts w:ascii="Arial" w:eastAsia="Times New Roman" w:hAnsi="Arial" w:cs="Arial"/>
          <w:sz w:val="22"/>
          <w:szCs w:val="22"/>
          <w:lang w:val="es-ES"/>
        </w:rPr>
        <w:t xml:space="preserve"> </w:t>
      </w:r>
      <w:r w:rsidRPr="00C82BD1">
        <w:rPr>
          <w:rFonts w:ascii="Arial" w:hAnsi="Arial" w:cs="Arial"/>
          <w:sz w:val="22"/>
          <w:szCs w:val="22"/>
          <w:lang w:val="es-ES"/>
        </w:rPr>
        <w:t>ponderar</w:t>
      </w:r>
      <w:r w:rsidRPr="00C82BD1">
        <w:rPr>
          <w:rFonts w:ascii="Arial" w:eastAsia="Times New Roman" w:hAnsi="Arial" w:cs="Arial"/>
          <w:sz w:val="22"/>
          <w:szCs w:val="22"/>
          <w:lang w:val="es-ES"/>
        </w:rPr>
        <w:t xml:space="preserve"> </w:t>
      </w:r>
      <w:r w:rsidRPr="00C82BD1">
        <w:rPr>
          <w:rFonts w:ascii="Arial" w:hAnsi="Arial" w:cs="Arial"/>
          <w:sz w:val="22"/>
          <w:szCs w:val="22"/>
          <w:lang w:val="es-ES"/>
        </w:rPr>
        <w:t>los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años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vividos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a</w:t>
      </w:r>
      <w:r w:rsidRPr="00C82BD1">
        <w:rPr>
          <w:rFonts w:ascii="Arial" w:eastAsia="Times New Roman" w:hAnsi="Arial" w:cs="Arial"/>
          <w:sz w:val="22"/>
          <w:szCs w:val="22"/>
          <w:lang w:val="es-ES"/>
        </w:rPr>
        <w:t xml:space="preserve"> </w:t>
      </w:r>
      <w:r w:rsidRPr="00C82BD1">
        <w:rPr>
          <w:rFonts w:ascii="Arial" w:hAnsi="Arial" w:cs="Arial"/>
          <w:sz w:val="22"/>
          <w:szCs w:val="22"/>
          <w:lang w:val="es-ES"/>
        </w:rPr>
        <w:t>cada</w:t>
      </w:r>
      <w:r w:rsidRPr="00C82BD1">
        <w:rPr>
          <w:rFonts w:ascii="Arial" w:eastAsia="Times New Roman" w:hAnsi="Arial" w:cs="Arial"/>
          <w:sz w:val="22"/>
          <w:szCs w:val="22"/>
          <w:lang w:val="es-ES"/>
        </w:rPr>
        <w:t xml:space="preserve"> </w:t>
      </w:r>
      <w:r w:rsidRPr="00C82BD1">
        <w:rPr>
          <w:rFonts w:ascii="Arial" w:hAnsi="Arial" w:cs="Arial"/>
          <w:sz w:val="22"/>
          <w:szCs w:val="22"/>
          <w:lang w:val="es-ES"/>
        </w:rPr>
        <w:t>edad</w:t>
      </w:r>
      <w:r w:rsidRPr="00C82BD1">
        <w:rPr>
          <w:rFonts w:ascii="Arial" w:eastAsia="Times New Roman" w:hAnsi="Arial" w:cs="Arial"/>
          <w:sz w:val="22"/>
          <w:szCs w:val="22"/>
          <w:lang w:val="es-ES"/>
        </w:rPr>
        <w:t xml:space="preserve"> (</w:t>
      </w:r>
      <w:r w:rsidRPr="00C82BD1">
        <w:rPr>
          <w:rFonts w:ascii="Arial" w:eastAsia="Times New Roman" w:hAnsi="Arial" w:cs="Arial"/>
          <w:sz w:val="22"/>
          <w:szCs w:val="22"/>
          <w:lang w:val="es-ES"/>
        </w:rPr>
        <w:fldChar w:fldCharType="begin"/>
      </w:r>
      <w:r w:rsidRPr="00C82BD1">
        <w:rPr>
          <w:rFonts w:ascii="Arial" w:eastAsia="Times New Roman" w:hAnsi="Arial" w:cs="Arial"/>
          <w:sz w:val="22"/>
          <w:szCs w:val="22"/>
          <w:lang w:val="es-ES"/>
        </w:rPr>
        <w:instrText xml:space="preserve"> REF _Ref296067896 \h  \* MERGEFORMAT </w:instrText>
      </w:r>
      <w:r w:rsidRPr="00C82BD1">
        <w:rPr>
          <w:rFonts w:ascii="Arial" w:eastAsia="Times New Roman" w:hAnsi="Arial" w:cs="Arial"/>
          <w:sz w:val="22"/>
          <w:szCs w:val="22"/>
          <w:lang w:val="es-ES"/>
        </w:rPr>
      </w:r>
      <w:r w:rsidRPr="00C82BD1">
        <w:rPr>
          <w:rFonts w:ascii="Arial" w:eastAsia="Times New Roman" w:hAnsi="Arial" w:cs="Arial"/>
          <w:sz w:val="22"/>
          <w:szCs w:val="22"/>
          <w:lang w:val="es-ES"/>
        </w:rPr>
        <w:fldChar w:fldCharType="separate"/>
      </w:r>
      <w:r w:rsidRPr="00C82BD1">
        <w:rPr>
          <w:rFonts w:ascii="Arial" w:hAnsi="Arial" w:cs="Arial"/>
          <w:sz w:val="22"/>
          <w:szCs w:val="22"/>
          <w:lang w:val="es-ES"/>
        </w:rPr>
        <w:t xml:space="preserve">Figura </w:t>
      </w:r>
      <w:r w:rsidRPr="00C82BD1">
        <w:rPr>
          <w:rFonts w:ascii="Arial" w:hAnsi="Arial" w:cs="Arial"/>
          <w:noProof/>
          <w:sz w:val="22"/>
          <w:szCs w:val="22"/>
          <w:lang w:val="es-ES"/>
        </w:rPr>
        <w:t>1</w:t>
      </w:r>
      <w:r w:rsidRPr="00C82BD1">
        <w:rPr>
          <w:rFonts w:ascii="Arial" w:eastAsia="Times New Roman" w:hAnsi="Arial" w:cs="Arial"/>
          <w:sz w:val="22"/>
          <w:szCs w:val="22"/>
          <w:lang w:val="es-ES"/>
        </w:rPr>
        <w:fldChar w:fldCharType="end"/>
      </w:r>
      <w:r w:rsidRPr="00C82BD1">
        <w:rPr>
          <w:rFonts w:ascii="Arial" w:eastAsia="Times New Roman" w:hAnsi="Arial" w:cs="Arial"/>
          <w:sz w:val="22"/>
          <w:szCs w:val="22"/>
          <w:lang w:val="es-ES"/>
        </w:rPr>
        <w:t>), lo cual se sustenta por el hecho de que en los a</w:t>
      </w:r>
      <w:r w:rsidRPr="00C82BD1">
        <w:rPr>
          <w:rFonts w:ascii="Arial" w:hAnsi="Arial" w:cs="Arial"/>
          <w:sz w:val="22"/>
          <w:szCs w:val="22"/>
          <w:lang w:val="es-ES"/>
        </w:rPr>
        <w:t>ños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medios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de</w:t>
      </w:r>
      <w:r w:rsidRPr="00C82BD1">
        <w:rPr>
          <w:rFonts w:ascii="Arial" w:eastAsia="Times New Roman" w:hAnsi="Arial" w:cs="Arial"/>
          <w:sz w:val="22"/>
          <w:szCs w:val="22"/>
          <w:lang w:val="es-ES"/>
        </w:rPr>
        <w:t xml:space="preserve"> </w:t>
      </w:r>
      <w:r w:rsidRPr="00C82BD1">
        <w:rPr>
          <w:rFonts w:ascii="Arial" w:hAnsi="Arial" w:cs="Arial"/>
          <w:sz w:val="22"/>
          <w:szCs w:val="22"/>
          <w:lang w:val="es-ES"/>
        </w:rPr>
        <w:t>vida</w:t>
      </w:r>
      <w:r w:rsidRPr="00C82BD1">
        <w:rPr>
          <w:rFonts w:ascii="Arial" w:eastAsia="Times New Roman" w:hAnsi="Arial" w:cs="Arial"/>
          <w:sz w:val="22"/>
          <w:szCs w:val="22"/>
          <w:lang w:val="es-ES"/>
        </w:rPr>
        <w:t xml:space="preserve">, </w:t>
      </w:r>
      <w:r w:rsidRPr="00C82BD1">
        <w:rPr>
          <w:rFonts w:ascii="Arial" w:hAnsi="Arial" w:cs="Arial"/>
          <w:sz w:val="22"/>
          <w:szCs w:val="22"/>
          <w:lang w:val="es-ES"/>
        </w:rPr>
        <w:t>las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personas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no</w:t>
      </w:r>
      <w:r w:rsidRPr="00C82BD1">
        <w:rPr>
          <w:rFonts w:ascii="Arial" w:eastAsia="Times New Roman" w:hAnsi="Arial" w:cs="Arial"/>
          <w:sz w:val="22"/>
          <w:szCs w:val="22"/>
          <w:lang w:val="es-ES"/>
        </w:rPr>
        <w:t xml:space="preserve"> </w:t>
      </w:r>
      <w:r w:rsidRPr="00C82BD1">
        <w:rPr>
          <w:rFonts w:ascii="Arial" w:hAnsi="Arial" w:cs="Arial"/>
          <w:sz w:val="22"/>
          <w:szCs w:val="22"/>
          <w:lang w:val="es-ES"/>
        </w:rPr>
        <w:t>sólo</w:t>
      </w:r>
      <w:r w:rsidRPr="00C82BD1">
        <w:rPr>
          <w:rFonts w:ascii="Arial" w:eastAsia="Times New Roman" w:hAnsi="Arial" w:cs="Arial"/>
          <w:sz w:val="22"/>
          <w:szCs w:val="22"/>
          <w:lang w:val="es-ES"/>
        </w:rPr>
        <w:t xml:space="preserve"> </w:t>
      </w:r>
      <w:r w:rsidRPr="00C82BD1">
        <w:rPr>
          <w:rFonts w:ascii="Arial" w:hAnsi="Arial" w:cs="Arial"/>
          <w:sz w:val="22"/>
          <w:szCs w:val="22"/>
          <w:lang w:val="es-ES"/>
        </w:rPr>
        <w:t>sostienen</w:t>
      </w:r>
      <w:r w:rsidRPr="00C82BD1">
        <w:rPr>
          <w:rFonts w:ascii="Arial" w:eastAsia="Times New Roman" w:hAnsi="Arial" w:cs="Arial"/>
          <w:sz w:val="22"/>
          <w:szCs w:val="22"/>
          <w:lang w:val="es-ES"/>
        </w:rPr>
        <w:t xml:space="preserve"> </w:t>
      </w:r>
      <w:r w:rsidRPr="00C82BD1">
        <w:rPr>
          <w:rFonts w:ascii="Arial" w:hAnsi="Arial" w:cs="Arial"/>
          <w:sz w:val="22"/>
          <w:szCs w:val="22"/>
          <w:lang w:val="es-ES"/>
        </w:rPr>
        <w:t>económicame</w:t>
      </w:r>
      <w:r w:rsidRPr="00C82BD1">
        <w:rPr>
          <w:rFonts w:ascii="Arial" w:eastAsia="Times New Roman" w:hAnsi="Arial" w:cs="Arial"/>
          <w:sz w:val="22"/>
          <w:szCs w:val="22"/>
          <w:lang w:val="es-ES"/>
        </w:rPr>
        <w:t>nte a los m</w:t>
      </w:r>
      <w:r w:rsidRPr="00C82BD1">
        <w:rPr>
          <w:rFonts w:ascii="Arial" w:hAnsi="Arial" w:cs="Arial"/>
          <w:sz w:val="22"/>
          <w:szCs w:val="22"/>
          <w:lang w:val="es-ES"/>
        </w:rPr>
        <w:t>ás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jóvenes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y</w:t>
      </w:r>
      <w:r w:rsidRPr="00C82BD1">
        <w:rPr>
          <w:rFonts w:ascii="Arial" w:eastAsia="Times New Roman" w:hAnsi="Arial" w:cs="Arial"/>
          <w:sz w:val="22"/>
          <w:szCs w:val="22"/>
          <w:lang w:val="es-ES"/>
        </w:rPr>
        <w:t xml:space="preserve"> </w:t>
      </w:r>
      <w:r w:rsidRPr="00C82BD1">
        <w:rPr>
          <w:rFonts w:ascii="Arial" w:hAnsi="Arial" w:cs="Arial"/>
          <w:sz w:val="22"/>
          <w:szCs w:val="22"/>
          <w:lang w:val="es-ES"/>
        </w:rPr>
        <w:t>adultos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mayores</w:t>
      </w:r>
      <w:r w:rsidRPr="00C82BD1">
        <w:rPr>
          <w:rFonts w:ascii="Arial" w:eastAsia="Times New Roman" w:hAnsi="Arial" w:cs="Arial"/>
          <w:sz w:val="22"/>
          <w:szCs w:val="22"/>
          <w:lang w:val="es-ES"/>
        </w:rPr>
        <w:t>, sino que realizan una serie de funciones sociales que repercuten favorablemente en la salud de los individuos de otras edades (por ejemplo, proveer cuidados a ni</w:t>
      </w:r>
      <w:r w:rsidRPr="00C82BD1">
        <w:rPr>
          <w:rFonts w:ascii="Arial" w:hAnsi="Arial" w:cs="Arial"/>
          <w:sz w:val="22"/>
          <w:szCs w:val="22"/>
          <w:lang w:val="es-ES"/>
        </w:rPr>
        <w:t>ños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y</w:t>
      </w:r>
      <w:r w:rsidRPr="00C82BD1">
        <w:rPr>
          <w:rFonts w:ascii="Arial" w:eastAsia="Times New Roman" w:hAnsi="Arial" w:cs="Arial"/>
          <w:sz w:val="22"/>
          <w:szCs w:val="22"/>
          <w:lang w:val="es-ES"/>
        </w:rPr>
        <w:t xml:space="preserve"> </w:t>
      </w:r>
      <w:r w:rsidRPr="00C82BD1">
        <w:rPr>
          <w:rFonts w:ascii="Arial" w:hAnsi="Arial" w:cs="Arial"/>
          <w:sz w:val="22"/>
          <w:szCs w:val="22"/>
          <w:lang w:val="es-ES"/>
        </w:rPr>
        <w:t>adultos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mayores</w:t>
      </w:r>
      <w:r w:rsidRPr="00C82BD1">
        <w:rPr>
          <w:rFonts w:ascii="Arial" w:eastAsia="Times New Roman" w:hAnsi="Arial" w:cs="Arial"/>
          <w:sz w:val="22"/>
          <w:szCs w:val="22"/>
          <w:lang w:val="es-ES"/>
        </w:rPr>
        <w:t>). Para una explicaci</w:t>
      </w:r>
      <w:r w:rsidRPr="00C82BD1">
        <w:rPr>
          <w:rFonts w:ascii="Arial" w:hAnsi="Arial" w:cs="Arial"/>
          <w:sz w:val="22"/>
          <w:szCs w:val="22"/>
          <w:lang w:val="es-ES"/>
        </w:rPr>
        <w:t>ón</w:t>
      </w:r>
      <w:r w:rsidRPr="00C82BD1">
        <w:rPr>
          <w:rFonts w:ascii="Arial" w:eastAsia="Times New Roman" w:hAnsi="Arial" w:cs="Arial"/>
          <w:sz w:val="22"/>
          <w:szCs w:val="22"/>
          <w:lang w:val="es-ES"/>
        </w:rPr>
        <w:t xml:space="preserve"> </w:t>
      </w:r>
      <w:r w:rsidRPr="00C82BD1">
        <w:rPr>
          <w:rFonts w:ascii="Arial" w:hAnsi="Arial" w:cs="Arial"/>
          <w:sz w:val="22"/>
          <w:szCs w:val="22"/>
          <w:lang w:val="es-ES"/>
        </w:rPr>
        <w:t>detallada</w:t>
      </w:r>
      <w:r w:rsidRPr="00C82BD1">
        <w:rPr>
          <w:rFonts w:ascii="Arial" w:eastAsia="Times New Roman" w:hAnsi="Arial" w:cs="Arial"/>
          <w:sz w:val="22"/>
          <w:szCs w:val="22"/>
          <w:lang w:val="es-ES"/>
        </w:rPr>
        <w:t xml:space="preserve"> </w:t>
      </w:r>
      <w:r w:rsidRPr="00C82BD1">
        <w:rPr>
          <w:rFonts w:ascii="Arial" w:hAnsi="Arial" w:cs="Arial"/>
          <w:sz w:val="22"/>
          <w:szCs w:val="22"/>
          <w:lang w:val="es-ES"/>
        </w:rPr>
        <w:t>sobre</w:t>
      </w:r>
      <w:r w:rsidRPr="00C82BD1">
        <w:rPr>
          <w:rFonts w:ascii="Arial" w:eastAsia="Times New Roman" w:hAnsi="Arial" w:cs="Arial"/>
          <w:sz w:val="22"/>
          <w:szCs w:val="22"/>
          <w:lang w:val="es-ES"/>
        </w:rPr>
        <w:t xml:space="preserve"> </w:t>
      </w:r>
      <w:r w:rsidRPr="00C82BD1">
        <w:rPr>
          <w:rFonts w:ascii="Arial" w:hAnsi="Arial" w:cs="Arial"/>
          <w:sz w:val="22"/>
          <w:szCs w:val="22"/>
          <w:lang w:val="es-ES"/>
        </w:rPr>
        <w:t>la</w:t>
      </w:r>
      <w:r w:rsidRPr="00C82BD1">
        <w:rPr>
          <w:rFonts w:ascii="Arial" w:eastAsia="Times New Roman" w:hAnsi="Arial" w:cs="Arial"/>
          <w:sz w:val="22"/>
          <w:szCs w:val="22"/>
          <w:lang w:val="es-ES"/>
        </w:rPr>
        <w:t xml:space="preserve"> </w:t>
      </w:r>
      <w:r w:rsidRPr="00C82BD1">
        <w:rPr>
          <w:rFonts w:ascii="Arial" w:hAnsi="Arial" w:cs="Arial"/>
          <w:sz w:val="22"/>
          <w:szCs w:val="22"/>
          <w:lang w:val="es-ES"/>
        </w:rPr>
        <w:t>metodología</w:t>
      </w:r>
      <w:r w:rsidRPr="00C82BD1">
        <w:rPr>
          <w:rFonts w:ascii="Arial" w:eastAsia="Times New Roman" w:hAnsi="Arial" w:cs="Arial"/>
          <w:sz w:val="22"/>
          <w:szCs w:val="22"/>
          <w:lang w:val="es-ES"/>
        </w:rPr>
        <w:t xml:space="preserve"> </w:t>
      </w:r>
      <w:r w:rsidRPr="00C82BD1">
        <w:rPr>
          <w:rFonts w:ascii="Arial" w:hAnsi="Arial" w:cs="Arial"/>
          <w:sz w:val="22"/>
          <w:szCs w:val="22"/>
          <w:lang w:val="es-ES"/>
        </w:rPr>
        <w:t>de</w:t>
      </w:r>
      <w:r w:rsidRPr="00C82BD1">
        <w:rPr>
          <w:rFonts w:ascii="Arial" w:eastAsia="Times New Roman" w:hAnsi="Arial" w:cs="Arial"/>
          <w:sz w:val="22"/>
          <w:szCs w:val="22"/>
          <w:lang w:val="es-ES"/>
        </w:rPr>
        <w:t xml:space="preserve"> </w:t>
      </w:r>
      <w:r w:rsidRPr="00C82BD1">
        <w:rPr>
          <w:rFonts w:ascii="Arial" w:hAnsi="Arial" w:cs="Arial"/>
          <w:sz w:val="22"/>
          <w:szCs w:val="22"/>
          <w:lang w:val="es-ES"/>
        </w:rPr>
        <w:t>AVAD</w:t>
      </w:r>
      <w:r w:rsidRPr="00C82BD1">
        <w:rPr>
          <w:rFonts w:ascii="Arial" w:eastAsia="Times New Roman" w:hAnsi="Arial" w:cs="Arial"/>
          <w:sz w:val="22"/>
          <w:szCs w:val="22"/>
          <w:lang w:val="es-ES"/>
        </w:rPr>
        <w:t>s se recomienda ver el cap</w:t>
      </w:r>
      <w:r w:rsidRPr="00C82BD1">
        <w:rPr>
          <w:rFonts w:ascii="Arial" w:hAnsi="Arial" w:cs="Arial"/>
          <w:sz w:val="22"/>
          <w:szCs w:val="22"/>
          <w:lang w:val="es-ES"/>
        </w:rPr>
        <w:t>ítulo</w:t>
      </w:r>
      <w:r w:rsidRPr="00C82BD1">
        <w:rPr>
          <w:rFonts w:ascii="Arial" w:eastAsia="Times New Roman" w:hAnsi="Arial" w:cs="Arial"/>
          <w:sz w:val="22"/>
          <w:szCs w:val="22"/>
          <w:lang w:val="es-ES"/>
        </w:rPr>
        <w:t xml:space="preserve"> 3 </w:t>
      </w:r>
      <w:r w:rsidRPr="00C82BD1">
        <w:rPr>
          <w:rFonts w:ascii="Arial" w:hAnsi="Arial" w:cs="Arial"/>
          <w:sz w:val="22"/>
          <w:szCs w:val="22"/>
          <w:lang w:val="es-ES"/>
        </w:rPr>
        <w:t>de</w:t>
      </w:r>
      <w:r w:rsidRPr="00C82BD1">
        <w:rPr>
          <w:rFonts w:ascii="Arial" w:eastAsia="Times New Roman" w:hAnsi="Arial" w:cs="Arial"/>
          <w:sz w:val="22"/>
          <w:szCs w:val="22"/>
          <w:lang w:val="es-ES"/>
        </w:rPr>
        <w:t xml:space="preserve"> </w:t>
      </w:r>
      <w:r w:rsidRPr="00C82BD1">
        <w:rPr>
          <w:rFonts w:ascii="Arial" w:hAnsi="Arial" w:cs="Arial"/>
          <w:sz w:val="22"/>
          <w:szCs w:val="22"/>
          <w:lang w:val="es-ES"/>
        </w:rPr>
        <w:t>la</w:t>
      </w:r>
      <w:r w:rsidRPr="00C82BD1">
        <w:rPr>
          <w:rFonts w:ascii="Arial" w:eastAsia="Times New Roman" w:hAnsi="Arial" w:cs="Arial"/>
          <w:sz w:val="22"/>
          <w:szCs w:val="22"/>
          <w:lang w:val="es-ES"/>
        </w:rPr>
        <w:t xml:space="preserve"> </w:t>
      </w:r>
      <w:r w:rsidRPr="00C82BD1">
        <w:rPr>
          <w:rFonts w:ascii="Arial" w:hAnsi="Arial" w:cs="Arial"/>
          <w:sz w:val="22"/>
          <w:szCs w:val="22"/>
          <w:lang w:val="es-ES"/>
        </w:rPr>
        <w:t>Guía</w:t>
      </w:r>
      <w:r w:rsidRPr="00C82BD1">
        <w:rPr>
          <w:rFonts w:ascii="Arial" w:eastAsia="Times New Roman" w:hAnsi="Arial" w:cs="Arial"/>
          <w:sz w:val="22"/>
          <w:szCs w:val="22"/>
          <w:lang w:val="es-ES"/>
        </w:rPr>
        <w:t xml:space="preserve"> </w:t>
      </w:r>
      <w:r w:rsidRPr="00C82BD1">
        <w:rPr>
          <w:rFonts w:ascii="Arial" w:hAnsi="Arial" w:cs="Arial"/>
          <w:sz w:val="22"/>
          <w:szCs w:val="22"/>
          <w:lang w:val="es-ES"/>
        </w:rPr>
        <w:t>Práctica</w:t>
      </w:r>
      <w:r w:rsidRPr="00C82BD1">
        <w:rPr>
          <w:rFonts w:ascii="Arial" w:eastAsia="Times New Roman" w:hAnsi="Arial" w:cs="Arial"/>
          <w:sz w:val="22"/>
          <w:szCs w:val="22"/>
          <w:lang w:val="es-ES"/>
        </w:rPr>
        <w:t xml:space="preserve"> </w:t>
      </w:r>
      <w:r w:rsidRPr="00C82BD1">
        <w:rPr>
          <w:rFonts w:ascii="Arial" w:hAnsi="Arial" w:cs="Arial"/>
          <w:sz w:val="22"/>
          <w:szCs w:val="22"/>
          <w:lang w:val="es-ES"/>
        </w:rPr>
        <w:t>para</w:t>
      </w:r>
      <w:r w:rsidRPr="00C82BD1">
        <w:rPr>
          <w:rFonts w:ascii="Arial" w:eastAsia="Times New Roman" w:hAnsi="Arial" w:cs="Arial"/>
          <w:sz w:val="22"/>
          <w:szCs w:val="22"/>
          <w:lang w:val="es-ES"/>
        </w:rPr>
        <w:t xml:space="preserve"> </w:t>
      </w:r>
      <w:r w:rsidRPr="00C82BD1">
        <w:rPr>
          <w:rFonts w:ascii="Arial" w:hAnsi="Arial" w:cs="Arial"/>
          <w:sz w:val="22"/>
          <w:szCs w:val="22"/>
          <w:lang w:val="es-ES"/>
        </w:rPr>
        <w:t>Estudios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Nacionales</w:t>
      </w:r>
      <w:r w:rsidRPr="00C82BD1">
        <w:rPr>
          <w:rFonts w:ascii="Arial" w:eastAsia="Times New Roman" w:hAnsi="Arial" w:cs="Arial"/>
          <w:sz w:val="22"/>
          <w:szCs w:val="22"/>
          <w:lang w:val="es-ES"/>
        </w:rPr>
        <w:t xml:space="preserve"> </w:t>
      </w:r>
      <w:r w:rsidRPr="00C82BD1">
        <w:rPr>
          <w:rFonts w:ascii="Arial" w:hAnsi="Arial" w:cs="Arial"/>
          <w:sz w:val="22"/>
          <w:szCs w:val="22"/>
          <w:lang w:val="es-ES"/>
        </w:rPr>
        <w:t>de</w:t>
      </w:r>
      <w:r w:rsidRPr="00C82BD1">
        <w:rPr>
          <w:rFonts w:ascii="Arial" w:eastAsia="Times New Roman" w:hAnsi="Arial" w:cs="Arial"/>
          <w:sz w:val="22"/>
          <w:szCs w:val="22"/>
          <w:lang w:val="es-ES"/>
        </w:rPr>
        <w:t xml:space="preserve"> </w:t>
      </w:r>
      <w:r w:rsidRPr="00C82BD1">
        <w:rPr>
          <w:rFonts w:ascii="Arial" w:hAnsi="Arial" w:cs="Arial"/>
          <w:sz w:val="22"/>
          <w:szCs w:val="22"/>
          <w:lang w:val="es-ES"/>
        </w:rPr>
        <w:t>Carga</w:t>
      </w:r>
      <w:r w:rsidRPr="00C82BD1">
        <w:rPr>
          <w:rFonts w:ascii="Arial" w:eastAsia="Times New Roman" w:hAnsi="Arial" w:cs="Arial"/>
          <w:sz w:val="22"/>
          <w:szCs w:val="22"/>
          <w:lang w:val="es-ES"/>
        </w:rPr>
        <w:t xml:space="preserve"> </w:t>
      </w:r>
      <w:r w:rsidRPr="00C82BD1">
        <w:rPr>
          <w:rFonts w:ascii="Arial" w:hAnsi="Arial" w:cs="Arial"/>
          <w:sz w:val="22"/>
          <w:szCs w:val="22"/>
          <w:lang w:val="es-ES"/>
        </w:rPr>
        <w:t>de</w:t>
      </w:r>
      <w:r w:rsidRPr="00C82BD1">
        <w:rPr>
          <w:rFonts w:ascii="Arial" w:eastAsia="Times New Roman" w:hAnsi="Arial" w:cs="Arial"/>
          <w:sz w:val="22"/>
          <w:szCs w:val="22"/>
          <w:lang w:val="es-ES"/>
        </w:rPr>
        <w:t xml:space="preserve"> </w:t>
      </w:r>
      <w:r w:rsidRPr="00C82BD1">
        <w:rPr>
          <w:rFonts w:ascii="Arial" w:hAnsi="Arial" w:cs="Arial"/>
          <w:sz w:val="22"/>
          <w:szCs w:val="22"/>
          <w:lang w:val="es-ES"/>
        </w:rPr>
        <w:t>Enfermedad</w:t>
      </w:r>
      <w:r w:rsidRPr="00C82BD1">
        <w:rPr>
          <w:rFonts w:ascii="Arial" w:eastAsia="Times New Roman" w:hAnsi="Arial" w:cs="Arial"/>
          <w:sz w:val="22"/>
          <w:szCs w:val="22"/>
          <w:lang w:val="es-ES"/>
        </w:rPr>
        <w:t xml:space="preserve"> </w:t>
      </w:r>
      <w:r w:rsidRPr="00C82BD1">
        <w:rPr>
          <w:rFonts w:ascii="Arial" w:eastAsia="Times New Roman" w:hAnsi="Arial" w:cs="Arial"/>
          <w:sz w:val="22"/>
          <w:szCs w:val="22"/>
          <w:lang w:val="es-ES"/>
        </w:rPr>
        <w:fldChar w:fldCharType="begin" w:fldLock="1"/>
      </w:r>
      <w:r w:rsidRPr="00C82BD1">
        <w:rPr>
          <w:rFonts w:ascii="Arial" w:eastAsia="Times New Roman" w:hAnsi="Arial" w:cs="Arial"/>
          <w:sz w:val="22"/>
          <w:szCs w:val="22"/>
          <w:lang w:val="es-ES"/>
        </w:rPr>
        <w:instrText>ADDIN CSL_CITATION { "citationItems" : [ { "id" : "ITEM-1", "itemData" : { "editor" : [ { "dropping-particle" : "", "family" : "Mathers", "given" : "Colin", "non-dropping-particle" : "", "parse-names" : false, "suffix" : "" }, { "dropping-particle" : "", "family" : "Vos", "given" : "THeo", "non-dropping-particle" : "", "parse-names" : false, "suffix" : "" }, { "dropping-particle" : "", "family" : "Lopez", "given" : "Alan", "non-dropping-particle" : "", "parse-names" : false, "suffix" : "" }, { "dropping-particle" : "", "family" : "Salomon", "given" : "Josh", "non-dropping-particle" : "", "parse-names" : false, "suffix" : "" }, { "dropping-particle" : "", "family" : "Ezzati", "given" : "Majid", "non-dropping-particle" : "", "parse-names" : false, "suffix" : "" } ], "id" : "ITEM-1", "issued" : { "date-parts" : [ [ "2001" ] ] }, "publisher" : "Organizaci\u00f3n Mundial de la Salud", "publisher-place" : "Giinebra, Suiza", "title" : "National Burden of Disease Studies: A Practical Guide. Edition 2.0", "type" : "book" }, "uris" : [ "http://www.mendeley.com/documents/?uuid=93efaa13-0271-4d8d-b569-cd766b3b6008" ] } ], "mendeley" : { "formattedCitation" : "(Mathers et al. 2001)", "plainTextFormattedCitation" : "(Mathers et al. 2001)", "previouslyFormattedCitation" : "(Mathers et al. 2001)" }, "properties" : { "noteIndex" : 0 }, "schema" : "https://github.com/citation-style-language/schema/raw/master/csl-citation.json" }</w:instrText>
      </w:r>
      <w:r w:rsidRPr="00C82BD1">
        <w:rPr>
          <w:rFonts w:ascii="Arial" w:eastAsia="Times New Roman" w:hAnsi="Arial" w:cs="Arial"/>
          <w:sz w:val="22"/>
          <w:szCs w:val="22"/>
          <w:lang w:val="es-ES"/>
        </w:rPr>
        <w:fldChar w:fldCharType="separate"/>
      </w:r>
      <w:r w:rsidRPr="00C82BD1">
        <w:rPr>
          <w:rFonts w:ascii="Arial" w:eastAsia="Times New Roman" w:hAnsi="Arial" w:cs="Arial"/>
          <w:noProof/>
          <w:sz w:val="22"/>
          <w:szCs w:val="22"/>
          <w:lang w:val="es-ES"/>
        </w:rPr>
        <w:t>(Mathers et al. 2001)</w:t>
      </w:r>
      <w:r w:rsidRPr="00C82BD1">
        <w:rPr>
          <w:rFonts w:ascii="Arial" w:eastAsia="Times New Roman" w:hAnsi="Arial" w:cs="Arial"/>
          <w:sz w:val="22"/>
          <w:szCs w:val="22"/>
          <w:lang w:val="es-ES"/>
        </w:rPr>
        <w:fldChar w:fldCharType="end"/>
      </w:r>
      <w:r w:rsidRPr="00C82BD1">
        <w:rPr>
          <w:rFonts w:ascii="Arial" w:eastAsia="Times New Roman" w:hAnsi="Arial" w:cs="Arial"/>
          <w:sz w:val="22"/>
          <w:szCs w:val="22"/>
          <w:lang w:val="es-ES"/>
        </w:rPr>
        <w:t xml:space="preserve"> as</w:t>
      </w:r>
      <w:r w:rsidRPr="00C82BD1">
        <w:rPr>
          <w:rFonts w:ascii="Arial" w:hAnsi="Arial" w:cs="Arial"/>
          <w:sz w:val="22"/>
          <w:szCs w:val="22"/>
          <w:lang w:val="es-ES"/>
        </w:rPr>
        <w:t>í</w:t>
      </w:r>
      <w:r w:rsidRPr="00C82BD1">
        <w:rPr>
          <w:rFonts w:ascii="Arial" w:eastAsia="Times New Roman" w:hAnsi="Arial" w:cs="Arial"/>
          <w:sz w:val="22"/>
          <w:szCs w:val="22"/>
          <w:lang w:val="es-ES"/>
        </w:rPr>
        <w:t xml:space="preserve"> </w:t>
      </w:r>
      <w:r w:rsidRPr="00C82BD1">
        <w:rPr>
          <w:rFonts w:ascii="Arial" w:hAnsi="Arial" w:cs="Arial"/>
          <w:sz w:val="22"/>
          <w:szCs w:val="22"/>
          <w:lang w:val="es-ES"/>
        </w:rPr>
        <w:t>como</w:t>
      </w:r>
      <w:r w:rsidRPr="00C82BD1">
        <w:rPr>
          <w:rFonts w:ascii="Arial" w:eastAsia="Times New Roman" w:hAnsi="Arial" w:cs="Arial"/>
          <w:sz w:val="22"/>
          <w:szCs w:val="22"/>
          <w:lang w:val="es-ES"/>
        </w:rPr>
        <w:t xml:space="preserve"> </w:t>
      </w:r>
      <w:r w:rsidRPr="00C82BD1">
        <w:rPr>
          <w:rFonts w:ascii="Arial" w:hAnsi="Arial" w:cs="Arial"/>
          <w:sz w:val="22"/>
          <w:szCs w:val="22"/>
          <w:lang w:val="es-ES"/>
        </w:rPr>
        <w:t>el</w:t>
      </w:r>
      <w:r w:rsidRPr="00C82BD1">
        <w:rPr>
          <w:rFonts w:ascii="Arial" w:eastAsia="Times New Roman" w:hAnsi="Arial" w:cs="Arial"/>
          <w:sz w:val="22"/>
          <w:szCs w:val="22"/>
          <w:lang w:val="es-ES"/>
        </w:rPr>
        <w:t xml:space="preserve"> </w:t>
      </w:r>
      <w:r w:rsidRPr="00C82BD1">
        <w:rPr>
          <w:rFonts w:ascii="Arial" w:hAnsi="Arial" w:cs="Arial"/>
          <w:sz w:val="22"/>
          <w:szCs w:val="22"/>
          <w:lang w:val="es-ES"/>
        </w:rPr>
        <w:lastRenderedPageBreak/>
        <w:t>texto</w:t>
      </w:r>
      <w:r w:rsidRPr="00C82BD1">
        <w:rPr>
          <w:rFonts w:ascii="Arial" w:eastAsia="Times New Roman" w:hAnsi="Arial" w:cs="Arial"/>
          <w:sz w:val="22"/>
          <w:szCs w:val="22"/>
          <w:lang w:val="es-ES"/>
        </w:rPr>
        <w:t xml:space="preserve"> </w:t>
      </w:r>
      <w:r w:rsidRPr="00C82BD1">
        <w:rPr>
          <w:rFonts w:ascii="Arial" w:hAnsi="Arial" w:cs="Arial"/>
          <w:sz w:val="22"/>
          <w:szCs w:val="22"/>
          <w:lang w:val="es-ES"/>
        </w:rPr>
        <w:t>de</w:t>
      </w:r>
      <w:r w:rsidRPr="00C82BD1">
        <w:rPr>
          <w:rFonts w:ascii="Arial" w:eastAsia="Times New Roman" w:hAnsi="Arial" w:cs="Arial"/>
          <w:sz w:val="22"/>
          <w:szCs w:val="22"/>
          <w:lang w:val="es-ES"/>
        </w:rPr>
        <w:t xml:space="preserve"> </w:t>
      </w:r>
      <w:r w:rsidRPr="00C82BD1">
        <w:rPr>
          <w:rFonts w:ascii="Arial" w:eastAsia="Times New Roman" w:hAnsi="Arial" w:cs="Arial"/>
          <w:sz w:val="22"/>
          <w:szCs w:val="22"/>
          <w:lang w:val="es-ES"/>
        </w:rPr>
        <w:fldChar w:fldCharType="begin" w:fldLock="1"/>
      </w:r>
      <w:r w:rsidRPr="00C82BD1">
        <w:rPr>
          <w:rFonts w:ascii="Arial" w:eastAsia="Times New Roman" w:hAnsi="Arial" w:cs="Arial"/>
          <w:sz w:val="22"/>
          <w:szCs w:val="22"/>
          <w:lang w:val="es-ES"/>
        </w:rPr>
        <w:instrText>ADDIN CSL_CITATION { "citationItems" : [ { "id" : "ITEM-1", "itemData" : { "DOI" : "10.4067/S0034-98872010001000005", "ISSN" : "0034-9887", "author" : [ { "dropping-particle" : "", "family" : "Alvis", "given" : "Nelson", "non-dropping-particle" : "", "parse-names" : false, "suffix" : "" }, { "dropping-particle" : "", "family" : "Valenzuela", "given" : "Mar\u00eda Teresa", "non-dropping-particle" : "", "parse-names" : false, "suffix" : "" } ], "container-title" : "Revista m\u00e9dica de Chile", "id" : "ITEM-1", "issued" : { "date-parts" : [ [ "2010", "9" ] ] }, "page" : "83-87", "publisher" : "Sociedad M\u00e9dica de Santiago", "title" : "Los QALYs y DALYs como indicadores sint\u00e9ticos de salud", "type" : "article-journal", "volume" : "138" }, "uris" : [ "http://www.mendeley.com/documents/?uuid=1d14ce35-712c-4909-bd3b-a2eecdfe3e42" ] } ], "mendeley" : { "formattedCitation" : "(Alvis and Valenzuela 2010)", "manualFormatting" : "Alvis y Valenzuela (2010)", "plainTextFormattedCitation" : "(Alvis and Valenzuela 2010)", "previouslyFormattedCitation" : "(Alvis and Valenzuela 2010)" }, "properties" : { "noteIndex" : 0 }, "schema" : "https://github.com/citation-style-language/schema/raw/master/csl-citation.json" }</w:instrText>
      </w:r>
      <w:r w:rsidRPr="00C82BD1">
        <w:rPr>
          <w:rFonts w:ascii="Arial" w:eastAsia="Times New Roman" w:hAnsi="Arial" w:cs="Arial"/>
          <w:sz w:val="22"/>
          <w:szCs w:val="22"/>
          <w:lang w:val="es-ES"/>
        </w:rPr>
        <w:fldChar w:fldCharType="separate"/>
      </w:r>
      <w:r w:rsidRPr="00C82BD1">
        <w:rPr>
          <w:rFonts w:ascii="Arial" w:eastAsia="Times New Roman" w:hAnsi="Arial" w:cs="Arial"/>
          <w:noProof/>
          <w:sz w:val="22"/>
          <w:szCs w:val="22"/>
          <w:lang w:val="es-ES"/>
        </w:rPr>
        <w:t>Alvis y Valenzuela (2010)</w:t>
      </w:r>
      <w:r w:rsidRPr="00C82BD1">
        <w:rPr>
          <w:rFonts w:ascii="Arial" w:eastAsia="Times New Roman" w:hAnsi="Arial" w:cs="Arial"/>
          <w:sz w:val="22"/>
          <w:szCs w:val="22"/>
          <w:lang w:val="es-ES"/>
        </w:rPr>
        <w:fldChar w:fldCharType="end"/>
      </w:r>
      <w:r w:rsidRPr="00C82BD1">
        <w:rPr>
          <w:rFonts w:ascii="Arial" w:eastAsia="Times New Roman" w:hAnsi="Arial" w:cs="Arial"/>
          <w:sz w:val="22"/>
          <w:szCs w:val="22"/>
          <w:lang w:val="es-ES"/>
        </w:rPr>
        <w:t xml:space="preserve"> y para un ejemplo de su aplicaci</w:t>
      </w:r>
      <w:r w:rsidRPr="00C82BD1">
        <w:rPr>
          <w:rFonts w:ascii="Arial" w:hAnsi="Arial" w:cs="Arial"/>
          <w:sz w:val="22"/>
          <w:szCs w:val="22"/>
          <w:lang w:val="es-ES"/>
        </w:rPr>
        <w:t>ón</w:t>
      </w:r>
      <w:r w:rsidRPr="00C82BD1">
        <w:rPr>
          <w:rFonts w:ascii="Arial" w:eastAsia="Times New Roman" w:hAnsi="Arial" w:cs="Arial"/>
          <w:sz w:val="22"/>
          <w:szCs w:val="22"/>
          <w:lang w:val="es-ES"/>
        </w:rPr>
        <w:t xml:space="preserve"> </w:t>
      </w:r>
      <w:r w:rsidRPr="00C82BD1">
        <w:rPr>
          <w:rFonts w:ascii="Arial" w:hAnsi="Arial" w:cs="Arial"/>
          <w:sz w:val="22"/>
          <w:szCs w:val="22"/>
          <w:lang w:val="es-ES"/>
        </w:rPr>
        <w:t>detallado</w:t>
      </w:r>
      <w:r w:rsidRPr="00C82BD1">
        <w:rPr>
          <w:rFonts w:ascii="Arial" w:eastAsia="Times New Roman" w:hAnsi="Arial" w:cs="Arial"/>
          <w:sz w:val="22"/>
          <w:szCs w:val="22"/>
          <w:lang w:val="es-ES"/>
        </w:rPr>
        <w:t xml:space="preserve">, </w:t>
      </w:r>
      <w:r w:rsidRPr="00C82BD1">
        <w:rPr>
          <w:rFonts w:ascii="Arial" w:hAnsi="Arial" w:cs="Arial"/>
          <w:sz w:val="22"/>
          <w:szCs w:val="22"/>
          <w:lang w:val="es-ES"/>
        </w:rPr>
        <w:t>se</w:t>
      </w:r>
      <w:r w:rsidRPr="00C82BD1">
        <w:rPr>
          <w:rFonts w:ascii="Arial" w:eastAsia="Times New Roman" w:hAnsi="Arial" w:cs="Arial"/>
          <w:sz w:val="22"/>
          <w:szCs w:val="22"/>
          <w:lang w:val="es-ES"/>
        </w:rPr>
        <w:t xml:space="preserve"> </w:t>
      </w:r>
      <w:r w:rsidRPr="00C82BD1">
        <w:rPr>
          <w:rFonts w:ascii="Arial" w:hAnsi="Arial" w:cs="Arial"/>
          <w:sz w:val="22"/>
          <w:szCs w:val="22"/>
          <w:lang w:val="es-ES"/>
        </w:rPr>
        <w:t>recomienda</w:t>
      </w:r>
      <w:r w:rsidRPr="00C82BD1">
        <w:rPr>
          <w:rFonts w:ascii="Arial" w:eastAsia="Times New Roman" w:hAnsi="Arial" w:cs="Arial"/>
          <w:sz w:val="22"/>
          <w:szCs w:val="22"/>
          <w:lang w:val="es-ES"/>
        </w:rPr>
        <w:t xml:space="preserve"> </w:t>
      </w:r>
      <w:r w:rsidRPr="00C82BD1">
        <w:rPr>
          <w:rFonts w:ascii="Arial" w:hAnsi="Arial" w:cs="Arial"/>
          <w:sz w:val="22"/>
          <w:szCs w:val="22"/>
          <w:lang w:val="es-ES"/>
        </w:rPr>
        <w:t>revisar</w:t>
      </w:r>
      <w:r w:rsidRPr="00C82BD1">
        <w:rPr>
          <w:rFonts w:ascii="Arial" w:eastAsia="Times New Roman" w:hAnsi="Arial" w:cs="Arial"/>
          <w:sz w:val="22"/>
          <w:szCs w:val="22"/>
          <w:lang w:val="es-ES"/>
        </w:rPr>
        <w:t xml:space="preserve"> </w:t>
      </w:r>
      <w:r w:rsidRPr="00C82BD1">
        <w:rPr>
          <w:rFonts w:ascii="Arial" w:eastAsia="Times New Roman" w:hAnsi="Arial" w:cs="Arial"/>
          <w:sz w:val="22"/>
          <w:szCs w:val="22"/>
          <w:lang w:val="es-ES"/>
        </w:rPr>
        <w:fldChar w:fldCharType="begin" w:fldLock="1"/>
      </w:r>
      <w:r w:rsidRPr="00C82BD1">
        <w:rPr>
          <w:rFonts w:ascii="Arial" w:eastAsia="Times New Roman" w:hAnsi="Arial" w:cs="Arial"/>
          <w:sz w:val="22"/>
          <w:szCs w:val="22"/>
          <w:lang w:val="es-ES"/>
        </w:rPr>
        <w:instrText>ADDIN CSL_CITATION { "citationItems" : [ { "id" : "ITEM-1", "itemData" : { "ISSN" : "0268-1080", "PMID" : "11527874", "abstract" : "Disability adjusted life years (DALYs) are the sum of the present value of future years of lifetime lost through premature mortality, and the present value of years of future lifetime adjusted for the average severity (frequency and intensity) of any mental or physical disability caused by a disease or injury. They have been used as an outcome indicator in micro economic evaluations as well as sectoral prioritization exercises using league tables of cost-effectiveness. However, many of the current analyses are not comparable or transferable because either the assumptions used differ or are unclear, and because results are not presented in a way that allows researchers or policy-makers to re-calculate and re-interpret findings for use in an alternative context. However, at times there have also been miscalculations. This may happen either because evaluators disagree with the assumptions behind DALYs or because the methods of calculation have not been set out clearly. This paper shows how to calculate DALYs for cost-effectiveness analysis using a worked example. It also shows the impact of changing the age weighting and discount rates on estimates of cost-effectiveness, and suggests a set of minimum reporting criteria for using DALYs in cost-effectiveness analysis. Finally, readers are introduced briefly to a selected literature arguing for and against the use of DALYs.", "author" : [ { "dropping-particle" : "", "family" : "Fox-Rushby", "given" : "J A", "non-dropping-particle" : "", "parse-names" : false, "suffix" : "" }, { "dropping-particle" : "", "family" : "Hanson", "given" : "K", "non-dropping-particle" : "", "parse-names" : false, "suffix" : "" } ], "container-title" : "Health policy and planning", "id" : "ITEM-1", "issue" : "3", "issued" : { "date-parts" : [ [ "2001", "9" ] ] }, "page" : "326-31", "title" : "Calculating and presenting disability adjusted life years (DALYs) in cost-effectiveness analysis.", "type" : "article-journal", "volume" : "16" }, "uris" : [ "http://www.mendeley.com/documents/?uuid=4661134f-192c-4cf3-945b-d4be155de855" ] } ], "mendeley" : { "formattedCitation" : "(Fox-Rushby and Hanson 2001)", "manualFormatting" : "Fox-Rushby y Hanson (2001)", "plainTextFormattedCitation" : "(Fox-Rushby and Hanson 2001)", "previouslyFormattedCitation" : "(Fox-Rushby and Hanson 2001)" }, "properties" : { "noteIndex" : 0 }, "schema" : "https://github.com/citation-style-language/schema/raw/master/csl-citation.json" }</w:instrText>
      </w:r>
      <w:r w:rsidRPr="00C82BD1">
        <w:rPr>
          <w:rFonts w:ascii="Arial" w:eastAsia="Times New Roman" w:hAnsi="Arial" w:cs="Arial"/>
          <w:sz w:val="22"/>
          <w:szCs w:val="22"/>
          <w:lang w:val="es-ES"/>
        </w:rPr>
        <w:fldChar w:fldCharType="separate"/>
      </w:r>
      <w:r w:rsidRPr="00C82BD1">
        <w:rPr>
          <w:rFonts w:ascii="Arial" w:eastAsia="Times New Roman" w:hAnsi="Arial" w:cs="Arial"/>
          <w:noProof/>
          <w:sz w:val="22"/>
          <w:szCs w:val="22"/>
          <w:lang w:val="es-ES"/>
        </w:rPr>
        <w:t>Fox-Rushby y Hanson (2001)</w:t>
      </w:r>
      <w:r w:rsidRPr="00C82BD1">
        <w:rPr>
          <w:rFonts w:ascii="Arial" w:eastAsia="Times New Roman" w:hAnsi="Arial" w:cs="Arial"/>
          <w:sz w:val="22"/>
          <w:szCs w:val="22"/>
          <w:lang w:val="es-ES"/>
        </w:rPr>
        <w:fldChar w:fldCharType="end"/>
      </w:r>
      <w:r w:rsidRPr="00C82BD1">
        <w:rPr>
          <w:rFonts w:ascii="Arial" w:eastAsia="Times New Roman" w:hAnsi="Arial" w:cs="Arial"/>
          <w:sz w:val="22"/>
          <w:szCs w:val="22"/>
          <w:lang w:val="es-ES"/>
        </w:rPr>
        <w:t>.</w:t>
      </w:r>
    </w:p>
    <w:p w14:paraId="662EAF5D" w14:textId="77777777" w:rsidR="009A3B14" w:rsidRPr="00C82BD1" w:rsidRDefault="00884AA4" w:rsidP="009A3B14">
      <w:pPr>
        <w:pStyle w:val="Caption"/>
        <w:rPr>
          <w:lang w:val="es-ES"/>
        </w:rPr>
      </w:pPr>
      <w:bookmarkStart w:id="11" w:name="_Ref296067896"/>
      <w:r w:rsidRPr="00C82BD1">
        <w:rPr>
          <w:noProof/>
          <w:lang w:val="es-ES" w:eastAsia="es-ES"/>
        </w:rPr>
        <w:drawing>
          <wp:anchor distT="0" distB="0" distL="114300" distR="114300" simplePos="0" relativeHeight="251664384" behindDoc="0" locked="0" layoutInCell="1" allowOverlap="1" wp14:anchorId="662EB057" wp14:editId="662EB058">
            <wp:simplePos x="0" y="0"/>
            <wp:positionH relativeFrom="column">
              <wp:posOffset>1218565</wp:posOffset>
            </wp:positionH>
            <wp:positionV relativeFrom="paragraph">
              <wp:posOffset>295275</wp:posOffset>
            </wp:positionV>
            <wp:extent cx="3263265" cy="2125980"/>
            <wp:effectExtent l="0" t="0" r="0"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63265" cy="2125980"/>
                    </a:xfrm>
                    <a:prstGeom prst="rect">
                      <a:avLst/>
                    </a:prstGeom>
                    <a:noFill/>
                    <a:ln>
                      <a:noFill/>
                    </a:ln>
                  </pic:spPr>
                </pic:pic>
              </a:graphicData>
            </a:graphic>
            <wp14:sizeRelH relativeFrom="page">
              <wp14:pctWidth>0</wp14:pctWidth>
            </wp14:sizeRelH>
            <wp14:sizeRelV relativeFrom="page">
              <wp14:pctHeight>0</wp14:pctHeight>
            </wp14:sizeRelV>
          </wp:anchor>
        </w:drawing>
      </w:r>
      <w:r w:rsidR="009A3B14" w:rsidRPr="00C82BD1">
        <w:rPr>
          <w:lang w:val="es-ES"/>
        </w:rPr>
        <w:t xml:space="preserve">Figura </w:t>
      </w:r>
      <w:r w:rsidR="009A3B14" w:rsidRPr="00C82BD1">
        <w:rPr>
          <w:lang w:val="es-ES"/>
        </w:rPr>
        <w:fldChar w:fldCharType="begin"/>
      </w:r>
      <w:r w:rsidR="009A3B14" w:rsidRPr="00C82BD1">
        <w:rPr>
          <w:lang w:val="es-ES"/>
        </w:rPr>
        <w:instrText xml:space="preserve"> SEQ Figura \* ARABIC </w:instrText>
      </w:r>
      <w:r w:rsidR="009A3B14" w:rsidRPr="00C82BD1">
        <w:rPr>
          <w:lang w:val="es-ES"/>
        </w:rPr>
        <w:fldChar w:fldCharType="separate"/>
      </w:r>
      <w:r w:rsidR="009A3B14" w:rsidRPr="00C82BD1">
        <w:rPr>
          <w:noProof/>
          <w:lang w:val="es-ES"/>
        </w:rPr>
        <w:t>1</w:t>
      </w:r>
      <w:r w:rsidR="009A3B14" w:rsidRPr="00C82BD1">
        <w:rPr>
          <w:noProof/>
          <w:lang w:val="es-ES"/>
        </w:rPr>
        <w:fldChar w:fldCharType="end"/>
      </w:r>
      <w:bookmarkEnd w:id="11"/>
      <w:r w:rsidR="009A3B14" w:rsidRPr="00C82BD1">
        <w:rPr>
          <w:lang w:val="es-ES"/>
        </w:rPr>
        <w:t>. Valor relativo de un a</w:t>
      </w:r>
      <w:r w:rsidR="009A3B14" w:rsidRPr="00C82BD1">
        <w:rPr>
          <w:rFonts w:eastAsia="Calibri"/>
          <w:lang w:val="es-ES"/>
        </w:rPr>
        <w:t>ño</w:t>
      </w:r>
      <w:r w:rsidR="009A3B14" w:rsidRPr="00C82BD1">
        <w:rPr>
          <w:lang w:val="es-ES"/>
        </w:rPr>
        <w:t xml:space="preserve"> </w:t>
      </w:r>
      <w:r w:rsidR="009A3B14" w:rsidRPr="00C82BD1">
        <w:rPr>
          <w:rFonts w:eastAsia="Calibri"/>
          <w:lang w:val="es-ES"/>
        </w:rPr>
        <w:t>de</w:t>
      </w:r>
      <w:r w:rsidR="009A3B14" w:rsidRPr="00C82BD1">
        <w:rPr>
          <w:lang w:val="es-ES"/>
        </w:rPr>
        <w:t xml:space="preserve"> </w:t>
      </w:r>
      <w:r w:rsidR="009A3B14" w:rsidRPr="00C82BD1">
        <w:rPr>
          <w:rFonts w:eastAsia="Calibri"/>
          <w:lang w:val="es-ES"/>
        </w:rPr>
        <w:t>la</w:t>
      </w:r>
      <w:r w:rsidR="009A3B14" w:rsidRPr="00C82BD1">
        <w:rPr>
          <w:lang w:val="es-ES"/>
        </w:rPr>
        <w:t xml:space="preserve"> </w:t>
      </w:r>
      <w:r w:rsidR="009A3B14" w:rsidRPr="00C82BD1">
        <w:rPr>
          <w:rFonts w:eastAsia="Calibri"/>
          <w:lang w:val="es-ES"/>
        </w:rPr>
        <w:t>vida</w:t>
      </w:r>
      <w:r w:rsidR="009A3B14" w:rsidRPr="00C82BD1">
        <w:rPr>
          <w:lang w:val="es-ES"/>
        </w:rPr>
        <w:t xml:space="preserve"> </w:t>
      </w:r>
      <w:r w:rsidR="009A3B14" w:rsidRPr="00C82BD1">
        <w:rPr>
          <w:rFonts w:eastAsia="Calibri"/>
          <w:lang w:val="es-ES"/>
        </w:rPr>
        <w:t>vivido</w:t>
      </w:r>
      <w:r w:rsidR="009A3B14" w:rsidRPr="00C82BD1">
        <w:rPr>
          <w:lang w:val="es-ES"/>
        </w:rPr>
        <w:t xml:space="preserve"> </w:t>
      </w:r>
      <w:r w:rsidR="009A3B14" w:rsidRPr="00C82BD1">
        <w:rPr>
          <w:rFonts w:eastAsia="Calibri"/>
          <w:lang w:val="es-ES"/>
        </w:rPr>
        <w:t>en</w:t>
      </w:r>
      <w:r w:rsidR="009A3B14" w:rsidRPr="00C82BD1">
        <w:rPr>
          <w:lang w:val="es-ES"/>
        </w:rPr>
        <w:t xml:space="preserve"> </w:t>
      </w:r>
      <w:r w:rsidR="009A3B14" w:rsidRPr="00C82BD1">
        <w:rPr>
          <w:rFonts w:eastAsia="Calibri"/>
          <w:lang w:val="es-ES"/>
        </w:rPr>
        <w:t>diversas</w:t>
      </w:r>
      <w:r w:rsidR="009A3B14" w:rsidRPr="00C82BD1">
        <w:rPr>
          <w:lang w:val="es-ES"/>
        </w:rPr>
        <w:t xml:space="preserve"> </w:t>
      </w:r>
      <w:r w:rsidR="009A3B14" w:rsidRPr="00C82BD1">
        <w:rPr>
          <w:rFonts w:eastAsia="Calibri"/>
          <w:lang w:val="es-ES"/>
        </w:rPr>
        <w:t>edades</w:t>
      </w:r>
      <w:r w:rsidR="009A3B14" w:rsidRPr="00C82BD1">
        <w:rPr>
          <w:lang w:val="es-ES"/>
        </w:rPr>
        <w:t>, seg</w:t>
      </w:r>
      <w:r w:rsidR="009A3B14" w:rsidRPr="00C82BD1">
        <w:rPr>
          <w:rFonts w:eastAsia="Calibri"/>
          <w:lang w:val="es-ES"/>
        </w:rPr>
        <w:t>ún</w:t>
      </w:r>
      <w:r w:rsidR="009A3B14" w:rsidRPr="00C82BD1">
        <w:rPr>
          <w:lang w:val="es-ES"/>
        </w:rPr>
        <w:t xml:space="preserve"> </w:t>
      </w:r>
      <w:r w:rsidR="009A3B14" w:rsidRPr="00C82BD1">
        <w:rPr>
          <w:rFonts w:eastAsia="Calibri"/>
          <w:lang w:val="es-ES"/>
        </w:rPr>
        <w:t>lo</w:t>
      </w:r>
      <w:r w:rsidR="009A3B14" w:rsidRPr="00C82BD1">
        <w:rPr>
          <w:lang w:val="es-ES"/>
        </w:rPr>
        <w:t xml:space="preserve"> </w:t>
      </w:r>
      <w:r w:rsidR="009A3B14" w:rsidRPr="00C82BD1">
        <w:rPr>
          <w:rFonts w:eastAsia="Calibri"/>
          <w:lang w:val="es-ES"/>
        </w:rPr>
        <w:t>ponderado</w:t>
      </w:r>
      <w:r w:rsidR="009A3B14" w:rsidRPr="00C82BD1">
        <w:rPr>
          <w:lang w:val="es-ES"/>
        </w:rPr>
        <w:t xml:space="preserve"> en AVADs</w:t>
      </w:r>
    </w:p>
    <w:p w14:paraId="662EAF5E" w14:textId="77777777" w:rsidR="009A3B14" w:rsidRPr="00C82BD1" w:rsidRDefault="009A3B14" w:rsidP="009A3B14">
      <w:pPr>
        <w:spacing w:before="240" w:after="120"/>
        <w:jc w:val="center"/>
        <w:rPr>
          <w:rFonts w:ascii="Arial" w:hAnsi="Arial" w:cs="Arial"/>
          <w:sz w:val="16"/>
          <w:szCs w:val="16"/>
          <w:lang w:val="es-ES"/>
        </w:rPr>
      </w:pPr>
      <w:r w:rsidRPr="00C82BD1">
        <w:rPr>
          <w:rFonts w:ascii="Arial" w:hAnsi="Arial" w:cs="Arial"/>
          <w:sz w:val="16"/>
          <w:szCs w:val="16"/>
          <w:lang w:val="es-ES"/>
        </w:rPr>
        <w:t xml:space="preserve">Fuente: </w:t>
      </w:r>
      <w:bookmarkStart w:id="12" w:name="t1"/>
      <w:bookmarkEnd w:id="12"/>
      <w:r w:rsidRPr="00C82BD1">
        <w:rPr>
          <w:rFonts w:ascii="Arial" w:hAnsi="Arial" w:cs="Arial"/>
          <w:sz w:val="16"/>
          <w:szCs w:val="16"/>
          <w:lang w:val="es-ES"/>
        </w:rPr>
        <w:fldChar w:fldCharType="begin" w:fldLock="1"/>
      </w:r>
      <w:r w:rsidRPr="00C82BD1">
        <w:rPr>
          <w:rFonts w:ascii="Arial" w:hAnsi="Arial" w:cs="Arial"/>
          <w:sz w:val="16"/>
          <w:szCs w:val="16"/>
          <w:lang w:val="es-ES"/>
        </w:rPr>
        <w:instrText>ADDIN CSL_CITATION { "citationItems" : [ { "id" : "ITEM-1", "itemData" : { "DOI" : "10.4067/S0034-98872010001000005", "ISSN" : "0034-9887", "author" : [ { "dropping-particle" : "", "family" : "Alvis", "given" : "Nelson", "non-dropping-particle" : "", "parse-names" : false, "suffix" : "" }, { "dropping-particle" : "", "family" : "Valenzuela", "given" : "Mar\u00eda Teresa", "non-dropping-particle" : "", "parse-names" : false, "suffix" : "" } ], "container-title" : "Revista m\u00e9dica de Chile", "id" : "ITEM-1", "issued" : { "date-parts" : [ [ "2010", "9" ] ] }, "page" : "83-87", "publisher" : "Sociedad M\u00e9dica de Santiago", "title" : "Los QALYs y DALYs como indicadores sint\u00e9ticos de salud", "type" : "article-journal", "volume" : "138" }, "uris" : [ "http://www.mendeley.com/documents/?uuid=1d14ce35-712c-4909-bd3b-a2eecdfe3e42" ] } ], "mendeley" : { "formattedCitation" : "(Alvis and Valenzuela 2010)", "manualFormatting" : "Alvis y Valenzuela 2010.", "plainTextFormattedCitation" : "(Alvis and Valenzuela 2010)", "previouslyFormattedCitation" : "(Alvis and Valenzuela 2010)" }, "properties" : { "noteIndex" : 0 }, "schema" : "https://github.com/citation-style-language/schema/raw/master/csl-citation.json" }</w:instrText>
      </w:r>
      <w:r w:rsidRPr="00C82BD1">
        <w:rPr>
          <w:rFonts w:ascii="Arial" w:hAnsi="Arial" w:cs="Arial"/>
          <w:sz w:val="16"/>
          <w:szCs w:val="16"/>
          <w:lang w:val="es-ES"/>
        </w:rPr>
        <w:fldChar w:fldCharType="separate"/>
      </w:r>
      <w:r w:rsidRPr="00C82BD1">
        <w:rPr>
          <w:rFonts w:ascii="Arial" w:hAnsi="Arial" w:cs="Arial"/>
          <w:noProof/>
          <w:sz w:val="16"/>
          <w:szCs w:val="16"/>
          <w:lang w:val="es-ES"/>
        </w:rPr>
        <w:t>Alvis y Valenzuela 2010.</w:t>
      </w:r>
      <w:r w:rsidRPr="00C82BD1">
        <w:rPr>
          <w:rFonts w:ascii="Arial" w:hAnsi="Arial" w:cs="Arial"/>
          <w:sz w:val="16"/>
          <w:szCs w:val="16"/>
          <w:lang w:val="es-ES"/>
        </w:rPr>
        <w:fldChar w:fldCharType="end"/>
      </w:r>
    </w:p>
    <w:p w14:paraId="662EAF5F" w14:textId="77777777" w:rsidR="009A3B14" w:rsidRPr="00C82BD1" w:rsidRDefault="009A3B14" w:rsidP="00B500FD">
      <w:pPr>
        <w:pStyle w:val="ColorfulList-Accent11"/>
        <w:spacing w:before="120" w:after="120" w:line="240" w:lineRule="auto"/>
        <w:ind w:left="0"/>
        <w:contextualSpacing w:val="0"/>
        <w:jc w:val="both"/>
        <w:rPr>
          <w:rFonts w:cs="Arial"/>
          <w:lang w:val="es-ES"/>
        </w:rPr>
      </w:pPr>
      <w:r w:rsidRPr="00C82BD1">
        <w:rPr>
          <w:rFonts w:cs="Arial"/>
          <w:lang w:val="es-ES"/>
        </w:rPr>
        <w:t xml:space="preserve">Es importante mencionar que, dado que no se cuenta con información específica para Nicaragua de la efectividad en términos de AVADs para el conjunto de intervenciones, fue necesario hacer uso de literatura internacional. El uso de esta información presenta limitaciones en el sentido que los AVADs de otros países responden a niveles de cobertura ajenos al país y las condiciones de la prestación de los servicios y los perfiles epidemiológicos pueden diferir a los que se tienen en Nicaragua. </w:t>
      </w:r>
    </w:p>
    <w:p w14:paraId="662EAF60" w14:textId="77777777" w:rsidR="00213495" w:rsidRPr="00C82BD1" w:rsidRDefault="008A6608" w:rsidP="00B500FD">
      <w:pPr>
        <w:pStyle w:val="ColorfulList-Accent11"/>
        <w:spacing w:before="120" w:after="120" w:line="240" w:lineRule="auto"/>
        <w:ind w:left="0"/>
        <w:contextualSpacing w:val="0"/>
        <w:jc w:val="both"/>
        <w:rPr>
          <w:rFonts w:cs="Arial"/>
          <w:lang w:val="es-ES"/>
        </w:rPr>
      </w:pPr>
      <w:r w:rsidRPr="00C82BD1">
        <w:rPr>
          <w:rFonts w:cs="Arial"/>
          <w:lang w:val="es-ES"/>
        </w:rPr>
        <w:t>Para calcular el número de AVADs obtenidos, es necesario calcular el impacto de cada intervención en la carga de enfermedad. La información disponible al respecto es limitada, y aunque se hizo lo posible por obtener un dato de ganancias en AVADs para cada intervención incluida en l</w:t>
      </w:r>
      <w:r w:rsidR="0046203F">
        <w:rPr>
          <w:rFonts w:cs="Arial"/>
          <w:lang w:val="es-ES"/>
        </w:rPr>
        <w:t>os servicios de salud</w:t>
      </w:r>
      <w:r w:rsidRPr="00C82BD1">
        <w:rPr>
          <w:rFonts w:cs="Arial"/>
          <w:lang w:val="es-ES"/>
        </w:rPr>
        <w:t xml:space="preserve"> que más se asemejara en la literatura, hay faltantes para intervenciones para el diagnóstico y control de la malaria y la leishmaniosis. En esta evaluación, se utiliza como fuente para calcular los AVADs del programa CHOICE de la Organización Mundial de la Salud </w:t>
      </w:r>
      <w:r w:rsidRPr="00C82BD1">
        <w:rPr>
          <w:rFonts w:cs="Arial"/>
          <w:lang w:val="es-ES"/>
        </w:rPr>
        <w:fldChar w:fldCharType="begin" w:fldLock="1"/>
      </w:r>
      <w:r w:rsidRPr="00C82BD1">
        <w:rPr>
          <w:rFonts w:cs="Arial"/>
          <w:lang w:val="es-ES"/>
        </w:rPr>
        <w:instrText>ADDIN CSL_CITATION { "citationItems" : [ { "id" : "ITEM-1", "itemData" : { "author" : [ { "dropping-particle" : "", "family" : "Organizaci\u00f3n Mundial de la Salud", "given" : "", "non-dropping-particle" : "", "parse-names" : false, "suffix" : "" } ], "id" : "ITEM-1", "issued" : { "date-parts" : [ [ "2015" ] ] }, "publisher" : "Organizaci\u00f3n Mundial de la Salud", "publisher-place" : "Ginebra, Suiza", "title" : "Cost effectiveness and strategic planning (WHO-CHOICE)", "type" : "article" }, "uris" : [ "http://www.mendeley.com/documents/?uuid=dd380e87-cfdc-4683-b24b-8c760371b7c2" ] } ], "mendeley" : { "formattedCitation" : "(Organizaci\u00f3n Mundial de la Salud 2015)", "manualFormatting" : "(2015)", "plainTextFormattedCitation" : "(Organizaci\u00f3n Mundial de la Salud 2015)", "previouslyFormattedCitation" : "(Organizaci\u00f3n Mundial de la Salud 2015)" }, "properties" : { "noteIndex" : 0 }, "schema" : "https://github.com/citation-style-language/schema/raw/master/csl-citation.json" }</w:instrText>
      </w:r>
      <w:r w:rsidRPr="00C82BD1">
        <w:rPr>
          <w:rFonts w:cs="Arial"/>
          <w:lang w:val="es-ES"/>
        </w:rPr>
        <w:fldChar w:fldCharType="separate"/>
      </w:r>
      <w:r w:rsidRPr="00C82BD1">
        <w:rPr>
          <w:rFonts w:cs="Arial"/>
          <w:noProof/>
          <w:lang w:val="es-ES"/>
        </w:rPr>
        <w:t>(2010)</w:t>
      </w:r>
      <w:r w:rsidRPr="00C82BD1">
        <w:rPr>
          <w:rFonts w:cs="Arial"/>
          <w:lang w:val="es-ES"/>
        </w:rPr>
        <w:fldChar w:fldCharType="end"/>
      </w:r>
      <w:r w:rsidRPr="00C82BD1">
        <w:rPr>
          <w:rFonts w:cs="Arial"/>
          <w:lang w:val="es-ES"/>
        </w:rPr>
        <w:t xml:space="preserve">, que estima el efecto de la inclusión gradual de intervenciones en un paquete de servicios sobre la incidencia, remisión y mortalidad. En cuanto al grupo de país considerado, </w:t>
      </w:r>
      <w:r w:rsidR="00766CE5" w:rsidRPr="00C82BD1">
        <w:rPr>
          <w:rFonts w:cs="Arial"/>
          <w:lang w:val="es-ES"/>
        </w:rPr>
        <w:t>utilizamos el de “América D</w:t>
      </w:r>
      <w:r w:rsidRPr="00C82BD1">
        <w:rPr>
          <w:rFonts w:cs="Arial"/>
          <w:lang w:val="es-ES"/>
        </w:rPr>
        <w:t xml:space="preserve">,” en el cual se encuentra agregada la información de </w:t>
      </w:r>
      <w:r w:rsidR="009075B6" w:rsidRPr="00C82BD1">
        <w:rPr>
          <w:rFonts w:cs="Arial"/>
          <w:lang w:val="es-ES"/>
        </w:rPr>
        <w:t>Nicaragua</w:t>
      </w:r>
      <w:r w:rsidRPr="00C82BD1">
        <w:rPr>
          <w:rFonts w:cs="Arial"/>
          <w:lang w:val="es-ES"/>
        </w:rPr>
        <w:t>.</w:t>
      </w:r>
      <w:r w:rsidR="00213495" w:rsidRPr="00C82BD1">
        <w:rPr>
          <w:rFonts w:cs="Arial"/>
          <w:lang w:val="es-ES"/>
        </w:rPr>
        <w:t xml:space="preserve"> En situaciones en donde la información. Para otras intervenciones para las que no existe evidencia generada en los países de esta categoría, se utilizó la información para el nivel global o regional.</w:t>
      </w:r>
    </w:p>
    <w:p w14:paraId="662EAF61" w14:textId="77777777" w:rsidR="0027709E" w:rsidRPr="00853F78" w:rsidRDefault="00A852DA" w:rsidP="00853F78">
      <w:pPr>
        <w:spacing w:before="120" w:after="120"/>
        <w:rPr>
          <w:rFonts w:cs="Arial"/>
          <w:i/>
          <w:sz w:val="22"/>
          <w:szCs w:val="22"/>
          <w:u w:val="single"/>
          <w:lang w:val="es-ES"/>
        </w:rPr>
      </w:pPr>
      <w:r w:rsidRPr="00853F78">
        <w:rPr>
          <w:rFonts w:ascii="Arial" w:hAnsi="Arial" w:cs="Arial"/>
          <w:i/>
          <w:sz w:val="22"/>
          <w:szCs w:val="22"/>
          <w:u w:val="single"/>
          <w:lang w:val="es-ES"/>
        </w:rPr>
        <w:t>Beneficio de inversiones de mejora del acceso a los servicios de salud (inversiones viales) y calidad del agua en hogar</w:t>
      </w:r>
    </w:p>
    <w:p w14:paraId="662EAF62" w14:textId="77777777" w:rsidR="004404FF" w:rsidRDefault="00B57B1D" w:rsidP="00B500FD">
      <w:pPr>
        <w:pStyle w:val="ColorfulList-Accent11"/>
        <w:spacing w:before="120" w:after="0" w:line="240" w:lineRule="auto"/>
        <w:ind w:left="0"/>
        <w:contextualSpacing w:val="0"/>
        <w:jc w:val="both"/>
        <w:rPr>
          <w:rFonts w:cs="Arial"/>
          <w:spacing w:val="-2"/>
          <w:lang w:val="es-ES"/>
        </w:rPr>
      </w:pPr>
      <w:r w:rsidRPr="008A051B">
        <w:rPr>
          <w:rFonts w:cs="Arial"/>
          <w:spacing w:val="-2"/>
          <w:lang w:val="es-ES"/>
        </w:rPr>
        <w:t>Considerando los costos de la</w:t>
      </w:r>
      <w:r w:rsidR="0079600F" w:rsidRPr="008A051B">
        <w:rPr>
          <w:rFonts w:cs="Arial"/>
          <w:spacing w:val="-2"/>
          <w:lang w:val="es-ES"/>
        </w:rPr>
        <w:t>s intervenciones en mejoras viales, el VPN asciende a US</w:t>
      </w:r>
      <w:r w:rsidR="00D452DC" w:rsidRPr="008A051B">
        <w:rPr>
          <w:rFonts w:cs="Arial"/>
          <w:spacing w:val="-2"/>
          <w:lang w:val="es-ES"/>
        </w:rPr>
        <w:t>$</w:t>
      </w:r>
      <w:r w:rsidR="0079600F" w:rsidRPr="008A051B">
        <w:rPr>
          <w:rFonts w:cs="Arial"/>
          <w:spacing w:val="-2"/>
          <w:lang w:val="es-ES"/>
        </w:rPr>
        <w:t>14.650.853,83, con una razón costo beneficio de 3,23, lo cual justifica inversiones en este proyecto.</w:t>
      </w:r>
    </w:p>
    <w:p w14:paraId="662EAF63" w14:textId="77777777" w:rsidR="00A852DA" w:rsidRPr="00C82BD1" w:rsidRDefault="00A852DA" w:rsidP="00A852DA">
      <w:pPr>
        <w:pStyle w:val="ColorfulList-Accent11"/>
        <w:spacing w:before="120" w:after="120" w:line="240" w:lineRule="auto"/>
        <w:ind w:left="0"/>
        <w:contextualSpacing w:val="0"/>
        <w:jc w:val="both"/>
        <w:rPr>
          <w:rFonts w:cs="Arial"/>
          <w:lang w:val="es-ES"/>
        </w:rPr>
      </w:pPr>
      <w:r w:rsidRPr="00C82BD1">
        <w:rPr>
          <w:rFonts w:cs="Arial"/>
          <w:lang w:val="es-ES"/>
        </w:rPr>
        <w:t>En cuando a las mejoras en la calidad del agua consumido, se espera una reducción en AVADs a causa de enfermedades a causa de</w:t>
      </w:r>
      <w:r>
        <w:rPr>
          <w:rFonts w:cs="Arial"/>
          <w:lang w:val="es-ES"/>
        </w:rPr>
        <w:t xml:space="preserve"> ausencia</w:t>
      </w:r>
      <w:r w:rsidRPr="00C82BD1">
        <w:rPr>
          <w:rFonts w:cs="Arial"/>
          <w:lang w:val="es-ES"/>
        </w:rPr>
        <w:t xml:space="preserve"> sistemas de agua, sanidad, e higiene inadecuadas.  De acuerdo con estimaciones del WHO, se estima unos 6.000 AVADs evitados por cada millón de habitantes, lo cual representa 102.930,58 para la vida del proyecto.</w:t>
      </w:r>
    </w:p>
    <w:p w14:paraId="662EAF64" w14:textId="77777777" w:rsidR="00A852DA" w:rsidRPr="00C82BD1" w:rsidRDefault="00A852DA" w:rsidP="00B500FD">
      <w:pPr>
        <w:pStyle w:val="ColorfulList-Accent11"/>
        <w:spacing w:before="120" w:after="0" w:line="240" w:lineRule="auto"/>
        <w:ind w:left="0"/>
        <w:contextualSpacing w:val="0"/>
        <w:jc w:val="both"/>
        <w:rPr>
          <w:rFonts w:cs="Arial"/>
          <w:spacing w:val="-2"/>
          <w:lang w:val="es-ES"/>
        </w:rPr>
      </w:pPr>
    </w:p>
    <w:p w14:paraId="662EAF65" w14:textId="77777777" w:rsidR="009A0CCD" w:rsidRPr="00C82BD1" w:rsidRDefault="009A0CCD">
      <w:pPr>
        <w:spacing w:after="200" w:line="276" w:lineRule="auto"/>
        <w:rPr>
          <w:rFonts w:ascii="Arial" w:hAnsi="Arial" w:cs="Arial"/>
          <w:spacing w:val="-2"/>
          <w:sz w:val="22"/>
          <w:szCs w:val="22"/>
          <w:lang w:val="es-ES"/>
        </w:rPr>
      </w:pPr>
      <w:r w:rsidRPr="00C82BD1">
        <w:rPr>
          <w:rFonts w:cs="Arial"/>
          <w:spacing w:val="-2"/>
          <w:lang w:val="es-ES"/>
        </w:rPr>
        <w:br w:type="page"/>
      </w:r>
    </w:p>
    <w:p w14:paraId="662EAF66" w14:textId="77777777" w:rsidR="004404FF" w:rsidRPr="00C82BD1" w:rsidRDefault="004D3F35" w:rsidP="004D3F35">
      <w:pPr>
        <w:pStyle w:val="ListParagraph"/>
        <w:spacing w:after="0" w:line="240" w:lineRule="auto"/>
        <w:ind w:left="0"/>
        <w:jc w:val="center"/>
        <w:rPr>
          <w:rFonts w:ascii="Arial" w:hAnsi="Arial" w:cs="Arial"/>
          <w:b/>
          <w:sz w:val="18"/>
          <w:szCs w:val="18"/>
          <w:lang w:val="es-ES"/>
        </w:rPr>
      </w:pPr>
      <w:r w:rsidRPr="00C82BD1">
        <w:rPr>
          <w:rFonts w:ascii="Arial" w:hAnsi="Arial" w:cs="Arial"/>
          <w:b/>
          <w:sz w:val="18"/>
          <w:szCs w:val="18"/>
          <w:lang w:val="es-ES"/>
        </w:rPr>
        <w:lastRenderedPageBreak/>
        <w:t xml:space="preserve">Cuadro 8: Beneficios de mejoras en el acceso y </w:t>
      </w:r>
      <w:r w:rsidR="00611287">
        <w:rPr>
          <w:rFonts w:ascii="Arial" w:hAnsi="Arial" w:cs="Arial"/>
          <w:b/>
          <w:sz w:val="18"/>
          <w:szCs w:val="18"/>
          <w:lang w:val="es-ES"/>
        </w:rPr>
        <w:t>calidad del agua</w:t>
      </w:r>
    </w:p>
    <w:tbl>
      <w:tblPr>
        <w:tblStyle w:val="TableGrid"/>
        <w:tblW w:w="0" w:type="auto"/>
        <w:jc w:val="center"/>
        <w:tblLook w:val="04A0" w:firstRow="1" w:lastRow="0" w:firstColumn="1" w:lastColumn="0" w:noHBand="0" w:noVBand="1"/>
      </w:tblPr>
      <w:tblGrid>
        <w:gridCol w:w="2471"/>
        <w:gridCol w:w="1112"/>
        <w:gridCol w:w="1112"/>
        <w:gridCol w:w="1112"/>
        <w:gridCol w:w="1112"/>
        <w:gridCol w:w="1190"/>
        <w:gridCol w:w="1190"/>
      </w:tblGrid>
      <w:tr w:rsidR="004D3F35" w:rsidRPr="00C82BD1" w14:paraId="662EAF6E" w14:textId="77777777" w:rsidTr="001019AD">
        <w:trPr>
          <w:jc w:val="center"/>
        </w:trPr>
        <w:tc>
          <w:tcPr>
            <w:tcW w:w="2471" w:type="dxa"/>
            <w:shd w:val="clear" w:color="auto" w:fill="548DD4" w:themeFill="text2" w:themeFillTint="99"/>
          </w:tcPr>
          <w:p w14:paraId="662EAF67" w14:textId="77777777" w:rsidR="004D3F35" w:rsidRPr="00C82BD1" w:rsidRDefault="004D3F35" w:rsidP="009A0CCD">
            <w:pPr>
              <w:pStyle w:val="ColorfulList-Accent11"/>
              <w:spacing w:before="60" w:after="60" w:line="240" w:lineRule="auto"/>
              <w:ind w:left="0"/>
              <w:contextualSpacing w:val="0"/>
              <w:jc w:val="center"/>
              <w:rPr>
                <w:rFonts w:cs="Arial"/>
                <w:b/>
                <w:spacing w:val="-2"/>
                <w:sz w:val="14"/>
                <w:szCs w:val="14"/>
                <w:lang w:val="es-ES"/>
              </w:rPr>
            </w:pPr>
            <w:r w:rsidRPr="00C82BD1">
              <w:rPr>
                <w:rFonts w:cs="Arial"/>
                <w:b/>
                <w:spacing w:val="-2"/>
                <w:sz w:val="14"/>
                <w:szCs w:val="14"/>
                <w:lang w:val="es-ES"/>
              </w:rPr>
              <w:t>Parámetro</w:t>
            </w:r>
          </w:p>
        </w:tc>
        <w:tc>
          <w:tcPr>
            <w:tcW w:w="1112" w:type="dxa"/>
            <w:shd w:val="clear" w:color="auto" w:fill="548DD4" w:themeFill="text2" w:themeFillTint="99"/>
            <w:vAlign w:val="center"/>
          </w:tcPr>
          <w:p w14:paraId="662EAF68" w14:textId="77777777" w:rsidR="004D3F35" w:rsidRPr="00C82BD1" w:rsidRDefault="004D3F35" w:rsidP="00B57B1D">
            <w:pPr>
              <w:pStyle w:val="ColorfulList-Accent11"/>
              <w:spacing w:before="120" w:after="0" w:line="240" w:lineRule="auto"/>
              <w:ind w:left="0"/>
              <w:jc w:val="center"/>
              <w:rPr>
                <w:rFonts w:cs="Arial"/>
                <w:b/>
                <w:spacing w:val="-2"/>
                <w:sz w:val="14"/>
                <w:szCs w:val="14"/>
                <w:lang w:val="es-ES"/>
              </w:rPr>
            </w:pPr>
            <w:r w:rsidRPr="00C82BD1">
              <w:rPr>
                <w:rFonts w:cs="Arial"/>
                <w:b/>
                <w:spacing w:val="-2"/>
                <w:sz w:val="14"/>
                <w:szCs w:val="14"/>
                <w:lang w:val="es-ES"/>
              </w:rPr>
              <w:t>2018</w:t>
            </w:r>
          </w:p>
        </w:tc>
        <w:tc>
          <w:tcPr>
            <w:tcW w:w="1112" w:type="dxa"/>
            <w:shd w:val="clear" w:color="auto" w:fill="548DD4" w:themeFill="text2" w:themeFillTint="99"/>
            <w:vAlign w:val="center"/>
          </w:tcPr>
          <w:p w14:paraId="662EAF69" w14:textId="77777777" w:rsidR="004D3F35" w:rsidRPr="00C82BD1" w:rsidRDefault="004D3F35" w:rsidP="00B57B1D">
            <w:pPr>
              <w:pStyle w:val="ColorfulList-Accent11"/>
              <w:spacing w:before="120" w:after="0" w:line="240" w:lineRule="auto"/>
              <w:ind w:left="0"/>
              <w:jc w:val="center"/>
              <w:rPr>
                <w:rFonts w:cs="Arial"/>
                <w:b/>
                <w:spacing w:val="-2"/>
                <w:sz w:val="14"/>
                <w:szCs w:val="14"/>
                <w:lang w:val="es-ES"/>
              </w:rPr>
            </w:pPr>
            <w:r w:rsidRPr="00C82BD1">
              <w:rPr>
                <w:rFonts w:cs="Arial"/>
                <w:b/>
                <w:spacing w:val="-2"/>
                <w:sz w:val="14"/>
                <w:szCs w:val="14"/>
                <w:lang w:val="es-ES"/>
              </w:rPr>
              <w:t>2019</w:t>
            </w:r>
          </w:p>
        </w:tc>
        <w:tc>
          <w:tcPr>
            <w:tcW w:w="1112" w:type="dxa"/>
            <w:shd w:val="clear" w:color="auto" w:fill="548DD4" w:themeFill="text2" w:themeFillTint="99"/>
            <w:vAlign w:val="center"/>
          </w:tcPr>
          <w:p w14:paraId="662EAF6A" w14:textId="77777777" w:rsidR="004D3F35" w:rsidRPr="00C82BD1" w:rsidRDefault="004D3F35" w:rsidP="00B57B1D">
            <w:pPr>
              <w:pStyle w:val="ColorfulList-Accent11"/>
              <w:spacing w:before="120" w:after="0" w:line="240" w:lineRule="auto"/>
              <w:ind w:left="0"/>
              <w:jc w:val="center"/>
              <w:rPr>
                <w:rFonts w:cs="Arial"/>
                <w:b/>
                <w:spacing w:val="-2"/>
                <w:sz w:val="14"/>
                <w:szCs w:val="14"/>
                <w:lang w:val="es-ES"/>
              </w:rPr>
            </w:pPr>
            <w:r w:rsidRPr="00C82BD1">
              <w:rPr>
                <w:rFonts w:cs="Arial"/>
                <w:b/>
                <w:spacing w:val="-2"/>
                <w:sz w:val="14"/>
                <w:szCs w:val="14"/>
                <w:lang w:val="es-ES"/>
              </w:rPr>
              <w:t>2020</w:t>
            </w:r>
          </w:p>
        </w:tc>
        <w:tc>
          <w:tcPr>
            <w:tcW w:w="1112" w:type="dxa"/>
            <w:shd w:val="clear" w:color="auto" w:fill="548DD4" w:themeFill="text2" w:themeFillTint="99"/>
            <w:vAlign w:val="center"/>
          </w:tcPr>
          <w:p w14:paraId="662EAF6B" w14:textId="77777777" w:rsidR="004D3F35" w:rsidRPr="00C82BD1" w:rsidRDefault="004D3F35" w:rsidP="00B57B1D">
            <w:pPr>
              <w:pStyle w:val="ColorfulList-Accent11"/>
              <w:spacing w:before="120" w:after="0" w:line="240" w:lineRule="auto"/>
              <w:ind w:left="0"/>
              <w:jc w:val="center"/>
              <w:rPr>
                <w:rFonts w:cs="Arial"/>
                <w:b/>
                <w:spacing w:val="-2"/>
                <w:sz w:val="14"/>
                <w:szCs w:val="14"/>
                <w:lang w:val="es-ES"/>
              </w:rPr>
            </w:pPr>
            <w:r w:rsidRPr="00C82BD1">
              <w:rPr>
                <w:rFonts w:cs="Arial"/>
                <w:b/>
                <w:spacing w:val="-2"/>
                <w:sz w:val="14"/>
                <w:szCs w:val="14"/>
                <w:lang w:val="es-ES"/>
              </w:rPr>
              <w:t>2021</w:t>
            </w:r>
          </w:p>
        </w:tc>
        <w:tc>
          <w:tcPr>
            <w:tcW w:w="1190" w:type="dxa"/>
            <w:shd w:val="clear" w:color="auto" w:fill="548DD4" w:themeFill="text2" w:themeFillTint="99"/>
            <w:vAlign w:val="center"/>
          </w:tcPr>
          <w:p w14:paraId="662EAF6C" w14:textId="77777777" w:rsidR="004D3F35" w:rsidRPr="00C82BD1" w:rsidRDefault="004D3F35" w:rsidP="00B57B1D">
            <w:pPr>
              <w:pStyle w:val="ColorfulList-Accent11"/>
              <w:spacing w:before="120" w:after="0" w:line="240" w:lineRule="auto"/>
              <w:ind w:left="0"/>
              <w:jc w:val="center"/>
              <w:rPr>
                <w:rFonts w:cs="Arial"/>
                <w:b/>
                <w:spacing w:val="-2"/>
                <w:sz w:val="14"/>
                <w:szCs w:val="14"/>
                <w:lang w:val="es-ES"/>
              </w:rPr>
            </w:pPr>
            <w:r w:rsidRPr="00C82BD1">
              <w:rPr>
                <w:rFonts w:cs="Arial"/>
                <w:b/>
                <w:spacing w:val="-2"/>
                <w:sz w:val="14"/>
                <w:szCs w:val="14"/>
                <w:lang w:val="es-ES"/>
              </w:rPr>
              <w:t>2022</w:t>
            </w:r>
          </w:p>
        </w:tc>
        <w:tc>
          <w:tcPr>
            <w:tcW w:w="1190" w:type="dxa"/>
            <w:shd w:val="clear" w:color="auto" w:fill="548DD4" w:themeFill="text2" w:themeFillTint="99"/>
            <w:vAlign w:val="center"/>
          </w:tcPr>
          <w:p w14:paraId="662EAF6D" w14:textId="77777777" w:rsidR="004D3F35" w:rsidRPr="00C82BD1" w:rsidRDefault="004D3F35" w:rsidP="00B57B1D">
            <w:pPr>
              <w:pStyle w:val="ColorfulList-Accent11"/>
              <w:spacing w:before="120" w:after="0" w:line="240" w:lineRule="auto"/>
              <w:ind w:left="0"/>
              <w:jc w:val="center"/>
              <w:rPr>
                <w:rFonts w:cs="Arial"/>
                <w:b/>
                <w:spacing w:val="-2"/>
                <w:sz w:val="14"/>
                <w:szCs w:val="14"/>
                <w:lang w:val="es-ES"/>
              </w:rPr>
            </w:pPr>
            <w:r w:rsidRPr="00C82BD1">
              <w:rPr>
                <w:rFonts w:cs="Arial"/>
                <w:b/>
                <w:spacing w:val="-2"/>
                <w:sz w:val="14"/>
                <w:szCs w:val="14"/>
                <w:lang w:val="es-ES"/>
              </w:rPr>
              <w:t>TOTAL</w:t>
            </w:r>
          </w:p>
        </w:tc>
      </w:tr>
      <w:tr w:rsidR="004D3F35" w:rsidRPr="00C82BD1" w14:paraId="662EAF76" w14:textId="77777777" w:rsidTr="001019AD">
        <w:trPr>
          <w:jc w:val="center"/>
        </w:trPr>
        <w:tc>
          <w:tcPr>
            <w:tcW w:w="2471" w:type="dxa"/>
          </w:tcPr>
          <w:p w14:paraId="662EAF6F" w14:textId="77777777" w:rsidR="004D3F35" w:rsidRPr="00C82BD1" w:rsidRDefault="004D3F35" w:rsidP="004D3F35">
            <w:pPr>
              <w:rPr>
                <w:rFonts w:ascii="Arial" w:hAnsi="Arial" w:cs="Arial"/>
                <w:sz w:val="14"/>
                <w:szCs w:val="14"/>
                <w:lang w:val="es-ES"/>
              </w:rPr>
            </w:pPr>
            <w:r w:rsidRPr="00C82BD1">
              <w:rPr>
                <w:rFonts w:ascii="Arial" w:hAnsi="Arial" w:cs="Arial"/>
                <w:sz w:val="14"/>
                <w:szCs w:val="14"/>
                <w:lang w:val="es-ES"/>
              </w:rPr>
              <w:t>Consumo por hogar (</w:t>
            </w:r>
            <w:r w:rsidR="00171771" w:rsidRPr="00C82BD1">
              <w:rPr>
                <w:rFonts w:ascii="Arial" w:hAnsi="Arial" w:cs="Arial"/>
                <w:sz w:val="14"/>
                <w:szCs w:val="14"/>
                <w:lang w:val="es-ES"/>
              </w:rPr>
              <w:t>las</w:t>
            </w:r>
            <w:r w:rsidRPr="00C82BD1">
              <w:rPr>
                <w:rFonts w:ascii="Arial" w:hAnsi="Arial" w:cs="Arial"/>
                <w:sz w:val="14"/>
                <w:szCs w:val="14"/>
                <w:lang w:val="es-ES"/>
              </w:rPr>
              <w:t>/hogar/día)</w:t>
            </w:r>
          </w:p>
        </w:tc>
        <w:tc>
          <w:tcPr>
            <w:tcW w:w="1112" w:type="dxa"/>
            <w:vAlign w:val="center"/>
          </w:tcPr>
          <w:p w14:paraId="662EAF70" w14:textId="77777777" w:rsidR="004D3F35" w:rsidRPr="00C82BD1" w:rsidRDefault="004D3F35" w:rsidP="004D3F35">
            <w:pPr>
              <w:rPr>
                <w:rFonts w:ascii="Arial" w:hAnsi="Arial" w:cs="Arial"/>
                <w:sz w:val="14"/>
                <w:szCs w:val="14"/>
                <w:lang w:val="es-ES"/>
              </w:rPr>
            </w:pPr>
            <w:r w:rsidRPr="00C82BD1">
              <w:rPr>
                <w:rFonts w:ascii="Arial" w:hAnsi="Arial" w:cs="Arial"/>
                <w:sz w:val="14"/>
                <w:szCs w:val="14"/>
                <w:lang w:val="es-ES"/>
              </w:rPr>
              <w:t>335</w:t>
            </w:r>
          </w:p>
        </w:tc>
        <w:tc>
          <w:tcPr>
            <w:tcW w:w="1112" w:type="dxa"/>
            <w:vAlign w:val="center"/>
          </w:tcPr>
          <w:p w14:paraId="662EAF71" w14:textId="77777777" w:rsidR="004D3F35" w:rsidRPr="00C82BD1" w:rsidRDefault="004D3F35" w:rsidP="004D3F35">
            <w:pPr>
              <w:rPr>
                <w:rFonts w:ascii="Arial" w:hAnsi="Arial" w:cs="Arial"/>
                <w:sz w:val="14"/>
                <w:szCs w:val="14"/>
                <w:lang w:val="es-ES"/>
              </w:rPr>
            </w:pPr>
            <w:r w:rsidRPr="00C82BD1">
              <w:rPr>
                <w:rFonts w:ascii="Arial" w:hAnsi="Arial" w:cs="Arial"/>
                <w:sz w:val="14"/>
                <w:szCs w:val="14"/>
                <w:lang w:val="es-ES"/>
              </w:rPr>
              <w:t>348,4</w:t>
            </w:r>
          </w:p>
        </w:tc>
        <w:tc>
          <w:tcPr>
            <w:tcW w:w="1112" w:type="dxa"/>
            <w:vAlign w:val="center"/>
          </w:tcPr>
          <w:p w14:paraId="662EAF72" w14:textId="77777777" w:rsidR="004D3F35" w:rsidRPr="00C82BD1" w:rsidRDefault="004D3F35" w:rsidP="004D3F35">
            <w:pPr>
              <w:rPr>
                <w:rFonts w:ascii="Arial" w:hAnsi="Arial" w:cs="Arial"/>
                <w:sz w:val="14"/>
                <w:szCs w:val="14"/>
                <w:lang w:val="es-ES"/>
              </w:rPr>
            </w:pPr>
            <w:r w:rsidRPr="00C82BD1">
              <w:rPr>
                <w:rFonts w:ascii="Arial" w:hAnsi="Arial" w:cs="Arial"/>
                <w:sz w:val="14"/>
                <w:szCs w:val="14"/>
                <w:lang w:val="es-ES"/>
              </w:rPr>
              <w:t>362,3</w:t>
            </w:r>
          </w:p>
        </w:tc>
        <w:tc>
          <w:tcPr>
            <w:tcW w:w="1112" w:type="dxa"/>
            <w:vAlign w:val="center"/>
          </w:tcPr>
          <w:p w14:paraId="662EAF73" w14:textId="77777777" w:rsidR="004D3F35" w:rsidRPr="00C82BD1" w:rsidRDefault="004D3F35" w:rsidP="004D3F35">
            <w:pPr>
              <w:rPr>
                <w:rFonts w:ascii="Arial" w:hAnsi="Arial" w:cs="Arial"/>
                <w:sz w:val="14"/>
                <w:szCs w:val="14"/>
                <w:lang w:val="es-ES"/>
              </w:rPr>
            </w:pPr>
            <w:r w:rsidRPr="00C82BD1">
              <w:rPr>
                <w:rFonts w:ascii="Arial" w:hAnsi="Arial" w:cs="Arial"/>
                <w:sz w:val="14"/>
                <w:szCs w:val="14"/>
                <w:lang w:val="es-ES"/>
              </w:rPr>
              <w:t>376,8</w:t>
            </w:r>
          </w:p>
        </w:tc>
        <w:tc>
          <w:tcPr>
            <w:tcW w:w="1190" w:type="dxa"/>
            <w:vAlign w:val="center"/>
          </w:tcPr>
          <w:p w14:paraId="662EAF74" w14:textId="77777777" w:rsidR="004D3F35" w:rsidRPr="00C82BD1" w:rsidRDefault="004D3F35" w:rsidP="004D3F35">
            <w:pPr>
              <w:rPr>
                <w:rFonts w:ascii="Arial" w:hAnsi="Arial" w:cs="Arial"/>
                <w:sz w:val="14"/>
                <w:szCs w:val="14"/>
                <w:lang w:val="es-ES"/>
              </w:rPr>
            </w:pPr>
            <w:r w:rsidRPr="00C82BD1">
              <w:rPr>
                <w:rFonts w:ascii="Arial" w:hAnsi="Arial" w:cs="Arial"/>
                <w:sz w:val="14"/>
                <w:szCs w:val="14"/>
                <w:lang w:val="es-ES"/>
              </w:rPr>
              <w:t>391,9</w:t>
            </w:r>
          </w:p>
        </w:tc>
        <w:tc>
          <w:tcPr>
            <w:tcW w:w="1190" w:type="dxa"/>
            <w:vAlign w:val="center"/>
          </w:tcPr>
          <w:p w14:paraId="662EAF75" w14:textId="77777777" w:rsidR="004D3F35" w:rsidRPr="00C82BD1" w:rsidRDefault="004D3F35" w:rsidP="004D3F35">
            <w:pPr>
              <w:rPr>
                <w:rFonts w:ascii="Arial" w:hAnsi="Arial" w:cs="Arial"/>
                <w:sz w:val="14"/>
                <w:szCs w:val="14"/>
                <w:lang w:val="es-ES"/>
              </w:rPr>
            </w:pPr>
            <w:r w:rsidRPr="00C82BD1">
              <w:rPr>
                <w:rFonts w:ascii="Arial" w:hAnsi="Arial" w:cs="Arial"/>
                <w:sz w:val="14"/>
                <w:szCs w:val="14"/>
                <w:lang w:val="es-ES"/>
              </w:rPr>
              <w:t>1.814,0</w:t>
            </w:r>
          </w:p>
        </w:tc>
      </w:tr>
      <w:tr w:rsidR="004D3F35" w:rsidRPr="00C82BD1" w14:paraId="662EAF7E" w14:textId="77777777" w:rsidTr="001019AD">
        <w:trPr>
          <w:jc w:val="center"/>
        </w:trPr>
        <w:tc>
          <w:tcPr>
            <w:tcW w:w="2471" w:type="dxa"/>
          </w:tcPr>
          <w:p w14:paraId="662EAF77" w14:textId="77777777" w:rsidR="004D3F35" w:rsidRPr="00C82BD1" w:rsidRDefault="004D3F35" w:rsidP="004D3F35">
            <w:pPr>
              <w:rPr>
                <w:rFonts w:ascii="Arial" w:hAnsi="Arial" w:cs="Arial"/>
                <w:sz w:val="14"/>
                <w:szCs w:val="14"/>
                <w:lang w:val="es-ES"/>
              </w:rPr>
            </w:pPr>
            <w:r w:rsidRPr="00C82BD1">
              <w:rPr>
                <w:rFonts w:ascii="Arial" w:hAnsi="Arial" w:cs="Arial"/>
                <w:sz w:val="14"/>
                <w:szCs w:val="14"/>
                <w:lang w:val="es-ES"/>
              </w:rPr>
              <w:t xml:space="preserve">Número de hogares del proyecto </w:t>
            </w:r>
            <w:r w:rsidR="00962D37" w:rsidRPr="00C82BD1">
              <w:rPr>
                <w:rFonts w:ascii="Arial" w:hAnsi="Arial" w:cs="Arial"/>
                <w:sz w:val="14"/>
                <w:szCs w:val="14"/>
                <w:lang w:val="es-ES"/>
              </w:rPr>
              <w:t>sin fuente de agua propia</w:t>
            </w:r>
          </w:p>
        </w:tc>
        <w:tc>
          <w:tcPr>
            <w:tcW w:w="1112" w:type="dxa"/>
            <w:vAlign w:val="center"/>
          </w:tcPr>
          <w:p w14:paraId="662EAF78" w14:textId="77777777" w:rsidR="004D3F35" w:rsidRPr="00C82BD1" w:rsidRDefault="004D3F35" w:rsidP="004D3F35">
            <w:pPr>
              <w:rPr>
                <w:rFonts w:ascii="Arial" w:hAnsi="Arial" w:cs="Arial"/>
                <w:sz w:val="14"/>
                <w:szCs w:val="14"/>
                <w:lang w:val="es-ES"/>
              </w:rPr>
            </w:pPr>
            <w:r w:rsidRPr="00C82BD1">
              <w:rPr>
                <w:rFonts w:ascii="Arial" w:hAnsi="Arial" w:cs="Arial"/>
                <w:sz w:val="14"/>
                <w:szCs w:val="14"/>
                <w:lang w:val="es-ES"/>
              </w:rPr>
              <w:t>67.099</w:t>
            </w:r>
          </w:p>
        </w:tc>
        <w:tc>
          <w:tcPr>
            <w:tcW w:w="1112" w:type="dxa"/>
            <w:vAlign w:val="center"/>
          </w:tcPr>
          <w:p w14:paraId="662EAF79" w14:textId="77777777" w:rsidR="004D3F35" w:rsidRPr="00C82BD1" w:rsidRDefault="004D3F35" w:rsidP="004D3F35">
            <w:pPr>
              <w:rPr>
                <w:rFonts w:ascii="Arial" w:hAnsi="Arial" w:cs="Arial"/>
                <w:sz w:val="14"/>
                <w:szCs w:val="14"/>
                <w:lang w:val="es-ES"/>
              </w:rPr>
            </w:pPr>
            <w:r w:rsidRPr="00C82BD1">
              <w:rPr>
                <w:rFonts w:ascii="Arial" w:hAnsi="Arial" w:cs="Arial"/>
                <w:sz w:val="14"/>
                <w:szCs w:val="14"/>
                <w:lang w:val="es-ES"/>
              </w:rPr>
              <w:t>67.891</w:t>
            </w:r>
          </w:p>
        </w:tc>
        <w:tc>
          <w:tcPr>
            <w:tcW w:w="1112" w:type="dxa"/>
            <w:vAlign w:val="center"/>
          </w:tcPr>
          <w:p w14:paraId="662EAF7A" w14:textId="77777777" w:rsidR="004D3F35" w:rsidRPr="00C82BD1" w:rsidRDefault="00B13D01" w:rsidP="004D3F35">
            <w:pPr>
              <w:rPr>
                <w:rFonts w:ascii="Arial" w:hAnsi="Arial" w:cs="Arial"/>
                <w:sz w:val="14"/>
                <w:szCs w:val="14"/>
                <w:lang w:val="es-ES"/>
              </w:rPr>
            </w:pPr>
            <w:r w:rsidRPr="00C82BD1">
              <w:rPr>
                <w:rFonts w:ascii="Arial" w:hAnsi="Arial" w:cs="Arial"/>
                <w:sz w:val="14"/>
                <w:szCs w:val="14"/>
                <w:lang w:val="es-ES"/>
              </w:rPr>
              <w:t>68.</w:t>
            </w:r>
            <w:r w:rsidR="004D3F35" w:rsidRPr="00C82BD1">
              <w:rPr>
                <w:rFonts w:ascii="Arial" w:hAnsi="Arial" w:cs="Arial"/>
                <w:sz w:val="14"/>
                <w:szCs w:val="14"/>
                <w:lang w:val="es-ES"/>
              </w:rPr>
              <w:t>692</w:t>
            </w:r>
          </w:p>
        </w:tc>
        <w:tc>
          <w:tcPr>
            <w:tcW w:w="1112" w:type="dxa"/>
            <w:vAlign w:val="center"/>
          </w:tcPr>
          <w:p w14:paraId="662EAF7B" w14:textId="77777777" w:rsidR="004D3F35" w:rsidRPr="00C82BD1" w:rsidRDefault="00B13D01" w:rsidP="004D3F35">
            <w:pPr>
              <w:rPr>
                <w:rFonts w:ascii="Arial" w:hAnsi="Arial" w:cs="Arial"/>
                <w:sz w:val="14"/>
                <w:szCs w:val="14"/>
                <w:lang w:val="es-ES"/>
              </w:rPr>
            </w:pPr>
            <w:r w:rsidRPr="00C82BD1">
              <w:rPr>
                <w:rFonts w:ascii="Arial" w:hAnsi="Arial" w:cs="Arial"/>
                <w:sz w:val="14"/>
                <w:szCs w:val="14"/>
                <w:lang w:val="es-ES"/>
              </w:rPr>
              <w:t>69.</w:t>
            </w:r>
            <w:r w:rsidR="004D3F35" w:rsidRPr="00C82BD1">
              <w:rPr>
                <w:rFonts w:ascii="Arial" w:hAnsi="Arial" w:cs="Arial"/>
                <w:sz w:val="14"/>
                <w:szCs w:val="14"/>
                <w:lang w:val="es-ES"/>
              </w:rPr>
              <w:t>503</w:t>
            </w:r>
          </w:p>
        </w:tc>
        <w:tc>
          <w:tcPr>
            <w:tcW w:w="1190" w:type="dxa"/>
            <w:vAlign w:val="center"/>
          </w:tcPr>
          <w:p w14:paraId="662EAF7C" w14:textId="77777777" w:rsidR="004D3F35" w:rsidRPr="00C82BD1" w:rsidRDefault="00B13D01" w:rsidP="004D3F35">
            <w:pPr>
              <w:rPr>
                <w:rFonts w:ascii="Arial" w:hAnsi="Arial" w:cs="Arial"/>
                <w:sz w:val="14"/>
                <w:szCs w:val="14"/>
                <w:lang w:val="es-ES"/>
              </w:rPr>
            </w:pPr>
            <w:r w:rsidRPr="00C82BD1">
              <w:rPr>
                <w:rFonts w:ascii="Arial" w:hAnsi="Arial" w:cs="Arial"/>
                <w:sz w:val="14"/>
                <w:szCs w:val="14"/>
                <w:lang w:val="es-ES"/>
              </w:rPr>
              <w:t>70.</w:t>
            </w:r>
            <w:r w:rsidR="004D3F35" w:rsidRPr="00C82BD1">
              <w:rPr>
                <w:rFonts w:ascii="Arial" w:hAnsi="Arial" w:cs="Arial"/>
                <w:sz w:val="14"/>
                <w:szCs w:val="14"/>
                <w:lang w:val="es-ES"/>
              </w:rPr>
              <w:t>323</w:t>
            </w:r>
          </w:p>
        </w:tc>
        <w:tc>
          <w:tcPr>
            <w:tcW w:w="1190" w:type="dxa"/>
            <w:vAlign w:val="center"/>
          </w:tcPr>
          <w:p w14:paraId="662EAF7D" w14:textId="77777777" w:rsidR="004D3F35" w:rsidRPr="00C82BD1" w:rsidRDefault="00B13D01" w:rsidP="001019AD">
            <w:pPr>
              <w:rPr>
                <w:rFonts w:ascii="Arial" w:hAnsi="Arial" w:cs="Arial"/>
                <w:sz w:val="14"/>
                <w:szCs w:val="14"/>
                <w:lang w:val="es-ES"/>
              </w:rPr>
            </w:pPr>
            <w:r w:rsidRPr="00C82BD1">
              <w:rPr>
                <w:rFonts w:ascii="Arial" w:hAnsi="Arial" w:cs="Arial"/>
                <w:sz w:val="14"/>
                <w:szCs w:val="14"/>
                <w:lang w:val="es-ES"/>
              </w:rPr>
              <w:t>343.</w:t>
            </w:r>
            <w:r w:rsidR="004D3F35" w:rsidRPr="00C82BD1">
              <w:rPr>
                <w:rFonts w:ascii="Arial" w:hAnsi="Arial" w:cs="Arial"/>
                <w:sz w:val="14"/>
                <w:szCs w:val="14"/>
                <w:lang w:val="es-ES"/>
              </w:rPr>
              <w:t>5</w:t>
            </w:r>
            <w:r w:rsidRPr="00C82BD1">
              <w:rPr>
                <w:rFonts w:ascii="Arial" w:hAnsi="Arial" w:cs="Arial"/>
                <w:sz w:val="14"/>
                <w:szCs w:val="14"/>
                <w:lang w:val="es-ES"/>
              </w:rPr>
              <w:t>11</w:t>
            </w:r>
          </w:p>
        </w:tc>
      </w:tr>
      <w:tr w:rsidR="004D3F35" w:rsidRPr="00C82BD1" w14:paraId="662EAF86" w14:textId="77777777" w:rsidTr="001019AD">
        <w:trPr>
          <w:jc w:val="center"/>
        </w:trPr>
        <w:tc>
          <w:tcPr>
            <w:tcW w:w="2471" w:type="dxa"/>
          </w:tcPr>
          <w:p w14:paraId="662EAF7F" w14:textId="77777777" w:rsidR="004D3F35" w:rsidRPr="00C82BD1" w:rsidRDefault="004D3F35" w:rsidP="004D3F35">
            <w:pPr>
              <w:rPr>
                <w:rFonts w:ascii="Arial" w:hAnsi="Arial" w:cs="Arial"/>
                <w:sz w:val="14"/>
                <w:szCs w:val="14"/>
                <w:lang w:val="es-ES"/>
              </w:rPr>
            </w:pPr>
            <w:r w:rsidRPr="00C82BD1">
              <w:rPr>
                <w:rFonts w:ascii="Arial" w:hAnsi="Arial" w:cs="Arial"/>
                <w:sz w:val="14"/>
                <w:szCs w:val="14"/>
                <w:lang w:val="es-ES"/>
              </w:rPr>
              <w:t xml:space="preserve">Número de horas destinados a </w:t>
            </w:r>
            <w:r w:rsidR="00171771" w:rsidRPr="00C82BD1">
              <w:rPr>
                <w:rFonts w:ascii="Arial" w:hAnsi="Arial" w:cs="Arial"/>
                <w:sz w:val="14"/>
                <w:szCs w:val="14"/>
                <w:lang w:val="es-ES"/>
              </w:rPr>
              <w:t>acarreo</w:t>
            </w:r>
            <w:r w:rsidRPr="00C82BD1">
              <w:rPr>
                <w:rFonts w:ascii="Arial" w:hAnsi="Arial" w:cs="Arial"/>
                <w:sz w:val="14"/>
                <w:szCs w:val="14"/>
                <w:lang w:val="es-ES"/>
              </w:rPr>
              <w:t xml:space="preserve"> (horas)</w:t>
            </w:r>
          </w:p>
        </w:tc>
        <w:tc>
          <w:tcPr>
            <w:tcW w:w="1112" w:type="dxa"/>
            <w:vAlign w:val="center"/>
          </w:tcPr>
          <w:p w14:paraId="662EAF80" w14:textId="77777777" w:rsidR="004D3F35" w:rsidRPr="00C82BD1" w:rsidRDefault="00B13D01" w:rsidP="004D3F35">
            <w:pPr>
              <w:rPr>
                <w:rFonts w:ascii="Arial" w:hAnsi="Arial" w:cs="Arial"/>
                <w:sz w:val="14"/>
                <w:szCs w:val="14"/>
                <w:lang w:val="es-ES"/>
              </w:rPr>
            </w:pPr>
            <w:r w:rsidRPr="00C82BD1">
              <w:rPr>
                <w:rFonts w:ascii="Arial" w:hAnsi="Arial" w:cs="Arial"/>
                <w:sz w:val="14"/>
                <w:szCs w:val="14"/>
                <w:lang w:val="es-ES"/>
              </w:rPr>
              <w:t>10.965.256,</w:t>
            </w:r>
            <w:r w:rsidR="004D3F35" w:rsidRPr="00C82BD1">
              <w:rPr>
                <w:rFonts w:ascii="Arial" w:hAnsi="Arial" w:cs="Arial"/>
                <w:sz w:val="14"/>
                <w:szCs w:val="14"/>
                <w:lang w:val="es-ES"/>
              </w:rPr>
              <w:t>7</w:t>
            </w:r>
          </w:p>
        </w:tc>
        <w:tc>
          <w:tcPr>
            <w:tcW w:w="1112" w:type="dxa"/>
            <w:vAlign w:val="center"/>
          </w:tcPr>
          <w:p w14:paraId="662EAF81" w14:textId="77777777" w:rsidR="004D3F35" w:rsidRPr="00C82BD1" w:rsidRDefault="00B13D01" w:rsidP="004D3F35">
            <w:pPr>
              <w:rPr>
                <w:rFonts w:ascii="Arial" w:hAnsi="Arial" w:cs="Arial"/>
                <w:sz w:val="14"/>
                <w:szCs w:val="14"/>
                <w:lang w:val="es-ES"/>
              </w:rPr>
            </w:pPr>
            <w:r w:rsidRPr="00C82BD1">
              <w:rPr>
                <w:rFonts w:ascii="Arial" w:hAnsi="Arial" w:cs="Arial"/>
                <w:sz w:val="14"/>
                <w:szCs w:val="14"/>
                <w:lang w:val="es-ES"/>
              </w:rPr>
              <w:t>11.538.432,</w:t>
            </w:r>
            <w:r w:rsidR="004D3F35" w:rsidRPr="00C82BD1">
              <w:rPr>
                <w:rFonts w:ascii="Arial" w:hAnsi="Arial" w:cs="Arial"/>
                <w:sz w:val="14"/>
                <w:szCs w:val="14"/>
                <w:lang w:val="es-ES"/>
              </w:rPr>
              <w:t>6</w:t>
            </w:r>
          </w:p>
        </w:tc>
        <w:tc>
          <w:tcPr>
            <w:tcW w:w="1112" w:type="dxa"/>
            <w:vAlign w:val="center"/>
          </w:tcPr>
          <w:p w14:paraId="662EAF82" w14:textId="77777777" w:rsidR="004D3F35" w:rsidRPr="00C82BD1" w:rsidRDefault="004D3F35" w:rsidP="004D3F35">
            <w:pPr>
              <w:rPr>
                <w:rFonts w:ascii="Arial" w:hAnsi="Arial" w:cs="Arial"/>
                <w:sz w:val="14"/>
                <w:szCs w:val="14"/>
                <w:lang w:val="es-ES"/>
              </w:rPr>
            </w:pPr>
            <w:r w:rsidRPr="00C82BD1">
              <w:rPr>
                <w:rFonts w:ascii="Arial" w:hAnsi="Arial" w:cs="Arial"/>
                <w:sz w:val="14"/>
                <w:szCs w:val="14"/>
                <w:lang w:val="es-ES"/>
              </w:rPr>
              <w:t>12</w:t>
            </w:r>
            <w:r w:rsidR="00B13D01" w:rsidRPr="00C82BD1">
              <w:rPr>
                <w:rFonts w:ascii="Arial" w:hAnsi="Arial" w:cs="Arial"/>
                <w:sz w:val="14"/>
                <w:szCs w:val="14"/>
                <w:lang w:val="es-ES"/>
              </w:rPr>
              <w:t>.</w:t>
            </w:r>
            <w:r w:rsidRPr="00C82BD1">
              <w:rPr>
                <w:rFonts w:ascii="Arial" w:hAnsi="Arial" w:cs="Arial"/>
                <w:sz w:val="14"/>
                <w:szCs w:val="14"/>
                <w:lang w:val="es-ES"/>
              </w:rPr>
              <w:t>141</w:t>
            </w:r>
            <w:r w:rsidR="00B13D01" w:rsidRPr="00C82BD1">
              <w:rPr>
                <w:rFonts w:ascii="Arial" w:hAnsi="Arial" w:cs="Arial"/>
                <w:sz w:val="14"/>
                <w:szCs w:val="14"/>
                <w:lang w:val="es-ES"/>
              </w:rPr>
              <w:t>.</w:t>
            </w:r>
            <w:r w:rsidRPr="00C82BD1">
              <w:rPr>
                <w:rFonts w:ascii="Arial" w:hAnsi="Arial" w:cs="Arial"/>
                <w:sz w:val="14"/>
                <w:szCs w:val="14"/>
                <w:lang w:val="es-ES"/>
              </w:rPr>
              <w:t>569</w:t>
            </w:r>
            <w:r w:rsidR="00B13D01" w:rsidRPr="00C82BD1">
              <w:rPr>
                <w:rFonts w:ascii="Arial" w:hAnsi="Arial" w:cs="Arial"/>
                <w:sz w:val="14"/>
                <w:szCs w:val="14"/>
                <w:lang w:val="es-ES"/>
              </w:rPr>
              <w:t>,</w:t>
            </w:r>
            <w:r w:rsidRPr="00C82BD1">
              <w:rPr>
                <w:rFonts w:ascii="Arial" w:hAnsi="Arial" w:cs="Arial"/>
                <w:sz w:val="14"/>
                <w:szCs w:val="14"/>
                <w:lang w:val="es-ES"/>
              </w:rPr>
              <w:t>6</w:t>
            </w:r>
          </w:p>
        </w:tc>
        <w:tc>
          <w:tcPr>
            <w:tcW w:w="1112" w:type="dxa"/>
            <w:vAlign w:val="center"/>
          </w:tcPr>
          <w:p w14:paraId="662EAF83" w14:textId="77777777" w:rsidR="004D3F35" w:rsidRPr="00C82BD1" w:rsidRDefault="004D3F35" w:rsidP="004D3F35">
            <w:pPr>
              <w:rPr>
                <w:rFonts w:ascii="Arial" w:hAnsi="Arial" w:cs="Arial"/>
                <w:sz w:val="14"/>
                <w:szCs w:val="14"/>
                <w:lang w:val="es-ES"/>
              </w:rPr>
            </w:pPr>
            <w:r w:rsidRPr="00C82BD1">
              <w:rPr>
                <w:rFonts w:ascii="Arial" w:hAnsi="Arial" w:cs="Arial"/>
                <w:sz w:val="14"/>
                <w:szCs w:val="14"/>
                <w:lang w:val="es-ES"/>
              </w:rPr>
              <w:t>12</w:t>
            </w:r>
            <w:r w:rsidR="00B13D01" w:rsidRPr="00C82BD1">
              <w:rPr>
                <w:rFonts w:ascii="Arial" w:hAnsi="Arial" w:cs="Arial"/>
                <w:sz w:val="14"/>
                <w:szCs w:val="14"/>
                <w:lang w:val="es-ES"/>
              </w:rPr>
              <w:t>.</w:t>
            </w:r>
            <w:r w:rsidRPr="00C82BD1">
              <w:rPr>
                <w:rFonts w:ascii="Arial" w:hAnsi="Arial" w:cs="Arial"/>
                <w:sz w:val="14"/>
                <w:szCs w:val="14"/>
                <w:lang w:val="es-ES"/>
              </w:rPr>
              <w:t>776</w:t>
            </w:r>
            <w:r w:rsidR="00B13D01" w:rsidRPr="00C82BD1">
              <w:rPr>
                <w:rFonts w:ascii="Arial" w:hAnsi="Arial" w:cs="Arial"/>
                <w:sz w:val="14"/>
                <w:szCs w:val="14"/>
                <w:lang w:val="es-ES"/>
              </w:rPr>
              <w:t>.</w:t>
            </w:r>
            <w:r w:rsidRPr="00C82BD1">
              <w:rPr>
                <w:rFonts w:ascii="Arial" w:hAnsi="Arial" w:cs="Arial"/>
                <w:sz w:val="14"/>
                <w:szCs w:val="14"/>
                <w:lang w:val="es-ES"/>
              </w:rPr>
              <w:t>233</w:t>
            </w:r>
            <w:r w:rsidR="00B13D01" w:rsidRPr="00C82BD1">
              <w:rPr>
                <w:rFonts w:ascii="Arial" w:hAnsi="Arial" w:cs="Arial"/>
                <w:sz w:val="14"/>
                <w:szCs w:val="14"/>
                <w:lang w:val="es-ES"/>
              </w:rPr>
              <w:t>,</w:t>
            </w:r>
            <w:r w:rsidRPr="00C82BD1">
              <w:rPr>
                <w:rFonts w:ascii="Arial" w:hAnsi="Arial" w:cs="Arial"/>
                <w:sz w:val="14"/>
                <w:szCs w:val="14"/>
                <w:lang w:val="es-ES"/>
              </w:rPr>
              <w:t>7</w:t>
            </w:r>
          </w:p>
        </w:tc>
        <w:tc>
          <w:tcPr>
            <w:tcW w:w="1190" w:type="dxa"/>
            <w:vAlign w:val="center"/>
          </w:tcPr>
          <w:p w14:paraId="662EAF84" w14:textId="77777777" w:rsidR="004D3F35" w:rsidRPr="00C82BD1" w:rsidRDefault="00B13D01" w:rsidP="004D3F35">
            <w:pPr>
              <w:rPr>
                <w:rFonts w:ascii="Arial" w:hAnsi="Arial" w:cs="Arial"/>
                <w:sz w:val="14"/>
                <w:szCs w:val="14"/>
                <w:lang w:val="es-ES"/>
              </w:rPr>
            </w:pPr>
            <w:r w:rsidRPr="00C82BD1">
              <w:rPr>
                <w:rFonts w:ascii="Arial" w:hAnsi="Arial" w:cs="Arial"/>
                <w:sz w:val="14"/>
                <w:szCs w:val="14"/>
                <w:lang w:val="es-ES"/>
              </w:rPr>
              <w:t>13.444.073,</w:t>
            </w:r>
            <w:r w:rsidR="004D3F35" w:rsidRPr="00C82BD1">
              <w:rPr>
                <w:rFonts w:ascii="Arial" w:hAnsi="Arial" w:cs="Arial"/>
                <w:sz w:val="14"/>
                <w:szCs w:val="14"/>
                <w:lang w:val="es-ES"/>
              </w:rPr>
              <w:t>0</w:t>
            </w:r>
          </w:p>
        </w:tc>
        <w:tc>
          <w:tcPr>
            <w:tcW w:w="1190" w:type="dxa"/>
            <w:vAlign w:val="center"/>
          </w:tcPr>
          <w:p w14:paraId="662EAF85" w14:textId="77777777" w:rsidR="004D3F35" w:rsidRPr="00C82BD1" w:rsidRDefault="00B13D01" w:rsidP="004D3F35">
            <w:pPr>
              <w:rPr>
                <w:rFonts w:ascii="Arial" w:hAnsi="Arial" w:cs="Arial"/>
                <w:sz w:val="14"/>
                <w:szCs w:val="14"/>
                <w:lang w:val="es-ES"/>
              </w:rPr>
            </w:pPr>
            <w:r w:rsidRPr="00C82BD1">
              <w:rPr>
                <w:rFonts w:ascii="Arial" w:hAnsi="Arial" w:cs="Arial"/>
                <w:sz w:val="14"/>
                <w:szCs w:val="14"/>
                <w:lang w:val="es-ES"/>
              </w:rPr>
              <w:t>60.865.565,</w:t>
            </w:r>
            <w:r w:rsidR="004D3F35" w:rsidRPr="00C82BD1">
              <w:rPr>
                <w:rFonts w:ascii="Arial" w:hAnsi="Arial" w:cs="Arial"/>
                <w:sz w:val="14"/>
                <w:szCs w:val="14"/>
                <w:lang w:val="es-ES"/>
              </w:rPr>
              <w:t>8</w:t>
            </w:r>
          </w:p>
        </w:tc>
      </w:tr>
      <w:tr w:rsidR="004D3F35" w:rsidRPr="00C82BD1" w14:paraId="662EAF8E" w14:textId="77777777" w:rsidTr="001019AD">
        <w:trPr>
          <w:jc w:val="center"/>
        </w:trPr>
        <w:tc>
          <w:tcPr>
            <w:tcW w:w="2471" w:type="dxa"/>
          </w:tcPr>
          <w:p w14:paraId="662EAF87" w14:textId="77777777" w:rsidR="004D3F35" w:rsidRPr="00C82BD1" w:rsidRDefault="004D3F35" w:rsidP="004D3F35">
            <w:pPr>
              <w:rPr>
                <w:rFonts w:ascii="Arial" w:hAnsi="Arial" w:cs="Arial"/>
                <w:sz w:val="14"/>
                <w:szCs w:val="14"/>
                <w:lang w:val="es-ES"/>
              </w:rPr>
            </w:pPr>
            <w:r w:rsidRPr="00C82BD1">
              <w:rPr>
                <w:rFonts w:ascii="Arial" w:hAnsi="Arial" w:cs="Arial"/>
                <w:sz w:val="14"/>
                <w:szCs w:val="14"/>
                <w:lang w:val="es-ES"/>
              </w:rPr>
              <w:t>Equivalencia en ingresos</w:t>
            </w:r>
          </w:p>
        </w:tc>
        <w:tc>
          <w:tcPr>
            <w:tcW w:w="1112" w:type="dxa"/>
            <w:vAlign w:val="center"/>
          </w:tcPr>
          <w:p w14:paraId="662EAF88" w14:textId="77777777" w:rsidR="004D3F35" w:rsidRPr="00C82BD1" w:rsidRDefault="00B13D01" w:rsidP="004D3F35">
            <w:pPr>
              <w:rPr>
                <w:rFonts w:ascii="Arial" w:hAnsi="Arial" w:cs="Arial"/>
                <w:sz w:val="14"/>
                <w:szCs w:val="14"/>
                <w:lang w:val="es-ES"/>
              </w:rPr>
            </w:pPr>
            <w:r w:rsidRPr="00C82BD1">
              <w:rPr>
                <w:rFonts w:ascii="Arial" w:hAnsi="Arial" w:cs="Arial"/>
                <w:sz w:val="14"/>
                <w:szCs w:val="14"/>
                <w:lang w:val="es-ES"/>
              </w:rPr>
              <w:t>$8.521.519,</w:t>
            </w:r>
            <w:r w:rsidR="004D3F35" w:rsidRPr="00C82BD1">
              <w:rPr>
                <w:rFonts w:ascii="Arial" w:hAnsi="Arial" w:cs="Arial"/>
                <w:sz w:val="14"/>
                <w:szCs w:val="14"/>
                <w:lang w:val="es-ES"/>
              </w:rPr>
              <w:t xml:space="preserve">44 </w:t>
            </w:r>
          </w:p>
        </w:tc>
        <w:tc>
          <w:tcPr>
            <w:tcW w:w="1112" w:type="dxa"/>
            <w:vAlign w:val="center"/>
          </w:tcPr>
          <w:p w14:paraId="662EAF89" w14:textId="77777777" w:rsidR="004D3F35" w:rsidRPr="00C82BD1" w:rsidRDefault="00B13D01" w:rsidP="004D3F35">
            <w:pPr>
              <w:rPr>
                <w:rFonts w:ascii="Arial" w:hAnsi="Arial" w:cs="Arial"/>
                <w:sz w:val="14"/>
                <w:szCs w:val="14"/>
                <w:lang w:val="es-ES"/>
              </w:rPr>
            </w:pPr>
            <w:r w:rsidRPr="00C82BD1">
              <w:rPr>
                <w:rFonts w:ascii="Arial" w:hAnsi="Arial" w:cs="Arial"/>
                <w:sz w:val="14"/>
                <w:szCs w:val="14"/>
                <w:lang w:val="es-ES"/>
              </w:rPr>
              <w:t>$8.966.956,</w:t>
            </w:r>
            <w:r w:rsidR="004D3F35" w:rsidRPr="00C82BD1">
              <w:rPr>
                <w:rFonts w:ascii="Arial" w:hAnsi="Arial" w:cs="Arial"/>
                <w:sz w:val="14"/>
                <w:szCs w:val="14"/>
                <w:lang w:val="es-ES"/>
              </w:rPr>
              <w:t xml:space="preserve">30 </w:t>
            </w:r>
          </w:p>
        </w:tc>
        <w:tc>
          <w:tcPr>
            <w:tcW w:w="1112" w:type="dxa"/>
            <w:vAlign w:val="center"/>
          </w:tcPr>
          <w:p w14:paraId="662EAF8A" w14:textId="77777777" w:rsidR="004D3F35" w:rsidRPr="00C82BD1" w:rsidRDefault="004D3F35" w:rsidP="004D3F35">
            <w:pPr>
              <w:rPr>
                <w:rFonts w:ascii="Arial" w:hAnsi="Arial" w:cs="Arial"/>
                <w:sz w:val="14"/>
                <w:szCs w:val="14"/>
                <w:lang w:val="es-ES"/>
              </w:rPr>
            </w:pPr>
            <w:r w:rsidRPr="00C82BD1">
              <w:rPr>
                <w:rFonts w:ascii="Arial" w:hAnsi="Arial" w:cs="Arial"/>
                <w:sz w:val="14"/>
                <w:szCs w:val="14"/>
                <w:lang w:val="es-ES"/>
              </w:rPr>
              <w:t>$9</w:t>
            </w:r>
            <w:r w:rsidR="00B13D01" w:rsidRPr="00C82BD1">
              <w:rPr>
                <w:rFonts w:ascii="Arial" w:hAnsi="Arial" w:cs="Arial"/>
                <w:sz w:val="14"/>
                <w:szCs w:val="14"/>
                <w:lang w:val="es-ES"/>
              </w:rPr>
              <w:t>.435.677,</w:t>
            </w:r>
            <w:r w:rsidRPr="00C82BD1">
              <w:rPr>
                <w:rFonts w:ascii="Arial" w:hAnsi="Arial" w:cs="Arial"/>
                <w:sz w:val="14"/>
                <w:szCs w:val="14"/>
                <w:lang w:val="es-ES"/>
              </w:rPr>
              <w:t xml:space="preserve">04 </w:t>
            </w:r>
          </w:p>
        </w:tc>
        <w:tc>
          <w:tcPr>
            <w:tcW w:w="1112" w:type="dxa"/>
            <w:vAlign w:val="center"/>
          </w:tcPr>
          <w:p w14:paraId="662EAF8B" w14:textId="77777777" w:rsidR="004D3F35" w:rsidRPr="00C82BD1" w:rsidRDefault="00B13D01" w:rsidP="004D3F35">
            <w:pPr>
              <w:rPr>
                <w:rFonts w:ascii="Arial" w:hAnsi="Arial" w:cs="Arial"/>
                <w:sz w:val="14"/>
                <w:szCs w:val="14"/>
                <w:lang w:val="es-ES"/>
              </w:rPr>
            </w:pPr>
            <w:r w:rsidRPr="00C82BD1">
              <w:rPr>
                <w:rFonts w:ascii="Arial" w:hAnsi="Arial" w:cs="Arial"/>
                <w:sz w:val="14"/>
                <w:szCs w:val="14"/>
                <w:lang w:val="es-ES"/>
              </w:rPr>
              <w:t>$9.928.898,</w:t>
            </w:r>
            <w:r w:rsidR="004D3F35" w:rsidRPr="00C82BD1">
              <w:rPr>
                <w:rFonts w:ascii="Arial" w:hAnsi="Arial" w:cs="Arial"/>
                <w:sz w:val="14"/>
                <w:szCs w:val="14"/>
                <w:lang w:val="es-ES"/>
              </w:rPr>
              <w:t xml:space="preserve">76 </w:t>
            </w:r>
          </w:p>
        </w:tc>
        <w:tc>
          <w:tcPr>
            <w:tcW w:w="1190" w:type="dxa"/>
            <w:vAlign w:val="center"/>
          </w:tcPr>
          <w:p w14:paraId="662EAF8C" w14:textId="77777777" w:rsidR="004D3F35" w:rsidRPr="00C82BD1" w:rsidRDefault="00B13D01" w:rsidP="004D3F35">
            <w:pPr>
              <w:rPr>
                <w:rFonts w:ascii="Arial" w:hAnsi="Arial" w:cs="Arial"/>
                <w:sz w:val="14"/>
                <w:szCs w:val="14"/>
                <w:lang w:val="es-ES"/>
              </w:rPr>
            </w:pPr>
            <w:r w:rsidRPr="00C82BD1">
              <w:rPr>
                <w:rFonts w:ascii="Arial" w:hAnsi="Arial" w:cs="Arial"/>
                <w:sz w:val="14"/>
                <w:szCs w:val="14"/>
                <w:lang w:val="es-ES"/>
              </w:rPr>
              <w:t>$10.447.902,</w:t>
            </w:r>
            <w:r w:rsidR="004D3F35" w:rsidRPr="00C82BD1">
              <w:rPr>
                <w:rFonts w:ascii="Arial" w:hAnsi="Arial" w:cs="Arial"/>
                <w:sz w:val="14"/>
                <w:szCs w:val="14"/>
                <w:lang w:val="es-ES"/>
              </w:rPr>
              <w:t xml:space="preserve">15 </w:t>
            </w:r>
          </w:p>
        </w:tc>
        <w:tc>
          <w:tcPr>
            <w:tcW w:w="1190" w:type="dxa"/>
            <w:vAlign w:val="center"/>
          </w:tcPr>
          <w:p w14:paraId="662EAF8D" w14:textId="77777777" w:rsidR="004D3F35" w:rsidRPr="00C82BD1" w:rsidRDefault="00B13D01" w:rsidP="001019AD">
            <w:pPr>
              <w:spacing w:after="60"/>
              <w:rPr>
                <w:rFonts w:ascii="Arial" w:hAnsi="Arial" w:cs="Arial"/>
                <w:sz w:val="14"/>
                <w:szCs w:val="14"/>
                <w:lang w:val="es-ES"/>
              </w:rPr>
            </w:pPr>
            <w:r w:rsidRPr="00C82BD1">
              <w:rPr>
                <w:rFonts w:ascii="Arial" w:hAnsi="Arial" w:cs="Arial"/>
                <w:sz w:val="14"/>
                <w:szCs w:val="14"/>
                <w:lang w:val="es-ES"/>
              </w:rPr>
              <w:t>$47.300.953,</w:t>
            </w:r>
            <w:r w:rsidR="004D3F35" w:rsidRPr="00C82BD1">
              <w:rPr>
                <w:rFonts w:ascii="Arial" w:hAnsi="Arial" w:cs="Arial"/>
                <w:sz w:val="14"/>
                <w:szCs w:val="14"/>
                <w:lang w:val="es-ES"/>
              </w:rPr>
              <w:t xml:space="preserve">70 </w:t>
            </w:r>
          </w:p>
        </w:tc>
      </w:tr>
    </w:tbl>
    <w:p w14:paraId="662EAF8F" w14:textId="77777777" w:rsidR="004D3F35" w:rsidRPr="00C82BD1" w:rsidRDefault="00D136C4" w:rsidP="001060C2">
      <w:pPr>
        <w:pStyle w:val="ColorfulList-Accent11"/>
        <w:spacing w:before="120" w:after="0" w:line="240" w:lineRule="auto"/>
        <w:ind w:left="0"/>
        <w:jc w:val="both"/>
        <w:rPr>
          <w:rFonts w:cs="Arial"/>
          <w:sz w:val="16"/>
          <w:szCs w:val="16"/>
          <w:lang w:val="es-ES"/>
        </w:rPr>
      </w:pPr>
      <w:r w:rsidRPr="00C82BD1">
        <w:rPr>
          <w:rFonts w:cs="Arial"/>
          <w:sz w:val="16"/>
          <w:szCs w:val="16"/>
          <w:lang w:val="es-ES"/>
        </w:rPr>
        <w:t>Fuente: Elaboración propia, con datos de la Encuesta Socioeconómica de Hogares (NI-G1002)</w:t>
      </w:r>
    </w:p>
    <w:p w14:paraId="662EAF90" w14:textId="77777777" w:rsidR="00C53C40" w:rsidRPr="00C82BD1" w:rsidRDefault="00C53C40" w:rsidP="00DE1B85">
      <w:pPr>
        <w:spacing w:before="120" w:after="120"/>
        <w:rPr>
          <w:rFonts w:ascii="Arial" w:hAnsi="Arial" w:cs="Arial"/>
          <w:i/>
          <w:sz w:val="22"/>
          <w:szCs w:val="22"/>
          <w:u w:val="single"/>
          <w:lang w:val="es-ES"/>
        </w:rPr>
      </w:pPr>
      <w:r w:rsidRPr="00C82BD1">
        <w:rPr>
          <w:rFonts w:ascii="Arial" w:hAnsi="Arial" w:cs="Arial"/>
          <w:i/>
          <w:sz w:val="22"/>
          <w:szCs w:val="22"/>
          <w:u w:val="single"/>
          <w:lang w:val="es-ES"/>
        </w:rPr>
        <w:t>Beneficios de las mejoras a la provisión de los servicios de salud</w:t>
      </w:r>
    </w:p>
    <w:p w14:paraId="662EAF91" w14:textId="77777777" w:rsidR="008A6608" w:rsidRPr="00C82BD1" w:rsidRDefault="00EA22E9" w:rsidP="00DE1B85">
      <w:pPr>
        <w:pStyle w:val="ColorfulList-Accent11"/>
        <w:spacing w:before="120" w:after="120" w:line="240" w:lineRule="auto"/>
        <w:ind w:left="0"/>
        <w:contextualSpacing w:val="0"/>
        <w:jc w:val="both"/>
        <w:rPr>
          <w:rFonts w:cs="Arial"/>
          <w:lang w:val="es-ES"/>
        </w:rPr>
      </w:pPr>
      <w:r w:rsidRPr="00C82BD1">
        <w:rPr>
          <w:rFonts w:cs="Arial"/>
          <w:lang w:val="es-ES"/>
        </w:rPr>
        <w:t xml:space="preserve">Como se mencionó anteriormente, se asume que las intervenciones financiadas bajo el marco del </w:t>
      </w:r>
      <w:r w:rsidR="00EE7247" w:rsidRPr="00C82BD1">
        <w:rPr>
          <w:rFonts w:cs="Arial"/>
          <w:lang w:val="es-ES"/>
        </w:rPr>
        <w:t xml:space="preserve">NI-L1143 </w:t>
      </w:r>
      <w:r w:rsidRPr="00C82BD1">
        <w:rPr>
          <w:rFonts w:cs="Arial"/>
          <w:lang w:val="es-ES"/>
        </w:rPr>
        <w:t>contribuirán al mejoramiento de acceso y calidad de l</w:t>
      </w:r>
      <w:r w:rsidR="004E6FF7" w:rsidRPr="00C82BD1">
        <w:rPr>
          <w:rFonts w:cs="Arial"/>
          <w:lang w:val="es-ES"/>
        </w:rPr>
        <w:t>os servicios de salud,</w:t>
      </w:r>
      <w:r w:rsidRPr="00C82BD1">
        <w:rPr>
          <w:rFonts w:cs="Arial"/>
          <w:lang w:val="es-ES"/>
        </w:rPr>
        <w:t xml:space="preserve"> y que las inversiones en materia de fortalecimiento institucional y consolidación de redes integradas aumentarán la calidad y el acceso a </w:t>
      </w:r>
      <w:r w:rsidR="004E6FF7" w:rsidRPr="00C82BD1">
        <w:rPr>
          <w:rFonts w:cs="Arial"/>
          <w:lang w:val="es-ES"/>
        </w:rPr>
        <w:t>los servicios de salud</w:t>
      </w:r>
      <w:r w:rsidRPr="00C82BD1">
        <w:rPr>
          <w:rFonts w:cs="Arial"/>
          <w:lang w:val="es-ES"/>
        </w:rPr>
        <w:t xml:space="preserve"> para la población beneficiaria. </w:t>
      </w:r>
    </w:p>
    <w:p w14:paraId="662EAF92" w14:textId="77777777" w:rsidR="00FA096D" w:rsidRPr="00C82BD1" w:rsidRDefault="00EA22E9" w:rsidP="00DE1B85">
      <w:pPr>
        <w:pStyle w:val="ColorfulList-Accent11"/>
        <w:spacing w:before="120" w:after="120" w:line="240" w:lineRule="auto"/>
        <w:ind w:left="0"/>
        <w:contextualSpacing w:val="0"/>
        <w:jc w:val="both"/>
        <w:rPr>
          <w:rFonts w:cs="Arial"/>
          <w:lang w:val="es-ES"/>
        </w:rPr>
      </w:pPr>
      <w:r w:rsidRPr="00C82BD1">
        <w:rPr>
          <w:rFonts w:cs="Arial"/>
          <w:lang w:val="es-ES"/>
        </w:rPr>
        <w:t xml:space="preserve">Las intervenciones </w:t>
      </w:r>
      <w:r w:rsidR="00805881" w:rsidRPr="00C82BD1">
        <w:rPr>
          <w:rFonts w:cs="Arial"/>
          <w:lang w:val="es-ES"/>
        </w:rPr>
        <w:t xml:space="preserve">cuyo acceso y calidad aumentarían producto de la presente operación </w:t>
      </w:r>
      <w:r w:rsidR="00FA096D" w:rsidRPr="00C82BD1">
        <w:rPr>
          <w:rFonts w:cs="Arial"/>
          <w:lang w:val="es-ES"/>
        </w:rPr>
        <w:t>incluyen:</w:t>
      </w:r>
    </w:p>
    <w:p w14:paraId="662EAF93" w14:textId="77777777" w:rsidR="00647B00" w:rsidRPr="00C82BD1" w:rsidRDefault="00647B00" w:rsidP="00647B00">
      <w:pPr>
        <w:pStyle w:val="ColorfulList-Accent11"/>
        <w:numPr>
          <w:ilvl w:val="0"/>
          <w:numId w:val="13"/>
        </w:numPr>
        <w:spacing w:before="120" w:after="120" w:line="240" w:lineRule="auto"/>
        <w:jc w:val="both"/>
        <w:rPr>
          <w:rFonts w:cs="Arial"/>
          <w:lang w:val="es-ES"/>
        </w:rPr>
      </w:pPr>
      <w:r w:rsidRPr="00C82BD1">
        <w:rPr>
          <w:rFonts w:eastAsia="Times New Roman" w:cs="Arial"/>
          <w:color w:val="000000"/>
          <w:lang w:val="es-ES"/>
        </w:rPr>
        <w:t>Atención prenatal</w:t>
      </w:r>
    </w:p>
    <w:p w14:paraId="662EAF94" w14:textId="77777777" w:rsidR="00647B00" w:rsidRPr="00C82BD1" w:rsidRDefault="00647B00" w:rsidP="00647B00">
      <w:pPr>
        <w:pStyle w:val="ColorfulList-Accent11"/>
        <w:numPr>
          <w:ilvl w:val="0"/>
          <w:numId w:val="13"/>
        </w:numPr>
        <w:spacing w:before="120" w:after="120" w:line="240" w:lineRule="auto"/>
        <w:jc w:val="both"/>
        <w:rPr>
          <w:rFonts w:cs="Arial"/>
          <w:lang w:val="es-ES"/>
        </w:rPr>
      </w:pPr>
      <w:r w:rsidRPr="00C82BD1">
        <w:rPr>
          <w:rFonts w:eastAsia="Times New Roman" w:cs="Arial"/>
          <w:color w:val="000000"/>
          <w:lang w:val="es-ES"/>
        </w:rPr>
        <w:t xml:space="preserve">Atención comunitaria del recién nacido, atención prenatal, tratamiento de preeclampsia </w:t>
      </w:r>
      <w:r w:rsidR="00171771" w:rsidRPr="00C82BD1">
        <w:rPr>
          <w:rFonts w:eastAsia="Times New Roman" w:cs="Arial"/>
          <w:color w:val="000000"/>
          <w:lang w:val="es-ES"/>
        </w:rPr>
        <w:t>severa</w:t>
      </w:r>
      <w:r w:rsidRPr="00C82BD1">
        <w:rPr>
          <w:rFonts w:eastAsia="Times New Roman" w:cs="Arial"/>
          <w:color w:val="000000"/>
          <w:lang w:val="es-ES"/>
        </w:rPr>
        <w:t xml:space="preserve">, manejo de OL, referencia, manejo comunitario de neumonía, sepsis materna, ENC, y antibióticos por ruptura prematura de membranas.  </w:t>
      </w:r>
    </w:p>
    <w:p w14:paraId="662EAF95" w14:textId="77777777" w:rsidR="00647B00" w:rsidRPr="00C82BD1" w:rsidRDefault="00647B00" w:rsidP="00647B00">
      <w:pPr>
        <w:pStyle w:val="ColorfulList-Accent11"/>
        <w:numPr>
          <w:ilvl w:val="0"/>
          <w:numId w:val="13"/>
        </w:numPr>
        <w:spacing w:before="120" w:after="120" w:line="240" w:lineRule="auto"/>
        <w:jc w:val="both"/>
        <w:rPr>
          <w:rFonts w:cs="Arial"/>
          <w:lang w:val="es-ES"/>
        </w:rPr>
      </w:pPr>
      <w:r w:rsidRPr="00C82BD1">
        <w:rPr>
          <w:rFonts w:eastAsia="Times New Roman" w:cs="Arial"/>
          <w:color w:val="000000"/>
          <w:lang w:val="es-ES"/>
        </w:rPr>
        <w:t>Atención comunitaria del recién nacido</w:t>
      </w:r>
    </w:p>
    <w:p w14:paraId="662EAF96" w14:textId="77777777" w:rsidR="007364CD" w:rsidRPr="00C82BD1" w:rsidRDefault="007364CD" w:rsidP="007364CD">
      <w:pPr>
        <w:pStyle w:val="ColorfulList-Accent11"/>
        <w:numPr>
          <w:ilvl w:val="0"/>
          <w:numId w:val="13"/>
        </w:numPr>
        <w:spacing w:before="120" w:after="120" w:line="240" w:lineRule="auto"/>
        <w:jc w:val="both"/>
        <w:rPr>
          <w:rFonts w:cs="Arial"/>
          <w:lang w:val="es-ES"/>
        </w:rPr>
      </w:pPr>
      <w:r w:rsidRPr="00C82BD1">
        <w:rPr>
          <w:rFonts w:eastAsia="Times New Roman" w:cs="Arial"/>
          <w:color w:val="000000"/>
          <w:lang w:val="es-ES"/>
        </w:rPr>
        <w:t>Promoción de la lactancia</w:t>
      </w:r>
    </w:p>
    <w:p w14:paraId="662EAF97" w14:textId="77777777" w:rsidR="00647B00" w:rsidRPr="00C82BD1" w:rsidRDefault="00647B00" w:rsidP="00647B00">
      <w:pPr>
        <w:pStyle w:val="ColorfulList-Accent11"/>
        <w:numPr>
          <w:ilvl w:val="0"/>
          <w:numId w:val="13"/>
        </w:numPr>
        <w:spacing w:before="120" w:after="120" w:line="240" w:lineRule="auto"/>
        <w:jc w:val="both"/>
        <w:rPr>
          <w:rFonts w:cs="Arial"/>
          <w:lang w:val="es-ES"/>
        </w:rPr>
      </w:pPr>
      <w:r w:rsidRPr="00C82BD1">
        <w:rPr>
          <w:rFonts w:eastAsia="Times New Roman" w:cs="Arial"/>
          <w:color w:val="000000"/>
          <w:lang w:val="es-ES"/>
        </w:rPr>
        <w:t>Vitamina A, Zinc, Rehidratación Oral, Atención a Enfermedades Prevalentes de la Infancia, y Vigilancia y Consejería Nutricional</w:t>
      </w:r>
    </w:p>
    <w:p w14:paraId="662EAF98" w14:textId="77777777" w:rsidR="00647B00" w:rsidRPr="00C82BD1" w:rsidRDefault="00647B00" w:rsidP="00647B00">
      <w:pPr>
        <w:pStyle w:val="ColorfulList-Accent11"/>
        <w:numPr>
          <w:ilvl w:val="0"/>
          <w:numId w:val="13"/>
        </w:numPr>
        <w:spacing w:before="120" w:after="120" w:line="240" w:lineRule="auto"/>
        <w:jc w:val="both"/>
        <w:rPr>
          <w:rFonts w:cs="Arial"/>
          <w:lang w:val="es-ES"/>
        </w:rPr>
      </w:pPr>
      <w:r w:rsidRPr="00C82BD1">
        <w:rPr>
          <w:rFonts w:eastAsia="Times New Roman" w:cs="Arial"/>
          <w:color w:val="000000"/>
          <w:lang w:val="es-ES"/>
        </w:rPr>
        <w:t>Atención comunitaria de neumonía</w:t>
      </w:r>
    </w:p>
    <w:p w14:paraId="662EAF99" w14:textId="77777777" w:rsidR="00FA096D" w:rsidRPr="00C82BD1" w:rsidRDefault="00EA22E9" w:rsidP="00DE1B85">
      <w:pPr>
        <w:pStyle w:val="ColorfulList-Accent11"/>
        <w:spacing w:before="120" w:after="120" w:line="240" w:lineRule="auto"/>
        <w:ind w:left="0"/>
        <w:contextualSpacing w:val="0"/>
        <w:jc w:val="both"/>
        <w:rPr>
          <w:rFonts w:cs="Arial"/>
          <w:lang w:val="es-ES"/>
        </w:rPr>
      </w:pPr>
      <w:r w:rsidRPr="00C82BD1">
        <w:rPr>
          <w:rFonts w:cs="Arial"/>
          <w:lang w:val="es-ES"/>
        </w:rPr>
        <w:t>En nuestro análisis, se toman en cuenta la</w:t>
      </w:r>
      <w:r w:rsidR="00FA096D" w:rsidRPr="00C82BD1">
        <w:rPr>
          <w:rFonts w:cs="Arial"/>
          <w:lang w:val="es-ES"/>
        </w:rPr>
        <w:t xml:space="preserve">s proyecciones de población indicadas en el Cuadro 2 del presente documento, y </w:t>
      </w:r>
      <w:r w:rsidR="003F3F03" w:rsidRPr="00C82BD1">
        <w:rPr>
          <w:rFonts w:cs="Arial"/>
          <w:lang w:val="es-ES"/>
        </w:rPr>
        <w:t>las estimaciones de cobertura están proyectados en base a la cobertura del NI-L1095 Programa de Salud Comunitaria para Municipios Rurales</w:t>
      </w:r>
      <w:r w:rsidR="00FA096D" w:rsidRPr="00C82BD1">
        <w:rPr>
          <w:rStyle w:val="FootnoteReference"/>
          <w:rFonts w:cs="Arial"/>
          <w:lang w:val="es-ES"/>
        </w:rPr>
        <w:footnoteReference w:id="7"/>
      </w:r>
      <w:r w:rsidR="00FA096D" w:rsidRPr="00C82BD1">
        <w:rPr>
          <w:rFonts w:cs="Arial"/>
          <w:lang w:val="es-ES"/>
        </w:rPr>
        <w:t>.</w:t>
      </w:r>
    </w:p>
    <w:p w14:paraId="662EAF9A" w14:textId="77777777" w:rsidR="00FA096D" w:rsidRPr="00C82BD1" w:rsidRDefault="00FA096D" w:rsidP="00EA22E9">
      <w:pPr>
        <w:pStyle w:val="ColorfulList-Accent11"/>
        <w:spacing w:before="120" w:after="120" w:line="240" w:lineRule="auto"/>
        <w:ind w:left="0"/>
        <w:jc w:val="both"/>
        <w:rPr>
          <w:rFonts w:cs="Arial"/>
          <w:lang w:val="es-ES"/>
        </w:rPr>
      </w:pPr>
    </w:p>
    <w:p w14:paraId="662EAF9B" w14:textId="77777777" w:rsidR="00EA22E9" w:rsidRPr="00C82BD1" w:rsidRDefault="00EA22E9" w:rsidP="00EA22E9">
      <w:pPr>
        <w:pStyle w:val="ColorfulList-Accent11"/>
        <w:spacing w:before="120" w:after="120" w:line="240" w:lineRule="auto"/>
        <w:ind w:left="0"/>
        <w:jc w:val="both"/>
        <w:rPr>
          <w:rFonts w:cs="Arial"/>
          <w:lang w:val="es-ES"/>
        </w:rPr>
        <w:sectPr w:rsidR="00EA22E9" w:rsidRPr="00C82BD1" w:rsidSect="006A72B2">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0"/>
          <w:cols w:space="720"/>
          <w:docGrid w:linePitch="360"/>
        </w:sectPr>
      </w:pPr>
      <w:r w:rsidRPr="00C82BD1">
        <w:rPr>
          <w:rFonts w:cs="Arial"/>
          <w:lang w:val="es-ES"/>
        </w:rPr>
        <w:t xml:space="preserve"> </w:t>
      </w:r>
    </w:p>
    <w:p w14:paraId="662EAF9C" w14:textId="77777777" w:rsidR="00EA22E9" w:rsidRPr="00C82BD1" w:rsidRDefault="00EA22E9" w:rsidP="00974BC4">
      <w:pPr>
        <w:pStyle w:val="Caption"/>
        <w:rPr>
          <w:rFonts w:eastAsia="Calibri"/>
          <w:noProof/>
          <w:lang w:val="es-ES"/>
        </w:rPr>
      </w:pPr>
      <w:bookmarkStart w:id="14" w:name="_Ref285380310"/>
      <w:r w:rsidRPr="00C82BD1">
        <w:rPr>
          <w:lang w:val="es-ES"/>
        </w:rPr>
        <w:lastRenderedPageBreak/>
        <w:t xml:space="preserve">Tabla </w:t>
      </w:r>
      <w:bookmarkEnd w:id="14"/>
      <w:r w:rsidRPr="00C82BD1">
        <w:rPr>
          <w:lang w:val="es-ES"/>
        </w:rPr>
        <w:t>4.</w:t>
      </w:r>
      <w:r w:rsidRPr="00C82BD1">
        <w:rPr>
          <w:noProof/>
          <w:lang w:val="es-ES"/>
        </w:rPr>
        <w:t xml:space="preserve"> AVADs </w:t>
      </w:r>
      <w:r w:rsidR="00CE0D6D" w:rsidRPr="00C82BD1">
        <w:rPr>
          <w:noProof/>
          <w:lang w:val="es-ES"/>
        </w:rPr>
        <w:t>evitados por las intervenciones del NI-L1143</w:t>
      </w:r>
    </w:p>
    <w:p w14:paraId="662EAF9D" w14:textId="77777777" w:rsidR="00CE0D6D" w:rsidRDefault="00CE0D6D" w:rsidP="00EA22E9">
      <w:pPr>
        <w:autoSpaceDE w:val="0"/>
        <w:autoSpaceDN w:val="0"/>
        <w:adjustRightInd w:val="0"/>
        <w:spacing w:before="120" w:after="120"/>
        <w:jc w:val="both"/>
        <w:rPr>
          <w:rFonts w:ascii="Arial" w:hAnsi="Arial" w:cs="Arial"/>
          <w:sz w:val="22"/>
          <w:szCs w:val="22"/>
          <w:lang w:val="es-ES"/>
        </w:rPr>
      </w:pPr>
    </w:p>
    <w:tbl>
      <w:tblPr>
        <w:tblW w:w="46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1852"/>
        <w:gridCol w:w="761"/>
        <w:gridCol w:w="1268"/>
        <w:gridCol w:w="2195"/>
        <w:gridCol w:w="909"/>
        <w:gridCol w:w="1034"/>
        <w:gridCol w:w="1034"/>
        <w:gridCol w:w="1034"/>
        <w:gridCol w:w="1034"/>
        <w:gridCol w:w="956"/>
      </w:tblGrid>
      <w:tr w:rsidR="00D543B0" w:rsidRPr="00CE0D6D" w14:paraId="662EAFA4" w14:textId="77777777" w:rsidTr="00624430">
        <w:trPr>
          <w:trHeight w:val="127"/>
        </w:trPr>
        <w:tc>
          <w:tcPr>
            <w:tcW w:w="778" w:type="pct"/>
            <w:vMerge w:val="restart"/>
            <w:vAlign w:val="center"/>
          </w:tcPr>
          <w:p w14:paraId="662EAF9E" w14:textId="77777777" w:rsidR="00D543B0" w:rsidRPr="00CE0D6D" w:rsidRDefault="00D543B0" w:rsidP="00624430">
            <w:pPr>
              <w:jc w:val="center"/>
              <w:rPr>
                <w:rFonts w:ascii="Arial" w:eastAsia="Times New Roman" w:hAnsi="Arial" w:cs="Arial"/>
                <w:b/>
                <w:bCs/>
                <w:color w:val="000000"/>
                <w:sz w:val="14"/>
                <w:szCs w:val="14"/>
              </w:rPr>
            </w:pPr>
            <w:r w:rsidRPr="00CE0D6D">
              <w:rPr>
                <w:rFonts w:ascii="Arial" w:eastAsia="Times New Roman" w:hAnsi="Arial" w:cs="Arial"/>
                <w:b/>
                <w:bCs/>
                <w:color w:val="000000"/>
                <w:sz w:val="14"/>
                <w:szCs w:val="14"/>
              </w:rPr>
              <w:t>Conjunto evaluado por OMS</w:t>
            </w:r>
          </w:p>
        </w:tc>
        <w:tc>
          <w:tcPr>
            <w:tcW w:w="310" w:type="pct"/>
            <w:vMerge w:val="restart"/>
            <w:vAlign w:val="center"/>
          </w:tcPr>
          <w:p w14:paraId="662EAF9F" w14:textId="77777777" w:rsidR="00D543B0" w:rsidRPr="00CE0D6D" w:rsidRDefault="00D543B0" w:rsidP="00624430">
            <w:pPr>
              <w:jc w:val="center"/>
              <w:rPr>
                <w:rFonts w:ascii="Arial" w:eastAsia="Times New Roman" w:hAnsi="Arial" w:cs="Arial"/>
                <w:b/>
                <w:bCs/>
                <w:color w:val="000000"/>
                <w:sz w:val="14"/>
                <w:szCs w:val="14"/>
              </w:rPr>
            </w:pPr>
            <w:r w:rsidRPr="00CE0D6D">
              <w:rPr>
                <w:rFonts w:ascii="Arial" w:eastAsia="Times New Roman" w:hAnsi="Arial" w:cs="Arial"/>
                <w:b/>
                <w:bCs/>
                <w:color w:val="000000"/>
                <w:sz w:val="14"/>
                <w:szCs w:val="14"/>
              </w:rPr>
              <w:t>Código OMS-CHOICE (si aplica)</w:t>
            </w:r>
          </w:p>
        </w:tc>
        <w:tc>
          <w:tcPr>
            <w:tcW w:w="536" w:type="pct"/>
            <w:vMerge w:val="restart"/>
            <w:vAlign w:val="center"/>
          </w:tcPr>
          <w:p w14:paraId="662EAFA0" w14:textId="77777777" w:rsidR="00D543B0" w:rsidRPr="00CE0D6D" w:rsidRDefault="00D543B0" w:rsidP="00624430">
            <w:pPr>
              <w:jc w:val="center"/>
              <w:rPr>
                <w:rFonts w:ascii="Arial" w:eastAsia="Times New Roman" w:hAnsi="Arial" w:cs="Arial"/>
                <w:b/>
                <w:bCs/>
                <w:color w:val="000000"/>
                <w:sz w:val="14"/>
                <w:szCs w:val="14"/>
                <w:lang w:val="es-ES_tradnl"/>
              </w:rPr>
            </w:pPr>
            <w:r w:rsidRPr="00CE0D6D">
              <w:rPr>
                <w:rFonts w:ascii="Arial" w:eastAsia="Times New Roman" w:hAnsi="Arial" w:cs="Arial"/>
                <w:b/>
                <w:bCs/>
                <w:color w:val="000000"/>
                <w:sz w:val="14"/>
                <w:szCs w:val="14"/>
                <w:lang w:val="es-ES_tradnl"/>
              </w:rPr>
              <w:t>AVAD estimados por punto porcentual de cobertura y población de 1 millón de personas</w:t>
            </w:r>
          </w:p>
        </w:tc>
        <w:tc>
          <w:tcPr>
            <w:tcW w:w="920" w:type="pct"/>
            <w:vMerge w:val="restart"/>
            <w:vAlign w:val="center"/>
          </w:tcPr>
          <w:p w14:paraId="662EAFA1" w14:textId="77777777" w:rsidR="00D543B0" w:rsidRPr="00CE0D6D" w:rsidRDefault="00D543B0" w:rsidP="00624430">
            <w:pPr>
              <w:jc w:val="center"/>
              <w:rPr>
                <w:rFonts w:ascii="Arial" w:eastAsia="Times New Roman" w:hAnsi="Arial" w:cs="Arial"/>
                <w:b/>
                <w:bCs/>
                <w:color w:val="000000"/>
                <w:sz w:val="14"/>
                <w:szCs w:val="14"/>
              </w:rPr>
            </w:pPr>
            <w:r w:rsidRPr="00CE0D6D">
              <w:rPr>
                <w:rFonts w:ascii="Arial" w:eastAsia="Times New Roman" w:hAnsi="Arial" w:cs="Arial"/>
                <w:b/>
                <w:bCs/>
                <w:color w:val="000000"/>
                <w:sz w:val="14"/>
                <w:szCs w:val="14"/>
              </w:rPr>
              <w:t>Intervenciones del NI-L1143</w:t>
            </w:r>
          </w:p>
        </w:tc>
        <w:tc>
          <w:tcPr>
            <w:tcW w:w="370" w:type="pct"/>
            <w:vMerge w:val="restart"/>
            <w:shd w:val="clear" w:color="auto" w:fill="BFBFBF" w:themeFill="background1" w:themeFillShade="BF"/>
            <w:vAlign w:val="center"/>
          </w:tcPr>
          <w:p w14:paraId="662EAFA2" w14:textId="77777777" w:rsidR="00D543B0" w:rsidRPr="00CE0D6D" w:rsidRDefault="00D543B0" w:rsidP="00624430">
            <w:pPr>
              <w:jc w:val="right"/>
              <w:rPr>
                <w:rFonts w:ascii="Arial" w:eastAsia="Times New Roman" w:hAnsi="Arial" w:cs="Arial"/>
                <w:color w:val="000000"/>
                <w:sz w:val="14"/>
                <w:szCs w:val="14"/>
                <w:lang w:val="es-ES_tradnl"/>
              </w:rPr>
            </w:pPr>
          </w:p>
        </w:tc>
        <w:tc>
          <w:tcPr>
            <w:tcW w:w="2087" w:type="pct"/>
            <w:gridSpan w:val="5"/>
            <w:vAlign w:val="bottom"/>
          </w:tcPr>
          <w:p w14:paraId="662EAFA3" w14:textId="77777777" w:rsidR="00D543B0" w:rsidRPr="00CE0D6D" w:rsidRDefault="00D543B0" w:rsidP="00624430">
            <w:pPr>
              <w:jc w:val="center"/>
              <w:rPr>
                <w:rFonts w:ascii="Arial" w:eastAsia="Times New Roman" w:hAnsi="Arial" w:cs="Arial"/>
                <w:b/>
                <w:color w:val="000000"/>
                <w:sz w:val="14"/>
                <w:szCs w:val="14"/>
              </w:rPr>
            </w:pPr>
            <w:r w:rsidRPr="00CE0D6D">
              <w:rPr>
                <w:rFonts w:ascii="Arial" w:eastAsia="Times New Roman" w:hAnsi="Arial" w:cs="Arial"/>
                <w:b/>
                <w:color w:val="000000"/>
                <w:sz w:val="14"/>
                <w:szCs w:val="14"/>
              </w:rPr>
              <w:t>Año</w:t>
            </w:r>
          </w:p>
        </w:tc>
      </w:tr>
      <w:tr w:rsidR="00D543B0" w:rsidRPr="00CE0D6D" w14:paraId="662EAFAF" w14:textId="77777777" w:rsidTr="00624430">
        <w:trPr>
          <w:trHeight w:val="397"/>
        </w:trPr>
        <w:tc>
          <w:tcPr>
            <w:tcW w:w="778" w:type="pct"/>
            <w:vMerge/>
            <w:vAlign w:val="center"/>
          </w:tcPr>
          <w:p w14:paraId="662EAFA5" w14:textId="77777777" w:rsidR="00D543B0" w:rsidRPr="00CE0D6D" w:rsidRDefault="00D543B0" w:rsidP="00624430">
            <w:pPr>
              <w:jc w:val="center"/>
              <w:rPr>
                <w:rFonts w:ascii="Arial" w:eastAsia="Times New Roman" w:hAnsi="Arial" w:cs="Arial"/>
                <w:b/>
                <w:bCs/>
                <w:color w:val="000000"/>
                <w:sz w:val="14"/>
                <w:szCs w:val="14"/>
              </w:rPr>
            </w:pPr>
          </w:p>
        </w:tc>
        <w:tc>
          <w:tcPr>
            <w:tcW w:w="310" w:type="pct"/>
            <w:vMerge/>
            <w:vAlign w:val="center"/>
          </w:tcPr>
          <w:p w14:paraId="662EAFA6" w14:textId="77777777" w:rsidR="00D543B0" w:rsidRPr="00CE0D6D" w:rsidRDefault="00D543B0" w:rsidP="00624430">
            <w:pPr>
              <w:jc w:val="center"/>
              <w:rPr>
                <w:rFonts w:ascii="Arial" w:eastAsia="Times New Roman" w:hAnsi="Arial" w:cs="Arial"/>
                <w:b/>
                <w:bCs/>
                <w:color w:val="000000"/>
                <w:sz w:val="14"/>
                <w:szCs w:val="14"/>
              </w:rPr>
            </w:pPr>
          </w:p>
        </w:tc>
        <w:tc>
          <w:tcPr>
            <w:tcW w:w="536" w:type="pct"/>
            <w:vMerge/>
            <w:vAlign w:val="center"/>
          </w:tcPr>
          <w:p w14:paraId="662EAFA7" w14:textId="77777777" w:rsidR="00D543B0" w:rsidRPr="00CE0D6D" w:rsidRDefault="00D543B0" w:rsidP="00624430">
            <w:pPr>
              <w:jc w:val="center"/>
              <w:rPr>
                <w:rFonts w:ascii="Arial" w:eastAsia="Times New Roman" w:hAnsi="Arial" w:cs="Arial"/>
                <w:b/>
                <w:bCs/>
                <w:color w:val="000000"/>
                <w:sz w:val="14"/>
                <w:szCs w:val="14"/>
                <w:lang w:val="es-ES_tradnl"/>
              </w:rPr>
            </w:pPr>
          </w:p>
        </w:tc>
        <w:tc>
          <w:tcPr>
            <w:tcW w:w="920" w:type="pct"/>
            <w:vMerge/>
            <w:vAlign w:val="center"/>
          </w:tcPr>
          <w:p w14:paraId="662EAFA8" w14:textId="77777777" w:rsidR="00D543B0" w:rsidRPr="00CE0D6D" w:rsidRDefault="00D543B0" w:rsidP="00624430">
            <w:pPr>
              <w:jc w:val="center"/>
              <w:rPr>
                <w:rFonts w:ascii="Arial" w:eastAsia="Times New Roman" w:hAnsi="Arial" w:cs="Arial"/>
                <w:b/>
                <w:bCs/>
                <w:color w:val="000000"/>
                <w:sz w:val="14"/>
                <w:szCs w:val="14"/>
                <w:lang w:val="es-ES_tradnl"/>
              </w:rPr>
            </w:pPr>
          </w:p>
        </w:tc>
        <w:tc>
          <w:tcPr>
            <w:tcW w:w="370" w:type="pct"/>
            <w:vMerge/>
            <w:shd w:val="clear" w:color="auto" w:fill="BFBFBF" w:themeFill="background1" w:themeFillShade="BF"/>
            <w:vAlign w:val="center"/>
          </w:tcPr>
          <w:p w14:paraId="662EAFA9" w14:textId="77777777" w:rsidR="00D543B0" w:rsidRPr="00CE0D6D" w:rsidRDefault="00D543B0" w:rsidP="00624430">
            <w:pPr>
              <w:jc w:val="right"/>
              <w:rPr>
                <w:rFonts w:ascii="Arial" w:eastAsia="Times New Roman" w:hAnsi="Arial" w:cs="Arial"/>
                <w:color w:val="000000"/>
                <w:sz w:val="14"/>
                <w:szCs w:val="14"/>
                <w:lang w:val="es-ES_tradnl"/>
              </w:rPr>
            </w:pPr>
          </w:p>
        </w:tc>
        <w:tc>
          <w:tcPr>
            <w:tcW w:w="421" w:type="pct"/>
            <w:vAlign w:val="bottom"/>
          </w:tcPr>
          <w:p w14:paraId="662EAFAA" w14:textId="77777777" w:rsidR="00D543B0" w:rsidRPr="00CE0D6D" w:rsidRDefault="00D543B0" w:rsidP="00624430">
            <w:pPr>
              <w:jc w:val="right"/>
              <w:rPr>
                <w:rFonts w:ascii="Arial" w:eastAsia="Times New Roman" w:hAnsi="Arial" w:cs="Arial"/>
                <w:color w:val="000000"/>
                <w:sz w:val="14"/>
                <w:szCs w:val="14"/>
              </w:rPr>
            </w:pPr>
            <w:r w:rsidRPr="00CE0D6D">
              <w:rPr>
                <w:rFonts w:ascii="Arial" w:eastAsia="Times New Roman" w:hAnsi="Arial" w:cs="Arial"/>
                <w:b/>
                <w:color w:val="000000"/>
                <w:sz w:val="14"/>
                <w:szCs w:val="14"/>
              </w:rPr>
              <w:t>2018</w:t>
            </w:r>
          </w:p>
        </w:tc>
        <w:tc>
          <w:tcPr>
            <w:tcW w:w="421" w:type="pct"/>
            <w:vAlign w:val="bottom"/>
          </w:tcPr>
          <w:p w14:paraId="662EAFAB" w14:textId="77777777" w:rsidR="00D543B0" w:rsidRPr="00CE0D6D" w:rsidRDefault="00D543B0" w:rsidP="00624430">
            <w:pPr>
              <w:jc w:val="right"/>
              <w:rPr>
                <w:rFonts w:ascii="Arial" w:eastAsia="Times New Roman" w:hAnsi="Arial" w:cs="Arial"/>
                <w:b/>
                <w:color w:val="000000"/>
                <w:sz w:val="14"/>
                <w:szCs w:val="14"/>
              </w:rPr>
            </w:pPr>
            <w:r w:rsidRPr="00CE0D6D">
              <w:rPr>
                <w:rFonts w:ascii="Arial" w:eastAsia="Times New Roman" w:hAnsi="Arial" w:cs="Arial"/>
                <w:b/>
                <w:color w:val="000000"/>
                <w:sz w:val="14"/>
                <w:szCs w:val="14"/>
              </w:rPr>
              <w:t>2019</w:t>
            </w:r>
          </w:p>
        </w:tc>
        <w:tc>
          <w:tcPr>
            <w:tcW w:w="421" w:type="pct"/>
            <w:vAlign w:val="bottom"/>
          </w:tcPr>
          <w:p w14:paraId="662EAFAC" w14:textId="77777777" w:rsidR="00D543B0" w:rsidRPr="00CE0D6D" w:rsidRDefault="00D543B0" w:rsidP="00624430">
            <w:pPr>
              <w:jc w:val="center"/>
              <w:rPr>
                <w:rFonts w:ascii="Arial" w:eastAsia="Times New Roman" w:hAnsi="Arial" w:cs="Arial"/>
                <w:b/>
                <w:color w:val="000000"/>
                <w:sz w:val="14"/>
                <w:szCs w:val="14"/>
              </w:rPr>
            </w:pPr>
            <w:r w:rsidRPr="00CE0D6D">
              <w:rPr>
                <w:rFonts w:ascii="Arial" w:eastAsia="Times New Roman" w:hAnsi="Arial" w:cs="Arial"/>
                <w:b/>
                <w:color w:val="000000"/>
                <w:sz w:val="14"/>
                <w:szCs w:val="14"/>
              </w:rPr>
              <w:t>2020</w:t>
            </w:r>
          </w:p>
        </w:tc>
        <w:tc>
          <w:tcPr>
            <w:tcW w:w="421" w:type="pct"/>
            <w:vAlign w:val="bottom"/>
          </w:tcPr>
          <w:p w14:paraId="662EAFAD" w14:textId="77777777" w:rsidR="00D543B0" w:rsidRPr="00CE0D6D" w:rsidRDefault="00D543B0" w:rsidP="00624430">
            <w:pPr>
              <w:jc w:val="center"/>
              <w:rPr>
                <w:rFonts w:ascii="Arial" w:eastAsia="Times New Roman" w:hAnsi="Arial" w:cs="Arial"/>
                <w:b/>
                <w:color w:val="000000"/>
                <w:sz w:val="14"/>
                <w:szCs w:val="14"/>
              </w:rPr>
            </w:pPr>
            <w:r w:rsidRPr="00CE0D6D">
              <w:rPr>
                <w:rFonts w:ascii="Arial" w:eastAsia="Times New Roman" w:hAnsi="Arial" w:cs="Arial"/>
                <w:b/>
                <w:color w:val="000000"/>
                <w:sz w:val="14"/>
                <w:szCs w:val="14"/>
              </w:rPr>
              <w:t>2021</w:t>
            </w:r>
          </w:p>
        </w:tc>
        <w:tc>
          <w:tcPr>
            <w:tcW w:w="402" w:type="pct"/>
            <w:noWrap/>
            <w:vAlign w:val="center"/>
          </w:tcPr>
          <w:p w14:paraId="662EAFAE" w14:textId="77777777" w:rsidR="00D543B0" w:rsidRPr="00CE0D6D" w:rsidRDefault="00D543B0" w:rsidP="00624430">
            <w:pPr>
              <w:jc w:val="center"/>
              <w:rPr>
                <w:rFonts w:ascii="Arial" w:eastAsia="Times New Roman" w:hAnsi="Arial" w:cs="Arial"/>
                <w:b/>
                <w:color w:val="000000"/>
                <w:sz w:val="14"/>
                <w:szCs w:val="14"/>
              </w:rPr>
            </w:pPr>
            <w:r w:rsidRPr="00CE0D6D">
              <w:rPr>
                <w:rFonts w:ascii="Arial" w:eastAsia="Times New Roman" w:hAnsi="Arial" w:cs="Arial"/>
                <w:b/>
                <w:color w:val="000000"/>
                <w:sz w:val="14"/>
                <w:szCs w:val="14"/>
              </w:rPr>
              <w:t>2022</w:t>
            </w:r>
          </w:p>
        </w:tc>
      </w:tr>
      <w:tr w:rsidR="00D543B0" w:rsidRPr="00CE0D6D" w14:paraId="662EAFBA" w14:textId="77777777" w:rsidTr="00624430">
        <w:trPr>
          <w:trHeight w:val="43"/>
        </w:trPr>
        <w:tc>
          <w:tcPr>
            <w:tcW w:w="778" w:type="pct"/>
            <w:vMerge/>
            <w:vAlign w:val="center"/>
            <w:hideMark/>
          </w:tcPr>
          <w:p w14:paraId="662EAFB0" w14:textId="77777777" w:rsidR="00D543B0" w:rsidRPr="00CE0D6D" w:rsidRDefault="00D543B0" w:rsidP="00624430">
            <w:pPr>
              <w:jc w:val="center"/>
              <w:rPr>
                <w:rFonts w:ascii="Arial" w:eastAsia="Times New Roman" w:hAnsi="Arial" w:cs="Arial"/>
                <w:b/>
                <w:bCs/>
                <w:color w:val="000000"/>
                <w:sz w:val="14"/>
                <w:szCs w:val="14"/>
              </w:rPr>
            </w:pPr>
          </w:p>
        </w:tc>
        <w:tc>
          <w:tcPr>
            <w:tcW w:w="310" w:type="pct"/>
            <w:vMerge/>
            <w:vAlign w:val="center"/>
            <w:hideMark/>
          </w:tcPr>
          <w:p w14:paraId="662EAFB1" w14:textId="77777777" w:rsidR="00D543B0" w:rsidRPr="00CE0D6D" w:rsidRDefault="00D543B0" w:rsidP="00624430">
            <w:pPr>
              <w:jc w:val="center"/>
              <w:rPr>
                <w:rFonts w:ascii="Arial" w:eastAsia="Times New Roman" w:hAnsi="Arial" w:cs="Arial"/>
                <w:b/>
                <w:bCs/>
                <w:color w:val="000000"/>
                <w:sz w:val="14"/>
                <w:szCs w:val="14"/>
              </w:rPr>
            </w:pPr>
          </w:p>
        </w:tc>
        <w:tc>
          <w:tcPr>
            <w:tcW w:w="536" w:type="pct"/>
            <w:vMerge/>
            <w:vAlign w:val="center"/>
            <w:hideMark/>
          </w:tcPr>
          <w:p w14:paraId="662EAFB2" w14:textId="77777777" w:rsidR="00D543B0" w:rsidRPr="00CE0D6D" w:rsidRDefault="00D543B0" w:rsidP="00624430">
            <w:pPr>
              <w:jc w:val="center"/>
              <w:rPr>
                <w:rFonts w:ascii="Arial" w:eastAsia="Times New Roman" w:hAnsi="Arial" w:cs="Arial"/>
                <w:b/>
                <w:bCs/>
                <w:color w:val="000000"/>
                <w:sz w:val="14"/>
                <w:szCs w:val="14"/>
                <w:lang w:val="es-ES_tradnl"/>
              </w:rPr>
            </w:pPr>
          </w:p>
        </w:tc>
        <w:tc>
          <w:tcPr>
            <w:tcW w:w="920" w:type="pct"/>
            <w:vMerge/>
            <w:vAlign w:val="center"/>
            <w:hideMark/>
          </w:tcPr>
          <w:p w14:paraId="662EAFB3" w14:textId="77777777" w:rsidR="00D543B0" w:rsidRPr="00CE0D6D" w:rsidRDefault="00D543B0" w:rsidP="00624430">
            <w:pPr>
              <w:jc w:val="center"/>
              <w:rPr>
                <w:rFonts w:ascii="Arial" w:eastAsia="Times New Roman" w:hAnsi="Arial" w:cs="Arial"/>
                <w:b/>
                <w:bCs/>
                <w:color w:val="000000"/>
                <w:sz w:val="14"/>
                <w:szCs w:val="14"/>
              </w:rPr>
            </w:pPr>
          </w:p>
        </w:tc>
        <w:tc>
          <w:tcPr>
            <w:tcW w:w="370" w:type="pct"/>
            <w:vAlign w:val="center"/>
            <w:hideMark/>
          </w:tcPr>
          <w:p w14:paraId="662EAFB4" w14:textId="77777777" w:rsidR="00D543B0" w:rsidRPr="00CE0D6D" w:rsidRDefault="00D543B0" w:rsidP="00624430">
            <w:pPr>
              <w:jc w:val="right"/>
              <w:rPr>
                <w:rFonts w:ascii="Arial" w:eastAsia="Times New Roman" w:hAnsi="Arial" w:cs="Arial"/>
                <w:color w:val="000000"/>
                <w:sz w:val="14"/>
                <w:szCs w:val="14"/>
              </w:rPr>
            </w:pPr>
            <w:r w:rsidRPr="00CE0D6D">
              <w:rPr>
                <w:rFonts w:ascii="Arial" w:eastAsia="Times New Roman" w:hAnsi="Arial" w:cs="Arial"/>
                <w:color w:val="000000"/>
                <w:sz w:val="14"/>
                <w:szCs w:val="14"/>
              </w:rPr>
              <w:t>Población total atendida</w:t>
            </w:r>
          </w:p>
        </w:tc>
        <w:tc>
          <w:tcPr>
            <w:tcW w:w="421" w:type="pct"/>
            <w:vAlign w:val="bottom"/>
            <w:hideMark/>
          </w:tcPr>
          <w:p w14:paraId="662EAFB5"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1.313.493,</w:t>
            </w:r>
            <w:r w:rsidRPr="00CE0D6D">
              <w:rPr>
                <w:rFonts w:ascii="Arial" w:eastAsia="Times New Roman" w:hAnsi="Arial" w:cs="Arial"/>
                <w:color w:val="000000"/>
                <w:sz w:val="14"/>
                <w:szCs w:val="14"/>
              </w:rPr>
              <w:t>28</w:t>
            </w:r>
          </w:p>
        </w:tc>
        <w:tc>
          <w:tcPr>
            <w:tcW w:w="421" w:type="pct"/>
            <w:vAlign w:val="bottom"/>
            <w:hideMark/>
          </w:tcPr>
          <w:p w14:paraId="662EAFB6"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1.328.992,</w:t>
            </w:r>
            <w:r w:rsidRPr="00CE0D6D">
              <w:rPr>
                <w:rFonts w:ascii="Arial" w:eastAsia="Times New Roman" w:hAnsi="Arial" w:cs="Arial"/>
                <w:color w:val="000000"/>
                <w:sz w:val="14"/>
                <w:szCs w:val="14"/>
              </w:rPr>
              <w:t>50</w:t>
            </w:r>
          </w:p>
        </w:tc>
        <w:tc>
          <w:tcPr>
            <w:tcW w:w="421" w:type="pct"/>
            <w:vAlign w:val="bottom"/>
            <w:hideMark/>
          </w:tcPr>
          <w:p w14:paraId="662EAFB7"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1.344.674,</w:t>
            </w:r>
            <w:r w:rsidRPr="00CE0D6D">
              <w:rPr>
                <w:rFonts w:ascii="Arial" w:eastAsia="Times New Roman" w:hAnsi="Arial" w:cs="Arial"/>
                <w:color w:val="000000"/>
                <w:sz w:val="14"/>
                <w:szCs w:val="14"/>
              </w:rPr>
              <w:t>61</w:t>
            </w:r>
          </w:p>
        </w:tc>
        <w:tc>
          <w:tcPr>
            <w:tcW w:w="421" w:type="pct"/>
            <w:vAlign w:val="bottom"/>
            <w:hideMark/>
          </w:tcPr>
          <w:p w14:paraId="662EAFB8"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1.360.541,</w:t>
            </w:r>
            <w:r w:rsidRPr="00CE0D6D">
              <w:rPr>
                <w:rFonts w:ascii="Arial" w:eastAsia="Times New Roman" w:hAnsi="Arial" w:cs="Arial"/>
                <w:color w:val="000000"/>
                <w:sz w:val="14"/>
                <w:szCs w:val="14"/>
              </w:rPr>
              <w:t>77</w:t>
            </w:r>
          </w:p>
        </w:tc>
        <w:tc>
          <w:tcPr>
            <w:tcW w:w="402" w:type="pct"/>
            <w:noWrap/>
            <w:vAlign w:val="center"/>
            <w:hideMark/>
          </w:tcPr>
          <w:p w14:paraId="662EAFB9"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 xml:space="preserve"> 1.376.</w:t>
            </w:r>
            <w:r w:rsidRPr="00CE0D6D">
              <w:rPr>
                <w:rFonts w:ascii="Arial" w:eastAsia="Times New Roman" w:hAnsi="Arial" w:cs="Arial"/>
                <w:color w:val="000000"/>
                <w:sz w:val="14"/>
                <w:szCs w:val="14"/>
              </w:rPr>
              <w:t xml:space="preserve">596 </w:t>
            </w:r>
          </w:p>
        </w:tc>
      </w:tr>
      <w:tr w:rsidR="00D543B0" w:rsidRPr="00CE0D6D" w14:paraId="662EAFC5" w14:textId="77777777" w:rsidTr="00624430">
        <w:trPr>
          <w:trHeight w:val="326"/>
        </w:trPr>
        <w:tc>
          <w:tcPr>
            <w:tcW w:w="778" w:type="pct"/>
            <w:vMerge w:val="restart"/>
            <w:vAlign w:val="center"/>
            <w:hideMark/>
          </w:tcPr>
          <w:p w14:paraId="662EAFBB" w14:textId="77777777" w:rsidR="00D543B0" w:rsidRPr="00CE0D6D" w:rsidRDefault="00D543B0" w:rsidP="00624430">
            <w:pPr>
              <w:rPr>
                <w:rFonts w:ascii="Arial" w:eastAsia="Times New Roman" w:hAnsi="Arial" w:cs="Arial"/>
                <w:color w:val="000000"/>
                <w:sz w:val="14"/>
                <w:szCs w:val="14"/>
                <w:lang w:val="es-ES_tradnl"/>
              </w:rPr>
            </w:pPr>
            <w:r w:rsidRPr="00CE0D6D">
              <w:rPr>
                <w:rFonts w:ascii="Arial" w:eastAsia="Times New Roman" w:hAnsi="Arial" w:cs="Arial"/>
                <w:color w:val="000000"/>
                <w:sz w:val="14"/>
                <w:szCs w:val="14"/>
                <w:lang w:val="es-ES_tradnl"/>
              </w:rPr>
              <w:t>Mejoras a la sanidad y agua</w:t>
            </w:r>
          </w:p>
        </w:tc>
        <w:tc>
          <w:tcPr>
            <w:tcW w:w="310" w:type="pct"/>
            <w:vMerge w:val="restart"/>
            <w:noWrap/>
            <w:vAlign w:val="center"/>
            <w:hideMark/>
          </w:tcPr>
          <w:p w14:paraId="662EAFBC"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N/A</w:t>
            </w:r>
          </w:p>
        </w:tc>
        <w:tc>
          <w:tcPr>
            <w:tcW w:w="536" w:type="pct"/>
            <w:vMerge w:val="restart"/>
            <w:noWrap/>
            <w:vAlign w:val="center"/>
            <w:hideMark/>
          </w:tcPr>
          <w:p w14:paraId="662EAFBD" w14:textId="77777777" w:rsidR="00D543B0" w:rsidRPr="00CE0D6D" w:rsidRDefault="00D543B0" w:rsidP="00624430">
            <w:pPr>
              <w:jc w:val="center"/>
              <w:rPr>
                <w:rFonts w:ascii="Arial" w:eastAsia="Times New Roman" w:hAnsi="Arial" w:cs="Arial"/>
                <w:color w:val="000000"/>
                <w:sz w:val="14"/>
                <w:szCs w:val="14"/>
              </w:rPr>
            </w:pPr>
            <w:r>
              <w:rPr>
                <w:rFonts w:ascii="Arial" w:eastAsia="Times New Roman" w:hAnsi="Arial" w:cs="Arial"/>
                <w:color w:val="000000"/>
                <w:sz w:val="14"/>
                <w:szCs w:val="14"/>
              </w:rPr>
              <w:t>196,</w:t>
            </w:r>
            <w:r w:rsidRPr="00CE0D6D">
              <w:rPr>
                <w:rFonts w:ascii="Arial" w:eastAsia="Times New Roman" w:hAnsi="Arial" w:cs="Arial"/>
                <w:color w:val="000000"/>
                <w:sz w:val="14"/>
                <w:szCs w:val="14"/>
              </w:rPr>
              <w:t>07</w:t>
            </w:r>
          </w:p>
        </w:tc>
        <w:tc>
          <w:tcPr>
            <w:tcW w:w="920" w:type="pct"/>
            <w:vMerge w:val="restart"/>
            <w:vAlign w:val="center"/>
            <w:hideMark/>
          </w:tcPr>
          <w:p w14:paraId="662EAFBE" w14:textId="77777777" w:rsidR="00D543B0" w:rsidRPr="00CE0D6D" w:rsidRDefault="00D543B0" w:rsidP="00624430">
            <w:pPr>
              <w:jc w:val="center"/>
              <w:rPr>
                <w:rFonts w:ascii="Arial" w:eastAsia="Times New Roman" w:hAnsi="Arial" w:cs="Arial"/>
                <w:color w:val="000000"/>
                <w:sz w:val="14"/>
                <w:szCs w:val="14"/>
                <w:lang w:val="es-ES_tradnl"/>
              </w:rPr>
            </w:pPr>
            <w:r w:rsidRPr="00CE0D6D">
              <w:rPr>
                <w:rFonts w:ascii="Arial" w:eastAsia="Times New Roman" w:hAnsi="Arial" w:cs="Arial"/>
                <w:color w:val="000000"/>
                <w:sz w:val="14"/>
                <w:szCs w:val="14"/>
                <w:lang w:val="es-ES_tradnl"/>
              </w:rPr>
              <w:t>Mejoras al acceso y cobertura de servicios de agua y saneamiento</w:t>
            </w:r>
          </w:p>
        </w:tc>
        <w:tc>
          <w:tcPr>
            <w:tcW w:w="370" w:type="pct"/>
            <w:vAlign w:val="center"/>
            <w:hideMark/>
          </w:tcPr>
          <w:p w14:paraId="662EAFBF"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Cobertura (%)</w:t>
            </w:r>
          </w:p>
        </w:tc>
        <w:tc>
          <w:tcPr>
            <w:tcW w:w="421" w:type="pct"/>
            <w:vAlign w:val="center"/>
            <w:hideMark/>
          </w:tcPr>
          <w:p w14:paraId="662EAFC0"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72</w:t>
            </w:r>
          </w:p>
        </w:tc>
        <w:tc>
          <w:tcPr>
            <w:tcW w:w="421" w:type="pct"/>
            <w:vAlign w:val="center"/>
            <w:hideMark/>
          </w:tcPr>
          <w:p w14:paraId="662EAFC1"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75</w:t>
            </w:r>
          </w:p>
        </w:tc>
        <w:tc>
          <w:tcPr>
            <w:tcW w:w="421" w:type="pct"/>
            <w:vAlign w:val="center"/>
            <w:hideMark/>
          </w:tcPr>
          <w:p w14:paraId="662EAFC2"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78</w:t>
            </w:r>
          </w:p>
        </w:tc>
        <w:tc>
          <w:tcPr>
            <w:tcW w:w="421" w:type="pct"/>
            <w:vAlign w:val="center"/>
            <w:hideMark/>
          </w:tcPr>
          <w:p w14:paraId="662EAFC3"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81</w:t>
            </w:r>
          </w:p>
        </w:tc>
        <w:tc>
          <w:tcPr>
            <w:tcW w:w="402" w:type="pct"/>
            <w:vAlign w:val="center"/>
            <w:hideMark/>
          </w:tcPr>
          <w:p w14:paraId="662EAFC4"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84</w:t>
            </w:r>
          </w:p>
        </w:tc>
      </w:tr>
      <w:tr w:rsidR="00D543B0" w:rsidRPr="00CE0D6D" w14:paraId="662EAFD0" w14:textId="77777777" w:rsidTr="00624430">
        <w:trPr>
          <w:trHeight w:val="56"/>
        </w:trPr>
        <w:tc>
          <w:tcPr>
            <w:tcW w:w="778" w:type="pct"/>
            <w:vMerge/>
            <w:vAlign w:val="center"/>
            <w:hideMark/>
          </w:tcPr>
          <w:p w14:paraId="662EAFC6" w14:textId="77777777" w:rsidR="00D543B0" w:rsidRPr="00CE0D6D" w:rsidRDefault="00D543B0" w:rsidP="00624430">
            <w:pPr>
              <w:rPr>
                <w:rFonts w:ascii="Arial" w:eastAsia="Times New Roman" w:hAnsi="Arial" w:cs="Arial"/>
                <w:color w:val="000000"/>
                <w:sz w:val="14"/>
                <w:szCs w:val="14"/>
              </w:rPr>
            </w:pPr>
          </w:p>
        </w:tc>
        <w:tc>
          <w:tcPr>
            <w:tcW w:w="310" w:type="pct"/>
            <w:vMerge/>
            <w:vAlign w:val="center"/>
            <w:hideMark/>
          </w:tcPr>
          <w:p w14:paraId="662EAFC7" w14:textId="77777777" w:rsidR="00D543B0" w:rsidRPr="00CE0D6D" w:rsidRDefault="00D543B0" w:rsidP="00624430">
            <w:pPr>
              <w:rPr>
                <w:rFonts w:ascii="Arial" w:eastAsia="Times New Roman" w:hAnsi="Arial" w:cs="Arial"/>
                <w:color w:val="000000"/>
                <w:sz w:val="14"/>
                <w:szCs w:val="14"/>
              </w:rPr>
            </w:pPr>
          </w:p>
        </w:tc>
        <w:tc>
          <w:tcPr>
            <w:tcW w:w="536" w:type="pct"/>
            <w:vMerge/>
            <w:vAlign w:val="center"/>
            <w:hideMark/>
          </w:tcPr>
          <w:p w14:paraId="662EAFC8" w14:textId="77777777" w:rsidR="00D543B0" w:rsidRPr="00CE0D6D" w:rsidRDefault="00D543B0" w:rsidP="00624430">
            <w:pPr>
              <w:rPr>
                <w:rFonts w:ascii="Arial" w:eastAsia="Times New Roman" w:hAnsi="Arial" w:cs="Arial"/>
                <w:color w:val="000000"/>
                <w:sz w:val="14"/>
                <w:szCs w:val="14"/>
              </w:rPr>
            </w:pPr>
          </w:p>
        </w:tc>
        <w:tc>
          <w:tcPr>
            <w:tcW w:w="920" w:type="pct"/>
            <w:vMerge/>
            <w:vAlign w:val="center"/>
            <w:hideMark/>
          </w:tcPr>
          <w:p w14:paraId="662EAFC9" w14:textId="77777777" w:rsidR="00D543B0" w:rsidRPr="00CE0D6D" w:rsidRDefault="00D543B0" w:rsidP="00624430">
            <w:pPr>
              <w:rPr>
                <w:rFonts w:ascii="Arial" w:eastAsia="Times New Roman" w:hAnsi="Arial" w:cs="Arial"/>
                <w:color w:val="000000"/>
                <w:sz w:val="14"/>
                <w:szCs w:val="14"/>
              </w:rPr>
            </w:pPr>
          </w:p>
        </w:tc>
        <w:tc>
          <w:tcPr>
            <w:tcW w:w="370" w:type="pct"/>
            <w:vAlign w:val="center"/>
            <w:hideMark/>
          </w:tcPr>
          <w:p w14:paraId="662EAFCA" w14:textId="77777777" w:rsidR="00D543B0" w:rsidRPr="00CE0D6D" w:rsidRDefault="00D543B0" w:rsidP="00624430">
            <w:pPr>
              <w:jc w:val="center"/>
              <w:rPr>
                <w:rFonts w:ascii="Arial" w:eastAsia="Times New Roman" w:hAnsi="Arial" w:cs="Arial"/>
                <w:b/>
                <w:bCs/>
                <w:color w:val="000000"/>
                <w:sz w:val="14"/>
                <w:szCs w:val="14"/>
              </w:rPr>
            </w:pPr>
            <w:r w:rsidRPr="00CE0D6D">
              <w:rPr>
                <w:rFonts w:ascii="Arial" w:eastAsia="Times New Roman" w:hAnsi="Arial" w:cs="Arial"/>
                <w:b/>
                <w:bCs/>
                <w:color w:val="000000"/>
                <w:sz w:val="14"/>
                <w:szCs w:val="14"/>
              </w:rPr>
              <w:t>AVAD estimados</w:t>
            </w:r>
          </w:p>
        </w:tc>
        <w:tc>
          <w:tcPr>
            <w:tcW w:w="421" w:type="pct"/>
            <w:vAlign w:val="bottom"/>
            <w:hideMark/>
          </w:tcPr>
          <w:p w14:paraId="662EAFCB"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18.542,</w:t>
            </w:r>
            <w:r w:rsidRPr="00CE0D6D">
              <w:rPr>
                <w:rFonts w:ascii="Arial" w:eastAsia="Times New Roman" w:hAnsi="Arial" w:cs="Arial"/>
                <w:color w:val="000000"/>
                <w:sz w:val="14"/>
                <w:szCs w:val="14"/>
              </w:rPr>
              <w:t>64</w:t>
            </w:r>
          </w:p>
        </w:tc>
        <w:tc>
          <w:tcPr>
            <w:tcW w:w="421" w:type="pct"/>
            <w:vAlign w:val="bottom"/>
            <w:hideMark/>
          </w:tcPr>
          <w:p w14:paraId="662EAFCC"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19.543,</w:t>
            </w:r>
            <w:r w:rsidRPr="00CE0D6D">
              <w:rPr>
                <w:rFonts w:ascii="Arial" w:eastAsia="Times New Roman" w:hAnsi="Arial" w:cs="Arial"/>
                <w:color w:val="000000"/>
                <w:sz w:val="14"/>
                <w:szCs w:val="14"/>
              </w:rPr>
              <w:t>17</w:t>
            </w:r>
          </w:p>
        </w:tc>
        <w:tc>
          <w:tcPr>
            <w:tcW w:w="421" w:type="pct"/>
            <w:vAlign w:val="bottom"/>
            <w:hideMark/>
          </w:tcPr>
          <w:p w14:paraId="662EAFCD"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20.564,</w:t>
            </w:r>
            <w:r w:rsidRPr="00CE0D6D">
              <w:rPr>
                <w:rFonts w:ascii="Arial" w:eastAsia="Times New Roman" w:hAnsi="Arial" w:cs="Arial"/>
                <w:color w:val="000000"/>
                <w:sz w:val="14"/>
                <w:szCs w:val="14"/>
              </w:rPr>
              <w:t>73</w:t>
            </w:r>
          </w:p>
        </w:tc>
        <w:tc>
          <w:tcPr>
            <w:tcW w:w="421" w:type="pct"/>
            <w:vAlign w:val="bottom"/>
            <w:hideMark/>
          </w:tcPr>
          <w:p w14:paraId="662EAFCE"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21.607,</w:t>
            </w:r>
            <w:r w:rsidRPr="00CE0D6D">
              <w:rPr>
                <w:rFonts w:ascii="Arial" w:eastAsia="Times New Roman" w:hAnsi="Arial" w:cs="Arial"/>
                <w:color w:val="000000"/>
                <w:sz w:val="14"/>
                <w:szCs w:val="14"/>
              </w:rPr>
              <w:t>68</w:t>
            </w:r>
          </w:p>
        </w:tc>
        <w:tc>
          <w:tcPr>
            <w:tcW w:w="402" w:type="pct"/>
            <w:vAlign w:val="bottom"/>
            <w:hideMark/>
          </w:tcPr>
          <w:p w14:paraId="662EAFCF"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22.672,</w:t>
            </w:r>
            <w:r w:rsidRPr="00CE0D6D">
              <w:rPr>
                <w:rFonts w:ascii="Arial" w:eastAsia="Times New Roman" w:hAnsi="Arial" w:cs="Arial"/>
                <w:color w:val="000000"/>
                <w:sz w:val="14"/>
                <w:szCs w:val="14"/>
              </w:rPr>
              <w:t>37</w:t>
            </w:r>
          </w:p>
        </w:tc>
      </w:tr>
      <w:tr w:rsidR="00D543B0" w:rsidRPr="00CE0D6D" w14:paraId="662EAFDB" w14:textId="77777777" w:rsidTr="00624430">
        <w:trPr>
          <w:trHeight w:val="43"/>
        </w:trPr>
        <w:tc>
          <w:tcPr>
            <w:tcW w:w="778" w:type="pct"/>
            <w:vAlign w:val="center"/>
            <w:hideMark/>
          </w:tcPr>
          <w:p w14:paraId="662EAFD1" w14:textId="77777777" w:rsidR="00D543B0" w:rsidRPr="00CE0D6D" w:rsidRDefault="00D543B0" w:rsidP="00624430">
            <w:pPr>
              <w:rPr>
                <w:rFonts w:ascii="Arial" w:eastAsia="Times New Roman" w:hAnsi="Arial" w:cs="Arial"/>
                <w:color w:val="000000"/>
                <w:sz w:val="14"/>
                <w:szCs w:val="14"/>
                <w:lang w:val="es-ES_tradnl"/>
              </w:rPr>
            </w:pPr>
            <w:r w:rsidRPr="00CE0D6D">
              <w:rPr>
                <w:rFonts w:ascii="Arial" w:eastAsia="Times New Roman" w:hAnsi="Arial" w:cs="Arial"/>
                <w:color w:val="000000"/>
                <w:sz w:val="14"/>
                <w:szCs w:val="14"/>
                <w:lang w:val="es-ES_tradnl"/>
              </w:rPr>
              <w:t>Atención comunitaria del Recién nacido; Atención prenatal; Atención comunitaria de neumonía</w:t>
            </w:r>
          </w:p>
        </w:tc>
        <w:tc>
          <w:tcPr>
            <w:tcW w:w="310" w:type="pct"/>
            <w:noWrap/>
            <w:vAlign w:val="center"/>
            <w:hideMark/>
          </w:tcPr>
          <w:p w14:paraId="662EAFD2"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MNH-42</w:t>
            </w:r>
          </w:p>
        </w:tc>
        <w:tc>
          <w:tcPr>
            <w:tcW w:w="536" w:type="pct"/>
            <w:noWrap/>
            <w:vAlign w:val="center"/>
            <w:hideMark/>
          </w:tcPr>
          <w:p w14:paraId="662EAFD3" w14:textId="77777777" w:rsidR="00D543B0" w:rsidRPr="00CE0D6D" w:rsidRDefault="00D543B0" w:rsidP="00624430">
            <w:pPr>
              <w:jc w:val="center"/>
              <w:rPr>
                <w:rFonts w:ascii="Arial" w:eastAsia="Times New Roman" w:hAnsi="Arial" w:cs="Arial"/>
                <w:color w:val="000000"/>
                <w:sz w:val="14"/>
                <w:szCs w:val="14"/>
              </w:rPr>
            </w:pPr>
            <w:r>
              <w:rPr>
                <w:rFonts w:ascii="Arial" w:eastAsia="Times New Roman" w:hAnsi="Arial" w:cs="Arial"/>
                <w:color w:val="000000"/>
                <w:sz w:val="14"/>
                <w:szCs w:val="14"/>
              </w:rPr>
              <w:t>235,</w:t>
            </w:r>
            <w:r w:rsidRPr="00CE0D6D">
              <w:rPr>
                <w:rFonts w:ascii="Arial" w:eastAsia="Times New Roman" w:hAnsi="Arial" w:cs="Arial"/>
                <w:color w:val="000000"/>
                <w:sz w:val="14"/>
                <w:szCs w:val="14"/>
              </w:rPr>
              <w:t>25</w:t>
            </w:r>
          </w:p>
        </w:tc>
        <w:tc>
          <w:tcPr>
            <w:tcW w:w="920" w:type="pct"/>
            <w:vMerge w:val="restart"/>
            <w:vAlign w:val="center"/>
            <w:hideMark/>
          </w:tcPr>
          <w:p w14:paraId="662EAFD4" w14:textId="77777777" w:rsidR="00D543B0" w:rsidRPr="00CE0D6D" w:rsidRDefault="00D543B0" w:rsidP="00624430">
            <w:pPr>
              <w:jc w:val="center"/>
              <w:rPr>
                <w:rFonts w:ascii="Arial" w:eastAsia="Times New Roman" w:hAnsi="Arial" w:cs="Arial"/>
                <w:color w:val="000000"/>
                <w:sz w:val="14"/>
                <w:szCs w:val="14"/>
                <w:lang w:val="es-ES_tradnl"/>
              </w:rPr>
            </w:pPr>
            <w:r w:rsidRPr="00CE0D6D">
              <w:rPr>
                <w:rFonts w:ascii="Arial" w:eastAsia="Times New Roman" w:hAnsi="Arial" w:cs="Arial"/>
                <w:color w:val="000000"/>
                <w:sz w:val="14"/>
                <w:szCs w:val="14"/>
                <w:lang w:val="es-ES_tradnl"/>
              </w:rPr>
              <w:t xml:space="preserve">Fortalecimiento de: </w:t>
            </w:r>
            <w:r w:rsidRPr="00CE0D6D">
              <w:rPr>
                <w:rFonts w:ascii="Arial" w:eastAsia="Times New Roman" w:hAnsi="Arial" w:cs="Arial"/>
                <w:color w:val="000000"/>
                <w:sz w:val="14"/>
                <w:szCs w:val="14"/>
                <w:lang w:val="es-ES_tradnl"/>
              </w:rPr>
              <w:br/>
              <w:t>PROCOSAN Vigilancia nutricional Embarazadas, puérperas, y recién nacidos</w:t>
            </w:r>
            <w:r w:rsidRPr="00CE0D6D">
              <w:rPr>
                <w:rFonts w:ascii="Arial" w:eastAsia="Times New Roman" w:hAnsi="Arial" w:cs="Arial"/>
                <w:color w:val="000000"/>
                <w:sz w:val="14"/>
                <w:szCs w:val="14"/>
                <w:lang w:val="es-ES_tradnl"/>
              </w:rPr>
              <w:br/>
              <w:t>PROCOSAN Vigilancia y Consejería nutricional: Menores de 2 años</w:t>
            </w:r>
            <w:r w:rsidRPr="00CE0D6D">
              <w:rPr>
                <w:rFonts w:ascii="Arial" w:eastAsia="Times New Roman" w:hAnsi="Arial" w:cs="Arial"/>
                <w:color w:val="000000"/>
                <w:sz w:val="14"/>
                <w:szCs w:val="14"/>
                <w:lang w:val="es-ES_tradnl"/>
              </w:rPr>
              <w:br/>
              <w:t>PROCOSAN Manejo Comunitario de Casos: Menores de 5 años</w:t>
            </w:r>
          </w:p>
        </w:tc>
        <w:tc>
          <w:tcPr>
            <w:tcW w:w="370" w:type="pct"/>
            <w:vAlign w:val="center"/>
            <w:hideMark/>
          </w:tcPr>
          <w:p w14:paraId="662EAFD5"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Cobertura (%)</w:t>
            </w:r>
          </w:p>
        </w:tc>
        <w:tc>
          <w:tcPr>
            <w:tcW w:w="421" w:type="pct"/>
            <w:vAlign w:val="center"/>
            <w:hideMark/>
          </w:tcPr>
          <w:p w14:paraId="662EAFD6"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20</w:t>
            </w:r>
          </w:p>
        </w:tc>
        <w:tc>
          <w:tcPr>
            <w:tcW w:w="421" w:type="pct"/>
            <w:vAlign w:val="center"/>
            <w:hideMark/>
          </w:tcPr>
          <w:p w14:paraId="662EAFD7"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25</w:t>
            </w:r>
          </w:p>
        </w:tc>
        <w:tc>
          <w:tcPr>
            <w:tcW w:w="421" w:type="pct"/>
            <w:vAlign w:val="center"/>
            <w:hideMark/>
          </w:tcPr>
          <w:p w14:paraId="662EAFD8"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30</w:t>
            </w:r>
          </w:p>
        </w:tc>
        <w:tc>
          <w:tcPr>
            <w:tcW w:w="421" w:type="pct"/>
            <w:vAlign w:val="center"/>
            <w:hideMark/>
          </w:tcPr>
          <w:p w14:paraId="662EAFD9"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35</w:t>
            </w:r>
          </w:p>
        </w:tc>
        <w:tc>
          <w:tcPr>
            <w:tcW w:w="402" w:type="pct"/>
            <w:vAlign w:val="center"/>
            <w:hideMark/>
          </w:tcPr>
          <w:p w14:paraId="662EAFDA"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40</w:t>
            </w:r>
          </w:p>
        </w:tc>
      </w:tr>
      <w:tr w:rsidR="00D543B0" w:rsidRPr="00CE0D6D" w14:paraId="662EAFE6" w14:textId="77777777" w:rsidTr="00624430">
        <w:trPr>
          <w:trHeight w:val="272"/>
        </w:trPr>
        <w:tc>
          <w:tcPr>
            <w:tcW w:w="778" w:type="pct"/>
            <w:vAlign w:val="center"/>
            <w:hideMark/>
          </w:tcPr>
          <w:p w14:paraId="662EAFDC" w14:textId="77777777" w:rsidR="00D543B0" w:rsidRPr="00CE0D6D" w:rsidRDefault="00D543B0" w:rsidP="00624430">
            <w:pPr>
              <w:rPr>
                <w:rFonts w:ascii="Arial" w:eastAsia="Times New Roman" w:hAnsi="Arial" w:cs="Arial"/>
                <w:color w:val="000000"/>
                <w:sz w:val="14"/>
                <w:szCs w:val="14"/>
              </w:rPr>
            </w:pPr>
            <w:r w:rsidRPr="00CE0D6D">
              <w:rPr>
                <w:rFonts w:ascii="Arial" w:eastAsia="Times New Roman" w:hAnsi="Arial" w:cs="Arial"/>
                <w:color w:val="000000"/>
                <w:sz w:val="14"/>
                <w:szCs w:val="14"/>
              </w:rPr>
              <w:t>Promoción de la lactancia</w:t>
            </w:r>
          </w:p>
        </w:tc>
        <w:tc>
          <w:tcPr>
            <w:tcW w:w="310" w:type="pct"/>
            <w:noWrap/>
            <w:vAlign w:val="center"/>
            <w:hideMark/>
          </w:tcPr>
          <w:p w14:paraId="662EAFDD"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MNH-2</w:t>
            </w:r>
          </w:p>
        </w:tc>
        <w:tc>
          <w:tcPr>
            <w:tcW w:w="536" w:type="pct"/>
            <w:noWrap/>
            <w:vAlign w:val="center"/>
            <w:hideMark/>
          </w:tcPr>
          <w:p w14:paraId="662EAFDE"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130</w:t>
            </w:r>
          </w:p>
        </w:tc>
        <w:tc>
          <w:tcPr>
            <w:tcW w:w="920" w:type="pct"/>
            <w:vMerge/>
            <w:vAlign w:val="center"/>
            <w:hideMark/>
          </w:tcPr>
          <w:p w14:paraId="662EAFDF" w14:textId="77777777" w:rsidR="00D543B0" w:rsidRPr="00CE0D6D" w:rsidRDefault="00D543B0" w:rsidP="00624430">
            <w:pPr>
              <w:rPr>
                <w:rFonts w:ascii="Arial" w:eastAsia="Times New Roman" w:hAnsi="Arial" w:cs="Arial"/>
                <w:color w:val="000000"/>
                <w:sz w:val="14"/>
                <w:szCs w:val="14"/>
              </w:rPr>
            </w:pPr>
          </w:p>
        </w:tc>
        <w:tc>
          <w:tcPr>
            <w:tcW w:w="370" w:type="pct"/>
            <w:vMerge w:val="restart"/>
            <w:vAlign w:val="center"/>
            <w:hideMark/>
          </w:tcPr>
          <w:p w14:paraId="662EAFE0" w14:textId="77777777" w:rsidR="00D543B0" w:rsidRPr="00CE0D6D" w:rsidRDefault="00D543B0" w:rsidP="00624430">
            <w:pPr>
              <w:jc w:val="center"/>
              <w:rPr>
                <w:rFonts w:ascii="Arial" w:eastAsia="Times New Roman" w:hAnsi="Arial" w:cs="Arial"/>
                <w:b/>
                <w:bCs/>
                <w:color w:val="000000"/>
                <w:sz w:val="14"/>
                <w:szCs w:val="14"/>
              </w:rPr>
            </w:pPr>
            <w:r w:rsidRPr="00CE0D6D">
              <w:rPr>
                <w:rFonts w:ascii="Arial" w:eastAsia="Times New Roman" w:hAnsi="Arial" w:cs="Arial"/>
                <w:b/>
                <w:bCs/>
                <w:color w:val="000000"/>
                <w:sz w:val="14"/>
                <w:szCs w:val="14"/>
              </w:rPr>
              <w:t>AVAD estimados</w:t>
            </w:r>
          </w:p>
        </w:tc>
        <w:tc>
          <w:tcPr>
            <w:tcW w:w="421" w:type="pct"/>
            <w:vMerge w:val="restart"/>
            <w:noWrap/>
            <w:vAlign w:val="bottom"/>
            <w:hideMark/>
          </w:tcPr>
          <w:p w14:paraId="662EAFE1"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 xml:space="preserve"> 12.523,</w:t>
            </w:r>
            <w:r w:rsidRPr="00CE0D6D">
              <w:rPr>
                <w:rFonts w:ascii="Arial" w:eastAsia="Times New Roman" w:hAnsi="Arial" w:cs="Arial"/>
                <w:color w:val="000000"/>
                <w:sz w:val="14"/>
                <w:szCs w:val="14"/>
              </w:rPr>
              <w:t xml:space="preserve">28 </w:t>
            </w:r>
          </w:p>
        </w:tc>
        <w:tc>
          <w:tcPr>
            <w:tcW w:w="421" w:type="pct"/>
            <w:vMerge w:val="restart"/>
            <w:noWrap/>
            <w:vAlign w:val="bottom"/>
            <w:hideMark/>
          </w:tcPr>
          <w:p w14:paraId="662EAFE2" w14:textId="77777777" w:rsidR="00D543B0" w:rsidRPr="00CE0D6D" w:rsidRDefault="00D543B0" w:rsidP="00624430">
            <w:pPr>
              <w:jc w:val="right"/>
              <w:rPr>
                <w:rFonts w:ascii="Arial" w:eastAsia="Times New Roman" w:hAnsi="Arial" w:cs="Arial"/>
                <w:color w:val="000000"/>
                <w:sz w:val="14"/>
                <w:szCs w:val="14"/>
              </w:rPr>
            </w:pPr>
            <w:r w:rsidRPr="00CE0D6D">
              <w:rPr>
                <w:rFonts w:ascii="Arial" w:eastAsia="Times New Roman" w:hAnsi="Arial" w:cs="Arial"/>
                <w:color w:val="000000"/>
                <w:sz w:val="14"/>
                <w:szCs w:val="14"/>
              </w:rPr>
              <w:t xml:space="preserve"> 15</w:t>
            </w:r>
            <w:r>
              <w:rPr>
                <w:rFonts w:ascii="Arial" w:eastAsia="Times New Roman" w:hAnsi="Arial" w:cs="Arial"/>
                <w:color w:val="000000"/>
                <w:sz w:val="14"/>
                <w:szCs w:val="14"/>
              </w:rPr>
              <w:t>.838,</w:t>
            </w:r>
            <w:r w:rsidRPr="00CE0D6D">
              <w:rPr>
                <w:rFonts w:ascii="Arial" w:eastAsia="Times New Roman" w:hAnsi="Arial" w:cs="Arial"/>
                <w:color w:val="000000"/>
                <w:sz w:val="14"/>
                <w:szCs w:val="14"/>
              </w:rPr>
              <w:t xml:space="preserve">82 </w:t>
            </w:r>
          </w:p>
        </w:tc>
        <w:tc>
          <w:tcPr>
            <w:tcW w:w="421" w:type="pct"/>
            <w:vMerge w:val="restart"/>
            <w:noWrap/>
            <w:vAlign w:val="bottom"/>
            <w:hideMark/>
          </w:tcPr>
          <w:p w14:paraId="662EAFE3"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 xml:space="preserve"> 19.230,</w:t>
            </w:r>
            <w:r w:rsidRPr="00CE0D6D">
              <w:rPr>
                <w:rFonts w:ascii="Arial" w:eastAsia="Times New Roman" w:hAnsi="Arial" w:cs="Arial"/>
                <w:color w:val="000000"/>
                <w:sz w:val="14"/>
                <w:szCs w:val="14"/>
              </w:rPr>
              <w:t xml:space="preserve">86 </w:t>
            </w:r>
          </w:p>
        </w:tc>
        <w:tc>
          <w:tcPr>
            <w:tcW w:w="421" w:type="pct"/>
            <w:vMerge w:val="restart"/>
            <w:noWrap/>
            <w:vAlign w:val="bottom"/>
            <w:hideMark/>
          </w:tcPr>
          <w:p w14:paraId="662EAFE4"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 xml:space="preserve"> 22.700,</w:t>
            </w:r>
            <w:r w:rsidRPr="00CE0D6D">
              <w:rPr>
                <w:rFonts w:ascii="Arial" w:eastAsia="Times New Roman" w:hAnsi="Arial" w:cs="Arial"/>
                <w:color w:val="000000"/>
                <w:sz w:val="14"/>
                <w:szCs w:val="14"/>
              </w:rPr>
              <w:t xml:space="preserve">75 </w:t>
            </w:r>
          </w:p>
        </w:tc>
        <w:tc>
          <w:tcPr>
            <w:tcW w:w="402" w:type="pct"/>
            <w:vMerge w:val="restart"/>
            <w:noWrap/>
            <w:vAlign w:val="bottom"/>
            <w:hideMark/>
          </w:tcPr>
          <w:p w14:paraId="662EAFE5"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 xml:space="preserve"> 26.249,</w:t>
            </w:r>
            <w:r w:rsidRPr="00CE0D6D">
              <w:rPr>
                <w:rFonts w:ascii="Arial" w:eastAsia="Times New Roman" w:hAnsi="Arial" w:cs="Arial"/>
                <w:color w:val="000000"/>
                <w:sz w:val="14"/>
                <w:szCs w:val="14"/>
              </w:rPr>
              <w:t xml:space="preserve">85 </w:t>
            </w:r>
          </w:p>
        </w:tc>
      </w:tr>
      <w:tr w:rsidR="00D543B0" w:rsidRPr="00CE0D6D" w14:paraId="662EAFF1" w14:textId="77777777" w:rsidTr="00624430">
        <w:trPr>
          <w:trHeight w:val="43"/>
        </w:trPr>
        <w:tc>
          <w:tcPr>
            <w:tcW w:w="778" w:type="pct"/>
            <w:vAlign w:val="center"/>
          </w:tcPr>
          <w:p w14:paraId="662EAFE7" w14:textId="77777777" w:rsidR="00D543B0" w:rsidRPr="00CE0D6D" w:rsidRDefault="00D543B0" w:rsidP="00624430">
            <w:pPr>
              <w:rPr>
                <w:rFonts w:ascii="Arial" w:eastAsia="Times New Roman" w:hAnsi="Arial" w:cs="Arial"/>
                <w:color w:val="000000"/>
                <w:sz w:val="14"/>
                <w:szCs w:val="14"/>
                <w:lang w:val="es-ES_tradnl"/>
              </w:rPr>
            </w:pPr>
            <w:r w:rsidRPr="00CE0D6D">
              <w:rPr>
                <w:rFonts w:ascii="Arial" w:eastAsia="Times New Roman" w:hAnsi="Arial" w:cs="Arial"/>
                <w:color w:val="000000"/>
                <w:sz w:val="14"/>
                <w:szCs w:val="14"/>
                <w:lang w:val="es-ES_tradnl"/>
              </w:rPr>
              <w:t>Vitamina A, Zinc, Rehidratación Oral, Atención a Enfermedades Prevalentes de la Infancia, y Vigilancia y Consejería Nutricional</w:t>
            </w:r>
          </w:p>
        </w:tc>
        <w:tc>
          <w:tcPr>
            <w:tcW w:w="310" w:type="pct"/>
            <w:noWrap/>
            <w:vAlign w:val="center"/>
          </w:tcPr>
          <w:p w14:paraId="662EAFE8"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UFV-71</w:t>
            </w:r>
          </w:p>
        </w:tc>
        <w:tc>
          <w:tcPr>
            <w:tcW w:w="536" w:type="pct"/>
            <w:noWrap/>
            <w:vAlign w:val="center"/>
          </w:tcPr>
          <w:p w14:paraId="662EAFE9"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111</w:t>
            </w:r>
            <w:r>
              <w:rPr>
                <w:rFonts w:ascii="Arial" w:eastAsia="Times New Roman" w:hAnsi="Arial" w:cs="Arial"/>
                <w:color w:val="000000"/>
                <w:sz w:val="14"/>
                <w:szCs w:val="14"/>
              </w:rPr>
              <w:t>,</w:t>
            </w:r>
            <w:r w:rsidRPr="00CE0D6D">
              <w:rPr>
                <w:rFonts w:ascii="Arial" w:eastAsia="Times New Roman" w:hAnsi="Arial" w:cs="Arial"/>
                <w:color w:val="000000"/>
                <w:sz w:val="14"/>
                <w:szCs w:val="14"/>
              </w:rPr>
              <w:t>47</w:t>
            </w:r>
          </w:p>
        </w:tc>
        <w:tc>
          <w:tcPr>
            <w:tcW w:w="920" w:type="pct"/>
            <w:vMerge/>
            <w:vAlign w:val="center"/>
          </w:tcPr>
          <w:p w14:paraId="662EAFEA" w14:textId="77777777" w:rsidR="00D543B0" w:rsidRPr="00CE0D6D" w:rsidRDefault="00D543B0" w:rsidP="00624430">
            <w:pPr>
              <w:rPr>
                <w:rFonts w:ascii="Arial" w:eastAsia="Times New Roman" w:hAnsi="Arial" w:cs="Arial"/>
                <w:color w:val="000000"/>
                <w:sz w:val="14"/>
                <w:szCs w:val="14"/>
              </w:rPr>
            </w:pPr>
          </w:p>
        </w:tc>
        <w:tc>
          <w:tcPr>
            <w:tcW w:w="370" w:type="pct"/>
            <w:vMerge/>
            <w:vAlign w:val="center"/>
          </w:tcPr>
          <w:p w14:paraId="662EAFEB" w14:textId="77777777" w:rsidR="00D543B0" w:rsidRPr="00CE0D6D" w:rsidRDefault="00D543B0" w:rsidP="00624430">
            <w:pPr>
              <w:jc w:val="center"/>
              <w:rPr>
                <w:rFonts w:ascii="Arial" w:eastAsia="Times New Roman" w:hAnsi="Arial" w:cs="Arial"/>
                <w:b/>
                <w:bCs/>
                <w:color w:val="000000"/>
                <w:sz w:val="14"/>
                <w:szCs w:val="14"/>
              </w:rPr>
            </w:pPr>
          </w:p>
        </w:tc>
        <w:tc>
          <w:tcPr>
            <w:tcW w:w="421" w:type="pct"/>
            <w:vMerge/>
            <w:noWrap/>
            <w:vAlign w:val="bottom"/>
          </w:tcPr>
          <w:p w14:paraId="662EAFEC" w14:textId="77777777" w:rsidR="00D543B0" w:rsidRPr="00CE0D6D" w:rsidRDefault="00D543B0" w:rsidP="00624430">
            <w:pPr>
              <w:jc w:val="right"/>
              <w:rPr>
                <w:rFonts w:ascii="Arial" w:eastAsia="Times New Roman" w:hAnsi="Arial" w:cs="Arial"/>
                <w:color w:val="000000"/>
                <w:sz w:val="14"/>
                <w:szCs w:val="14"/>
              </w:rPr>
            </w:pPr>
          </w:p>
        </w:tc>
        <w:tc>
          <w:tcPr>
            <w:tcW w:w="421" w:type="pct"/>
            <w:vMerge/>
            <w:noWrap/>
            <w:vAlign w:val="bottom"/>
          </w:tcPr>
          <w:p w14:paraId="662EAFED" w14:textId="77777777" w:rsidR="00D543B0" w:rsidRPr="00CE0D6D" w:rsidRDefault="00D543B0" w:rsidP="00624430">
            <w:pPr>
              <w:jc w:val="right"/>
              <w:rPr>
                <w:rFonts w:ascii="Arial" w:eastAsia="Times New Roman" w:hAnsi="Arial" w:cs="Arial"/>
                <w:color w:val="000000"/>
                <w:sz w:val="14"/>
                <w:szCs w:val="14"/>
              </w:rPr>
            </w:pPr>
          </w:p>
        </w:tc>
        <w:tc>
          <w:tcPr>
            <w:tcW w:w="421" w:type="pct"/>
            <w:vMerge/>
            <w:noWrap/>
            <w:vAlign w:val="bottom"/>
          </w:tcPr>
          <w:p w14:paraId="662EAFEE" w14:textId="77777777" w:rsidR="00D543B0" w:rsidRPr="00CE0D6D" w:rsidRDefault="00D543B0" w:rsidP="00624430">
            <w:pPr>
              <w:jc w:val="right"/>
              <w:rPr>
                <w:rFonts w:ascii="Arial" w:eastAsia="Times New Roman" w:hAnsi="Arial" w:cs="Arial"/>
                <w:color w:val="000000"/>
                <w:sz w:val="14"/>
                <w:szCs w:val="14"/>
              </w:rPr>
            </w:pPr>
          </w:p>
        </w:tc>
        <w:tc>
          <w:tcPr>
            <w:tcW w:w="421" w:type="pct"/>
            <w:vMerge/>
            <w:noWrap/>
            <w:vAlign w:val="bottom"/>
          </w:tcPr>
          <w:p w14:paraId="662EAFEF" w14:textId="77777777" w:rsidR="00D543B0" w:rsidRPr="00CE0D6D" w:rsidRDefault="00D543B0" w:rsidP="00624430">
            <w:pPr>
              <w:jc w:val="right"/>
              <w:rPr>
                <w:rFonts w:ascii="Arial" w:eastAsia="Times New Roman" w:hAnsi="Arial" w:cs="Arial"/>
                <w:color w:val="000000"/>
                <w:sz w:val="14"/>
                <w:szCs w:val="14"/>
              </w:rPr>
            </w:pPr>
          </w:p>
        </w:tc>
        <w:tc>
          <w:tcPr>
            <w:tcW w:w="402" w:type="pct"/>
            <w:vMerge/>
            <w:noWrap/>
            <w:vAlign w:val="bottom"/>
          </w:tcPr>
          <w:p w14:paraId="662EAFF0" w14:textId="77777777" w:rsidR="00D543B0" w:rsidRPr="00CE0D6D" w:rsidRDefault="00D543B0" w:rsidP="00624430">
            <w:pPr>
              <w:jc w:val="right"/>
              <w:rPr>
                <w:rFonts w:ascii="Arial" w:eastAsia="Times New Roman" w:hAnsi="Arial" w:cs="Arial"/>
                <w:color w:val="000000"/>
                <w:sz w:val="14"/>
                <w:szCs w:val="14"/>
              </w:rPr>
            </w:pPr>
          </w:p>
        </w:tc>
      </w:tr>
      <w:tr w:rsidR="00D543B0" w:rsidRPr="00CE0D6D" w14:paraId="662EAFFC" w14:textId="77777777" w:rsidTr="00624430">
        <w:trPr>
          <w:trHeight w:val="722"/>
        </w:trPr>
        <w:tc>
          <w:tcPr>
            <w:tcW w:w="778" w:type="pct"/>
            <w:vAlign w:val="bottom"/>
            <w:hideMark/>
          </w:tcPr>
          <w:p w14:paraId="662EAFF2" w14:textId="77777777" w:rsidR="00D543B0" w:rsidRPr="00CE0D6D" w:rsidRDefault="00D543B0" w:rsidP="00624430">
            <w:pPr>
              <w:rPr>
                <w:rFonts w:ascii="Arial" w:eastAsia="Times New Roman" w:hAnsi="Arial" w:cs="Arial"/>
                <w:color w:val="000000"/>
                <w:sz w:val="14"/>
                <w:szCs w:val="14"/>
                <w:lang w:val="es-ES_tradnl"/>
              </w:rPr>
            </w:pPr>
            <w:r w:rsidRPr="00CE0D6D">
              <w:rPr>
                <w:rFonts w:ascii="Arial" w:eastAsia="Times New Roman" w:hAnsi="Arial" w:cs="Arial"/>
                <w:color w:val="000000"/>
                <w:sz w:val="14"/>
                <w:szCs w:val="14"/>
                <w:lang w:val="es-ES_tradnl"/>
              </w:rPr>
              <w:t xml:space="preserve">Atención comunitaria del recién nacido, atención prenatal, tratamiento de preeclampsia several, manejo de OL,  referencia, manejo comunitario de neumonía, sepsis materna, ENC, y antibióticos por ruptura prematura de membranas.  </w:t>
            </w:r>
          </w:p>
        </w:tc>
        <w:tc>
          <w:tcPr>
            <w:tcW w:w="310" w:type="pct"/>
            <w:noWrap/>
            <w:vAlign w:val="center"/>
            <w:hideMark/>
          </w:tcPr>
          <w:p w14:paraId="662EAFF3"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MNH91</w:t>
            </w:r>
          </w:p>
        </w:tc>
        <w:tc>
          <w:tcPr>
            <w:tcW w:w="536" w:type="pct"/>
            <w:noWrap/>
            <w:vAlign w:val="center"/>
            <w:hideMark/>
          </w:tcPr>
          <w:p w14:paraId="662EAFF4" w14:textId="77777777" w:rsidR="00D543B0" w:rsidRPr="00CE0D6D" w:rsidRDefault="00D543B0" w:rsidP="00624430">
            <w:pPr>
              <w:jc w:val="center"/>
              <w:rPr>
                <w:rFonts w:ascii="Arial" w:eastAsia="Times New Roman" w:hAnsi="Arial" w:cs="Arial"/>
                <w:color w:val="000000"/>
                <w:sz w:val="14"/>
                <w:szCs w:val="14"/>
              </w:rPr>
            </w:pPr>
            <w:r>
              <w:rPr>
                <w:rFonts w:ascii="Arial" w:eastAsia="Times New Roman" w:hAnsi="Arial" w:cs="Arial"/>
                <w:color w:val="000000"/>
                <w:sz w:val="14"/>
                <w:szCs w:val="14"/>
              </w:rPr>
              <w:t>1423,</w:t>
            </w:r>
            <w:r w:rsidRPr="00CE0D6D">
              <w:rPr>
                <w:rFonts w:ascii="Arial" w:eastAsia="Times New Roman" w:hAnsi="Arial" w:cs="Arial"/>
                <w:color w:val="000000"/>
                <w:sz w:val="14"/>
                <w:szCs w:val="14"/>
              </w:rPr>
              <w:t>70</w:t>
            </w:r>
          </w:p>
        </w:tc>
        <w:tc>
          <w:tcPr>
            <w:tcW w:w="920" w:type="pct"/>
            <w:vAlign w:val="center"/>
            <w:hideMark/>
          </w:tcPr>
          <w:p w14:paraId="662EAFF5" w14:textId="77777777" w:rsidR="00D543B0" w:rsidRPr="00CE0D6D" w:rsidRDefault="00D543B0" w:rsidP="00624430">
            <w:pPr>
              <w:rPr>
                <w:rFonts w:ascii="Arial" w:eastAsia="Times New Roman" w:hAnsi="Arial" w:cs="Arial"/>
                <w:color w:val="000000"/>
                <w:sz w:val="14"/>
                <w:szCs w:val="14"/>
                <w:lang w:val="es-ES_tradnl"/>
              </w:rPr>
            </w:pPr>
            <w:r w:rsidRPr="00CE0D6D">
              <w:rPr>
                <w:rFonts w:ascii="Arial" w:eastAsia="Times New Roman" w:hAnsi="Arial" w:cs="Arial"/>
                <w:color w:val="000000"/>
                <w:sz w:val="14"/>
                <w:szCs w:val="14"/>
                <w:lang w:val="es-ES_tradnl"/>
              </w:rPr>
              <w:t xml:space="preserve">Fortalecimiento de: </w:t>
            </w:r>
            <w:r w:rsidRPr="00CE0D6D">
              <w:rPr>
                <w:rFonts w:ascii="Arial" w:eastAsia="Times New Roman" w:hAnsi="Arial" w:cs="Arial"/>
                <w:color w:val="000000"/>
                <w:sz w:val="14"/>
                <w:szCs w:val="14"/>
                <w:lang w:val="es-ES_tradnl"/>
              </w:rPr>
              <w:br/>
              <w:t>Maternidad Segura (mujeres que reciben atención prenatal y atención de parto institucional, incluyendo complicaciones)</w:t>
            </w:r>
          </w:p>
        </w:tc>
        <w:tc>
          <w:tcPr>
            <w:tcW w:w="370" w:type="pct"/>
            <w:vAlign w:val="center"/>
            <w:hideMark/>
          </w:tcPr>
          <w:p w14:paraId="662EAFF6"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Cobertura (%)</w:t>
            </w:r>
          </w:p>
        </w:tc>
        <w:tc>
          <w:tcPr>
            <w:tcW w:w="421" w:type="pct"/>
            <w:vAlign w:val="center"/>
            <w:hideMark/>
          </w:tcPr>
          <w:p w14:paraId="662EAFF7"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67</w:t>
            </w:r>
          </w:p>
        </w:tc>
        <w:tc>
          <w:tcPr>
            <w:tcW w:w="421" w:type="pct"/>
            <w:vAlign w:val="center"/>
            <w:hideMark/>
          </w:tcPr>
          <w:p w14:paraId="662EAFF8"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72</w:t>
            </w:r>
          </w:p>
        </w:tc>
        <w:tc>
          <w:tcPr>
            <w:tcW w:w="421" w:type="pct"/>
            <w:vAlign w:val="center"/>
            <w:hideMark/>
          </w:tcPr>
          <w:p w14:paraId="662EAFF9"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75</w:t>
            </w:r>
          </w:p>
        </w:tc>
        <w:tc>
          <w:tcPr>
            <w:tcW w:w="421" w:type="pct"/>
            <w:vAlign w:val="center"/>
            <w:hideMark/>
          </w:tcPr>
          <w:p w14:paraId="662EAFFA"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78</w:t>
            </w:r>
          </w:p>
        </w:tc>
        <w:tc>
          <w:tcPr>
            <w:tcW w:w="402" w:type="pct"/>
            <w:vAlign w:val="center"/>
            <w:hideMark/>
          </w:tcPr>
          <w:p w14:paraId="662EAFFB"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81</w:t>
            </w:r>
          </w:p>
        </w:tc>
      </w:tr>
      <w:tr w:rsidR="00D543B0" w:rsidRPr="00CE0D6D" w14:paraId="662EB007" w14:textId="77777777" w:rsidTr="00624430">
        <w:trPr>
          <w:trHeight w:val="43"/>
        </w:trPr>
        <w:tc>
          <w:tcPr>
            <w:tcW w:w="778" w:type="pct"/>
            <w:vAlign w:val="center"/>
            <w:hideMark/>
          </w:tcPr>
          <w:p w14:paraId="662EAFFD" w14:textId="77777777" w:rsidR="00D543B0" w:rsidRPr="00CE0D6D" w:rsidRDefault="00D543B0" w:rsidP="00624430">
            <w:pPr>
              <w:rPr>
                <w:rFonts w:ascii="Arial" w:eastAsia="Times New Roman" w:hAnsi="Arial" w:cs="Arial"/>
                <w:color w:val="000000"/>
                <w:sz w:val="14"/>
                <w:szCs w:val="14"/>
                <w:lang w:val="es-ES_tradnl"/>
              </w:rPr>
            </w:pPr>
            <w:r w:rsidRPr="00CE0D6D">
              <w:rPr>
                <w:rFonts w:ascii="Arial" w:eastAsia="Times New Roman" w:hAnsi="Arial" w:cs="Arial"/>
                <w:color w:val="000000"/>
                <w:sz w:val="14"/>
                <w:szCs w:val="14"/>
                <w:lang w:val="es-ES_tradnl"/>
              </w:rPr>
              <w:t>Vitamina A, Zinc, Rehidratación Oral, Atención a Enfermedades Prevalentes de la Infancia, y Vigilancia y Consejería Nutricional</w:t>
            </w:r>
          </w:p>
        </w:tc>
        <w:tc>
          <w:tcPr>
            <w:tcW w:w="310" w:type="pct"/>
            <w:noWrap/>
            <w:vAlign w:val="center"/>
            <w:hideMark/>
          </w:tcPr>
          <w:p w14:paraId="662EAFFE" w14:textId="77777777" w:rsidR="00D543B0" w:rsidRPr="00CE0D6D" w:rsidRDefault="00D543B0" w:rsidP="00624430">
            <w:pPr>
              <w:jc w:val="center"/>
              <w:rPr>
                <w:rFonts w:ascii="Arial" w:eastAsia="Times New Roman" w:hAnsi="Arial" w:cs="Arial"/>
                <w:color w:val="000000"/>
                <w:sz w:val="14"/>
                <w:szCs w:val="14"/>
              </w:rPr>
            </w:pPr>
            <w:r w:rsidRPr="00CE0D6D">
              <w:rPr>
                <w:rFonts w:ascii="Arial" w:eastAsia="Times New Roman" w:hAnsi="Arial" w:cs="Arial"/>
                <w:color w:val="000000"/>
                <w:sz w:val="14"/>
                <w:szCs w:val="14"/>
              </w:rPr>
              <w:t>UFV-71</w:t>
            </w:r>
          </w:p>
        </w:tc>
        <w:tc>
          <w:tcPr>
            <w:tcW w:w="536" w:type="pct"/>
            <w:noWrap/>
            <w:vAlign w:val="center"/>
            <w:hideMark/>
          </w:tcPr>
          <w:p w14:paraId="662EAFFF" w14:textId="77777777" w:rsidR="00D543B0" w:rsidRPr="00CE0D6D" w:rsidRDefault="00D543B0" w:rsidP="00624430">
            <w:pPr>
              <w:jc w:val="center"/>
              <w:rPr>
                <w:rFonts w:ascii="Arial" w:eastAsia="Times New Roman" w:hAnsi="Arial" w:cs="Arial"/>
                <w:color w:val="000000"/>
                <w:sz w:val="14"/>
                <w:szCs w:val="14"/>
              </w:rPr>
            </w:pPr>
            <w:r>
              <w:rPr>
                <w:rFonts w:ascii="Arial" w:eastAsia="Times New Roman" w:hAnsi="Arial" w:cs="Arial"/>
                <w:color w:val="000000"/>
                <w:sz w:val="14"/>
                <w:szCs w:val="14"/>
              </w:rPr>
              <w:t>111,</w:t>
            </w:r>
            <w:r w:rsidRPr="00CE0D6D">
              <w:rPr>
                <w:rFonts w:ascii="Arial" w:eastAsia="Times New Roman" w:hAnsi="Arial" w:cs="Arial"/>
                <w:color w:val="000000"/>
                <w:sz w:val="14"/>
                <w:szCs w:val="14"/>
              </w:rPr>
              <w:t>47</w:t>
            </w:r>
          </w:p>
        </w:tc>
        <w:tc>
          <w:tcPr>
            <w:tcW w:w="920" w:type="pct"/>
            <w:vAlign w:val="center"/>
            <w:hideMark/>
          </w:tcPr>
          <w:p w14:paraId="662EB000" w14:textId="77777777" w:rsidR="00D543B0" w:rsidRPr="00CE0D6D" w:rsidRDefault="00D543B0" w:rsidP="00624430">
            <w:pPr>
              <w:rPr>
                <w:rFonts w:ascii="Arial" w:eastAsia="Times New Roman" w:hAnsi="Arial" w:cs="Arial"/>
                <w:color w:val="000000"/>
                <w:sz w:val="14"/>
                <w:szCs w:val="14"/>
                <w:lang w:val="es-ES_tradnl"/>
              </w:rPr>
            </w:pPr>
            <w:r w:rsidRPr="00CE0D6D">
              <w:rPr>
                <w:rFonts w:ascii="Arial" w:eastAsia="Times New Roman" w:hAnsi="Arial" w:cs="Arial"/>
                <w:color w:val="000000"/>
                <w:sz w:val="14"/>
                <w:szCs w:val="14"/>
                <w:lang w:val="es-ES_tradnl"/>
              </w:rPr>
              <w:t>Fortalecimiento de:</w:t>
            </w:r>
            <w:r w:rsidRPr="00CE0D6D">
              <w:rPr>
                <w:rFonts w:ascii="Arial" w:eastAsia="Times New Roman" w:hAnsi="Arial" w:cs="Arial"/>
                <w:color w:val="000000"/>
                <w:sz w:val="14"/>
                <w:szCs w:val="14"/>
                <w:lang w:val="es-ES_tradnl"/>
              </w:rPr>
              <w:br/>
              <w:t>Promoción y Atención a la niñez (menores de 5 años)</w:t>
            </w:r>
          </w:p>
        </w:tc>
        <w:tc>
          <w:tcPr>
            <w:tcW w:w="370" w:type="pct"/>
            <w:vAlign w:val="center"/>
            <w:hideMark/>
          </w:tcPr>
          <w:p w14:paraId="662EB001" w14:textId="77777777" w:rsidR="00D543B0" w:rsidRPr="00CE0D6D" w:rsidRDefault="00D543B0" w:rsidP="00624430">
            <w:pPr>
              <w:jc w:val="center"/>
              <w:rPr>
                <w:rFonts w:ascii="Arial" w:eastAsia="Times New Roman" w:hAnsi="Arial" w:cs="Arial"/>
                <w:b/>
                <w:bCs/>
                <w:color w:val="000000"/>
                <w:sz w:val="14"/>
                <w:szCs w:val="14"/>
              </w:rPr>
            </w:pPr>
            <w:r w:rsidRPr="00CE0D6D">
              <w:rPr>
                <w:rFonts w:ascii="Arial" w:eastAsia="Times New Roman" w:hAnsi="Arial" w:cs="Arial"/>
                <w:b/>
                <w:bCs/>
                <w:color w:val="000000"/>
                <w:sz w:val="14"/>
                <w:szCs w:val="14"/>
              </w:rPr>
              <w:t>AVAD estimados</w:t>
            </w:r>
          </w:p>
        </w:tc>
        <w:tc>
          <w:tcPr>
            <w:tcW w:w="421" w:type="pct"/>
            <w:noWrap/>
            <w:vAlign w:val="bottom"/>
            <w:hideMark/>
          </w:tcPr>
          <w:p w14:paraId="662EB002"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 xml:space="preserve"> 135.100,</w:t>
            </w:r>
            <w:r w:rsidRPr="00CE0D6D">
              <w:rPr>
                <w:rFonts w:ascii="Arial" w:eastAsia="Times New Roman" w:hAnsi="Arial" w:cs="Arial"/>
                <w:color w:val="000000"/>
                <w:sz w:val="14"/>
                <w:szCs w:val="14"/>
              </w:rPr>
              <w:t xml:space="preserve">9 </w:t>
            </w:r>
          </w:p>
        </w:tc>
        <w:tc>
          <w:tcPr>
            <w:tcW w:w="421" w:type="pct"/>
            <w:noWrap/>
            <w:vAlign w:val="bottom"/>
            <w:hideMark/>
          </w:tcPr>
          <w:p w14:paraId="662EB003"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 xml:space="preserve"> 146.896,</w:t>
            </w:r>
            <w:r w:rsidRPr="00CE0D6D">
              <w:rPr>
                <w:rFonts w:ascii="Arial" w:eastAsia="Times New Roman" w:hAnsi="Arial" w:cs="Arial"/>
                <w:color w:val="000000"/>
                <w:sz w:val="14"/>
                <w:szCs w:val="14"/>
              </w:rPr>
              <w:t xml:space="preserve">2 </w:t>
            </w:r>
          </w:p>
        </w:tc>
        <w:tc>
          <w:tcPr>
            <w:tcW w:w="421" w:type="pct"/>
            <w:noWrap/>
            <w:vAlign w:val="bottom"/>
            <w:hideMark/>
          </w:tcPr>
          <w:p w14:paraId="662EB004"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 xml:space="preserve"> 154.822,</w:t>
            </w:r>
            <w:r w:rsidRPr="00CE0D6D">
              <w:rPr>
                <w:rFonts w:ascii="Arial" w:eastAsia="Times New Roman" w:hAnsi="Arial" w:cs="Arial"/>
                <w:color w:val="000000"/>
                <w:sz w:val="14"/>
                <w:szCs w:val="14"/>
              </w:rPr>
              <w:t xml:space="preserve">5 </w:t>
            </w:r>
          </w:p>
        </w:tc>
        <w:tc>
          <w:tcPr>
            <w:tcW w:w="421" w:type="pct"/>
            <w:noWrap/>
            <w:vAlign w:val="bottom"/>
            <w:hideMark/>
          </w:tcPr>
          <w:p w14:paraId="662EB005"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 xml:space="preserve"> 162.915,</w:t>
            </w:r>
            <w:r w:rsidRPr="00CE0D6D">
              <w:rPr>
                <w:rFonts w:ascii="Arial" w:eastAsia="Times New Roman" w:hAnsi="Arial" w:cs="Arial"/>
                <w:color w:val="000000"/>
                <w:sz w:val="14"/>
                <w:szCs w:val="14"/>
              </w:rPr>
              <w:t xml:space="preserve">4 </w:t>
            </w:r>
          </w:p>
        </w:tc>
        <w:tc>
          <w:tcPr>
            <w:tcW w:w="402" w:type="pct"/>
            <w:noWrap/>
            <w:vAlign w:val="bottom"/>
            <w:hideMark/>
          </w:tcPr>
          <w:p w14:paraId="662EB006"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 xml:space="preserve"> 171.177,</w:t>
            </w:r>
            <w:r w:rsidRPr="00CE0D6D">
              <w:rPr>
                <w:rFonts w:ascii="Arial" w:eastAsia="Times New Roman" w:hAnsi="Arial" w:cs="Arial"/>
                <w:color w:val="000000"/>
                <w:sz w:val="14"/>
                <w:szCs w:val="14"/>
              </w:rPr>
              <w:t xml:space="preserve">7 </w:t>
            </w:r>
          </w:p>
        </w:tc>
      </w:tr>
      <w:tr w:rsidR="00D543B0" w:rsidRPr="00CE0D6D" w14:paraId="662EB00E" w14:textId="77777777" w:rsidTr="00624430">
        <w:trPr>
          <w:trHeight w:val="43"/>
        </w:trPr>
        <w:tc>
          <w:tcPr>
            <w:tcW w:w="2913" w:type="pct"/>
            <w:gridSpan w:val="5"/>
            <w:noWrap/>
            <w:vAlign w:val="bottom"/>
          </w:tcPr>
          <w:p w14:paraId="662EB008" w14:textId="77777777" w:rsidR="00D543B0" w:rsidRPr="00CE0D6D" w:rsidRDefault="00D543B0" w:rsidP="00624430">
            <w:pPr>
              <w:jc w:val="right"/>
              <w:rPr>
                <w:rFonts w:ascii="Arial" w:eastAsia="Times New Roman" w:hAnsi="Arial" w:cs="Arial"/>
                <w:b/>
                <w:bCs/>
                <w:color w:val="000000"/>
                <w:sz w:val="14"/>
                <w:szCs w:val="14"/>
              </w:rPr>
            </w:pPr>
            <w:r w:rsidRPr="00CE0D6D">
              <w:rPr>
                <w:rFonts w:ascii="Arial" w:eastAsia="Times New Roman" w:hAnsi="Arial" w:cs="Arial"/>
                <w:b/>
                <w:bCs/>
                <w:color w:val="000000"/>
                <w:sz w:val="14"/>
                <w:szCs w:val="14"/>
              </w:rPr>
              <w:t>TOTAL AVAD Estimados</w:t>
            </w:r>
          </w:p>
        </w:tc>
        <w:tc>
          <w:tcPr>
            <w:tcW w:w="421" w:type="pct"/>
            <w:noWrap/>
            <w:vAlign w:val="bottom"/>
          </w:tcPr>
          <w:p w14:paraId="662EB009"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 xml:space="preserve"> 166.166,</w:t>
            </w:r>
            <w:r w:rsidRPr="00CE0D6D">
              <w:rPr>
                <w:rFonts w:ascii="Arial" w:eastAsia="Times New Roman" w:hAnsi="Arial" w:cs="Arial"/>
                <w:color w:val="000000"/>
                <w:sz w:val="14"/>
                <w:szCs w:val="14"/>
              </w:rPr>
              <w:t xml:space="preserve">80 </w:t>
            </w:r>
          </w:p>
        </w:tc>
        <w:tc>
          <w:tcPr>
            <w:tcW w:w="421" w:type="pct"/>
            <w:noWrap/>
            <w:vAlign w:val="bottom"/>
          </w:tcPr>
          <w:p w14:paraId="662EB00A"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 xml:space="preserve"> 182.278,</w:t>
            </w:r>
            <w:r w:rsidRPr="00CE0D6D">
              <w:rPr>
                <w:rFonts w:ascii="Arial" w:eastAsia="Times New Roman" w:hAnsi="Arial" w:cs="Arial"/>
                <w:color w:val="000000"/>
                <w:sz w:val="14"/>
                <w:szCs w:val="14"/>
              </w:rPr>
              <w:t xml:space="preserve">19 </w:t>
            </w:r>
          </w:p>
        </w:tc>
        <w:tc>
          <w:tcPr>
            <w:tcW w:w="421" w:type="pct"/>
            <w:noWrap/>
            <w:vAlign w:val="bottom"/>
          </w:tcPr>
          <w:p w14:paraId="662EB00B"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 xml:space="preserve"> 194.618,</w:t>
            </w:r>
            <w:r w:rsidRPr="00CE0D6D">
              <w:rPr>
                <w:rFonts w:ascii="Arial" w:eastAsia="Times New Roman" w:hAnsi="Arial" w:cs="Arial"/>
                <w:color w:val="000000"/>
                <w:sz w:val="14"/>
                <w:szCs w:val="14"/>
              </w:rPr>
              <w:t xml:space="preserve">06 </w:t>
            </w:r>
          </w:p>
        </w:tc>
        <w:tc>
          <w:tcPr>
            <w:tcW w:w="421" w:type="pct"/>
            <w:noWrap/>
            <w:vAlign w:val="bottom"/>
          </w:tcPr>
          <w:p w14:paraId="662EB00C"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 xml:space="preserve"> 207.223,</w:t>
            </w:r>
            <w:r w:rsidRPr="00CE0D6D">
              <w:rPr>
                <w:rFonts w:ascii="Arial" w:eastAsia="Times New Roman" w:hAnsi="Arial" w:cs="Arial"/>
                <w:color w:val="000000"/>
                <w:sz w:val="14"/>
                <w:szCs w:val="14"/>
              </w:rPr>
              <w:t xml:space="preserve">78 </w:t>
            </w:r>
          </w:p>
        </w:tc>
        <w:tc>
          <w:tcPr>
            <w:tcW w:w="402" w:type="pct"/>
            <w:noWrap/>
            <w:vAlign w:val="bottom"/>
          </w:tcPr>
          <w:p w14:paraId="662EB00D" w14:textId="77777777" w:rsidR="00D543B0" w:rsidRPr="00CE0D6D" w:rsidRDefault="00D543B0" w:rsidP="00624430">
            <w:pPr>
              <w:jc w:val="right"/>
              <w:rPr>
                <w:rFonts w:ascii="Arial" w:eastAsia="Times New Roman" w:hAnsi="Arial" w:cs="Arial"/>
                <w:color w:val="000000"/>
                <w:sz w:val="14"/>
                <w:szCs w:val="14"/>
              </w:rPr>
            </w:pPr>
            <w:r>
              <w:rPr>
                <w:rFonts w:ascii="Arial" w:eastAsia="Times New Roman" w:hAnsi="Arial" w:cs="Arial"/>
                <w:color w:val="000000"/>
                <w:sz w:val="14"/>
                <w:szCs w:val="14"/>
              </w:rPr>
              <w:t xml:space="preserve"> 220.099,</w:t>
            </w:r>
            <w:r w:rsidRPr="00CE0D6D">
              <w:rPr>
                <w:rFonts w:ascii="Arial" w:eastAsia="Times New Roman" w:hAnsi="Arial" w:cs="Arial"/>
                <w:color w:val="000000"/>
                <w:sz w:val="14"/>
                <w:szCs w:val="14"/>
              </w:rPr>
              <w:t xml:space="preserve">89 </w:t>
            </w:r>
          </w:p>
        </w:tc>
      </w:tr>
      <w:tr w:rsidR="00D543B0" w:rsidRPr="00CE0D6D" w14:paraId="662EB011" w14:textId="77777777" w:rsidTr="00624430">
        <w:trPr>
          <w:trHeight w:val="43"/>
        </w:trPr>
        <w:tc>
          <w:tcPr>
            <w:tcW w:w="2913" w:type="pct"/>
            <w:gridSpan w:val="5"/>
            <w:noWrap/>
            <w:vAlign w:val="bottom"/>
          </w:tcPr>
          <w:p w14:paraId="662EB00F" w14:textId="77777777" w:rsidR="00D543B0" w:rsidRPr="00CE0D6D" w:rsidRDefault="00D543B0" w:rsidP="00624430">
            <w:pPr>
              <w:jc w:val="right"/>
              <w:rPr>
                <w:rFonts w:ascii="Arial" w:eastAsia="Times New Roman" w:hAnsi="Arial" w:cs="Arial"/>
                <w:b/>
                <w:bCs/>
                <w:color w:val="000000"/>
                <w:sz w:val="14"/>
                <w:szCs w:val="14"/>
              </w:rPr>
            </w:pPr>
            <w:r>
              <w:rPr>
                <w:rFonts w:ascii="Arial" w:eastAsia="Times New Roman" w:hAnsi="Arial" w:cs="Arial"/>
                <w:b/>
                <w:bCs/>
                <w:color w:val="000000"/>
                <w:sz w:val="14"/>
                <w:szCs w:val="14"/>
              </w:rPr>
              <w:t>SUMA TOTAL AVAD Estimados</w:t>
            </w:r>
          </w:p>
        </w:tc>
        <w:tc>
          <w:tcPr>
            <w:tcW w:w="2087" w:type="pct"/>
            <w:gridSpan w:val="5"/>
            <w:noWrap/>
            <w:vAlign w:val="bottom"/>
          </w:tcPr>
          <w:p w14:paraId="662EB010" w14:textId="77777777" w:rsidR="00D543B0" w:rsidRPr="003A73E8" w:rsidRDefault="00D543B0" w:rsidP="00624430">
            <w:pPr>
              <w:rPr>
                <w:rFonts w:ascii="Arial" w:eastAsia="Times New Roman" w:hAnsi="Arial" w:cs="Arial"/>
                <w:b/>
                <w:color w:val="000000"/>
                <w:sz w:val="14"/>
                <w:szCs w:val="14"/>
              </w:rPr>
            </w:pPr>
            <w:r w:rsidRPr="003A73E8">
              <w:rPr>
                <w:rFonts w:ascii="Arial" w:eastAsia="Times New Roman" w:hAnsi="Arial" w:cs="Arial"/>
                <w:b/>
                <w:color w:val="000000"/>
                <w:sz w:val="14"/>
                <w:szCs w:val="14"/>
              </w:rPr>
              <w:t>970.387</w:t>
            </w:r>
          </w:p>
        </w:tc>
      </w:tr>
    </w:tbl>
    <w:p w14:paraId="662EB012" w14:textId="77777777" w:rsidR="00D543B0" w:rsidRPr="00C82BD1" w:rsidRDefault="00D543B0" w:rsidP="00EA22E9">
      <w:pPr>
        <w:autoSpaceDE w:val="0"/>
        <w:autoSpaceDN w:val="0"/>
        <w:adjustRightInd w:val="0"/>
        <w:spacing w:before="120" w:after="120"/>
        <w:jc w:val="both"/>
        <w:rPr>
          <w:rFonts w:ascii="Arial" w:hAnsi="Arial" w:cs="Arial"/>
          <w:sz w:val="22"/>
          <w:szCs w:val="22"/>
          <w:lang w:val="es-ES"/>
        </w:rPr>
        <w:sectPr w:rsidR="00D543B0" w:rsidRPr="00C82BD1" w:rsidSect="00517AE5">
          <w:pgSz w:w="15840" w:h="12240" w:orient="landscape"/>
          <w:pgMar w:top="1440" w:right="1440" w:bottom="1440" w:left="1440" w:header="720" w:footer="720" w:gutter="0"/>
          <w:cols w:space="720"/>
          <w:docGrid w:linePitch="360"/>
        </w:sectPr>
      </w:pPr>
    </w:p>
    <w:p w14:paraId="662EB013" w14:textId="77777777" w:rsidR="00EA22E9" w:rsidRPr="00C82BD1" w:rsidRDefault="00EA22E9" w:rsidP="00162A70">
      <w:pPr>
        <w:pStyle w:val="ListParagraph"/>
        <w:spacing w:before="120" w:after="120" w:line="240" w:lineRule="auto"/>
        <w:ind w:left="0"/>
        <w:jc w:val="both"/>
        <w:rPr>
          <w:rFonts w:ascii="Arial" w:hAnsi="Arial" w:cs="Arial"/>
          <w:lang w:val="es-ES"/>
        </w:rPr>
      </w:pPr>
      <w:r w:rsidRPr="00C82BD1">
        <w:rPr>
          <w:rFonts w:ascii="Arial" w:hAnsi="Arial" w:cs="Arial"/>
          <w:lang w:val="es-ES"/>
        </w:rPr>
        <w:lastRenderedPageBreak/>
        <w:t>Al comparar los AVADs evitados con el VPN de la operación, se obtiene un costo por AVAD evitado de US</w:t>
      </w:r>
      <w:r w:rsidR="00701493" w:rsidRPr="00C82BD1">
        <w:rPr>
          <w:rFonts w:ascii="Arial" w:hAnsi="Arial" w:cs="Arial"/>
          <w:lang w:val="es-ES"/>
        </w:rPr>
        <w:t>$</w:t>
      </w:r>
      <w:r w:rsidR="00EE6384" w:rsidRPr="00C82BD1">
        <w:rPr>
          <w:rFonts w:ascii="Arial" w:hAnsi="Arial" w:cs="Arial"/>
          <w:lang w:val="es-ES"/>
        </w:rPr>
        <w:t>121,59</w:t>
      </w:r>
      <w:r w:rsidRPr="00C82BD1">
        <w:rPr>
          <w:rFonts w:ascii="Arial" w:hAnsi="Arial" w:cs="Arial"/>
          <w:lang w:val="es-ES"/>
        </w:rPr>
        <w:t>. Al ajustar el costo por AVAD evitado para incluir los 5 años de la operación, se obtiene un costo de US</w:t>
      </w:r>
      <w:r w:rsidR="00701493" w:rsidRPr="00C82BD1">
        <w:rPr>
          <w:rFonts w:ascii="Arial" w:hAnsi="Arial" w:cs="Arial"/>
          <w:lang w:val="es-ES"/>
        </w:rPr>
        <w:t>$</w:t>
      </w:r>
      <w:r w:rsidR="00EE6384" w:rsidRPr="00C82BD1">
        <w:rPr>
          <w:rFonts w:ascii="Arial" w:hAnsi="Arial" w:cs="Arial"/>
          <w:lang w:val="es-ES"/>
        </w:rPr>
        <w:t>110,85 contra el NPV del costo de la operación</w:t>
      </w:r>
      <w:r w:rsidRPr="00C82BD1">
        <w:rPr>
          <w:rFonts w:ascii="Arial" w:hAnsi="Arial" w:cs="Arial"/>
          <w:lang w:val="es-ES"/>
        </w:rPr>
        <w:t xml:space="preserve">. Para tomar una decisión respecto a si una intervención ofrece un buen “retorno a la inversión” la razón de costo por AVAD se puede comparar con un umbral implícito o explícito de costo efectividad, el cual representa la cantidad máxima que la sociedad, o un tomador de decisiones estaría dispuesto a pagar por los beneficios en salud obtenidos de una intervención particular. Para el caso de </w:t>
      </w:r>
      <w:r w:rsidR="00EE6384" w:rsidRPr="00C82BD1">
        <w:rPr>
          <w:rFonts w:ascii="Arial" w:hAnsi="Arial" w:cs="Arial"/>
          <w:lang w:val="es-ES"/>
        </w:rPr>
        <w:t>Nicaragua</w:t>
      </w:r>
      <w:r w:rsidRPr="00C82BD1">
        <w:rPr>
          <w:rFonts w:ascii="Arial" w:hAnsi="Arial" w:cs="Arial"/>
          <w:lang w:val="es-ES"/>
        </w:rPr>
        <w:t xml:space="preserve">, al no haber un umbral definido explícitamente, se puede obtener uno aplicando las recomendaciones de la Organización Mundial de la Salud (WHO 2008) de utilizar el PIB per cápita en cada país como el valor de referencia para derivar el umbral de costo efectividad aceptable. La OMS establece que una intervención es </w:t>
      </w:r>
      <w:r w:rsidR="00EE6384" w:rsidRPr="00C82BD1">
        <w:rPr>
          <w:rFonts w:ascii="Arial" w:hAnsi="Arial" w:cs="Arial"/>
          <w:lang w:val="es-ES"/>
        </w:rPr>
        <w:t>muy costo efectivo</w:t>
      </w:r>
      <w:r w:rsidRPr="00C82BD1">
        <w:rPr>
          <w:rFonts w:ascii="Arial" w:hAnsi="Arial" w:cs="Arial"/>
          <w:lang w:val="es-ES"/>
        </w:rPr>
        <w:t xml:space="preserve"> cuando el costo por AVAD evitado es menor al PIB per cápita, </w:t>
      </w:r>
      <w:r w:rsidR="003A73E8" w:rsidRPr="00C82BD1">
        <w:rPr>
          <w:rFonts w:ascii="Arial" w:hAnsi="Arial" w:cs="Arial"/>
          <w:lang w:val="es-ES"/>
        </w:rPr>
        <w:t>costo efectivo</w:t>
      </w:r>
      <w:r w:rsidRPr="00C82BD1">
        <w:rPr>
          <w:rFonts w:ascii="Arial" w:hAnsi="Arial" w:cs="Arial"/>
          <w:lang w:val="es-ES"/>
        </w:rPr>
        <w:t xml:space="preserve"> si el costo por AVAD evitado está entre una y </w:t>
      </w:r>
      <w:r w:rsidR="00517AE5" w:rsidRPr="00C82BD1">
        <w:rPr>
          <w:rFonts w:ascii="Arial" w:hAnsi="Arial" w:cs="Arial"/>
          <w:lang w:val="es-ES"/>
        </w:rPr>
        <w:t>tres</w:t>
      </w:r>
      <w:r w:rsidRPr="00C82BD1">
        <w:rPr>
          <w:rFonts w:ascii="Arial" w:hAnsi="Arial" w:cs="Arial"/>
          <w:lang w:val="es-ES"/>
        </w:rPr>
        <w:t xml:space="preserve"> veces el PIB</w:t>
      </w:r>
      <w:r w:rsidR="003A73E8" w:rsidRPr="00C82BD1">
        <w:rPr>
          <w:rFonts w:ascii="Arial" w:hAnsi="Arial" w:cs="Arial"/>
          <w:lang w:val="es-ES"/>
        </w:rPr>
        <w:t xml:space="preserve"> per cápita, y no costo efectivo</w:t>
      </w:r>
      <w:r w:rsidRPr="00C82BD1">
        <w:rPr>
          <w:rFonts w:ascii="Arial" w:hAnsi="Arial" w:cs="Arial"/>
          <w:lang w:val="es-ES"/>
        </w:rPr>
        <w:t xml:space="preserve"> si el costo por AVAD evitado es mayor a </w:t>
      </w:r>
      <w:r w:rsidR="00517AE5" w:rsidRPr="00C82BD1">
        <w:rPr>
          <w:rFonts w:ascii="Arial" w:hAnsi="Arial" w:cs="Arial"/>
          <w:lang w:val="es-ES"/>
        </w:rPr>
        <w:t>tres</w:t>
      </w:r>
      <w:r w:rsidRPr="00C82BD1">
        <w:rPr>
          <w:rFonts w:ascii="Arial" w:hAnsi="Arial" w:cs="Arial"/>
          <w:lang w:val="es-ES"/>
        </w:rPr>
        <w:t xml:space="preserve"> veces el PIB per cápita. Es así como el umbral de costo efectividad para</w:t>
      </w:r>
      <w:r w:rsidR="009811A2">
        <w:rPr>
          <w:rFonts w:ascii="Arial" w:hAnsi="Arial" w:cs="Arial"/>
          <w:lang w:val="es-ES"/>
        </w:rPr>
        <w:t xml:space="preserve"> Nicaragua</w:t>
      </w:r>
      <w:r w:rsidRPr="00C82BD1">
        <w:rPr>
          <w:rFonts w:ascii="Arial" w:hAnsi="Arial" w:cs="Arial"/>
          <w:lang w:val="es-ES"/>
        </w:rPr>
        <w:t xml:space="preserve"> para el 201</w:t>
      </w:r>
      <w:r w:rsidR="003A73E8" w:rsidRPr="00C82BD1">
        <w:rPr>
          <w:rFonts w:ascii="Arial" w:hAnsi="Arial" w:cs="Arial"/>
          <w:lang w:val="es-ES"/>
        </w:rPr>
        <w:t>8</w:t>
      </w:r>
      <w:r w:rsidR="00EE6384" w:rsidRPr="00C82BD1">
        <w:rPr>
          <w:rFonts w:ascii="Arial" w:hAnsi="Arial" w:cs="Arial"/>
          <w:lang w:val="es-ES"/>
        </w:rPr>
        <w:t xml:space="preserve"> sería de US</w:t>
      </w:r>
      <w:r w:rsidR="00701493" w:rsidRPr="00C82BD1">
        <w:rPr>
          <w:rFonts w:ascii="Arial" w:hAnsi="Arial" w:cs="Arial"/>
          <w:lang w:val="es-ES"/>
        </w:rPr>
        <w:t>$</w:t>
      </w:r>
      <w:r w:rsidR="00EE6384" w:rsidRPr="00C82BD1">
        <w:rPr>
          <w:rFonts w:ascii="Arial" w:hAnsi="Arial" w:cs="Arial"/>
          <w:lang w:val="es-ES"/>
        </w:rPr>
        <w:t>2.</w:t>
      </w:r>
      <w:r w:rsidR="003A73E8" w:rsidRPr="00C82BD1">
        <w:rPr>
          <w:rFonts w:ascii="Arial" w:hAnsi="Arial" w:cs="Arial"/>
          <w:lang w:val="es-ES"/>
        </w:rPr>
        <w:t>327</w:t>
      </w:r>
      <w:r w:rsidRPr="00C82BD1">
        <w:rPr>
          <w:rStyle w:val="FootnoteReference"/>
          <w:rFonts w:ascii="Arial" w:hAnsi="Arial" w:cs="Arial"/>
          <w:lang w:val="es-ES"/>
        </w:rPr>
        <w:footnoteReference w:id="8"/>
      </w:r>
      <w:r w:rsidRPr="00C82BD1">
        <w:rPr>
          <w:rFonts w:ascii="Arial" w:hAnsi="Arial" w:cs="Arial"/>
          <w:lang w:val="es-ES"/>
        </w:rPr>
        <w:t xml:space="preserve">; se clasifica la intervención como muy costo efectivo. Basado en las estimaciones del </w:t>
      </w:r>
      <w:r w:rsidRPr="00C82BD1">
        <w:rPr>
          <w:rFonts w:ascii="Arial" w:hAnsi="Arial" w:cs="Arial"/>
          <w:i/>
          <w:lang w:val="es-ES"/>
        </w:rPr>
        <w:t>World Economic Outlook</w:t>
      </w:r>
      <w:r w:rsidRPr="00C82BD1">
        <w:rPr>
          <w:rFonts w:ascii="Arial" w:hAnsi="Arial" w:cs="Arial"/>
          <w:lang w:val="es-ES"/>
        </w:rPr>
        <w:t xml:space="preserve"> del Fondo Monetario Internacional (FMI), el PIB en Panamá ascenderá a </w:t>
      </w:r>
      <w:r w:rsidR="00517AE5" w:rsidRPr="00C82BD1">
        <w:rPr>
          <w:rFonts w:ascii="Arial" w:hAnsi="Arial" w:cs="Arial"/>
          <w:lang w:val="es-ES"/>
        </w:rPr>
        <w:t>US</w:t>
      </w:r>
      <w:r w:rsidR="00701493" w:rsidRPr="00C82BD1">
        <w:rPr>
          <w:rFonts w:ascii="Arial" w:hAnsi="Arial" w:cs="Arial"/>
          <w:lang w:val="es-ES"/>
        </w:rPr>
        <w:t>$</w:t>
      </w:r>
      <w:r w:rsidR="003A73E8" w:rsidRPr="00C82BD1">
        <w:rPr>
          <w:rFonts w:ascii="Arial" w:hAnsi="Arial" w:cs="Arial"/>
          <w:lang w:val="es-ES"/>
        </w:rPr>
        <w:t>2.872,81 dólares en 2022</w:t>
      </w:r>
      <w:r w:rsidRPr="00C82BD1">
        <w:rPr>
          <w:rFonts w:ascii="Arial" w:hAnsi="Arial" w:cs="Arial"/>
          <w:lang w:val="es-ES"/>
        </w:rPr>
        <w:t xml:space="preserve">; aún con los aumentos esperados en PIB la intervención se clasifica como muy costo efectivo. </w:t>
      </w:r>
    </w:p>
    <w:p w14:paraId="662EB014" w14:textId="77777777" w:rsidR="00EA22E9" w:rsidRPr="00C82BD1" w:rsidRDefault="00EA22E9" w:rsidP="00162A70">
      <w:pPr>
        <w:pStyle w:val="Heading1"/>
        <w:rPr>
          <w:lang w:val="es-ES"/>
        </w:rPr>
      </w:pPr>
      <w:bookmarkStart w:id="15" w:name="_Toc430331021"/>
      <w:r w:rsidRPr="00C82BD1">
        <w:rPr>
          <w:lang w:val="es-ES"/>
        </w:rPr>
        <w:t>Análisis de sensibilidad</w:t>
      </w:r>
      <w:bookmarkEnd w:id="15"/>
    </w:p>
    <w:p w14:paraId="662EB015" w14:textId="77777777" w:rsidR="00EA22E9" w:rsidRPr="00C82BD1" w:rsidRDefault="00EA22E9" w:rsidP="00162A70">
      <w:pPr>
        <w:pStyle w:val="ListParagraph"/>
        <w:spacing w:before="120" w:after="120" w:line="240" w:lineRule="auto"/>
        <w:ind w:left="0"/>
        <w:jc w:val="both"/>
        <w:rPr>
          <w:rFonts w:ascii="Arial" w:hAnsi="Arial" w:cs="Arial"/>
          <w:lang w:val="es-ES"/>
        </w:rPr>
      </w:pPr>
      <w:r w:rsidRPr="00C82BD1">
        <w:rPr>
          <w:rFonts w:ascii="Arial" w:hAnsi="Arial" w:cs="Arial"/>
          <w:lang w:val="es-ES"/>
        </w:rPr>
        <w:t>La información utilizada para los cálculos presenta incertidumbre, tanto en los datos primarios como en los supuestos utilizados. En el caso de este análisis se presenta incertidumbre en cuanto a:</w:t>
      </w:r>
    </w:p>
    <w:p w14:paraId="662EB016" w14:textId="77777777" w:rsidR="00EA22E9" w:rsidRPr="00C82BD1" w:rsidRDefault="00EA22E9" w:rsidP="00EA22E9">
      <w:pPr>
        <w:pStyle w:val="ListParagraph"/>
        <w:widowControl w:val="0"/>
        <w:numPr>
          <w:ilvl w:val="0"/>
          <w:numId w:val="6"/>
        </w:numPr>
        <w:autoSpaceDE w:val="0"/>
        <w:autoSpaceDN w:val="0"/>
        <w:adjustRightInd w:val="0"/>
        <w:spacing w:after="0" w:line="240" w:lineRule="auto"/>
        <w:jc w:val="both"/>
        <w:rPr>
          <w:rFonts w:ascii="Arial" w:hAnsi="Arial" w:cs="Arial"/>
          <w:u w:color="0000FF"/>
          <w:lang w:val="es-ES"/>
        </w:rPr>
      </w:pPr>
      <w:r w:rsidRPr="00C82BD1">
        <w:rPr>
          <w:rFonts w:ascii="Arial" w:hAnsi="Arial" w:cs="Arial"/>
          <w:u w:color="0000FF"/>
          <w:lang w:val="es-ES"/>
        </w:rPr>
        <w:t>Variabilidad de los datos disponibles</w:t>
      </w:r>
    </w:p>
    <w:p w14:paraId="662EB017" w14:textId="77777777" w:rsidR="00EA22E9" w:rsidRPr="00C82BD1" w:rsidRDefault="00EA22E9" w:rsidP="00EA22E9">
      <w:pPr>
        <w:pStyle w:val="ListParagraph"/>
        <w:widowControl w:val="0"/>
        <w:numPr>
          <w:ilvl w:val="0"/>
          <w:numId w:val="6"/>
        </w:numPr>
        <w:autoSpaceDE w:val="0"/>
        <w:autoSpaceDN w:val="0"/>
        <w:adjustRightInd w:val="0"/>
        <w:spacing w:after="0" w:line="240" w:lineRule="auto"/>
        <w:jc w:val="both"/>
        <w:rPr>
          <w:rFonts w:ascii="Arial" w:hAnsi="Arial" w:cs="Arial"/>
          <w:u w:color="0000FF"/>
          <w:lang w:val="es-ES"/>
        </w:rPr>
      </w:pPr>
      <w:r w:rsidRPr="00C82BD1">
        <w:rPr>
          <w:rFonts w:ascii="Arial" w:hAnsi="Arial" w:cs="Arial"/>
          <w:u w:color="0000FF"/>
          <w:lang w:val="es-ES"/>
        </w:rPr>
        <w:t>Generalización de los resultados</w:t>
      </w:r>
    </w:p>
    <w:p w14:paraId="662EB018" w14:textId="77777777" w:rsidR="00EA22E9" w:rsidRPr="00C82BD1" w:rsidRDefault="00EA22E9" w:rsidP="00162A70">
      <w:pPr>
        <w:pStyle w:val="ListParagraph"/>
        <w:widowControl w:val="0"/>
        <w:numPr>
          <w:ilvl w:val="0"/>
          <w:numId w:val="6"/>
        </w:numPr>
        <w:autoSpaceDE w:val="0"/>
        <w:autoSpaceDN w:val="0"/>
        <w:adjustRightInd w:val="0"/>
        <w:spacing w:after="240" w:line="240" w:lineRule="auto"/>
        <w:contextualSpacing w:val="0"/>
        <w:jc w:val="both"/>
        <w:rPr>
          <w:rFonts w:ascii="Arial" w:hAnsi="Arial" w:cs="Arial"/>
          <w:u w:color="0000FF"/>
          <w:lang w:val="es-ES"/>
        </w:rPr>
      </w:pPr>
      <w:r w:rsidRPr="00C82BD1">
        <w:rPr>
          <w:rFonts w:ascii="Arial" w:hAnsi="Arial" w:cs="Arial"/>
          <w:u w:color="0000FF"/>
          <w:lang w:val="es-ES"/>
        </w:rPr>
        <w:t>Extrapolación de los resultados</w:t>
      </w:r>
    </w:p>
    <w:p w14:paraId="662EB019" w14:textId="77777777" w:rsidR="00EA22E9" w:rsidRPr="00C82BD1" w:rsidRDefault="00EA22E9" w:rsidP="00162A70">
      <w:pPr>
        <w:pStyle w:val="ListParagraph"/>
        <w:spacing w:before="120" w:after="120" w:line="240" w:lineRule="auto"/>
        <w:ind w:left="0"/>
        <w:contextualSpacing w:val="0"/>
        <w:jc w:val="both"/>
        <w:rPr>
          <w:rFonts w:ascii="Arial" w:hAnsi="Arial" w:cs="Arial"/>
          <w:color w:val="000000"/>
          <w:lang w:val="es-ES"/>
        </w:rPr>
      </w:pPr>
      <w:r w:rsidRPr="00C82BD1">
        <w:rPr>
          <w:rFonts w:ascii="Arial" w:hAnsi="Arial" w:cs="Arial"/>
          <w:color w:val="000000"/>
          <w:lang w:val="es-ES"/>
        </w:rPr>
        <w:t xml:space="preserve">Mediante el Análisis de Sensibilidad se introducen cambios en las estimaciones y se valora que tan robustos son los resultados del </w:t>
      </w:r>
      <w:r w:rsidRPr="00C82BD1">
        <w:rPr>
          <w:rFonts w:ascii="Arial" w:hAnsi="Arial" w:cs="Arial"/>
          <w:lang w:val="es-ES"/>
        </w:rPr>
        <w:t>análisis</w:t>
      </w:r>
      <w:r w:rsidRPr="00C82BD1">
        <w:rPr>
          <w:rFonts w:ascii="Arial" w:hAnsi="Arial" w:cs="Arial"/>
          <w:color w:val="000000"/>
          <w:lang w:val="es-ES"/>
        </w:rPr>
        <w:t xml:space="preserve"> a estos cambios. Para efectos de este análisis se empleó el método de Análisis de sensibilidad simple, con </w:t>
      </w:r>
      <w:r w:rsidR="00ED636D" w:rsidRPr="00C82BD1">
        <w:rPr>
          <w:rFonts w:ascii="Arial" w:hAnsi="Arial" w:cs="Arial"/>
          <w:color w:val="000000"/>
          <w:lang w:val="es-ES"/>
        </w:rPr>
        <w:t>su forma</w:t>
      </w:r>
      <w:r w:rsidRPr="00C82BD1">
        <w:rPr>
          <w:rFonts w:ascii="Arial" w:hAnsi="Arial" w:cs="Arial"/>
          <w:color w:val="000000"/>
          <w:lang w:val="es-ES"/>
        </w:rPr>
        <w:t xml:space="preserve"> univariante.</w:t>
      </w:r>
    </w:p>
    <w:p w14:paraId="662EB01A" w14:textId="77777777" w:rsidR="00EA22E9" w:rsidRPr="00C82BD1" w:rsidRDefault="00EA22E9" w:rsidP="00162A70">
      <w:pPr>
        <w:pStyle w:val="ListParagraph"/>
        <w:spacing w:before="120" w:after="240" w:line="240" w:lineRule="auto"/>
        <w:ind w:left="0"/>
        <w:contextualSpacing w:val="0"/>
        <w:jc w:val="both"/>
        <w:rPr>
          <w:rFonts w:ascii="Arial" w:hAnsi="Arial" w:cs="Arial"/>
          <w:lang w:val="es-ES"/>
        </w:rPr>
      </w:pPr>
      <w:r w:rsidRPr="00C82BD1">
        <w:rPr>
          <w:rFonts w:ascii="Arial" w:hAnsi="Arial" w:cs="Arial"/>
          <w:color w:val="000000"/>
          <w:lang w:val="es-ES"/>
        </w:rPr>
        <w:t xml:space="preserve">Este análisis consiste en variar dentro de un rango razonable, uno a uno los parámetros componentes de una evaluación para ver cómo esto afecta a los resultados encontrados. A </w:t>
      </w:r>
      <w:r w:rsidR="00E55FE9" w:rsidRPr="00C82BD1">
        <w:rPr>
          <w:rFonts w:ascii="Arial" w:hAnsi="Arial" w:cs="Arial"/>
          <w:color w:val="000000"/>
          <w:lang w:val="es-ES"/>
        </w:rPr>
        <w:t>continuación,</w:t>
      </w:r>
      <w:r w:rsidRPr="00C82BD1">
        <w:rPr>
          <w:rFonts w:ascii="Arial" w:hAnsi="Arial" w:cs="Arial"/>
          <w:color w:val="000000"/>
          <w:lang w:val="es-ES"/>
        </w:rPr>
        <w:t xml:space="preserve"> se presentan las variaciones en el valor promedio por AVADs al variar el número de AVADs evitados para cada interv</w:t>
      </w:r>
      <w:r w:rsidRPr="00C82BD1">
        <w:rPr>
          <w:rFonts w:ascii="Arial" w:hAnsi="Arial" w:cs="Arial"/>
          <w:lang w:val="es-ES"/>
        </w:rPr>
        <w:t xml:space="preserve">ención contemplada en la estimación de acuerdo a los niveles de cobertura. La cobertura </w:t>
      </w:r>
      <w:r w:rsidRPr="00C82BD1">
        <w:rPr>
          <w:rFonts w:ascii="Arial" w:hAnsi="Arial" w:cs="Arial"/>
          <w:i/>
          <w:lang w:val="es-ES"/>
        </w:rPr>
        <w:t>status quo</w:t>
      </w:r>
      <w:r w:rsidRPr="00C82BD1">
        <w:rPr>
          <w:rFonts w:ascii="Arial" w:hAnsi="Arial" w:cs="Arial"/>
          <w:lang w:val="es-ES"/>
        </w:rPr>
        <w:t xml:space="preserve"> toma en cuenta la</w:t>
      </w:r>
      <w:r w:rsidR="00030CBF" w:rsidRPr="00C82BD1">
        <w:rPr>
          <w:rFonts w:ascii="Arial" w:hAnsi="Arial" w:cs="Arial"/>
          <w:lang w:val="es-ES"/>
        </w:rPr>
        <w:t>s proyecciones de cobertura estipulado en el préstamo NI-L1095 Programa de Salud Comunitaria para Municipios Rurales</w:t>
      </w:r>
      <w:r w:rsidRPr="00C82BD1">
        <w:rPr>
          <w:rFonts w:ascii="Arial" w:hAnsi="Arial" w:cs="Arial"/>
          <w:lang w:val="es-ES"/>
        </w:rPr>
        <w:t>.</w:t>
      </w:r>
    </w:p>
    <w:p w14:paraId="662EB01B" w14:textId="77777777" w:rsidR="00EA22E9" w:rsidRPr="00C82BD1" w:rsidRDefault="00EA22E9" w:rsidP="00517AE5">
      <w:pPr>
        <w:pStyle w:val="ListParagraph"/>
        <w:spacing w:after="0" w:line="240" w:lineRule="auto"/>
        <w:ind w:left="0"/>
        <w:jc w:val="center"/>
        <w:rPr>
          <w:rFonts w:ascii="Arial" w:hAnsi="Arial" w:cs="Arial"/>
          <w:b/>
          <w:sz w:val="18"/>
          <w:szCs w:val="18"/>
          <w:lang w:val="es-ES"/>
        </w:rPr>
      </w:pPr>
      <w:r w:rsidRPr="00C82BD1">
        <w:rPr>
          <w:rFonts w:ascii="Arial" w:hAnsi="Arial" w:cs="Arial"/>
          <w:b/>
          <w:sz w:val="18"/>
          <w:szCs w:val="18"/>
          <w:lang w:val="es-ES"/>
        </w:rPr>
        <w:t>Tabla 5 – Análisis de sensibilidad según niveles de cobertura</w:t>
      </w:r>
    </w:p>
    <w:tbl>
      <w:tblPr>
        <w:tblStyle w:val="TableGrid"/>
        <w:tblW w:w="0" w:type="auto"/>
        <w:jc w:val="center"/>
        <w:tblLayout w:type="fixed"/>
        <w:tblLook w:val="04A0" w:firstRow="1" w:lastRow="0" w:firstColumn="1" w:lastColumn="0" w:noHBand="0" w:noVBand="1"/>
      </w:tblPr>
      <w:tblGrid>
        <w:gridCol w:w="2425"/>
        <w:gridCol w:w="1143"/>
        <w:gridCol w:w="1459"/>
        <w:gridCol w:w="1566"/>
        <w:gridCol w:w="2070"/>
      </w:tblGrid>
      <w:tr w:rsidR="00EB51C1" w:rsidRPr="00C82BD1" w14:paraId="662EB022" w14:textId="77777777" w:rsidTr="000C1BD2">
        <w:trPr>
          <w:jc w:val="center"/>
        </w:trPr>
        <w:tc>
          <w:tcPr>
            <w:tcW w:w="2425" w:type="dxa"/>
            <w:shd w:val="clear" w:color="auto" w:fill="548DD4" w:themeFill="text2" w:themeFillTint="99"/>
            <w:vAlign w:val="center"/>
          </w:tcPr>
          <w:p w14:paraId="662EB01C" w14:textId="77777777" w:rsidR="00EB51C1" w:rsidRPr="00C82BD1" w:rsidRDefault="00EB51C1" w:rsidP="00517AE5">
            <w:pPr>
              <w:pStyle w:val="ListParagraph"/>
              <w:spacing w:after="0" w:line="240" w:lineRule="auto"/>
              <w:ind w:left="0"/>
              <w:jc w:val="center"/>
              <w:rPr>
                <w:rFonts w:ascii="Arial" w:hAnsi="Arial" w:cs="Arial"/>
                <w:b/>
                <w:sz w:val="18"/>
                <w:szCs w:val="18"/>
                <w:lang w:val="es-ES"/>
              </w:rPr>
            </w:pPr>
            <w:r w:rsidRPr="00C82BD1">
              <w:rPr>
                <w:rFonts w:ascii="Arial" w:hAnsi="Arial" w:cs="Arial"/>
                <w:b/>
                <w:sz w:val="18"/>
                <w:szCs w:val="18"/>
                <w:lang w:val="es-ES"/>
              </w:rPr>
              <w:t>Variaciones</w:t>
            </w:r>
          </w:p>
        </w:tc>
        <w:tc>
          <w:tcPr>
            <w:tcW w:w="1143" w:type="dxa"/>
            <w:shd w:val="clear" w:color="auto" w:fill="548DD4" w:themeFill="text2" w:themeFillTint="99"/>
            <w:vAlign w:val="center"/>
          </w:tcPr>
          <w:p w14:paraId="662EB01D" w14:textId="77777777" w:rsidR="00EB51C1" w:rsidRPr="00C82BD1" w:rsidRDefault="00EB51C1" w:rsidP="007E45AB">
            <w:pPr>
              <w:pStyle w:val="ListParagraph"/>
              <w:spacing w:after="0" w:line="240" w:lineRule="auto"/>
              <w:ind w:left="0"/>
              <w:jc w:val="center"/>
              <w:rPr>
                <w:rFonts w:ascii="Arial" w:hAnsi="Arial" w:cs="Arial"/>
                <w:b/>
                <w:sz w:val="18"/>
                <w:szCs w:val="18"/>
                <w:lang w:val="es-ES"/>
              </w:rPr>
            </w:pPr>
            <w:r w:rsidRPr="00C82BD1">
              <w:rPr>
                <w:rFonts w:ascii="Arial" w:hAnsi="Arial" w:cs="Arial"/>
                <w:b/>
                <w:sz w:val="18"/>
                <w:szCs w:val="18"/>
                <w:lang w:val="es-ES"/>
              </w:rPr>
              <w:t>Número de AVADs evitados</w:t>
            </w:r>
          </w:p>
        </w:tc>
        <w:tc>
          <w:tcPr>
            <w:tcW w:w="1459" w:type="dxa"/>
            <w:shd w:val="clear" w:color="auto" w:fill="548DD4" w:themeFill="text2" w:themeFillTint="99"/>
            <w:vAlign w:val="center"/>
          </w:tcPr>
          <w:p w14:paraId="662EB01E" w14:textId="77777777" w:rsidR="00EB51C1" w:rsidRPr="00C82BD1" w:rsidRDefault="00EB51C1" w:rsidP="00517AE5">
            <w:pPr>
              <w:pStyle w:val="ListParagraph"/>
              <w:spacing w:after="0" w:line="240" w:lineRule="auto"/>
              <w:ind w:left="0"/>
              <w:jc w:val="center"/>
              <w:rPr>
                <w:rFonts w:ascii="Arial" w:hAnsi="Arial" w:cs="Arial"/>
                <w:b/>
                <w:sz w:val="18"/>
                <w:szCs w:val="18"/>
                <w:lang w:val="es-ES"/>
              </w:rPr>
            </w:pPr>
            <w:r w:rsidRPr="00C82BD1">
              <w:rPr>
                <w:rFonts w:ascii="Arial" w:hAnsi="Arial" w:cs="Arial"/>
                <w:b/>
                <w:sz w:val="18"/>
                <w:szCs w:val="18"/>
                <w:lang w:val="es-ES"/>
              </w:rPr>
              <w:t>Valor por AVAD evitado</w:t>
            </w:r>
          </w:p>
          <w:p w14:paraId="662EB01F" w14:textId="77777777" w:rsidR="002E736B" w:rsidRPr="00C82BD1" w:rsidRDefault="002E736B" w:rsidP="00517AE5">
            <w:pPr>
              <w:pStyle w:val="ListParagraph"/>
              <w:spacing w:after="0" w:line="240" w:lineRule="auto"/>
              <w:ind w:left="0"/>
              <w:jc w:val="center"/>
              <w:rPr>
                <w:rFonts w:ascii="Arial" w:hAnsi="Arial" w:cs="Arial"/>
                <w:b/>
                <w:sz w:val="18"/>
                <w:szCs w:val="18"/>
                <w:lang w:val="es-ES"/>
              </w:rPr>
            </w:pPr>
            <w:r w:rsidRPr="00C82BD1">
              <w:rPr>
                <w:rFonts w:ascii="Arial" w:hAnsi="Arial" w:cs="Arial"/>
                <w:b/>
                <w:sz w:val="18"/>
                <w:szCs w:val="18"/>
                <w:lang w:val="es-ES"/>
              </w:rPr>
              <w:t>US$</w:t>
            </w:r>
          </w:p>
        </w:tc>
        <w:tc>
          <w:tcPr>
            <w:tcW w:w="1566" w:type="dxa"/>
            <w:shd w:val="clear" w:color="auto" w:fill="548DD4" w:themeFill="text2" w:themeFillTint="99"/>
            <w:vAlign w:val="center"/>
          </w:tcPr>
          <w:p w14:paraId="662EB020" w14:textId="77777777" w:rsidR="00EB51C1" w:rsidRPr="00C82BD1" w:rsidRDefault="00EB51C1" w:rsidP="00517AE5">
            <w:pPr>
              <w:pStyle w:val="ListParagraph"/>
              <w:spacing w:after="0" w:line="240" w:lineRule="auto"/>
              <w:ind w:left="0"/>
              <w:jc w:val="center"/>
              <w:rPr>
                <w:rFonts w:ascii="Arial" w:hAnsi="Arial" w:cs="Arial"/>
                <w:b/>
                <w:sz w:val="18"/>
                <w:szCs w:val="18"/>
                <w:lang w:val="es-ES"/>
              </w:rPr>
            </w:pPr>
            <w:r w:rsidRPr="00C82BD1">
              <w:rPr>
                <w:rFonts w:ascii="Arial" w:hAnsi="Arial" w:cs="Arial"/>
                <w:b/>
                <w:sz w:val="18"/>
                <w:szCs w:val="18"/>
                <w:lang w:val="es-ES"/>
              </w:rPr>
              <w:t>Valor por AVAD evitado (ajuste cinco años)</w:t>
            </w:r>
            <w:r w:rsidR="002E736B" w:rsidRPr="00C82BD1">
              <w:rPr>
                <w:rFonts w:ascii="Arial" w:hAnsi="Arial" w:cs="Arial"/>
                <w:b/>
                <w:sz w:val="18"/>
                <w:szCs w:val="18"/>
                <w:lang w:val="es-ES"/>
              </w:rPr>
              <w:t xml:space="preserve"> US$</w:t>
            </w:r>
          </w:p>
        </w:tc>
        <w:tc>
          <w:tcPr>
            <w:tcW w:w="2070" w:type="dxa"/>
            <w:shd w:val="clear" w:color="auto" w:fill="548DD4" w:themeFill="text2" w:themeFillTint="99"/>
            <w:vAlign w:val="center"/>
          </w:tcPr>
          <w:p w14:paraId="662EB021" w14:textId="77777777" w:rsidR="00EB51C1" w:rsidRPr="00C82BD1" w:rsidRDefault="00EE41FB">
            <w:pPr>
              <w:pStyle w:val="ListParagraph"/>
              <w:spacing w:after="0" w:line="240" w:lineRule="auto"/>
              <w:ind w:left="0"/>
              <w:jc w:val="center"/>
              <w:rPr>
                <w:rFonts w:ascii="Arial" w:hAnsi="Arial" w:cs="Arial"/>
                <w:b/>
                <w:sz w:val="18"/>
                <w:szCs w:val="18"/>
                <w:lang w:val="es-ES"/>
              </w:rPr>
            </w:pPr>
            <w:r w:rsidRPr="00C82BD1">
              <w:rPr>
                <w:rFonts w:ascii="Arial" w:hAnsi="Arial" w:cs="Arial"/>
                <w:b/>
                <w:sz w:val="18"/>
                <w:szCs w:val="18"/>
                <w:lang w:val="es-ES"/>
              </w:rPr>
              <w:t>Clasificación OMS</w:t>
            </w:r>
            <w:r w:rsidR="00EB51C1" w:rsidRPr="00C82BD1">
              <w:rPr>
                <w:rFonts w:ascii="Arial" w:hAnsi="Arial" w:cs="Arial"/>
                <w:b/>
                <w:sz w:val="18"/>
                <w:szCs w:val="18"/>
                <w:lang w:val="es-ES"/>
              </w:rPr>
              <w:t xml:space="preserve"> </w:t>
            </w:r>
          </w:p>
        </w:tc>
      </w:tr>
      <w:tr w:rsidR="00EB51C1" w:rsidRPr="00C82BD1" w14:paraId="662EB028" w14:textId="77777777" w:rsidTr="000C1BD2">
        <w:trPr>
          <w:jc w:val="center"/>
        </w:trPr>
        <w:tc>
          <w:tcPr>
            <w:tcW w:w="2425" w:type="dxa"/>
            <w:vAlign w:val="center"/>
          </w:tcPr>
          <w:p w14:paraId="662EB023" w14:textId="77777777" w:rsidR="00EB51C1" w:rsidRPr="00C82BD1" w:rsidRDefault="00EB51C1" w:rsidP="00517AE5">
            <w:pPr>
              <w:pStyle w:val="ListParagraph"/>
              <w:spacing w:after="0" w:line="240" w:lineRule="auto"/>
              <w:ind w:left="0"/>
              <w:rPr>
                <w:rFonts w:ascii="Arial" w:hAnsi="Arial" w:cs="Arial"/>
                <w:sz w:val="18"/>
                <w:szCs w:val="18"/>
                <w:lang w:val="es-ES"/>
              </w:rPr>
            </w:pPr>
            <w:r w:rsidRPr="00C82BD1">
              <w:rPr>
                <w:rFonts w:ascii="Arial" w:hAnsi="Arial" w:cs="Arial"/>
                <w:sz w:val="18"/>
                <w:szCs w:val="18"/>
                <w:lang w:val="es-ES"/>
              </w:rPr>
              <w:t>Cobertura status quo</w:t>
            </w:r>
          </w:p>
        </w:tc>
        <w:tc>
          <w:tcPr>
            <w:tcW w:w="1143" w:type="dxa"/>
            <w:vAlign w:val="center"/>
          </w:tcPr>
          <w:p w14:paraId="662EB024" w14:textId="77777777" w:rsidR="00EB51C1" w:rsidRPr="00C82BD1" w:rsidRDefault="00EB51C1" w:rsidP="004A70D4">
            <w:pPr>
              <w:pStyle w:val="ListParagraph"/>
              <w:spacing w:after="0" w:line="240" w:lineRule="auto"/>
              <w:ind w:left="0"/>
              <w:jc w:val="center"/>
              <w:rPr>
                <w:rFonts w:ascii="Arial" w:hAnsi="Arial" w:cs="Arial"/>
                <w:sz w:val="18"/>
                <w:szCs w:val="18"/>
                <w:lang w:val="es-ES"/>
              </w:rPr>
            </w:pPr>
            <w:r w:rsidRPr="00C82BD1">
              <w:rPr>
                <w:rFonts w:ascii="Arial" w:hAnsi="Arial" w:cs="Arial"/>
                <w:sz w:val="18"/>
                <w:szCs w:val="18"/>
                <w:lang w:val="es-ES"/>
              </w:rPr>
              <w:t>194.077,34</w:t>
            </w:r>
          </w:p>
        </w:tc>
        <w:tc>
          <w:tcPr>
            <w:tcW w:w="1459" w:type="dxa"/>
            <w:vAlign w:val="center"/>
          </w:tcPr>
          <w:p w14:paraId="662EB025" w14:textId="77777777" w:rsidR="00EB51C1" w:rsidRPr="00C82BD1" w:rsidRDefault="00EB51C1" w:rsidP="004A70D4">
            <w:pPr>
              <w:pStyle w:val="ListParagraph"/>
              <w:spacing w:after="0" w:line="240" w:lineRule="auto"/>
              <w:ind w:left="0"/>
              <w:jc w:val="center"/>
              <w:rPr>
                <w:rFonts w:ascii="Arial" w:hAnsi="Arial" w:cs="Arial"/>
                <w:sz w:val="18"/>
                <w:szCs w:val="18"/>
                <w:lang w:val="es-ES"/>
              </w:rPr>
            </w:pPr>
            <w:r w:rsidRPr="00C82BD1">
              <w:rPr>
                <w:rFonts w:ascii="Arial" w:hAnsi="Arial" w:cs="Arial"/>
                <w:sz w:val="18"/>
                <w:szCs w:val="18"/>
                <w:lang w:val="es-ES"/>
              </w:rPr>
              <w:t>121,59</w:t>
            </w:r>
          </w:p>
        </w:tc>
        <w:tc>
          <w:tcPr>
            <w:tcW w:w="1566" w:type="dxa"/>
            <w:vAlign w:val="center"/>
          </w:tcPr>
          <w:p w14:paraId="662EB026" w14:textId="77777777" w:rsidR="00EB51C1" w:rsidRPr="00C82BD1" w:rsidRDefault="00EB51C1" w:rsidP="004A70D4">
            <w:pPr>
              <w:pStyle w:val="ListParagraph"/>
              <w:spacing w:after="0" w:line="240" w:lineRule="auto"/>
              <w:ind w:left="0"/>
              <w:jc w:val="center"/>
              <w:rPr>
                <w:rFonts w:ascii="Arial" w:hAnsi="Arial" w:cs="Arial"/>
                <w:sz w:val="18"/>
                <w:szCs w:val="18"/>
                <w:lang w:val="es-ES"/>
              </w:rPr>
            </w:pPr>
            <w:r w:rsidRPr="00C82BD1">
              <w:rPr>
                <w:rFonts w:ascii="Arial" w:hAnsi="Arial" w:cs="Arial"/>
                <w:sz w:val="18"/>
                <w:szCs w:val="18"/>
                <w:lang w:val="es-ES"/>
              </w:rPr>
              <w:t>110,85</w:t>
            </w:r>
          </w:p>
        </w:tc>
        <w:tc>
          <w:tcPr>
            <w:tcW w:w="2070" w:type="dxa"/>
            <w:vAlign w:val="center"/>
          </w:tcPr>
          <w:p w14:paraId="662EB027" w14:textId="77777777" w:rsidR="00EB51C1" w:rsidRPr="00C82BD1" w:rsidRDefault="00EE41FB" w:rsidP="004A70D4">
            <w:pPr>
              <w:pStyle w:val="ListParagraph"/>
              <w:spacing w:after="0" w:line="240" w:lineRule="auto"/>
              <w:ind w:left="0"/>
              <w:jc w:val="center"/>
              <w:rPr>
                <w:rFonts w:ascii="Arial" w:hAnsi="Arial" w:cs="Arial"/>
                <w:sz w:val="18"/>
                <w:szCs w:val="18"/>
                <w:lang w:val="es-ES"/>
              </w:rPr>
            </w:pPr>
            <w:r w:rsidRPr="00C82BD1">
              <w:rPr>
                <w:rFonts w:ascii="Arial" w:hAnsi="Arial" w:cs="Arial"/>
                <w:sz w:val="18"/>
                <w:szCs w:val="18"/>
                <w:lang w:val="es-ES"/>
              </w:rPr>
              <w:t>Muy costo efectivo</w:t>
            </w:r>
          </w:p>
        </w:tc>
      </w:tr>
      <w:tr w:rsidR="00EB51C1" w:rsidRPr="00C82BD1" w14:paraId="662EB02E" w14:textId="77777777" w:rsidTr="000C1BD2">
        <w:trPr>
          <w:jc w:val="center"/>
        </w:trPr>
        <w:tc>
          <w:tcPr>
            <w:tcW w:w="2425" w:type="dxa"/>
            <w:vAlign w:val="center"/>
          </w:tcPr>
          <w:p w14:paraId="662EB029" w14:textId="77777777" w:rsidR="00EB51C1" w:rsidRPr="00C82BD1" w:rsidRDefault="00EB51C1" w:rsidP="00517AE5">
            <w:pPr>
              <w:pStyle w:val="ListParagraph"/>
              <w:spacing w:after="0" w:line="240" w:lineRule="auto"/>
              <w:ind w:left="0"/>
              <w:rPr>
                <w:rFonts w:ascii="Arial" w:hAnsi="Arial" w:cs="Arial"/>
                <w:sz w:val="18"/>
                <w:szCs w:val="18"/>
                <w:lang w:val="es-ES"/>
              </w:rPr>
            </w:pPr>
            <w:r w:rsidRPr="00C82BD1">
              <w:rPr>
                <w:rFonts w:ascii="Arial" w:hAnsi="Arial" w:cs="Arial"/>
                <w:sz w:val="18"/>
                <w:szCs w:val="18"/>
                <w:lang w:val="es-ES"/>
              </w:rPr>
              <w:t>Con cobertura del 50%</w:t>
            </w:r>
          </w:p>
        </w:tc>
        <w:tc>
          <w:tcPr>
            <w:tcW w:w="1143" w:type="dxa"/>
            <w:vAlign w:val="center"/>
          </w:tcPr>
          <w:p w14:paraId="662EB02A" w14:textId="77777777" w:rsidR="00EB51C1" w:rsidRPr="00C82BD1" w:rsidRDefault="00FF626A" w:rsidP="004A70D4">
            <w:pPr>
              <w:pStyle w:val="ListParagraph"/>
              <w:spacing w:after="0" w:line="240" w:lineRule="auto"/>
              <w:ind w:left="0"/>
              <w:jc w:val="center"/>
              <w:rPr>
                <w:rFonts w:ascii="Arial" w:hAnsi="Arial" w:cs="Arial"/>
                <w:sz w:val="18"/>
                <w:szCs w:val="18"/>
                <w:lang w:val="es-ES"/>
              </w:rPr>
            </w:pPr>
            <w:r w:rsidRPr="00C82BD1">
              <w:rPr>
                <w:rFonts w:ascii="Arial" w:hAnsi="Arial" w:cs="Arial"/>
                <w:sz w:val="18"/>
                <w:szCs w:val="18"/>
                <w:lang w:val="es-ES"/>
              </w:rPr>
              <w:t>485,193.37</w:t>
            </w:r>
          </w:p>
        </w:tc>
        <w:tc>
          <w:tcPr>
            <w:tcW w:w="1459" w:type="dxa"/>
            <w:vAlign w:val="center"/>
          </w:tcPr>
          <w:p w14:paraId="662EB02B" w14:textId="77777777" w:rsidR="00EB51C1" w:rsidRPr="00C82BD1" w:rsidRDefault="00FF626A" w:rsidP="004A70D4">
            <w:pPr>
              <w:pStyle w:val="ListParagraph"/>
              <w:spacing w:after="0" w:line="240" w:lineRule="auto"/>
              <w:ind w:left="0"/>
              <w:jc w:val="center"/>
              <w:rPr>
                <w:rFonts w:ascii="Arial" w:hAnsi="Arial" w:cs="Arial"/>
                <w:sz w:val="18"/>
                <w:szCs w:val="18"/>
                <w:lang w:val="es-ES"/>
              </w:rPr>
            </w:pPr>
            <w:r w:rsidRPr="00C82BD1">
              <w:rPr>
                <w:rFonts w:ascii="Arial" w:hAnsi="Arial" w:cs="Arial"/>
                <w:sz w:val="18"/>
                <w:szCs w:val="18"/>
                <w:lang w:val="es-ES"/>
              </w:rPr>
              <w:t>243,19</w:t>
            </w:r>
          </w:p>
        </w:tc>
        <w:tc>
          <w:tcPr>
            <w:tcW w:w="1566" w:type="dxa"/>
            <w:vAlign w:val="center"/>
          </w:tcPr>
          <w:p w14:paraId="662EB02C" w14:textId="77777777" w:rsidR="00EB51C1" w:rsidRPr="00C82BD1" w:rsidRDefault="00FF626A" w:rsidP="004A70D4">
            <w:pPr>
              <w:pStyle w:val="ListParagraph"/>
              <w:spacing w:after="0" w:line="240" w:lineRule="auto"/>
              <w:ind w:left="0"/>
              <w:jc w:val="center"/>
              <w:rPr>
                <w:rFonts w:ascii="Arial" w:hAnsi="Arial" w:cs="Arial"/>
                <w:sz w:val="18"/>
                <w:szCs w:val="18"/>
                <w:lang w:val="es-ES"/>
              </w:rPr>
            </w:pPr>
            <w:r w:rsidRPr="00C82BD1">
              <w:rPr>
                <w:rFonts w:ascii="Arial" w:hAnsi="Arial" w:cs="Arial"/>
                <w:sz w:val="18"/>
                <w:szCs w:val="18"/>
                <w:lang w:val="es-ES"/>
              </w:rPr>
              <w:t>221,70</w:t>
            </w:r>
          </w:p>
        </w:tc>
        <w:tc>
          <w:tcPr>
            <w:tcW w:w="2070" w:type="dxa"/>
            <w:vAlign w:val="center"/>
          </w:tcPr>
          <w:p w14:paraId="662EB02D" w14:textId="77777777" w:rsidR="00EB51C1" w:rsidRPr="00C82BD1" w:rsidRDefault="00FF626A" w:rsidP="004A70D4">
            <w:pPr>
              <w:pStyle w:val="ListParagraph"/>
              <w:spacing w:after="0" w:line="240" w:lineRule="auto"/>
              <w:ind w:left="0"/>
              <w:jc w:val="center"/>
              <w:rPr>
                <w:rFonts w:ascii="Arial" w:hAnsi="Arial" w:cs="Arial"/>
                <w:sz w:val="18"/>
                <w:szCs w:val="18"/>
                <w:lang w:val="es-ES"/>
              </w:rPr>
            </w:pPr>
            <w:r w:rsidRPr="00C82BD1">
              <w:rPr>
                <w:rFonts w:ascii="Arial" w:hAnsi="Arial" w:cs="Arial"/>
                <w:sz w:val="18"/>
                <w:szCs w:val="18"/>
                <w:lang w:val="es-ES"/>
              </w:rPr>
              <w:t>Muy costo efectivo</w:t>
            </w:r>
          </w:p>
        </w:tc>
      </w:tr>
      <w:tr w:rsidR="00EB51C1" w:rsidRPr="00C82BD1" w14:paraId="662EB034" w14:textId="77777777" w:rsidTr="000C1BD2">
        <w:trPr>
          <w:jc w:val="center"/>
        </w:trPr>
        <w:tc>
          <w:tcPr>
            <w:tcW w:w="2425" w:type="dxa"/>
            <w:vAlign w:val="center"/>
          </w:tcPr>
          <w:p w14:paraId="662EB02F" w14:textId="77777777" w:rsidR="00EB51C1" w:rsidRPr="00C82BD1" w:rsidRDefault="00FF626A" w:rsidP="00517AE5">
            <w:pPr>
              <w:pStyle w:val="ListParagraph"/>
              <w:spacing w:after="0" w:line="240" w:lineRule="auto"/>
              <w:ind w:left="0"/>
              <w:rPr>
                <w:rFonts w:ascii="Arial" w:hAnsi="Arial" w:cs="Arial"/>
                <w:sz w:val="18"/>
                <w:szCs w:val="18"/>
                <w:lang w:val="es-ES"/>
              </w:rPr>
            </w:pPr>
            <w:r w:rsidRPr="00C82BD1">
              <w:rPr>
                <w:rFonts w:ascii="Arial" w:hAnsi="Arial" w:cs="Arial"/>
                <w:sz w:val="18"/>
                <w:szCs w:val="18"/>
                <w:lang w:val="es-ES"/>
              </w:rPr>
              <w:t>Con cobertura del 25</w:t>
            </w:r>
            <w:r w:rsidR="00EB51C1" w:rsidRPr="00C82BD1">
              <w:rPr>
                <w:rFonts w:ascii="Arial" w:hAnsi="Arial" w:cs="Arial"/>
                <w:sz w:val="18"/>
                <w:szCs w:val="18"/>
                <w:lang w:val="es-ES"/>
              </w:rPr>
              <w:t>%</w:t>
            </w:r>
          </w:p>
        </w:tc>
        <w:tc>
          <w:tcPr>
            <w:tcW w:w="1143" w:type="dxa"/>
            <w:vAlign w:val="center"/>
          </w:tcPr>
          <w:p w14:paraId="662EB030" w14:textId="77777777" w:rsidR="00EB51C1" w:rsidRPr="00C82BD1" w:rsidRDefault="009E3F60" w:rsidP="004A70D4">
            <w:pPr>
              <w:pStyle w:val="ListParagraph"/>
              <w:spacing w:after="0" w:line="240" w:lineRule="auto"/>
              <w:ind w:left="0"/>
              <w:jc w:val="center"/>
              <w:rPr>
                <w:rFonts w:ascii="Arial" w:hAnsi="Arial" w:cs="Arial"/>
                <w:sz w:val="18"/>
                <w:szCs w:val="18"/>
                <w:lang w:val="es-ES"/>
              </w:rPr>
            </w:pPr>
            <w:r w:rsidRPr="00C82BD1">
              <w:rPr>
                <w:rFonts w:ascii="Arial" w:hAnsi="Arial" w:cs="Arial"/>
                <w:sz w:val="18"/>
                <w:szCs w:val="18"/>
                <w:lang w:val="es-ES"/>
              </w:rPr>
              <w:t>242,596.68</w:t>
            </w:r>
          </w:p>
        </w:tc>
        <w:tc>
          <w:tcPr>
            <w:tcW w:w="1459" w:type="dxa"/>
            <w:vAlign w:val="center"/>
          </w:tcPr>
          <w:p w14:paraId="662EB031" w14:textId="77777777" w:rsidR="00EB51C1" w:rsidRPr="00C82BD1" w:rsidRDefault="009E3F60" w:rsidP="004A70D4">
            <w:pPr>
              <w:pStyle w:val="ListParagraph"/>
              <w:spacing w:after="0" w:line="240" w:lineRule="auto"/>
              <w:ind w:left="0"/>
              <w:jc w:val="center"/>
              <w:rPr>
                <w:rFonts w:ascii="Arial" w:hAnsi="Arial" w:cs="Arial"/>
                <w:sz w:val="18"/>
                <w:szCs w:val="18"/>
                <w:lang w:val="es-ES"/>
              </w:rPr>
            </w:pPr>
            <w:r w:rsidRPr="00C82BD1">
              <w:rPr>
                <w:rFonts w:ascii="Arial" w:hAnsi="Arial" w:cs="Arial"/>
                <w:sz w:val="18"/>
                <w:szCs w:val="18"/>
                <w:lang w:val="es-ES"/>
              </w:rPr>
              <w:t>486,48</w:t>
            </w:r>
          </w:p>
        </w:tc>
        <w:tc>
          <w:tcPr>
            <w:tcW w:w="1566" w:type="dxa"/>
            <w:vAlign w:val="center"/>
          </w:tcPr>
          <w:p w14:paraId="662EB032" w14:textId="77777777" w:rsidR="00EB51C1" w:rsidRPr="00C82BD1" w:rsidRDefault="009E3F60" w:rsidP="004A70D4">
            <w:pPr>
              <w:pStyle w:val="ListParagraph"/>
              <w:spacing w:after="0" w:line="240" w:lineRule="auto"/>
              <w:ind w:left="0"/>
              <w:jc w:val="center"/>
              <w:rPr>
                <w:rFonts w:ascii="Arial" w:hAnsi="Arial" w:cs="Arial"/>
                <w:sz w:val="18"/>
                <w:szCs w:val="18"/>
                <w:lang w:val="es-ES"/>
              </w:rPr>
            </w:pPr>
            <w:r w:rsidRPr="00C82BD1">
              <w:rPr>
                <w:rFonts w:ascii="Arial" w:hAnsi="Arial" w:cs="Arial"/>
                <w:sz w:val="18"/>
                <w:szCs w:val="18"/>
                <w:lang w:val="es-ES"/>
              </w:rPr>
              <w:t>443,40</w:t>
            </w:r>
          </w:p>
        </w:tc>
        <w:tc>
          <w:tcPr>
            <w:tcW w:w="2070" w:type="dxa"/>
            <w:vAlign w:val="center"/>
          </w:tcPr>
          <w:p w14:paraId="662EB033" w14:textId="77777777" w:rsidR="00EB51C1" w:rsidRPr="00C82BD1" w:rsidRDefault="008A0A7A" w:rsidP="004A70D4">
            <w:pPr>
              <w:pStyle w:val="ListParagraph"/>
              <w:spacing w:after="0" w:line="240" w:lineRule="auto"/>
              <w:ind w:left="0"/>
              <w:jc w:val="center"/>
              <w:rPr>
                <w:rFonts w:ascii="Arial" w:hAnsi="Arial" w:cs="Arial"/>
                <w:sz w:val="18"/>
                <w:szCs w:val="18"/>
                <w:lang w:val="es-ES"/>
              </w:rPr>
            </w:pPr>
            <w:r w:rsidRPr="00C82BD1">
              <w:rPr>
                <w:rFonts w:ascii="Arial" w:hAnsi="Arial" w:cs="Arial"/>
                <w:sz w:val="18"/>
                <w:szCs w:val="18"/>
                <w:lang w:val="es-ES"/>
              </w:rPr>
              <w:t>Muy costo efectivo</w:t>
            </w:r>
          </w:p>
        </w:tc>
      </w:tr>
    </w:tbl>
    <w:p w14:paraId="662EB035" w14:textId="77777777" w:rsidR="00EA22E9" w:rsidRPr="00C82BD1" w:rsidRDefault="00517AE5" w:rsidP="004E0F40">
      <w:pPr>
        <w:spacing w:before="60"/>
        <w:jc w:val="both"/>
        <w:rPr>
          <w:rFonts w:ascii="Arial" w:hAnsi="Arial" w:cs="Arial"/>
          <w:sz w:val="16"/>
          <w:szCs w:val="16"/>
          <w:lang w:val="es-ES"/>
        </w:rPr>
      </w:pPr>
      <w:r w:rsidRPr="00C82BD1">
        <w:rPr>
          <w:rFonts w:ascii="Arial" w:hAnsi="Arial" w:cs="Arial"/>
          <w:sz w:val="16"/>
          <w:szCs w:val="16"/>
          <w:lang w:val="es-ES"/>
        </w:rPr>
        <w:tab/>
      </w:r>
      <w:r w:rsidR="00EA22E9" w:rsidRPr="00C82BD1">
        <w:rPr>
          <w:rFonts w:ascii="Arial" w:hAnsi="Arial" w:cs="Arial"/>
          <w:sz w:val="16"/>
          <w:szCs w:val="16"/>
          <w:lang w:val="es-ES"/>
        </w:rPr>
        <w:t>Fuente: Elaboración propia</w:t>
      </w:r>
    </w:p>
    <w:p w14:paraId="662EB036" w14:textId="77777777" w:rsidR="00EA22E9" w:rsidRPr="00C82BD1" w:rsidRDefault="00EA22E9" w:rsidP="00EA22E9">
      <w:pPr>
        <w:jc w:val="both"/>
        <w:rPr>
          <w:rFonts w:ascii="Arial" w:hAnsi="Arial" w:cs="Arial"/>
          <w:lang w:val="es-ES"/>
        </w:rPr>
      </w:pPr>
    </w:p>
    <w:p w14:paraId="662EB037" w14:textId="77777777" w:rsidR="00EA22E9" w:rsidRPr="00C82BD1" w:rsidRDefault="00EA22E9" w:rsidP="00162A70">
      <w:pPr>
        <w:pStyle w:val="Heading1"/>
        <w:rPr>
          <w:lang w:val="es-ES"/>
        </w:rPr>
      </w:pPr>
      <w:bookmarkStart w:id="16" w:name="_Toc430331022"/>
      <w:r w:rsidRPr="00C82BD1">
        <w:rPr>
          <w:lang w:val="es-ES"/>
        </w:rPr>
        <w:t>Conclusiones</w:t>
      </w:r>
      <w:bookmarkEnd w:id="16"/>
    </w:p>
    <w:p w14:paraId="662EB038" w14:textId="77777777" w:rsidR="00EA22E9" w:rsidRPr="00C82BD1" w:rsidRDefault="00EA22E9" w:rsidP="00EA22E9">
      <w:pPr>
        <w:jc w:val="both"/>
        <w:rPr>
          <w:rFonts w:ascii="Arial" w:hAnsi="Arial" w:cs="Arial"/>
          <w:sz w:val="22"/>
          <w:szCs w:val="22"/>
          <w:lang w:val="es-ES"/>
        </w:rPr>
      </w:pPr>
      <w:r w:rsidRPr="00C82BD1">
        <w:rPr>
          <w:rFonts w:ascii="Arial" w:hAnsi="Arial" w:cs="Arial"/>
          <w:sz w:val="22"/>
          <w:szCs w:val="22"/>
          <w:lang w:val="es-ES"/>
        </w:rPr>
        <w:t xml:space="preserve">Al analizar el costo beneficio del conjunto de intervenciones contempladas </w:t>
      </w:r>
      <w:r w:rsidR="000B0482" w:rsidRPr="00C82BD1">
        <w:rPr>
          <w:rFonts w:ascii="Arial" w:hAnsi="Arial" w:cs="Arial"/>
          <w:sz w:val="22"/>
          <w:szCs w:val="22"/>
          <w:lang w:val="es-ES"/>
        </w:rPr>
        <w:t xml:space="preserve">se puede </w:t>
      </w:r>
      <w:r w:rsidRPr="00C82BD1">
        <w:rPr>
          <w:rFonts w:ascii="Arial" w:hAnsi="Arial" w:cs="Arial"/>
          <w:sz w:val="22"/>
          <w:szCs w:val="22"/>
          <w:lang w:val="es-ES"/>
        </w:rPr>
        <w:t xml:space="preserve">concluir que éstas son muy costo efectivas en términos del impacto que tiene la inversión frente a los desenlaces en salud. Cabe anotar, que no fue posible contar con información para totalidad del conjunto de intervenciones de la </w:t>
      </w:r>
      <w:r w:rsidR="009E3F60" w:rsidRPr="00C82BD1">
        <w:rPr>
          <w:rFonts w:ascii="Arial" w:hAnsi="Arial" w:cs="Arial"/>
          <w:sz w:val="22"/>
          <w:szCs w:val="22"/>
          <w:lang w:val="es-ES"/>
        </w:rPr>
        <w:t>operación</w:t>
      </w:r>
      <w:r w:rsidRPr="00C82BD1">
        <w:rPr>
          <w:rFonts w:ascii="Arial" w:hAnsi="Arial" w:cs="Arial"/>
          <w:sz w:val="22"/>
          <w:szCs w:val="22"/>
          <w:lang w:val="es-ES"/>
        </w:rPr>
        <w:t>, es decir que se sabe que el número de AVADs evitados dentro de la estrategia de extensión de cobertura están subestimados haciendo que el valor del AVAD sea mayor al que realmente es. En ejercicios posteriores se recomienda realizar una aproximación por microcosteo del conjunto de intervenciones y, de esta forma, poder descontar el valor de aquellas intervenciones de las que no se cuenta con información de efectividad medida en AVADs.</w:t>
      </w:r>
    </w:p>
    <w:p w14:paraId="662EB039" w14:textId="77777777" w:rsidR="00EA22E9" w:rsidRPr="00C82BD1" w:rsidRDefault="00EA22E9" w:rsidP="004E0F40">
      <w:pPr>
        <w:spacing w:before="120" w:after="120"/>
        <w:jc w:val="both"/>
        <w:rPr>
          <w:rFonts w:ascii="Arial" w:hAnsi="Arial" w:cs="Arial"/>
          <w:sz w:val="22"/>
          <w:szCs w:val="22"/>
          <w:lang w:val="es-ES"/>
        </w:rPr>
      </w:pPr>
      <w:r w:rsidRPr="00C82BD1">
        <w:rPr>
          <w:rFonts w:ascii="Arial" w:hAnsi="Arial" w:cs="Arial"/>
          <w:sz w:val="22"/>
          <w:szCs w:val="22"/>
          <w:lang w:val="es-ES"/>
        </w:rPr>
        <w:t>Por otra parte, es importante destacar el conjunto de intervenciones dirigidas a los menores cinco años, mujeres en edad fértil y mujeres en estado de embarazo, como aquellas que contribuyen a disminuir de manera sustancial la carga de enfermedad de una población. Toda acción dirigida a estos grupos tiene grandes efectos positivos en salud y donde la inversión en sentidos monetarios no es mayor.</w:t>
      </w:r>
      <w:r w:rsidRPr="00C82BD1">
        <w:rPr>
          <w:rFonts w:ascii="Arial" w:hAnsi="Arial" w:cs="Arial"/>
          <w:sz w:val="22"/>
          <w:szCs w:val="22"/>
          <w:lang w:val="es-ES"/>
        </w:rPr>
        <w:br w:type="page"/>
      </w:r>
    </w:p>
    <w:p w14:paraId="662EB03A" w14:textId="77777777" w:rsidR="00EA22E9" w:rsidRPr="00C82BD1" w:rsidRDefault="00EA22E9" w:rsidP="00162A70">
      <w:pPr>
        <w:pStyle w:val="Heading1"/>
        <w:rPr>
          <w:lang w:val="es-ES"/>
        </w:rPr>
      </w:pPr>
      <w:bookmarkStart w:id="17" w:name="_Toc296257192"/>
      <w:bookmarkStart w:id="18" w:name="_Toc429421754"/>
      <w:bookmarkStart w:id="19" w:name="_Toc430331023"/>
      <w:r w:rsidRPr="00C82BD1">
        <w:rPr>
          <w:lang w:val="es-ES"/>
        </w:rPr>
        <w:lastRenderedPageBreak/>
        <w:t>Referencias</w:t>
      </w:r>
      <w:bookmarkEnd w:id="17"/>
      <w:bookmarkEnd w:id="18"/>
      <w:bookmarkEnd w:id="19"/>
    </w:p>
    <w:p w14:paraId="662EB03B" w14:textId="77777777" w:rsidR="00EA22E9" w:rsidRPr="00C82BD1" w:rsidRDefault="00EA22E9" w:rsidP="00EA22E9">
      <w:pPr>
        <w:pStyle w:val="NormalWeb"/>
        <w:rPr>
          <w:rFonts w:ascii="Arial" w:eastAsiaTheme="minorEastAsia" w:hAnsi="Arial" w:cs="Arial"/>
          <w:noProof/>
          <w:szCs w:val="22"/>
          <w:lang w:val="es-ES"/>
        </w:rPr>
      </w:pPr>
      <w:r w:rsidRPr="00C82BD1">
        <w:rPr>
          <w:rFonts w:ascii="Arial" w:hAnsi="Arial" w:cs="Arial"/>
          <w:szCs w:val="22"/>
          <w:lang w:val="es-ES"/>
        </w:rPr>
        <w:fldChar w:fldCharType="begin" w:fldLock="1"/>
      </w:r>
      <w:r w:rsidRPr="00C82BD1">
        <w:rPr>
          <w:rFonts w:ascii="Arial" w:hAnsi="Arial" w:cs="Arial"/>
          <w:szCs w:val="22"/>
          <w:lang w:val="es-ES"/>
        </w:rPr>
        <w:instrText xml:space="preserve">ADDIN Mendeley Bibliography CSL_BIBLIOGRAPHY </w:instrText>
      </w:r>
      <w:r w:rsidRPr="00C82BD1">
        <w:rPr>
          <w:rFonts w:ascii="Arial" w:hAnsi="Arial" w:cs="Arial"/>
          <w:szCs w:val="22"/>
          <w:lang w:val="es-ES"/>
        </w:rPr>
        <w:fldChar w:fldCharType="separate"/>
      </w:r>
      <w:r w:rsidRPr="00C82BD1">
        <w:rPr>
          <w:rFonts w:ascii="Arial" w:hAnsi="Arial" w:cs="Arial"/>
          <w:noProof/>
          <w:szCs w:val="22"/>
          <w:lang w:val="es-ES"/>
        </w:rPr>
        <w:t xml:space="preserve">Alvis, Nelson, y María Teresa Valenzuela. 2010. “Los QALYs Y DALYs Como Indicadores Sintéticos de Salud.” </w:t>
      </w:r>
      <w:r w:rsidRPr="00C82BD1">
        <w:rPr>
          <w:rFonts w:ascii="Arial" w:hAnsi="Arial" w:cs="Arial"/>
          <w:i/>
          <w:iCs/>
          <w:noProof/>
          <w:szCs w:val="22"/>
          <w:lang w:val="es-ES"/>
        </w:rPr>
        <w:t>Revista Médica de Chile</w:t>
      </w:r>
      <w:r w:rsidRPr="00C82BD1">
        <w:rPr>
          <w:rFonts w:ascii="Arial" w:hAnsi="Arial" w:cs="Arial"/>
          <w:noProof/>
          <w:szCs w:val="22"/>
          <w:lang w:val="es-ES"/>
        </w:rPr>
        <w:t xml:space="preserve"> 138 (September). Sociedad Médica de Santiago: 83–87. doi:10.4067/S0034-98872010001000005.</w:t>
      </w:r>
    </w:p>
    <w:p w14:paraId="662EB03C" w14:textId="77777777" w:rsidR="00EA22E9" w:rsidRPr="00C82BD1" w:rsidRDefault="00EA22E9" w:rsidP="00EA22E9">
      <w:pPr>
        <w:pStyle w:val="NormalWeb"/>
        <w:rPr>
          <w:rFonts w:ascii="Arial" w:hAnsi="Arial" w:cs="Arial"/>
          <w:noProof/>
          <w:szCs w:val="22"/>
          <w:lang w:val="es-ES"/>
        </w:rPr>
      </w:pPr>
      <w:r w:rsidRPr="00C82BD1">
        <w:rPr>
          <w:rFonts w:ascii="Arial" w:hAnsi="Arial" w:cs="Arial"/>
          <w:noProof/>
          <w:szCs w:val="22"/>
          <w:lang w:val="es-ES"/>
        </w:rPr>
        <w:t>Berkley, Seth, Christopher J. L. Murray, Robert Hecht, Helen Saxenian, Philip Musgrove, Jee-Peng Tan, Jose-Luis Bobadilla, Kenneth Hill, y Dean T. Jamison. 1993. “Informe sobre el desarrollo mundial 1993 : investir en salud,” July, 1–351. http://documentos.bancomundial.org/curated/es/1993/07/12711504/world-development-report-1993-investing-health-informe-sobre-el-desarrollo-mundial-1993-investir-en-salud.</w:t>
      </w:r>
    </w:p>
    <w:p w14:paraId="662EB03D" w14:textId="77777777" w:rsidR="00EA22E9" w:rsidRPr="008F145F" w:rsidRDefault="00EA22E9" w:rsidP="00EA22E9">
      <w:pPr>
        <w:pStyle w:val="NormalWeb"/>
        <w:rPr>
          <w:rFonts w:ascii="Arial" w:hAnsi="Arial" w:cs="Arial"/>
          <w:noProof/>
          <w:szCs w:val="22"/>
        </w:rPr>
      </w:pPr>
      <w:r w:rsidRPr="00C82BD1">
        <w:rPr>
          <w:rFonts w:ascii="Arial" w:hAnsi="Arial" w:cs="Arial"/>
          <w:noProof/>
          <w:szCs w:val="22"/>
          <w:lang w:val="es-ES"/>
        </w:rPr>
        <w:t xml:space="preserve">Bobadilla, J L, P Cowley, P Musgrove, y H Saxenian. </w:t>
      </w:r>
      <w:r w:rsidRPr="008F145F">
        <w:rPr>
          <w:rFonts w:ascii="Arial" w:hAnsi="Arial" w:cs="Arial"/>
          <w:noProof/>
          <w:szCs w:val="22"/>
        </w:rPr>
        <w:t xml:space="preserve">1994. “Design, Content y Financing of an Essential National Package of Health Services.” </w:t>
      </w:r>
      <w:r w:rsidRPr="008F145F">
        <w:rPr>
          <w:rFonts w:ascii="Arial" w:hAnsi="Arial" w:cs="Arial"/>
          <w:i/>
          <w:iCs/>
          <w:noProof/>
          <w:szCs w:val="22"/>
        </w:rPr>
        <w:t>Bulletin of the World Health Organization</w:t>
      </w:r>
      <w:r w:rsidRPr="008F145F">
        <w:rPr>
          <w:rFonts w:ascii="Arial" w:hAnsi="Arial" w:cs="Arial"/>
          <w:noProof/>
          <w:szCs w:val="22"/>
        </w:rPr>
        <w:t xml:space="preserve"> 72 (4): 653–62. http://www.pubmedcentral.nih.gov/articlerender.fcgi?artid=2486601&amp;tool=pmcentrez&amp;rendertype=abstract.</w:t>
      </w:r>
    </w:p>
    <w:p w14:paraId="662EB03E" w14:textId="77777777" w:rsidR="00EA22E9" w:rsidRPr="008F145F" w:rsidRDefault="00EA22E9" w:rsidP="00EA22E9">
      <w:pPr>
        <w:pStyle w:val="NormalWeb"/>
        <w:rPr>
          <w:rFonts w:ascii="Arial" w:hAnsi="Arial" w:cs="Arial"/>
          <w:noProof/>
          <w:szCs w:val="22"/>
        </w:rPr>
      </w:pPr>
      <w:r w:rsidRPr="008F145F">
        <w:rPr>
          <w:rFonts w:ascii="Arial" w:hAnsi="Arial" w:cs="Arial"/>
          <w:noProof/>
          <w:szCs w:val="22"/>
        </w:rPr>
        <w:t xml:space="preserve">Fox-Rushby, J A, y K Hanson. 2001. “Calculating y Presenting Disability Adjusted Life Years (DALYs) in Cost-Effectiveness Analysis.” </w:t>
      </w:r>
      <w:r w:rsidRPr="008F145F">
        <w:rPr>
          <w:rFonts w:ascii="Arial" w:hAnsi="Arial" w:cs="Arial"/>
          <w:i/>
          <w:iCs/>
          <w:noProof/>
          <w:szCs w:val="22"/>
        </w:rPr>
        <w:t>Health Policy y Planning</w:t>
      </w:r>
      <w:r w:rsidRPr="008F145F">
        <w:rPr>
          <w:rFonts w:ascii="Arial" w:hAnsi="Arial" w:cs="Arial"/>
          <w:noProof/>
          <w:szCs w:val="22"/>
        </w:rPr>
        <w:t xml:space="preserve"> 16 (3): 326–31. http://www.ncbi.nlm.nih.gov/pubmed/11527874.</w:t>
      </w:r>
    </w:p>
    <w:p w14:paraId="662EB03F" w14:textId="77777777" w:rsidR="00EA22E9" w:rsidRPr="008F145F" w:rsidRDefault="00EA22E9" w:rsidP="00EA22E9">
      <w:pPr>
        <w:pStyle w:val="NormalWeb"/>
        <w:rPr>
          <w:rFonts w:ascii="Arial" w:hAnsi="Arial" w:cs="Arial"/>
          <w:noProof/>
          <w:szCs w:val="22"/>
        </w:rPr>
      </w:pPr>
      <w:r w:rsidRPr="008F145F">
        <w:rPr>
          <w:rFonts w:ascii="Arial" w:hAnsi="Arial" w:cs="Arial"/>
          <w:noProof/>
          <w:szCs w:val="22"/>
        </w:rPr>
        <w:t xml:space="preserve">Guanais, Frederico, y James Macinko. 2009. “Primary Care y Avoidable Hospitalizations: Evidence from Brazil.” </w:t>
      </w:r>
      <w:r w:rsidRPr="008F145F">
        <w:rPr>
          <w:rFonts w:ascii="Arial" w:hAnsi="Arial" w:cs="Arial"/>
          <w:i/>
          <w:iCs/>
          <w:noProof/>
          <w:szCs w:val="22"/>
        </w:rPr>
        <w:t>The Journal of Ambulatory Care Management</w:t>
      </w:r>
      <w:r w:rsidRPr="008F145F">
        <w:rPr>
          <w:rFonts w:ascii="Arial" w:hAnsi="Arial" w:cs="Arial"/>
          <w:noProof/>
          <w:szCs w:val="22"/>
        </w:rPr>
        <w:t xml:space="preserve"> 32 (2): 115–22. doi:10.1097/JAC.0b013e31819942e51.</w:t>
      </w:r>
    </w:p>
    <w:p w14:paraId="662EB040" w14:textId="77777777" w:rsidR="00EA22E9" w:rsidRPr="008F145F" w:rsidRDefault="00EA22E9" w:rsidP="00EA22E9">
      <w:pPr>
        <w:pStyle w:val="NormalWeb"/>
        <w:rPr>
          <w:rFonts w:ascii="Arial" w:hAnsi="Arial" w:cs="Arial"/>
          <w:noProof/>
          <w:szCs w:val="22"/>
        </w:rPr>
      </w:pPr>
      <w:r w:rsidRPr="008F145F">
        <w:rPr>
          <w:rFonts w:ascii="Arial" w:hAnsi="Arial" w:cs="Arial"/>
          <w:noProof/>
          <w:szCs w:val="22"/>
        </w:rPr>
        <w:t>Jamison, Dean T, Joel G Breman, Anthony R Measham, George Alleyne, Mariam Claeson, David B Evans, Prabhat Jha, Anne Mills, y Philip Musgrove. 2006. “Disease Control Priorities in Developing Countries.” World Bank. http://www.ncbi.nlm.nih.gov/books/NBK11728/.</w:t>
      </w:r>
    </w:p>
    <w:p w14:paraId="662EB041" w14:textId="77777777" w:rsidR="00EA22E9" w:rsidRPr="008F145F" w:rsidRDefault="00EA22E9" w:rsidP="00EA22E9">
      <w:pPr>
        <w:pStyle w:val="NormalWeb"/>
        <w:rPr>
          <w:rFonts w:ascii="Arial" w:hAnsi="Arial" w:cs="Arial"/>
          <w:noProof/>
          <w:szCs w:val="22"/>
        </w:rPr>
      </w:pPr>
      <w:r w:rsidRPr="008F145F">
        <w:rPr>
          <w:rFonts w:ascii="Arial" w:hAnsi="Arial" w:cs="Arial"/>
          <w:noProof/>
          <w:szCs w:val="22"/>
        </w:rPr>
        <w:t xml:space="preserve">Lopez, Humberto. 2008. </w:t>
      </w:r>
      <w:r w:rsidRPr="008F145F">
        <w:rPr>
          <w:rFonts w:ascii="Arial" w:hAnsi="Arial" w:cs="Arial"/>
          <w:i/>
          <w:iCs/>
          <w:noProof/>
          <w:szCs w:val="22"/>
        </w:rPr>
        <w:t>The Social Discount Rate: Estimates For Nine Latin American Countries</w:t>
      </w:r>
      <w:r w:rsidRPr="008F145F">
        <w:rPr>
          <w:rFonts w:ascii="Arial" w:hAnsi="Arial" w:cs="Arial"/>
          <w:noProof/>
          <w:szCs w:val="22"/>
        </w:rPr>
        <w:t>. Policy Research Working Papers. The World Bank. doi:10.1596/1813-9450-4639.</w:t>
      </w:r>
    </w:p>
    <w:p w14:paraId="662EB042" w14:textId="77777777" w:rsidR="00EA22E9" w:rsidRPr="008F145F" w:rsidRDefault="00EA22E9" w:rsidP="00EA22E9">
      <w:pPr>
        <w:pStyle w:val="NormalWeb"/>
        <w:rPr>
          <w:rFonts w:ascii="Arial" w:hAnsi="Arial" w:cs="Arial"/>
          <w:noProof/>
          <w:szCs w:val="22"/>
        </w:rPr>
      </w:pPr>
      <w:r w:rsidRPr="008F145F">
        <w:rPr>
          <w:rFonts w:ascii="Arial" w:hAnsi="Arial" w:cs="Arial"/>
          <w:noProof/>
          <w:szCs w:val="22"/>
        </w:rPr>
        <w:t xml:space="preserve">Macinko, James, Veneza B de Oliveira, Maria A Turci, Frederico C Guanais, Palmira F Bonolo, y Maria F Lima-Costa. 2011. “The Influence of Primary Care y Hospital Supply on Ambulatory Care-Sensitive Hospitalizations among Adults in Brazil, 1999-2007.” </w:t>
      </w:r>
      <w:r w:rsidRPr="008F145F">
        <w:rPr>
          <w:rFonts w:ascii="Arial" w:hAnsi="Arial" w:cs="Arial"/>
          <w:i/>
          <w:iCs/>
          <w:noProof/>
          <w:szCs w:val="22"/>
        </w:rPr>
        <w:t>American Journal of Public Health</w:t>
      </w:r>
      <w:r w:rsidRPr="008F145F">
        <w:rPr>
          <w:rFonts w:ascii="Arial" w:hAnsi="Arial" w:cs="Arial"/>
          <w:noProof/>
          <w:szCs w:val="22"/>
        </w:rPr>
        <w:t xml:space="preserve"> 101 (10): 1963–70. doi:10.2105/AJPH.2010.198887.</w:t>
      </w:r>
    </w:p>
    <w:p w14:paraId="662EB043" w14:textId="77777777" w:rsidR="00EA22E9" w:rsidRPr="008F145F" w:rsidRDefault="00EA22E9" w:rsidP="00EA22E9">
      <w:pPr>
        <w:pStyle w:val="NormalWeb"/>
        <w:rPr>
          <w:rFonts w:ascii="Arial" w:hAnsi="Arial" w:cs="Arial"/>
          <w:noProof/>
          <w:szCs w:val="22"/>
        </w:rPr>
      </w:pPr>
      <w:r w:rsidRPr="008F145F">
        <w:rPr>
          <w:rFonts w:ascii="Arial" w:hAnsi="Arial" w:cs="Arial"/>
          <w:noProof/>
          <w:szCs w:val="22"/>
        </w:rPr>
        <w:t xml:space="preserve">Macinko, James, y Matthew Harris. 2015. “Brazil’s Family Health Strategy — Delivering Community-Based Primary Care in a Universal Health System.” </w:t>
      </w:r>
      <w:r w:rsidRPr="008F145F">
        <w:rPr>
          <w:rFonts w:ascii="Arial" w:hAnsi="Arial" w:cs="Arial"/>
          <w:i/>
          <w:iCs/>
          <w:noProof/>
          <w:szCs w:val="22"/>
        </w:rPr>
        <w:t>The New England Journal of Medicine</w:t>
      </w:r>
      <w:r w:rsidRPr="008F145F">
        <w:rPr>
          <w:rFonts w:ascii="Arial" w:hAnsi="Arial" w:cs="Arial"/>
          <w:noProof/>
          <w:szCs w:val="22"/>
        </w:rPr>
        <w:t xml:space="preserve"> 372 (23): 2177–81. doi:10.1056/NEJMp1501140.</w:t>
      </w:r>
    </w:p>
    <w:p w14:paraId="662EB044" w14:textId="77777777" w:rsidR="00EA22E9" w:rsidRPr="008F145F" w:rsidRDefault="00EA22E9" w:rsidP="00EA22E9">
      <w:pPr>
        <w:pStyle w:val="NormalWeb"/>
        <w:rPr>
          <w:rFonts w:ascii="Arial" w:hAnsi="Arial" w:cs="Arial"/>
          <w:noProof/>
          <w:szCs w:val="22"/>
        </w:rPr>
      </w:pPr>
      <w:r w:rsidRPr="008F145F">
        <w:rPr>
          <w:rFonts w:ascii="Arial" w:hAnsi="Arial" w:cs="Arial"/>
          <w:noProof/>
          <w:szCs w:val="22"/>
        </w:rPr>
        <w:t xml:space="preserve">Martinez, R, y A Fernández. 2008. </w:t>
      </w:r>
      <w:r w:rsidRPr="008F145F">
        <w:rPr>
          <w:rFonts w:ascii="Arial" w:hAnsi="Arial" w:cs="Arial"/>
          <w:i/>
          <w:iCs/>
          <w:noProof/>
          <w:szCs w:val="22"/>
        </w:rPr>
        <w:t>The Cost of Hunger: Social y Economic Impact of Child Undernutrition in Central America y the Dominican Republic</w:t>
      </w:r>
      <w:r w:rsidRPr="008F145F">
        <w:rPr>
          <w:rFonts w:ascii="Arial" w:hAnsi="Arial" w:cs="Arial"/>
          <w:noProof/>
          <w:szCs w:val="22"/>
        </w:rPr>
        <w:t>. http://gommes.net/wergosum/wp-content/uploads/2012/07/2008_cost-of-hunger_wfp.pdf.</w:t>
      </w:r>
    </w:p>
    <w:p w14:paraId="662EB045" w14:textId="77777777" w:rsidR="00EA22E9" w:rsidRPr="00C82BD1" w:rsidRDefault="00EA22E9" w:rsidP="00EA22E9">
      <w:pPr>
        <w:pStyle w:val="NormalWeb"/>
        <w:rPr>
          <w:rFonts w:ascii="Arial" w:hAnsi="Arial" w:cs="Arial"/>
          <w:noProof/>
          <w:szCs w:val="22"/>
          <w:lang w:val="es-ES"/>
        </w:rPr>
      </w:pPr>
      <w:r w:rsidRPr="008F145F">
        <w:rPr>
          <w:rFonts w:ascii="Arial" w:hAnsi="Arial" w:cs="Arial"/>
          <w:noProof/>
          <w:szCs w:val="22"/>
        </w:rPr>
        <w:t xml:space="preserve">Mathers, Colin, Theo Vos, Alan Lopez, Josh Salomon, y Majid Ezzati, eds. 2001. </w:t>
      </w:r>
      <w:r w:rsidRPr="00C82BD1">
        <w:rPr>
          <w:rFonts w:ascii="Arial" w:hAnsi="Arial" w:cs="Arial"/>
          <w:i/>
          <w:iCs/>
          <w:noProof/>
          <w:szCs w:val="22"/>
          <w:lang w:val="es-ES"/>
        </w:rPr>
        <w:t>National Burden of Disease Studies: A Practical Guide. Edition 2.0</w:t>
      </w:r>
      <w:r w:rsidRPr="00C82BD1">
        <w:rPr>
          <w:rFonts w:ascii="Arial" w:hAnsi="Arial" w:cs="Arial"/>
          <w:noProof/>
          <w:szCs w:val="22"/>
          <w:lang w:val="es-ES"/>
        </w:rPr>
        <w:t>. Giinebra, Suiza: Organización Mundial de la Salud.</w:t>
      </w:r>
    </w:p>
    <w:p w14:paraId="662EB046" w14:textId="77777777" w:rsidR="00EA22E9" w:rsidRPr="008F145F" w:rsidRDefault="00EA22E9" w:rsidP="00EA22E9">
      <w:pPr>
        <w:pStyle w:val="Bibliography"/>
        <w:contextualSpacing/>
        <w:rPr>
          <w:rFonts w:ascii="Arial" w:hAnsi="Arial" w:cs="Arial"/>
          <w:noProof/>
          <w:sz w:val="22"/>
          <w:szCs w:val="22"/>
        </w:rPr>
      </w:pPr>
      <w:r w:rsidRPr="00C82BD1">
        <w:rPr>
          <w:rFonts w:ascii="Arial" w:hAnsi="Arial" w:cs="Arial"/>
          <w:noProof/>
          <w:sz w:val="22"/>
          <w:szCs w:val="22"/>
          <w:lang w:val="es-ES"/>
        </w:rPr>
        <w:lastRenderedPageBreak/>
        <w:t xml:space="preserve">Murray, C J, y A D Lopez. </w:t>
      </w:r>
      <w:r w:rsidRPr="008F145F">
        <w:rPr>
          <w:rFonts w:ascii="Arial" w:hAnsi="Arial" w:cs="Arial"/>
          <w:noProof/>
          <w:sz w:val="22"/>
          <w:szCs w:val="22"/>
        </w:rPr>
        <w:t xml:space="preserve">1994. “Quantifying Disability: Data, Methods y Results.” </w:t>
      </w:r>
      <w:r w:rsidRPr="008F145F">
        <w:rPr>
          <w:rFonts w:ascii="Arial" w:hAnsi="Arial" w:cs="Arial"/>
          <w:i/>
          <w:iCs/>
          <w:noProof/>
          <w:sz w:val="22"/>
          <w:szCs w:val="22"/>
        </w:rPr>
        <w:t>Bulletin of the World Health Organization</w:t>
      </w:r>
      <w:r w:rsidRPr="008F145F">
        <w:rPr>
          <w:rFonts w:ascii="Arial" w:hAnsi="Arial" w:cs="Arial"/>
          <w:noProof/>
          <w:sz w:val="22"/>
          <w:szCs w:val="22"/>
        </w:rPr>
        <w:t xml:space="preserve"> 72 (3): 481–94. http://www.pubmedcentral.nih.gov/articlerender.fcgi?artid=2486704&amp;tool=pmcentrez&amp;rendertype=abstract.</w:t>
      </w:r>
    </w:p>
    <w:p w14:paraId="662EB047" w14:textId="77777777" w:rsidR="00EA22E9" w:rsidRPr="008F145F" w:rsidRDefault="00EA22E9" w:rsidP="00EA22E9">
      <w:pPr>
        <w:pStyle w:val="NormalWeb"/>
        <w:rPr>
          <w:rFonts w:ascii="Arial" w:hAnsi="Arial" w:cs="Arial"/>
          <w:noProof/>
          <w:szCs w:val="22"/>
        </w:rPr>
      </w:pPr>
      <w:r w:rsidRPr="008F145F">
        <w:rPr>
          <w:rFonts w:ascii="Arial" w:hAnsi="Arial" w:cs="Arial"/>
          <w:noProof/>
          <w:szCs w:val="22"/>
        </w:rPr>
        <w:t xml:space="preserve">Murray, Christopher J L, Jeremy A Lauer, Raymond C W Hutubessy, Louis Niessen, Niels Tomijima, Anthony Rodgers, Carlene M M Lawes, y David B Evans. 2003. “Effectiveness y Costs of Interventions to Lower Systolic Blood Pressure y Cholesterol: A Global y Regional Analysis on Reduction of Cardiovascular-Disease Risk.” </w:t>
      </w:r>
      <w:r w:rsidRPr="008F145F">
        <w:rPr>
          <w:rFonts w:ascii="Arial" w:hAnsi="Arial" w:cs="Arial"/>
          <w:i/>
          <w:iCs/>
          <w:noProof/>
          <w:szCs w:val="22"/>
        </w:rPr>
        <w:t>Lancet</w:t>
      </w:r>
      <w:r w:rsidRPr="008F145F">
        <w:rPr>
          <w:rFonts w:ascii="Arial" w:hAnsi="Arial" w:cs="Arial"/>
          <w:noProof/>
          <w:szCs w:val="22"/>
        </w:rPr>
        <w:t xml:space="preserve"> 361 (9359): 717–25. doi:10.1016/S0140-6736(03)12655-4.</w:t>
      </w:r>
    </w:p>
    <w:p w14:paraId="662EB048" w14:textId="77777777" w:rsidR="00EA22E9" w:rsidRPr="00C82BD1" w:rsidRDefault="00EA22E9" w:rsidP="00EA22E9">
      <w:pPr>
        <w:pStyle w:val="NormalWeb"/>
        <w:rPr>
          <w:rFonts w:ascii="Arial" w:hAnsi="Arial" w:cs="Arial"/>
          <w:noProof/>
          <w:szCs w:val="22"/>
          <w:lang w:val="es-ES"/>
        </w:rPr>
      </w:pPr>
      <w:r w:rsidRPr="00A33422">
        <w:rPr>
          <w:rFonts w:ascii="Arial" w:hAnsi="Arial" w:cs="Arial"/>
          <w:noProof/>
          <w:szCs w:val="22"/>
        </w:rPr>
        <w:t xml:space="preserve">Organización Mundial de la Salud. </w:t>
      </w:r>
      <w:r w:rsidRPr="008F145F">
        <w:rPr>
          <w:rFonts w:ascii="Arial" w:hAnsi="Arial" w:cs="Arial"/>
          <w:noProof/>
          <w:szCs w:val="22"/>
        </w:rPr>
        <w:t xml:space="preserve">2008. “Cost effectiveness thresholds (WHO-CHOICE).” </w:t>
      </w:r>
      <w:r w:rsidRPr="00C82BD1">
        <w:rPr>
          <w:rFonts w:ascii="Arial" w:hAnsi="Arial" w:cs="Arial"/>
          <w:noProof/>
          <w:szCs w:val="22"/>
          <w:lang w:val="es-ES"/>
        </w:rPr>
        <w:t xml:space="preserve">Ginebra, Suiza: Organización Mundial de la Salud. </w:t>
      </w:r>
      <w:hyperlink r:id="rId19" w:history="1">
        <w:r w:rsidRPr="00C82BD1">
          <w:rPr>
            <w:rFonts w:ascii="Arial" w:hAnsi="Arial" w:cs="Arial"/>
            <w:noProof/>
            <w:szCs w:val="22"/>
            <w:lang w:val="es-ES"/>
          </w:rPr>
          <w:t>http://www.who.int/choice/costs/CER_thresholds/en/index.html</w:t>
        </w:r>
      </w:hyperlink>
    </w:p>
    <w:p w14:paraId="662EB049" w14:textId="77777777" w:rsidR="00EA22E9" w:rsidRPr="00C82BD1" w:rsidRDefault="00EA22E9" w:rsidP="00EA22E9">
      <w:pPr>
        <w:pStyle w:val="NormalWeb"/>
        <w:rPr>
          <w:rFonts w:ascii="Arial" w:hAnsi="Arial" w:cs="Arial"/>
          <w:noProof/>
          <w:szCs w:val="22"/>
          <w:lang w:val="es-ES"/>
        </w:rPr>
      </w:pPr>
      <w:r w:rsidRPr="00C82BD1">
        <w:rPr>
          <w:rFonts w:ascii="Arial" w:hAnsi="Arial" w:cs="Arial"/>
          <w:noProof/>
          <w:szCs w:val="22"/>
          <w:lang w:val="es-ES"/>
        </w:rPr>
        <w:t xml:space="preserve">Organización Mundial de la Salud. </w:t>
      </w:r>
      <w:r w:rsidRPr="008F145F">
        <w:rPr>
          <w:rFonts w:ascii="Arial" w:hAnsi="Arial" w:cs="Arial"/>
          <w:noProof/>
          <w:szCs w:val="22"/>
        </w:rPr>
        <w:t xml:space="preserve">2015. “Cost Effectiveness y Strategic Planning (WHO-CHOICE).” </w:t>
      </w:r>
      <w:r w:rsidRPr="00C82BD1">
        <w:rPr>
          <w:rFonts w:ascii="Arial" w:hAnsi="Arial" w:cs="Arial"/>
          <w:noProof/>
          <w:szCs w:val="22"/>
          <w:lang w:val="es-ES"/>
        </w:rPr>
        <w:t>Ginebra, Suiza: Organización Mundial de la Salud. http://www.who.int/choice/costs/CER_thresholds/en/.</w:t>
      </w:r>
    </w:p>
    <w:p w14:paraId="662EB04A" w14:textId="77777777" w:rsidR="00EA22E9" w:rsidRPr="008F145F" w:rsidRDefault="00EA22E9" w:rsidP="00EA22E9">
      <w:pPr>
        <w:pStyle w:val="NormalWeb"/>
        <w:rPr>
          <w:rFonts w:ascii="Arial" w:hAnsi="Arial" w:cs="Arial"/>
          <w:noProof/>
          <w:szCs w:val="22"/>
        </w:rPr>
      </w:pPr>
      <w:r w:rsidRPr="008F145F">
        <w:rPr>
          <w:rFonts w:ascii="Arial" w:hAnsi="Arial" w:cs="Arial"/>
          <w:noProof/>
          <w:szCs w:val="22"/>
          <w:lang w:val="pt-BR"/>
        </w:rPr>
        <w:t xml:space="preserve">Paim, J., Travassos, C., Almeida, C., Bahia, L., y Macinko, J. (2011). </w:t>
      </w:r>
      <w:r w:rsidRPr="008F145F">
        <w:rPr>
          <w:rFonts w:ascii="Arial" w:hAnsi="Arial" w:cs="Arial"/>
          <w:noProof/>
          <w:szCs w:val="22"/>
        </w:rPr>
        <w:t xml:space="preserve">“The Brazilian health system: history, advances, and challenges.“ </w:t>
      </w:r>
      <w:r w:rsidRPr="008F145F">
        <w:rPr>
          <w:rFonts w:ascii="Arial" w:hAnsi="Arial" w:cs="Arial"/>
          <w:i/>
          <w:noProof/>
          <w:szCs w:val="22"/>
        </w:rPr>
        <w:t>The Lancet</w:t>
      </w:r>
      <w:r w:rsidRPr="008F145F">
        <w:rPr>
          <w:rFonts w:ascii="Arial" w:hAnsi="Arial" w:cs="Arial"/>
          <w:noProof/>
          <w:szCs w:val="22"/>
        </w:rPr>
        <w:t>. 377(9779): 1778-97.</w:t>
      </w:r>
    </w:p>
    <w:p w14:paraId="662EB04B" w14:textId="77777777" w:rsidR="00EA22E9" w:rsidRPr="008F145F" w:rsidRDefault="00EA22E9" w:rsidP="00EA22E9">
      <w:pPr>
        <w:pStyle w:val="NormalWeb"/>
        <w:rPr>
          <w:rFonts w:ascii="Arial" w:hAnsi="Arial" w:cs="Arial"/>
          <w:noProof/>
          <w:szCs w:val="22"/>
        </w:rPr>
      </w:pPr>
      <w:r w:rsidRPr="008F145F">
        <w:rPr>
          <w:rFonts w:ascii="Arial" w:hAnsi="Arial" w:cs="Arial"/>
          <w:noProof/>
          <w:szCs w:val="22"/>
        </w:rPr>
        <w:t xml:space="preserve">Rocha, R. and Soares, RR. (2010). “Evaluating the impacto of community-based health interventions: evidence from Brazil´s Family Health Program.“ </w:t>
      </w:r>
      <w:r w:rsidRPr="008F145F">
        <w:rPr>
          <w:rFonts w:ascii="Arial" w:hAnsi="Arial" w:cs="Arial"/>
          <w:i/>
          <w:noProof/>
          <w:szCs w:val="22"/>
        </w:rPr>
        <w:t>Health Economics</w:t>
      </w:r>
      <w:r w:rsidRPr="008F145F">
        <w:rPr>
          <w:rFonts w:ascii="Arial" w:hAnsi="Arial" w:cs="Arial"/>
          <w:noProof/>
          <w:szCs w:val="22"/>
        </w:rPr>
        <w:t>. 126-58</w:t>
      </w:r>
    </w:p>
    <w:p w14:paraId="662EB04C" w14:textId="77777777" w:rsidR="00EA22E9" w:rsidRPr="008F145F" w:rsidRDefault="00EA22E9" w:rsidP="00EA22E9">
      <w:pPr>
        <w:pStyle w:val="NormalWeb"/>
        <w:rPr>
          <w:rFonts w:ascii="Arial" w:hAnsi="Arial" w:cs="Arial"/>
          <w:noProof/>
          <w:szCs w:val="22"/>
        </w:rPr>
      </w:pPr>
      <w:r w:rsidRPr="008F145F">
        <w:rPr>
          <w:rFonts w:ascii="Arial" w:hAnsi="Arial" w:cs="Arial"/>
          <w:noProof/>
          <w:szCs w:val="22"/>
        </w:rPr>
        <w:t xml:space="preserve">Salomon, Joshua A, Natalie Carvalho, Cristina Gutiérrez-Delgado, Ricardo Orozco, Anna Mancuso, Daniel R Hogan, Diana Lee, et al. 2012. “Intervention Strategies to Reduce the Burden of Non-Communicable Diseases in Mexico: Cost Effectiveness Analysis.” </w:t>
      </w:r>
      <w:r w:rsidRPr="008F145F">
        <w:rPr>
          <w:rFonts w:ascii="Arial" w:hAnsi="Arial" w:cs="Arial"/>
          <w:i/>
          <w:iCs/>
          <w:noProof/>
          <w:szCs w:val="22"/>
        </w:rPr>
        <w:t>BMJ (Clinical Research Ed.)</w:t>
      </w:r>
      <w:r w:rsidRPr="008F145F">
        <w:rPr>
          <w:rFonts w:ascii="Arial" w:hAnsi="Arial" w:cs="Arial"/>
          <w:noProof/>
          <w:szCs w:val="22"/>
        </w:rPr>
        <w:t xml:space="preserve"> 344 (mar02_1): e355. doi:10.1136/bmj.e355.</w:t>
      </w:r>
    </w:p>
    <w:p w14:paraId="662EB04D" w14:textId="77777777" w:rsidR="00EA22E9" w:rsidRPr="00C82BD1" w:rsidRDefault="00EA22E9" w:rsidP="00EA22E9">
      <w:pPr>
        <w:pStyle w:val="NormalWeb"/>
        <w:rPr>
          <w:rFonts w:ascii="Arial" w:hAnsi="Arial" w:cs="Arial"/>
          <w:noProof/>
          <w:szCs w:val="22"/>
          <w:lang w:val="es-ES"/>
        </w:rPr>
      </w:pPr>
      <w:r w:rsidRPr="008F145F">
        <w:rPr>
          <w:rFonts w:ascii="Arial" w:hAnsi="Arial" w:cs="Arial"/>
          <w:noProof/>
          <w:szCs w:val="22"/>
        </w:rPr>
        <w:t xml:space="preserve">Tan-Torres Edejer, T, R. Baltussen, T Adam, R Hutubessy, A. Acharya, D.B. Evans, y C.J.L. Murray, eds. 2003. </w:t>
      </w:r>
      <w:r w:rsidRPr="008F145F">
        <w:rPr>
          <w:rFonts w:ascii="Arial" w:hAnsi="Arial" w:cs="Arial"/>
          <w:i/>
          <w:iCs/>
          <w:noProof/>
          <w:szCs w:val="22"/>
        </w:rPr>
        <w:t>Making Choices in Health:WHO Guide to Cost-Effectiveness Analysis</w:t>
      </w:r>
      <w:r w:rsidRPr="008F145F">
        <w:rPr>
          <w:rFonts w:ascii="Arial" w:hAnsi="Arial" w:cs="Arial"/>
          <w:noProof/>
          <w:szCs w:val="22"/>
        </w:rPr>
        <w:t xml:space="preserve">. </w:t>
      </w:r>
      <w:r w:rsidRPr="00C82BD1">
        <w:rPr>
          <w:rFonts w:ascii="Arial" w:hAnsi="Arial" w:cs="Arial"/>
          <w:noProof/>
          <w:szCs w:val="22"/>
          <w:lang w:val="es-ES"/>
        </w:rPr>
        <w:t>Ginebra, Suiza: Organización Mundial de la Salud.</w:t>
      </w:r>
    </w:p>
    <w:p w14:paraId="662EB04E" w14:textId="77777777" w:rsidR="00E17181" w:rsidRPr="008F145F" w:rsidRDefault="00EA22E9" w:rsidP="00517AE5">
      <w:pPr>
        <w:pStyle w:val="NormalWeb"/>
        <w:rPr>
          <w:rFonts w:ascii="Arial" w:hAnsi="Arial" w:cs="Arial"/>
          <w:szCs w:val="22"/>
        </w:rPr>
      </w:pPr>
      <w:r w:rsidRPr="00C82BD1">
        <w:rPr>
          <w:rFonts w:ascii="Arial" w:hAnsi="Arial" w:cs="Arial"/>
          <w:noProof/>
          <w:szCs w:val="22"/>
          <w:lang w:val="es-ES"/>
        </w:rPr>
        <w:t xml:space="preserve">Zhuang, J, Z Liang, T Lin, y F De Guzman. </w:t>
      </w:r>
      <w:r w:rsidRPr="008F145F">
        <w:rPr>
          <w:rFonts w:ascii="Arial" w:hAnsi="Arial" w:cs="Arial"/>
          <w:noProof/>
          <w:szCs w:val="22"/>
        </w:rPr>
        <w:t>2007. “Theory y Practice in the Choice of Social Discount Rate for Cost-Benefit Analysis: A Survey.” https://adb-test.atmire.com/handle/11540/1853.</w:t>
      </w:r>
      <w:r w:rsidR="00517AE5" w:rsidRPr="008F145F">
        <w:rPr>
          <w:rFonts w:ascii="Arial" w:hAnsi="Arial" w:cs="Arial"/>
          <w:noProof/>
          <w:szCs w:val="22"/>
        </w:rPr>
        <w:t xml:space="preserve"> </w:t>
      </w:r>
      <w:r w:rsidRPr="00C82BD1">
        <w:rPr>
          <w:rFonts w:ascii="Arial" w:hAnsi="Arial" w:cs="Arial"/>
          <w:szCs w:val="22"/>
          <w:lang w:val="es-ES"/>
        </w:rPr>
        <w:fldChar w:fldCharType="end"/>
      </w:r>
    </w:p>
    <w:sectPr w:rsidR="00E17181" w:rsidRPr="008F145F" w:rsidSect="00517AE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E54808" w14:textId="77777777" w:rsidR="00361EA1" w:rsidRDefault="00361EA1" w:rsidP="00EA22E9">
      <w:r>
        <w:separator/>
      </w:r>
    </w:p>
  </w:endnote>
  <w:endnote w:type="continuationSeparator" w:id="0">
    <w:p w14:paraId="5241C929" w14:textId="77777777" w:rsidR="00361EA1" w:rsidRDefault="00361EA1" w:rsidP="00EA2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itstream Vera Sans">
    <w:altName w:val="MS Mincho"/>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Lucida Grande">
    <w:altName w:val="Segoe UI"/>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92DA3" w14:textId="77777777" w:rsidR="00A33422" w:rsidRDefault="00A334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E4197" w14:textId="77777777" w:rsidR="00A33422" w:rsidRDefault="00A334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5F9C7" w14:textId="77777777" w:rsidR="00A33422" w:rsidRDefault="00A334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43E229" w14:textId="77777777" w:rsidR="00361EA1" w:rsidRDefault="00361EA1" w:rsidP="00EA22E9">
      <w:r>
        <w:separator/>
      </w:r>
    </w:p>
  </w:footnote>
  <w:footnote w:type="continuationSeparator" w:id="0">
    <w:p w14:paraId="638ED2FC" w14:textId="77777777" w:rsidR="00361EA1" w:rsidRDefault="00361EA1" w:rsidP="00EA22E9">
      <w:r>
        <w:continuationSeparator/>
      </w:r>
    </w:p>
  </w:footnote>
  <w:footnote w:id="1">
    <w:p w14:paraId="662EB064" w14:textId="77777777" w:rsidR="001452A8" w:rsidRPr="003E5C08" w:rsidRDefault="001452A8" w:rsidP="00011851">
      <w:pPr>
        <w:pStyle w:val="FootnoteText"/>
        <w:spacing w:after="0"/>
        <w:rPr>
          <w:sz w:val="18"/>
          <w:szCs w:val="18"/>
          <w:lang w:val="es-ES"/>
        </w:rPr>
      </w:pPr>
      <w:r w:rsidRPr="003E5C08">
        <w:rPr>
          <w:rStyle w:val="FootnoteReference"/>
          <w:sz w:val="18"/>
          <w:szCs w:val="18"/>
          <w:lang w:val="es-ES"/>
        </w:rPr>
        <w:footnoteRef/>
      </w:r>
      <w:r w:rsidRPr="003E5C08">
        <w:rPr>
          <w:sz w:val="18"/>
          <w:szCs w:val="18"/>
          <w:lang w:val="es-ES"/>
        </w:rPr>
        <w:t xml:space="preserve"> </w:t>
      </w:r>
      <w:r w:rsidRPr="003E5C08">
        <w:rPr>
          <w:sz w:val="18"/>
          <w:szCs w:val="18"/>
          <w:lang w:val="es-ES"/>
        </w:rPr>
        <w:tab/>
      </w:r>
      <w:r w:rsidRPr="003E5C08">
        <w:rPr>
          <w:spacing w:val="0"/>
          <w:sz w:val="18"/>
          <w:szCs w:val="18"/>
          <w:lang w:val="es-ES"/>
        </w:rPr>
        <w:t>El AVAD es un indicador sintético que combina años de vida perdidos por muerte prematura, y años vividos con una discapacidad de severidad y duración especificadas.</w:t>
      </w:r>
    </w:p>
  </w:footnote>
  <w:footnote w:id="2">
    <w:p w14:paraId="662EB065" w14:textId="77777777" w:rsidR="001452A8" w:rsidRPr="003E5C08" w:rsidRDefault="001452A8" w:rsidP="00011851">
      <w:pPr>
        <w:pStyle w:val="FootnoteText"/>
        <w:spacing w:after="0"/>
        <w:rPr>
          <w:sz w:val="18"/>
          <w:szCs w:val="18"/>
          <w:lang w:val="es-ES"/>
        </w:rPr>
      </w:pPr>
      <w:r w:rsidRPr="003E5C08">
        <w:rPr>
          <w:rStyle w:val="FootnoteReference"/>
          <w:sz w:val="18"/>
          <w:szCs w:val="18"/>
          <w:lang w:val="es-ES"/>
        </w:rPr>
        <w:footnoteRef/>
      </w:r>
      <w:r w:rsidRPr="003E5C08">
        <w:rPr>
          <w:sz w:val="18"/>
          <w:szCs w:val="18"/>
          <w:lang w:val="es-ES"/>
        </w:rPr>
        <w:t xml:space="preserve"> </w:t>
      </w:r>
      <w:r w:rsidRPr="003E5C08">
        <w:rPr>
          <w:sz w:val="18"/>
          <w:szCs w:val="18"/>
          <w:lang w:val="es-ES"/>
        </w:rPr>
        <w:tab/>
        <w:t xml:space="preserve">Dado que la prestación de servicios ya se está brindando a través del NI-L1095, se asume que las magnitudes de beneficios en el año 1 de esta operación son iguales que los beneficios del año cinco. </w:t>
      </w:r>
    </w:p>
  </w:footnote>
  <w:footnote w:id="3">
    <w:p w14:paraId="662EB066" w14:textId="77777777" w:rsidR="001452A8" w:rsidRPr="003E5C08" w:rsidRDefault="001452A8" w:rsidP="00011851">
      <w:pPr>
        <w:pStyle w:val="FootnoteText"/>
        <w:spacing w:after="0"/>
        <w:rPr>
          <w:sz w:val="18"/>
          <w:szCs w:val="18"/>
          <w:lang w:val="es-ES"/>
        </w:rPr>
      </w:pPr>
      <w:r w:rsidRPr="003E5C08">
        <w:rPr>
          <w:sz w:val="18"/>
          <w:szCs w:val="18"/>
          <w:vertAlign w:val="superscript"/>
          <w:lang w:val="es-ES"/>
        </w:rPr>
        <w:footnoteRef/>
      </w:r>
      <w:r w:rsidRPr="003E5C08">
        <w:rPr>
          <w:sz w:val="18"/>
          <w:szCs w:val="18"/>
          <w:lang w:val="es-ES"/>
        </w:rPr>
        <w:t xml:space="preserve"> </w:t>
      </w:r>
      <w:r w:rsidRPr="003E5C08">
        <w:rPr>
          <w:sz w:val="18"/>
          <w:szCs w:val="18"/>
          <w:lang w:val="es-ES"/>
        </w:rPr>
        <w:tab/>
        <w:t>SILAIS de NS, MZ, ES, MT y JI.</w:t>
      </w:r>
    </w:p>
  </w:footnote>
  <w:footnote w:id="4">
    <w:p w14:paraId="662EB067" w14:textId="77777777" w:rsidR="001452A8" w:rsidRPr="00853F78" w:rsidRDefault="001452A8" w:rsidP="001C2741">
      <w:pPr>
        <w:pStyle w:val="FootnoteText"/>
        <w:rPr>
          <w:lang w:val="es-ES_tradnl"/>
        </w:rPr>
      </w:pPr>
      <w:r>
        <w:rPr>
          <w:rStyle w:val="FootnoteReference"/>
        </w:rPr>
        <w:footnoteRef/>
      </w:r>
      <w:r w:rsidRPr="00853F78">
        <w:rPr>
          <w:lang w:val="es-ES_tradnl"/>
        </w:rPr>
        <w:t xml:space="preserve"> </w:t>
      </w:r>
      <w:r w:rsidRPr="00853F78">
        <w:rPr>
          <w:lang w:val="es-ES_tradnl"/>
        </w:rPr>
        <w:tab/>
        <w:t>Más el municipio de Waslalá, que administrativamente corresponde al Caribe Norte.</w:t>
      </w:r>
    </w:p>
  </w:footnote>
  <w:footnote w:id="5">
    <w:p w14:paraId="662EB068" w14:textId="77777777" w:rsidR="001452A8" w:rsidRPr="003E5C08" w:rsidRDefault="001452A8" w:rsidP="00011851">
      <w:pPr>
        <w:pStyle w:val="FootnoteText"/>
        <w:spacing w:after="0"/>
        <w:rPr>
          <w:sz w:val="18"/>
          <w:szCs w:val="18"/>
          <w:lang w:val="es-ES"/>
        </w:rPr>
      </w:pPr>
      <w:r w:rsidRPr="003E5C08">
        <w:rPr>
          <w:rStyle w:val="FootnoteReference"/>
          <w:sz w:val="18"/>
          <w:szCs w:val="18"/>
          <w:lang w:val="es-ES"/>
        </w:rPr>
        <w:footnoteRef/>
      </w:r>
      <w:r w:rsidRPr="003E5C08">
        <w:rPr>
          <w:sz w:val="18"/>
          <w:szCs w:val="18"/>
          <w:lang w:val="es-ES"/>
        </w:rPr>
        <w:t xml:space="preserve"> </w:t>
      </w:r>
      <w:r w:rsidRPr="003E5C08">
        <w:rPr>
          <w:sz w:val="18"/>
          <w:szCs w:val="18"/>
          <w:lang w:val="es-ES"/>
        </w:rPr>
        <w:tab/>
        <w:t>Las estimaciones están basadas en el promedio del porcentaje de las poblaciones prioritarias, según los datos del Análisis Económico del Programa de Salud Comunitaria para Municipios Rurales (NI-L1095), y el tamaño promedio por hogar de 5.99 personas, según los datos del Análisis Socioeconómico del Proyecto de Agua Potable de la Ciudad de Bilwi (Puerto Cabezas), NI-G1002. Se calcula una distribución porcentual de la población beneficiaria de 26% mujeres en edad fértil, 3% embarazadas, 5% niños menores de 2 años, 15% menores de seis años, y un índice de incremento de población de 1</w:t>
      </w:r>
      <w:r>
        <w:rPr>
          <w:sz w:val="18"/>
          <w:szCs w:val="18"/>
          <w:lang w:val="es-ES"/>
        </w:rPr>
        <w:t>,</w:t>
      </w:r>
      <w:r w:rsidRPr="003E5C08">
        <w:rPr>
          <w:sz w:val="18"/>
          <w:szCs w:val="18"/>
          <w:lang w:val="es-ES"/>
        </w:rPr>
        <w:t>01%.</w:t>
      </w:r>
    </w:p>
  </w:footnote>
  <w:footnote w:id="6">
    <w:p w14:paraId="662EB069" w14:textId="77777777" w:rsidR="001452A8" w:rsidRPr="003E5C08" w:rsidRDefault="001452A8" w:rsidP="00011851">
      <w:pPr>
        <w:pStyle w:val="FootnoteText"/>
        <w:spacing w:after="0"/>
        <w:rPr>
          <w:sz w:val="18"/>
          <w:szCs w:val="18"/>
          <w:lang w:val="es-ES"/>
        </w:rPr>
      </w:pPr>
      <w:r w:rsidRPr="003E5C08">
        <w:rPr>
          <w:rStyle w:val="FootnoteReference"/>
          <w:sz w:val="18"/>
          <w:szCs w:val="18"/>
          <w:lang w:val="es-ES"/>
        </w:rPr>
        <w:footnoteRef/>
      </w:r>
      <w:r w:rsidRPr="003E5C08">
        <w:rPr>
          <w:sz w:val="18"/>
          <w:szCs w:val="18"/>
          <w:lang w:val="es-ES"/>
        </w:rPr>
        <w:t xml:space="preserve"> </w:t>
      </w:r>
      <w:r w:rsidRPr="003E5C08">
        <w:rPr>
          <w:sz w:val="18"/>
          <w:szCs w:val="18"/>
          <w:lang w:val="es-ES"/>
        </w:rPr>
        <w:tab/>
        <w:t xml:space="preserve">En proyectos de infraestructura (transporte y energía), es común que se utilice una tasa de 10%. Sin embargo, existe amplia literatura teórica y empírica que justifica utilizar valores distintos para el análisis de proyectos sociales, en que los beneficios tienen importantes externalidades, se realizan en el mediano y largo plazo, y donde la monetización de los beneficios no es tan directa. Como muestra el trabajo de Zhuang et al. (2007), la elección de una tasa de descuento apropiada para el análisis de costo-beneficio de distintos proyectos es un tema extremadamente debatido entre los economistas y concluyen que no hay una respuesta correcta para dicha elección. En este trabajo se acumulan distintos resultados para encontrar una tasa de descuento óptima para proyectos sociales, que luego será importante a la hora de hacer un análisis de costo beneficio. Encuentran que existe una diferencia entre los distintos países con respecto a las tasas de descuento elegidas. Los países desarrollados (como por ejemplo Francia, Alemania, Italia y España) eligen tasas de descuento de entre 3 y 7% y los países en desarrollo eligen tasas de entre 8 y 15%. Existe un trabajo del Banco Mundial (López, 2008) en el que estiman las tasas de descuento para nueve países latinoamericanos. Dependiendo de las expectativas de crecimiento del planificador social estas tasas de descuento varían enormemente, desde un 3 o 4% si se espera un bajo crecimiento a un 5 a 7% en un escenario de alto crecimiento futuro. </w:t>
      </w:r>
    </w:p>
  </w:footnote>
  <w:footnote w:id="7">
    <w:p w14:paraId="662EB06A" w14:textId="77777777" w:rsidR="001452A8" w:rsidRPr="003E5C08" w:rsidRDefault="001452A8" w:rsidP="00011851">
      <w:pPr>
        <w:pStyle w:val="FootnoteText"/>
        <w:spacing w:after="0"/>
        <w:rPr>
          <w:sz w:val="18"/>
          <w:szCs w:val="18"/>
          <w:lang w:val="es-ES"/>
        </w:rPr>
      </w:pPr>
      <w:r w:rsidRPr="003E5C08">
        <w:rPr>
          <w:rStyle w:val="FootnoteReference"/>
          <w:sz w:val="18"/>
          <w:szCs w:val="18"/>
          <w:lang w:val="es-ES"/>
        </w:rPr>
        <w:footnoteRef/>
      </w:r>
      <w:r w:rsidRPr="003E5C08">
        <w:rPr>
          <w:sz w:val="18"/>
          <w:szCs w:val="18"/>
          <w:lang w:val="es-ES"/>
        </w:rPr>
        <w:t xml:space="preserve"> </w:t>
      </w:r>
      <w:r>
        <w:rPr>
          <w:sz w:val="18"/>
          <w:szCs w:val="18"/>
          <w:lang w:val="es-ES"/>
        </w:rPr>
        <w:tab/>
      </w:r>
      <w:r w:rsidRPr="003E5C08">
        <w:rPr>
          <w:sz w:val="18"/>
          <w:szCs w:val="18"/>
          <w:lang w:val="es-ES"/>
        </w:rPr>
        <w:t>Las proyecciones de cobertura están de acuerdo con lo estipulado en el préstamo NI-L1095 Programa de Salud Comunitaria para Municipios Rurales. Para las proyecciones de cobertura de mejoras de sanidad y agua, se toma como base los datos de las encuestas socioeconómicas del NI-G1002, y se estima un incremento de cobertura de 3 puntos porcentuales anualmente</w:t>
      </w:r>
      <w:r>
        <w:rPr>
          <w:sz w:val="18"/>
          <w:szCs w:val="18"/>
          <w:lang w:val="es-ES"/>
        </w:rPr>
        <w:t>.</w:t>
      </w:r>
    </w:p>
  </w:footnote>
  <w:footnote w:id="8">
    <w:p w14:paraId="662EB06B" w14:textId="77777777" w:rsidR="001452A8" w:rsidRPr="003E5C08" w:rsidRDefault="001452A8" w:rsidP="00011851">
      <w:pPr>
        <w:pStyle w:val="FootnoteText"/>
        <w:spacing w:after="0"/>
        <w:rPr>
          <w:sz w:val="18"/>
          <w:szCs w:val="18"/>
          <w:lang w:val="es-ES"/>
        </w:rPr>
      </w:pPr>
      <w:r w:rsidRPr="003E5C08">
        <w:rPr>
          <w:rStyle w:val="FootnoteReference"/>
          <w:sz w:val="18"/>
          <w:szCs w:val="18"/>
          <w:lang w:val="es-ES"/>
        </w:rPr>
        <w:footnoteRef/>
      </w:r>
      <w:r>
        <w:rPr>
          <w:sz w:val="18"/>
          <w:szCs w:val="18"/>
          <w:lang w:val="es-ES"/>
        </w:rPr>
        <w:tab/>
      </w:r>
      <w:r w:rsidRPr="003E5C08">
        <w:rPr>
          <w:sz w:val="18"/>
          <w:szCs w:val="18"/>
          <w:lang w:val="es-ES"/>
        </w:rPr>
        <w:t xml:space="preserve">Estimaciones del </w:t>
      </w:r>
      <w:r w:rsidRPr="003E5C08">
        <w:rPr>
          <w:i/>
          <w:sz w:val="18"/>
          <w:szCs w:val="18"/>
          <w:lang w:val="es-ES"/>
        </w:rPr>
        <w:t>World Economic Outlook</w:t>
      </w:r>
      <w:r w:rsidRPr="003E5C08">
        <w:rPr>
          <w:sz w:val="18"/>
          <w:szCs w:val="18"/>
          <w:lang w:val="es-ES"/>
        </w:rPr>
        <w:t xml:space="preserve"> del Fondo Monetario Internacional (FMI): http://www.imf.org/external/pubs/ft/weo/2017/01/weodata/weorept.aspx?sy=2015&amp;ey=2022&amp;scsm=1&amp;ssd=1&amp;sort=country&amp;ds=.&amp;br=1&amp;pr1.x=77&amp;pr1.y=12&amp;c=278&amp;s=NGDPRPC%2CNGDPPC%2CNGDPDPC&amp;grp=0&amp;a=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imes New Roman"/>
        <w:sz w:val="18"/>
        <w:szCs w:val="18"/>
        <w:lang w:val="es-ES_tradnl" w:eastAsia="es-ES_tradnl"/>
      </w:rPr>
      <w:id w:val="1408270567"/>
      <w:docPartObj>
        <w:docPartGallery w:val="Page Numbers (Top of Page)"/>
        <w:docPartUnique/>
      </w:docPartObj>
    </w:sdtPr>
    <w:sdtEndPr/>
    <w:sdtContent>
      <w:p w14:paraId="662EB05D" w14:textId="66B3B5B2" w:rsidR="001452A8" w:rsidRPr="006A72B2" w:rsidRDefault="00A33422" w:rsidP="006A72B2">
        <w:pPr>
          <w:tabs>
            <w:tab w:val="center" w:pos="4680"/>
            <w:tab w:val="right" w:pos="9360"/>
          </w:tabs>
          <w:ind w:left="6840"/>
          <w:jc w:val="right"/>
          <w:rPr>
            <w:rFonts w:ascii="Arial" w:eastAsia="Times New Roman" w:hAnsi="Arial" w:cs="Arial"/>
            <w:sz w:val="18"/>
            <w:szCs w:val="18"/>
            <w:lang w:val="pt-BR" w:eastAsia="es-ES_tradnl"/>
          </w:rPr>
        </w:pPr>
        <w:r>
          <w:rPr>
            <w:rFonts w:ascii="Arial" w:eastAsia="Times New Roman" w:hAnsi="Arial" w:cs="Arial"/>
            <w:sz w:val="18"/>
            <w:szCs w:val="18"/>
            <w:lang w:val="pt-BR" w:eastAsia="es-ES_tradnl"/>
          </w:rPr>
          <w:t>EEO#1</w:t>
        </w:r>
        <w:r w:rsidR="001452A8" w:rsidRPr="006A72B2">
          <w:rPr>
            <w:rFonts w:ascii="Arial" w:eastAsia="Times New Roman" w:hAnsi="Arial" w:cs="Arial"/>
            <w:sz w:val="18"/>
            <w:szCs w:val="18"/>
            <w:lang w:val="pt-BR" w:eastAsia="es-ES_tradnl"/>
          </w:rPr>
          <w:t xml:space="preserve"> – NI-L1143</w:t>
        </w:r>
      </w:p>
      <w:p w14:paraId="662EB05E" w14:textId="729BF020" w:rsidR="001452A8" w:rsidRPr="006A72B2" w:rsidRDefault="001452A8" w:rsidP="006A72B2">
        <w:pPr>
          <w:tabs>
            <w:tab w:val="center" w:pos="4680"/>
            <w:tab w:val="right" w:pos="9360"/>
          </w:tabs>
          <w:ind w:left="6480"/>
          <w:jc w:val="right"/>
          <w:rPr>
            <w:rFonts w:ascii="Arial" w:eastAsia="Times New Roman" w:hAnsi="Arial" w:cs="Arial"/>
            <w:bCs/>
            <w:sz w:val="18"/>
            <w:szCs w:val="18"/>
            <w:lang w:val="es-ES_tradnl" w:eastAsia="es-ES_tradnl"/>
          </w:rPr>
        </w:pPr>
        <w:r w:rsidRPr="006A72B2">
          <w:rPr>
            <w:rFonts w:ascii="Arial" w:eastAsia="Times New Roman" w:hAnsi="Arial" w:cs="Arial"/>
            <w:sz w:val="18"/>
            <w:szCs w:val="18"/>
            <w:lang w:val="pt-BR" w:eastAsia="es-ES_tradnl"/>
          </w:rPr>
          <w:t xml:space="preserve">Página </w:t>
        </w:r>
        <w:r w:rsidRPr="006A72B2">
          <w:rPr>
            <w:rFonts w:ascii="Arial" w:eastAsia="Times New Roman" w:hAnsi="Arial" w:cs="Arial"/>
            <w:bCs/>
            <w:sz w:val="18"/>
            <w:szCs w:val="18"/>
            <w:lang w:val="es-ES_tradnl" w:eastAsia="es-ES_tradnl"/>
          </w:rPr>
          <w:fldChar w:fldCharType="begin"/>
        </w:r>
        <w:r w:rsidRPr="006A72B2">
          <w:rPr>
            <w:rFonts w:ascii="Arial" w:eastAsia="Times New Roman" w:hAnsi="Arial" w:cs="Arial"/>
            <w:bCs/>
            <w:sz w:val="18"/>
            <w:szCs w:val="18"/>
            <w:lang w:val="pt-BR" w:eastAsia="es-ES_tradnl"/>
          </w:rPr>
          <w:instrText xml:space="preserve"> PAGE </w:instrText>
        </w:r>
        <w:r w:rsidRPr="006A72B2">
          <w:rPr>
            <w:rFonts w:ascii="Arial" w:eastAsia="Times New Roman" w:hAnsi="Arial" w:cs="Arial"/>
            <w:bCs/>
            <w:sz w:val="18"/>
            <w:szCs w:val="18"/>
            <w:lang w:val="es-ES_tradnl" w:eastAsia="es-ES_tradnl"/>
          </w:rPr>
          <w:fldChar w:fldCharType="separate"/>
        </w:r>
        <w:r w:rsidR="00A33422">
          <w:rPr>
            <w:rFonts w:ascii="Arial" w:eastAsia="Times New Roman" w:hAnsi="Arial" w:cs="Arial"/>
            <w:bCs/>
            <w:noProof/>
            <w:sz w:val="18"/>
            <w:szCs w:val="18"/>
            <w:lang w:val="pt-BR" w:eastAsia="es-ES_tradnl"/>
          </w:rPr>
          <w:t>14</w:t>
        </w:r>
        <w:r w:rsidRPr="006A72B2">
          <w:rPr>
            <w:rFonts w:ascii="Arial" w:eastAsia="Times New Roman" w:hAnsi="Arial" w:cs="Arial"/>
            <w:bCs/>
            <w:sz w:val="18"/>
            <w:szCs w:val="18"/>
            <w:lang w:val="es-ES_tradnl" w:eastAsia="es-ES_tradnl"/>
          </w:rPr>
          <w:fldChar w:fldCharType="end"/>
        </w:r>
        <w:r w:rsidRPr="006A72B2">
          <w:rPr>
            <w:rFonts w:ascii="Arial" w:eastAsia="Times New Roman" w:hAnsi="Arial" w:cs="Arial"/>
            <w:sz w:val="18"/>
            <w:szCs w:val="18"/>
            <w:lang w:val="pt-BR" w:eastAsia="es-ES_tradnl"/>
          </w:rPr>
          <w:t xml:space="preserve"> de </w:t>
        </w:r>
        <w:r w:rsidRPr="006A72B2">
          <w:rPr>
            <w:rFonts w:ascii="Arial" w:eastAsia="Times New Roman" w:hAnsi="Arial" w:cs="Arial"/>
            <w:bCs/>
            <w:sz w:val="18"/>
            <w:szCs w:val="18"/>
            <w:lang w:val="es-ES_tradnl" w:eastAsia="es-ES_tradnl"/>
          </w:rPr>
          <w:fldChar w:fldCharType="begin"/>
        </w:r>
        <w:r w:rsidRPr="006A72B2">
          <w:rPr>
            <w:rFonts w:ascii="Arial" w:eastAsia="Times New Roman" w:hAnsi="Arial" w:cs="Arial"/>
            <w:bCs/>
            <w:sz w:val="18"/>
            <w:szCs w:val="18"/>
            <w:lang w:val="pt-BR" w:eastAsia="es-ES_tradnl"/>
          </w:rPr>
          <w:instrText xml:space="preserve"> NUMPAGES  </w:instrText>
        </w:r>
        <w:r w:rsidRPr="006A72B2">
          <w:rPr>
            <w:rFonts w:ascii="Arial" w:eastAsia="Times New Roman" w:hAnsi="Arial" w:cs="Arial"/>
            <w:bCs/>
            <w:sz w:val="18"/>
            <w:szCs w:val="18"/>
            <w:lang w:val="es-ES_tradnl" w:eastAsia="es-ES_tradnl"/>
          </w:rPr>
          <w:fldChar w:fldCharType="separate"/>
        </w:r>
        <w:r w:rsidR="00A33422">
          <w:rPr>
            <w:rFonts w:ascii="Arial" w:eastAsia="Times New Roman" w:hAnsi="Arial" w:cs="Arial"/>
            <w:bCs/>
            <w:noProof/>
            <w:sz w:val="18"/>
            <w:szCs w:val="18"/>
            <w:lang w:val="pt-BR" w:eastAsia="es-ES_tradnl"/>
          </w:rPr>
          <w:t>16</w:t>
        </w:r>
        <w:r w:rsidRPr="006A72B2">
          <w:rPr>
            <w:rFonts w:ascii="Arial" w:eastAsia="Times New Roman" w:hAnsi="Arial" w:cs="Arial"/>
            <w:bCs/>
            <w:sz w:val="18"/>
            <w:szCs w:val="18"/>
            <w:lang w:val="es-ES_tradnl" w:eastAsia="es-ES_tradnl"/>
          </w:rPr>
          <w:fldChar w:fldCharType="end"/>
        </w:r>
      </w:p>
      <w:p w14:paraId="662EB05F" w14:textId="77777777" w:rsidR="001452A8" w:rsidRPr="006A72B2" w:rsidRDefault="00361EA1" w:rsidP="006A72B2">
        <w:pPr>
          <w:tabs>
            <w:tab w:val="center" w:pos="4680"/>
            <w:tab w:val="right" w:pos="9360"/>
          </w:tabs>
          <w:jc w:val="both"/>
          <w:rPr>
            <w:rFonts w:eastAsia="Times New Roman"/>
            <w:sz w:val="18"/>
            <w:szCs w:val="18"/>
            <w:lang w:val="es-ES_tradnl" w:eastAsia="es-ES_tradnl"/>
          </w:rPr>
        </w:pPr>
      </w:p>
    </w:sdtContent>
  </w:sdt>
  <w:p w14:paraId="662EB060" w14:textId="77777777" w:rsidR="001452A8" w:rsidRDefault="001452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imes New Roman"/>
        <w:sz w:val="18"/>
        <w:szCs w:val="18"/>
        <w:lang w:val="es-ES_tradnl" w:eastAsia="es-ES_tradnl"/>
      </w:rPr>
      <w:id w:val="1879584082"/>
      <w:docPartObj>
        <w:docPartGallery w:val="Page Numbers (Top of Page)"/>
        <w:docPartUnique/>
      </w:docPartObj>
    </w:sdtPr>
    <w:sdtEndPr/>
    <w:sdtContent>
      <w:p w14:paraId="662EB061" w14:textId="77777777" w:rsidR="001452A8" w:rsidRPr="00622C29" w:rsidRDefault="001452A8" w:rsidP="006A72B2">
        <w:pPr>
          <w:tabs>
            <w:tab w:val="center" w:pos="4680"/>
            <w:tab w:val="right" w:pos="9360"/>
          </w:tabs>
          <w:ind w:left="-90"/>
          <w:rPr>
            <w:rFonts w:ascii="Arial" w:eastAsia="Times New Roman" w:hAnsi="Arial" w:cs="Arial"/>
            <w:sz w:val="18"/>
            <w:szCs w:val="18"/>
            <w:lang w:val="es-ES_tradnl" w:eastAsia="es-ES_tradnl"/>
          </w:rPr>
        </w:pPr>
        <w:r w:rsidRPr="00622C29">
          <w:rPr>
            <w:rFonts w:ascii="Arial" w:eastAsia="Times New Roman" w:hAnsi="Arial" w:cs="Arial"/>
            <w:sz w:val="18"/>
            <w:szCs w:val="18"/>
            <w:lang w:val="es-ES_tradnl" w:eastAsia="es-ES_tradnl"/>
          </w:rPr>
          <w:t>EE</w:t>
        </w:r>
        <w:bookmarkStart w:id="13" w:name="_GoBack"/>
        <w:bookmarkEnd w:id="13"/>
        <w:r w:rsidRPr="00622C29">
          <w:rPr>
            <w:rFonts w:ascii="Arial" w:eastAsia="Times New Roman" w:hAnsi="Arial" w:cs="Arial"/>
            <w:sz w:val="18"/>
            <w:szCs w:val="18"/>
            <w:lang w:val="es-ES_tradnl" w:eastAsia="es-ES_tradnl"/>
          </w:rPr>
          <w:t>O#1 – NI-L1143</w:t>
        </w:r>
      </w:p>
      <w:p w14:paraId="662EB062" w14:textId="48AEEA90" w:rsidR="001452A8" w:rsidRPr="006A72B2" w:rsidRDefault="001452A8" w:rsidP="006A72B2">
        <w:pPr>
          <w:tabs>
            <w:tab w:val="center" w:pos="4680"/>
            <w:tab w:val="right" w:pos="9360"/>
          </w:tabs>
          <w:ind w:left="-90"/>
          <w:rPr>
            <w:rFonts w:ascii="Arial" w:eastAsia="Times New Roman" w:hAnsi="Arial" w:cs="Arial"/>
            <w:bCs/>
            <w:sz w:val="18"/>
            <w:szCs w:val="18"/>
            <w:lang w:val="es-ES_tradnl" w:eastAsia="es-ES_tradnl"/>
          </w:rPr>
        </w:pPr>
        <w:r w:rsidRPr="00622C29">
          <w:rPr>
            <w:rFonts w:ascii="Arial" w:eastAsia="Times New Roman" w:hAnsi="Arial" w:cs="Arial"/>
            <w:sz w:val="18"/>
            <w:szCs w:val="18"/>
            <w:lang w:val="es-ES_tradnl" w:eastAsia="es-ES_tradnl"/>
          </w:rPr>
          <w:t xml:space="preserve">Página </w:t>
        </w:r>
        <w:r w:rsidRPr="006A72B2">
          <w:rPr>
            <w:rFonts w:ascii="Arial" w:eastAsia="Times New Roman" w:hAnsi="Arial" w:cs="Arial"/>
            <w:bCs/>
            <w:sz w:val="18"/>
            <w:szCs w:val="18"/>
            <w:lang w:val="es-ES_tradnl" w:eastAsia="es-ES_tradnl"/>
          </w:rPr>
          <w:fldChar w:fldCharType="begin"/>
        </w:r>
        <w:r w:rsidRPr="00622C29">
          <w:rPr>
            <w:rFonts w:ascii="Arial" w:eastAsia="Times New Roman" w:hAnsi="Arial" w:cs="Arial"/>
            <w:bCs/>
            <w:sz w:val="18"/>
            <w:szCs w:val="18"/>
            <w:lang w:val="es-ES_tradnl" w:eastAsia="es-ES_tradnl"/>
          </w:rPr>
          <w:instrText xml:space="preserve"> PAGE </w:instrText>
        </w:r>
        <w:r w:rsidRPr="006A72B2">
          <w:rPr>
            <w:rFonts w:ascii="Arial" w:eastAsia="Times New Roman" w:hAnsi="Arial" w:cs="Arial"/>
            <w:bCs/>
            <w:sz w:val="18"/>
            <w:szCs w:val="18"/>
            <w:lang w:val="es-ES_tradnl" w:eastAsia="es-ES_tradnl"/>
          </w:rPr>
          <w:fldChar w:fldCharType="separate"/>
        </w:r>
        <w:r w:rsidR="00A33422">
          <w:rPr>
            <w:rFonts w:ascii="Arial" w:eastAsia="Times New Roman" w:hAnsi="Arial" w:cs="Arial"/>
            <w:bCs/>
            <w:noProof/>
            <w:sz w:val="18"/>
            <w:szCs w:val="18"/>
            <w:lang w:val="es-ES_tradnl" w:eastAsia="es-ES_tradnl"/>
          </w:rPr>
          <w:t>5</w:t>
        </w:r>
        <w:r w:rsidRPr="006A72B2">
          <w:rPr>
            <w:rFonts w:ascii="Arial" w:eastAsia="Times New Roman" w:hAnsi="Arial" w:cs="Arial"/>
            <w:bCs/>
            <w:sz w:val="18"/>
            <w:szCs w:val="18"/>
            <w:lang w:val="es-ES_tradnl" w:eastAsia="es-ES_tradnl"/>
          </w:rPr>
          <w:fldChar w:fldCharType="end"/>
        </w:r>
        <w:r w:rsidRPr="00622C29">
          <w:rPr>
            <w:rFonts w:ascii="Arial" w:eastAsia="Times New Roman" w:hAnsi="Arial" w:cs="Arial"/>
            <w:sz w:val="18"/>
            <w:szCs w:val="18"/>
            <w:lang w:val="es-ES_tradnl" w:eastAsia="es-ES_tradnl"/>
          </w:rPr>
          <w:t xml:space="preserve"> de </w:t>
        </w:r>
        <w:r w:rsidRPr="006A72B2">
          <w:rPr>
            <w:rFonts w:ascii="Arial" w:eastAsia="Times New Roman" w:hAnsi="Arial" w:cs="Arial"/>
            <w:bCs/>
            <w:sz w:val="18"/>
            <w:szCs w:val="18"/>
            <w:lang w:val="es-ES_tradnl" w:eastAsia="es-ES_tradnl"/>
          </w:rPr>
          <w:fldChar w:fldCharType="begin"/>
        </w:r>
        <w:r w:rsidRPr="00622C29">
          <w:rPr>
            <w:rFonts w:ascii="Arial" w:eastAsia="Times New Roman" w:hAnsi="Arial" w:cs="Arial"/>
            <w:bCs/>
            <w:sz w:val="18"/>
            <w:szCs w:val="18"/>
            <w:lang w:val="es-ES_tradnl" w:eastAsia="es-ES_tradnl"/>
          </w:rPr>
          <w:instrText xml:space="preserve"> NUMPAGES  </w:instrText>
        </w:r>
        <w:r w:rsidRPr="006A72B2">
          <w:rPr>
            <w:rFonts w:ascii="Arial" w:eastAsia="Times New Roman" w:hAnsi="Arial" w:cs="Arial"/>
            <w:bCs/>
            <w:sz w:val="18"/>
            <w:szCs w:val="18"/>
            <w:lang w:val="es-ES_tradnl" w:eastAsia="es-ES_tradnl"/>
          </w:rPr>
          <w:fldChar w:fldCharType="separate"/>
        </w:r>
        <w:r w:rsidR="00A33422">
          <w:rPr>
            <w:rFonts w:ascii="Arial" w:eastAsia="Times New Roman" w:hAnsi="Arial" w:cs="Arial"/>
            <w:bCs/>
            <w:noProof/>
            <w:sz w:val="18"/>
            <w:szCs w:val="18"/>
            <w:lang w:val="es-ES_tradnl" w:eastAsia="es-ES_tradnl"/>
          </w:rPr>
          <w:t>16</w:t>
        </w:r>
        <w:r w:rsidRPr="006A72B2">
          <w:rPr>
            <w:rFonts w:ascii="Arial" w:eastAsia="Times New Roman" w:hAnsi="Arial" w:cs="Arial"/>
            <w:bCs/>
            <w:sz w:val="18"/>
            <w:szCs w:val="18"/>
            <w:lang w:val="es-ES_tradnl" w:eastAsia="es-ES_tradnl"/>
          </w:rPr>
          <w:fldChar w:fldCharType="end"/>
        </w:r>
      </w:p>
      <w:p w14:paraId="662EB063" w14:textId="77777777" w:rsidR="001452A8" w:rsidRPr="006A72B2" w:rsidRDefault="00361EA1" w:rsidP="006A72B2">
        <w:pPr>
          <w:tabs>
            <w:tab w:val="center" w:pos="4680"/>
            <w:tab w:val="right" w:pos="9360"/>
          </w:tabs>
          <w:jc w:val="both"/>
          <w:rPr>
            <w:rFonts w:eastAsia="Times New Roman"/>
            <w:sz w:val="18"/>
            <w:szCs w:val="18"/>
            <w:lang w:val="es-ES_tradnl" w:eastAsia="es-ES_tradnl"/>
          </w:rPr>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E35A4" w14:textId="77777777" w:rsidR="00A33422" w:rsidRDefault="00A334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816F2"/>
    <w:multiLevelType w:val="hybridMultilevel"/>
    <w:tmpl w:val="DB9A4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846A81"/>
    <w:multiLevelType w:val="multilevel"/>
    <w:tmpl w:val="33049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5D4C82"/>
    <w:multiLevelType w:val="hybridMultilevel"/>
    <w:tmpl w:val="6CB6F5B8"/>
    <w:lvl w:ilvl="0" w:tplc="A262FE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1B7A1B"/>
    <w:multiLevelType w:val="hybridMultilevel"/>
    <w:tmpl w:val="1E76E34C"/>
    <w:lvl w:ilvl="0" w:tplc="7FD8202A">
      <w:start w:val="1"/>
      <w:numFmt w:val="decimal"/>
      <w:pStyle w:val="Heading1"/>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08E1191"/>
    <w:multiLevelType w:val="hybridMultilevel"/>
    <w:tmpl w:val="6CB6F5B8"/>
    <w:lvl w:ilvl="0" w:tplc="A262FE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D50E5B"/>
    <w:multiLevelType w:val="hybridMultilevel"/>
    <w:tmpl w:val="01DA76BC"/>
    <w:lvl w:ilvl="0" w:tplc="7722EC84">
      <w:start w:val="1"/>
      <w:numFmt w:val="upperLetter"/>
      <w:pStyle w:val="Heading2"/>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15:restartNumberingAfterBreak="0">
    <w:nsid w:val="394C67D9"/>
    <w:multiLevelType w:val="hybridMultilevel"/>
    <w:tmpl w:val="8E3E4EA4"/>
    <w:lvl w:ilvl="0" w:tplc="0409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9CD357B"/>
    <w:multiLevelType w:val="multilevel"/>
    <w:tmpl w:val="9D2C3E18"/>
    <w:lvl w:ilvl="0">
      <w:start w:val="1"/>
      <w:numFmt w:val="decimal"/>
      <w:pStyle w:val="Chapter"/>
      <w:lvlText w:val="%1"/>
      <w:lvlJc w:val="left"/>
      <w:pPr>
        <w:ind w:left="792" w:hanging="432"/>
      </w:pPr>
    </w:lvl>
    <w:lvl w:ilvl="1">
      <w:start w:val="1"/>
      <w:numFmt w:val="decimal"/>
      <w:lvlText w:val="%1.%2"/>
      <w:lvlJc w:val="left"/>
      <w:pPr>
        <w:ind w:left="936" w:hanging="576"/>
      </w:pPr>
    </w:lvl>
    <w:lvl w:ilvl="2">
      <w:start w:val="1"/>
      <w:numFmt w:val="decimal"/>
      <w:pStyle w:val="Heading3"/>
      <w:lvlText w:val="%1.%2.%3"/>
      <w:lvlJc w:val="left"/>
      <w:pPr>
        <w:ind w:left="1080" w:hanging="720"/>
      </w:pPr>
    </w:lvl>
    <w:lvl w:ilvl="3">
      <w:start w:val="1"/>
      <w:numFmt w:val="decimal"/>
      <w:pStyle w:val="Heading4"/>
      <w:lvlText w:val="%1.%2.%3.%4"/>
      <w:lvlJc w:val="left"/>
      <w:pPr>
        <w:ind w:left="1224" w:hanging="864"/>
      </w:pPr>
    </w:lvl>
    <w:lvl w:ilvl="4">
      <w:start w:val="1"/>
      <w:numFmt w:val="decimal"/>
      <w:pStyle w:val="Heading5"/>
      <w:lvlText w:val="%1.%2.%3.%4.%5"/>
      <w:lvlJc w:val="left"/>
      <w:pPr>
        <w:ind w:left="1368" w:hanging="1008"/>
      </w:pPr>
    </w:lvl>
    <w:lvl w:ilvl="5">
      <w:start w:val="1"/>
      <w:numFmt w:val="decimal"/>
      <w:pStyle w:val="Heading6"/>
      <w:lvlText w:val="%1.%2.%3.%4.%5.%6"/>
      <w:lvlJc w:val="left"/>
      <w:pPr>
        <w:ind w:left="1512" w:hanging="1152"/>
      </w:pPr>
    </w:lvl>
    <w:lvl w:ilvl="6">
      <w:start w:val="1"/>
      <w:numFmt w:val="decimal"/>
      <w:pStyle w:val="Heading7"/>
      <w:lvlText w:val="%1.%2.%3.%4.%5.%6.%7"/>
      <w:lvlJc w:val="left"/>
      <w:pPr>
        <w:ind w:left="1656" w:hanging="1296"/>
      </w:pPr>
    </w:lvl>
    <w:lvl w:ilvl="7">
      <w:start w:val="1"/>
      <w:numFmt w:val="decimal"/>
      <w:pStyle w:val="Heading8"/>
      <w:lvlText w:val="%1.%2.%3.%4.%5.%6.%7.%8"/>
      <w:lvlJc w:val="left"/>
      <w:pPr>
        <w:ind w:left="1800" w:hanging="1440"/>
      </w:pPr>
    </w:lvl>
    <w:lvl w:ilvl="8">
      <w:start w:val="1"/>
      <w:numFmt w:val="decimal"/>
      <w:pStyle w:val="Heading9"/>
      <w:lvlText w:val="%1.%2.%3.%4.%5.%6.%7.%8.%9"/>
      <w:lvlJc w:val="left"/>
      <w:pPr>
        <w:ind w:left="1944" w:hanging="1584"/>
      </w:pPr>
    </w:lvl>
  </w:abstractNum>
  <w:abstractNum w:abstractNumId="9" w15:restartNumberingAfterBreak="0">
    <w:nsid w:val="3DE710BC"/>
    <w:multiLevelType w:val="hybridMultilevel"/>
    <w:tmpl w:val="40486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6847340"/>
    <w:multiLevelType w:val="multilevel"/>
    <w:tmpl w:val="EF869648"/>
    <w:lvl w:ilvl="0">
      <w:start w:val="1"/>
      <w:numFmt w:val="upperLetter"/>
      <w:lvlRestart w:val="0"/>
      <w:lvlText w:val="%1."/>
      <w:lvlJc w:val="left"/>
      <w:pPr>
        <w:ind w:left="720" w:hanging="720"/>
      </w:pPr>
      <w:rPr>
        <w:b/>
        <w:i w:val="0"/>
      </w:r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1" w15:restartNumberingAfterBreak="0">
    <w:nsid w:val="4C6F11FB"/>
    <w:multiLevelType w:val="hybridMultilevel"/>
    <w:tmpl w:val="004CAD2E"/>
    <w:lvl w:ilvl="0" w:tplc="B4BE92F8">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7004D5"/>
    <w:multiLevelType w:val="hybridMultilevel"/>
    <w:tmpl w:val="08CA9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FC335B"/>
    <w:multiLevelType w:val="hybridMultilevel"/>
    <w:tmpl w:val="940C3CDC"/>
    <w:lvl w:ilvl="0" w:tplc="0EF6758A">
      <w:start w:val="3"/>
      <w:numFmt w:val="upperRoman"/>
      <w:pStyle w:val="FirstHeading"/>
      <w:lvlText w:val="%1."/>
      <w:lvlJc w:val="righ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E382622"/>
    <w:multiLevelType w:val="hybridMultilevel"/>
    <w:tmpl w:val="E20CA74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3"/>
  </w:num>
  <w:num w:numId="2">
    <w:abstractNumId w:val="8"/>
  </w:num>
  <w:num w:numId="3">
    <w:abstractNumId w:val="1"/>
  </w:num>
  <w:num w:numId="4">
    <w:abstractNumId w:val="5"/>
  </w:num>
  <w:num w:numId="5">
    <w:abstractNumId w:val="3"/>
  </w:num>
  <w:num w:numId="6">
    <w:abstractNumId w:val="9"/>
  </w:num>
  <w:num w:numId="7">
    <w:abstractNumId w:val="11"/>
  </w:num>
  <w:num w:numId="8">
    <w:abstractNumId w:val="14"/>
  </w:num>
  <w:num w:numId="9">
    <w:abstractNumId w:val="0"/>
  </w:num>
  <w:num w:numId="10">
    <w:abstractNumId w:val="7"/>
  </w:num>
  <w:num w:numId="11">
    <w:abstractNumId w:val="4"/>
  </w:num>
  <w:num w:numId="12">
    <w:abstractNumId w:val="6"/>
  </w:num>
  <w:num w:numId="13">
    <w:abstractNumId w:val="12"/>
  </w:num>
  <w:num w:numId="14">
    <w:abstractNumId w:val="1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2E9"/>
    <w:rsid w:val="00002F8A"/>
    <w:rsid w:val="00003ED4"/>
    <w:rsid w:val="00011224"/>
    <w:rsid w:val="00011851"/>
    <w:rsid w:val="00030CBF"/>
    <w:rsid w:val="00030E02"/>
    <w:rsid w:val="00036E1F"/>
    <w:rsid w:val="00046926"/>
    <w:rsid w:val="00061D4C"/>
    <w:rsid w:val="00080EA0"/>
    <w:rsid w:val="0009690F"/>
    <w:rsid w:val="000B0482"/>
    <w:rsid w:val="000B3A9F"/>
    <w:rsid w:val="000B4341"/>
    <w:rsid w:val="000C1BD2"/>
    <w:rsid w:val="000C5410"/>
    <w:rsid w:val="000D4F28"/>
    <w:rsid w:val="000E6C79"/>
    <w:rsid w:val="001019AD"/>
    <w:rsid w:val="001060C2"/>
    <w:rsid w:val="00115954"/>
    <w:rsid w:val="00122400"/>
    <w:rsid w:val="001227E8"/>
    <w:rsid w:val="0013077D"/>
    <w:rsid w:val="00131646"/>
    <w:rsid w:val="00133AD0"/>
    <w:rsid w:val="001452A8"/>
    <w:rsid w:val="00146070"/>
    <w:rsid w:val="001466C7"/>
    <w:rsid w:val="001466D8"/>
    <w:rsid w:val="0015423C"/>
    <w:rsid w:val="00162A70"/>
    <w:rsid w:val="001673F0"/>
    <w:rsid w:val="00171771"/>
    <w:rsid w:val="00172DE9"/>
    <w:rsid w:val="001742E0"/>
    <w:rsid w:val="00181009"/>
    <w:rsid w:val="00182C00"/>
    <w:rsid w:val="001A4F6B"/>
    <w:rsid w:val="001B7CA4"/>
    <w:rsid w:val="001C179E"/>
    <w:rsid w:val="001C2741"/>
    <w:rsid w:val="001D2043"/>
    <w:rsid w:val="001D2B6B"/>
    <w:rsid w:val="001E6155"/>
    <w:rsid w:val="001E73F7"/>
    <w:rsid w:val="001F206C"/>
    <w:rsid w:val="002020B2"/>
    <w:rsid w:val="00204AE0"/>
    <w:rsid w:val="00213495"/>
    <w:rsid w:val="00227660"/>
    <w:rsid w:val="00235FB5"/>
    <w:rsid w:val="002460C9"/>
    <w:rsid w:val="00254847"/>
    <w:rsid w:val="0027709E"/>
    <w:rsid w:val="00282B8B"/>
    <w:rsid w:val="0028562E"/>
    <w:rsid w:val="002906DE"/>
    <w:rsid w:val="00296A13"/>
    <w:rsid w:val="002A32D1"/>
    <w:rsid w:val="002A4858"/>
    <w:rsid w:val="002A5597"/>
    <w:rsid w:val="002B0B3A"/>
    <w:rsid w:val="002C168B"/>
    <w:rsid w:val="002D2A10"/>
    <w:rsid w:val="002D40C2"/>
    <w:rsid w:val="002D5B62"/>
    <w:rsid w:val="002E496E"/>
    <w:rsid w:val="002E736B"/>
    <w:rsid w:val="002F2984"/>
    <w:rsid w:val="00305A72"/>
    <w:rsid w:val="00333DB5"/>
    <w:rsid w:val="00337C13"/>
    <w:rsid w:val="00342627"/>
    <w:rsid w:val="0035103D"/>
    <w:rsid w:val="00355400"/>
    <w:rsid w:val="00361EA1"/>
    <w:rsid w:val="0036494D"/>
    <w:rsid w:val="0036747A"/>
    <w:rsid w:val="00367912"/>
    <w:rsid w:val="00370FEE"/>
    <w:rsid w:val="003712E5"/>
    <w:rsid w:val="0037575E"/>
    <w:rsid w:val="00385ACC"/>
    <w:rsid w:val="0039180E"/>
    <w:rsid w:val="00394829"/>
    <w:rsid w:val="003A6BC2"/>
    <w:rsid w:val="003A73E8"/>
    <w:rsid w:val="003B3C37"/>
    <w:rsid w:val="003B3D68"/>
    <w:rsid w:val="003B4759"/>
    <w:rsid w:val="003C0BCD"/>
    <w:rsid w:val="003E5C08"/>
    <w:rsid w:val="003E5F89"/>
    <w:rsid w:val="003F00E6"/>
    <w:rsid w:val="003F3F03"/>
    <w:rsid w:val="003F7A80"/>
    <w:rsid w:val="004004CF"/>
    <w:rsid w:val="00401DB5"/>
    <w:rsid w:val="00421A7A"/>
    <w:rsid w:val="004404FF"/>
    <w:rsid w:val="00444B2E"/>
    <w:rsid w:val="00447ECF"/>
    <w:rsid w:val="004502B2"/>
    <w:rsid w:val="00451347"/>
    <w:rsid w:val="0046203F"/>
    <w:rsid w:val="00483726"/>
    <w:rsid w:val="00484040"/>
    <w:rsid w:val="004A58AD"/>
    <w:rsid w:val="004A70D4"/>
    <w:rsid w:val="004B4214"/>
    <w:rsid w:val="004D3F35"/>
    <w:rsid w:val="004E0F40"/>
    <w:rsid w:val="004E4DDD"/>
    <w:rsid w:val="004E6AA6"/>
    <w:rsid w:val="004E6E59"/>
    <w:rsid w:val="004E6FF7"/>
    <w:rsid w:val="004F1F24"/>
    <w:rsid w:val="004F27AC"/>
    <w:rsid w:val="004F73ED"/>
    <w:rsid w:val="005077FE"/>
    <w:rsid w:val="00517AE5"/>
    <w:rsid w:val="005308A9"/>
    <w:rsid w:val="00531819"/>
    <w:rsid w:val="00533A67"/>
    <w:rsid w:val="00557839"/>
    <w:rsid w:val="00572B62"/>
    <w:rsid w:val="005A1174"/>
    <w:rsid w:val="005A4F77"/>
    <w:rsid w:val="005A76CE"/>
    <w:rsid w:val="005B0359"/>
    <w:rsid w:val="005B5A5B"/>
    <w:rsid w:val="005C15B9"/>
    <w:rsid w:val="005D3720"/>
    <w:rsid w:val="005E0EEE"/>
    <w:rsid w:val="005E10D8"/>
    <w:rsid w:val="005E1956"/>
    <w:rsid w:val="00611287"/>
    <w:rsid w:val="00616F57"/>
    <w:rsid w:val="00621AA0"/>
    <w:rsid w:val="00622C29"/>
    <w:rsid w:val="00643677"/>
    <w:rsid w:val="00643A6B"/>
    <w:rsid w:val="00647B00"/>
    <w:rsid w:val="0065798A"/>
    <w:rsid w:val="00662710"/>
    <w:rsid w:val="00666855"/>
    <w:rsid w:val="006739BA"/>
    <w:rsid w:val="006A2C06"/>
    <w:rsid w:val="006A4223"/>
    <w:rsid w:val="006A72B2"/>
    <w:rsid w:val="006B2C76"/>
    <w:rsid w:val="006E143C"/>
    <w:rsid w:val="00701493"/>
    <w:rsid w:val="0072007A"/>
    <w:rsid w:val="007364CD"/>
    <w:rsid w:val="00746760"/>
    <w:rsid w:val="00752C59"/>
    <w:rsid w:val="00754CE1"/>
    <w:rsid w:val="00757A28"/>
    <w:rsid w:val="00766CE5"/>
    <w:rsid w:val="007713C4"/>
    <w:rsid w:val="007930DF"/>
    <w:rsid w:val="0079600F"/>
    <w:rsid w:val="00797E99"/>
    <w:rsid w:val="007A3841"/>
    <w:rsid w:val="007D2957"/>
    <w:rsid w:val="007D4110"/>
    <w:rsid w:val="007E45AB"/>
    <w:rsid w:val="007E753E"/>
    <w:rsid w:val="00801A24"/>
    <w:rsid w:val="00805881"/>
    <w:rsid w:val="008103C7"/>
    <w:rsid w:val="00835491"/>
    <w:rsid w:val="00844315"/>
    <w:rsid w:val="0084602E"/>
    <w:rsid w:val="00853F78"/>
    <w:rsid w:val="00854C6F"/>
    <w:rsid w:val="00863E08"/>
    <w:rsid w:val="00867583"/>
    <w:rsid w:val="00870D34"/>
    <w:rsid w:val="00875A0B"/>
    <w:rsid w:val="00883AB0"/>
    <w:rsid w:val="00884AA4"/>
    <w:rsid w:val="00895B75"/>
    <w:rsid w:val="008A051B"/>
    <w:rsid w:val="008A0A7A"/>
    <w:rsid w:val="008A55D4"/>
    <w:rsid w:val="008A6608"/>
    <w:rsid w:val="008B2D11"/>
    <w:rsid w:val="008D0A48"/>
    <w:rsid w:val="008D5733"/>
    <w:rsid w:val="008F145F"/>
    <w:rsid w:val="008F4CC3"/>
    <w:rsid w:val="008F5737"/>
    <w:rsid w:val="009075B6"/>
    <w:rsid w:val="00912BAB"/>
    <w:rsid w:val="009157E2"/>
    <w:rsid w:val="009203F9"/>
    <w:rsid w:val="0092078F"/>
    <w:rsid w:val="00926B15"/>
    <w:rsid w:val="009324CE"/>
    <w:rsid w:val="00937B98"/>
    <w:rsid w:val="00944751"/>
    <w:rsid w:val="00950109"/>
    <w:rsid w:val="00962D37"/>
    <w:rsid w:val="009746B8"/>
    <w:rsid w:val="00974BC4"/>
    <w:rsid w:val="009811A2"/>
    <w:rsid w:val="00984060"/>
    <w:rsid w:val="00987A00"/>
    <w:rsid w:val="009A0CCD"/>
    <w:rsid w:val="009A16F1"/>
    <w:rsid w:val="009A226E"/>
    <w:rsid w:val="009A3B14"/>
    <w:rsid w:val="009C502F"/>
    <w:rsid w:val="009C70AF"/>
    <w:rsid w:val="009E3F60"/>
    <w:rsid w:val="009F1B26"/>
    <w:rsid w:val="009F2FDC"/>
    <w:rsid w:val="009F4B93"/>
    <w:rsid w:val="00A10EFD"/>
    <w:rsid w:val="00A308EA"/>
    <w:rsid w:val="00A33422"/>
    <w:rsid w:val="00A42100"/>
    <w:rsid w:val="00A45C7F"/>
    <w:rsid w:val="00A47996"/>
    <w:rsid w:val="00A47E57"/>
    <w:rsid w:val="00A55800"/>
    <w:rsid w:val="00A61ED7"/>
    <w:rsid w:val="00A645D3"/>
    <w:rsid w:val="00A66C7C"/>
    <w:rsid w:val="00A76B4F"/>
    <w:rsid w:val="00A81FDE"/>
    <w:rsid w:val="00A82131"/>
    <w:rsid w:val="00A852DA"/>
    <w:rsid w:val="00A870F1"/>
    <w:rsid w:val="00AA7973"/>
    <w:rsid w:val="00AB38CF"/>
    <w:rsid w:val="00AD6422"/>
    <w:rsid w:val="00AE2AF7"/>
    <w:rsid w:val="00AE3F4F"/>
    <w:rsid w:val="00AF2041"/>
    <w:rsid w:val="00AF2386"/>
    <w:rsid w:val="00B13D01"/>
    <w:rsid w:val="00B33083"/>
    <w:rsid w:val="00B42546"/>
    <w:rsid w:val="00B500FD"/>
    <w:rsid w:val="00B56BF6"/>
    <w:rsid w:val="00B57B1D"/>
    <w:rsid w:val="00B950F4"/>
    <w:rsid w:val="00BB77B1"/>
    <w:rsid w:val="00BE5792"/>
    <w:rsid w:val="00BE76A3"/>
    <w:rsid w:val="00BF5028"/>
    <w:rsid w:val="00BF5354"/>
    <w:rsid w:val="00C22460"/>
    <w:rsid w:val="00C22B40"/>
    <w:rsid w:val="00C36461"/>
    <w:rsid w:val="00C46148"/>
    <w:rsid w:val="00C463ED"/>
    <w:rsid w:val="00C53631"/>
    <w:rsid w:val="00C53C40"/>
    <w:rsid w:val="00C61B7E"/>
    <w:rsid w:val="00C82BD1"/>
    <w:rsid w:val="00C848C6"/>
    <w:rsid w:val="00C864A6"/>
    <w:rsid w:val="00C87A8F"/>
    <w:rsid w:val="00C90AC6"/>
    <w:rsid w:val="00C9356E"/>
    <w:rsid w:val="00CB0E84"/>
    <w:rsid w:val="00CD28AF"/>
    <w:rsid w:val="00CD2A7C"/>
    <w:rsid w:val="00CD41C7"/>
    <w:rsid w:val="00CE0D6D"/>
    <w:rsid w:val="00CE289C"/>
    <w:rsid w:val="00CF2D76"/>
    <w:rsid w:val="00CF2E9D"/>
    <w:rsid w:val="00D05E00"/>
    <w:rsid w:val="00D07EE7"/>
    <w:rsid w:val="00D10CD4"/>
    <w:rsid w:val="00D136C4"/>
    <w:rsid w:val="00D16FFB"/>
    <w:rsid w:val="00D240C8"/>
    <w:rsid w:val="00D279B7"/>
    <w:rsid w:val="00D40FF7"/>
    <w:rsid w:val="00D42283"/>
    <w:rsid w:val="00D432B1"/>
    <w:rsid w:val="00D452DC"/>
    <w:rsid w:val="00D53C12"/>
    <w:rsid w:val="00D543B0"/>
    <w:rsid w:val="00D60532"/>
    <w:rsid w:val="00D61C85"/>
    <w:rsid w:val="00D65BBE"/>
    <w:rsid w:val="00D7342D"/>
    <w:rsid w:val="00D81164"/>
    <w:rsid w:val="00D86D64"/>
    <w:rsid w:val="00D9461A"/>
    <w:rsid w:val="00D94712"/>
    <w:rsid w:val="00DB7340"/>
    <w:rsid w:val="00DB7826"/>
    <w:rsid w:val="00DC3A74"/>
    <w:rsid w:val="00DD398F"/>
    <w:rsid w:val="00DD71FA"/>
    <w:rsid w:val="00DE1B85"/>
    <w:rsid w:val="00DF3DD8"/>
    <w:rsid w:val="00DF553B"/>
    <w:rsid w:val="00DF57FE"/>
    <w:rsid w:val="00E05579"/>
    <w:rsid w:val="00E15087"/>
    <w:rsid w:val="00E17181"/>
    <w:rsid w:val="00E302A7"/>
    <w:rsid w:val="00E32A6A"/>
    <w:rsid w:val="00E422D6"/>
    <w:rsid w:val="00E450B3"/>
    <w:rsid w:val="00E46C2C"/>
    <w:rsid w:val="00E55FE9"/>
    <w:rsid w:val="00E62832"/>
    <w:rsid w:val="00E673EA"/>
    <w:rsid w:val="00EA0028"/>
    <w:rsid w:val="00EA2186"/>
    <w:rsid w:val="00EA22E9"/>
    <w:rsid w:val="00EB0D1A"/>
    <w:rsid w:val="00EB51C1"/>
    <w:rsid w:val="00EC0920"/>
    <w:rsid w:val="00ED636D"/>
    <w:rsid w:val="00EE0C2E"/>
    <w:rsid w:val="00EE25C9"/>
    <w:rsid w:val="00EE2EC5"/>
    <w:rsid w:val="00EE41FB"/>
    <w:rsid w:val="00EE5C7C"/>
    <w:rsid w:val="00EE6384"/>
    <w:rsid w:val="00EE7247"/>
    <w:rsid w:val="00EF232A"/>
    <w:rsid w:val="00F16B52"/>
    <w:rsid w:val="00F341F2"/>
    <w:rsid w:val="00F4269B"/>
    <w:rsid w:val="00F70305"/>
    <w:rsid w:val="00F775EE"/>
    <w:rsid w:val="00F90526"/>
    <w:rsid w:val="00F9431E"/>
    <w:rsid w:val="00F9514E"/>
    <w:rsid w:val="00FA096D"/>
    <w:rsid w:val="00FA557D"/>
    <w:rsid w:val="00FA7A50"/>
    <w:rsid w:val="00FB406B"/>
    <w:rsid w:val="00FC0447"/>
    <w:rsid w:val="00FC127F"/>
    <w:rsid w:val="00FC6B47"/>
    <w:rsid w:val="00FF5AEC"/>
    <w:rsid w:val="00FF6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EADC7"/>
  <w15:docId w15:val="{763996D3-04B9-4B71-922C-EFBCF9FA1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30" w:qFormat="1"/>
    <w:lsdException w:name="Light List Accent 1" w:uiPriority="61"/>
    <w:lsdException w:name="Light Grid Accent 1" w:uiPriority="62"/>
    <w:lsdException w:name="Medium Shading 1 Accent 1" w:uiPriority="68"/>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1"/>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22E9"/>
    <w:pPr>
      <w:spacing w:after="0" w:line="240" w:lineRule="auto"/>
    </w:pPr>
    <w:rPr>
      <w:rFonts w:ascii="Times New Roman" w:eastAsia="Calibri" w:hAnsi="Times New Roman" w:cs="Times New Roman"/>
      <w:sz w:val="24"/>
      <w:szCs w:val="24"/>
    </w:rPr>
  </w:style>
  <w:style w:type="paragraph" w:styleId="Heading1">
    <w:name w:val="heading 1"/>
    <w:aliases w:val="Heading 1.I"/>
    <w:basedOn w:val="Normal"/>
    <w:next w:val="Normal"/>
    <w:link w:val="Heading1Char"/>
    <w:autoRedefine/>
    <w:uiPriority w:val="9"/>
    <w:qFormat/>
    <w:rsid w:val="00162A70"/>
    <w:pPr>
      <w:keepNext/>
      <w:keepLines/>
      <w:numPr>
        <w:numId w:val="5"/>
      </w:numPr>
      <w:spacing w:before="240" w:after="240"/>
      <w:outlineLvl w:val="0"/>
    </w:pPr>
    <w:rPr>
      <w:rFonts w:ascii="Arial" w:eastAsia="Times New Roman" w:hAnsi="Arial" w:cs="Arial"/>
      <w:b/>
      <w:bCs/>
      <w:sz w:val="22"/>
      <w:szCs w:val="28"/>
      <w:lang w:val="es-ES_tradnl"/>
    </w:rPr>
  </w:style>
  <w:style w:type="paragraph" w:styleId="Heading2">
    <w:name w:val="heading 2"/>
    <w:basedOn w:val="Normal"/>
    <w:next w:val="Normal"/>
    <w:link w:val="Heading2Char"/>
    <w:autoRedefine/>
    <w:uiPriority w:val="9"/>
    <w:qFormat/>
    <w:rsid w:val="001742E0"/>
    <w:pPr>
      <w:keepNext/>
      <w:keepLines/>
      <w:numPr>
        <w:numId w:val="4"/>
      </w:numPr>
      <w:spacing w:before="240" w:after="240"/>
      <w:outlineLvl w:val="1"/>
    </w:pPr>
    <w:rPr>
      <w:rFonts w:ascii="Arial" w:eastAsia="Times New Roman" w:hAnsi="Arial" w:cs="Arial"/>
      <w:b/>
      <w:bCs/>
      <w:sz w:val="22"/>
      <w:szCs w:val="22"/>
      <w:lang w:val="es-ES"/>
    </w:rPr>
  </w:style>
  <w:style w:type="paragraph" w:styleId="Heading3">
    <w:name w:val="heading 3"/>
    <w:basedOn w:val="Normal"/>
    <w:next w:val="Normal"/>
    <w:link w:val="Heading3Char"/>
    <w:uiPriority w:val="9"/>
    <w:qFormat/>
    <w:rsid w:val="00EA22E9"/>
    <w:pPr>
      <w:keepNext/>
      <w:keepLines/>
      <w:numPr>
        <w:ilvl w:val="2"/>
        <w:numId w:val="2"/>
      </w:numPr>
      <w:spacing w:before="200" w:line="259" w:lineRule="auto"/>
      <w:outlineLvl w:val="2"/>
    </w:pPr>
    <w:rPr>
      <w:rFonts w:ascii="Calibri Light" w:eastAsia="Times New Roman" w:hAnsi="Calibri Light"/>
      <w:b/>
      <w:bCs/>
      <w:color w:val="5B9BD5"/>
      <w:sz w:val="22"/>
      <w:szCs w:val="22"/>
    </w:rPr>
  </w:style>
  <w:style w:type="paragraph" w:styleId="Heading4">
    <w:name w:val="heading 4"/>
    <w:aliases w:val="Heading 4.a"/>
    <w:basedOn w:val="Normal"/>
    <w:next w:val="Normal"/>
    <w:link w:val="Heading4Char"/>
    <w:uiPriority w:val="9"/>
    <w:qFormat/>
    <w:rsid w:val="00EA22E9"/>
    <w:pPr>
      <w:keepNext/>
      <w:keepLines/>
      <w:numPr>
        <w:ilvl w:val="3"/>
        <w:numId w:val="2"/>
      </w:numPr>
      <w:spacing w:before="200" w:line="259" w:lineRule="auto"/>
      <w:outlineLvl w:val="3"/>
    </w:pPr>
    <w:rPr>
      <w:rFonts w:ascii="Calibri Light" w:eastAsia="Times New Roman" w:hAnsi="Calibri Light"/>
      <w:b/>
      <w:bCs/>
      <w:i/>
      <w:iCs/>
      <w:color w:val="5B9BD5"/>
      <w:sz w:val="22"/>
      <w:szCs w:val="22"/>
    </w:rPr>
  </w:style>
  <w:style w:type="paragraph" w:styleId="Heading5">
    <w:name w:val="heading 5"/>
    <w:aliases w:val="Heading 5.(i)"/>
    <w:basedOn w:val="Normal"/>
    <w:link w:val="Heading5Char"/>
    <w:qFormat/>
    <w:rsid w:val="00EA22E9"/>
    <w:pPr>
      <w:numPr>
        <w:ilvl w:val="4"/>
        <w:numId w:val="2"/>
      </w:numPr>
      <w:spacing w:before="100" w:beforeAutospacing="1" w:after="100" w:afterAutospacing="1"/>
      <w:outlineLvl w:val="4"/>
    </w:pPr>
    <w:rPr>
      <w:rFonts w:eastAsia="Times New Roman"/>
      <w:b/>
      <w:bCs/>
      <w:sz w:val="20"/>
      <w:szCs w:val="20"/>
    </w:rPr>
  </w:style>
  <w:style w:type="paragraph" w:styleId="Heading6">
    <w:name w:val="heading 6"/>
    <w:basedOn w:val="Normal"/>
    <w:next w:val="Normal"/>
    <w:link w:val="Heading6Char"/>
    <w:qFormat/>
    <w:rsid w:val="00EA22E9"/>
    <w:pPr>
      <w:keepNext/>
      <w:keepLines/>
      <w:numPr>
        <w:ilvl w:val="5"/>
        <w:numId w:val="2"/>
      </w:numPr>
      <w:spacing w:before="200" w:line="259" w:lineRule="auto"/>
      <w:outlineLvl w:val="5"/>
    </w:pPr>
    <w:rPr>
      <w:rFonts w:ascii="Calibri Light" w:eastAsia="Times New Roman" w:hAnsi="Calibri Light"/>
      <w:i/>
      <w:iCs/>
      <w:color w:val="1F4D78"/>
      <w:sz w:val="22"/>
      <w:szCs w:val="22"/>
    </w:rPr>
  </w:style>
  <w:style w:type="paragraph" w:styleId="Heading7">
    <w:name w:val="heading 7"/>
    <w:basedOn w:val="Normal"/>
    <w:next w:val="Normal"/>
    <w:link w:val="Heading7Char"/>
    <w:qFormat/>
    <w:rsid w:val="00EA22E9"/>
    <w:pPr>
      <w:keepNext/>
      <w:keepLines/>
      <w:numPr>
        <w:ilvl w:val="6"/>
        <w:numId w:val="2"/>
      </w:numPr>
      <w:spacing w:before="200" w:line="259" w:lineRule="auto"/>
      <w:outlineLvl w:val="6"/>
    </w:pPr>
    <w:rPr>
      <w:rFonts w:ascii="Calibri Light" w:eastAsia="Times New Roman" w:hAnsi="Calibri Light"/>
      <w:i/>
      <w:iCs/>
      <w:color w:val="404040"/>
      <w:sz w:val="22"/>
      <w:szCs w:val="22"/>
    </w:rPr>
  </w:style>
  <w:style w:type="paragraph" w:styleId="Heading8">
    <w:name w:val="heading 8"/>
    <w:basedOn w:val="Normal"/>
    <w:next w:val="Normal"/>
    <w:link w:val="Heading8Char"/>
    <w:qFormat/>
    <w:rsid w:val="00EA22E9"/>
    <w:pPr>
      <w:keepNext/>
      <w:keepLines/>
      <w:numPr>
        <w:ilvl w:val="7"/>
        <w:numId w:val="2"/>
      </w:numPr>
      <w:spacing w:before="200" w:line="259" w:lineRule="auto"/>
      <w:outlineLvl w:val="7"/>
    </w:pPr>
    <w:rPr>
      <w:rFonts w:ascii="Calibri Light" w:eastAsia="Times New Roman" w:hAnsi="Calibri Light"/>
      <w:color w:val="404040"/>
      <w:sz w:val="20"/>
      <w:szCs w:val="20"/>
    </w:rPr>
  </w:style>
  <w:style w:type="paragraph" w:styleId="Heading9">
    <w:name w:val="heading 9"/>
    <w:basedOn w:val="Normal"/>
    <w:next w:val="Normal"/>
    <w:link w:val="Heading9Char"/>
    <w:qFormat/>
    <w:rsid w:val="00EA22E9"/>
    <w:pPr>
      <w:keepNext/>
      <w:keepLines/>
      <w:numPr>
        <w:ilvl w:val="8"/>
        <w:numId w:val="2"/>
      </w:numPr>
      <w:spacing w:before="200" w:line="259" w:lineRule="auto"/>
      <w:outlineLvl w:val="8"/>
    </w:pPr>
    <w:rPr>
      <w:rFonts w:ascii="Calibri Light" w:eastAsia="Times New Roman" w:hAnsi="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uiPriority w:val="9"/>
    <w:rsid w:val="00162A70"/>
    <w:rPr>
      <w:rFonts w:ascii="Arial" w:eastAsia="Times New Roman" w:hAnsi="Arial" w:cs="Arial"/>
      <w:b/>
      <w:bCs/>
      <w:szCs w:val="28"/>
      <w:lang w:val="es-ES_tradnl"/>
    </w:rPr>
  </w:style>
  <w:style w:type="character" w:customStyle="1" w:styleId="Heading2Char">
    <w:name w:val="Heading 2 Char"/>
    <w:basedOn w:val="DefaultParagraphFont"/>
    <w:link w:val="Heading2"/>
    <w:uiPriority w:val="9"/>
    <w:rsid w:val="001742E0"/>
    <w:rPr>
      <w:rFonts w:ascii="Arial" w:eastAsia="Times New Roman" w:hAnsi="Arial" w:cs="Arial"/>
      <w:b/>
      <w:bCs/>
      <w:lang w:val="es-ES"/>
    </w:rPr>
  </w:style>
  <w:style w:type="character" w:customStyle="1" w:styleId="Heading3Char">
    <w:name w:val="Heading 3 Char"/>
    <w:basedOn w:val="DefaultParagraphFont"/>
    <w:link w:val="Heading3"/>
    <w:uiPriority w:val="9"/>
    <w:rsid w:val="00EA22E9"/>
    <w:rPr>
      <w:rFonts w:ascii="Calibri Light" w:eastAsia="Times New Roman" w:hAnsi="Calibri Light" w:cs="Times New Roman"/>
      <w:b/>
      <w:bCs/>
      <w:color w:val="5B9BD5"/>
    </w:rPr>
  </w:style>
  <w:style w:type="character" w:customStyle="1" w:styleId="Heading4Char">
    <w:name w:val="Heading 4 Char"/>
    <w:aliases w:val="Heading 4.a Char"/>
    <w:basedOn w:val="DefaultParagraphFont"/>
    <w:link w:val="Heading4"/>
    <w:uiPriority w:val="9"/>
    <w:rsid w:val="00EA22E9"/>
    <w:rPr>
      <w:rFonts w:ascii="Calibri Light" w:eastAsia="Times New Roman" w:hAnsi="Calibri Light" w:cs="Times New Roman"/>
      <w:b/>
      <w:bCs/>
      <w:i/>
      <w:iCs/>
      <w:color w:val="5B9BD5"/>
    </w:rPr>
  </w:style>
  <w:style w:type="character" w:customStyle="1" w:styleId="Heading5Char">
    <w:name w:val="Heading 5 Char"/>
    <w:aliases w:val="Heading 5.(i) Char"/>
    <w:basedOn w:val="DefaultParagraphFont"/>
    <w:link w:val="Heading5"/>
    <w:rsid w:val="00EA22E9"/>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rsid w:val="00EA22E9"/>
    <w:rPr>
      <w:rFonts w:ascii="Calibri Light" w:eastAsia="Times New Roman" w:hAnsi="Calibri Light" w:cs="Times New Roman"/>
      <w:i/>
      <w:iCs/>
      <w:color w:val="1F4D78"/>
    </w:rPr>
  </w:style>
  <w:style w:type="character" w:customStyle="1" w:styleId="Heading7Char">
    <w:name w:val="Heading 7 Char"/>
    <w:basedOn w:val="DefaultParagraphFont"/>
    <w:link w:val="Heading7"/>
    <w:rsid w:val="00EA22E9"/>
    <w:rPr>
      <w:rFonts w:ascii="Calibri Light" w:eastAsia="Times New Roman" w:hAnsi="Calibri Light" w:cs="Times New Roman"/>
      <w:i/>
      <w:iCs/>
      <w:color w:val="404040"/>
    </w:rPr>
  </w:style>
  <w:style w:type="character" w:customStyle="1" w:styleId="Heading8Char">
    <w:name w:val="Heading 8 Char"/>
    <w:basedOn w:val="DefaultParagraphFont"/>
    <w:link w:val="Heading8"/>
    <w:rsid w:val="00EA22E9"/>
    <w:rPr>
      <w:rFonts w:ascii="Calibri Light" w:eastAsia="Times New Roman" w:hAnsi="Calibri Light" w:cs="Times New Roman"/>
      <w:color w:val="404040"/>
      <w:sz w:val="20"/>
      <w:szCs w:val="20"/>
    </w:rPr>
  </w:style>
  <w:style w:type="character" w:customStyle="1" w:styleId="Heading9Char">
    <w:name w:val="Heading 9 Char"/>
    <w:basedOn w:val="DefaultParagraphFont"/>
    <w:link w:val="Heading9"/>
    <w:rsid w:val="00EA22E9"/>
    <w:rPr>
      <w:rFonts w:ascii="Calibri Light" w:eastAsia="Times New Roman" w:hAnsi="Calibri Light" w:cs="Times New Roman"/>
      <w:i/>
      <w:iCs/>
      <w:color w:val="404040"/>
      <w:sz w:val="20"/>
      <w:szCs w:val="20"/>
    </w:rPr>
  </w:style>
  <w:style w:type="paragraph" w:styleId="NormalWeb">
    <w:name w:val="Normal (Web)"/>
    <w:basedOn w:val="Normal"/>
    <w:uiPriority w:val="99"/>
    <w:unhideWhenUsed/>
    <w:rsid w:val="00EA22E9"/>
    <w:pPr>
      <w:spacing w:before="100" w:beforeAutospacing="1" w:after="100" w:afterAutospacing="1"/>
    </w:pPr>
    <w:rPr>
      <w:rFonts w:eastAsia="Times New Roman"/>
      <w:sz w:val="22"/>
    </w:rPr>
  </w:style>
  <w:style w:type="table" w:styleId="TableGrid">
    <w:name w:val="Table Grid"/>
    <w:basedOn w:val="TableNormal"/>
    <w:uiPriority w:val="99"/>
    <w:rsid w:val="00EA22E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EA22E9"/>
    <w:rPr>
      <w:i/>
      <w:iCs/>
    </w:rPr>
  </w:style>
  <w:style w:type="character" w:customStyle="1" w:styleId="apple-converted-space">
    <w:name w:val="apple-converted-space"/>
    <w:basedOn w:val="DefaultParagraphFont"/>
    <w:rsid w:val="00EA22E9"/>
  </w:style>
  <w:style w:type="paragraph" w:styleId="FootnoteText">
    <w:name w:val="footnote text"/>
    <w:aliases w:val="fn,Texto nota pie IIRSA,footnote,foottextfra,F,Texto nota pie Car Car,Car,Car3 Car Car,Car3 Car,Car3 Car Car Car Car Car Car Car Car Car Car,Car3 Car Car Car Car Car Car Car Car Car Car Car Car Car,ft,Style 25,Texto de rodapé,nota_rodapé,f"/>
    <w:basedOn w:val="Normal"/>
    <w:link w:val="FootnoteTextChar"/>
    <w:unhideWhenUsed/>
    <w:qFormat/>
    <w:rsid w:val="00EA22E9"/>
    <w:pPr>
      <w:keepNext/>
      <w:keepLines/>
      <w:spacing w:after="120"/>
      <w:ind w:left="288" w:hanging="288"/>
      <w:jc w:val="both"/>
    </w:pPr>
    <w:rPr>
      <w:rFonts w:ascii="Arial" w:hAnsi="Arial" w:cs="Arial"/>
      <w:spacing w:val="-3"/>
      <w:sz w:val="20"/>
      <w:szCs w:val="20"/>
    </w:rPr>
  </w:style>
  <w:style w:type="character" w:customStyle="1" w:styleId="FootnoteTextChar">
    <w:name w:val="Footnote Text Char"/>
    <w:aliases w:val="fn Char,Texto nota pie IIRSA Char,footnote Char,foottextfra Char,F Char,Texto nota pie Car Car Char,Car Char,Car3 Car Car Char,Car3 Car Char,Car3 Car Car Car Car Car Car Car Car Car Car Char,ft Char,Style 25 Char,Texto de rodapé Char"/>
    <w:basedOn w:val="DefaultParagraphFont"/>
    <w:link w:val="FootnoteText"/>
    <w:rsid w:val="00EA22E9"/>
    <w:rPr>
      <w:rFonts w:ascii="Arial" w:eastAsia="Calibri" w:hAnsi="Arial" w:cs="Arial"/>
      <w:spacing w:val="-3"/>
      <w:sz w:val="20"/>
      <w:szCs w:val="20"/>
    </w:rPr>
  </w:style>
  <w:style w:type="character" w:styleId="FootnoteReference">
    <w:name w:val="footnote reference"/>
    <w:aliases w:val="referencia nota al pie,titulo 2,Fußnotenzeichen DISS,16 Point,Superscript 6 Point,ftref,BVI fnr,Знак сноски 1,Footnote Referencefra,FC,Style 24,pie pddes,Ref,de nota al pie,Ref. de nota al pie.,Footnote Reference.SES,Body Text 2 Char1"/>
    <w:uiPriority w:val="99"/>
    <w:unhideWhenUsed/>
    <w:qFormat/>
    <w:rsid w:val="00EA22E9"/>
    <w:rPr>
      <w:vertAlign w:val="superscript"/>
    </w:rPr>
  </w:style>
  <w:style w:type="character" w:styleId="Hyperlink">
    <w:name w:val="Hyperlink"/>
    <w:uiPriority w:val="99"/>
    <w:unhideWhenUsed/>
    <w:rsid w:val="00EA22E9"/>
    <w:rPr>
      <w:color w:val="0000FF"/>
      <w:u w:val="single"/>
    </w:rPr>
  </w:style>
  <w:style w:type="paragraph" w:styleId="BalloonText">
    <w:name w:val="Balloon Text"/>
    <w:basedOn w:val="Normal"/>
    <w:link w:val="BalloonTextChar"/>
    <w:uiPriority w:val="99"/>
    <w:semiHidden/>
    <w:unhideWhenUsed/>
    <w:rsid w:val="00EA22E9"/>
    <w:rPr>
      <w:rFonts w:ascii="Tahoma" w:hAnsi="Tahoma" w:cs="Tahoma"/>
      <w:sz w:val="16"/>
      <w:szCs w:val="16"/>
    </w:rPr>
  </w:style>
  <w:style w:type="character" w:customStyle="1" w:styleId="BalloonTextChar">
    <w:name w:val="Balloon Text Char"/>
    <w:basedOn w:val="DefaultParagraphFont"/>
    <w:link w:val="BalloonText"/>
    <w:uiPriority w:val="99"/>
    <w:semiHidden/>
    <w:rsid w:val="00EA22E9"/>
    <w:rPr>
      <w:rFonts w:ascii="Tahoma" w:eastAsia="Calibri" w:hAnsi="Tahoma" w:cs="Tahoma"/>
      <w:sz w:val="16"/>
      <w:szCs w:val="16"/>
    </w:rPr>
  </w:style>
  <w:style w:type="paragraph" w:customStyle="1" w:styleId="ColorfulList-Accent11">
    <w:name w:val="Colorful List - Accent 11"/>
    <w:basedOn w:val="Normal"/>
    <w:link w:val="ColorfulList-Accent1Char1"/>
    <w:uiPriority w:val="34"/>
    <w:qFormat/>
    <w:rsid w:val="00EA22E9"/>
    <w:pPr>
      <w:spacing w:after="160" w:line="259" w:lineRule="auto"/>
      <w:ind w:left="720"/>
      <w:contextualSpacing/>
    </w:pPr>
    <w:rPr>
      <w:rFonts w:ascii="Arial" w:hAnsi="Arial"/>
      <w:sz w:val="22"/>
      <w:szCs w:val="22"/>
    </w:rPr>
  </w:style>
  <w:style w:type="paragraph" w:styleId="Title">
    <w:name w:val="Title"/>
    <w:basedOn w:val="Normal"/>
    <w:link w:val="TitleChar"/>
    <w:qFormat/>
    <w:rsid w:val="00EA22E9"/>
    <w:pPr>
      <w:tabs>
        <w:tab w:val="left" w:pos="1440"/>
        <w:tab w:val="left" w:pos="3060"/>
      </w:tabs>
      <w:jc w:val="center"/>
      <w:outlineLvl w:val="0"/>
    </w:pPr>
    <w:rPr>
      <w:rFonts w:eastAsia="Times New Roman"/>
      <w:sz w:val="22"/>
      <w:szCs w:val="20"/>
    </w:rPr>
  </w:style>
  <w:style w:type="character" w:customStyle="1" w:styleId="TitleChar">
    <w:name w:val="Title Char"/>
    <w:basedOn w:val="DefaultParagraphFont"/>
    <w:link w:val="Title"/>
    <w:rsid w:val="00EA22E9"/>
    <w:rPr>
      <w:rFonts w:ascii="Times New Roman" w:eastAsia="Times New Roman" w:hAnsi="Times New Roman" w:cs="Times New Roman"/>
      <w:szCs w:val="20"/>
    </w:rPr>
  </w:style>
  <w:style w:type="paragraph" w:customStyle="1" w:styleId="Newpage">
    <w:name w:val="Newpage"/>
    <w:basedOn w:val="Normal"/>
    <w:rsid w:val="00EA22E9"/>
    <w:pPr>
      <w:tabs>
        <w:tab w:val="left" w:pos="1440"/>
        <w:tab w:val="left" w:pos="3060"/>
      </w:tabs>
      <w:jc w:val="center"/>
    </w:pPr>
    <w:rPr>
      <w:rFonts w:eastAsia="Times New Roman" w:cs="Arial"/>
      <w:b/>
      <w:smallCaps/>
      <w:sz w:val="22"/>
      <w:szCs w:val="20"/>
    </w:rPr>
  </w:style>
  <w:style w:type="paragraph" w:customStyle="1" w:styleId="Listavistosa-nfasis11">
    <w:name w:val="Lista vistosa - Énfasis 11"/>
    <w:basedOn w:val="Normal"/>
    <w:link w:val="Listavistosa-nfasis1Car"/>
    <w:uiPriority w:val="34"/>
    <w:qFormat/>
    <w:rsid w:val="00EA22E9"/>
    <w:pPr>
      <w:ind w:left="720"/>
      <w:contextualSpacing/>
    </w:pPr>
    <w:rPr>
      <w:rFonts w:ascii="Calibri" w:hAnsi="Calibri"/>
      <w:sz w:val="22"/>
      <w:szCs w:val="22"/>
      <w:lang w:val="es-ES_tradnl"/>
    </w:rPr>
  </w:style>
  <w:style w:type="character" w:customStyle="1" w:styleId="Listavistosa-nfasis1Car">
    <w:name w:val="Lista vistosa - Énfasis 1 Car"/>
    <w:link w:val="Listavistosa-nfasis11"/>
    <w:uiPriority w:val="34"/>
    <w:rsid w:val="00EA22E9"/>
    <w:rPr>
      <w:rFonts w:ascii="Calibri" w:eastAsia="Calibri" w:hAnsi="Calibri" w:cs="Times New Roman"/>
      <w:lang w:val="es-ES_tradnl"/>
    </w:rPr>
  </w:style>
  <w:style w:type="paragraph" w:styleId="TOCHeading">
    <w:name w:val="TOC Heading"/>
    <w:basedOn w:val="Heading1"/>
    <w:next w:val="Normal"/>
    <w:uiPriority w:val="39"/>
    <w:unhideWhenUsed/>
    <w:qFormat/>
    <w:rsid w:val="00EA22E9"/>
    <w:pPr>
      <w:spacing w:line="276" w:lineRule="auto"/>
      <w:outlineLvl w:val="9"/>
    </w:pPr>
    <w:rPr>
      <w:lang w:eastAsia="ja-JP"/>
    </w:rPr>
  </w:style>
  <w:style w:type="paragraph" w:customStyle="1" w:styleId="Chapter">
    <w:name w:val="Chapter"/>
    <w:basedOn w:val="Normal"/>
    <w:next w:val="Normal"/>
    <w:link w:val="ChapterChar"/>
    <w:rsid w:val="00EA22E9"/>
    <w:pPr>
      <w:keepNext/>
      <w:numPr>
        <w:numId w:val="2"/>
      </w:numPr>
      <w:tabs>
        <w:tab w:val="num" w:pos="648"/>
        <w:tab w:val="left" w:pos="1440"/>
      </w:tabs>
      <w:spacing w:before="240" w:after="240"/>
      <w:ind w:left="0" w:firstLine="288"/>
      <w:jc w:val="center"/>
    </w:pPr>
    <w:rPr>
      <w:rFonts w:ascii="Arial" w:hAnsi="Arial" w:cs="Arial"/>
      <w:b/>
      <w:smallCaps/>
      <w:szCs w:val="22"/>
      <w:lang w:val="es-ES"/>
    </w:rPr>
  </w:style>
  <w:style w:type="character" w:customStyle="1" w:styleId="ColorfulList-Accent1Char1">
    <w:name w:val="Colorful List - Accent 1 Char1"/>
    <w:basedOn w:val="DefaultParagraphFont"/>
    <w:link w:val="ColorfulList-Accent11"/>
    <w:uiPriority w:val="34"/>
    <w:rsid w:val="00EA22E9"/>
    <w:rPr>
      <w:rFonts w:ascii="Arial" w:eastAsia="Calibri" w:hAnsi="Arial" w:cs="Times New Roman"/>
    </w:rPr>
  </w:style>
  <w:style w:type="character" w:customStyle="1" w:styleId="ChapterChar">
    <w:name w:val="Chapter Char"/>
    <w:link w:val="Chapter"/>
    <w:rsid w:val="00EA22E9"/>
    <w:rPr>
      <w:rFonts w:ascii="Arial" w:eastAsia="Calibri" w:hAnsi="Arial" w:cs="Arial"/>
      <w:b/>
      <w:smallCaps/>
      <w:sz w:val="24"/>
      <w:lang w:val="es-ES"/>
    </w:rPr>
  </w:style>
  <w:style w:type="paragraph" w:customStyle="1" w:styleId="FirstHeading">
    <w:name w:val="FirstHeading"/>
    <w:basedOn w:val="Normal"/>
    <w:next w:val="Normal"/>
    <w:link w:val="FirstHeadingChar"/>
    <w:rsid w:val="00EA22E9"/>
    <w:pPr>
      <w:keepNext/>
      <w:numPr>
        <w:numId w:val="1"/>
      </w:numPr>
      <w:tabs>
        <w:tab w:val="left" w:pos="0"/>
        <w:tab w:val="left" w:pos="86"/>
      </w:tabs>
      <w:spacing w:before="120" w:after="120"/>
      <w:ind w:hanging="720"/>
    </w:pPr>
    <w:rPr>
      <w:rFonts w:ascii="Arial" w:hAnsi="Arial" w:cs="Arial"/>
      <w:b/>
      <w:sz w:val="22"/>
      <w:szCs w:val="22"/>
      <w:lang w:val="es-ES"/>
    </w:rPr>
  </w:style>
  <w:style w:type="character" w:customStyle="1" w:styleId="FirstHeadingChar">
    <w:name w:val="FirstHeading Char"/>
    <w:link w:val="FirstHeading"/>
    <w:rsid w:val="00EA22E9"/>
    <w:rPr>
      <w:rFonts w:ascii="Arial" w:eastAsia="Calibri" w:hAnsi="Arial" w:cs="Arial"/>
      <w:b/>
      <w:lang w:val="es-ES"/>
    </w:rPr>
  </w:style>
  <w:style w:type="paragraph" w:customStyle="1" w:styleId="SecHeading">
    <w:name w:val="SecHeading"/>
    <w:basedOn w:val="Normal"/>
    <w:next w:val="Paragraph"/>
    <w:link w:val="SecHeadingChar"/>
    <w:rsid w:val="00EA22E9"/>
    <w:pPr>
      <w:keepNext/>
      <w:tabs>
        <w:tab w:val="num" w:pos="1296"/>
      </w:tabs>
      <w:spacing w:before="120" w:after="120"/>
      <w:ind w:left="1296" w:hanging="576"/>
    </w:pPr>
    <w:rPr>
      <w:rFonts w:ascii="Arial" w:hAnsi="Arial" w:cs="Arial"/>
      <w:b/>
      <w:sz w:val="22"/>
      <w:szCs w:val="22"/>
      <w:lang w:val="es-ES"/>
    </w:rPr>
  </w:style>
  <w:style w:type="character" w:customStyle="1" w:styleId="SecHeadingChar">
    <w:name w:val="SecHeading Char"/>
    <w:link w:val="SecHeading"/>
    <w:rsid w:val="00EA22E9"/>
    <w:rPr>
      <w:rFonts w:ascii="Arial" w:eastAsia="Calibri" w:hAnsi="Arial" w:cs="Arial"/>
      <w:b/>
      <w:lang w:val="es-ES"/>
    </w:rPr>
  </w:style>
  <w:style w:type="paragraph" w:customStyle="1" w:styleId="SubHeading1">
    <w:name w:val="SubHeading1"/>
    <w:basedOn w:val="SecHeading"/>
    <w:link w:val="SubHeading1Char"/>
    <w:rsid w:val="00EA22E9"/>
    <w:pPr>
      <w:tabs>
        <w:tab w:val="clear" w:pos="1296"/>
        <w:tab w:val="num" w:pos="1872"/>
      </w:tabs>
      <w:ind w:left="1872"/>
    </w:pPr>
  </w:style>
  <w:style w:type="character" w:customStyle="1" w:styleId="SubHeading1Char">
    <w:name w:val="SubHeading1 Char"/>
    <w:link w:val="SubHeading1"/>
    <w:rsid w:val="00EA22E9"/>
    <w:rPr>
      <w:rFonts w:ascii="Arial" w:eastAsia="Calibri" w:hAnsi="Arial" w:cs="Arial"/>
      <w:b/>
      <w:lang w:val="es-ES"/>
    </w:rPr>
  </w:style>
  <w:style w:type="paragraph" w:customStyle="1" w:styleId="Subheading2">
    <w:name w:val="Subheading2"/>
    <w:basedOn w:val="SecHeading"/>
    <w:link w:val="Subheading2Char"/>
    <w:rsid w:val="00EA22E9"/>
    <w:pPr>
      <w:tabs>
        <w:tab w:val="clear" w:pos="1296"/>
        <w:tab w:val="num" w:pos="2376"/>
      </w:tabs>
      <w:ind w:left="2376" w:hanging="288"/>
    </w:pPr>
  </w:style>
  <w:style w:type="character" w:customStyle="1" w:styleId="Subheading2Char">
    <w:name w:val="Subheading2 Char"/>
    <w:link w:val="Subheading2"/>
    <w:rsid w:val="00EA22E9"/>
    <w:rPr>
      <w:rFonts w:ascii="Arial" w:eastAsia="Calibri" w:hAnsi="Arial" w:cs="Arial"/>
      <w:b/>
      <w:lang w:val="es-ES"/>
    </w:rPr>
  </w:style>
  <w:style w:type="paragraph" w:customStyle="1" w:styleId="Paragraph">
    <w:name w:val="Paragraph"/>
    <w:aliases w:val="paragraph,p,PARAGRAPH,PG,pa,at,at Char"/>
    <w:basedOn w:val="BodyTextIndent"/>
    <w:link w:val="ParagraphChar"/>
    <w:qFormat/>
    <w:rsid w:val="00EA22E9"/>
    <w:pPr>
      <w:tabs>
        <w:tab w:val="num" w:pos="720"/>
      </w:tabs>
      <w:spacing w:before="120"/>
      <w:ind w:left="720" w:hanging="720"/>
      <w:jc w:val="both"/>
      <w:outlineLvl w:val="1"/>
    </w:pPr>
    <w:rPr>
      <w:sz w:val="22"/>
      <w:lang w:val="es-ES"/>
    </w:rPr>
  </w:style>
  <w:style w:type="character" w:customStyle="1" w:styleId="ParagraphChar">
    <w:name w:val="Paragraph Char"/>
    <w:link w:val="Paragraph"/>
    <w:rsid w:val="00EA22E9"/>
    <w:rPr>
      <w:rFonts w:ascii="Arial" w:eastAsia="Calibri" w:hAnsi="Arial" w:cs="Arial"/>
      <w:lang w:val="es-ES"/>
    </w:rPr>
  </w:style>
  <w:style w:type="paragraph" w:customStyle="1" w:styleId="subpar">
    <w:name w:val="subpar"/>
    <w:basedOn w:val="BodyTextIndent3"/>
    <w:link w:val="subparChar"/>
    <w:rsid w:val="00EA22E9"/>
    <w:pPr>
      <w:tabs>
        <w:tab w:val="num" w:pos="1152"/>
      </w:tabs>
      <w:spacing w:before="120"/>
      <w:ind w:left="1152" w:hanging="432"/>
      <w:jc w:val="both"/>
      <w:outlineLvl w:val="2"/>
    </w:pPr>
    <w:rPr>
      <w:lang w:val="es-ES"/>
    </w:rPr>
  </w:style>
  <w:style w:type="character" w:customStyle="1" w:styleId="subparChar">
    <w:name w:val="subpar Char"/>
    <w:link w:val="subpar"/>
    <w:rsid w:val="00EA22E9"/>
    <w:rPr>
      <w:rFonts w:ascii="Arial" w:eastAsia="Calibri" w:hAnsi="Arial" w:cs="Arial"/>
      <w:szCs w:val="16"/>
      <w:lang w:val="es-ES"/>
    </w:rPr>
  </w:style>
  <w:style w:type="paragraph" w:customStyle="1" w:styleId="SubSubPar">
    <w:name w:val="SubSubPar"/>
    <w:basedOn w:val="subpar"/>
    <w:link w:val="SubSubParChar"/>
    <w:rsid w:val="00EA22E9"/>
    <w:pPr>
      <w:tabs>
        <w:tab w:val="clear" w:pos="1152"/>
        <w:tab w:val="left" w:pos="0"/>
        <w:tab w:val="num" w:pos="1296"/>
      </w:tabs>
      <w:ind w:left="1296" w:hanging="288"/>
    </w:pPr>
  </w:style>
  <w:style w:type="character" w:customStyle="1" w:styleId="SubSubParChar">
    <w:name w:val="SubSubPar Char"/>
    <w:link w:val="SubSubPar"/>
    <w:rsid w:val="00EA22E9"/>
    <w:rPr>
      <w:rFonts w:ascii="Arial" w:eastAsia="Calibri" w:hAnsi="Arial" w:cs="Arial"/>
      <w:szCs w:val="16"/>
      <w:lang w:val="es-ES"/>
    </w:rPr>
  </w:style>
  <w:style w:type="paragraph" w:customStyle="1" w:styleId="Regtable">
    <w:name w:val="Regtable"/>
    <w:basedOn w:val="Normal"/>
    <w:link w:val="RegtableChar"/>
    <w:rsid w:val="003A73E8"/>
    <w:pPr>
      <w:keepLines/>
      <w:framePr w:wrap="around" w:vAnchor="text" w:hAnchor="text" w:y="1"/>
      <w:spacing w:before="20" w:after="20"/>
    </w:pPr>
    <w:rPr>
      <w:rFonts w:ascii="Arial" w:hAnsi="Arial" w:cs="Arial"/>
      <w:sz w:val="20"/>
      <w:szCs w:val="22"/>
      <w:lang w:val="es-ES"/>
    </w:rPr>
  </w:style>
  <w:style w:type="character" w:customStyle="1" w:styleId="RegtableChar">
    <w:name w:val="Regtable Char"/>
    <w:link w:val="Regtable"/>
    <w:rsid w:val="003A73E8"/>
    <w:rPr>
      <w:rFonts w:ascii="Arial" w:eastAsia="Calibri" w:hAnsi="Arial" w:cs="Arial"/>
      <w:sz w:val="20"/>
      <w:lang w:val="es-ES"/>
    </w:rPr>
  </w:style>
  <w:style w:type="paragraph" w:customStyle="1" w:styleId="TableTitle">
    <w:name w:val="TableTitle"/>
    <w:basedOn w:val="Normal"/>
    <w:link w:val="TableTitleChar"/>
    <w:rsid w:val="003A73E8"/>
    <w:pPr>
      <w:keepNext/>
      <w:framePr w:wrap="around" w:vAnchor="text" w:hAnchor="text" w:y="1"/>
      <w:spacing w:before="20" w:after="20"/>
      <w:jc w:val="center"/>
    </w:pPr>
    <w:rPr>
      <w:rFonts w:ascii="Arial" w:hAnsi="Arial" w:cs="Arial"/>
      <w:b/>
      <w:spacing w:val="-3"/>
      <w:sz w:val="20"/>
      <w:szCs w:val="22"/>
      <w:lang w:val="es-ES"/>
    </w:rPr>
  </w:style>
  <w:style w:type="character" w:customStyle="1" w:styleId="TableTitleChar">
    <w:name w:val="TableTitle Char"/>
    <w:link w:val="TableTitle"/>
    <w:rsid w:val="003A73E8"/>
    <w:rPr>
      <w:rFonts w:ascii="Arial" w:eastAsia="Calibri" w:hAnsi="Arial" w:cs="Arial"/>
      <w:b/>
      <w:spacing w:val="-3"/>
      <w:sz w:val="20"/>
      <w:lang w:val="es-ES"/>
    </w:rPr>
  </w:style>
  <w:style w:type="paragraph" w:styleId="BodyTextIndent">
    <w:name w:val="Body Text Indent"/>
    <w:basedOn w:val="Normal"/>
    <w:link w:val="BodyTextIndentChar"/>
    <w:uiPriority w:val="99"/>
    <w:semiHidden/>
    <w:unhideWhenUsed/>
    <w:rsid w:val="00EA22E9"/>
    <w:pPr>
      <w:spacing w:after="120"/>
      <w:ind w:left="360"/>
    </w:pPr>
    <w:rPr>
      <w:rFonts w:ascii="Arial" w:hAnsi="Arial" w:cs="Arial"/>
      <w:szCs w:val="22"/>
    </w:rPr>
  </w:style>
  <w:style w:type="character" w:customStyle="1" w:styleId="BodyTextIndentChar">
    <w:name w:val="Body Text Indent Char"/>
    <w:basedOn w:val="DefaultParagraphFont"/>
    <w:link w:val="BodyTextIndent"/>
    <w:uiPriority w:val="99"/>
    <w:semiHidden/>
    <w:rsid w:val="00EA22E9"/>
    <w:rPr>
      <w:rFonts w:ascii="Arial" w:eastAsia="Calibri" w:hAnsi="Arial" w:cs="Arial"/>
      <w:sz w:val="24"/>
    </w:rPr>
  </w:style>
  <w:style w:type="paragraph" w:styleId="BodyTextIndent3">
    <w:name w:val="Body Text Indent 3"/>
    <w:basedOn w:val="Normal"/>
    <w:link w:val="BodyTextIndent3Char"/>
    <w:uiPriority w:val="99"/>
    <w:semiHidden/>
    <w:unhideWhenUsed/>
    <w:rsid w:val="00EA22E9"/>
    <w:pPr>
      <w:spacing w:after="120"/>
      <w:ind w:left="360"/>
    </w:pPr>
    <w:rPr>
      <w:rFonts w:ascii="Arial" w:hAnsi="Arial" w:cs="Arial"/>
      <w:sz w:val="22"/>
      <w:szCs w:val="16"/>
    </w:rPr>
  </w:style>
  <w:style w:type="character" w:customStyle="1" w:styleId="BodyTextIndent3Char">
    <w:name w:val="Body Text Indent 3 Char"/>
    <w:basedOn w:val="DefaultParagraphFont"/>
    <w:link w:val="BodyTextIndent3"/>
    <w:uiPriority w:val="99"/>
    <w:semiHidden/>
    <w:rsid w:val="00EA22E9"/>
    <w:rPr>
      <w:rFonts w:ascii="Arial" w:eastAsia="Calibri" w:hAnsi="Arial" w:cs="Arial"/>
      <w:szCs w:val="16"/>
    </w:rPr>
  </w:style>
  <w:style w:type="paragraph" w:styleId="TOC1">
    <w:name w:val="toc 1"/>
    <w:basedOn w:val="Normal"/>
    <w:next w:val="Normal"/>
    <w:autoRedefine/>
    <w:uiPriority w:val="39"/>
    <w:unhideWhenUsed/>
    <w:qFormat/>
    <w:rsid w:val="003F7A80"/>
    <w:pPr>
      <w:tabs>
        <w:tab w:val="left" w:pos="480"/>
        <w:tab w:val="right" w:leader="dot" w:pos="9350"/>
      </w:tabs>
      <w:spacing w:before="120" w:line="259" w:lineRule="auto"/>
    </w:pPr>
    <w:rPr>
      <w:rFonts w:asciiTheme="minorHAnsi" w:hAnsiTheme="minorHAnsi"/>
      <w:b/>
      <w:noProof/>
      <w:sz w:val="22"/>
      <w:szCs w:val="22"/>
    </w:rPr>
  </w:style>
  <w:style w:type="paragraph" w:styleId="TOC2">
    <w:name w:val="toc 2"/>
    <w:basedOn w:val="Normal"/>
    <w:next w:val="Normal"/>
    <w:autoRedefine/>
    <w:uiPriority w:val="39"/>
    <w:unhideWhenUsed/>
    <w:qFormat/>
    <w:rsid w:val="00EA22E9"/>
    <w:pPr>
      <w:spacing w:line="259" w:lineRule="auto"/>
      <w:ind w:left="240"/>
    </w:pPr>
    <w:rPr>
      <w:rFonts w:asciiTheme="minorHAnsi" w:hAnsiTheme="minorHAnsi"/>
      <w:i/>
      <w:sz w:val="22"/>
      <w:szCs w:val="22"/>
    </w:rPr>
  </w:style>
  <w:style w:type="paragraph" w:styleId="TOC3">
    <w:name w:val="toc 3"/>
    <w:basedOn w:val="Normal"/>
    <w:next w:val="Normal"/>
    <w:autoRedefine/>
    <w:uiPriority w:val="39"/>
    <w:unhideWhenUsed/>
    <w:qFormat/>
    <w:rsid w:val="00EA22E9"/>
    <w:pPr>
      <w:spacing w:line="259" w:lineRule="auto"/>
      <w:ind w:left="480"/>
    </w:pPr>
    <w:rPr>
      <w:rFonts w:asciiTheme="minorHAnsi" w:hAnsiTheme="minorHAnsi"/>
      <w:sz w:val="22"/>
      <w:szCs w:val="22"/>
    </w:rPr>
  </w:style>
  <w:style w:type="character" w:styleId="CommentReference">
    <w:name w:val="annotation reference"/>
    <w:rsid w:val="00EA22E9"/>
    <w:rPr>
      <w:sz w:val="16"/>
      <w:szCs w:val="16"/>
    </w:rPr>
  </w:style>
  <w:style w:type="paragraph" w:styleId="CommentText">
    <w:name w:val="annotation text"/>
    <w:basedOn w:val="Normal"/>
    <w:link w:val="CommentTextChar"/>
    <w:rsid w:val="00EA22E9"/>
    <w:rPr>
      <w:rFonts w:eastAsia="Times New Roman"/>
      <w:spacing w:val="-3"/>
      <w:sz w:val="20"/>
      <w:szCs w:val="20"/>
      <w:lang w:val="es-ES_tradnl"/>
    </w:rPr>
  </w:style>
  <w:style w:type="character" w:customStyle="1" w:styleId="CommentTextChar">
    <w:name w:val="Comment Text Char"/>
    <w:basedOn w:val="DefaultParagraphFont"/>
    <w:link w:val="CommentText"/>
    <w:rsid w:val="00EA22E9"/>
    <w:rPr>
      <w:rFonts w:ascii="Times New Roman" w:eastAsia="Times New Roman" w:hAnsi="Times New Roman" w:cs="Times New Roman"/>
      <w:spacing w:val="-3"/>
      <w:sz w:val="20"/>
      <w:szCs w:val="20"/>
      <w:lang w:val="es-ES_tradnl"/>
    </w:rPr>
  </w:style>
  <w:style w:type="paragraph" w:customStyle="1" w:styleId="AutoNumpara">
    <w:name w:val="AutoNumpara"/>
    <w:basedOn w:val="BodyTextIndent"/>
    <w:rsid w:val="00EA22E9"/>
    <w:pPr>
      <w:tabs>
        <w:tab w:val="num" w:pos="720"/>
      </w:tabs>
      <w:spacing w:before="120"/>
      <w:ind w:left="720" w:hanging="720"/>
      <w:jc w:val="both"/>
    </w:pPr>
    <w:rPr>
      <w:rFonts w:eastAsia="Times New Roman"/>
      <w:noProof/>
      <w:spacing w:val="-2"/>
      <w:szCs w:val="20"/>
      <w:lang w:val="es-ES_tradnl"/>
    </w:rPr>
  </w:style>
  <w:style w:type="character" w:customStyle="1" w:styleId="ColorfulList-Accent1Char">
    <w:name w:val="Colorful List - Accent 1 Char"/>
    <w:uiPriority w:val="34"/>
    <w:rsid w:val="00EA22E9"/>
    <w:rPr>
      <w:rFonts w:ascii="Calibri" w:eastAsia="Calibri" w:hAnsi="Calibri" w:cs="Times New Roman"/>
      <w:lang w:val="es-ES_tradnl"/>
    </w:rPr>
  </w:style>
  <w:style w:type="paragraph" w:customStyle="1" w:styleId="Contedodetabela">
    <w:name w:val="Conteúdo de tabela"/>
    <w:basedOn w:val="Normal"/>
    <w:rsid w:val="00EA22E9"/>
    <w:pPr>
      <w:widowControl w:val="0"/>
      <w:suppressLineNumbers/>
      <w:suppressAutoHyphens/>
    </w:pPr>
    <w:rPr>
      <w:rFonts w:eastAsia="Bitstream Vera Sans" w:cs="Bitstream Vera Sans"/>
      <w:kern w:val="1"/>
      <w:sz w:val="22"/>
      <w:lang w:val="pt-BR" w:eastAsia="hi-IN" w:bidi="hi-IN"/>
    </w:rPr>
  </w:style>
  <w:style w:type="character" w:customStyle="1" w:styleId="HeaderChar">
    <w:name w:val="Header Char"/>
    <w:link w:val="Header"/>
    <w:uiPriority w:val="99"/>
    <w:rsid w:val="00EA22E9"/>
    <w:rPr>
      <w:rFonts w:ascii="Times New Roman" w:eastAsia="Times New Roman" w:hAnsi="Times New Roman"/>
      <w:spacing w:val="-3"/>
      <w:lang w:val="es-ES_tradnl"/>
    </w:rPr>
  </w:style>
  <w:style w:type="character" w:customStyle="1" w:styleId="z-TopofFormChar">
    <w:name w:val="z-Top of Form Char"/>
    <w:link w:val="z-TopofForm"/>
    <w:uiPriority w:val="99"/>
    <w:semiHidden/>
    <w:rsid w:val="00EA22E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EA22E9"/>
    <w:pPr>
      <w:pBdr>
        <w:top w:val="single" w:sz="6" w:space="1" w:color="auto"/>
      </w:pBdr>
      <w:jc w:val="center"/>
    </w:pPr>
    <w:rPr>
      <w:rFonts w:ascii="Arial" w:eastAsia="Times New Roman" w:hAnsi="Arial"/>
      <w:vanish/>
      <w:sz w:val="16"/>
      <w:szCs w:val="16"/>
      <w:lang w:val="x-none" w:eastAsia="x-none"/>
    </w:rPr>
  </w:style>
  <w:style w:type="character" w:customStyle="1" w:styleId="z-BottomofFormChar">
    <w:name w:val="z-Bottom of Form Char"/>
    <w:basedOn w:val="DefaultParagraphFont"/>
    <w:link w:val="z-BottomofForm"/>
    <w:uiPriority w:val="99"/>
    <w:rsid w:val="00EA22E9"/>
    <w:rPr>
      <w:rFonts w:ascii="Arial" w:eastAsia="Times New Roman" w:hAnsi="Arial" w:cs="Times New Roman"/>
      <w:vanish/>
      <w:sz w:val="16"/>
      <w:szCs w:val="16"/>
      <w:lang w:val="x-none" w:eastAsia="x-none"/>
    </w:rPr>
  </w:style>
  <w:style w:type="paragraph" w:customStyle="1" w:styleId="Corpo">
    <w:name w:val="Corpo"/>
    <w:rsid w:val="00EA22E9"/>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lang w:val="pt-PT" w:eastAsia="pt-BR"/>
    </w:rPr>
  </w:style>
  <w:style w:type="paragraph" w:styleId="Header">
    <w:name w:val="header"/>
    <w:basedOn w:val="Normal"/>
    <w:link w:val="HeaderChar"/>
    <w:uiPriority w:val="99"/>
    <w:unhideWhenUsed/>
    <w:rsid w:val="00EA22E9"/>
    <w:pPr>
      <w:tabs>
        <w:tab w:val="center" w:pos="4680"/>
        <w:tab w:val="right" w:pos="9360"/>
      </w:tabs>
    </w:pPr>
    <w:rPr>
      <w:rFonts w:eastAsia="Times New Roman" w:cstheme="minorBidi"/>
      <w:spacing w:val="-3"/>
      <w:sz w:val="22"/>
      <w:szCs w:val="22"/>
      <w:lang w:val="es-ES_tradnl"/>
    </w:rPr>
  </w:style>
  <w:style w:type="character" w:customStyle="1" w:styleId="HeaderChar1">
    <w:name w:val="Header Char1"/>
    <w:basedOn w:val="DefaultParagraphFont"/>
    <w:uiPriority w:val="99"/>
    <w:semiHidden/>
    <w:rsid w:val="00EA22E9"/>
    <w:rPr>
      <w:rFonts w:ascii="Times New Roman" w:eastAsia="Calibri" w:hAnsi="Times New Roman" w:cs="Times New Roman"/>
      <w:sz w:val="24"/>
      <w:szCs w:val="24"/>
    </w:rPr>
  </w:style>
  <w:style w:type="paragraph" w:styleId="z-TopofForm">
    <w:name w:val="HTML Top of Form"/>
    <w:basedOn w:val="Normal"/>
    <w:next w:val="Normal"/>
    <w:link w:val="z-TopofFormChar"/>
    <w:hidden/>
    <w:uiPriority w:val="99"/>
    <w:semiHidden/>
    <w:unhideWhenUsed/>
    <w:rsid w:val="00EA22E9"/>
    <w:pPr>
      <w:pBdr>
        <w:bottom w:val="single" w:sz="6" w:space="1" w:color="auto"/>
      </w:pBdr>
      <w:spacing w:line="259"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EA22E9"/>
    <w:rPr>
      <w:rFonts w:ascii="Arial" w:eastAsia="Calibri" w:hAnsi="Arial" w:cs="Arial"/>
      <w:vanish/>
      <w:sz w:val="16"/>
      <w:szCs w:val="16"/>
    </w:rPr>
  </w:style>
  <w:style w:type="paragraph" w:styleId="Footer">
    <w:name w:val="footer"/>
    <w:basedOn w:val="Normal"/>
    <w:link w:val="FooterChar"/>
    <w:uiPriority w:val="99"/>
    <w:unhideWhenUsed/>
    <w:rsid w:val="00EA22E9"/>
    <w:pPr>
      <w:tabs>
        <w:tab w:val="center" w:pos="4680"/>
        <w:tab w:val="right" w:pos="9360"/>
      </w:tabs>
      <w:spacing w:after="160" w:line="259" w:lineRule="auto"/>
    </w:pPr>
    <w:rPr>
      <w:rFonts w:ascii="Arial" w:hAnsi="Arial"/>
      <w:sz w:val="22"/>
      <w:szCs w:val="22"/>
    </w:rPr>
  </w:style>
  <w:style w:type="character" w:customStyle="1" w:styleId="FooterChar">
    <w:name w:val="Footer Char"/>
    <w:basedOn w:val="DefaultParagraphFont"/>
    <w:link w:val="Footer"/>
    <w:uiPriority w:val="99"/>
    <w:rsid w:val="00EA22E9"/>
    <w:rPr>
      <w:rFonts w:ascii="Arial" w:eastAsia="Calibri" w:hAnsi="Arial" w:cs="Times New Roman"/>
    </w:rPr>
  </w:style>
  <w:style w:type="paragraph" w:styleId="Caption">
    <w:name w:val="caption"/>
    <w:basedOn w:val="Normal"/>
    <w:next w:val="Normal"/>
    <w:autoRedefine/>
    <w:uiPriority w:val="35"/>
    <w:qFormat/>
    <w:rsid w:val="00974BC4"/>
    <w:pPr>
      <w:jc w:val="center"/>
    </w:pPr>
    <w:rPr>
      <w:rFonts w:ascii="Arial" w:eastAsia="Cambria" w:hAnsi="Arial" w:cs="Arial"/>
      <w:b/>
      <w:bCs/>
      <w:sz w:val="18"/>
      <w:szCs w:val="18"/>
      <w:lang w:val="es-ES_tradnl"/>
    </w:rPr>
  </w:style>
  <w:style w:type="paragraph" w:styleId="DocumentMap">
    <w:name w:val="Document Map"/>
    <w:basedOn w:val="Normal"/>
    <w:link w:val="DocumentMapChar"/>
    <w:uiPriority w:val="99"/>
    <w:semiHidden/>
    <w:unhideWhenUsed/>
    <w:rsid w:val="00EA22E9"/>
    <w:pPr>
      <w:spacing w:after="160" w:line="259" w:lineRule="auto"/>
    </w:pPr>
    <w:rPr>
      <w:rFonts w:ascii="Lucida Grande" w:hAnsi="Lucida Grande" w:cs="Lucida Grande"/>
      <w:sz w:val="22"/>
    </w:rPr>
  </w:style>
  <w:style w:type="character" w:customStyle="1" w:styleId="DocumentMapChar">
    <w:name w:val="Document Map Char"/>
    <w:basedOn w:val="DefaultParagraphFont"/>
    <w:link w:val="DocumentMap"/>
    <w:uiPriority w:val="99"/>
    <w:semiHidden/>
    <w:rsid w:val="00EA22E9"/>
    <w:rPr>
      <w:rFonts w:ascii="Lucida Grande" w:eastAsia="Calibri" w:hAnsi="Lucida Grande" w:cs="Lucida Grande"/>
      <w:szCs w:val="24"/>
    </w:rPr>
  </w:style>
  <w:style w:type="paragraph" w:styleId="CommentSubject">
    <w:name w:val="annotation subject"/>
    <w:basedOn w:val="CommentText"/>
    <w:next w:val="CommentText"/>
    <w:link w:val="CommentSubjectChar"/>
    <w:uiPriority w:val="99"/>
    <w:semiHidden/>
    <w:unhideWhenUsed/>
    <w:rsid w:val="00EA22E9"/>
    <w:pPr>
      <w:spacing w:after="160"/>
    </w:pPr>
    <w:rPr>
      <w:rFonts w:eastAsia="Calibri"/>
      <w:b/>
      <w:bCs/>
      <w:spacing w:val="0"/>
      <w:lang w:val="en-US"/>
    </w:rPr>
  </w:style>
  <w:style w:type="character" w:customStyle="1" w:styleId="CommentSubjectChar">
    <w:name w:val="Comment Subject Char"/>
    <w:basedOn w:val="CommentTextChar"/>
    <w:link w:val="CommentSubject"/>
    <w:uiPriority w:val="99"/>
    <w:semiHidden/>
    <w:rsid w:val="00EA22E9"/>
    <w:rPr>
      <w:rFonts w:ascii="Times New Roman" w:eastAsia="Calibri" w:hAnsi="Times New Roman" w:cs="Times New Roman"/>
      <w:b/>
      <w:bCs/>
      <w:spacing w:val="-3"/>
      <w:sz w:val="20"/>
      <w:szCs w:val="20"/>
      <w:lang w:val="es-ES_tradnl"/>
    </w:rPr>
  </w:style>
  <w:style w:type="table" w:styleId="MediumGrid3-Accent1">
    <w:name w:val="Medium Grid 3 Accent 1"/>
    <w:basedOn w:val="TableNormal"/>
    <w:uiPriority w:val="64"/>
    <w:rsid w:val="00EA22E9"/>
    <w:pPr>
      <w:spacing w:after="0" w:line="240" w:lineRule="auto"/>
    </w:pPr>
    <w:rPr>
      <w:rFonts w:ascii="Calibri" w:eastAsia="Calibri" w:hAnsi="Calibri"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List2-Accent1">
    <w:name w:val="Medium List 2 Accent 1"/>
    <w:basedOn w:val="TableNormal"/>
    <w:uiPriority w:val="61"/>
    <w:rsid w:val="00EA22E9"/>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1">
    <w:name w:val="Light Shading Accent 1"/>
    <w:basedOn w:val="TableNormal"/>
    <w:uiPriority w:val="30"/>
    <w:qFormat/>
    <w:rsid w:val="00EA22E9"/>
    <w:pPr>
      <w:spacing w:after="0" w:line="240" w:lineRule="auto"/>
    </w:pPr>
    <w:rPr>
      <w:rFonts w:ascii="Calibri" w:eastAsia="Calibri" w:hAnsi="Calibri" w:cs="Times New Roman"/>
      <w:color w:val="365F91" w:themeColor="accent1" w:themeShade="BF"/>
      <w:sz w:val="20"/>
      <w:szCs w:val="20"/>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Shading1-Accent1">
    <w:name w:val="Medium Shading 1 Accent 1"/>
    <w:basedOn w:val="TableNormal"/>
    <w:uiPriority w:val="68"/>
    <w:rsid w:val="00EA22E9"/>
    <w:pPr>
      <w:spacing w:after="0" w:line="240" w:lineRule="auto"/>
    </w:pPr>
    <w:rPr>
      <w:rFonts w:ascii="Calibri" w:eastAsia="Calibri" w:hAnsi="Calibri" w:cs="Times New Roman"/>
      <w:sz w:val="20"/>
      <w:szCs w:val="20"/>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link w:val="ListParagraphChar"/>
    <w:uiPriority w:val="34"/>
    <w:qFormat/>
    <w:rsid w:val="00EA22E9"/>
    <w:pPr>
      <w:spacing w:after="160" w:line="259"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uiPriority w:val="34"/>
    <w:rsid w:val="00EA22E9"/>
  </w:style>
  <w:style w:type="paragraph" w:styleId="TOC4">
    <w:name w:val="toc 4"/>
    <w:basedOn w:val="Normal"/>
    <w:next w:val="Normal"/>
    <w:autoRedefine/>
    <w:uiPriority w:val="39"/>
    <w:unhideWhenUsed/>
    <w:rsid w:val="00EA22E9"/>
    <w:pPr>
      <w:spacing w:line="259" w:lineRule="auto"/>
      <w:ind w:left="720"/>
    </w:pPr>
    <w:rPr>
      <w:rFonts w:asciiTheme="minorHAnsi" w:hAnsiTheme="minorHAnsi"/>
      <w:sz w:val="20"/>
      <w:szCs w:val="20"/>
    </w:rPr>
  </w:style>
  <w:style w:type="paragraph" w:styleId="TOC5">
    <w:name w:val="toc 5"/>
    <w:basedOn w:val="Normal"/>
    <w:next w:val="Normal"/>
    <w:autoRedefine/>
    <w:uiPriority w:val="39"/>
    <w:unhideWhenUsed/>
    <w:rsid w:val="00EA22E9"/>
    <w:pPr>
      <w:spacing w:line="259" w:lineRule="auto"/>
      <w:ind w:left="960"/>
    </w:pPr>
    <w:rPr>
      <w:rFonts w:asciiTheme="minorHAnsi" w:hAnsiTheme="minorHAnsi"/>
      <w:sz w:val="20"/>
      <w:szCs w:val="20"/>
    </w:rPr>
  </w:style>
  <w:style w:type="paragraph" w:styleId="TOC6">
    <w:name w:val="toc 6"/>
    <w:basedOn w:val="Normal"/>
    <w:next w:val="Normal"/>
    <w:autoRedefine/>
    <w:uiPriority w:val="39"/>
    <w:unhideWhenUsed/>
    <w:rsid w:val="00EA22E9"/>
    <w:pPr>
      <w:spacing w:line="259" w:lineRule="auto"/>
      <w:ind w:left="1200"/>
    </w:pPr>
    <w:rPr>
      <w:rFonts w:asciiTheme="minorHAnsi" w:hAnsiTheme="minorHAnsi"/>
      <w:sz w:val="20"/>
      <w:szCs w:val="20"/>
    </w:rPr>
  </w:style>
  <w:style w:type="paragraph" w:styleId="TOC7">
    <w:name w:val="toc 7"/>
    <w:basedOn w:val="Normal"/>
    <w:next w:val="Normal"/>
    <w:autoRedefine/>
    <w:uiPriority w:val="39"/>
    <w:unhideWhenUsed/>
    <w:rsid w:val="00EA22E9"/>
    <w:pPr>
      <w:spacing w:line="259" w:lineRule="auto"/>
      <w:ind w:left="1440"/>
    </w:pPr>
    <w:rPr>
      <w:rFonts w:asciiTheme="minorHAnsi" w:hAnsiTheme="minorHAnsi"/>
      <w:sz w:val="20"/>
      <w:szCs w:val="20"/>
    </w:rPr>
  </w:style>
  <w:style w:type="paragraph" w:styleId="TOC8">
    <w:name w:val="toc 8"/>
    <w:basedOn w:val="Normal"/>
    <w:next w:val="Normal"/>
    <w:autoRedefine/>
    <w:uiPriority w:val="39"/>
    <w:unhideWhenUsed/>
    <w:rsid w:val="00EA22E9"/>
    <w:pPr>
      <w:spacing w:line="259" w:lineRule="auto"/>
      <w:ind w:left="1680"/>
    </w:pPr>
    <w:rPr>
      <w:rFonts w:asciiTheme="minorHAnsi" w:hAnsiTheme="minorHAnsi"/>
      <w:sz w:val="20"/>
      <w:szCs w:val="20"/>
    </w:rPr>
  </w:style>
  <w:style w:type="paragraph" w:styleId="TOC9">
    <w:name w:val="toc 9"/>
    <w:basedOn w:val="Normal"/>
    <w:next w:val="Normal"/>
    <w:autoRedefine/>
    <w:uiPriority w:val="39"/>
    <w:unhideWhenUsed/>
    <w:rsid w:val="00EA22E9"/>
    <w:pPr>
      <w:spacing w:line="259" w:lineRule="auto"/>
      <w:ind w:left="1920"/>
    </w:pPr>
    <w:rPr>
      <w:rFonts w:asciiTheme="minorHAnsi" w:hAnsiTheme="minorHAnsi"/>
      <w:sz w:val="20"/>
      <w:szCs w:val="20"/>
    </w:rPr>
  </w:style>
  <w:style w:type="table" w:customStyle="1" w:styleId="GridTable4-Accent11">
    <w:name w:val="Grid Table 4 - Accent 11"/>
    <w:basedOn w:val="TableNormal"/>
    <w:uiPriority w:val="49"/>
    <w:rsid w:val="00EA22E9"/>
    <w:pPr>
      <w:spacing w:after="0" w:line="240" w:lineRule="auto"/>
    </w:pPr>
    <w:rPr>
      <w:rFonts w:ascii="Calibri" w:eastAsia="Calibri" w:hAnsi="Calibri" w:cs="Times New Roman"/>
      <w:sz w:val="20"/>
      <w:szCs w:val="20"/>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5Dark-Accent11">
    <w:name w:val="Grid Table 5 Dark - Accent 11"/>
    <w:basedOn w:val="TableNormal"/>
    <w:uiPriority w:val="50"/>
    <w:rsid w:val="00EA22E9"/>
    <w:pPr>
      <w:spacing w:after="0" w:line="240" w:lineRule="auto"/>
    </w:pPr>
    <w:rPr>
      <w:rFonts w:ascii="Calibri" w:eastAsia="Calibri" w:hAnsi="Calibri" w:cs="Times New Roman"/>
      <w:sz w:val="20"/>
      <w:szCs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FollowedHyperlink">
    <w:name w:val="FollowedHyperlink"/>
    <w:basedOn w:val="DefaultParagraphFont"/>
    <w:uiPriority w:val="99"/>
    <w:semiHidden/>
    <w:unhideWhenUsed/>
    <w:rsid w:val="00EA22E9"/>
    <w:rPr>
      <w:color w:val="800080" w:themeColor="followedHyperlink"/>
      <w:u w:val="single"/>
    </w:rPr>
  </w:style>
  <w:style w:type="paragraph" w:styleId="Bibliography">
    <w:name w:val="Bibliography"/>
    <w:basedOn w:val="Normal"/>
    <w:next w:val="Normal"/>
    <w:uiPriority w:val="37"/>
    <w:semiHidden/>
    <w:unhideWhenUsed/>
    <w:rsid w:val="00EA22E9"/>
  </w:style>
  <w:style w:type="character" w:styleId="Mention">
    <w:name w:val="Mention"/>
    <w:basedOn w:val="DefaultParagraphFont"/>
    <w:uiPriority w:val="99"/>
    <w:semiHidden/>
    <w:unhideWhenUsed/>
    <w:rsid w:val="00797E99"/>
    <w:rPr>
      <w:color w:val="2B579A"/>
      <w:shd w:val="clear" w:color="auto" w:fill="E6E6E6"/>
    </w:rPr>
  </w:style>
  <w:style w:type="character" w:customStyle="1" w:styleId="font561">
    <w:name w:val="font561"/>
    <w:basedOn w:val="DefaultParagraphFont"/>
    <w:rsid w:val="00CE0D6D"/>
    <w:rPr>
      <w:rFonts w:ascii="Arial" w:hAnsi="Arial" w:cs="Arial" w:hint="default"/>
      <w:b w:val="0"/>
      <w:bCs w:val="0"/>
      <w:i w:val="0"/>
      <w:iCs w:val="0"/>
      <w:strike w:val="0"/>
      <w:dstrike w:val="0"/>
      <w:color w:val="000000"/>
      <w:sz w:val="20"/>
      <w:szCs w:val="20"/>
      <w:u w:val="none"/>
      <w:effect w:val="none"/>
    </w:rPr>
  </w:style>
  <w:style w:type="paragraph" w:styleId="Revision">
    <w:name w:val="Revision"/>
    <w:hidden/>
    <w:uiPriority w:val="99"/>
    <w:semiHidden/>
    <w:rsid w:val="00011851"/>
    <w:pPr>
      <w:spacing w:after="0" w:line="240" w:lineRule="auto"/>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363231">
      <w:bodyDiv w:val="1"/>
      <w:marLeft w:val="0"/>
      <w:marRight w:val="0"/>
      <w:marTop w:val="0"/>
      <w:marBottom w:val="0"/>
      <w:divBdr>
        <w:top w:val="none" w:sz="0" w:space="0" w:color="auto"/>
        <w:left w:val="none" w:sz="0" w:space="0" w:color="auto"/>
        <w:bottom w:val="none" w:sz="0" w:space="0" w:color="auto"/>
        <w:right w:val="none" w:sz="0" w:space="0" w:color="auto"/>
      </w:divBdr>
    </w:div>
    <w:div w:id="224072074">
      <w:bodyDiv w:val="1"/>
      <w:marLeft w:val="0"/>
      <w:marRight w:val="0"/>
      <w:marTop w:val="0"/>
      <w:marBottom w:val="0"/>
      <w:divBdr>
        <w:top w:val="none" w:sz="0" w:space="0" w:color="auto"/>
        <w:left w:val="none" w:sz="0" w:space="0" w:color="auto"/>
        <w:bottom w:val="none" w:sz="0" w:space="0" w:color="auto"/>
        <w:right w:val="none" w:sz="0" w:space="0" w:color="auto"/>
      </w:divBdr>
    </w:div>
    <w:div w:id="396392662">
      <w:bodyDiv w:val="1"/>
      <w:marLeft w:val="0"/>
      <w:marRight w:val="0"/>
      <w:marTop w:val="0"/>
      <w:marBottom w:val="0"/>
      <w:divBdr>
        <w:top w:val="none" w:sz="0" w:space="0" w:color="auto"/>
        <w:left w:val="none" w:sz="0" w:space="0" w:color="auto"/>
        <w:bottom w:val="none" w:sz="0" w:space="0" w:color="auto"/>
        <w:right w:val="none" w:sz="0" w:space="0" w:color="auto"/>
      </w:divBdr>
    </w:div>
    <w:div w:id="149391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dbg.sharepoint.com/teams/EZ-NI-LON/NI-L1143/70%20Virtual%20Editing%20Room/POD_PACK/Anexo%20ll-%20Marco%20de%20Resultados%20-%20NI-L1143.pdf" TargetMode="External"/><Relationship Id="rId19" Type="http://schemas.openxmlformats.org/officeDocument/2006/relationships/hyperlink" Target="http://www.who.int/choice/costs/CER_thresholds/en/index.html" TargetMode="External"/><Relationship Id="rId4" Type="http://schemas.openxmlformats.org/officeDocument/2006/relationships/settings" Target="settings.xml"/><Relationship Id="rId9" Type="http://schemas.openxmlformats.org/officeDocument/2006/relationships/hyperlink" Target="https://idbg.sharepoint.com/teams/EZ-NI-LON/NI-L1143/70%20Virtual%20Editing%20Room/POD_PACK/Anexo%20ll-%20Marco%20de%20Resultados%20-%20NI-L1143.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3E88A-952C-4B75-A760-FD7F50A9E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8495</Words>
  <Characters>48424</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IADB</dc:creator>
  <cp:lastModifiedBy>Silveira, Sheyla</cp:lastModifiedBy>
  <cp:revision>3</cp:revision>
  <dcterms:created xsi:type="dcterms:W3CDTF">2017-11-07T20:38:00Z</dcterms:created>
  <dcterms:modified xsi:type="dcterms:W3CDTF">2017-11-07T20:38:00Z</dcterms:modified>
</cp:coreProperties>
</file>