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10433" w14:textId="77777777" w:rsidR="00F4025B" w:rsidRDefault="004D2209">
      <w:pPr>
        <w:spacing w:before="200" w:after="200"/>
        <w:jc w:val="center"/>
      </w:pPr>
      <w:r>
        <w:rPr>
          <w:rFonts w:ascii="Arial" w:hAnsi="Arial" w:cs="Arial"/>
          <w:b/>
        </w:rPr>
        <w:t>TC ABSTRACT</w:t>
      </w:r>
    </w:p>
    <w:p w14:paraId="45DAF7D7" w14:textId="77777777" w:rsidR="00F4025B" w:rsidRDefault="004D2209">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05"/>
        <w:gridCol w:w="5137"/>
      </w:tblGrid>
      <w:tr w:rsidR="00F4025B" w14:paraId="1B7B42C0" w14:textId="77777777">
        <w:trPr>
          <w:jc w:val="center"/>
        </w:trPr>
        <w:tc>
          <w:tcPr>
            <w:tcW w:w="5250" w:type="dxa"/>
          </w:tcPr>
          <w:p w14:paraId="7C62BF61"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7354E8FE" w14:textId="77777777" w:rsidR="00F4025B" w:rsidRDefault="004D2209">
            <w:pPr>
              <w:spacing w:before="40" w:after="40"/>
            </w:pPr>
            <w:r>
              <w:rPr>
                <w:rFonts w:ascii="Arial" w:hAnsi="Arial" w:cs="Arial"/>
                <w:sz w:val="18"/>
                <w:szCs w:val="18"/>
              </w:rPr>
              <w:t>PARAGUAY/CSC - Southern Cone</w:t>
            </w:r>
          </w:p>
        </w:tc>
      </w:tr>
      <w:tr w:rsidR="00F4025B" w14:paraId="1316D513" w14:textId="77777777">
        <w:trPr>
          <w:jc w:val="center"/>
        </w:trPr>
        <w:tc>
          <w:tcPr>
            <w:tcW w:w="5250" w:type="dxa"/>
          </w:tcPr>
          <w:p w14:paraId="62BC7792"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7344023D" w14:textId="6087B6AF" w:rsidR="00F4025B" w:rsidRDefault="004D2209" w:rsidP="000B6538">
            <w:pPr>
              <w:spacing w:before="40" w:after="40"/>
              <w:jc w:val="both"/>
            </w:pPr>
            <w:r>
              <w:rPr>
                <w:rFonts w:ascii="Arial" w:hAnsi="Arial" w:cs="Arial"/>
                <w:sz w:val="18"/>
                <w:szCs w:val="18"/>
              </w:rPr>
              <w:t xml:space="preserve">Program to Strengthen the Pension System in Paraguay II, </w:t>
            </w:r>
            <w:r w:rsidR="000B6538">
              <w:rPr>
                <w:rFonts w:ascii="Arial" w:hAnsi="Arial" w:cs="Arial"/>
                <w:sz w:val="18"/>
                <w:szCs w:val="18"/>
              </w:rPr>
              <w:t>S</w:t>
            </w:r>
            <w:r>
              <w:rPr>
                <w:rFonts w:ascii="Arial" w:hAnsi="Arial" w:cs="Arial"/>
                <w:sz w:val="18"/>
                <w:szCs w:val="18"/>
              </w:rPr>
              <w:t>treng</w:t>
            </w:r>
            <w:r w:rsidR="000B6538">
              <w:rPr>
                <w:rFonts w:ascii="Arial" w:hAnsi="Arial" w:cs="Arial"/>
                <w:sz w:val="18"/>
                <w:szCs w:val="18"/>
              </w:rPr>
              <w:t>t</w:t>
            </w:r>
            <w:r>
              <w:rPr>
                <w:rFonts w:ascii="Arial" w:hAnsi="Arial" w:cs="Arial"/>
                <w:sz w:val="18"/>
                <w:szCs w:val="18"/>
              </w:rPr>
              <w:t>h</w:t>
            </w:r>
            <w:r>
              <w:rPr>
                <w:rFonts w:ascii="Arial" w:hAnsi="Arial" w:cs="Arial"/>
                <w:sz w:val="18"/>
                <w:szCs w:val="18"/>
              </w:rPr>
              <w:t xml:space="preserve">ening of </w:t>
            </w:r>
            <w:proofErr w:type="spellStart"/>
            <w:r>
              <w:rPr>
                <w:rFonts w:ascii="Arial" w:hAnsi="Arial" w:cs="Arial"/>
                <w:sz w:val="18"/>
                <w:szCs w:val="18"/>
              </w:rPr>
              <w:t>Caja</w:t>
            </w:r>
            <w:proofErr w:type="spellEnd"/>
            <w:r>
              <w:rPr>
                <w:rFonts w:ascii="Arial" w:hAnsi="Arial" w:cs="Arial"/>
                <w:sz w:val="18"/>
                <w:szCs w:val="18"/>
              </w:rPr>
              <w:t xml:space="preserve"> Fiscal.</w:t>
            </w:r>
          </w:p>
        </w:tc>
      </w:tr>
      <w:tr w:rsidR="00F4025B" w14:paraId="0B4ECC51" w14:textId="77777777">
        <w:trPr>
          <w:jc w:val="center"/>
        </w:trPr>
        <w:tc>
          <w:tcPr>
            <w:tcW w:w="5250" w:type="dxa"/>
          </w:tcPr>
          <w:p w14:paraId="6DF8F791"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033E6253" w14:textId="77777777" w:rsidR="00F4025B" w:rsidRDefault="004D2209">
            <w:pPr>
              <w:spacing w:before="40" w:after="40"/>
            </w:pPr>
            <w:r>
              <w:rPr>
                <w:rFonts w:ascii="Arial" w:hAnsi="Arial" w:cs="Arial"/>
                <w:sz w:val="18"/>
                <w:szCs w:val="18"/>
              </w:rPr>
              <w:t>PR-T1265</w:t>
            </w:r>
          </w:p>
        </w:tc>
      </w:tr>
      <w:tr w:rsidR="00F4025B" w14:paraId="746F3BC5" w14:textId="77777777">
        <w:trPr>
          <w:jc w:val="center"/>
        </w:trPr>
        <w:tc>
          <w:tcPr>
            <w:tcW w:w="5250" w:type="dxa"/>
          </w:tcPr>
          <w:p w14:paraId="690101D0"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14:paraId="66AF76D8" w14:textId="0C5DDF9D" w:rsidR="00F4025B" w:rsidRDefault="000B6538" w:rsidP="000B6538">
            <w:pPr>
              <w:spacing w:before="40" w:after="40"/>
              <w:jc w:val="both"/>
            </w:pPr>
            <w:r>
              <w:rPr>
                <w:rFonts w:ascii="Arial" w:hAnsi="Arial" w:cs="Arial"/>
                <w:sz w:val="18"/>
                <w:szCs w:val="18"/>
              </w:rPr>
              <w:t>Waldo Tapia</w:t>
            </w:r>
            <w:r w:rsidR="004D2209">
              <w:rPr>
                <w:rFonts w:ascii="Arial" w:hAnsi="Arial" w:cs="Arial"/>
                <w:sz w:val="18"/>
                <w:szCs w:val="18"/>
              </w:rPr>
              <w:t xml:space="preserve"> (SCL/LMK) Team Leader;</w:t>
            </w:r>
            <w:r>
              <w:rPr>
                <w:rFonts w:ascii="Arial" w:hAnsi="Arial" w:cs="Arial"/>
                <w:sz w:val="18"/>
                <w:szCs w:val="18"/>
              </w:rPr>
              <w:t xml:space="preserve"> Manuel Urquidi</w:t>
            </w:r>
            <w:r w:rsidR="004D2209">
              <w:rPr>
                <w:rFonts w:ascii="Arial" w:hAnsi="Arial" w:cs="Arial"/>
                <w:sz w:val="18"/>
                <w:szCs w:val="18"/>
              </w:rPr>
              <w:t xml:space="preserve"> (SCL/LMK) Alternate Team Leader; </w:t>
            </w:r>
            <w:r>
              <w:rPr>
                <w:rFonts w:ascii="Arial" w:hAnsi="Arial" w:cs="Arial"/>
                <w:sz w:val="18"/>
                <w:szCs w:val="18"/>
              </w:rPr>
              <w:t>Ethel Muhlstein</w:t>
            </w:r>
            <w:r w:rsidR="004D2209">
              <w:rPr>
                <w:rFonts w:ascii="Arial" w:hAnsi="Arial" w:cs="Arial"/>
                <w:sz w:val="18"/>
                <w:szCs w:val="18"/>
              </w:rPr>
              <w:t xml:space="preserve"> (SCL/LMK);</w:t>
            </w:r>
            <w:r>
              <w:rPr>
                <w:rFonts w:ascii="Arial" w:hAnsi="Arial" w:cs="Arial"/>
                <w:sz w:val="18"/>
                <w:szCs w:val="18"/>
              </w:rPr>
              <w:t xml:space="preserve"> Tania Gaona</w:t>
            </w:r>
            <w:r w:rsidR="004D2209">
              <w:rPr>
                <w:rFonts w:ascii="Arial" w:hAnsi="Arial" w:cs="Arial"/>
                <w:sz w:val="18"/>
                <w:szCs w:val="18"/>
              </w:rPr>
              <w:t xml:space="preserve"> (SCL/LMK); </w:t>
            </w:r>
            <w:r>
              <w:rPr>
                <w:rFonts w:ascii="Arial" w:hAnsi="Arial" w:cs="Arial"/>
                <w:sz w:val="18"/>
                <w:szCs w:val="18"/>
              </w:rPr>
              <w:t>y Rodolfo Graham</w:t>
            </w:r>
            <w:r w:rsidR="004D2209">
              <w:rPr>
                <w:rFonts w:ascii="Arial" w:hAnsi="Arial" w:cs="Arial"/>
                <w:sz w:val="18"/>
                <w:szCs w:val="18"/>
              </w:rPr>
              <w:t xml:space="preserve"> (LEG/SGO)</w:t>
            </w:r>
            <w:r>
              <w:rPr>
                <w:rFonts w:ascii="Arial" w:hAnsi="Arial" w:cs="Arial"/>
                <w:sz w:val="18"/>
                <w:szCs w:val="18"/>
              </w:rPr>
              <w:t>.</w:t>
            </w:r>
          </w:p>
        </w:tc>
      </w:tr>
      <w:tr w:rsidR="00F4025B" w14:paraId="6DF5C844" w14:textId="77777777">
        <w:trPr>
          <w:jc w:val="center"/>
        </w:trPr>
        <w:tc>
          <w:tcPr>
            <w:tcW w:w="5250" w:type="dxa"/>
          </w:tcPr>
          <w:p w14:paraId="6A54E5B5"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55FD3562" w14:textId="73E77CB4" w:rsidR="00F4025B" w:rsidRDefault="004D2209" w:rsidP="000B6538">
            <w:pPr>
              <w:spacing w:before="40" w:after="40"/>
              <w:jc w:val="both"/>
            </w:pPr>
            <w:r>
              <w:rPr>
                <w:rFonts w:ascii="Arial" w:hAnsi="Arial" w:cs="Arial"/>
                <w:sz w:val="18"/>
                <w:szCs w:val="18"/>
              </w:rPr>
              <w:t>Client Support</w:t>
            </w:r>
            <w:r w:rsidR="000B6538">
              <w:rPr>
                <w:rFonts w:ascii="Arial" w:hAnsi="Arial" w:cs="Arial"/>
                <w:sz w:val="18"/>
                <w:szCs w:val="18"/>
              </w:rPr>
              <w:t xml:space="preserve"> (CS)</w:t>
            </w:r>
          </w:p>
        </w:tc>
      </w:tr>
      <w:tr w:rsidR="00F4025B" w14:paraId="49A341CC" w14:textId="77777777">
        <w:trPr>
          <w:jc w:val="center"/>
        </w:trPr>
        <w:tc>
          <w:tcPr>
            <w:tcW w:w="5250" w:type="dxa"/>
          </w:tcPr>
          <w:p w14:paraId="0910C67A"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639AEDD7" w14:textId="77777777" w:rsidR="00F4025B" w:rsidRDefault="004D2209" w:rsidP="000B6538">
            <w:pPr>
              <w:spacing w:before="40" w:after="40"/>
              <w:jc w:val="both"/>
            </w:pPr>
            <w:r>
              <w:rPr>
                <w:rFonts w:ascii="Arial" w:hAnsi="Arial" w:cs="Arial"/>
                <w:sz w:val="18"/>
                <w:szCs w:val="18"/>
              </w:rPr>
              <w:t>N/A</w:t>
            </w:r>
          </w:p>
        </w:tc>
      </w:tr>
      <w:tr w:rsidR="00F4025B" w14:paraId="6B4BB02B" w14:textId="77777777">
        <w:trPr>
          <w:jc w:val="center"/>
        </w:trPr>
        <w:tc>
          <w:tcPr>
            <w:tcW w:w="5250" w:type="dxa"/>
          </w:tcPr>
          <w:p w14:paraId="17201025"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44181789" w14:textId="77777777" w:rsidR="00F4025B" w:rsidRDefault="004D2209" w:rsidP="000B6538">
            <w:pPr>
              <w:spacing w:before="40" w:after="40"/>
              <w:jc w:val="both"/>
            </w:pPr>
            <w:r>
              <w:rPr>
                <w:rFonts w:ascii="Arial" w:hAnsi="Arial" w:cs="Arial"/>
                <w:sz w:val="18"/>
                <w:szCs w:val="18"/>
              </w:rPr>
              <w:t>22 Feb 2019</w:t>
            </w:r>
          </w:p>
        </w:tc>
      </w:tr>
      <w:tr w:rsidR="00F4025B" w14:paraId="3B19C8FD" w14:textId="77777777">
        <w:trPr>
          <w:jc w:val="center"/>
        </w:trPr>
        <w:tc>
          <w:tcPr>
            <w:tcW w:w="5250" w:type="dxa"/>
          </w:tcPr>
          <w:p w14:paraId="51B253D0"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41462582" w14:textId="77777777" w:rsidR="00F4025B" w:rsidRDefault="004D2209" w:rsidP="000B6538">
            <w:pPr>
              <w:spacing w:before="40" w:after="40"/>
              <w:jc w:val="both"/>
            </w:pPr>
            <w:r>
              <w:rPr>
                <w:rFonts w:ascii="Arial" w:hAnsi="Arial" w:cs="Arial"/>
                <w:sz w:val="18"/>
                <w:szCs w:val="18"/>
              </w:rPr>
              <w:t xml:space="preserve">Government of Paraguay, through the Ministry of Finance and </w:t>
            </w:r>
            <w:proofErr w:type="spellStart"/>
            <w:r>
              <w:rPr>
                <w:rFonts w:ascii="Arial" w:hAnsi="Arial" w:cs="Arial"/>
                <w:sz w:val="18"/>
                <w:szCs w:val="18"/>
              </w:rPr>
              <w:t>Caja</w:t>
            </w:r>
            <w:proofErr w:type="spellEnd"/>
            <w:r>
              <w:rPr>
                <w:rFonts w:ascii="Arial" w:hAnsi="Arial" w:cs="Arial"/>
                <w:sz w:val="18"/>
                <w:szCs w:val="18"/>
              </w:rPr>
              <w:t xml:space="preserve"> Fiscal</w:t>
            </w:r>
          </w:p>
        </w:tc>
      </w:tr>
      <w:tr w:rsidR="00F4025B" w14:paraId="2D0E99D7" w14:textId="77777777">
        <w:trPr>
          <w:jc w:val="center"/>
        </w:trPr>
        <w:tc>
          <w:tcPr>
            <w:tcW w:w="5250" w:type="dxa"/>
          </w:tcPr>
          <w:p w14:paraId="674066CD"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Executing </w:t>
            </w:r>
            <w:r>
              <w:rPr>
                <w:rFonts w:ascii="Arial" w:hAnsi="Arial" w:cs="Arial"/>
                <w:sz w:val="18"/>
                <w:szCs w:val="18"/>
              </w:rPr>
              <w:t>Agency:</w:t>
            </w:r>
          </w:p>
        </w:tc>
        <w:tc>
          <w:tcPr>
            <w:tcW w:w="6750" w:type="dxa"/>
          </w:tcPr>
          <w:p w14:paraId="2CB4BEF5" w14:textId="684EF128" w:rsidR="00F4025B" w:rsidRDefault="004D2209" w:rsidP="000B6538">
            <w:pPr>
              <w:spacing w:before="40" w:after="40"/>
              <w:jc w:val="both"/>
            </w:pPr>
            <w:r>
              <w:rPr>
                <w:rFonts w:ascii="Arial" w:hAnsi="Arial" w:cs="Arial"/>
                <w:sz w:val="18"/>
                <w:szCs w:val="18"/>
              </w:rPr>
              <w:t>I</w:t>
            </w:r>
            <w:r w:rsidR="000B6538">
              <w:rPr>
                <w:rFonts w:ascii="Arial" w:hAnsi="Arial" w:cs="Arial"/>
                <w:sz w:val="18"/>
                <w:szCs w:val="18"/>
              </w:rPr>
              <w:t>nter-American Development Bank, Social Sector, Labor Markets Division (SCL/LMK)</w:t>
            </w:r>
          </w:p>
        </w:tc>
      </w:tr>
      <w:tr w:rsidR="00F4025B" w14:paraId="154375EF" w14:textId="77777777">
        <w:trPr>
          <w:jc w:val="center"/>
        </w:trPr>
        <w:tc>
          <w:tcPr>
            <w:tcW w:w="5250" w:type="dxa"/>
          </w:tcPr>
          <w:p w14:paraId="2430A8F8"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79CF0017" w14:textId="0DB11D7B" w:rsidR="00F4025B" w:rsidRDefault="004D2209">
            <w:pPr>
              <w:bidi/>
              <w:spacing w:before="40" w:after="40"/>
            </w:pPr>
            <w:r>
              <w:rPr>
                <w:rFonts w:ascii="Arial" w:hAnsi="Arial" w:cs="Arial"/>
                <w:sz w:val="18"/>
                <w:szCs w:val="18"/>
              </w:rPr>
              <w:t>$ 198,000</w:t>
            </w:r>
          </w:p>
        </w:tc>
      </w:tr>
      <w:tr w:rsidR="00F4025B" w14:paraId="26454985" w14:textId="77777777">
        <w:trPr>
          <w:jc w:val="center"/>
        </w:trPr>
        <w:tc>
          <w:tcPr>
            <w:tcW w:w="5250" w:type="dxa"/>
          </w:tcPr>
          <w:p w14:paraId="581003CD"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796EAF3A" w14:textId="162FEE08" w:rsidR="00F4025B" w:rsidRDefault="004D2209">
            <w:pPr>
              <w:bidi/>
              <w:spacing w:before="40" w:after="40"/>
            </w:pPr>
            <w:r>
              <w:rPr>
                <w:rFonts w:ascii="Arial" w:hAnsi="Arial" w:cs="Arial"/>
                <w:sz w:val="18"/>
                <w:szCs w:val="18"/>
              </w:rPr>
              <w:t>$ 0</w:t>
            </w:r>
          </w:p>
        </w:tc>
      </w:tr>
      <w:tr w:rsidR="00F4025B" w14:paraId="15B4990E" w14:textId="77777777">
        <w:trPr>
          <w:jc w:val="center"/>
        </w:trPr>
        <w:tc>
          <w:tcPr>
            <w:tcW w:w="5250" w:type="dxa"/>
          </w:tcPr>
          <w:p w14:paraId="4B223A20"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7B1CAA0C" w14:textId="77777777" w:rsidR="00F4025B" w:rsidRDefault="004D2209">
            <w:pPr>
              <w:bidi/>
              <w:spacing w:before="40" w:after="40"/>
            </w:pPr>
            <w:r>
              <w:rPr>
                <w:rFonts w:ascii="Arial" w:hAnsi="Arial" w:cs="Arial"/>
                <w:sz w:val="18"/>
                <w:szCs w:val="18"/>
              </w:rPr>
              <w:t>36 months</w:t>
            </w:r>
          </w:p>
        </w:tc>
      </w:tr>
      <w:tr w:rsidR="00F4025B" w14:paraId="4EC6CAB1" w14:textId="77777777">
        <w:trPr>
          <w:jc w:val="center"/>
        </w:trPr>
        <w:tc>
          <w:tcPr>
            <w:tcW w:w="5250" w:type="dxa"/>
          </w:tcPr>
          <w:p w14:paraId="4C6069F4"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29CD9480" w14:textId="202DF1C0" w:rsidR="00F4025B" w:rsidRDefault="004D2209">
            <w:pPr>
              <w:spacing w:before="40" w:after="40"/>
            </w:pPr>
            <w:r>
              <w:rPr>
                <w:rFonts w:ascii="Arial" w:hAnsi="Arial" w:cs="Arial"/>
                <w:sz w:val="18"/>
                <w:szCs w:val="18"/>
              </w:rPr>
              <w:t>Individual</w:t>
            </w:r>
            <w:r w:rsidR="000B6538">
              <w:rPr>
                <w:rFonts w:ascii="Arial" w:hAnsi="Arial" w:cs="Arial"/>
                <w:sz w:val="18"/>
                <w:szCs w:val="18"/>
              </w:rPr>
              <w:t xml:space="preserve"> consultants</w:t>
            </w:r>
          </w:p>
        </w:tc>
      </w:tr>
      <w:tr w:rsidR="00F4025B" w14:paraId="66D94CD6" w14:textId="77777777">
        <w:trPr>
          <w:jc w:val="center"/>
        </w:trPr>
        <w:tc>
          <w:tcPr>
            <w:tcW w:w="5250" w:type="dxa"/>
          </w:tcPr>
          <w:p w14:paraId="3B5ABA20"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22A31E97" w14:textId="7C45D64E" w:rsidR="00F4025B" w:rsidRDefault="004D2209">
            <w:pPr>
              <w:spacing w:before="40" w:after="40"/>
            </w:pPr>
            <w:r>
              <w:rPr>
                <w:rFonts w:ascii="Arial" w:hAnsi="Arial" w:cs="Arial"/>
                <w:sz w:val="18"/>
                <w:szCs w:val="18"/>
              </w:rPr>
              <w:t>Labor Markets</w:t>
            </w:r>
            <w:r w:rsidR="000B6538">
              <w:rPr>
                <w:rFonts w:ascii="Arial" w:hAnsi="Arial" w:cs="Arial"/>
                <w:sz w:val="18"/>
                <w:szCs w:val="18"/>
              </w:rPr>
              <w:t xml:space="preserve"> Division</w:t>
            </w:r>
          </w:p>
        </w:tc>
      </w:tr>
      <w:tr w:rsidR="00F4025B" w14:paraId="4CAE2958" w14:textId="77777777">
        <w:trPr>
          <w:jc w:val="center"/>
        </w:trPr>
        <w:tc>
          <w:tcPr>
            <w:tcW w:w="5250" w:type="dxa"/>
          </w:tcPr>
          <w:p w14:paraId="3965A09C"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Unit of </w:t>
            </w:r>
            <w:r>
              <w:rPr>
                <w:rFonts w:ascii="Arial" w:hAnsi="Arial" w:cs="Arial"/>
                <w:sz w:val="18"/>
                <w:szCs w:val="18"/>
              </w:rPr>
              <w:t>Disbursement Responsibility:</w:t>
            </w:r>
          </w:p>
        </w:tc>
        <w:tc>
          <w:tcPr>
            <w:tcW w:w="6750" w:type="dxa"/>
          </w:tcPr>
          <w:p w14:paraId="0ACF459C" w14:textId="7040173D" w:rsidR="00F4025B" w:rsidRDefault="000B6538">
            <w:pPr>
              <w:spacing w:before="40" w:after="40"/>
            </w:pPr>
            <w:r>
              <w:rPr>
                <w:rFonts w:ascii="Arial" w:hAnsi="Arial" w:cs="Arial"/>
                <w:sz w:val="18"/>
                <w:szCs w:val="18"/>
              </w:rPr>
              <w:t>Labor Markets Division</w:t>
            </w:r>
          </w:p>
        </w:tc>
      </w:tr>
      <w:tr w:rsidR="00F4025B" w14:paraId="019D30B4" w14:textId="77777777">
        <w:trPr>
          <w:jc w:val="center"/>
        </w:trPr>
        <w:tc>
          <w:tcPr>
            <w:tcW w:w="5250" w:type="dxa"/>
          </w:tcPr>
          <w:p w14:paraId="5074ED3C" w14:textId="77777777" w:rsidR="00F4025B" w:rsidRDefault="004D2209">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14:paraId="30BDEF97" w14:textId="77777777" w:rsidR="00F4025B" w:rsidRDefault="004D2209">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No</w:t>
            </w:r>
          </w:p>
        </w:tc>
      </w:tr>
      <w:tr w:rsidR="00F4025B" w14:paraId="284B9D1B" w14:textId="77777777">
        <w:trPr>
          <w:jc w:val="center"/>
        </w:trPr>
        <w:tc>
          <w:tcPr>
            <w:tcW w:w="5250" w:type="dxa"/>
          </w:tcPr>
          <w:p w14:paraId="06620964" w14:textId="77777777" w:rsidR="00F4025B" w:rsidRDefault="004D2209">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6750" w:type="dxa"/>
          </w:tcPr>
          <w:p w14:paraId="7A0EE3F1" w14:textId="77777777" w:rsidR="00F4025B" w:rsidRDefault="004D2209">
            <w:pPr>
              <w:spacing w:before="40" w:after="40"/>
            </w:pPr>
            <w:r>
              <w:rPr>
                <w:rFonts w:ascii="Arial" w:hAnsi="Arial" w:cs="Arial"/>
                <w:sz w:val="18"/>
                <w:szCs w:val="18"/>
              </w:rPr>
              <w:t>Social inclusion and equality</w:t>
            </w:r>
          </w:p>
        </w:tc>
      </w:tr>
    </w:tbl>
    <w:p w14:paraId="77D6D578" w14:textId="77777777" w:rsidR="00F4025B" w:rsidRDefault="004D2209">
      <w:pPr>
        <w:spacing w:before="120" w:after="120"/>
        <w:ind w:left="579" w:hanging="579"/>
      </w:pPr>
      <w:r>
        <w:rPr>
          <w:rFonts w:ascii="Arial" w:hAnsi="Arial" w:cs="Arial"/>
          <w:b/>
        </w:rPr>
        <w:t>II.</w:t>
      </w:r>
      <w:r>
        <w:rPr>
          <w:rFonts w:ascii="Arial" w:hAnsi="Arial" w:cs="Arial"/>
          <w:b/>
        </w:rPr>
        <w:tab/>
        <w:t xml:space="preserve">Objective and </w:t>
      </w:r>
      <w:r>
        <w:rPr>
          <w:rFonts w:ascii="Arial" w:hAnsi="Arial" w:cs="Arial"/>
          <w:b/>
        </w:rPr>
        <w:t>Justification</w:t>
      </w:r>
    </w:p>
    <w:p w14:paraId="07C8536F" w14:textId="77777777" w:rsidR="00F4025B" w:rsidRDefault="004D2209">
      <w:pPr>
        <w:spacing w:before="120" w:after="120"/>
        <w:ind w:left="579" w:hanging="579"/>
        <w:jc w:val="both"/>
      </w:pPr>
      <w:r>
        <w:rPr>
          <w:rFonts w:ascii="Arial" w:hAnsi="Arial" w:cs="Arial"/>
        </w:rPr>
        <w:t>2.1</w:t>
      </w:r>
      <w:r>
        <w:rPr>
          <w:rFonts w:ascii="Arial" w:hAnsi="Arial" w:cs="Arial"/>
        </w:rPr>
        <w:tab/>
        <w:t xml:space="preserve">The objectives of the TC are: (i) support the </w:t>
      </w:r>
      <w:proofErr w:type="spellStart"/>
      <w:r>
        <w:rPr>
          <w:rFonts w:ascii="Arial" w:hAnsi="Arial" w:cs="Arial"/>
        </w:rPr>
        <w:t>Caja</w:t>
      </w:r>
      <w:proofErr w:type="spellEnd"/>
      <w:r>
        <w:rPr>
          <w:rFonts w:ascii="Arial" w:hAnsi="Arial" w:cs="Arial"/>
        </w:rPr>
        <w:t xml:space="preserve"> Fiscal in improving its institutional capacity and financial sustainability through strengthening of its internal management strategic areas; and (ii) support the Ministry of Finance in g</w:t>
      </w:r>
      <w:r>
        <w:rPr>
          <w:rFonts w:ascii="Arial" w:hAnsi="Arial" w:cs="Arial"/>
        </w:rPr>
        <w:t>enerating the necessary institutional capacity to perform its functions related to analysis and monitoring of the pensions system.</w:t>
      </w:r>
    </w:p>
    <w:p w14:paraId="2B358019" w14:textId="77777777" w:rsidR="00F4025B" w:rsidRDefault="004D2209">
      <w:pPr>
        <w:spacing w:before="120" w:after="120"/>
        <w:ind w:left="579" w:hanging="579"/>
        <w:jc w:val="both"/>
      </w:pPr>
      <w:r>
        <w:rPr>
          <w:rFonts w:ascii="Arial" w:hAnsi="Arial" w:cs="Arial"/>
        </w:rPr>
        <w:t>2.2</w:t>
      </w:r>
      <w:r>
        <w:rPr>
          <w:rFonts w:ascii="Arial" w:hAnsi="Arial" w:cs="Arial"/>
        </w:rPr>
        <w:tab/>
        <w:t xml:space="preserve">The TC is necessary to address the country´s needs to strengthen its institutional and management capacity of the </w:t>
      </w:r>
      <w:proofErr w:type="spellStart"/>
      <w:r>
        <w:rPr>
          <w:rFonts w:ascii="Arial" w:hAnsi="Arial" w:cs="Arial"/>
        </w:rPr>
        <w:t>Caja</w:t>
      </w:r>
      <w:proofErr w:type="spellEnd"/>
      <w:r>
        <w:rPr>
          <w:rFonts w:ascii="Arial" w:hAnsi="Arial" w:cs="Arial"/>
        </w:rPr>
        <w:t xml:space="preserve"> Fi</w:t>
      </w:r>
      <w:r>
        <w:rPr>
          <w:rFonts w:ascii="Arial" w:hAnsi="Arial" w:cs="Arial"/>
        </w:rPr>
        <w:t>scal and the Ministry of Finance, which will help strengthen the pension´s system coverage, equity, and sustainability.</w:t>
      </w:r>
    </w:p>
    <w:p w14:paraId="3E801074" w14:textId="77777777" w:rsidR="00F4025B" w:rsidRDefault="004D2209">
      <w:pPr>
        <w:spacing w:before="120" w:after="120"/>
        <w:ind w:left="579" w:hanging="579"/>
      </w:pPr>
      <w:r>
        <w:rPr>
          <w:rFonts w:ascii="Arial" w:hAnsi="Arial" w:cs="Arial"/>
          <w:b/>
        </w:rPr>
        <w:t>III.</w:t>
      </w:r>
      <w:r>
        <w:rPr>
          <w:rFonts w:ascii="Arial" w:hAnsi="Arial" w:cs="Arial"/>
          <w:b/>
        </w:rPr>
        <w:tab/>
        <w:t>Description of Activities and Outputs</w:t>
      </w:r>
    </w:p>
    <w:p w14:paraId="52041605" w14:textId="535897BE" w:rsidR="00F4025B" w:rsidRPr="000B6538" w:rsidRDefault="004D2209">
      <w:pPr>
        <w:spacing w:before="120" w:after="120"/>
        <w:ind w:left="579" w:hanging="579"/>
        <w:jc w:val="both"/>
        <w:rPr>
          <w:lang w:val="es-ES_tradnl"/>
        </w:rPr>
      </w:pPr>
      <w:r w:rsidRPr="000B6538">
        <w:rPr>
          <w:rFonts w:ascii="Arial" w:hAnsi="Arial" w:cs="Arial"/>
          <w:lang w:val="es-ES_tradnl"/>
        </w:rPr>
        <w:t>3.1</w:t>
      </w:r>
      <w:r w:rsidRPr="000B6538">
        <w:rPr>
          <w:rFonts w:ascii="Arial" w:hAnsi="Arial" w:cs="Arial"/>
          <w:lang w:val="es-ES_tradnl"/>
        </w:rPr>
        <w:tab/>
        <w:t xml:space="preserve">El </w:t>
      </w:r>
      <w:r w:rsidRPr="000B6538">
        <w:rPr>
          <w:rFonts w:ascii="Arial" w:hAnsi="Arial" w:cs="Arial"/>
          <w:b/>
          <w:lang w:val="es-ES_tradnl"/>
        </w:rPr>
        <w:t>componente 1</w:t>
      </w:r>
      <w:r w:rsidRPr="000B6538">
        <w:rPr>
          <w:rFonts w:ascii="Arial" w:hAnsi="Arial" w:cs="Arial"/>
          <w:lang w:val="es-ES_tradnl"/>
        </w:rPr>
        <w:t xml:space="preserve"> financiará los siguientes productos: (i) la elaboración de una nota técni</w:t>
      </w:r>
      <w:r w:rsidRPr="000B6538">
        <w:rPr>
          <w:rFonts w:ascii="Arial" w:hAnsi="Arial" w:cs="Arial"/>
          <w:lang w:val="es-ES_tradnl"/>
        </w:rPr>
        <w:t>ca de un diseño de un nuevo modelo de gestión interna de la Caja Fiscal (CF), con el objetivo de contar con una estructura al servicio de los procesos optimizados, nuevas funciones de gestión financiera y objetivos estratégicos de la institución; y (</w:t>
      </w:r>
      <w:proofErr w:type="spellStart"/>
      <w:r w:rsidRPr="000B6538">
        <w:rPr>
          <w:rFonts w:ascii="Arial" w:hAnsi="Arial" w:cs="Arial"/>
          <w:lang w:val="es-ES_tradnl"/>
        </w:rPr>
        <w:t>ii</w:t>
      </w:r>
      <w:proofErr w:type="spellEnd"/>
      <w:r w:rsidRPr="000B6538">
        <w:rPr>
          <w:rFonts w:ascii="Arial" w:hAnsi="Arial" w:cs="Arial"/>
          <w:lang w:val="es-ES_tradnl"/>
        </w:rPr>
        <w:t>)</w:t>
      </w:r>
      <w:r w:rsidR="000B6538">
        <w:rPr>
          <w:rFonts w:ascii="Arial" w:hAnsi="Arial" w:cs="Arial"/>
          <w:lang w:val="es-ES_tradnl"/>
        </w:rPr>
        <w:t> </w:t>
      </w:r>
      <w:r w:rsidRPr="000B6538">
        <w:rPr>
          <w:rFonts w:ascii="Arial" w:hAnsi="Arial" w:cs="Arial"/>
          <w:lang w:val="es-ES_tradnl"/>
        </w:rPr>
        <w:t>el</w:t>
      </w:r>
      <w:r w:rsidRPr="000B6538">
        <w:rPr>
          <w:rFonts w:ascii="Arial" w:hAnsi="Arial" w:cs="Arial"/>
          <w:lang w:val="es-ES_tradnl"/>
        </w:rPr>
        <w:t xml:space="preserve"> diseño de una nota técnica de un modelo de sistemas informáticos que le permitan a la CF generar información confiable sobre su situación financiera.</w:t>
      </w:r>
    </w:p>
    <w:p w14:paraId="77708AAC" w14:textId="79F95F1A" w:rsidR="00F4025B" w:rsidRPr="000B6538" w:rsidRDefault="004D2209" w:rsidP="000B6538">
      <w:pPr>
        <w:spacing w:before="120" w:after="120"/>
        <w:ind w:left="579" w:hanging="579"/>
        <w:jc w:val="both"/>
        <w:rPr>
          <w:lang w:val="es-ES_tradnl"/>
        </w:rPr>
      </w:pPr>
      <w:r w:rsidRPr="000B6538">
        <w:rPr>
          <w:rFonts w:ascii="Arial" w:hAnsi="Arial" w:cs="Arial"/>
          <w:lang w:val="es-ES_tradnl"/>
        </w:rPr>
        <w:t>3.2</w:t>
      </w:r>
      <w:r w:rsidRPr="000B6538">
        <w:rPr>
          <w:rFonts w:ascii="Arial" w:hAnsi="Arial" w:cs="Arial"/>
          <w:lang w:val="es-ES_tradnl"/>
        </w:rPr>
        <w:tab/>
        <w:t xml:space="preserve">El </w:t>
      </w:r>
      <w:r w:rsidRPr="000B6538">
        <w:rPr>
          <w:rFonts w:ascii="Arial" w:hAnsi="Arial" w:cs="Arial"/>
          <w:b/>
          <w:lang w:val="es-ES_tradnl"/>
        </w:rPr>
        <w:t>componente 2</w:t>
      </w:r>
      <w:r w:rsidRPr="000B6538">
        <w:rPr>
          <w:rFonts w:ascii="Arial" w:hAnsi="Arial" w:cs="Arial"/>
          <w:lang w:val="es-ES_tradnl"/>
        </w:rPr>
        <w:t xml:space="preserve"> financiará los siguientes productos y actividades: (i)</w:t>
      </w:r>
      <w:r w:rsidR="000B6538">
        <w:rPr>
          <w:rFonts w:ascii="Arial" w:hAnsi="Arial" w:cs="Arial"/>
          <w:lang w:val="es-ES_tradnl"/>
        </w:rPr>
        <w:t> </w:t>
      </w:r>
      <w:r w:rsidRPr="000B6538">
        <w:rPr>
          <w:rFonts w:ascii="Arial" w:hAnsi="Arial" w:cs="Arial"/>
          <w:lang w:val="es-ES_tradnl"/>
        </w:rPr>
        <w:t>el fortalecimiento de la capac</w:t>
      </w:r>
      <w:r w:rsidRPr="000B6538">
        <w:rPr>
          <w:rFonts w:ascii="Arial" w:hAnsi="Arial" w:cs="Arial"/>
          <w:lang w:val="es-ES_tradnl"/>
        </w:rPr>
        <w:t xml:space="preserve">idad actuarial de la Dirección de Estudios Económicos (DEE) del Ministerio de Hacienda, incluyendo a través de un apoyo a la realización de un estudio actuarial de la situación de la CF y una nota técnica de un modelo de </w:t>
      </w:r>
      <w:r w:rsidRPr="000B6538">
        <w:rPr>
          <w:rFonts w:ascii="Arial" w:hAnsi="Arial" w:cs="Arial"/>
          <w:lang w:val="es-ES_tradnl"/>
        </w:rPr>
        <w:lastRenderedPageBreak/>
        <w:t>diseño de una Unidad Actuarial inco</w:t>
      </w:r>
      <w:r w:rsidRPr="000B6538">
        <w:rPr>
          <w:rFonts w:ascii="Arial" w:hAnsi="Arial" w:cs="Arial"/>
          <w:lang w:val="es-ES_tradnl"/>
        </w:rPr>
        <w:t>rporada a la CF o la DEE; (</w:t>
      </w:r>
      <w:proofErr w:type="spellStart"/>
      <w:r w:rsidRPr="000B6538">
        <w:rPr>
          <w:rFonts w:ascii="Arial" w:hAnsi="Arial" w:cs="Arial"/>
          <w:lang w:val="es-ES_tradnl"/>
        </w:rPr>
        <w:t>ii</w:t>
      </w:r>
      <w:proofErr w:type="spellEnd"/>
      <w:r w:rsidRPr="000B6538">
        <w:rPr>
          <w:rFonts w:ascii="Arial" w:hAnsi="Arial" w:cs="Arial"/>
          <w:lang w:val="es-ES_tradnl"/>
        </w:rPr>
        <w:t>) un estudio para la identificación de buenas prácticas internacionales en procedimientos de dirección analítica de sistemas de pensiones; y (</w:t>
      </w:r>
      <w:proofErr w:type="spellStart"/>
      <w:r w:rsidRPr="000B6538">
        <w:rPr>
          <w:rFonts w:ascii="Arial" w:hAnsi="Arial" w:cs="Arial"/>
          <w:lang w:val="es-ES_tradnl"/>
        </w:rPr>
        <w:t>iii</w:t>
      </w:r>
      <w:proofErr w:type="spellEnd"/>
      <w:r w:rsidRPr="000B6538">
        <w:rPr>
          <w:rFonts w:ascii="Arial" w:hAnsi="Arial" w:cs="Arial"/>
          <w:lang w:val="es-ES_tradnl"/>
        </w:rPr>
        <w:t>) un taller de capacitación y difusión en asuntos relativos a la dirección analíti</w:t>
      </w:r>
      <w:r w:rsidRPr="000B6538">
        <w:rPr>
          <w:rFonts w:ascii="Arial" w:hAnsi="Arial" w:cs="Arial"/>
          <w:lang w:val="es-ES_tradnl"/>
        </w:rPr>
        <w:t>ca de sistemas de pensiones.</w:t>
      </w:r>
    </w:p>
    <w:p w14:paraId="3384E611" w14:textId="2F810E25" w:rsidR="00F4025B" w:rsidRDefault="004D2209">
      <w:pPr>
        <w:spacing w:before="120" w:after="120"/>
        <w:ind w:left="579" w:hanging="579"/>
        <w:jc w:val="both"/>
      </w:pPr>
      <w:r>
        <w:rPr>
          <w:rFonts w:ascii="Arial" w:hAnsi="Arial" w:cs="Arial"/>
        </w:rPr>
        <w:t>3</w:t>
      </w:r>
      <w:r>
        <w:rPr>
          <w:rFonts w:ascii="Arial" w:hAnsi="Arial" w:cs="Arial"/>
        </w:rPr>
        <w:t>.5</w:t>
      </w:r>
      <w:r>
        <w:rPr>
          <w:rFonts w:ascii="Arial" w:hAnsi="Arial" w:cs="Arial"/>
        </w:rPr>
        <w:tab/>
      </w:r>
      <w:r>
        <w:rPr>
          <w:rFonts w:ascii="Arial" w:hAnsi="Arial" w:cs="Arial"/>
          <w:b/>
        </w:rPr>
        <w:t xml:space="preserve">Component </w:t>
      </w:r>
      <w:r>
        <w:rPr>
          <w:rFonts w:ascii="Arial" w:hAnsi="Arial" w:cs="Arial"/>
          <w:b/>
        </w:rPr>
        <w:t xml:space="preserve">3: </w:t>
      </w:r>
      <w:proofErr w:type="spellStart"/>
      <w:r>
        <w:rPr>
          <w:rFonts w:ascii="Arial" w:hAnsi="Arial" w:cs="Arial"/>
        </w:rPr>
        <w:t>Imprevistos</w:t>
      </w:r>
      <w:proofErr w:type="spellEnd"/>
    </w:p>
    <w:p w14:paraId="0C7ADE24" w14:textId="77777777" w:rsidR="00F4025B" w:rsidRDefault="004D2209">
      <w:pPr>
        <w:spacing w:before="120" w:after="120"/>
        <w:ind w:left="579" w:hanging="579"/>
      </w:pPr>
      <w:r>
        <w:rPr>
          <w:rFonts w:ascii="Arial" w:hAnsi="Arial" w:cs="Arial"/>
          <w:b/>
        </w:rPr>
        <w:t>IV.</w:t>
      </w:r>
      <w:r>
        <w:rPr>
          <w:rFonts w:ascii="Arial" w:hAnsi="Arial" w:cs="Arial"/>
          <w:b/>
        </w:rPr>
        <w:tab/>
        <w:t>Budget</w:t>
      </w:r>
    </w:p>
    <w:p w14:paraId="60A8B4E3" w14:textId="47E8A835" w:rsidR="00F4025B" w:rsidRDefault="004D2209">
      <w:pPr>
        <w:spacing w:before="240" w:after="120"/>
        <w:jc w:val="center"/>
      </w:pPr>
      <w:r>
        <w:rPr>
          <w:rFonts w:ascii="Arial" w:hAnsi="Arial" w:cs="Arial"/>
          <w:b/>
          <w:sz w:val="18"/>
          <w:szCs w:val="18"/>
        </w:rPr>
        <w:t>Indic</w:t>
      </w:r>
      <w:r>
        <w:rPr>
          <w:rFonts w:ascii="Arial" w:hAnsi="Arial" w:cs="Arial"/>
          <w:b/>
          <w:sz w:val="18"/>
          <w:szCs w:val="18"/>
        </w:rPr>
        <w:t>ative Budget</w:t>
      </w:r>
      <w:r w:rsidR="000B6538">
        <w:rPr>
          <w:rFonts w:ascii="Arial" w:hAnsi="Arial" w:cs="Arial"/>
          <w:b/>
          <w:sz w:val="18"/>
          <w:szCs w:val="18"/>
        </w:rPr>
        <w:t xml:space="preserve"> (US$)</w:t>
      </w:r>
    </w:p>
    <w:tbl>
      <w:tblPr>
        <w:tblStyle w:val="TableGrid"/>
        <w:tblW w:w="8868" w:type="dxa"/>
        <w:tblInd w:w="198" w:type="dxa"/>
        <w:tblLook w:val="04A0" w:firstRow="1" w:lastRow="0" w:firstColumn="1" w:lastColumn="0" w:noHBand="0" w:noVBand="1"/>
      </w:tblPr>
      <w:tblGrid>
        <w:gridCol w:w="3078"/>
        <w:gridCol w:w="1962"/>
        <w:gridCol w:w="1518"/>
        <w:gridCol w:w="2310"/>
      </w:tblGrid>
      <w:tr w:rsidR="00F4025B" w14:paraId="5C80EF89" w14:textId="77777777" w:rsidTr="000B6538">
        <w:tc>
          <w:tcPr>
            <w:tcW w:w="3078" w:type="dxa"/>
            <w:shd w:val="clear" w:color="auto" w:fill="B4C6E7" w:themeFill="accent1" w:themeFillTint="66"/>
            <w:vAlign w:val="center"/>
          </w:tcPr>
          <w:p w14:paraId="43304FF1" w14:textId="77777777" w:rsidR="00F4025B" w:rsidRDefault="004D2209">
            <w:pPr>
              <w:spacing w:before="40" w:after="40"/>
              <w:jc w:val="center"/>
            </w:pPr>
            <w:r>
              <w:rPr>
                <w:rFonts w:ascii="Arial" w:hAnsi="Arial" w:cs="Arial"/>
                <w:b/>
                <w:sz w:val="18"/>
                <w:szCs w:val="18"/>
              </w:rPr>
              <w:t>Activity/Component</w:t>
            </w:r>
          </w:p>
        </w:tc>
        <w:tc>
          <w:tcPr>
            <w:tcW w:w="1962" w:type="dxa"/>
            <w:shd w:val="clear" w:color="auto" w:fill="B4C6E7" w:themeFill="accent1" w:themeFillTint="66"/>
          </w:tcPr>
          <w:p w14:paraId="2F77A479" w14:textId="77777777" w:rsidR="00F4025B" w:rsidRDefault="004D2209">
            <w:pPr>
              <w:spacing w:before="40" w:after="40"/>
              <w:jc w:val="center"/>
            </w:pPr>
            <w:r>
              <w:rPr>
                <w:rFonts w:ascii="Arial" w:hAnsi="Arial" w:cs="Arial"/>
                <w:b/>
                <w:sz w:val="18"/>
                <w:szCs w:val="18"/>
              </w:rPr>
              <w:t>IDB/Fund Funding</w:t>
            </w:r>
          </w:p>
        </w:tc>
        <w:tc>
          <w:tcPr>
            <w:tcW w:w="1518" w:type="dxa"/>
            <w:shd w:val="clear" w:color="auto" w:fill="B4C6E7" w:themeFill="accent1" w:themeFillTint="66"/>
          </w:tcPr>
          <w:p w14:paraId="1BED7A38" w14:textId="77777777" w:rsidR="00F4025B" w:rsidRDefault="004D2209">
            <w:pPr>
              <w:spacing w:before="40" w:after="40"/>
              <w:jc w:val="center"/>
            </w:pPr>
            <w:r>
              <w:rPr>
                <w:rFonts w:ascii="Arial" w:hAnsi="Arial" w:cs="Arial"/>
                <w:b/>
                <w:sz w:val="18"/>
                <w:szCs w:val="18"/>
              </w:rPr>
              <w:t>Counterpart Funding</w:t>
            </w:r>
          </w:p>
        </w:tc>
        <w:tc>
          <w:tcPr>
            <w:tcW w:w="2310" w:type="dxa"/>
            <w:shd w:val="clear" w:color="auto" w:fill="B4C6E7" w:themeFill="accent1" w:themeFillTint="66"/>
          </w:tcPr>
          <w:p w14:paraId="00767C08" w14:textId="77777777" w:rsidR="00F4025B" w:rsidRDefault="004D2209">
            <w:pPr>
              <w:spacing w:before="40" w:after="40"/>
              <w:jc w:val="center"/>
            </w:pPr>
            <w:r>
              <w:rPr>
                <w:rFonts w:ascii="Arial" w:hAnsi="Arial" w:cs="Arial"/>
                <w:b/>
                <w:sz w:val="18"/>
                <w:szCs w:val="18"/>
              </w:rPr>
              <w:t>Total Funding</w:t>
            </w:r>
          </w:p>
        </w:tc>
      </w:tr>
      <w:tr w:rsidR="00F4025B" w14:paraId="0CC65250" w14:textId="77777777" w:rsidTr="000B6538">
        <w:tc>
          <w:tcPr>
            <w:tcW w:w="3078" w:type="dxa"/>
            <w:vAlign w:val="center"/>
          </w:tcPr>
          <w:p w14:paraId="59723030" w14:textId="270754A4" w:rsidR="00F4025B" w:rsidRPr="000B6538" w:rsidRDefault="004D2209">
            <w:pPr>
              <w:spacing w:before="40" w:after="40"/>
              <w:rPr>
                <w:lang w:val="es-ES_tradnl"/>
              </w:rPr>
            </w:pPr>
            <w:r w:rsidRPr="000B6538">
              <w:rPr>
                <w:rFonts w:ascii="Arial" w:hAnsi="Arial" w:cs="Arial"/>
                <w:sz w:val="18"/>
                <w:szCs w:val="18"/>
                <w:lang w:val="es-ES_tradnl"/>
              </w:rPr>
              <w:t xml:space="preserve">Componente 1 - Fortalecimiento de </w:t>
            </w:r>
            <w:r w:rsidR="000B6538" w:rsidRPr="000B6538">
              <w:rPr>
                <w:rFonts w:ascii="Arial" w:hAnsi="Arial" w:cs="Arial"/>
                <w:sz w:val="18"/>
                <w:szCs w:val="18"/>
                <w:lang w:val="es-ES_tradnl"/>
              </w:rPr>
              <w:t>Áreas</w:t>
            </w:r>
            <w:r w:rsidRPr="000B6538">
              <w:rPr>
                <w:rFonts w:ascii="Arial" w:hAnsi="Arial" w:cs="Arial"/>
                <w:sz w:val="18"/>
                <w:szCs w:val="18"/>
                <w:lang w:val="es-ES_tradnl"/>
              </w:rPr>
              <w:t xml:space="preserve"> </w:t>
            </w:r>
            <w:r w:rsidR="000B6538" w:rsidRPr="000B6538">
              <w:rPr>
                <w:rFonts w:ascii="Arial" w:hAnsi="Arial" w:cs="Arial"/>
                <w:sz w:val="18"/>
                <w:szCs w:val="18"/>
                <w:lang w:val="es-ES_tradnl"/>
              </w:rPr>
              <w:t>Estratégicas</w:t>
            </w:r>
            <w:r w:rsidRPr="000B6538">
              <w:rPr>
                <w:rFonts w:ascii="Arial" w:hAnsi="Arial" w:cs="Arial"/>
                <w:sz w:val="18"/>
                <w:szCs w:val="18"/>
                <w:lang w:val="es-ES_tradnl"/>
              </w:rPr>
              <w:t xml:space="preserve"> de Gestión Interna de la Caja Fiscal</w:t>
            </w:r>
          </w:p>
        </w:tc>
        <w:tc>
          <w:tcPr>
            <w:tcW w:w="1962" w:type="dxa"/>
            <w:vAlign w:val="center"/>
          </w:tcPr>
          <w:p w14:paraId="0CAF8971" w14:textId="0AFE1BAF" w:rsidR="00F4025B" w:rsidRDefault="004D2209">
            <w:pPr>
              <w:spacing w:before="40" w:after="40"/>
              <w:jc w:val="right"/>
            </w:pPr>
            <w:r>
              <w:rPr>
                <w:rFonts w:ascii="Arial" w:hAnsi="Arial" w:cs="Arial"/>
                <w:sz w:val="18"/>
                <w:szCs w:val="18"/>
              </w:rPr>
              <w:t>$ 90,000</w:t>
            </w:r>
          </w:p>
        </w:tc>
        <w:tc>
          <w:tcPr>
            <w:tcW w:w="1518" w:type="dxa"/>
            <w:vAlign w:val="center"/>
          </w:tcPr>
          <w:p w14:paraId="45386C06" w14:textId="5178456B" w:rsidR="00F4025B" w:rsidRDefault="004D2209">
            <w:pPr>
              <w:spacing w:before="40" w:after="40"/>
              <w:jc w:val="right"/>
            </w:pPr>
            <w:r>
              <w:rPr>
                <w:rFonts w:ascii="Arial" w:hAnsi="Arial" w:cs="Arial"/>
                <w:sz w:val="18"/>
                <w:szCs w:val="18"/>
              </w:rPr>
              <w:t>$ 0</w:t>
            </w:r>
          </w:p>
        </w:tc>
        <w:tc>
          <w:tcPr>
            <w:tcW w:w="2310" w:type="dxa"/>
            <w:vAlign w:val="center"/>
          </w:tcPr>
          <w:p w14:paraId="2094EFF5" w14:textId="0E0BFEA7" w:rsidR="00F4025B" w:rsidRDefault="004D2209">
            <w:pPr>
              <w:spacing w:before="40" w:after="40"/>
              <w:jc w:val="right"/>
            </w:pPr>
            <w:r>
              <w:rPr>
                <w:rFonts w:ascii="Arial" w:hAnsi="Arial" w:cs="Arial"/>
                <w:sz w:val="18"/>
                <w:szCs w:val="18"/>
              </w:rPr>
              <w:t>$ 90,000</w:t>
            </w:r>
          </w:p>
        </w:tc>
      </w:tr>
      <w:tr w:rsidR="00F4025B" w14:paraId="69AFDBF0" w14:textId="77777777" w:rsidTr="000B6538">
        <w:tc>
          <w:tcPr>
            <w:tcW w:w="3078" w:type="dxa"/>
            <w:vAlign w:val="center"/>
          </w:tcPr>
          <w:p w14:paraId="2F508567" w14:textId="77777777" w:rsidR="00F4025B" w:rsidRPr="000B6538" w:rsidRDefault="004D2209">
            <w:pPr>
              <w:spacing w:before="40" w:after="40"/>
              <w:rPr>
                <w:lang w:val="es-ES_tradnl"/>
              </w:rPr>
            </w:pPr>
            <w:r w:rsidRPr="000B6538">
              <w:rPr>
                <w:rFonts w:ascii="Arial" w:hAnsi="Arial" w:cs="Arial"/>
                <w:sz w:val="18"/>
                <w:szCs w:val="18"/>
                <w:lang w:val="es-ES_tradnl"/>
              </w:rPr>
              <w:t xml:space="preserve">Componente 2 - Apoyo al Ministerio de Hacienda en mejorar su capacidad de análisis y monitoreo del sistema de pensiones </w:t>
            </w:r>
          </w:p>
        </w:tc>
        <w:tc>
          <w:tcPr>
            <w:tcW w:w="1962" w:type="dxa"/>
            <w:vAlign w:val="center"/>
          </w:tcPr>
          <w:p w14:paraId="3F1A9F0E" w14:textId="7D350BE7" w:rsidR="00F4025B" w:rsidRDefault="004D2209">
            <w:pPr>
              <w:spacing w:before="40" w:after="40"/>
              <w:jc w:val="right"/>
            </w:pPr>
            <w:r>
              <w:rPr>
                <w:rFonts w:ascii="Arial" w:hAnsi="Arial" w:cs="Arial"/>
                <w:sz w:val="18"/>
                <w:szCs w:val="18"/>
              </w:rPr>
              <w:t>$ 98,000</w:t>
            </w:r>
          </w:p>
        </w:tc>
        <w:tc>
          <w:tcPr>
            <w:tcW w:w="1518" w:type="dxa"/>
            <w:vAlign w:val="center"/>
          </w:tcPr>
          <w:p w14:paraId="7B549F5E" w14:textId="7716A8CE" w:rsidR="00F4025B" w:rsidRDefault="004D2209">
            <w:pPr>
              <w:spacing w:before="40" w:after="40"/>
              <w:jc w:val="right"/>
            </w:pPr>
            <w:r>
              <w:rPr>
                <w:rFonts w:ascii="Arial" w:hAnsi="Arial" w:cs="Arial"/>
                <w:sz w:val="18"/>
                <w:szCs w:val="18"/>
              </w:rPr>
              <w:t>$ 0</w:t>
            </w:r>
          </w:p>
        </w:tc>
        <w:tc>
          <w:tcPr>
            <w:tcW w:w="2310" w:type="dxa"/>
            <w:vAlign w:val="center"/>
          </w:tcPr>
          <w:p w14:paraId="7872DDB2" w14:textId="3B56EBD6" w:rsidR="00F4025B" w:rsidRDefault="004D2209">
            <w:pPr>
              <w:spacing w:before="40" w:after="40"/>
              <w:jc w:val="right"/>
            </w:pPr>
            <w:r>
              <w:rPr>
                <w:rFonts w:ascii="Arial" w:hAnsi="Arial" w:cs="Arial"/>
                <w:sz w:val="18"/>
                <w:szCs w:val="18"/>
              </w:rPr>
              <w:t>$ 98,000</w:t>
            </w:r>
          </w:p>
        </w:tc>
      </w:tr>
      <w:tr w:rsidR="00F4025B" w14:paraId="1522E524" w14:textId="77777777" w:rsidTr="000B6538">
        <w:tc>
          <w:tcPr>
            <w:tcW w:w="3078" w:type="dxa"/>
            <w:vAlign w:val="center"/>
          </w:tcPr>
          <w:p w14:paraId="1A958425" w14:textId="77777777" w:rsidR="00F4025B" w:rsidRDefault="004D2209">
            <w:pPr>
              <w:spacing w:before="40" w:after="40"/>
            </w:pPr>
            <w:r>
              <w:rPr>
                <w:rFonts w:ascii="Arial" w:hAnsi="Arial" w:cs="Arial"/>
                <w:sz w:val="18"/>
                <w:szCs w:val="18"/>
              </w:rPr>
              <w:t xml:space="preserve">Componente3: </w:t>
            </w:r>
            <w:proofErr w:type="spellStart"/>
            <w:r>
              <w:rPr>
                <w:rFonts w:ascii="Arial" w:hAnsi="Arial" w:cs="Arial"/>
                <w:sz w:val="18"/>
                <w:szCs w:val="18"/>
              </w:rPr>
              <w:t>Imprevistos</w:t>
            </w:r>
            <w:proofErr w:type="spellEnd"/>
          </w:p>
        </w:tc>
        <w:tc>
          <w:tcPr>
            <w:tcW w:w="1962" w:type="dxa"/>
            <w:vAlign w:val="center"/>
          </w:tcPr>
          <w:p w14:paraId="74FB3FE0" w14:textId="10A2341B" w:rsidR="00F4025B" w:rsidRDefault="004D2209">
            <w:pPr>
              <w:spacing w:before="40" w:after="40"/>
              <w:jc w:val="right"/>
            </w:pPr>
            <w:r>
              <w:rPr>
                <w:rFonts w:ascii="Arial" w:hAnsi="Arial" w:cs="Arial"/>
                <w:sz w:val="18"/>
                <w:szCs w:val="18"/>
              </w:rPr>
              <w:t>$ 10,000</w:t>
            </w:r>
          </w:p>
        </w:tc>
        <w:tc>
          <w:tcPr>
            <w:tcW w:w="1518" w:type="dxa"/>
            <w:vAlign w:val="center"/>
          </w:tcPr>
          <w:p w14:paraId="65CE7CAB" w14:textId="39B5AE99" w:rsidR="00F4025B" w:rsidRDefault="004D2209">
            <w:pPr>
              <w:spacing w:before="40" w:after="40"/>
              <w:jc w:val="right"/>
            </w:pPr>
            <w:r>
              <w:rPr>
                <w:rFonts w:ascii="Arial" w:hAnsi="Arial" w:cs="Arial"/>
                <w:sz w:val="18"/>
                <w:szCs w:val="18"/>
              </w:rPr>
              <w:t>$ 0</w:t>
            </w:r>
          </w:p>
        </w:tc>
        <w:tc>
          <w:tcPr>
            <w:tcW w:w="2310" w:type="dxa"/>
            <w:vAlign w:val="center"/>
          </w:tcPr>
          <w:p w14:paraId="3D91958C" w14:textId="09F805AB" w:rsidR="00F4025B" w:rsidRDefault="004D2209">
            <w:pPr>
              <w:spacing w:before="40" w:after="40"/>
              <w:jc w:val="right"/>
            </w:pPr>
            <w:r>
              <w:rPr>
                <w:rFonts w:ascii="Arial" w:hAnsi="Arial" w:cs="Arial"/>
                <w:sz w:val="18"/>
                <w:szCs w:val="18"/>
              </w:rPr>
              <w:t>$ 10,000</w:t>
            </w:r>
          </w:p>
        </w:tc>
      </w:tr>
    </w:tbl>
    <w:p w14:paraId="76BD6247" w14:textId="77777777" w:rsidR="00F4025B" w:rsidRDefault="004D2209" w:rsidP="000B6538">
      <w:pPr>
        <w:spacing w:before="240" w:after="120"/>
        <w:ind w:left="579" w:hanging="579"/>
      </w:pPr>
      <w:r>
        <w:rPr>
          <w:rFonts w:ascii="Arial" w:hAnsi="Arial" w:cs="Arial"/>
          <w:b/>
        </w:rPr>
        <w:t>V.</w:t>
      </w:r>
      <w:r>
        <w:rPr>
          <w:rFonts w:ascii="Arial" w:hAnsi="Arial" w:cs="Arial"/>
          <w:b/>
        </w:rPr>
        <w:tab/>
        <w:t>Executing Agency and Execution Structure</w:t>
      </w:r>
    </w:p>
    <w:p w14:paraId="5A703394" w14:textId="77777777" w:rsidR="00F4025B" w:rsidRDefault="004D2209">
      <w:pPr>
        <w:spacing w:before="200" w:after="200"/>
        <w:ind w:left="579" w:hanging="579"/>
        <w:jc w:val="both"/>
      </w:pPr>
      <w:r>
        <w:rPr>
          <w:rFonts w:ascii="Arial" w:hAnsi="Arial" w:cs="Arial"/>
        </w:rPr>
        <w:t>5.</w:t>
      </w:r>
      <w:r>
        <w:rPr>
          <w:rFonts w:ascii="Arial" w:hAnsi="Arial" w:cs="Arial"/>
        </w:rPr>
        <w:t>1</w:t>
      </w:r>
      <w:r>
        <w:rPr>
          <w:rFonts w:ascii="Arial" w:hAnsi="Arial" w:cs="Arial"/>
        </w:rPr>
        <w:tab/>
        <w:t>Upon request of the government of Paraguay, the Bank will act as executing agency for this TC. The Labor Markets Division (SCL/LMK) will be in charge of execution, through the team leader, Waldo Tapia (waldot@iadb.org).</w:t>
      </w:r>
    </w:p>
    <w:p w14:paraId="1D77A34A" w14:textId="77777777" w:rsidR="00F4025B" w:rsidRDefault="004D2209">
      <w:pPr>
        <w:spacing w:before="200" w:after="200"/>
        <w:ind w:left="579" w:hanging="579"/>
        <w:jc w:val="both"/>
      </w:pPr>
      <w:r>
        <w:rPr>
          <w:rFonts w:ascii="Arial" w:hAnsi="Arial" w:cs="Arial"/>
        </w:rPr>
        <w:t>5.2</w:t>
      </w:r>
      <w:r>
        <w:rPr>
          <w:rFonts w:ascii="Arial" w:hAnsi="Arial" w:cs="Arial"/>
        </w:rPr>
        <w:tab/>
        <w:t xml:space="preserve">This execution arrangement is </w:t>
      </w:r>
      <w:r>
        <w:rPr>
          <w:rFonts w:ascii="Arial" w:hAnsi="Arial" w:cs="Arial"/>
        </w:rPr>
        <w:t>justified due to the Bank´s and LMK´s experience in the development of operational and technical products for this kind of project and in the pensions area.</w:t>
      </w:r>
    </w:p>
    <w:p w14:paraId="11BFFE4A" w14:textId="77777777" w:rsidR="00F4025B" w:rsidRPr="000B6538" w:rsidRDefault="004D2209">
      <w:pPr>
        <w:spacing w:before="120" w:after="120"/>
        <w:ind w:left="579" w:hanging="579"/>
        <w:rPr>
          <w:lang w:val="es-ES_tradnl"/>
        </w:rPr>
      </w:pPr>
      <w:r w:rsidRPr="000B6538">
        <w:rPr>
          <w:rFonts w:ascii="Arial" w:hAnsi="Arial" w:cs="Arial"/>
          <w:b/>
          <w:lang w:val="es-ES_tradnl"/>
        </w:rPr>
        <w:t>VI.</w:t>
      </w:r>
      <w:r w:rsidRPr="000B6538">
        <w:rPr>
          <w:rFonts w:ascii="Arial" w:hAnsi="Arial" w:cs="Arial"/>
          <w:b/>
          <w:lang w:val="es-ES_tradnl"/>
        </w:rPr>
        <w:tab/>
        <w:t xml:space="preserve">Project </w:t>
      </w:r>
      <w:proofErr w:type="spellStart"/>
      <w:r w:rsidRPr="000B6538">
        <w:rPr>
          <w:rFonts w:ascii="Arial" w:hAnsi="Arial" w:cs="Arial"/>
          <w:b/>
          <w:lang w:val="es-ES_tradnl"/>
        </w:rPr>
        <w:t>Risks</w:t>
      </w:r>
      <w:proofErr w:type="spellEnd"/>
      <w:r w:rsidRPr="000B6538">
        <w:rPr>
          <w:rFonts w:ascii="Arial" w:hAnsi="Arial" w:cs="Arial"/>
          <w:b/>
          <w:lang w:val="es-ES_tradnl"/>
        </w:rPr>
        <w:t xml:space="preserve"> and Issues</w:t>
      </w:r>
    </w:p>
    <w:p w14:paraId="0D8B1D66" w14:textId="77777777" w:rsidR="00F4025B" w:rsidRPr="000B6538" w:rsidRDefault="004D2209">
      <w:pPr>
        <w:spacing w:before="200" w:after="200"/>
        <w:ind w:left="579" w:hanging="579"/>
        <w:jc w:val="both"/>
        <w:rPr>
          <w:lang w:val="es-ES_tradnl"/>
        </w:rPr>
      </w:pPr>
      <w:r w:rsidRPr="000B6538">
        <w:rPr>
          <w:rFonts w:ascii="Arial" w:hAnsi="Arial" w:cs="Arial"/>
          <w:lang w:val="es-ES_tradnl"/>
        </w:rPr>
        <w:t>6.1</w:t>
      </w:r>
      <w:r w:rsidRPr="000B6538">
        <w:rPr>
          <w:rFonts w:ascii="Arial" w:hAnsi="Arial" w:cs="Arial"/>
          <w:lang w:val="es-ES_tradnl"/>
        </w:rPr>
        <w:tab/>
        <w:t xml:space="preserve">El principal riesgo está relacionado con la posibilidad de que </w:t>
      </w:r>
      <w:r w:rsidRPr="000B6538">
        <w:rPr>
          <w:rFonts w:ascii="Arial" w:hAnsi="Arial" w:cs="Arial"/>
          <w:lang w:val="es-ES_tradnl"/>
        </w:rPr>
        <w:t>no se implementen las opciones de política que surgen como recomendaciones de las actividades de la CT. Este riesgo será mitigado por la experiencia de SCL/LMK en la implementación de operaciones similares destinadas a asesorar a los gobiernos de América L</w:t>
      </w:r>
      <w:r w:rsidRPr="000B6538">
        <w:rPr>
          <w:rFonts w:ascii="Arial" w:hAnsi="Arial" w:cs="Arial"/>
          <w:lang w:val="es-ES_tradnl"/>
        </w:rPr>
        <w:t>atina en la modernización de sistemas de seguridad social. El riesgo mencionado también será mitigado al participar en diálogos continuos con los tomadores de decisiones en los niveles superiores del gobierno para garantizar que la importancia y las leccio</w:t>
      </w:r>
      <w:r w:rsidRPr="000B6538">
        <w:rPr>
          <w:rFonts w:ascii="Arial" w:hAnsi="Arial" w:cs="Arial"/>
          <w:lang w:val="es-ES_tradnl"/>
        </w:rPr>
        <w:t>nes aprendidas de esta CT sean internalizadas por los funcionarios a cargo de implementar los cambios propuestos.</w:t>
      </w:r>
    </w:p>
    <w:p w14:paraId="2CF39498" w14:textId="77777777" w:rsidR="00F4025B" w:rsidRDefault="004D2209">
      <w:pPr>
        <w:spacing w:before="120" w:after="120"/>
        <w:ind w:left="579" w:hanging="579"/>
      </w:pPr>
      <w:r>
        <w:rPr>
          <w:rFonts w:ascii="Arial" w:hAnsi="Arial" w:cs="Arial"/>
          <w:b/>
        </w:rPr>
        <w:t>VII.</w:t>
      </w:r>
      <w:r>
        <w:rPr>
          <w:rFonts w:ascii="Arial" w:hAnsi="Arial" w:cs="Arial"/>
          <w:b/>
        </w:rPr>
        <w:tab/>
        <w:t>Environmental and Social Classification</w:t>
      </w:r>
    </w:p>
    <w:p w14:paraId="17984A16" w14:textId="20D00504" w:rsidR="00F4025B" w:rsidRDefault="004D2209">
      <w:pPr>
        <w:spacing w:before="240" w:after="120"/>
        <w:ind w:left="579" w:hanging="579"/>
        <w:jc w:val="both"/>
      </w:pPr>
      <w:r>
        <w:rPr>
          <w:rFonts w:ascii="Arial" w:hAnsi="Arial" w:cs="Arial"/>
        </w:rPr>
        <w:t>7.1</w:t>
      </w:r>
      <w:r>
        <w:rPr>
          <w:rFonts w:ascii="Arial" w:hAnsi="Arial" w:cs="Arial"/>
        </w:rPr>
        <w:tab/>
        <w:t>The E</w:t>
      </w:r>
      <w:bookmarkStart w:id="0" w:name="_GoBack"/>
      <w:bookmarkEnd w:id="0"/>
      <w:r>
        <w:rPr>
          <w:rFonts w:ascii="Arial" w:hAnsi="Arial" w:cs="Arial"/>
        </w:rPr>
        <w:t>SG classification for this operation is "</w:t>
      </w:r>
      <w:r w:rsidR="000B6538">
        <w:rPr>
          <w:rFonts w:ascii="Arial" w:hAnsi="Arial" w:cs="Arial"/>
        </w:rPr>
        <w:t>C</w:t>
      </w:r>
      <w:r>
        <w:rPr>
          <w:rFonts w:ascii="Arial" w:hAnsi="Arial" w:cs="Arial"/>
        </w:rPr>
        <w:t>".</w:t>
      </w:r>
    </w:p>
    <w:sectPr w:rsidR="00F4025B"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EF1DF" w14:textId="77777777" w:rsidR="004D2209" w:rsidRDefault="004D2209">
      <w:r>
        <w:separator/>
      </w:r>
    </w:p>
  </w:endnote>
  <w:endnote w:type="continuationSeparator" w:id="0">
    <w:p w14:paraId="11A311D1" w14:textId="77777777" w:rsidR="004D2209" w:rsidRDefault="004D2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EAA42" w14:textId="77777777" w:rsidR="009D472B" w:rsidRDefault="004D22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6C71D" w14:textId="77777777" w:rsidR="009D472B" w:rsidRDefault="004D2209"/>
  <w:p w14:paraId="41218D69" w14:textId="77777777" w:rsidR="00F4025B" w:rsidRDefault="004D2209">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C61DA" w14:textId="77777777" w:rsidR="009D472B" w:rsidRDefault="004D22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A0EC0" w14:textId="77777777" w:rsidR="004D2209" w:rsidRDefault="004D2209">
      <w:r>
        <w:separator/>
      </w:r>
    </w:p>
  </w:footnote>
  <w:footnote w:type="continuationSeparator" w:id="0">
    <w:p w14:paraId="1D063F06" w14:textId="77777777" w:rsidR="004D2209" w:rsidRDefault="004D2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B6538"/>
    <w:rsid w:val="001915A3"/>
    <w:rsid w:val="00217F62"/>
    <w:rsid w:val="004D2209"/>
    <w:rsid w:val="00A906D8"/>
    <w:rsid w:val="00AB5A74"/>
    <w:rsid w:val="00F071AE"/>
    <w:rsid w:val="00F402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EE7AD"/>
  <w15:docId w15:val="{423C4256-AD77-4380-9DD5-B86B2DD2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A6010D3D7F84346A780A0A72E8098F6" ma:contentTypeVersion="977" ma:contentTypeDescription="A content type to manage public (operations) IDB documents" ma:contentTypeScope="" ma:versionID="69ffff8c93b12feb920b1bafe19d344b">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Tapia Troncoso, Waldo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PENSIONS ＆ SOCIAL SECURITY</TermName>
          <TermId xmlns="http://schemas.microsoft.com/office/infopath/2007/PartnerControls">4b35807b-c90d-4831-b87a-a93d2a9213d9</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41</Value>
      <Value>138</Value>
      <Value>106</Value>
      <Value>29</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PR-T1265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EZSHARE-1206559714-2</_dlc_DocId>
    <_dlc_DocIdUrl xmlns="cdc7663a-08f0-4737-9e8c-148ce897a09c">
      <Url>https://idbg.sharepoint.com/teams/EZ-PR-TCP/PR-T1265/_layouts/15/DocIdRedir.aspx?ID=EZSHARE-1206559714-2</Url>
      <Description>EZSHARE-1206559714-2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Pensions;;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74C5A2A6-DCA0-4569-ABA7-E88B9B8C35B6}"/>
</file>

<file path=customXml/itemProps2.xml><?xml version="1.0" encoding="utf-8"?>
<ds:datastoreItem xmlns:ds="http://schemas.openxmlformats.org/officeDocument/2006/customXml" ds:itemID="{A2749477-23DF-4BAA-B0CE-9AD2A42F9645}"/>
</file>

<file path=customXml/itemProps3.xml><?xml version="1.0" encoding="utf-8"?>
<ds:datastoreItem xmlns:ds="http://schemas.openxmlformats.org/officeDocument/2006/customXml" ds:itemID="{5503E0F7-C870-4EA2-8CA3-5BDE9E96CD6B}"/>
</file>

<file path=customXml/itemProps4.xml><?xml version="1.0" encoding="utf-8"?>
<ds:datastoreItem xmlns:ds="http://schemas.openxmlformats.org/officeDocument/2006/customXml" ds:itemID="{78A53033-E83A-4B0B-8558-629FE2883C87}"/>
</file>

<file path=customXml/itemProps5.xml><?xml version="1.0" encoding="utf-8"?>
<ds:datastoreItem xmlns:ds="http://schemas.openxmlformats.org/officeDocument/2006/customXml" ds:itemID="{873E0C30-B222-4A30-8222-9E6487134B01}"/>
</file>

<file path=customXml/itemProps6.xml><?xml version="1.0" encoding="utf-8"?>
<ds:datastoreItem xmlns:ds="http://schemas.openxmlformats.org/officeDocument/2006/customXml" ds:itemID="{80EE1FDE-C0FB-45E1-B98D-C569648E0CE6}"/>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Muhlstein, Ethel Rosa</cp:lastModifiedBy>
  <cp:revision>2</cp:revision>
  <dcterms:created xsi:type="dcterms:W3CDTF">2019-04-02T15:45:00Z</dcterms:created>
  <dcterms:modified xsi:type="dcterms:W3CDTF">2019-04-02T15:45:00Z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106;#PENSIONS ＆ SOCIAL SECURITY|4b35807b-c90d-4831-b87a-a93d2a9213d9</vt:lpwstr>
  </property>
  <property fmtid="{D5CDD505-2E9C-101B-9397-08002B2CF9AE}" pid="7" name="Fund IDB">
    <vt:lpwstr>138;#SOC|3086ce3f-38db-462a-ad79-6fb1ca9264c8</vt:lpwstr>
  </property>
  <property fmtid="{D5CDD505-2E9C-101B-9397-08002B2CF9AE}" pid="8" name="Country">
    <vt:lpwstr>29;#Paraguay|50282442-27e7-4526-9d04-55bf5da33a10</vt:lpwstr>
  </property>
  <property fmtid="{D5CDD505-2E9C-101B-9397-08002B2CF9AE}" pid="9" name="Sector IDB">
    <vt:lpwstr>41;#SOCIAL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534e2bde-3a2a-4376-b38f-1f0f980493c4</vt:lpwstr>
  </property>
  <property fmtid="{D5CDD505-2E9C-101B-9397-08002B2CF9AE}" pid="12" name="ContentTypeId">
    <vt:lpwstr>0x0101001A458A224826124E8B45B1D613300CFC00EA6010D3D7F84346A780A0A72E8098F6</vt:lpwstr>
  </property>
</Properties>
</file>