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10980"/>
      </w:tblGrid>
      <w:tr w:rsidR="009E10C0" w:rsidRPr="00942421" w14:paraId="0B648A6C" w14:textId="77777777" w:rsidTr="002704B3">
        <w:trPr>
          <w:trHeight w:val="35"/>
        </w:trPr>
        <w:tc>
          <w:tcPr>
            <w:tcW w:w="10980" w:type="dxa"/>
            <w:shd w:val="clear" w:color="auto" w:fill="auto"/>
            <w:vAlign w:val="center"/>
          </w:tcPr>
          <w:p w14:paraId="77AF6980" w14:textId="6727B620" w:rsidR="009E10C0" w:rsidRDefault="009E10C0" w:rsidP="002704B3">
            <w:pPr>
              <w:jc w:val="center"/>
              <w:rPr>
                <w:b/>
              </w:rPr>
            </w:pPr>
            <w:bookmarkStart w:id="0" w:name="_Toc512433788"/>
            <w:r>
              <w:rPr>
                <w:b/>
              </w:rPr>
              <w:t xml:space="preserve">Cambios </w:t>
            </w:r>
            <w:r w:rsidR="006A0CD3">
              <w:rPr>
                <w:b/>
              </w:rPr>
              <w:t>a</w:t>
            </w:r>
            <w:r>
              <w:rPr>
                <w:b/>
              </w:rPr>
              <w:t xml:space="preserve"> la Matriz de Resultados</w:t>
            </w:r>
            <w:bookmarkEnd w:id="0"/>
          </w:p>
          <w:p w14:paraId="65586697" w14:textId="15B5BA0E" w:rsidR="00B340CE" w:rsidRPr="00B340CE" w:rsidRDefault="00B340CE" w:rsidP="002704B3">
            <w:pPr>
              <w:jc w:val="center"/>
              <w:rPr>
                <w:sz w:val="10"/>
              </w:rPr>
            </w:pPr>
          </w:p>
        </w:tc>
      </w:tr>
    </w:tbl>
    <w:tbl>
      <w:tblPr>
        <w:tblStyle w:val="TableGrid"/>
        <w:tblW w:w="10525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2610"/>
        <w:gridCol w:w="810"/>
        <w:gridCol w:w="3328"/>
        <w:gridCol w:w="1622"/>
        <w:gridCol w:w="900"/>
      </w:tblGrid>
      <w:tr w:rsidR="009E10C0" w:rsidRPr="00942421" w14:paraId="68C6DB3D" w14:textId="77777777" w:rsidTr="00062544">
        <w:trPr>
          <w:tblHeader/>
          <w:jc w:val="center"/>
        </w:trPr>
        <w:tc>
          <w:tcPr>
            <w:tcW w:w="125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687DE3" w14:textId="77777777" w:rsidR="00062544" w:rsidRDefault="00062544" w:rsidP="002704B3">
            <w:pPr>
              <w:jc w:val="center"/>
              <w:rPr>
                <w:b/>
                <w:sz w:val="16"/>
              </w:rPr>
            </w:pPr>
            <w:bookmarkStart w:id="1" w:name="_Toc512433790"/>
          </w:p>
          <w:p w14:paraId="7BF9BFF5" w14:textId="77777777" w:rsidR="009E10C0" w:rsidRDefault="009E10C0" w:rsidP="002704B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Componente</w:t>
            </w:r>
            <w:bookmarkEnd w:id="1"/>
          </w:p>
          <w:p w14:paraId="2B1F035D" w14:textId="06B229C9" w:rsidR="00062544" w:rsidRPr="00942421" w:rsidRDefault="00062544" w:rsidP="002704B3">
            <w:pPr>
              <w:jc w:val="center"/>
              <w:rPr>
                <w:b/>
                <w:sz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D0CE1E" w14:textId="0AA756D6" w:rsidR="009E10C0" w:rsidRPr="00942421" w:rsidRDefault="009E10C0" w:rsidP="003C1015">
            <w:pPr>
              <w:jc w:val="center"/>
              <w:rPr>
                <w:b/>
                <w:sz w:val="16"/>
              </w:rPr>
            </w:pPr>
            <w:bookmarkStart w:id="2" w:name="_Toc512433791"/>
            <w:r w:rsidRPr="00942421">
              <w:rPr>
                <w:b/>
                <w:sz w:val="16"/>
              </w:rPr>
              <w:t>Descripción</w:t>
            </w:r>
            <w:bookmarkEnd w:id="2"/>
            <w:r w:rsidR="00B340CE">
              <w:rPr>
                <w:b/>
                <w:sz w:val="16"/>
              </w:rPr>
              <w:t xml:space="preserve"> del</w:t>
            </w:r>
            <w:r w:rsidR="003C1015">
              <w:rPr>
                <w:b/>
                <w:sz w:val="16"/>
              </w:rPr>
              <w:t xml:space="preserve"> I</w:t>
            </w:r>
            <w:r w:rsidR="00B340CE">
              <w:rPr>
                <w:b/>
                <w:sz w:val="16"/>
              </w:rPr>
              <w:t>ndicador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02BBD" w14:textId="5922A0B9" w:rsidR="009E10C0" w:rsidRPr="00942421" w:rsidRDefault="00E87CC6" w:rsidP="003C1015">
            <w:pPr>
              <w:ind w:left="-107" w:right="-1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 de indicador/ Tipo de ajuste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1ADF82" w14:textId="56405B3D" w:rsidR="009E10C0" w:rsidRPr="00942421" w:rsidRDefault="009E10C0" w:rsidP="002704B3">
            <w:pPr>
              <w:jc w:val="center"/>
              <w:rPr>
                <w:b/>
                <w:sz w:val="16"/>
              </w:rPr>
            </w:pPr>
            <w:bookmarkStart w:id="3" w:name="_Toc512433793"/>
            <w:r w:rsidRPr="00942421">
              <w:rPr>
                <w:b/>
                <w:sz w:val="16"/>
              </w:rPr>
              <w:t>Razón</w:t>
            </w:r>
            <w:bookmarkEnd w:id="3"/>
            <w:r w:rsidR="00062544">
              <w:rPr>
                <w:b/>
                <w:sz w:val="16"/>
              </w:rPr>
              <w:t xml:space="preserve"> del cambio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FD3CA4" w14:textId="77777777" w:rsidR="009E10C0" w:rsidRPr="00942421" w:rsidRDefault="009E10C0" w:rsidP="002704B3">
            <w:pPr>
              <w:jc w:val="center"/>
              <w:rPr>
                <w:b/>
                <w:sz w:val="16"/>
              </w:rPr>
            </w:pPr>
            <w:bookmarkStart w:id="4" w:name="_Toc512433794"/>
            <w:r w:rsidRPr="00942421">
              <w:rPr>
                <w:b/>
                <w:sz w:val="16"/>
              </w:rPr>
              <w:t>Instrumento</w:t>
            </w:r>
            <w:bookmarkEnd w:id="4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0C452E" w14:textId="77777777" w:rsidR="009E10C0" w:rsidRPr="00942421" w:rsidRDefault="009E10C0" w:rsidP="002704B3">
            <w:pPr>
              <w:jc w:val="center"/>
              <w:rPr>
                <w:b/>
                <w:sz w:val="16"/>
              </w:rPr>
            </w:pPr>
            <w:bookmarkStart w:id="5" w:name="_Toc512433795"/>
            <w:r w:rsidRPr="00942421">
              <w:rPr>
                <w:b/>
                <w:sz w:val="16"/>
              </w:rPr>
              <w:t>Fecha</w:t>
            </w:r>
            <w:bookmarkEnd w:id="5"/>
          </w:p>
        </w:tc>
      </w:tr>
      <w:tr w:rsidR="00062544" w:rsidRPr="00942421" w14:paraId="0CEC7D19" w14:textId="77777777" w:rsidTr="00062544">
        <w:trPr>
          <w:trHeight w:val="593"/>
          <w:jc w:val="center"/>
        </w:trPr>
        <w:tc>
          <w:tcPr>
            <w:tcW w:w="1255" w:type="dxa"/>
            <w:vMerge w:val="restart"/>
            <w:vAlign w:val="center"/>
          </w:tcPr>
          <w:p w14:paraId="58E5479A" w14:textId="77777777" w:rsidR="00062544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PBL</w:t>
            </w:r>
            <w:r>
              <w:rPr>
                <w:rFonts w:cs="Arial"/>
                <w:sz w:val="14"/>
                <w:szCs w:val="14"/>
              </w:rPr>
              <w:t>:</w:t>
            </w:r>
          </w:p>
          <w:p w14:paraId="6EF8B4BC" w14:textId="77777777" w:rsidR="00062544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39DC1D22" w14:textId="563A8FAD" w:rsidR="00062544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Reforma tributaria y medidas anti-evasión</w:t>
            </w:r>
          </w:p>
        </w:tc>
        <w:tc>
          <w:tcPr>
            <w:tcW w:w="2610" w:type="dxa"/>
            <w:vAlign w:val="center"/>
          </w:tcPr>
          <w:p w14:paraId="4C568515" w14:textId="438B611B" w:rsidR="00062544" w:rsidRPr="002704B3" w:rsidRDefault="00062544" w:rsidP="00062544">
            <w:pPr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Aumento de la recaudación por efecto de la Ley de Actualización Tributaria</w:t>
            </w:r>
          </w:p>
        </w:tc>
        <w:tc>
          <w:tcPr>
            <w:tcW w:w="810" w:type="dxa"/>
            <w:vAlign w:val="center"/>
          </w:tcPr>
          <w:p w14:paraId="2E3C4767" w14:textId="24A8746A" w:rsidR="00062544" w:rsidRDefault="00062544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Resultado</w:t>
            </w:r>
            <w:r w:rsidR="00E87CC6">
              <w:rPr>
                <w:rFonts w:cs="Arial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>/</w:t>
            </w:r>
            <w:r w:rsidR="00E87CC6">
              <w:rPr>
                <w:rFonts w:cs="Arial"/>
                <w:sz w:val="14"/>
                <w:szCs w:val="14"/>
              </w:rPr>
              <w:t xml:space="preserve"> </w:t>
            </w:r>
            <w:r w:rsidRPr="003C1015">
              <w:rPr>
                <w:rFonts w:cs="Arial"/>
                <w:sz w:val="14"/>
                <w:szCs w:val="14"/>
              </w:rPr>
              <w:t>Adición</w:t>
            </w:r>
          </w:p>
        </w:tc>
        <w:tc>
          <w:tcPr>
            <w:tcW w:w="3328" w:type="dxa"/>
            <w:vAlign w:val="center"/>
          </w:tcPr>
          <w:p w14:paraId="598C0CEA" w14:textId="31960813" w:rsidR="00062544" w:rsidRDefault="00062544" w:rsidP="00062544">
            <w:pPr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El indicador se encontraba definido en la Matriz de Resultados original. Sin embargo, inicialmente no fue registrado en Convergencia.</w:t>
            </w:r>
          </w:p>
        </w:tc>
        <w:tc>
          <w:tcPr>
            <w:tcW w:w="1622" w:type="dxa"/>
            <w:vAlign w:val="center"/>
          </w:tcPr>
          <w:p w14:paraId="6CD84652" w14:textId="63C09F03" w:rsidR="00062544" w:rsidRPr="00330785" w:rsidRDefault="00062544" w:rsidP="00062544">
            <w:pPr>
              <w:pStyle w:val="Default"/>
              <w:rPr>
                <w:rFonts w:ascii="Arial" w:hAnsi="Arial" w:cs="Arial"/>
                <w:sz w:val="14"/>
                <w:szCs w:val="14"/>
                <w:highlight w:val="magenta"/>
                <w:lang w:val="es-BO"/>
              </w:rPr>
            </w:pPr>
            <w:r w:rsidRPr="003C189F">
              <w:rPr>
                <w:rFonts w:cs="Arial"/>
                <w:sz w:val="14"/>
                <w:szCs w:val="14"/>
                <w:lang w:val="es-BO"/>
              </w:rPr>
              <w:t>Propuesta de Préstamo de la Operación.</w:t>
            </w:r>
          </w:p>
        </w:tc>
        <w:tc>
          <w:tcPr>
            <w:tcW w:w="900" w:type="dxa"/>
            <w:vAlign w:val="center"/>
          </w:tcPr>
          <w:p w14:paraId="400EA569" w14:textId="6FA11552" w:rsidR="00062544" w:rsidRPr="00942421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Agosto / 2018</w:t>
            </w:r>
          </w:p>
        </w:tc>
      </w:tr>
      <w:tr w:rsidR="00062544" w:rsidRPr="00942421" w14:paraId="0AFE1863" w14:textId="77777777" w:rsidTr="00062544">
        <w:trPr>
          <w:trHeight w:val="593"/>
          <w:jc w:val="center"/>
        </w:trPr>
        <w:tc>
          <w:tcPr>
            <w:tcW w:w="1255" w:type="dxa"/>
            <w:vMerge/>
            <w:vAlign w:val="center"/>
          </w:tcPr>
          <w:p w14:paraId="770D3187" w14:textId="77777777" w:rsidR="00062544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50320865" w14:textId="55191160" w:rsidR="00062544" w:rsidRPr="002704B3" w:rsidRDefault="00062544" w:rsidP="00062544">
            <w:pPr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Aumento de la recaudación por efecto de la Ley anti-evasión II</w:t>
            </w:r>
          </w:p>
        </w:tc>
        <w:tc>
          <w:tcPr>
            <w:tcW w:w="810" w:type="dxa"/>
            <w:vAlign w:val="center"/>
          </w:tcPr>
          <w:p w14:paraId="2A78EA60" w14:textId="08EAA40B" w:rsidR="00062544" w:rsidRDefault="00E87CC6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Resultado / </w:t>
            </w:r>
            <w:r w:rsidRPr="003C1015">
              <w:rPr>
                <w:rFonts w:cs="Arial"/>
                <w:sz w:val="14"/>
                <w:szCs w:val="14"/>
              </w:rPr>
              <w:t>Adición</w:t>
            </w:r>
          </w:p>
        </w:tc>
        <w:tc>
          <w:tcPr>
            <w:tcW w:w="3328" w:type="dxa"/>
            <w:vAlign w:val="center"/>
          </w:tcPr>
          <w:p w14:paraId="7BC43CFD" w14:textId="706C8D04" w:rsidR="00062544" w:rsidRDefault="00062544" w:rsidP="00062544">
            <w:pPr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El indicador se encontraba definido en la Matriz de Resultados original. Sin embargo, inicialmente no fue registrado en Convergencia.</w:t>
            </w:r>
          </w:p>
        </w:tc>
        <w:tc>
          <w:tcPr>
            <w:tcW w:w="1622" w:type="dxa"/>
            <w:vAlign w:val="center"/>
          </w:tcPr>
          <w:p w14:paraId="3264A721" w14:textId="0F6AC998" w:rsidR="00062544" w:rsidRPr="00330785" w:rsidRDefault="00062544" w:rsidP="00062544">
            <w:pPr>
              <w:pStyle w:val="Default"/>
              <w:rPr>
                <w:rFonts w:ascii="Arial" w:hAnsi="Arial" w:cs="Arial"/>
                <w:sz w:val="14"/>
                <w:szCs w:val="14"/>
                <w:highlight w:val="magenta"/>
                <w:lang w:val="es-BO"/>
              </w:rPr>
            </w:pPr>
            <w:r w:rsidRPr="003C189F">
              <w:rPr>
                <w:rFonts w:cs="Arial"/>
                <w:sz w:val="14"/>
                <w:szCs w:val="14"/>
                <w:lang w:val="es-BO"/>
              </w:rPr>
              <w:t>Propuesta de Préstamo de la Operación.</w:t>
            </w:r>
          </w:p>
        </w:tc>
        <w:tc>
          <w:tcPr>
            <w:tcW w:w="900" w:type="dxa"/>
            <w:vAlign w:val="center"/>
          </w:tcPr>
          <w:p w14:paraId="5A6C6225" w14:textId="0EC47881" w:rsidR="00062544" w:rsidRPr="00942421" w:rsidRDefault="00062544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Agosto / 2018</w:t>
            </w:r>
          </w:p>
        </w:tc>
      </w:tr>
      <w:tr w:rsidR="00674B3E" w:rsidRPr="00942421" w14:paraId="39C01944" w14:textId="77777777" w:rsidTr="00062544">
        <w:trPr>
          <w:trHeight w:val="593"/>
          <w:jc w:val="center"/>
        </w:trPr>
        <w:tc>
          <w:tcPr>
            <w:tcW w:w="1255" w:type="dxa"/>
            <w:vAlign w:val="center"/>
          </w:tcPr>
          <w:p w14:paraId="0CE19ACB" w14:textId="77777777" w:rsidR="00674B3E" w:rsidRDefault="00674B3E" w:rsidP="00674B3E">
            <w:pPr>
              <w:jc w:val="center"/>
              <w:rPr>
                <w:rFonts w:cs="Arial"/>
                <w:sz w:val="14"/>
                <w:szCs w:val="14"/>
              </w:rPr>
            </w:pPr>
            <w:r w:rsidRPr="003C1015">
              <w:rPr>
                <w:rFonts w:cs="Arial"/>
                <w:sz w:val="14"/>
                <w:szCs w:val="14"/>
              </w:rPr>
              <w:t>PBL</w:t>
            </w:r>
            <w:r>
              <w:rPr>
                <w:rFonts w:cs="Arial"/>
                <w:sz w:val="14"/>
                <w:szCs w:val="14"/>
              </w:rPr>
              <w:t>:</w:t>
            </w:r>
          </w:p>
          <w:p w14:paraId="45FC0828" w14:textId="77777777" w:rsidR="00674B3E" w:rsidRDefault="00674B3E" w:rsidP="00674B3E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67C05957" w14:textId="2B1E963D" w:rsidR="00674B3E" w:rsidRDefault="00674B3E" w:rsidP="00674B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Mayor sostenibilidad del endeudamiento municipal</w:t>
            </w:r>
          </w:p>
        </w:tc>
        <w:tc>
          <w:tcPr>
            <w:tcW w:w="2610" w:type="dxa"/>
            <w:vAlign w:val="center"/>
          </w:tcPr>
          <w:p w14:paraId="5930524B" w14:textId="555A9A6C" w:rsidR="00674B3E" w:rsidRPr="003C1015" w:rsidRDefault="00674B3E" w:rsidP="00674B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Propuesta de nuevo rol del INFOM elaborada y presentada a la gerencia</w:t>
            </w:r>
          </w:p>
        </w:tc>
        <w:tc>
          <w:tcPr>
            <w:tcW w:w="810" w:type="dxa"/>
            <w:vAlign w:val="center"/>
          </w:tcPr>
          <w:p w14:paraId="2DD1F278" w14:textId="0FE2F5C2" w:rsidR="00674B3E" w:rsidRDefault="00674B3E" w:rsidP="00674B3E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Resultado / Adición</w:t>
            </w:r>
          </w:p>
        </w:tc>
        <w:tc>
          <w:tcPr>
            <w:tcW w:w="3328" w:type="dxa"/>
            <w:vAlign w:val="center"/>
          </w:tcPr>
          <w:p w14:paraId="6A4FBCA8" w14:textId="40EC0F00" w:rsidR="00674B3E" w:rsidRPr="003C1015" w:rsidRDefault="00674B3E" w:rsidP="00674B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Para iniciar la ejecución de las actividades de fortalecimiento institucional se definió, bajo el componente de Mayor sostenibilidad de la deuda, incorporar este indicador de resultado; para reflejar el trabajo de fortalecimiento al INFOM a ser desarrollado con recursos de la CTR.</w:t>
            </w:r>
          </w:p>
        </w:tc>
        <w:tc>
          <w:tcPr>
            <w:tcW w:w="1622" w:type="dxa"/>
            <w:vAlign w:val="center"/>
          </w:tcPr>
          <w:p w14:paraId="10057BC9" w14:textId="7F0E578D" w:rsidR="00674B3E" w:rsidRPr="00674B3E" w:rsidRDefault="00674B3E" w:rsidP="00674B3E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3D6A8012" w14:textId="6441BC93" w:rsidR="00674B3E" w:rsidRPr="003C1015" w:rsidRDefault="00674B3E" w:rsidP="00674B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Mayo / 2015</w:t>
            </w:r>
          </w:p>
        </w:tc>
      </w:tr>
      <w:tr w:rsidR="002E5CC1" w:rsidRPr="00942421" w14:paraId="72382E70" w14:textId="77777777" w:rsidTr="00062544">
        <w:trPr>
          <w:trHeight w:val="593"/>
          <w:jc w:val="center"/>
        </w:trPr>
        <w:tc>
          <w:tcPr>
            <w:tcW w:w="1255" w:type="dxa"/>
            <w:vMerge w:val="restart"/>
            <w:vAlign w:val="center"/>
          </w:tcPr>
          <w:p w14:paraId="36EF50AE" w14:textId="1C6CF695" w:rsidR="002E5CC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15F70658" w14:textId="3D922083" w:rsidR="002E5CC1" w:rsidRPr="00330785" w:rsidRDefault="002E5CC1" w:rsidP="00062544">
            <w:pPr>
              <w:rPr>
                <w:rFonts w:cs="Arial"/>
                <w:sz w:val="14"/>
                <w:szCs w:val="14"/>
              </w:rPr>
            </w:pPr>
            <w:r w:rsidRPr="00330785">
              <w:rPr>
                <w:rFonts w:cs="Arial"/>
                <w:sz w:val="14"/>
                <w:szCs w:val="14"/>
              </w:rPr>
              <w:t>Técnicos de la DAAFIM capacitados en el desarrollo de indicadores de solvencia financiera municipal, desarrollo de bases de datos, proyecciones de ingresos, gastos municipales.</w:t>
            </w:r>
          </w:p>
        </w:tc>
        <w:tc>
          <w:tcPr>
            <w:tcW w:w="810" w:type="dxa"/>
            <w:vAlign w:val="center"/>
          </w:tcPr>
          <w:p w14:paraId="40BB1D5C" w14:textId="3DDB6037" w:rsidR="002E5CC1" w:rsidRDefault="002E5CC1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65621F85" w14:textId="5E793FCF" w:rsidR="002E5CC1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lograr. Se definió sustituir el producto por capacitación a nivel de maestría. </w:t>
            </w:r>
          </w:p>
        </w:tc>
        <w:tc>
          <w:tcPr>
            <w:tcW w:w="1622" w:type="dxa"/>
            <w:vAlign w:val="center"/>
          </w:tcPr>
          <w:p w14:paraId="00602E00" w14:textId="6C91C9FA" w:rsidR="002E5CC1" w:rsidRPr="002B6510" w:rsidRDefault="002E5CC1" w:rsidP="00062544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04D17312" w14:textId="2FFE7D99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E5CC1" w:rsidRPr="00942421" w14:paraId="20E7026D" w14:textId="77777777" w:rsidTr="00062544">
        <w:trPr>
          <w:trHeight w:val="593"/>
          <w:jc w:val="center"/>
        </w:trPr>
        <w:tc>
          <w:tcPr>
            <w:tcW w:w="1255" w:type="dxa"/>
            <w:vMerge/>
            <w:vAlign w:val="center"/>
          </w:tcPr>
          <w:p w14:paraId="25D34C90" w14:textId="400F1EF3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362CFEB0" w14:textId="20FA3790" w:rsidR="002E5CC1" w:rsidRPr="00942421" w:rsidRDefault="002E5CC1" w:rsidP="00062544">
            <w:pPr>
              <w:rPr>
                <w:rFonts w:cs="Arial"/>
                <w:sz w:val="14"/>
                <w:szCs w:val="14"/>
              </w:rPr>
            </w:pPr>
            <w:r w:rsidRPr="002704B3">
              <w:rPr>
                <w:rFonts w:cs="Arial"/>
                <w:sz w:val="14"/>
                <w:szCs w:val="14"/>
              </w:rPr>
              <w:t>Cuadros de Mando integral Implementados</w:t>
            </w:r>
          </w:p>
        </w:tc>
        <w:tc>
          <w:tcPr>
            <w:tcW w:w="810" w:type="dxa"/>
            <w:vAlign w:val="center"/>
          </w:tcPr>
          <w:p w14:paraId="77337FA0" w14:textId="4F64C980" w:rsidR="002E5CC1" w:rsidRPr="00942421" w:rsidRDefault="002E5CC1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0DB4073A" w14:textId="1D9D1A48" w:rsidR="002E5CC1" w:rsidRPr="00942421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4E85F757" w14:textId="13387ECB" w:rsidR="002E5CC1" w:rsidRPr="00396AD0" w:rsidRDefault="002E5CC1" w:rsidP="00062544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046E9216" w14:textId="191D2897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E5CC1" w:rsidRPr="00942421" w14:paraId="30758C89" w14:textId="77777777" w:rsidTr="00062544">
        <w:trPr>
          <w:trHeight w:val="566"/>
          <w:jc w:val="center"/>
        </w:trPr>
        <w:tc>
          <w:tcPr>
            <w:tcW w:w="1255" w:type="dxa"/>
            <w:vMerge/>
            <w:vAlign w:val="center"/>
          </w:tcPr>
          <w:p w14:paraId="6FA45663" w14:textId="748B7C3D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0E930A48" w14:textId="22D2BBEE" w:rsidR="002E5CC1" w:rsidRPr="002704B3" w:rsidRDefault="002E5CC1" w:rsidP="00062544">
            <w:pPr>
              <w:rPr>
                <w:rFonts w:cs="Arial"/>
                <w:sz w:val="14"/>
                <w:szCs w:val="14"/>
              </w:rPr>
            </w:pPr>
            <w:r w:rsidRPr="002704B3">
              <w:rPr>
                <w:rFonts w:cs="Arial"/>
                <w:sz w:val="14"/>
                <w:szCs w:val="14"/>
              </w:rPr>
              <w:t>DAAFIM con equipo informático en funcionamiento</w:t>
            </w:r>
            <w:r w:rsidRPr="002704B3">
              <w:rPr>
                <w:rFonts w:cs="Arial"/>
                <w:sz w:val="14"/>
                <w:szCs w:val="14"/>
              </w:rPr>
              <w:tab/>
            </w:r>
          </w:p>
        </w:tc>
        <w:tc>
          <w:tcPr>
            <w:tcW w:w="810" w:type="dxa"/>
            <w:vAlign w:val="center"/>
          </w:tcPr>
          <w:p w14:paraId="39FE1871" w14:textId="1A66E28B" w:rsidR="002E5CC1" w:rsidRDefault="002E5CC1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63FC67F0" w14:textId="6BF09B26" w:rsidR="002E5CC1" w:rsidRPr="00942421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652C4790" w14:textId="2FC3017B" w:rsidR="002E5CC1" w:rsidRPr="00396AD0" w:rsidRDefault="002E5CC1" w:rsidP="00062544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6EC2564C" w14:textId="2C5F9832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E5CC1" w:rsidRPr="00942421" w14:paraId="1DE6327E" w14:textId="77777777" w:rsidTr="00062544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0E368D77" w14:textId="262A2FEA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5DDDC693" w14:textId="10803DE2" w:rsidR="002E5CC1" w:rsidRPr="002704B3" w:rsidRDefault="002E5CC1" w:rsidP="00062544">
            <w:pPr>
              <w:rPr>
                <w:rFonts w:cs="Arial"/>
                <w:sz w:val="14"/>
                <w:szCs w:val="14"/>
              </w:rPr>
            </w:pPr>
            <w:r w:rsidRPr="002704B3">
              <w:rPr>
                <w:rFonts w:cs="Arial"/>
                <w:sz w:val="14"/>
                <w:szCs w:val="14"/>
              </w:rPr>
              <w:t>MGCS con equipo informático en funcionamiento</w:t>
            </w:r>
          </w:p>
        </w:tc>
        <w:tc>
          <w:tcPr>
            <w:tcW w:w="810" w:type="dxa"/>
            <w:vAlign w:val="center"/>
          </w:tcPr>
          <w:p w14:paraId="2017E606" w14:textId="41335ACA" w:rsidR="002E5CC1" w:rsidRDefault="002E5CC1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4FE027E1" w14:textId="59C34BD8" w:rsidR="002E5CC1" w:rsidRPr="00942421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6566C950" w14:textId="51A7D01C" w:rsidR="002E5CC1" w:rsidRPr="00396AD0" w:rsidRDefault="002E5CC1" w:rsidP="00062544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3345F574" w14:textId="45638F90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E5CC1" w:rsidRPr="00942421" w14:paraId="7C448F77" w14:textId="77777777" w:rsidTr="00062544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679CFED0" w14:textId="3B7CF24F" w:rsidR="002E5CC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0CE85CF0" w14:textId="5A1ABB91" w:rsidR="002E5CC1" w:rsidRPr="002704B3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DAAFIM graduados de la Maestría sobre Finanzas Municipales</w:t>
            </w:r>
          </w:p>
        </w:tc>
        <w:tc>
          <w:tcPr>
            <w:tcW w:w="810" w:type="dxa"/>
            <w:vAlign w:val="center"/>
          </w:tcPr>
          <w:p w14:paraId="494221D4" w14:textId="1FFDD650" w:rsidR="002E5CC1" w:rsidRDefault="002E5CC1" w:rsidP="00062544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0918962A" w14:textId="34417C41" w:rsidR="002E5CC1" w:rsidRPr="00942421" w:rsidRDefault="002E5CC1" w:rsidP="00062544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0F457C10" w14:textId="2930B293" w:rsidR="002E5CC1" w:rsidRPr="00396AD0" w:rsidRDefault="002E5CC1" w:rsidP="00062544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77B52B21" w14:textId="534C89F0" w:rsidR="002E5CC1" w:rsidRPr="00942421" w:rsidRDefault="002E5CC1" w:rsidP="00062544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E5CC1" w:rsidRPr="00942421" w14:paraId="39575CBB" w14:textId="77777777" w:rsidTr="00062544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75E5B25D" w14:textId="77777777" w:rsidR="002E5CC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07F88443" w14:textId="105826C2" w:rsidR="002E5CC1" w:rsidRDefault="002E5CC1" w:rsidP="00AA3E75">
            <w:pPr>
              <w:rPr>
                <w:rFonts w:cs="Arial"/>
                <w:sz w:val="14"/>
                <w:szCs w:val="14"/>
              </w:rPr>
            </w:pPr>
            <w:r w:rsidRPr="00804610">
              <w:rPr>
                <w:rFonts w:cs="Arial"/>
                <w:sz w:val="14"/>
                <w:szCs w:val="14"/>
              </w:rPr>
              <w:t>Portal de consultas de la información financiera municipal disponible para el INFOM</w:t>
            </w:r>
          </w:p>
        </w:tc>
        <w:tc>
          <w:tcPr>
            <w:tcW w:w="810" w:type="dxa"/>
            <w:vAlign w:val="center"/>
          </w:tcPr>
          <w:p w14:paraId="63F6B629" w14:textId="20D3AA82" w:rsidR="002E5CC1" w:rsidRDefault="002E5CC1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0AB7291A" w14:textId="73410262" w:rsidR="002E5CC1" w:rsidRDefault="002E5CC1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2FB074A2" w14:textId="1D949789" w:rsidR="002E5CC1" w:rsidRPr="002B6510" w:rsidRDefault="002E5CC1" w:rsidP="00AA3E75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1F772872" w14:textId="08BC0C8D" w:rsidR="002E5CC1" w:rsidRPr="0094242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Mayo / 2015</w:t>
            </w:r>
          </w:p>
        </w:tc>
      </w:tr>
      <w:tr w:rsidR="002E5CC1" w:rsidRPr="00942421" w14:paraId="1E153D45" w14:textId="77777777" w:rsidTr="00062544">
        <w:trPr>
          <w:trHeight w:val="206"/>
          <w:jc w:val="center"/>
        </w:trPr>
        <w:tc>
          <w:tcPr>
            <w:tcW w:w="1255" w:type="dxa"/>
            <w:vMerge/>
          </w:tcPr>
          <w:p w14:paraId="5DC71C5D" w14:textId="4368936C" w:rsidR="002E5CC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3A980C41" w14:textId="4F601974" w:rsidR="002E5CC1" w:rsidRDefault="002E5CC1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DAAFIM graduados de la Maestría sobre Finanzas Municipales</w:t>
            </w:r>
          </w:p>
        </w:tc>
        <w:tc>
          <w:tcPr>
            <w:tcW w:w="810" w:type="dxa"/>
            <w:vAlign w:val="center"/>
          </w:tcPr>
          <w:p w14:paraId="761AE5BD" w14:textId="5C8526C6" w:rsidR="002E5CC1" w:rsidRDefault="002E5CC1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00EC727C" w14:textId="0EF4A30F" w:rsidR="002E5CC1" w:rsidRPr="003D3B49" w:rsidRDefault="002E5CC1" w:rsidP="00AA3E75">
            <w:pPr>
              <w:rPr>
                <w:rFonts w:cs="Arial"/>
                <w:sz w:val="14"/>
                <w:szCs w:val="14"/>
                <w:lang w:val="es-BO"/>
              </w:rPr>
            </w:pPr>
            <w:r w:rsidRPr="003D3B49">
              <w:rPr>
                <w:rFonts w:cs="Arial"/>
                <w:sz w:val="14"/>
                <w:szCs w:val="14"/>
                <w:lang w:val="es-BO"/>
              </w:rPr>
              <w:t>A mediados de 2016 se había</w:t>
            </w:r>
            <w:r>
              <w:rPr>
                <w:rFonts w:cs="Arial"/>
                <w:sz w:val="14"/>
                <w:szCs w:val="14"/>
                <w:lang w:val="es-BO"/>
              </w:rPr>
              <w:t>n observado retrasos en la organización, lo cual impedía materialmente contar con tiempo suficiente para que se imparta un curso a nivel de maestría</w:t>
            </w:r>
          </w:p>
        </w:tc>
        <w:tc>
          <w:tcPr>
            <w:tcW w:w="1622" w:type="dxa"/>
            <w:vAlign w:val="center"/>
          </w:tcPr>
          <w:p w14:paraId="09F0A50A" w14:textId="7B18E02B" w:rsidR="002E5CC1" w:rsidRPr="003D3B49" w:rsidRDefault="002E5CC1" w:rsidP="00AA3E75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6FF827A1" w14:textId="38DD246E" w:rsidR="002E5CC1" w:rsidRPr="0094242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de 2016</w:t>
            </w:r>
          </w:p>
        </w:tc>
      </w:tr>
      <w:tr w:rsidR="002E5CC1" w:rsidRPr="00942421" w14:paraId="7BB95429" w14:textId="77777777" w:rsidTr="00062544">
        <w:trPr>
          <w:trHeight w:val="611"/>
          <w:jc w:val="center"/>
        </w:trPr>
        <w:tc>
          <w:tcPr>
            <w:tcW w:w="1255" w:type="dxa"/>
            <w:vMerge/>
          </w:tcPr>
          <w:p w14:paraId="7A66B691" w14:textId="1DEC5E18" w:rsidR="002E5CC1" w:rsidRPr="00042445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5176C5C5" w14:textId="4B02287B" w:rsidR="002E5CC1" w:rsidRDefault="002E5CC1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DAAFIM graduados del Diplomado sobre Finanzas Municipales</w:t>
            </w:r>
          </w:p>
        </w:tc>
        <w:tc>
          <w:tcPr>
            <w:tcW w:w="810" w:type="dxa"/>
            <w:vAlign w:val="center"/>
          </w:tcPr>
          <w:p w14:paraId="548E0263" w14:textId="50B78570" w:rsidR="002E5CC1" w:rsidRDefault="002E5CC1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66FE786A" w14:textId="766CD712" w:rsidR="002E5CC1" w:rsidRPr="003D3B49" w:rsidRDefault="002E5CC1" w:rsidP="00AA3E75">
            <w:pPr>
              <w:rPr>
                <w:rFonts w:cs="Arial"/>
                <w:sz w:val="14"/>
                <w:szCs w:val="14"/>
                <w:lang w:val="es-BO"/>
              </w:rPr>
            </w:pPr>
            <w:r>
              <w:rPr>
                <w:rFonts w:cs="Arial"/>
                <w:sz w:val="14"/>
                <w:szCs w:val="14"/>
                <w:lang w:val="es-BO"/>
              </w:rPr>
              <w:t>Se decidió organizar la ejecución de un curso a nivel de diplomado, en sustitución de la maestría</w:t>
            </w:r>
          </w:p>
        </w:tc>
        <w:tc>
          <w:tcPr>
            <w:tcW w:w="1622" w:type="dxa"/>
            <w:vAlign w:val="center"/>
          </w:tcPr>
          <w:p w14:paraId="4B5E5C4A" w14:textId="75FED370" w:rsidR="002E5CC1" w:rsidRPr="003D3B49" w:rsidRDefault="002E5CC1" w:rsidP="00AA3E75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7E075E4B" w14:textId="6D7EA0D3" w:rsidR="002E5CC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de 2016</w:t>
            </w:r>
          </w:p>
        </w:tc>
      </w:tr>
      <w:tr w:rsidR="002E5CC1" w:rsidRPr="00942421" w14:paraId="641AB28D" w14:textId="77777777" w:rsidTr="00062544">
        <w:trPr>
          <w:trHeight w:val="611"/>
          <w:jc w:val="center"/>
        </w:trPr>
        <w:tc>
          <w:tcPr>
            <w:tcW w:w="1255" w:type="dxa"/>
            <w:vMerge/>
          </w:tcPr>
          <w:p w14:paraId="436B34E3" w14:textId="77777777" w:rsidR="002E5CC1" w:rsidRPr="00042445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02D8CCCC" w14:textId="47955D3D" w:rsidR="002E5CC1" w:rsidRDefault="002E5CC1" w:rsidP="00AA3E75">
            <w:pPr>
              <w:rPr>
                <w:rFonts w:cs="Arial"/>
                <w:sz w:val="14"/>
                <w:szCs w:val="14"/>
              </w:rPr>
            </w:pPr>
            <w:r w:rsidRPr="00804610">
              <w:rPr>
                <w:rFonts w:cs="Arial"/>
                <w:sz w:val="14"/>
                <w:szCs w:val="14"/>
              </w:rPr>
              <w:t>Portal de consultas de la información financiera municipal disponible para el INFOM</w:t>
            </w:r>
          </w:p>
        </w:tc>
        <w:tc>
          <w:tcPr>
            <w:tcW w:w="810" w:type="dxa"/>
            <w:vAlign w:val="center"/>
          </w:tcPr>
          <w:p w14:paraId="523569E7" w14:textId="18157A29" w:rsidR="002E5CC1" w:rsidRDefault="002E5CC1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662C9ACF" w14:textId="25E170C5" w:rsidR="002E5CC1" w:rsidRDefault="002E5CC1" w:rsidP="00AA3E75">
            <w:pPr>
              <w:rPr>
                <w:rFonts w:cs="Arial"/>
                <w:sz w:val="14"/>
                <w:szCs w:val="14"/>
                <w:lang w:val="es-BO"/>
              </w:rPr>
            </w:pPr>
            <w:r>
              <w:rPr>
                <w:rFonts w:cs="Arial"/>
                <w:sz w:val="14"/>
                <w:szCs w:val="14"/>
                <w:lang w:val="es-BO"/>
              </w:rPr>
              <w:t>Se acordó destinar mayores recursos para el desarrollo de los cuadros de mando integral</w:t>
            </w:r>
          </w:p>
        </w:tc>
        <w:tc>
          <w:tcPr>
            <w:tcW w:w="1622" w:type="dxa"/>
            <w:vAlign w:val="center"/>
          </w:tcPr>
          <w:p w14:paraId="583BEA83" w14:textId="0ADD1042" w:rsidR="002E5CC1" w:rsidRPr="00616321" w:rsidRDefault="002E5CC1" w:rsidP="00AA3E75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616321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</w:t>
            </w:r>
            <w:r w:rsidRPr="003D3B49">
              <w:rPr>
                <w:rFonts w:cs="Arial"/>
                <w:sz w:val="14"/>
                <w:szCs w:val="14"/>
                <w:lang w:val="es-BO"/>
              </w:rPr>
              <w:t xml:space="preserve"> Públicas</w:t>
            </w:r>
          </w:p>
        </w:tc>
        <w:tc>
          <w:tcPr>
            <w:tcW w:w="900" w:type="dxa"/>
            <w:vAlign w:val="center"/>
          </w:tcPr>
          <w:p w14:paraId="0DA09256" w14:textId="776671EB" w:rsidR="002E5CC1" w:rsidRDefault="002E5CC1" w:rsidP="00AA3E75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de 2017</w:t>
            </w:r>
          </w:p>
        </w:tc>
      </w:tr>
      <w:tr w:rsidR="0028115D" w:rsidRPr="00942421" w14:paraId="5F9D4E2E" w14:textId="77777777" w:rsidTr="007432A3">
        <w:trPr>
          <w:trHeight w:val="611"/>
          <w:jc w:val="center"/>
        </w:trPr>
        <w:tc>
          <w:tcPr>
            <w:tcW w:w="1255" w:type="dxa"/>
            <w:vMerge w:val="restart"/>
            <w:vAlign w:val="center"/>
          </w:tcPr>
          <w:p w14:paraId="7CBE966C" w14:textId="77777777" w:rsidR="0028115D" w:rsidRDefault="0028115D" w:rsidP="0028115D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CTR: </w:t>
            </w:r>
          </w:p>
          <w:p w14:paraId="369DA2F3" w14:textId="77777777" w:rsidR="0028115D" w:rsidRDefault="0028115D" w:rsidP="0028115D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6AEE9F70" w14:textId="5881058A" w:rsidR="0028115D" w:rsidRPr="00042445" w:rsidRDefault="0028115D" w:rsidP="0028115D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Fortalecimiento del INFOM</w:t>
            </w:r>
          </w:p>
        </w:tc>
        <w:tc>
          <w:tcPr>
            <w:tcW w:w="2610" w:type="dxa"/>
            <w:vAlign w:val="center"/>
          </w:tcPr>
          <w:p w14:paraId="5F6768D2" w14:textId="79826B6D" w:rsidR="0028115D" w:rsidRDefault="0028115D" w:rsidP="00AA3E75">
            <w:pPr>
              <w:rPr>
                <w:rFonts w:cs="Arial"/>
                <w:sz w:val="14"/>
                <w:szCs w:val="14"/>
              </w:rPr>
            </w:pPr>
            <w:r w:rsidRPr="000D7ED0">
              <w:rPr>
                <w:rFonts w:cs="Arial"/>
                <w:sz w:val="14"/>
                <w:szCs w:val="14"/>
              </w:rPr>
              <w:t>Técnicos de la Unidad de Crédito y Gestión de Cartera del INFOM, capacitados en análisis costo – beneficio de inversiones municipales, sostenibilidad de deuda municipal, analisis de riesgo crediticio municipal, desarrollo de base de datos</w:t>
            </w:r>
          </w:p>
        </w:tc>
        <w:tc>
          <w:tcPr>
            <w:tcW w:w="810" w:type="dxa"/>
            <w:vAlign w:val="center"/>
          </w:tcPr>
          <w:p w14:paraId="1D2D381A" w14:textId="070F0EE5" w:rsidR="0028115D" w:rsidRDefault="0028115D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6ACE01ED" w14:textId="77C10AFA" w:rsidR="0028115D" w:rsidRDefault="0028115D" w:rsidP="00AA3E75">
            <w:pPr>
              <w:rPr>
                <w:rFonts w:cs="Arial"/>
                <w:sz w:val="14"/>
                <w:szCs w:val="14"/>
                <w:lang w:val="es-BO"/>
              </w:rPr>
            </w:pPr>
            <w:r>
              <w:rPr>
                <w:rFonts w:cs="Arial"/>
                <w:sz w:val="14"/>
                <w:szCs w:val="14"/>
              </w:rPr>
              <w:t>Para iniciar la ejecución del componente de CTR del Programa, se consideró pertinente especificar con más detalle los productos a lograr. Se definió sustituir el producto por capacitación a nivel de maestría.</w:t>
            </w:r>
          </w:p>
        </w:tc>
        <w:tc>
          <w:tcPr>
            <w:tcW w:w="1622" w:type="dxa"/>
            <w:vAlign w:val="center"/>
          </w:tcPr>
          <w:p w14:paraId="7C2CE20C" w14:textId="45EE7DDB" w:rsidR="0028115D" w:rsidRPr="00AD65E9" w:rsidRDefault="0028115D" w:rsidP="00AA3E75">
            <w:pPr>
              <w:pStyle w:val="Default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B74703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</w:t>
            </w:r>
            <w:r w:rsidRPr="00B74703">
              <w:rPr>
                <w:rFonts w:cs="Arial"/>
                <w:sz w:val="14"/>
                <w:szCs w:val="14"/>
                <w:lang w:val="es-BO"/>
              </w:rPr>
              <w:t xml:space="preserve"> Públicas</w:t>
            </w:r>
          </w:p>
        </w:tc>
        <w:tc>
          <w:tcPr>
            <w:tcW w:w="900" w:type="dxa"/>
            <w:vAlign w:val="center"/>
          </w:tcPr>
          <w:p w14:paraId="60E8D76D" w14:textId="1273ADCF" w:rsidR="0028115D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8115D" w:rsidRPr="00942421" w14:paraId="66457CDC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383492AF" w14:textId="55A94EA2" w:rsidR="0028115D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53EC1339" w14:textId="420D53A8" w:rsidR="0028115D" w:rsidRPr="002704B3" w:rsidRDefault="0028115D" w:rsidP="00AA3E75">
            <w:pPr>
              <w:rPr>
                <w:rFonts w:cs="Arial"/>
                <w:sz w:val="14"/>
                <w:szCs w:val="14"/>
              </w:rPr>
            </w:pPr>
            <w:r w:rsidRPr="002704B3">
              <w:rPr>
                <w:rFonts w:cs="Arial"/>
                <w:sz w:val="14"/>
                <w:szCs w:val="14"/>
              </w:rPr>
              <w:t>INFOM con equipo informático en funcionamiento</w:t>
            </w:r>
          </w:p>
        </w:tc>
        <w:tc>
          <w:tcPr>
            <w:tcW w:w="810" w:type="dxa"/>
            <w:vAlign w:val="center"/>
          </w:tcPr>
          <w:p w14:paraId="22AA4EC5" w14:textId="72256021" w:rsidR="0028115D" w:rsidRDefault="0028115D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7A9CA5F8" w14:textId="2C10CEC9" w:rsidR="0028115D" w:rsidRPr="00942421" w:rsidRDefault="0028115D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 </w:t>
            </w:r>
          </w:p>
        </w:tc>
        <w:tc>
          <w:tcPr>
            <w:tcW w:w="1622" w:type="dxa"/>
            <w:vAlign w:val="center"/>
          </w:tcPr>
          <w:p w14:paraId="66980318" w14:textId="42094C20" w:rsidR="0028115D" w:rsidRPr="00AD65E9" w:rsidRDefault="0028115D" w:rsidP="00AA3E75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70BB8E0D" w14:textId="0C4C51D5" w:rsidR="0028115D" w:rsidRPr="00942421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8115D" w:rsidRPr="00942421" w14:paraId="67407322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69C676DB" w14:textId="4951D882" w:rsidR="0028115D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7DCA8F3D" w14:textId="762EDCE1" w:rsidR="0028115D" w:rsidRPr="002704B3" w:rsidRDefault="0028115D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del INFOM graduados de la Maestría sobre Finanzas Municipales</w:t>
            </w:r>
          </w:p>
        </w:tc>
        <w:tc>
          <w:tcPr>
            <w:tcW w:w="810" w:type="dxa"/>
            <w:vAlign w:val="center"/>
          </w:tcPr>
          <w:p w14:paraId="5EE615A3" w14:textId="6DB861D8" w:rsidR="0028115D" w:rsidRDefault="0028115D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3BD8FF6F" w14:textId="1B58D734" w:rsidR="0028115D" w:rsidRPr="00942421" w:rsidRDefault="0028115D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</w:t>
            </w:r>
          </w:p>
        </w:tc>
        <w:tc>
          <w:tcPr>
            <w:tcW w:w="1622" w:type="dxa"/>
            <w:vAlign w:val="center"/>
          </w:tcPr>
          <w:p w14:paraId="0ECC0A69" w14:textId="7896AD99" w:rsidR="0028115D" w:rsidRPr="00AD65E9" w:rsidRDefault="0028115D" w:rsidP="00AA3E75">
            <w:pPr>
              <w:pStyle w:val="Default"/>
              <w:rPr>
                <w:rFonts w:cs="Arial"/>
                <w:sz w:val="14"/>
                <w:szCs w:val="14"/>
                <w:lang w:val="es-BO"/>
              </w:rPr>
            </w:pPr>
            <w:r w:rsidRPr="002B6510">
              <w:rPr>
                <w:rFonts w:ascii="Arial" w:hAnsi="Arial"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44B823C1" w14:textId="2A979B48" w:rsidR="0028115D" w:rsidRPr="00942421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28115D" w:rsidRPr="00942421" w14:paraId="016CC813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5FB34B89" w14:textId="63EBD9E0" w:rsidR="0028115D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7C65ADDE" w14:textId="3962AB8A" w:rsidR="0028115D" w:rsidRPr="002704B3" w:rsidRDefault="0028115D" w:rsidP="00AA3E75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del INFOM graduados de la Maestría sobre Finanzas Municipales</w:t>
            </w:r>
          </w:p>
        </w:tc>
        <w:tc>
          <w:tcPr>
            <w:tcW w:w="810" w:type="dxa"/>
            <w:vAlign w:val="center"/>
          </w:tcPr>
          <w:p w14:paraId="63CC1B74" w14:textId="0F7C697D" w:rsidR="0028115D" w:rsidRDefault="0028115D" w:rsidP="00AA3E75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28460A15" w14:textId="2F1C3A5E" w:rsidR="0028115D" w:rsidRPr="00942421" w:rsidRDefault="0028115D" w:rsidP="00AA3E75">
            <w:pPr>
              <w:rPr>
                <w:rFonts w:cs="Arial"/>
                <w:sz w:val="14"/>
                <w:szCs w:val="14"/>
              </w:rPr>
            </w:pPr>
            <w:r w:rsidRPr="003D3B49">
              <w:rPr>
                <w:rFonts w:cs="Arial"/>
                <w:sz w:val="14"/>
                <w:szCs w:val="14"/>
                <w:lang w:val="es-BO"/>
              </w:rPr>
              <w:t>A mediados de 2016 se había</w:t>
            </w:r>
            <w:r>
              <w:rPr>
                <w:rFonts w:cs="Arial"/>
                <w:sz w:val="14"/>
                <w:szCs w:val="14"/>
                <w:lang w:val="es-BO"/>
              </w:rPr>
              <w:t>n observado retrasos en la organización, lo cual impedía materialmente contar con tiempo suficiente para que se imparta un curso a nivel de maestría</w:t>
            </w:r>
          </w:p>
        </w:tc>
        <w:tc>
          <w:tcPr>
            <w:tcW w:w="1622" w:type="dxa"/>
            <w:vAlign w:val="center"/>
          </w:tcPr>
          <w:p w14:paraId="21FD9269" w14:textId="4BB1DBA9" w:rsidR="0028115D" w:rsidRDefault="0028115D" w:rsidP="00AA3E75">
            <w:pPr>
              <w:rPr>
                <w:rFonts w:cs="Arial"/>
                <w:sz w:val="14"/>
                <w:szCs w:val="14"/>
              </w:rPr>
            </w:pPr>
            <w:r w:rsidRPr="002B6510">
              <w:rPr>
                <w:rFonts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17E68443" w14:textId="09356957" w:rsidR="0028115D" w:rsidRPr="00942421" w:rsidRDefault="0028115D" w:rsidP="00AA3E75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de 2016</w:t>
            </w:r>
          </w:p>
        </w:tc>
      </w:tr>
      <w:tr w:rsidR="0028115D" w:rsidRPr="00942421" w14:paraId="7ADF00FD" w14:textId="77777777" w:rsidTr="007432A3">
        <w:trPr>
          <w:trHeight w:val="566"/>
          <w:jc w:val="center"/>
        </w:trPr>
        <w:tc>
          <w:tcPr>
            <w:tcW w:w="1255" w:type="dxa"/>
            <w:vMerge/>
          </w:tcPr>
          <w:p w14:paraId="5DD3E1EE" w14:textId="6A1260BB" w:rsidR="0028115D" w:rsidRDefault="0028115D" w:rsidP="00674B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248F419A" w14:textId="324C8340" w:rsidR="0028115D" w:rsidRPr="002704B3" w:rsidRDefault="0028115D" w:rsidP="00674B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del INFOM graduados del Diplomado sobre Finanzas Municipales</w:t>
            </w:r>
          </w:p>
        </w:tc>
        <w:tc>
          <w:tcPr>
            <w:tcW w:w="810" w:type="dxa"/>
            <w:vAlign w:val="center"/>
          </w:tcPr>
          <w:p w14:paraId="26D47821" w14:textId="58D1DFDB" w:rsidR="0028115D" w:rsidRDefault="0028115D" w:rsidP="00674B3E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401152E5" w14:textId="2D6D15FE" w:rsidR="0028115D" w:rsidRPr="00942421" w:rsidRDefault="0028115D" w:rsidP="00674B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val="es-BO"/>
              </w:rPr>
              <w:t>Se decidió organizar la ejecución de un curso a nivel de diplomado, en sustitución de la maestría</w:t>
            </w:r>
          </w:p>
        </w:tc>
        <w:tc>
          <w:tcPr>
            <w:tcW w:w="1622" w:type="dxa"/>
            <w:vAlign w:val="center"/>
          </w:tcPr>
          <w:p w14:paraId="73A5EAEA" w14:textId="485D1448" w:rsidR="0028115D" w:rsidRDefault="0028115D" w:rsidP="00674B3E">
            <w:pPr>
              <w:rPr>
                <w:rFonts w:cs="Arial"/>
                <w:sz w:val="14"/>
                <w:szCs w:val="14"/>
              </w:rPr>
            </w:pPr>
            <w:r w:rsidRPr="002B6510">
              <w:rPr>
                <w:rFonts w:cs="Arial"/>
                <w:sz w:val="14"/>
                <w:szCs w:val="14"/>
                <w:lang w:val="es-BO"/>
              </w:rPr>
              <w:t>Oficio del Ministro de Finanzas Públicas</w:t>
            </w:r>
          </w:p>
        </w:tc>
        <w:tc>
          <w:tcPr>
            <w:tcW w:w="900" w:type="dxa"/>
            <w:vAlign w:val="center"/>
          </w:tcPr>
          <w:p w14:paraId="3F31F70A" w14:textId="5A51EF9D" w:rsidR="0028115D" w:rsidRPr="00942421" w:rsidRDefault="0028115D" w:rsidP="00674B3E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de 2016</w:t>
            </w:r>
          </w:p>
        </w:tc>
      </w:tr>
      <w:tr w:rsidR="0028115D" w:rsidRPr="00942421" w14:paraId="73D5C2D2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7E9211C2" w14:textId="5E15D786" w:rsidR="0028115D" w:rsidRPr="00942421" w:rsidRDefault="0028115D" w:rsidP="00674B3E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44C03A95" w14:textId="56348376" w:rsidR="0028115D" w:rsidRPr="003D3B49" w:rsidRDefault="0028115D" w:rsidP="00674B3E">
            <w:pPr>
              <w:rPr>
                <w:rFonts w:cs="Arial"/>
                <w:sz w:val="14"/>
                <w:szCs w:val="14"/>
              </w:rPr>
            </w:pPr>
            <w:r w:rsidRPr="003D3B49">
              <w:rPr>
                <w:rFonts w:cs="Arial"/>
                <w:sz w:val="14"/>
                <w:szCs w:val="14"/>
              </w:rPr>
              <w:t>Propuesta de nuevo rol del INFOM elaborad</w:t>
            </w:r>
            <w:r>
              <w:rPr>
                <w:rFonts w:cs="Arial"/>
                <w:sz w:val="14"/>
                <w:szCs w:val="14"/>
              </w:rPr>
              <w:t>a</w:t>
            </w:r>
            <w:r w:rsidRPr="003D3B49">
              <w:rPr>
                <w:rFonts w:cs="Arial"/>
                <w:sz w:val="14"/>
                <w:szCs w:val="14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1D9450C1" w14:textId="5468CF3B" w:rsidR="0028115D" w:rsidRDefault="0028115D" w:rsidP="00674B3E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5DEAC1CC" w14:textId="5EB844A9" w:rsidR="0028115D" w:rsidRPr="00942421" w:rsidRDefault="0028115D" w:rsidP="00674B3E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</w:t>
            </w:r>
          </w:p>
        </w:tc>
        <w:tc>
          <w:tcPr>
            <w:tcW w:w="1622" w:type="dxa"/>
            <w:vAlign w:val="center"/>
          </w:tcPr>
          <w:p w14:paraId="1219861B" w14:textId="2D0FC857" w:rsidR="0028115D" w:rsidRDefault="0028115D" w:rsidP="00674B3E">
            <w:pPr>
              <w:rPr>
                <w:rFonts w:cs="Arial"/>
                <w:sz w:val="14"/>
                <w:szCs w:val="14"/>
              </w:rPr>
            </w:pPr>
            <w:r w:rsidRPr="00850480">
              <w:rPr>
                <w:rFonts w:cs="Arial"/>
                <w:sz w:val="14"/>
                <w:szCs w:val="14"/>
                <w:lang w:val="es-BO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783A68DC" w14:textId="4BE779E7" w:rsidR="0028115D" w:rsidRPr="00942421" w:rsidRDefault="0028115D" w:rsidP="00674B3E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FE4331" w:rsidRPr="00942421" w14:paraId="03FBB6D5" w14:textId="77777777" w:rsidTr="007432A3">
        <w:trPr>
          <w:trHeight w:val="206"/>
          <w:jc w:val="center"/>
        </w:trPr>
        <w:tc>
          <w:tcPr>
            <w:tcW w:w="1255" w:type="dxa"/>
            <w:vMerge w:val="restart"/>
            <w:vAlign w:val="center"/>
          </w:tcPr>
          <w:p w14:paraId="2A51384D" w14:textId="77777777" w:rsidR="00FE4331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  <w:r w:rsidRPr="00042445">
              <w:rPr>
                <w:rFonts w:cs="Arial"/>
                <w:sz w:val="14"/>
                <w:szCs w:val="14"/>
              </w:rPr>
              <w:lastRenderedPageBreak/>
              <w:t>CTR</w:t>
            </w:r>
            <w:r>
              <w:rPr>
                <w:rFonts w:cs="Arial"/>
                <w:sz w:val="14"/>
                <w:szCs w:val="14"/>
              </w:rPr>
              <w:t>:</w:t>
            </w:r>
          </w:p>
          <w:p w14:paraId="08E99FDE" w14:textId="77777777" w:rsidR="00FE4331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</w:p>
          <w:p w14:paraId="743DCFF5" w14:textId="11EEE93E" w:rsidR="00FE4331" w:rsidRPr="00042445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  <w:r w:rsidRPr="00042445">
              <w:rPr>
                <w:rFonts w:cs="Arial"/>
                <w:sz w:val="14"/>
                <w:szCs w:val="14"/>
              </w:rPr>
              <w:t>Fortalecimiento</w:t>
            </w:r>
            <w:r>
              <w:rPr>
                <w:rFonts w:cs="Arial"/>
                <w:sz w:val="14"/>
                <w:szCs w:val="14"/>
              </w:rPr>
              <w:t xml:space="preserve"> de la MGCS</w:t>
            </w:r>
          </w:p>
        </w:tc>
        <w:tc>
          <w:tcPr>
            <w:tcW w:w="2610" w:type="dxa"/>
            <w:vAlign w:val="center"/>
          </w:tcPr>
          <w:p w14:paraId="025FD707" w14:textId="1891D8D7" w:rsidR="00FE4331" w:rsidRDefault="00FE4331" w:rsidP="00FE4331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Direcciones municipales de planificación equipadas</w:t>
            </w:r>
          </w:p>
        </w:tc>
        <w:tc>
          <w:tcPr>
            <w:tcW w:w="810" w:type="dxa"/>
            <w:vAlign w:val="center"/>
          </w:tcPr>
          <w:p w14:paraId="31C8E61C" w14:textId="776E9D64" w:rsidR="00FE4331" w:rsidRDefault="00FE4331" w:rsidP="00FE4331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Resultado / adición</w:t>
            </w:r>
          </w:p>
        </w:tc>
        <w:tc>
          <w:tcPr>
            <w:tcW w:w="3328" w:type="dxa"/>
            <w:vAlign w:val="center"/>
          </w:tcPr>
          <w:p w14:paraId="03308D5B" w14:textId="37F48EFE" w:rsidR="00FE4331" w:rsidRDefault="00FE4331" w:rsidP="00FE4331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Para iniciar la ejecución del componente de CTR del Programa, y al haberse acordado la definición de nuevos productos, se consideró pertinente definir indicadores de resultado.</w:t>
            </w:r>
          </w:p>
        </w:tc>
        <w:tc>
          <w:tcPr>
            <w:tcW w:w="1622" w:type="dxa"/>
            <w:vAlign w:val="center"/>
          </w:tcPr>
          <w:p w14:paraId="78AB839E" w14:textId="4C1F23EF" w:rsidR="00FE4331" w:rsidRPr="007D59D9" w:rsidRDefault="00FE4331" w:rsidP="00FE4331">
            <w:pPr>
              <w:rPr>
                <w:rFonts w:cs="Arial"/>
                <w:sz w:val="14"/>
                <w:szCs w:val="14"/>
                <w:lang w:val="es-BO"/>
              </w:rPr>
            </w:pPr>
            <w:r w:rsidRPr="00850480">
              <w:rPr>
                <w:rFonts w:cs="Arial"/>
                <w:sz w:val="14"/>
                <w:szCs w:val="14"/>
                <w:lang w:val="es-BO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66E54101" w14:textId="61B27644" w:rsidR="00FE4331" w:rsidRPr="00942421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FE4331" w:rsidRPr="00942421" w14:paraId="2444AA26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41490BC3" w14:textId="77777777" w:rsidR="00FE4331" w:rsidRPr="00042445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2A550338" w14:textId="6EC301BC" w:rsidR="00FE4331" w:rsidRPr="007D59D9" w:rsidRDefault="00FE4331" w:rsidP="00FE4331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Estudios de preinversión elaborados</w:t>
            </w:r>
          </w:p>
        </w:tc>
        <w:tc>
          <w:tcPr>
            <w:tcW w:w="810" w:type="dxa"/>
            <w:vAlign w:val="center"/>
          </w:tcPr>
          <w:p w14:paraId="1A694AD8" w14:textId="6F8E81D8" w:rsidR="00FE4331" w:rsidRDefault="00FE4331" w:rsidP="00FE4331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Resultado / adición</w:t>
            </w:r>
          </w:p>
        </w:tc>
        <w:tc>
          <w:tcPr>
            <w:tcW w:w="3328" w:type="dxa"/>
            <w:vAlign w:val="center"/>
          </w:tcPr>
          <w:p w14:paraId="54690F98" w14:textId="4D2DCD12" w:rsidR="00FE4331" w:rsidRDefault="00FE4331" w:rsidP="00FE4331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Para iniciar la ejecución del componente de CTR del Programa, y al haberse acordado la definición de nuevos productos, se consideró pertinente definir indicadores de resultado.</w:t>
            </w:r>
          </w:p>
        </w:tc>
        <w:tc>
          <w:tcPr>
            <w:tcW w:w="1622" w:type="dxa"/>
            <w:vAlign w:val="center"/>
          </w:tcPr>
          <w:p w14:paraId="5D880CDD" w14:textId="167004DE" w:rsidR="00FE4331" w:rsidRPr="00850480" w:rsidRDefault="00FE4331" w:rsidP="00FE4331">
            <w:pPr>
              <w:rPr>
                <w:rFonts w:cs="Arial"/>
                <w:sz w:val="14"/>
                <w:szCs w:val="14"/>
                <w:lang w:val="es-BO"/>
              </w:rPr>
            </w:pPr>
            <w:r w:rsidRPr="00850480">
              <w:rPr>
                <w:rFonts w:cs="Arial"/>
                <w:sz w:val="14"/>
                <w:szCs w:val="14"/>
                <w:lang w:val="es-BO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47626189" w14:textId="62777D48" w:rsidR="00FE4331" w:rsidRPr="00942421" w:rsidRDefault="00FE4331" w:rsidP="00FE4331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7E5162" w:rsidRPr="00942421" w14:paraId="58E5E2DB" w14:textId="77777777" w:rsidTr="007432A3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479D56A6" w14:textId="77777777" w:rsidR="007E5162" w:rsidRPr="00042445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7A11F49E" w14:textId="70D78B42" w:rsidR="007E5162" w:rsidRPr="007D59D9" w:rsidRDefault="007E5162" w:rsidP="007E5162">
            <w:pPr>
              <w:rPr>
                <w:rFonts w:cs="Arial"/>
                <w:sz w:val="14"/>
                <w:szCs w:val="14"/>
              </w:rPr>
            </w:pPr>
            <w:r w:rsidRPr="007D59D9">
              <w:rPr>
                <w:rFonts w:cs="Arial"/>
                <w:sz w:val="14"/>
                <w:szCs w:val="14"/>
              </w:rPr>
              <w:t>Técnicos municipales capacitados en fortalecimiento fiscal, financiero y tarifario por la Dirección de Asistencia a la Administración Financiera Municipal (DAAFM)</w:t>
            </w:r>
          </w:p>
        </w:tc>
        <w:tc>
          <w:tcPr>
            <w:tcW w:w="810" w:type="dxa"/>
            <w:vAlign w:val="center"/>
          </w:tcPr>
          <w:p w14:paraId="1DE25B32" w14:textId="180666C7" w:rsidR="007E5162" w:rsidRDefault="007E5162" w:rsidP="007E5162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0FD14224" w14:textId="48A1A740" w:rsidR="007E5162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Para iniciar la ejecución del componente de CTR del Programa, se consideró pertinente especificar con más detalle los productos a lograr. Se definió sustituir el producto por capacitación a nivel de maestría.</w:t>
            </w:r>
          </w:p>
        </w:tc>
        <w:tc>
          <w:tcPr>
            <w:tcW w:w="1622" w:type="dxa"/>
            <w:vAlign w:val="center"/>
          </w:tcPr>
          <w:p w14:paraId="69E322A9" w14:textId="7C9A1C9C" w:rsidR="007E5162" w:rsidRPr="00850480" w:rsidRDefault="007E5162" w:rsidP="007E5162">
            <w:pPr>
              <w:rPr>
                <w:rFonts w:cs="Arial"/>
                <w:sz w:val="14"/>
                <w:szCs w:val="14"/>
                <w:lang w:val="es-BO"/>
              </w:rPr>
            </w:pPr>
            <w:r w:rsidRPr="00850480">
              <w:rPr>
                <w:rFonts w:cs="Arial"/>
                <w:sz w:val="14"/>
                <w:szCs w:val="14"/>
                <w:lang w:val="es-BO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49B5A774" w14:textId="3F488F1F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7E5162" w:rsidRPr="00942421" w14:paraId="4B463D03" w14:textId="77777777" w:rsidTr="00062544">
        <w:trPr>
          <w:trHeight w:val="206"/>
          <w:jc w:val="center"/>
        </w:trPr>
        <w:tc>
          <w:tcPr>
            <w:tcW w:w="1255" w:type="dxa"/>
            <w:vMerge/>
            <w:vAlign w:val="center"/>
          </w:tcPr>
          <w:p w14:paraId="59E749B8" w14:textId="266FCE7C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190408EA" w14:textId="3BD26E72" w:rsidR="007E5162" w:rsidRPr="002704B3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MGCS graduados de la Maestría sobre Finanzas Municipales</w:t>
            </w:r>
          </w:p>
        </w:tc>
        <w:tc>
          <w:tcPr>
            <w:tcW w:w="810" w:type="dxa"/>
            <w:vAlign w:val="center"/>
          </w:tcPr>
          <w:p w14:paraId="4AD6B028" w14:textId="4350781C" w:rsidR="007E5162" w:rsidRPr="00942421" w:rsidRDefault="007E5162" w:rsidP="007E5162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2930BC62" w14:textId="06931A55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Para iniciar la ejecución del componente de CTR del Programa, se consideró pertinente especificar con más detalle los productos a lograr </w:t>
            </w:r>
          </w:p>
        </w:tc>
        <w:tc>
          <w:tcPr>
            <w:tcW w:w="1622" w:type="dxa"/>
            <w:vAlign w:val="center"/>
          </w:tcPr>
          <w:p w14:paraId="4DB7CAE0" w14:textId="0396154A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1EEED3F6" w14:textId="241FF337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  <w:r w:rsidRPr="00942421">
              <w:rPr>
                <w:rFonts w:cs="Arial"/>
                <w:sz w:val="14"/>
                <w:szCs w:val="14"/>
              </w:rPr>
              <w:t>Mayo / 201</w:t>
            </w:r>
            <w:r>
              <w:rPr>
                <w:rFonts w:cs="Arial"/>
                <w:sz w:val="14"/>
                <w:szCs w:val="14"/>
              </w:rPr>
              <w:t>5</w:t>
            </w:r>
          </w:p>
        </w:tc>
      </w:tr>
      <w:tr w:rsidR="007E5162" w:rsidRPr="00942421" w14:paraId="463CC058" w14:textId="77777777" w:rsidTr="00062544">
        <w:trPr>
          <w:trHeight w:val="206"/>
          <w:jc w:val="center"/>
        </w:trPr>
        <w:tc>
          <w:tcPr>
            <w:tcW w:w="1255" w:type="dxa"/>
            <w:vMerge/>
          </w:tcPr>
          <w:p w14:paraId="712805F7" w14:textId="0D157FCC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2779D310" w14:textId="0D6A8C9F" w:rsidR="007E5162" w:rsidRPr="002704B3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MGCS graduados de la Maestría sobre Finanzas Municipales</w:t>
            </w:r>
          </w:p>
        </w:tc>
        <w:tc>
          <w:tcPr>
            <w:tcW w:w="810" w:type="dxa"/>
            <w:vAlign w:val="center"/>
          </w:tcPr>
          <w:p w14:paraId="07A2C9E2" w14:textId="66CFB981" w:rsidR="007E5162" w:rsidRPr="00942421" w:rsidRDefault="007E5162" w:rsidP="007E5162">
            <w:pPr>
              <w:ind w:left="-107" w:right="-11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Inactivación</w:t>
            </w:r>
          </w:p>
        </w:tc>
        <w:tc>
          <w:tcPr>
            <w:tcW w:w="3328" w:type="dxa"/>
            <w:vAlign w:val="center"/>
          </w:tcPr>
          <w:p w14:paraId="0B279801" w14:textId="4ECBA8DD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 w:rsidRPr="003D3B49">
              <w:rPr>
                <w:rFonts w:cs="Arial"/>
                <w:sz w:val="14"/>
                <w:szCs w:val="14"/>
                <w:lang w:val="es-BO"/>
              </w:rPr>
              <w:t>A mediados de 2016 se había</w:t>
            </w:r>
            <w:r>
              <w:rPr>
                <w:rFonts w:cs="Arial"/>
                <w:sz w:val="14"/>
                <w:szCs w:val="14"/>
                <w:lang w:val="es-BO"/>
              </w:rPr>
              <w:t>n observado retrasos en la organización, lo cual impedía materialmente contar con tiempo suficiente para que se imparta un curso a nivel de maestría</w:t>
            </w:r>
          </w:p>
        </w:tc>
        <w:tc>
          <w:tcPr>
            <w:tcW w:w="1622" w:type="dxa"/>
            <w:vAlign w:val="center"/>
          </w:tcPr>
          <w:p w14:paraId="08FF1AFC" w14:textId="4680E13A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3DBAE700" w14:textId="1E1FE712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/ 2016</w:t>
            </w:r>
          </w:p>
        </w:tc>
      </w:tr>
      <w:tr w:rsidR="007E5162" w:rsidRPr="00942421" w14:paraId="00319A26" w14:textId="77777777" w:rsidTr="00062544">
        <w:trPr>
          <w:trHeight w:val="206"/>
          <w:jc w:val="center"/>
        </w:trPr>
        <w:tc>
          <w:tcPr>
            <w:tcW w:w="1255" w:type="dxa"/>
            <w:vMerge/>
          </w:tcPr>
          <w:p w14:paraId="610B7D7E" w14:textId="0CD461D8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10DA34CD" w14:textId="20506F92" w:rsidR="007E5162" w:rsidRPr="002704B3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Funcionarios de la MGCS graduados del Diplomado sobre Finanzas Municipales</w:t>
            </w:r>
          </w:p>
        </w:tc>
        <w:tc>
          <w:tcPr>
            <w:tcW w:w="810" w:type="dxa"/>
            <w:vAlign w:val="center"/>
          </w:tcPr>
          <w:p w14:paraId="1E2850C6" w14:textId="41FB0234" w:rsidR="007E5162" w:rsidRPr="00942421" w:rsidRDefault="007E5162" w:rsidP="007E5162">
            <w:pPr>
              <w:ind w:left="-107" w:right="-3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0BAF8D88" w14:textId="6ADEDB3A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lang w:val="es-BO"/>
              </w:rPr>
              <w:t>Se decidió organizar la ejecución de un curso a nivel de diplomado, en sustitución de la maestría</w:t>
            </w:r>
          </w:p>
        </w:tc>
        <w:tc>
          <w:tcPr>
            <w:tcW w:w="1622" w:type="dxa"/>
            <w:vAlign w:val="center"/>
          </w:tcPr>
          <w:p w14:paraId="68D54676" w14:textId="719037D0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Oficio del Ministro de Finanzas Públicas.</w:t>
            </w:r>
          </w:p>
        </w:tc>
        <w:tc>
          <w:tcPr>
            <w:tcW w:w="900" w:type="dxa"/>
            <w:vAlign w:val="center"/>
          </w:tcPr>
          <w:p w14:paraId="58FD1593" w14:textId="215B06D3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Junio / 2016</w:t>
            </w:r>
          </w:p>
        </w:tc>
      </w:tr>
      <w:tr w:rsidR="007E5162" w:rsidRPr="00942421" w14:paraId="4471C3E7" w14:textId="77777777" w:rsidTr="00062544">
        <w:trPr>
          <w:trHeight w:val="206"/>
          <w:jc w:val="center"/>
        </w:trPr>
        <w:tc>
          <w:tcPr>
            <w:tcW w:w="1255" w:type="dxa"/>
            <w:vMerge/>
          </w:tcPr>
          <w:p w14:paraId="614A46CF" w14:textId="4ABA5FCE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2610" w:type="dxa"/>
            <w:vAlign w:val="center"/>
          </w:tcPr>
          <w:p w14:paraId="798B6BD5" w14:textId="05B32A4B" w:rsidR="007E5162" w:rsidRPr="002704B3" w:rsidRDefault="0028115D" w:rsidP="007E5162">
            <w:pPr>
              <w:rPr>
                <w:rFonts w:cs="Arial"/>
                <w:sz w:val="14"/>
                <w:szCs w:val="14"/>
              </w:rPr>
            </w:pPr>
            <w:hyperlink r:id="rId5" w:history="1">
              <w:r w:rsidR="007E5162" w:rsidRPr="00B340CE">
                <w:rPr>
                  <w:rFonts w:cs="Arial"/>
                  <w:sz w:val="14"/>
                  <w:szCs w:val="14"/>
                </w:rPr>
                <w:t>MGS c</w:t>
              </w:r>
              <w:bookmarkStart w:id="6" w:name="_GoBack"/>
              <w:bookmarkEnd w:id="6"/>
              <w:r w:rsidR="007E5162" w:rsidRPr="00B340CE">
                <w:rPr>
                  <w:rFonts w:cs="Arial"/>
                  <w:sz w:val="14"/>
                  <w:szCs w:val="14"/>
                </w:rPr>
                <w:t>on equipo de monitoreo de la calidad del agua en funcionamiento</w:t>
              </w:r>
            </w:hyperlink>
          </w:p>
        </w:tc>
        <w:tc>
          <w:tcPr>
            <w:tcW w:w="810" w:type="dxa"/>
            <w:vAlign w:val="center"/>
          </w:tcPr>
          <w:p w14:paraId="74B4B526" w14:textId="1D94F453" w:rsidR="007E5162" w:rsidRPr="00942421" w:rsidRDefault="007E5162" w:rsidP="007E5162">
            <w:pPr>
              <w:ind w:left="-107" w:right="-3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Producto / Adición</w:t>
            </w:r>
          </w:p>
        </w:tc>
        <w:tc>
          <w:tcPr>
            <w:tcW w:w="3328" w:type="dxa"/>
            <w:vAlign w:val="center"/>
          </w:tcPr>
          <w:p w14:paraId="53966CDD" w14:textId="72FE0F0C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Debido a la liberación de recursos asociada a la imposibilidad de elaborar un estudio a nivel de factibilidad para el mantenimiento de los ríos Pinula y Platanitos; se decidió reasignar los recursos a este equipamiento.</w:t>
            </w:r>
          </w:p>
        </w:tc>
        <w:tc>
          <w:tcPr>
            <w:tcW w:w="1622" w:type="dxa"/>
            <w:vAlign w:val="center"/>
          </w:tcPr>
          <w:p w14:paraId="4CDB3014" w14:textId="36B3DDE0" w:rsidR="007E5162" w:rsidRPr="00942421" w:rsidRDefault="007E5162" w:rsidP="007E5162">
            <w:pPr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Acta de la reunión de revisión conjunta de cartera entre el MINFIN y el Banco.</w:t>
            </w:r>
          </w:p>
        </w:tc>
        <w:tc>
          <w:tcPr>
            <w:tcW w:w="900" w:type="dxa"/>
            <w:vAlign w:val="center"/>
          </w:tcPr>
          <w:p w14:paraId="0FD04849" w14:textId="104667BE" w:rsidR="007E5162" w:rsidRPr="00942421" w:rsidRDefault="007E5162" w:rsidP="007E5162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Noviembre / 2016</w:t>
            </w:r>
          </w:p>
        </w:tc>
      </w:tr>
    </w:tbl>
    <w:p w14:paraId="5954DE6C" w14:textId="77777777" w:rsidR="002704B3" w:rsidRDefault="002704B3"/>
    <w:sectPr w:rsidR="00270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D726A"/>
    <w:multiLevelType w:val="hybridMultilevel"/>
    <w:tmpl w:val="112E66FA"/>
    <w:lvl w:ilvl="0" w:tplc="04090019">
      <w:start w:val="1"/>
      <w:numFmt w:val="lowerLetter"/>
      <w:pStyle w:val="Heading3"/>
      <w:lvlText w:val="%1."/>
      <w:lvlJc w:val="left"/>
      <w:pPr>
        <w:ind w:left="1800" w:hanging="360"/>
      </w:pPr>
      <w:rPr>
        <w:rFonts w:hint="default"/>
        <w:vanish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" w15:restartNumberingAfterBreak="0">
    <w:nsid w:val="6E726522"/>
    <w:multiLevelType w:val="hybridMultilevel"/>
    <w:tmpl w:val="6582CB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10BFF"/>
    <w:multiLevelType w:val="hybridMultilevel"/>
    <w:tmpl w:val="73784752"/>
    <w:lvl w:ilvl="0" w:tplc="B1EC6098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C0"/>
    <w:rsid w:val="00014058"/>
    <w:rsid w:val="00062544"/>
    <w:rsid w:val="000D7ED0"/>
    <w:rsid w:val="001339D5"/>
    <w:rsid w:val="00134D20"/>
    <w:rsid w:val="00215314"/>
    <w:rsid w:val="00245A23"/>
    <w:rsid w:val="002704B3"/>
    <w:rsid w:val="0028115D"/>
    <w:rsid w:val="002E5CC1"/>
    <w:rsid w:val="00330785"/>
    <w:rsid w:val="00396AD0"/>
    <w:rsid w:val="003C1015"/>
    <w:rsid w:val="003C189F"/>
    <w:rsid w:val="003C4DB2"/>
    <w:rsid w:val="003D3B49"/>
    <w:rsid w:val="00507E38"/>
    <w:rsid w:val="00611A87"/>
    <w:rsid w:val="00616321"/>
    <w:rsid w:val="00674B3E"/>
    <w:rsid w:val="006A0CD3"/>
    <w:rsid w:val="007432A3"/>
    <w:rsid w:val="00775036"/>
    <w:rsid w:val="00793503"/>
    <w:rsid w:val="007D59D9"/>
    <w:rsid w:val="007E5162"/>
    <w:rsid w:val="00804610"/>
    <w:rsid w:val="00843DE3"/>
    <w:rsid w:val="008F725C"/>
    <w:rsid w:val="009E10C0"/>
    <w:rsid w:val="009E3F2F"/>
    <w:rsid w:val="00AA3E75"/>
    <w:rsid w:val="00AD65E9"/>
    <w:rsid w:val="00B340CE"/>
    <w:rsid w:val="00D34182"/>
    <w:rsid w:val="00D84438"/>
    <w:rsid w:val="00E87CC6"/>
    <w:rsid w:val="00F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3B84"/>
  <w15:chartTrackingRefBased/>
  <w15:docId w15:val="{B98EF3FE-6F89-4662-A472-A9A82816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10C0"/>
    <w:pPr>
      <w:spacing w:after="0" w:line="240" w:lineRule="auto"/>
    </w:pPr>
    <w:rPr>
      <w:rFonts w:ascii="Arial" w:hAnsi="Arial"/>
      <w:lang w:val="es-ES_tradn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10C0"/>
    <w:pPr>
      <w:keepNext/>
      <w:keepLines/>
      <w:numPr>
        <w:numId w:val="1"/>
      </w:numPr>
      <w:spacing w:before="200"/>
      <w:outlineLvl w:val="2"/>
    </w:pPr>
    <w:rPr>
      <w:rFonts w:eastAsiaTheme="majorEastAs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10C0"/>
    <w:rPr>
      <w:rFonts w:ascii="Arial" w:eastAsiaTheme="majorEastAsia" w:hAnsi="Arial" w:cs="Arial"/>
      <w:b/>
      <w:bCs/>
      <w:szCs w:val="26"/>
      <w:lang w:val="es-ES_tradnl"/>
    </w:rPr>
  </w:style>
  <w:style w:type="paragraph" w:styleId="ListParagraph">
    <w:name w:val="List Paragraph"/>
    <w:basedOn w:val="Normal"/>
    <w:link w:val="ListParagraphChar"/>
    <w:uiPriority w:val="99"/>
    <w:qFormat/>
    <w:rsid w:val="009E10C0"/>
    <w:pPr>
      <w:ind w:left="720"/>
      <w:contextualSpacing/>
    </w:pPr>
  </w:style>
  <w:style w:type="character" w:customStyle="1" w:styleId="DefaultChar">
    <w:name w:val="Default Char"/>
    <w:basedOn w:val="DefaultParagraphFont"/>
    <w:link w:val="Default"/>
    <w:locked/>
    <w:rsid w:val="009E10C0"/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Default">
    <w:name w:val="Default"/>
    <w:link w:val="DefaultChar"/>
    <w:rsid w:val="009E10C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E1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E10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0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0C0"/>
    <w:rPr>
      <w:rFonts w:ascii="Arial" w:hAnsi="Arial"/>
      <w:sz w:val="20"/>
      <w:szCs w:val="20"/>
      <w:lang w:val="es-ES_tradnl"/>
    </w:rPr>
  </w:style>
  <w:style w:type="character" w:customStyle="1" w:styleId="ListParagraphChar">
    <w:name w:val="List Paragraph Char"/>
    <w:link w:val="ListParagraph"/>
    <w:uiPriority w:val="99"/>
    <w:locked/>
    <w:rsid w:val="009E10C0"/>
    <w:rPr>
      <w:rFonts w:ascii="Arial" w:hAnsi="Arial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0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C0"/>
    <w:rPr>
      <w:rFonts w:ascii="Segoe UI" w:hAnsi="Segoe UI" w:cs="Segoe UI"/>
      <w:sz w:val="18"/>
      <w:szCs w:val="18"/>
      <w:lang w:val="es-ES_tradnl"/>
    </w:rPr>
  </w:style>
  <w:style w:type="character" w:styleId="Hyperlink">
    <w:name w:val="Hyperlink"/>
    <w:basedOn w:val="DefaultParagraphFont"/>
    <w:uiPriority w:val="99"/>
    <w:semiHidden/>
    <w:unhideWhenUsed/>
    <w:rsid w:val="00B34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IADB</dc:creator>
  <cp:keywords/>
  <dc:description/>
  <cp:lastModifiedBy>IADB</cp:lastModifiedBy>
  <cp:revision>6</cp:revision>
  <dcterms:created xsi:type="dcterms:W3CDTF">2018-08-31T23:02:00Z</dcterms:created>
  <dcterms:modified xsi:type="dcterms:W3CDTF">2018-11-01T23:00:00Z</dcterms:modified>
</cp:coreProperties>
</file>