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3393C" w14:textId="03D5725C" w:rsidR="003C28EA" w:rsidRPr="00223308" w:rsidRDefault="0002555C" w:rsidP="00CB6D79">
      <w:pPr>
        <w:jc w:val="center"/>
        <w:rPr>
          <w:rFonts w:asciiTheme="minorHAnsi" w:hAnsiTheme="minorHAnsi" w:cstheme="minorHAnsi"/>
          <w:b/>
          <w:sz w:val="28"/>
          <w:szCs w:val="28"/>
          <w:lang w:val="es-BO"/>
        </w:rPr>
      </w:pPr>
      <w:r w:rsidRPr="00223308">
        <w:rPr>
          <w:rFonts w:asciiTheme="minorHAnsi" w:hAnsiTheme="minorHAnsi" w:cstheme="minorHAnsi"/>
          <w:b/>
          <w:sz w:val="28"/>
          <w:szCs w:val="28"/>
          <w:lang w:val="es-BO"/>
        </w:rPr>
        <w:t>Análisis de Lógica vertical</w:t>
      </w:r>
    </w:p>
    <w:p w14:paraId="5DFB250E" w14:textId="2896785F" w:rsidR="00B35662" w:rsidRDefault="0002555C" w:rsidP="00CB6D79">
      <w:pPr>
        <w:jc w:val="center"/>
        <w:rPr>
          <w:rFonts w:asciiTheme="minorHAnsi" w:hAnsiTheme="minorHAnsi" w:cstheme="minorHAnsi"/>
          <w:b/>
          <w:sz w:val="28"/>
          <w:szCs w:val="28"/>
          <w:lang w:val="es-BO"/>
        </w:rPr>
      </w:pPr>
      <w:r w:rsidRPr="00223308">
        <w:rPr>
          <w:rFonts w:asciiTheme="minorHAnsi" w:hAnsiTheme="minorHAnsi" w:cstheme="minorHAnsi"/>
          <w:b/>
          <w:sz w:val="28"/>
          <w:szCs w:val="28"/>
          <w:lang w:val="es-BO"/>
        </w:rPr>
        <w:t xml:space="preserve"> </w:t>
      </w:r>
      <w:r w:rsidR="00B35662" w:rsidRPr="00223308">
        <w:rPr>
          <w:rFonts w:asciiTheme="minorHAnsi" w:hAnsiTheme="minorHAnsi" w:cstheme="minorHAnsi"/>
          <w:b/>
          <w:sz w:val="28"/>
          <w:szCs w:val="28"/>
          <w:lang w:val="es-BO"/>
        </w:rPr>
        <w:t>(Rela</w:t>
      </w:r>
      <w:r w:rsidRPr="00223308">
        <w:rPr>
          <w:rFonts w:asciiTheme="minorHAnsi" w:hAnsiTheme="minorHAnsi" w:cstheme="minorHAnsi"/>
          <w:b/>
          <w:sz w:val="28"/>
          <w:szCs w:val="28"/>
          <w:lang w:val="es-BO"/>
        </w:rPr>
        <w:t>ción entre problemas, impactos, resultados y productos</w:t>
      </w:r>
      <w:r w:rsidR="00B35662" w:rsidRPr="00223308">
        <w:rPr>
          <w:rFonts w:asciiTheme="minorHAnsi" w:hAnsiTheme="minorHAnsi" w:cstheme="minorHAnsi"/>
          <w:b/>
          <w:sz w:val="28"/>
          <w:szCs w:val="28"/>
          <w:lang w:val="es-BO"/>
        </w:rPr>
        <w:t>)</w:t>
      </w:r>
    </w:p>
    <w:p w14:paraId="2F94AB94" w14:textId="75872926" w:rsidR="004B617F" w:rsidRDefault="004B617F" w:rsidP="00CB6D79">
      <w:pPr>
        <w:jc w:val="center"/>
        <w:rPr>
          <w:rFonts w:asciiTheme="minorHAnsi" w:hAnsiTheme="minorHAnsi" w:cstheme="minorHAnsi"/>
          <w:b/>
          <w:sz w:val="28"/>
          <w:szCs w:val="28"/>
          <w:lang w:val="es-BO"/>
        </w:rPr>
      </w:pPr>
    </w:p>
    <w:tbl>
      <w:tblPr>
        <w:tblStyle w:val="TableGrid"/>
        <w:tblW w:w="14310" w:type="dxa"/>
        <w:tblInd w:w="-545" w:type="dxa"/>
        <w:tblLook w:val="04A0" w:firstRow="1" w:lastRow="0" w:firstColumn="1" w:lastColumn="0" w:noHBand="0" w:noVBand="1"/>
      </w:tblPr>
      <w:tblGrid>
        <w:gridCol w:w="4675"/>
        <w:gridCol w:w="3875"/>
        <w:gridCol w:w="5760"/>
      </w:tblGrid>
      <w:tr w:rsidR="004B617F" w14:paraId="56A5AAEF" w14:textId="77777777" w:rsidTr="0020716B">
        <w:trPr>
          <w:trHeight w:val="332"/>
        </w:trPr>
        <w:tc>
          <w:tcPr>
            <w:tcW w:w="4675" w:type="dxa"/>
            <w:shd w:val="clear" w:color="auto" w:fill="D5DCE4" w:themeFill="text2" w:themeFillTint="33"/>
          </w:tcPr>
          <w:p w14:paraId="4BC897D6" w14:textId="41F72996" w:rsidR="004B617F" w:rsidRPr="004B617F" w:rsidRDefault="004B617F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4B617F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Problema diagnosticado</w:t>
            </w:r>
            <w:r w:rsidRPr="004B617F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footnoteReference w:id="1"/>
            </w:r>
          </w:p>
        </w:tc>
        <w:tc>
          <w:tcPr>
            <w:tcW w:w="3875" w:type="dxa"/>
            <w:shd w:val="clear" w:color="auto" w:fill="D5DCE4" w:themeFill="text2" w:themeFillTint="33"/>
          </w:tcPr>
          <w:p w14:paraId="6975BB91" w14:textId="591C000D" w:rsidR="004B617F" w:rsidRPr="004B617F" w:rsidRDefault="004B617F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4B617F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Objetivo del Programa</w:t>
            </w:r>
          </w:p>
        </w:tc>
        <w:tc>
          <w:tcPr>
            <w:tcW w:w="5760" w:type="dxa"/>
            <w:shd w:val="clear" w:color="auto" w:fill="D5DCE4" w:themeFill="text2" w:themeFillTint="33"/>
          </w:tcPr>
          <w:p w14:paraId="64A986CF" w14:textId="1CA73CF2" w:rsidR="004B617F" w:rsidRPr="004B617F" w:rsidRDefault="004B617F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4B617F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Correspondencia</w:t>
            </w:r>
          </w:p>
        </w:tc>
      </w:tr>
      <w:tr w:rsidR="004B617F" w:rsidRPr="00227068" w14:paraId="642B2617" w14:textId="77777777" w:rsidTr="00C40B78">
        <w:tc>
          <w:tcPr>
            <w:tcW w:w="4675" w:type="dxa"/>
          </w:tcPr>
          <w:p w14:paraId="2C9B76B5" w14:textId="5387C08A" w:rsidR="004B617F" w:rsidRPr="004B617F" w:rsidRDefault="004B617F" w:rsidP="0050582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(i) </w:t>
            </w:r>
            <w:r w:rsidR="00F5725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B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ajos ingresos tributarios y susceptibles a choques internacionales; (ii) poca capacidad institucional y de articulación entre el </w:t>
            </w:r>
            <w:r w:rsidR="0050582D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Ministerio de Finanzas Públicas (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MINFIN</w:t>
            </w:r>
            <w:r w:rsidR="0050582D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)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y la </w:t>
            </w:r>
            <w:r w:rsidR="0050582D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Superintendencia de Administración Tributaria (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SAT</w:t>
            </w:r>
            <w:r w:rsidR="0050582D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)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; (iii) leyes y normas presupuestarias rígidas que han impedido el mejor uso y focalización del gasto; (iv) un proceso de descentralización fiscal débil, que entre otros impide el registro y monitoreo del endeudamiento municipal; y</w:t>
            </w:r>
            <w:r w:rsidR="0050582D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(v) baja capacidad municipal en la provisión de servicios públicos.</w:t>
            </w:r>
          </w:p>
        </w:tc>
        <w:tc>
          <w:tcPr>
            <w:tcW w:w="3875" w:type="dxa"/>
          </w:tcPr>
          <w:p w14:paraId="3FE39988" w14:textId="77777777" w:rsidR="00EB16F8" w:rsidRDefault="00EB16F8" w:rsidP="004B6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EB16F8">
              <w:rPr>
                <w:rFonts w:asciiTheme="minorHAnsi" w:hAnsiTheme="minorHAnsi" w:cstheme="minorHAnsi"/>
                <w:sz w:val="20"/>
                <w:szCs w:val="20"/>
                <w:u w:val="single"/>
                <w:lang w:val="es-BO"/>
              </w:rPr>
              <w:t>Objetivo general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: </w:t>
            </w:r>
            <w:r w:rsidR="004B617F"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El objetivo de este programa es consolidar la sostenibilidad fiscal de Guatemala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.</w:t>
            </w:r>
          </w:p>
          <w:p w14:paraId="3DA411C8" w14:textId="77777777" w:rsidR="00EB16F8" w:rsidRDefault="00EB16F8" w:rsidP="004B6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  <w:p w14:paraId="156CD350" w14:textId="77777777" w:rsidR="00EB16F8" w:rsidRDefault="00EB16F8" w:rsidP="004B6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EB16F8">
              <w:rPr>
                <w:rFonts w:asciiTheme="minorHAnsi" w:hAnsiTheme="minorHAnsi" w:cstheme="minorHAnsi"/>
                <w:sz w:val="20"/>
                <w:szCs w:val="20"/>
                <w:u w:val="single"/>
                <w:lang w:val="es-BO"/>
              </w:rPr>
              <w:t>Objetivo específico 1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: I</w:t>
            </w:r>
            <w:r w:rsidR="004B617F"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ncremento de los ingresos fiscales</w:t>
            </w:r>
          </w:p>
          <w:p w14:paraId="3DF2EC66" w14:textId="77777777" w:rsidR="00EB16F8" w:rsidRDefault="00EB16F8" w:rsidP="004B6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EB16F8">
              <w:rPr>
                <w:rFonts w:asciiTheme="minorHAnsi" w:hAnsiTheme="minorHAnsi" w:cstheme="minorHAnsi"/>
                <w:sz w:val="20"/>
                <w:szCs w:val="20"/>
                <w:u w:val="single"/>
                <w:lang w:val="es-BO"/>
              </w:rPr>
              <w:t xml:space="preserve">Objetivo específico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  <w:lang w:val="es-BO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: F</w:t>
            </w:r>
            <w:r w:rsidR="004B617F"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ortalecimiento de los mecanismos de control del endeudamiento nacional y municipal</w:t>
            </w:r>
          </w:p>
          <w:p w14:paraId="5D28C447" w14:textId="2CC995F4" w:rsidR="004B617F" w:rsidRPr="004B617F" w:rsidRDefault="00EB16F8" w:rsidP="004B6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EB16F8">
              <w:rPr>
                <w:rFonts w:asciiTheme="minorHAnsi" w:hAnsiTheme="minorHAnsi" w:cstheme="minorHAnsi"/>
                <w:sz w:val="20"/>
                <w:szCs w:val="20"/>
                <w:u w:val="single"/>
                <w:lang w:val="es-BO"/>
              </w:rPr>
              <w:t xml:space="preserve">Objetivo específico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  <w:lang w:val="es-BO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: M</w:t>
            </w:r>
            <w:r w:rsidR="004B617F"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ejorar la calidad del gasto en un marco fiscal de mediano plazo.</w:t>
            </w:r>
          </w:p>
          <w:p w14:paraId="6325B619" w14:textId="77777777" w:rsidR="004B617F" w:rsidRPr="004B617F" w:rsidRDefault="004B617F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</w:p>
        </w:tc>
        <w:tc>
          <w:tcPr>
            <w:tcW w:w="5760" w:type="dxa"/>
          </w:tcPr>
          <w:p w14:paraId="7259A84B" w14:textId="73358CC2" w:rsidR="004B617F" w:rsidRPr="004B617F" w:rsidRDefault="004B617F" w:rsidP="004B6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Considerando que desde el Pacto Fiscal de 2008 Guatemala había registrado avances importantes en la mejora de sus finanzas públicas (proceso en el cual el banco tuvo un rol importante); se considera apropiado el enfoque que busca la consolidación de lo</w:t>
            </w:r>
            <w:r w:rsidR="00C3265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s avances 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ya logrado</w:t>
            </w:r>
            <w:r w:rsidR="00C3265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. </w:t>
            </w:r>
          </w:p>
          <w:p w14:paraId="5DD179AA" w14:textId="77777777" w:rsidR="004B617F" w:rsidRPr="004B617F" w:rsidRDefault="004B617F" w:rsidP="004B6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  <w:p w14:paraId="38C7CDB3" w14:textId="26E1B939" w:rsidR="004B617F" w:rsidRPr="004B617F" w:rsidRDefault="004B617F" w:rsidP="00F572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El objetivo general establecido para el Programa atiende de manera </w:t>
            </w:r>
            <w:r w:rsidR="00F5725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abarcadora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las diferentes aristas del problema </w:t>
            </w:r>
            <w:r w:rsidR="00CF1BC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identificado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.</w:t>
            </w:r>
          </w:p>
        </w:tc>
      </w:tr>
    </w:tbl>
    <w:p w14:paraId="1A1390FC" w14:textId="77777777" w:rsidR="00AE75C1" w:rsidRDefault="00AE75C1" w:rsidP="00F36B09">
      <w:pPr>
        <w:pStyle w:val="Heading4"/>
        <w:shd w:val="clear" w:color="auto" w:fill="FFFFFF"/>
        <w:spacing w:before="750" w:beforeAutospacing="0" w:after="48" w:afterAutospacing="0"/>
        <w:ind w:left="458"/>
        <w:textAlignment w:val="baseline"/>
        <w:rPr>
          <w:rFonts w:asciiTheme="minorHAnsi" w:hAnsiTheme="minorHAnsi" w:cstheme="minorHAnsi"/>
          <w:sz w:val="28"/>
          <w:szCs w:val="28"/>
          <w:lang w:val="es-BO"/>
        </w:rPr>
      </w:pPr>
    </w:p>
    <w:p w14:paraId="5437A8AC" w14:textId="77777777" w:rsidR="00AE75C1" w:rsidRDefault="00AE75C1">
      <w:pPr>
        <w:rPr>
          <w:rFonts w:asciiTheme="minorHAnsi" w:eastAsia="Times New Roman" w:hAnsiTheme="minorHAnsi" w:cstheme="minorHAnsi"/>
          <w:b/>
          <w:bCs/>
          <w:sz w:val="28"/>
          <w:szCs w:val="28"/>
          <w:lang w:val="es-BO"/>
        </w:rPr>
      </w:pPr>
      <w:r>
        <w:rPr>
          <w:rFonts w:asciiTheme="minorHAnsi" w:hAnsiTheme="minorHAnsi" w:cstheme="minorHAnsi"/>
          <w:sz w:val="28"/>
          <w:szCs w:val="28"/>
          <w:lang w:val="es-BO"/>
        </w:rPr>
        <w:br w:type="page"/>
      </w:r>
    </w:p>
    <w:p w14:paraId="78D263E3" w14:textId="12C41C44" w:rsidR="00F36B09" w:rsidRPr="00543EBD" w:rsidRDefault="00B521DF" w:rsidP="00512F92">
      <w:pPr>
        <w:pStyle w:val="Heading4"/>
        <w:shd w:val="clear" w:color="auto" w:fill="FFFFFF"/>
        <w:spacing w:before="0" w:beforeAutospacing="0" w:after="0" w:afterAutospacing="0"/>
        <w:ind w:left="461"/>
        <w:textAlignment w:val="baseline"/>
        <w:rPr>
          <w:rFonts w:asciiTheme="minorHAnsi" w:hAnsiTheme="minorHAnsi" w:cstheme="minorHAnsi"/>
          <w:sz w:val="28"/>
          <w:szCs w:val="28"/>
          <w:lang w:val="es-BO"/>
        </w:rPr>
      </w:pPr>
      <w:r w:rsidRPr="00543EBD">
        <w:rPr>
          <w:rFonts w:asciiTheme="minorHAnsi" w:hAnsiTheme="minorHAnsi" w:cstheme="minorHAnsi"/>
          <w:sz w:val="28"/>
          <w:szCs w:val="28"/>
          <w:lang w:val="es-BO"/>
        </w:rPr>
        <w:lastRenderedPageBreak/>
        <w:t>Impact</w:t>
      </w:r>
      <w:r w:rsidR="00B050EF" w:rsidRPr="00543EBD">
        <w:rPr>
          <w:rFonts w:asciiTheme="minorHAnsi" w:hAnsiTheme="minorHAnsi" w:cstheme="minorHAnsi"/>
          <w:b w:val="0"/>
          <w:sz w:val="28"/>
          <w:szCs w:val="28"/>
          <w:lang w:val="es-BO"/>
        </w:rPr>
        <w:t>o</w:t>
      </w:r>
      <w:r w:rsidRPr="00543EBD">
        <w:rPr>
          <w:rFonts w:asciiTheme="minorHAnsi" w:hAnsiTheme="minorHAnsi" w:cstheme="minorHAnsi"/>
          <w:sz w:val="28"/>
          <w:szCs w:val="28"/>
          <w:lang w:val="es-BO"/>
        </w:rPr>
        <w:t xml:space="preserve"> #1</w:t>
      </w:r>
      <w:r w:rsidR="00B050EF" w:rsidRPr="00543EBD">
        <w:rPr>
          <w:rFonts w:asciiTheme="minorHAnsi" w:hAnsiTheme="minorHAnsi" w:cstheme="minorHAnsi"/>
          <w:b w:val="0"/>
          <w:sz w:val="28"/>
          <w:szCs w:val="28"/>
          <w:lang w:val="es-BO"/>
        </w:rPr>
        <w:t xml:space="preserve">: </w:t>
      </w:r>
      <w:r w:rsidR="00F36B09" w:rsidRPr="00543EBD">
        <w:rPr>
          <w:rFonts w:asciiTheme="minorHAnsi" w:hAnsiTheme="minorHAnsi" w:cstheme="minorHAnsi"/>
          <w:sz w:val="28"/>
          <w:szCs w:val="28"/>
          <w:lang w:val="es-BO"/>
        </w:rPr>
        <w:t>Aumentar la capacidad de invertir en temas de infraestructura y lucha contra la pobreza</w:t>
      </w:r>
    </w:p>
    <w:p w14:paraId="38022EAA" w14:textId="7CAA837C" w:rsidR="00F66FFE" w:rsidRPr="00CA48F5" w:rsidRDefault="00543EBD" w:rsidP="00543EBD">
      <w:pPr>
        <w:pStyle w:val="Heading4"/>
        <w:shd w:val="clear" w:color="auto" w:fill="FFFFFF"/>
        <w:spacing w:before="0" w:beforeAutospacing="0" w:after="0" w:afterAutospacing="0"/>
        <w:ind w:left="461"/>
        <w:textAlignment w:val="baseline"/>
        <w:rPr>
          <w:rFonts w:asciiTheme="minorHAnsi" w:hAnsiTheme="minorHAnsi" w:cstheme="minorHAnsi"/>
          <w:b w:val="0"/>
          <w:lang w:val="es-BO"/>
        </w:rPr>
      </w:pPr>
      <w:r w:rsidRPr="00CA48F5">
        <w:rPr>
          <w:rFonts w:asciiTheme="minorHAnsi" w:hAnsiTheme="minorHAnsi" w:cstheme="minorHAnsi"/>
          <w:b w:val="0"/>
          <w:lang w:val="es-BO"/>
        </w:rPr>
        <w:t xml:space="preserve">Indicador de impacto: </w:t>
      </w:r>
      <w:hyperlink r:id="rId7" w:history="1">
        <w:r w:rsidRPr="00CA48F5">
          <w:rPr>
            <w:rFonts w:asciiTheme="minorHAnsi" w:hAnsiTheme="minorHAnsi" w:cstheme="minorHAnsi"/>
            <w:b w:val="0"/>
            <w:lang w:val="es-BO"/>
          </w:rPr>
          <w:t>Resultado fiscal del gobierno central</w:t>
        </w:r>
      </w:hyperlink>
      <w:r w:rsidR="00CA48F5" w:rsidRPr="00CA48F5">
        <w:rPr>
          <w:rFonts w:asciiTheme="minorHAnsi" w:hAnsiTheme="minorHAnsi" w:cstheme="minorHAnsi"/>
          <w:b w:val="0"/>
          <w:lang w:val="es-BO"/>
        </w:rPr>
        <w:t xml:space="preserve"> / PIB</w:t>
      </w:r>
    </w:p>
    <w:tbl>
      <w:tblPr>
        <w:tblStyle w:val="TableGrid"/>
        <w:tblW w:w="14313" w:type="dxa"/>
        <w:tblInd w:w="-545" w:type="dxa"/>
        <w:tblLook w:val="04A0" w:firstRow="1" w:lastRow="0" w:firstColumn="1" w:lastColumn="0" w:noHBand="0" w:noVBand="1"/>
      </w:tblPr>
      <w:tblGrid>
        <w:gridCol w:w="3150"/>
        <w:gridCol w:w="2160"/>
        <w:gridCol w:w="4320"/>
        <w:gridCol w:w="4683"/>
      </w:tblGrid>
      <w:tr w:rsidR="00C91E8C" w:rsidRPr="00543EBD" w14:paraId="28D71260" w14:textId="77777777" w:rsidTr="00543EBD">
        <w:trPr>
          <w:trHeight w:val="314"/>
          <w:tblHeader/>
        </w:trPr>
        <w:tc>
          <w:tcPr>
            <w:tcW w:w="3150" w:type="dxa"/>
            <w:shd w:val="pct5" w:color="D5DCE4" w:themeColor="text2" w:themeTint="33" w:fill="D5DCE4" w:themeFill="text2" w:themeFillTint="33"/>
          </w:tcPr>
          <w:p w14:paraId="46C50926" w14:textId="352F6C2F" w:rsidR="00C91E8C" w:rsidRPr="00543EBD" w:rsidRDefault="008E7D3C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543EBD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Situación diagnosticada</w:t>
            </w:r>
            <w:r w:rsidR="0049424E" w:rsidRPr="00543EBD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(Problemas de las finanzas públicas)</w:t>
            </w:r>
          </w:p>
        </w:tc>
        <w:tc>
          <w:tcPr>
            <w:tcW w:w="2160" w:type="dxa"/>
            <w:shd w:val="pct5" w:color="D5DCE4" w:themeColor="text2" w:themeTint="33" w:fill="D5DCE4" w:themeFill="text2" w:themeFillTint="33"/>
          </w:tcPr>
          <w:p w14:paraId="0FFCC508" w14:textId="5D917129" w:rsidR="00C91E8C" w:rsidRPr="00543EBD" w:rsidRDefault="00C91E8C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43EBD">
              <w:rPr>
                <w:rFonts w:asciiTheme="minorHAnsi" w:hAnsiTheme="minorHAnsi" w:cstheme="minorHAnsi"/>
                <w:b/>
                <w:sz w:val="20"/>
                <w:szCs w:val="20"/>
              </w:rPr>
              <w:t>Resultado</w:t>
            </w:r>
            <w:proofErr w:type="spellEnd"/>
            <w:r w:rsidR="00321FA8" w:rsidRPr="00543EBD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4320" w:type="dxa"/>
            <w:shd w:val="pct5" w:color="D5DCE4" w:themeColor="text2" w:themeTint="33" w:fill="D5DCE4" w:themeFill="text2" w:themeFillTint="33"/>
          </w:tcPr>
          <w:p w14:paraId="7FB68422" w14:textId="7779BA24" w:rsidR="00C91E8C" w:rsidRPr="00543EBD" w:rsidRDefault="00C91E8C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43EBD">
              <w:rPr>
                <w:rFonts w:asciiTheme="minorHAnsi" w:hAnsiTheme="minorHAnsi" w:cstheme="minorHAnsi"/>
                <w:b/>
                <w:sz w:val="20"/>
                <w:szCs w:val="20"/>
              </w:rPr>
              <w:t>Indicadores</w:t>
            </w:r>
            <w:proofErr w:type="spellEnd"/>
            <w:r w:rsidRPr="00543EB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543EBD">
              <w:rPr>
                <w:rFonts w:asciiTheme="minorHAnsi" w:hAnsiTheme="minorHAnsi" w:cstheme="minorHAnsi"/>
                <w:b/>
                <w:sz w:val="20"/>
                <w:szCs w:val="20"/>
              </w:rPr>
              <w:t>resultado</w:t>
            </w:r>
            <w:proofErr w:type="spellEnd"/>
            <w:r w:rsidRPr="00543EBD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  <w:r w:rsidR="00867D5C" w:rsidRPr="00543EB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67D5C" w:rsidRPr="00543EBD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</w:p>
        </w:tc>
        <w:tc>
          <w:tcPr>
            <w:tcW w:w="4683" w:type="dxa"/>
            <w:shd w:val="pct5" w:color="D5DCE4" w:themeColor="text2" w:themeTint="33" w:fill="D5DCE4" w:themeFill="text2" w:themeFillTint="33"/>
          </w:tcPr>
          <w:p w14:paraId="6F1F8FA8" w14:textId="2768EF71" w:rsidR="00C91E8C" w:rsidRPr="00543EBD" w:rsidRDefault="00C91E8C" w:rsidP="00CB6D7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43EBD">
              <w:rPr>
                <w:rFonts w:asciiTheme="minorHAnsi" w:hAnsiTheme="minorHAnsi" w:cstheme="minorHAnsi"/>
                <w:b/>
                <w:sz w:val="20"/>
                <w:szCs w:val="20"/>
              </w:rPr>
              <w:t>Productos</w:t>
            </w:r>
            <w:proofErr w:type="spellEnd"/>
            <w:r w:rsidRPr="00543EBD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</w:rPr>
              <w:footnoteReference w:id="5"/>
            </w:r>
          </w:p>
        </w:tc>
      </w:tr>
      <w:tr w:rsidR="008E7D3C" w:rsidRPr="00543EBD" w14:paraId="17F5C682" w14:textId="77777777" w:rsidTr="008E7D3C">
        <w:trPr>
          <w:trHeight w:val="323"/>
        </w:trPr>
        <w:tc>
          <w:tcPr>
            <w:tcW w:w="1431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B43F86" w14:textId="7BA07640" w:rsidR="008E7D3C" w:rsidRPr="00543EBD" w:rsidRDefault="008E7D3C" w:rsidP="00C91E8C">
            <w:pP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543EBD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Componente </w:t>
            </w:r>
            <w:r w:rsidR="00702481" w:rsidRPr="00543EBD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</w:t>
            </w:r>
            <w:r w:rsidR="0039490F" w:rsidRPr="00543EBD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[PBL]</w:t>
            </w:r>
            <w:r w:rsidRPr="00543EBD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. Marco general de políticas macroeconómicas</w:t>
            </w:r>
          </w:p>
        </w:tc>
      </w:tr>
      <w:tr w:rsidR="00CA48F5" w:rsidRPr="00227068" w14:paraId="7D3AF338" w14:textId="77777777" w:rsidTr="00516ABB">
        <w:trPr>
          <w:trHeight w:val="2197"/>
        </w:trPr>
        <w:tc>
          <w:tcPr>
            <w:tcW w:w="3150" w:type="dxa"/>
            <w:shd w:val="clear" w:color="auto" w:fill="auto"/>
            <w:vAlign w:val="center"/>
          </w:tcPr>
          <w:p w14:paraId="1CC709D0" w14:textId="49E581AE" w:rsidR="00CA48F5" w:rsidRPr="00543EBD" w:rsidRDefault="00CA48F5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543EBD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En el quinquenio 2007-2011 se observaron progresos en la situación macroeconómica y fiscal. Sin embargo, los efectos de la crisis financiera internacional y de fenómenos naturales catastróficos demandaban la necesidad de realizar esfuerzos para consolidar una trayectoria sostenible de las finanzas públicas.</w:t>
            </w:r>
          </w:p>
        </w:tc>
        <w:tc>
          <w:tcPr>
            <w:tcW w:w="2160" w:type="dxa"/>
            <w:shd w:val="clear" w:color="auto" w:fill="auto"/>
          </w:tcPr>
          <w:p w14:paraId="1AD03666" w14:textId="36485634" w:rsidR="00CA48F5" w:rsidRPr="00543EBD" w:rsidRDefault="00CA48F5" w:rsidP="0060759A">
            <w:pP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543EBD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Mejora de la situación fiscal del Gobierno Central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40C3A59F" w14:textId="71443B71" w:rsidR="00CA48F5" w:rsidRPr="00CA48F5" w:rsidRDefault="00CA48F5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CA48F5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N.A.</w:t>
            </w:r>
            <w:r>
              <w:rPr>
                <w:rStyle w:val="FootnoteReference"/>
                <w:rFonts w:asciiTheme="minorHAnsi" w:hAnsiTheme="minorHAnsi" w:cstheme="minorHAnsi"/>
                <w:sz w:val="20"/>
                <w:szCs w:val="20"/>
                <w:lang w:val="es-BO"/>
              </w:rPr>
              <w:footnoteReference w:id="6"/>
            </w:r>
          </w:p>
        </w:tc>
        <w:tc>
          <w:tcPr>
            <w:tcW w:w="4683" w:type="dxa"/>
            <w:shd w:val="clear" w:color="auto" w:fill="auto"/>
          </w:tcPr>
          <w:p w14:paraId="28CA8AC8" w14:textId="561006A8" w:rsidR="00CA48F5" w:rsidRPr="0060759A" w:rsidRDefault="00CA48F5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N.A.</w:t>
            </w:r>
          </w:p>
        </w:tc>
      </w:tr>
      <w:tr w:rsidR="0060759A" w:rsidRPr="00227068" w14:paraId="77780752" w14:textId="77777777" w:rsidTr="0020716B">
        <w:trPr>
          <w:trHeight w:val="359"/>
        </w:trPr>
        <w:tc>
          <w:tcPr>
            <w:tcW w:w="14313" w:type="dxa"/>
            <w:gridSpan w:val="4"/>
            <w:shd w:val="clear" w:color="auto" w:fill="F2F2F2" w:themeFill="background1" w:themeFillShade="F2"/>
            <w:vAlign w:val="center"/>
          </w:tcPr>
          <w:p w14:paraId="4CE139ED" w14:textId="7D16209A" w:rsidR="0060759A" w:rsidRPr="00223308" w:rsidRDefault="0060759A" w:rsidP="0060759A">
            <w:pP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Componente </w:t>
            </w:r>
            <w:r w:rsidR="00702481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II</w:t>
            </w:r>
            <w:r w:rsidR="0039490F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[PBL]</w:t>
            </w:r>
            <w:r w:rsidRPr="00223308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. Reforma tributaria</w:t>
            </w:r>
            <w:r w:rsidR="006541CD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y medidas anti-evasión</w:t>
            </w:r>
          </w:p>
        </w:tc>
      </w:tr>
      <w:tr w:rsidR="0050582D" w:rsidRPr="00227068" w14:paraId="77E8C097" w14:textId="77777777" w:rsidTr="0050582D">
        <w:trPr>
          <w:trHeight w:val="548"/>
        </w:trPr>
        <w:tc>
          <w:tcPr>
            <w:tcW w:w="3150" w:type="dxa"/>
            <w:vMerge w:val="restart"/>
          </w:tcPr>
          <w:p w14:paraId="05711974" w14:textId="6552CE22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(i)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B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ajos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ingresos tributarios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y susceptibles a choques internacionales, dado que su estructura está</w:t>
            </w:r>
          </w:p>
          <w:p w14:paraId="56DF532D" w14:textId="526E57CB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basada en impuestos indirectos, y a que el impuesto sobre la renta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,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debido a su diseño, tiene poca capacidad de recaudación;</w:t>
            </w:r>
          </w:p>
          <w:p w14:paraId="6A6AF9F4" w14:textId="77777777" w:rsidR="0050582D" w:rsidRPr="005D7302" w:rsidRDefault="0050582D" w:rsidP="0060759A">
            <w:pPr>
              <w:rPr>
                <w:rFonts w:asciiTheme="minorHAnsi" w:hAnsiTheme="minorHAnsi" w:cstheme="minorHAnsi"/>
                <w:sz w:val="10"/>
                <w:szCs w:val="20"/>
                <w:lang w:val="es-BO"/>
              </w:rPr>
            </w:pPr>
          </w:p>
          <w:p w14:paraId="0DDD03DB" w14:textId="7F6321DF" w:rsidR="0050582D" w:rsidRPr="006C0012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(ii)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P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oca capacidad institucional y de articulación entre el M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INFIN 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y la SAT, que impiden hacer frente a los desafíos en materia de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transparencia y tributación internacional</w:t>
            </w:r>
          </w:p>
        </w:tc>
        <w:tc>
          <w:tcPr>
            <w:tcW w:w="2160" w:type="dxa"/>
            <w:vMerge w:val="restart"/>
          </w:tcPr>
          <w:p w14:paraId="72E996C9" w14:textId="5CD03B00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R2. Aumento de la recaudación por efecto de las leyes de Actualización Tributaria y Anti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-e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vasión II</w:t>
            </w:r>
          </w:p>
        </w:tc>
        <w:tc>
          <w:tcPr>
            <w:tcW w:w="4320" w:type="dxa"/>
            <w:vMerge w:val="restart"/>
          </w:tcPr>
          <w:p w14:paraId="2BA453CD" w14:textId="385F376C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2.1 </w:t>
            </w:r>
            <w:hyperlink r:id="rId8" w:history="1">
              <w:r w:rsidRPr="00223308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Ingresos tributarios netos</w:t>
              </w:r>
            </w:hyperlink>
            <w:r w:rsidR="00673BC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(Porcentaje del PIB)</w:t>
            </w:r>
          </w:p>
          <w:p w14:paraId="70A0895E" w14:textId="77777777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  <w:p w14:paraId="471F0070" w14:textId="25DD5DAB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2.2 Aumento de la recaudación por efecto de la Ley de Actualización Tributaria</w:t>
            </w:r>
            <w:r w:rsidR="00673BC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(Porcentaje del PIB)</w:t>
            </w:r>
          </w:p>
          <w:p w14:paraId="16B4F64B" w14:textId="77777777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  <w:p w14:paraId="64BE09C1" w14:textId="5A3E0ADC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2.3 Aumento de la recaudación por efecto de la Ley </w:t>
            </w:r>
            <w:r w:rsidR="00673BC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nti-evasión II</w:t>
            </w:r>
            <w:r w:rsidR="00673BC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(Porcentaje del PIB)</w:t>
            </w:r>
          </w:p>
        </w:tc>
        <w:tc>
          <w:tcPr>
            <w:tcW w:w="4683" w:type="dxa"/>
          </w:tcPr>
          <w:p w14:paraId="064A9FFF" w14:textId="0EB85AF0" w:rsidR="0050582D" w:rsidRPr="00512F92" w:rsidRDefault="0050582D" w:rsidP="0050582D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1.1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Ley de </w:t>
            </w:r>
            <w:r w:rsidR="003C3CAC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Actualización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Tributaria y su Acuerdo gubernativo aprobados</w:t>
            </w:r>
          </w:p>
        </w:tc>
      </w:tr>
      <w:tr w:rsidR="0050582D" w:rsidRPr="00227068" w14:paraId="1136B253" w14:textId="77777777" w:rsidTr="0050582D">
        <w:trPr>
          <w:trHeight w:val="530"/>
        </w:trPr>
        <w:tc>
          <w:tcPr>
            <w:tcW w:w="3150" w:type="dxa"/>
            <w:vMerge/>
          </w:tcPr>
          <w:p w14:paraId="000E5232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/>
          </w:tcPr>
          <w:p w14:paraId="4073FD23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320" w:type="dxa"/>
            <w:vMerge/>
          </w:tcPr>
          <w:p w14:paraId="3CC311AA" w14:textId="77777777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683" w:type="dxa"/>
          </w:tcPr>
          <w:p w14:paraId="22898817" w14:textId="04F8AF28" w:rsidR="0050582D" w:rsidRPr="00512F92" w:rsidRDefault="0050582D" w:rsidP="0050582D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1.2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Unidad de </w:t>
            </w:r>
            <w:r w:rsidR="003C3CAC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Tributación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Internacional (UTI) en el </w:t>
            </w:r>
            <w:proofErr w:type="gramStart"/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Vice-ministerio</w:t>
            </w:r>
            <w:proofErr w:type="gramEnd"/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de Ingresos del MINFIN, implementada</w:t>
            </w:r>
          </w:p>
        </w:tc>
      </w:tr>
      <w:tr w:rsidR="0050582D" w:rsidRPr="00227068" w14:paraId="1354F6C9" w14:textId="77777777" w:rsidTr="0050582D">
        <w:trPr>
          <w:trHeight w:val="530"/>
        </w:trPr>
        <w:tc>
          <w:tcPr>
            <w:tcW w:w="3150" w:type="dxa"/>
            <w:vMerge/>
          </w:tcPr>
          <w:p w14:paraId="7A63D711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/>
          </w:tcPr>
          <w:p w14:paraId="633E9ADD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320" w:type="dxa"/>
            <w:vMerge/>
          </w:tcPr>
          <w:p w14:paraId="73C7FB81" w14:textId="77777777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683" w:type="dxa"/>
          </w:tcPr>
          <w:p w14:paraId="5A08814B" w14:textId="495EE7E6" w:rsidR="0050582D" w:rsidRPr="00512F92" w:rsidRDefault="0050582D" w:rsidP="0050582D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1.3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Convenios de intercambio de </w:t>
            </w:r>
            <w:r w:rsidR="003C3CAC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información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fiscal o equivalente, en cumplimiento con los lineamientos del Foro Global; firmados</w:t>
            </w:r>
          </w:p>
        </w:tc>
      </w:tr>
      <w:tr w:rsidR="0050582D" w:rsidRPr="00227068" w14:paraId="51977E01" w14:textId="77777777" w:rsidTr="0050582D">
        <w:trPr>
          <w:trHeight w:val="800"/>
        </w:trPr>
        <w:tc>
          <w:tcPr>
            <w:tcW w:w="3150" w:type="dxa"/>
            <w:vMerge/>
          </w:tcPr>
          <w:p w14:paraId="3D8C3D02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/>
          </w:tcPr>
          <w:p w14:paraId="480D5436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320" w:type="dxa"/>
            <w:vMerge/>
          </w:tcPr>
          <w:p w14:paraId="42647754" w14:textId="77777777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683" w:type="dxa"/>
          </w:tcPr>
          <w:p w14:paraId="2342B7F2" w14:textId="04FC5067" w:rsidR="0050582D" w:rsidRPr="00512F92" w:rsidRDefault="0050582D" w:rsidP="0050582D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1.4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Ley de disposiciones para el fortalecimiento del sistema tributario y el combate a la defraudación y al contrabando aprobada</w:t>
            </w:r>
          </w:p>
        </w:tc>
      </w:tr>
      <w:tr w:rsidR="0050582D" w:rsidRPr="00227068" w14:paraId="1874CE15" w14:textId="77777777" w:rsidTr="0050582D">
        <w:trPr>
          <w:trHeight w:val="440"/>
        </w:trPr>
        <w:tc>
          <w:tcPr>
            <w:tcW w:w="3150" w:type="dxa"/>
            <w:vMerge/>
          </w:tcPr>
          <w:p w14:paraId="3BC9C3F4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/>
          </w:tcPr>
          <w:p w14:paraId="466F4E71" w14:textId="77777777" w:rsidR="0050582D" w:rsidRPr="00223308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320" w:type="dxa"/>
            <w:vMerge/>
          </w:tcPr>
          <w:p w14:paraId="372126FC" w14:textId="77777777" w:rsidR="0050582D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683" w:type="dxa"/>
          </w:tcPr>
          <w:p w14:paraId="0DE15489" w14:textId="7702A21B" w:rsidR="0050582D" w:rsidRPr="00512F92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1.5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Reglamentación de la Ley de actualización tributaria y de la Ley de disposiciones para el fortalecimiento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lastRenderedPageBreak/>
              <w:t>del sistema tributario y el combate a la defraudación y al contrabando, aprobada</w:t>
            </w:r>
          </w:p>
        </w:tc>
      </w:tr>
      <w:tr w:rsidR="0060759A" w:rsidRPr="00227068" w14:paraId="7E5935CD" w14:textId="77777777" w:rsidTr="005D7302">
        <w:trPr>
          <w:trHeight w:val="323"/>
        </w:trPr>
        <w:tc>
          <w:tcPr>
            <w:tcW w:w="14313" w:type="dxa"/>
            <w:gridSpan w:val="4"/>
            <w:shd w:val="clear" w:color="auto" w:fill="F2F2F2" w:themeFill="background1" w:themeFillShade="F2"/>
            <w:vAlign w:val="center"/>
          </w:tcPr>
          <w:p w14:paraId="33E1F3F8" w14:textId="347B7F2E" w:rsidR="0060759A" w:rsidRPr="00A93EFC" w:rsidRDefault="0060759A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625DCF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lastRenderedPageBreak/>
              <w:t xml:space="preserve">Componente </w:t>
            </w:r>
            <w:r w:rsidR="00702481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IV</w:t>
            </w:r>
            <w:r w:rsidR="0039490F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[PBL]</w:t>
            </w:r>
            <w:r w:rsidRPr="00625DCF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. Programación fiscal de mediano plazo y gestión por resultados</w:t>
            </w:r>
          </w:p>
        </w:tc>
      </w:tr>
      <w:tr w:rsidR="0060759A" w:rsidRPr="00227068" w14:paraId="19114CA8" w14:textId="77777777" w:rsidTr="00C40B78">
        <w:trPr>
          <w:trHeight w:val="566"/>
        </w:trPr>
        <w:tc>
          <w:tcPr>
            <w:tcW w:w="3150" w:type="dxa"/>
            <w:vMerge w:val="restart"/>
          </w:tcPr>
          <w:p w14:paraId="50396B51" w14:textId="6122BA6A" w:rsidR="0060759A" w:rsidRDefault="0060759A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iii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) L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eyes y normas presupuestarias rígidas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, 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que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han impedido el mejor uso y focalización del gasto para alcanzar resultados medibles</w:t>
            </w:r>
          </w:p>
        </w:tc>
        <w:tc>
          <w:tcPr>
            <w:tcW w:w="2160" w:type="dxa"/>
          </w:tcPr>
          <w:p w14:paraId="45D6F54A" w14:textId="15D3C1EC" w:rsidR="0060759A" w:rsidRPr="005D7302" w:rsidRDefault="0060759A" w:rsidP="0060759A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5D730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</w:t>
            </w:r>
          </w:p>
        </w:tc>
        <w:tc>
          <w:tcPr>
            <w:tcW w:w="4320" w:type="dxa"/>
          </w:tcPr>
          <w:p w14:paraId="628D032E" w14:textId="563BFBAF" w:rsidR="0060759A" w:rsidRPr="00A93EFC" w:rsidRDefault="0060759A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5D730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</w:t>
            </w:r>
          </w:p>
        </w:tc>
        <w:tc>
          <w:tcPr>
            <w:tcW w:w="4683" w:type="dxa"/>
          </w:tcPr>
          <w:p w14:paraId="56BFD9BF" w14:textId="01E3D6A5" w:rsidR="0060759A" w:rsidRPr="004961C2" w:rsidRDefault="0050582D" w:rsidP="0060759A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3.1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Informe del Desempeño de la Gestión de las Finanzas Públicas (PEFA por su sigla en inglés) por parte de consultor independiente, elaborado</w:t>
            </w:r>
          </w:p>
        </w:tc>
      </w:tr>
      <w:tr w:rsidR="004E7785" w:rsidRPr="00227068" w14:paraId="74D687FA" w14:textId="77777777" w:rsidTr="00C40B78">
        <w:trPr>
          <w:trHeight w:val="584"/>
        </w:trPr>
        <w:tc>
          <w:tcPr>
            <w:tcW w:w="3150" w:type="dxa"/>
            <w:vMerge/>
          </w:tcPr>
          <w:p w14:paraId="0493B569" w14:textId="77777777" w:rsidR="004E7785" w:rsidRPr="004961C2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</w:tcPr>
          <w:p w14:paraId="31A342D4" w14:textId="5BD6B197" w:rsidR="004E7785" w:rsidRPr="004E7785" w:rsidRDefault="004E7785" w:rsidP="004E7785">
            <w:pPr>
              <w:pStyle w:val="Heading4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 w:val="0"/>
                <w:sz w:val="20"/>
                <w:szCs w:val="20"/>
                <w:lang w:val="es-BO"/>
              </w:rPr>
            </w:pPr>
            <w:r w:rsidRPr="004E7785">
              <w:rPr>
                <w:rFonts w:asciiTheme="minorHAnsi" w:hAnsiTheme="minorHAnsi" w:cstheme="minorHAnsi"/>
                <w:b w:val="0"/>
                <w:sz w:val="20"/>
                <w:szCs w:val="20"/>
                <w:lang w:val="es-BO"/>
              </w:rPr>
              <w:t>No definido</w:t>
            </w:r>
          </w:p>
        </w:tc>
        <w:tc>
          <w:tcPr>
            <w:tcW w:w="4320" w:type="dxa"/>
          </w:tcPr>
          <w:p w14:paraId="5F479601" w14:textId="29099C6B" w:rsidR="004E7785" w:rsidRPr="005D7302" w:rsidRDefault="004E7785" w:rsidP="004E7785">
            <w:pPr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No </w:t>
            </w:r>
            <w:r w:rsidRPr="005D730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definido</w:t>
            </w:r>
          </w:p>
        </w:tc>
        <w:tc>
          <w:tcPr>
            <w:tcW w:w="4683" w:type="dxa"/>
          </w:tcPr>
          <w:p w14:paraId="5852A025" w14:textId="76244F29" w:rsidR="004E7785" w:rsidRPr="00321FA8" w:rsidRDefault="0050582D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3.2 </w:t>
            </w:r>
            <w:r w:rsidR="004961C2" w:rsidRPr="004961C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Marco de Política Fiscal de Mediano Plazo (3 años), elaborado</w:t>
            </w:r>
          </w:p>
        </w:tc>
      </w:tr>
      <w:tr w:rsidR="004E7785" w:rsidRPr="00CF1BC0" w14:paraId="2FE77A0A" w14:textId="77777777" w:rsidTr="00C40B78">
        <w:trPr>
          <w:trHeight w:val="73"/>
        </w:trPr>
        <w:tc>
          <w:tcPr>
            <w:tcW w:w="3150" w:type="dxa"/>
            <w:vMerge/>
          </w:tcPr>
          <w:p w14:paraId="313C809C" w14:textId="77777777" w:rsidR="004E7785" w:rsidRPr="00075EFB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 w:val="restart"/>
          </w:tcPr>
          <w:p w14:paraId="791EB556" w14:textId="2C76B101" w:rsidR="004E7785" w:rsidRPr="00406F03" w:rsidRDefault="004E7785" w:rsidP="004E7785">
            <w:pPr>
              <w:pStyle w:val="Heading4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R</w:t>
            </w:r>
            <w:r w:rsidR="00321FA8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4</w:t>
            </w:r>
            <w:r w:rsidRPr="00406F03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 xml:space="preserve">. </w:t>
            </w:r>
            <w:r w:rsidR="00673BCA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 xml:space="preserve">Reasignación de rubros presupuestarios del </w:t>
            </w:r>
            <w:r w:rsidRPr="00406F03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 xml:space="preserve">Programa de </w:t>
            </w:r>
            <w:r w:rsidR="00673BCA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fomento</w:t>
            </w:r>
            <w:r w:rsidRPr="00406F03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 xml:space="preserve"> </w:t>
            </w:r>
            <w:r w:rsidR="00673BCA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de</w:t>
            </w:r>
            <w:r w:rsidRPr="00406F03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 xml:space="preserve"> la </w:t>
            </w:r>
            <w:r w:rsidR="00673BCA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s</w:t>
            </w:r>
            <w:r w:rsidRPr="00406F03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 xml:space="preserve">alud y </w:t>
            </w:r>
            <w:r w:rsidR="00673BCA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m</w:t>
            </w:r>
            <w:r w:rsidRPr="00406F03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 xml:space="preserve">edicina </w:t>
            </w:r>
            <w:r w:rsidR="00673BCA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p</w:t>
            </w:r>
            <w:r w:rsidRPr="00406F03">
              <w:rPr>
                <w:rFonts w:asciiTheme="minorHAnsi" w:eastAsiaTheme="minorHAnsi" w:hAnsiTheme="minorHAnsi" w:cstheme="minorHAnsi"/>
                <w:b w:val="0"/>
                <w:bCs w:val="0"/>
                <w:sz w:val="20"/>
                <w:szCs w:val="20"/>
                <w:lang w:val="es-BO"/>
              </w:rPr>
              <w:t>reventiva</w:t>
            </w:r>
          </w:p>
        </w:tc>
        <w:tc>
          <w:tcPr>
            <w:tcW w:w="4320" w:type="dxa"/>
          </w:tcPr>
          <w:p w14:paraId="2A1FAE30" w14:textId="4BFB06BC" w:rsidR="004E7785" w:rsidRPr="002726EF" w:rsidRDefault="00321FA8" w:rsidP="004E7785">
            <w:pPr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4.1 </w:t>
            </w:r>
            <w:hyperlink r:id="rId9" w:history="1">
              <w:r w:rsidR="004E7785" w:rsidRPr="002726EF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Gasto en servicios personales como proporción del total</w:t>
              </w:r>
            </w:hyperlink>
          </w:p>
        </w:tc>
        <w:tc>
          <w:tcPr>
            <w:tcW w:w="4683" w:type="dxa"/>
          </w:tcPr>
          <w:p w14:paraId="1C6A2A5A" w14:textId="183E252D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definido.</w:t>
            </w:r>
          </w:p>
        </w:tc>
      </w:tr>
      <w:tr w:rsidR="004E7785" w:rsidRPr="00CF1BC0" w14:paraId="07F61215" w14:textId="77777777" w:rsidTr="00C40B78">
        <w:trPr>
          <w:trHeight w:val="73"/>
        </w:trPr>
        <w:tc>
          <w:tcPr>
            <w:tcW w:w="3150" w:type="dxa"/>
            <w:vMerge/>
          </w:tcPr>
          <w:p w14:paraId="265268EB" w14:textId="77777777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/>
          </w:tcPr>
          <w:p w14:paraId="428FBEC3" w14:textId="77777777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320" w:type="dxa"/>
          </w:tcPr>
          <w:p w14:paraId="1F960BF2" w14:textId="512EB711" w:rsidR="004E7785" w:rsidRPr="002726EF" w:rsidRDefault="00321FA8" w:rsidP="004E7785">
            <w:pPr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4.2 </w:t>
            </w:r>
            <w:hyperlink r:id="rId10" w:history="1">
              <w:r w:rsidR="004E7785" w:rsidRPr="002726EF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Gasto en servicios no personales como proporción del total</w:t>
              </w:r>
            </w:hyperlink>
          </w:p>
        </w:tc>
        <w:tc>
          <w:tcPr>
            <w:tcW w:w="4683" w:type="dxa"/>
          </w:tcPr>
          <w:p w14:paraId="5A54F2DE" w14:textId="1598BACE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473E5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definido.</w:t>
            </w:r>
          </w:p>
        </w:tc>
      </w:tr>
      <w:tr w:rsidR="004E7785" w:rsidRPr="00CF1BC0" w14:paraId="2AE88EF8" w14:textId="77777777" w:rsidTr="00C40B78">
        <w:trPr>
          <w:trHeight w:val="73"/>
        </w:trPr>
        <w:tc>
          <w:tcPr>
            <w:tcW w:w="3150" w:type="dxa"/>
            <w:vMerge/>
          </w:tcPr>
          <w:p w14:paraId="1F7510C1" w14:textId="77777777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/>
          </w:tcPr>
          <w:p w14:paraId="6910805F" w14:textId="77777777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320" w:type="dxa"/>
          </w:tcPr>
          <w:p w14:paraId="3919A88F" w14:textId="534333D0" w:rsidR="004E7785" w:rsidRPr="002726EF" w:rsidRDefault="00321FA8" w:rsidP="004E7785">
            <w:pPr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321FA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4.3 </w:t>
            </w:r>
            <w:hyperlink r:id="rId11" w:history="1"/>
            <w:r w:rsidR="004E7785" w:rsidRPr="002726E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Gasto en materiales y suministros como proporción del total</w:t>
            </w:r>
          </w:p>
        </w:tc>
        <w:tc>
          <w:tcPr>
            <w:tcW w:w="4683" w:type="dxa"/>
          </w:tcPr>
          <w:p w14:paraId="28644CF1" w14:textId="1F433CBE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473E5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definido.</w:t>
            </w:r>
          </w:p>
        </w:tc>
      </w:tr>
      <w:tr w:rsidR="004E7785" w:rsidRPr="00CF1BC0" w14:paraId="19D58C75" w14:textId="77777777" w:rsidTr="00C40B78">
        <w:trPr>
          <w:trHeight w:val="476"/>
        </w:trPr>
        <w:tc>
          <w:tcPr>
            <w:tcW w:w="3150" w:type="dxa"/>
            <w:vMerge/>
          </w:tcPr>
          <w:p w14:paraId="45506D1A" w14:textId="77777777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2160" w:type="dxa"/>
            <w:vMerge/>
          </w:tcPr>
          <w:p w14:paraId="397663E6" w14:textId="77777777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4320" w:type="dxa"/>
          </w:tcPr>
          <w:p w14:paraId="0DE34626" w14:textId="26DA34E0" w:rsidR="004E7785" w:rsidRPr="002726EF" w:rsidRDefault="00321FA8" w:rsidP="004E7785">
            <w:pPr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4.4 </w:t>
            </w:r>
            <w:hyperlink r:id="rId12" w:history="1">
              <w:r w:rsidR="004E7785" w:rsidRPr="002726EF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Gasto en otros rubros como proporción del total</w:t>
              </w:r>
            </w:hyperlink>
          </w:p>
        </w:tc>
        <w:tc>
          <w:tcPr>
            <w:tcW w:w="4683" w:type="dxa"/>
          </w:tcPr>
          <w:p w14:paraId="6306E03E" w14:textId="717DF892" w:rsidR="004E7785" w:rsidRPr="00406F03" w:rsidRDefault="004E7785" w:rsidP="004E7785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473E5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definido.</w:t>
            </w:r>
          </w:p>
        </w:tc>
      </w:tr>
    </w:tbl>
    <w:p w14:paraId="280BFF1D" w14:textId="03D4249D" w:rsidR="009721F1" w:rsidRPr="00406F03" w:rsidRDefault="009721F1">
      <w:pPr>
        <w:rPr>
          <w:rFonts w:asciiTheme="minorHAnsi" w:hAnsiTheme="minorHAnsi" w:cstheme="minorHAnsi"/>
          <w:sz w:val="20"/>
          <w:szCs w:val="20"/>
          <w:lang w:val="es-BO"/>
        </w:rPr>
      </w:pPr>
    </w:p>
    <w:p w14:paraId="7C8D3C13" w14:textId="4529F314" w:rsidR="004633CE" w:rsidRPr="00406F03" w:rsidRDefault="004633CE">
      <w:pPr>
        <w:rPr>
          <w:rFonts w:asciiTheme="minorHAnsi" w:hAnsiTheme="minorHAnsi" w:cstheme="minorHAnsi"/>
          <w:sz w:val="20"/>
          <w:szCs w:val="20"/>
          <w:lang w:val="es-BO"/>
        </w:rPr>
      </w:pPr>
      <w:r w:rsidRPr="00406F03">
        <w:rPr>
          <w:rFonts w:asciiTheme="minorHAnsi" w:hAnsiTheme="minorHAnsi" w:cstheme="minorHAnsi"/>
          <w:sz w:val="20"/>
          <w:szCs w:val="20"/>
          <w:lang w:val="es-BO"/>
        </w:rPr>
        <w:br w:type="page"/>
      </w:r>
    </w:p>
    <w:p w14:paraId="755F2A97" w14:textId="77777777" w:rsidR="00C234AE" w:rsidRPr="00406F03" w:rsidRDefault="00C234AE">
      <w:pPr>
        <w:rPr>
          <w:rFonts w:asciiTheme="minorHAnsi" w:hAnsiTheme="minorHAnsi" w:cstheme="minorHAnsi"/>
          <w:sz w:val="20"/>
          <w:szCs w:val="20"/>
          <w:lang w:val="es-BO"/>
        </w:rPr>
      </w:pPr>
    </w:p>
    <w:p w14:paraId="5C45DC4B" w14:textId="77777777" w:rsidR="00321FA8" w:rsidRDefault="00321FA8" w:rsidP="00CA48F5">
      <w:pPr>
        <w:ind w:left="540"/>
        <w:rPr>
          <w:rFonts w:asciiTheme="minorHAnsi" w:eastAsia="Times New Roman" w:hAnsiTheme="minorHAnsi" w:cstheme="minorHAnsi"/>
          <w:b/>
          <w:bCs/>
          <w:sz w:val="28"/>
          <w:szCs w:val="28"/>
          <w:lang w:val="es-BO"/>
        </w:rPr>
      </w:pPr>
      <w:r w:rsidRPr="00321FA8">
        <w:rPr>
          <w:rFonts w:asciiTheme="minorHAnsi" w:eastAsia="Times New Roman" w:hAnsiTheme="minorHAnsi" w:cstheme="minorHAnsi"/>
          <w:b/>
          <w:bCs/>
          <w:sz w:val="28"/>
          <w:szCs w:val="28"/>
          <w:lang w:val="es-BO"/>
        </w:rPr>
        <w:t xml:space="preserve">Impacto #2: Aumentar sostenibilidad fiscal municipal para aumentar la cantidad y calidad de la inversión </w:t>
      </w:r>
    </w:p>
    <w:p w14:paraId="7997B92E" w14:textId="028FA8A8" w:rsidR="00321FA8" w:rsidRDefault="00321FA8" w:rsidP="00CA48F5">
      <w:pPr>
        <w:ind w:left="540"/>
        <w:rPr>
          <w:rFonts w:asciiTheme="minorHAnsi" w:hAnsiTheme="minorHAnsi" w:cstheme="minorHAnsi"/>
          <w:sz w:val="28"/>
          <w:szCs w:val="28"/>
          <w:lang w:val="es-BO"/>
        </w:rPr>
      </w:pPr>
      <w:r w:rsidRPr="00321FA8">
        <w:rPr>
          <w:rFonts w:asciiTheme="minorHAnsi" w:eastAsia="Times New Roman" w:hAnsiTheme="minorHAnsi" w:cstheme="minorHAnsi"/>
          <w:b/>
          <w:bCs/>
          <w:sz w:val="28"/>
          <w:szCs w:val="28"/>
          <w:lang w:val="es-BO"/>
        </w:rPr>
        <w:t>pública municipal</w:t>
      </w:r>
    </w:p>
    <w:p w14:paraId="5146A913" w14:textId="43D2800B" w:rsidR="00C234AE" w:rsidRPr="00223308" w:rsidRDefault="00543EBD" w:rsidP="00CA48F5">
      <w:pPr>
        <w:ind w:left="540"/>
        <w:rPr>
          <w:rFonts w:asciiTheme="minorHAnsi" w:hAnsiTheme="minorHAnsi" w:cstheme="minorHAnsi"/>
          <w:sz w:val="20"/>
          <w:szCs w:val="20"/>
          <w:lang w:val="es-BO"/>
        </w:rPr>
      </w:pPr>
      <w:r w:rsidRPr="00CA48F5">
        <w:rPr>
          <w:rFonts w:asciiTheme="minorHAnsi" w:hAnsiTheme="minorHAnsi" w:cstheme="minorHAnsi"/>
          <w:szCs w:val="28"/>
          <w:lang w:val="es-BO"/>
        </w:rPr>
        <w:t>Indicador de impacto: Deuda del Gobierno Central / PIB</w:t>
      </w:r>
    </w:p>
    <w:tbl>
      <w:tblPr>
        <w:tblStyle w:val="TableGrid"/>
        <w:tblW w:w="1422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160"/>
        <w:gridCol w:w="3060"/>
        <w:gridCol w:w="1870"/>
        <w:gridCol w:w="20"/>
        <w:gridCol w:w="7110"/>
      </w:tblGrid>
      <w:tr w:rsidR="00490B32" w:rsidRPr="00223308" w14:paraId="42EC5F06" w14:textId="77777777" w:rsidTr="00D005E8">
        <w:trPr>
          <w:trHeight w:val="212"/>
        </w:trPr>
        <w:tc>
          <w:tcPr>
            <w:tcW w:w="2160" w:type="dxa"/>
            <w:shd w:val="pct5" w:color="auto" w:fill="D5DCE4" w:themeFill="text2" w:themeFillTint="33"/>
          </w:tcPr>
          <w:p w14:paraId="59FA2963" w14:textId="70E05369" w:rsidR="00490B32" w:rsidRPr="00223308" w:rsidRDefault="00490B32" w:rsidP="00490B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>Problema</w:t>
            </w:r>
            <w:proofErr w:type="spellEnd"/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>diagnosticado</w:t>
            </w:r>
            <w:proofErr w:type="spellEnd"/>
          </w:p>
        </w:tc>
        <w:tc>
          <w:tcPr>
            <w:tcW w:w="3060" w:type="dxa"/>
            <w:tcBorders>
              <w:bottom w:val="single" w:sz="4" w:space="0" w:color="auto"/>
            </w:tcBorders>
            <w:shd w:val="pct5" w:color="auto" w:fill="D5DCE4" w:themeFill="text2" w:themeFillTint="33"/>
          </w:tcPr>
          <w:p w14:paraId="6D129327" w14:textId="61B28C53" w:rsidR="00490B32" w:rsidRPr="00223308" w:rsidRDefault="00490B32" w:rsidP="00490B32">
            <w:pPr>
              <w:keepNext/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>Resultado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shd w:val="pct5" w:color="auto" w:fill="D5DCE4" w:themeFill="text2" w:themeFillTint="33"/>
          </w:tcPr>
          <w:p w14:paraId="62C2F3FF" w14:textId="001D4943" w:rsidR="00490B32" w:rsidRPr="00223308" w:rsidRDefault="00490B32" w:rsidP="00490B32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>Indicadores</w:t>
            </w:r>
            <w:proofErr w:type="spellEnd"/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>resultado</w:t>
            </w:r>
            <w:proofErr w:type="spellEnd"/>
            <w:r w:rsidRPr="00223308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</w:rPr>
              <w:footnoteReference w:id="7"/>
            </w:r>
          </w:p>
        </w:tc>
        <w:tc>
          <w:tcPr>
            <w:tcW w:w="7130" w:type="dxa"/>
            <w:gridSpan w:val="2"/>
            <w:tcBorders>
              <w:bottom w:val="single" w:sz="4" w:space="0" w:color="auto"/>
            </w:tcBorders>
            <w:shd w:val="pct5" w:color="auto" w:fill="D5DCE4" w:themeFill="text2" w:themeFillTint="33"/>
          </w:tcPr>
          <w:p w14:paraId="7CA43759" w14:textId="1DFF0852" w:rsidR="00490B32" w:rsidRPr="00223308" w:rsidRDefault="00490B32" w:rsidP="00490B32">
            <w:pPr>
              <w:keepNext/>
              <w:keepLines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23308">
              <w:rPr>
                <w:rFonts w:asciiTheme="minorHAnsi" w:hAnsiTheme="minorHAnsi" w:cstheme="minorHAnsi"/>
                <w:b/>
                <w:sz w:val="20"/>
                <w:szCs w:val="20"/>
              </w:rPr>
              <w:t>Productos</w:t>
            </w:r>
            <w:proofErr w:type="spellEnd"/>
            <w:r w:rsidRPr="00223308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</w:rPr>
              <w:footnoteReference w:id="8"/>
            </w:r>
          </w:p>
        </w:tc>
      </w:tr>
      <w:tr w:rsidR="00702481" w:rsidRPr="00227068" w14:paraId="4B638EEA" w14:textId="77777777" w:rsidTr="00D005E8">
        <w:trPr>
          <w:trHeight w:val="368"/>
        </w:trPr>
        <w:tc>
          <w:tcPr>
            <w:tcW w:w="2160" w:type="dxa"/>
            <w:vMerge w:val="restart"/>
          </w:tcPr>
          <w:p w14:paraId="508F1AF8" w14:textId="77777777" w:rsidR="00702481" w:rsidRPr="00223308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(</w:t>
            </w:r>
            <w:proofErr w:type="spellStart"/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iv</w:t>
            </w:r>
            <w:proofErr w:type="spellEnd"/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) un proceso de descentralización fiscal institucionalmente débil dada la baja</w:t>
            </w:r>
          </w:p>
          <w:p w14:paraId="1D0A7F73" w14:textId="77777777" w:rsidR="00702481" w:rsidRPr="00223308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coordinación entre las instituciones del gobierno central y las municipalidades, que</w:t>
            </w:r>
          </w:p>
          <w:p w14:paraId="36C83313" w14:textId="77777777" w:rsidR="00702481" w:rsidRPr="00223308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impide el registro y monitoreo adecuado del endeudamiento municipal; y (v) baja</w:t>
            </w:r>
          </w:p>
          <w:p w14:paraId="395C20A4" w14:textId="77777777" w:rsidR="00702481" w:rsidRPr="00223308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capacidad financiera e institucional a nivel municipal en la provisión de servicios</w:t>
            </w:r>
          </w:p>
          <w:p w14:paraId="773251F7" w14:textId="1E5D0B06" w:rsidR="00702481" w:rsidRPr="00223308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223308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públicos.</w:t>
            </w:r>
          </w:p>
        </w:tc>
        <w:tc>
          <w:tcPr>
            <w:tcW w:w="12060" w:type="dxa"/>
            <w:gridSpan w:val="4"/>
            <w:shd w:val="clear" w:color="auto" w:fill="F2F2F2" w:themeFill="background1" w:themeFillShade="F2"/>
            <w:vAlign w:val="center"/>
          </w:tcPr>
          <w:p w14:paraId="3931ED26" w14:textId="1A855BC3" w:rsidR="00702481" w:rsidRPr="008F7511" w:rsidRDefault="00702481" w:rsidP="00702481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8F7511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Componente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III [PBL]</w:t>
            </w:r>
            <w:r w:rsidRPr="008F7511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: Regulación de las finanzas municipales</w:t>
            </w:r>
          </w:p>
        </w:tc>
      </w:tr>
      <w:tr w:rsidR="00702481" w:rsidRPr="00227068" w14:paraId="111CB9B2" w14:textId="77777777" w:rsidTr="00D005E8">
        <w:trPr>
          <w:trHeight w:val="212"/>
        </w:trPr>
        <w:tc>
          <w:tcPr>
            <w:tcW w:w="2160" w:type="dxa"/>
            <w:vMerge/>
          </w:tcPr>
          <w:p w14:paraId="3F0FF4FA" w14:textId="73C583B8" w:rsidR="00702481" w:rsidRPr="00A7760B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 w:val="restart"/>
          </w:tcPr>
          <w:p w14:paraId="6235F542" w14:textId="586D7D46" w:rsidR="00702481" w:rsidRPr="00406F03" w:rsidRDefault="00702481" w:rsidP="00702481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R3. Mayor sostenibilidad del endeudamiento municipal</w:t>
            </w:r>
          </w:p>
        </w:tc>
        <w:tc>
          <w:tcPr>
            <w:tcW w:w="1870" w:type="dxa"/>
            <w:vMerge w:val="restart"/>
          </w:tcPr>
          <w:p w14:paraId="59E20E31" w14:textId="4F8B02BC" w:rsidR="00702481" w:rsidRPr="00406F03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3.1 </w:t>
            </w:r>
            <w:hyperlink r:id="rId13" w:history="1">
              <w:r w:rsidRPr="0049424E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Endeudamiento total de los municipios como proporción de sus ingresos propios</w:t>
              </w:r>
            </w:hyperlink>
          </w:p>
        </w:tc>
        <w:tc>
          <w:tcPr>
            <w:tcW w:w="7130" w:type="dxa"/>
            <w:gridSpan w:val="2"/>
          </w:tcPr>
          <w:p w14:paraId="4B0EC808" w14:textId="0A180386" w:rsidR="00702481" w:rsidRPr="008210B0" w:rsidRDefault="00702481" w:rsidP="00702481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2.1 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Dirección de Asistencia a la Administración Financiera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unicipal (DAAFIM) creada e implementada en el MINFIN</w:t>
            </w:r>
          </w:p>
        </w:tc>
      </w:tr>
      <w:tr w:rsidR="00702481" w:rsidRPr="00227068" w14:paraId="63122387" w14:textId="77777777" w:rsidTr="00D005E8">
        <w:trPr>
          <w:trHeight w:val="404"/>
        </w:trPr>
        <w:tc>
          <w:tcPr>
            <w:tcW w:w="2160" w:type="dxa"/>
            <w:vMerge/>
            <w:vAlign w:val="center"/>
          </w:tcPr>
          <w:p w14:paraId="6DC05938" w14:textId="77777777" w:rsidR="00702481" w:rsidRPr="00322488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</w:tcPr>
          <w:p w14:paraId="072BA146" w14:textId="77777777" w:rsidR="00702481" w:rsidRPr="00322488" w:rsidRDefault="00702481" w:rsidP="00702481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/>
          </w:tcPr>
          <w:p w14:paraId="2FD6AB82" w14:textId="77777777" w:rsidR="00702481" w:rsidRPr="00322488" w:rsidRDefault="00702481" w:rsidP="00702481">
            <w:pPr>
              <w:keepNext/>
              <w:keepLines/>
              <w:rPr>
                <w:lang w:val="es-BO"/>
              </w:rPr>
            </w:pPr>
          </w:p>
        </w:tc>
        <w:tc>
          <w:tcPr>
            <w:tcW w:w="7130" w:type="dxa"/>
            <w:gridSpan w:val="2"/>
          </w:tcPr>
          <w:p w14:paraId="597E7317" w14:textId="67C77B9B" w:rsidR="00702481" w:rsidRPr="008210B0" w:rsidRDefault="00702481" w:rsidP="00702481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2.2 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Normativa y manual de la DAAFIM elaborad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os</w:t>
            </w:r>
          </w:p>
        </w:tc>
      </w:tr>
      <w:tr w:rsidR="00702481" w:rsidRPr="00227068" w14:paraId="1EE479DC" w14:textId="77777777" w:rsidTr="00D005E8">
        <w:trPr>
          <w:trHeight w:val="245"/>
        </w:trPr>
        <w:tc>
          <w:tcPr>
            <w:tcW w:w="2160" w:type="dxa"/>
            <w:vMerge/>
            <w:vAlign w:val="center"/>
          </w:tcPr>
          <w:p w14:paraId="4CE5B62A" w14:textId="77777777" w:rsidR="00702481" w:rsidRPr="002726EF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</w:tcPr>
          <w:p w14:paraId="238A35D6" w14:textId="77777777" w:rsidR="00702481" w:rsidRPr="002726EF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 w:val="restart"/>
          </w:tcPr>
          <w:p w14:paraId="5A54760E" w14:textId="32B77078" w:rsidR="00702481" w:rsidRPr="004B617F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3.2 </w:t>
            </w:r>
            <w:hyperlink r:id="rId14" w:history="1">
              <w:r w:rsidRPr="004B617F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Propuesta de nuevo rol del INFOM elaborada y presentada a la Gerencia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  <w:r>
              <w:rPr>
                <w:rStyle w:val="FootnoteReference"/>
                <w:rFonts w:asciiTheme="minorHAnsi" w:hAnsiTheme="minorHAnsi" w:cstheme="minorHAnsi"/>
                <w:sz w:val="20"/>
                <w:szCs w:val="20"/>
                <w:lang w:val="es-BO"/>
              </w:rPr>
              <w:footnoteReference w:id="9"/>
            </w:r>
          </w:p>
        </w:tc>
        <w:tc>
          <w:tcPr>
            <w:tcW w:w="7130" w:type="dxa"/>
            <w:gridSpan w:val="2"/>
            <w:tcBorders>
              <w:bottom w:val="single" w:sz="4" w:space="0" w:color="auto"/>
            </w:tcBorders>
          </w:tcPr>
          <w:p w14:paraId="08401EA6" w14:textId="76A48BD5" w:rsidR="00702481" w:rsidRPr="008210B0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2.3 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Normas y manuales de procedimientos de las áreas de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rédito y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artera de la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D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irección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A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dministrativa y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F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inanciera del INFOM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elaborados</w:t>
            </w:r>
          </w:p>
        </w:tc>
      </w:tr>
      <w:tr w:rsidR="00702481" w:rsidRPr="00227068" w14:paraId="4B4007A5" w14:textId="77777777" w:rsidTr="00D005E8">
        <w:trPr>
          <w:trHeight w:val="467"/>
        </w:trPr>
        <w:tc>
          <w:tcPr>
            <w:tcW w:w="2160" w:type="dxa"/>
            <w:vMerge/>
            <w:vAlign w:val="center"/>
          </w:tcPr>
          <w:p w14:paraId="180BB5B1" w14:textId="77777777" w:rsidR="00702481" w:rsidRPr="002726EF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</w:tcPr>
          <w:p w14:paraId="1445F430" w14:textId="77777777" w:rsidR="00702481" w:rsidRPr="002726EF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5AB58158" w14:textId="77777777" w:rsidR="00702481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7130" w:type="dxa"/>
            <w:gridSpan w:val="2"/>
            <w:tcBorders>
              <w:bottom w:val="single" w:sz="4" w:space="0" w:color="auto"/>
            </w:tcBorders>
          </w:tcPr>
          <w:p w14:paraId="002FF7BF" w14:textId="164B0652" w:rsidR="00702481" w:rsidRPr="008210B0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2.4 </w:t>
            </w:r>
            <w:r w:rsidRPr="008210B0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Metodología para cuantificar el stock de la deuda municipal, elaborada</w:t>
            </w:r>
          </w:p>
        </w:tc>
      </w:tr>
      <w:tr w:rsidR="00D005E8" w:rsidRPr="00227068" w14:paraId="73E85E51" w14:textId="77777777" w:rsidTr="00D005E8">
        <w:trPr>
          <w:trHeight w:val="431"/>
        </w:trPr>
        <w:tc>
          <w:tcPr>
            <w:tcW w:w="2160" w:type="dxa"/>
            <w:vMerge/>
            <w:vAlign w:val="center"/>
          </w:tcPr>
          <w:p w14:paraId="0B94FA9D" w14:textId="77777777" w:rsidR="00D005E8" w:rsidRPr="006C0012" w:rsidRDefault="00D005E8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2060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F1653" w14:textId="5F4C5B06" w:rsidR="00D005E8" w:rsidRPr="00B44CB0" w:rsidRDefault="00D005E8" w:rsidP="00702481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28714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Componente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V [CTR]</w:t>
            </w:r>
            <w:r w:rsidRPr="0028714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: Fortalecimiento de la Mancomunidad Gran Ciudad del Sur</w:t>
            </w:r>
          </w:p>
        </w:tc>
      </w:tr>
      <w:tr w:rsidR="00D005E8" w:rsidRPr="00227068" w14:paraId="558E76B7" w14:textId="77777777" w:rsidTr="00110051">
        <w:trPr>
          <w:trHeight w:val="431"/>
        </w:trPr>
        <w:tc>
          <w:tcPr>
            <w:tcW w:w="2160" w:type="dxa"/>
            <w:vMerge/>
            <w:vAlign w:val="center"/>
          </w:tcPr>
          <w:p w14:paraId="5D712837" w14:textId="77777777" w:rsidR="00D005E8" w:rsidRPr="006C0012" w:rsidRDefault="00D005E8" w:rsidP="00D005E8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14:paraId="1C25385B" w14:textId="7C5F1DAB" w:rsidR="00D005E8" w:rsidRPr="00B44CB0" w:rsidRDefault="00D005E8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R5. </w:t>
            </w:r>
            <w:r w:rsidRPr="003A2AFB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Mejora de la capacidad de gestión y prestación de servicios de los municipios de la Mancomunidad Gran Ciudad del Sur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AEFC576" w14:textId="43910BB9" w:rsidR="00D005E8" w:rsidRPr="00B44CB0" w:rsidRDefault="00D005E8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5.1 </w:t>
            </w:r>
            <w:hyperlink r:id="rId15" w:history="1">
              <w:r w:rsidRPr="008B675C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Direcciones municipales de Planificación equipadas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</w:tc>
        <w:tc>
          <w:tcPr>
            <w:tcW w:w="7110" w:type="dxa"/>
            <w:shd w:val="clear" w:color="auto" w:fill="auto"/>
          </w:tcPr>
          <w:p w14:paraId="122006E2" w14:textId="77777777" w:rsidR="00CA48F5" w:rsidRDefault="00D005E8" w:rsidP="00D005E8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5.2 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MGCS con equipo informático en funcionamiento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  <w:p w14:paraId="5920ACB5" w14:textId="103D1374" w:rsidR="00D005E8" w:rsidRPr="00B44CB0" w:rsidRDefault="00CA48F5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5.4 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MGS con equipo de monitoreo de la calidad del agua en funcionamiento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</w:tc>
      </w:tr>
      <w:tr w:rsidR="00D005E8" w:rsidRPr="00D005E8" w14:paraId="6D6BAA54" w14:textId="77777777" w:rsidTr="00110051">
        <w:trPr>
          <w:trHeight w:val="431"/>
        </w:trPr>
        <w:tc>
          <w:tcPr>
            <w:tcW w:w="2160" w:type="dxa"/>
            <w:vMerge/>
            <w:vAlign w:val="center"/>
          </w:tcPr>
          <w:p w14:paraId="0169E1C7" w14:textId="77777777" w:rsidR="00D005E8" w:rsidRPr="006C0012" w:rsidRDefault="00D005E8" w:rsidP="00D005E8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430512E3" w14:textId="77777777" w:rsidR="00D005E8" w:rsidRPr="00B44CB0" w:rsidRDefault="00D005E8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34B2781D" w14:textId="554B5A2B" w:rsidR="00D005E8" w:rsidRPr="00B44CB0" w:rsidRDefault="00D005E8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304715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5.2 </w:t>
            </w:r>
            <w:hyperlink r:id="rId16" w:history="1">
              <w:r w:rsidRPr="00304715">
                <w:rPr>
                  <w:rFonts w:asciiTheme="minorHAnsi" w:hAnsiTheme="minorHAnsi" w:cstheme="minorHAnsi"/>
                  <w:sz w:val="20"/>
                  <w:szCs w:val="20"/>
                  <w:lang w:val="es-BO"/>
                </w:rPr>
                <w:t>Estudios de preinversión elaborados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</w:tc>
        <w:tc>
          <w:tcPr>
            <w:tcW w:w="7110" w:type="dxa"/>
            <w:shd w:val="clear" w:color="auto" w:fill="auto"/>
          </w:tcPr>
          <w:p w14:paraId="5607343B" w14:textId="46CEFCA3" w:rsidR="00D005E8" w:rsidRPr="00B44CB0" w:rsidRDefault="00D005E8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5.1 </w:t>
            </w:r>
            <w:r w:rsidRPr="003C3CAC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Estudios de Preinversión elaborados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</w:p>
        </w:tc>
      </w:tr>
      <w:tr w:rsidR="00D005E8" w:rsidRPr="00227068" w14:paraId="1E73DB0C" w14:textId="77777777" w:rsidTr="00110051">
        <w:trPr>
          <w:trHeight w:val="431"/>
        </w:trPr>
        <w:tc>
          <w:tcPr>
            <w:tcW w:w="2160" w:type="dxa"/>
            <w:vMerge/>
            <w:vAlign w:val="center"/>
          </w:tcPr>
          <w:p w14:paraId="0DE3D138" w14:textId="77777777" w:rsidR="00D005E8" w:rsidRPr="006C0012" w:rsidRDefault="00D005E8" w:rsidP="00D005E8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  <w:shd w:val="clear" w:color="auto" w:fill="auto"/>
            <w:vAlign w:val="center"/>
          </w:tcPr>
          <w:p w14:paraId="109EF875" w14:textId="77777777" w:rsidR="00D005E8" w:rsidRPr="00B44CB0" w:rsidRDefault="00D005E8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3DAE5494" w14:textId="51D4F533" w:rsidR="00D005E8" w:rsidRPr="00CA48F5" w:rsidRDefault="00CA48F5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CA48F5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</w:t>
            </w:r>
          </w:p>
        </w:tc>
        <w:tc>
          <w:tcPr>
            <w:tcW w:w="7110" w:type="dxa"/>
            <w:shd w:val="clear" w:color="auto" w:fill="auto"/>
          </w:tcPr>
          <w:p w14:paraId="6B7D1FB9" w14:textId="587AFF62" w:rsidR="00D005E8" w:rsidRDefault="00D005E8" w:rsidP="00AB20B3">
            <w:pPr>
              <w:ind w:left="15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3C3CAC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5.3 </w:t>
            </w:r>
            <w:proofErr w:type="gramStart"/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Funcionarios</w:t>
            </w:r>
            <w:proofErr w:type="gramEnd"/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graduados en el Diplomado "Política Fiscal Municipal"</w:t>
            </w:r>
            <w:r w:rsidR="00A300C0">
              <w:rPr>
                <w:rStyle w:val="FootnoteReference"/>
                <w:rFonts w:asciiTheme="minorHAnsi" w:hAnsiTheme="minorHAnsi" w:cstheme="minorHAnsi"/>
                <w:sz w:val="20"/>
                <w:szCs w:val="20"/>
                <w:lang w:val="es-BO"/>
              </w:rPr>
              <w:footnoteReference w:id="10"/>
            </w:r>
          </w:p>
          <w:p w14:paraId="77DE190C" w14:textId="38F27A58" w:rsidR="00D005E8" w:rsidRPr="00B44CB0" w:rsidRDefault="00D005E8" w:rsidP="00D005E8">
            <w:pPr>
              <w:keepNext/>
              <w:keepLines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</w:p>
        </w:tc>
      </w:tr>
      <w:tr w:rsidR="00702481" w:rsidRPr="00227068" w14:paraId="2313FCAE" w14:textId="77777777" w:rsidTr="00D005E8">
        <w:trPr>
          <w:trHeight w:val="431"/>
        </w:trPr>
        <w:tc>
          <w:tcPr>
            <w:tcW w:w="2160" w:type="dxa"/>
            <w:vMerge/>
            <w:vAlign w:val="center"/>
          </w:tcPr>
          <w:p w14:paraId="07F4A03F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2060" w:type="dxa"/>
            <w:gridSpan w:val="4"/>
            <w:shd w:val="clear" w:color="auto" w:fill="F2F2F2" w:themeFill="background1" w:themeFillShade="F2"/>
            <w:vAlign w:val="center"/>
          </w:tcPr>
          <w:p w14:paraId="765B2E81" w14:textId="0F4CE3DA" w:rsidR="00702481" w:rsidRPr="006C0012" w:rsidRDefault="00702481" w:rsidP="00702481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B44CB0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Componente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V</w:t>
            </w:r>
            <w:r w:rsidR="00D005E8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[CTR]</w:t>
            </w:r>
            <w:r w:rsidRPr="00B44CB0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: Fortalecimiento de las funciones de regulación, coordinación y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</w:t>
            </w:r>
            <w:r w:rsidRPr="00B44CB0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planificación</w:t>
            </w:r>
            <w:r w:rsidRPr="0028714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</w:t>
            </w:r>
          </w:p>
        </w:tc>
      </w:tr>
      <w:tr w:rsidR="00702481" w:rsidRPr="00512F92" w14:paraId="66AA826D" w14:textId="77777777" w:rsidTr="00D005E8">
        <w:trPr>
          <w:trHeight w:val="440"/>
        </w:trPr>
        <w:tc>
          <w:tcPr>
            <w:tcW w:w="2160" w:type="dxa"/>
            <w:vMerge/>
            <w:vAlign w:val="center"/>
          </w:tcPr>
          <w:p w14:paraId="14ACF3A7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 w:val="restart"/>
          </w:tcPr>
          <w:p w14:paraId="4A0BFE99" w14:textId="307BE859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R6. </w:t>
            </w:r>
            <w:r w:rsidRPr="00192486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Funciones de regulación, coordinación y planificación fortalecidas</w:t>
            </w:r>
          </w:p>
        </w:tc>
        <w:tc>
          <w:tcPr>
            <w:tcW w:w="1870" w:type="dxa"/>
            <w:vMerge w:val="restart"/>
          </w:tcPr>
          <w:p w14:paraId="4932FE83" w14:textId="18C3AF88" w:rsidR="00702481" w:rsidRPr="00304715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</w:t>
            </w:r>
          </w:p>
        </w:tc>
        <w:tc>
          <w:tcPr>
            <w:tcW w:w="7130" w:type="dxa"/>
            <w:gridSpan w:val="2"/>
          </w:tcPr>
          <w:p w14:paraId="445AB3A4" w14:textId="712850FA" w:rsidR="00702481" w:rsidRPr="00B04EC7" w:rsidRDefault="00702481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4.1 </w:t>
            </w:r>
            <w:r w:rsidRPr="0028714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Cuadros de Mando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</w:t>
            </w:r>
            <w:r w:rsidRPr="0028714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ntegral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</w:t>
            </w:r>
            <w:r w:rsidRPr="0028714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mplementados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</w:tc>
      </w:tr>
      <w:tr w:rsidR="00702481" w:rsidRPr="00227068" w14:paraId="59E011D3" w14:textId="77777777" w:rsidTr="00D005E8">
        <w:trPr>
          <w:trHeight w:val="440"/>
        </w:trPr>
        <w:tc>
          <w:tcPr>
            <w:tcW w:w="2160" w:type="dxa"/>
            <w:vMerge/>
            <w:vAlign w:val="center"/>
          </w:tcPr>
          <w:p w14:paraId="45152F91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</w:tcPr>
          <w:p w14:paraId="58CEB394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/>
          </w:tcPr>
          <w:p w14:paraId="0CCC0FCF" w14:textId="676A53EB" w:rsidR="00702481" w:rsidRPr="00304715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7130" w:type="dxa"/>
            <w:gridSpan w:val="2"/>
          </w:tcPr>
          <w:p w14:paraId="0B871FEA" w14:textId="40B1FD04" w:rsidR="00702481" w:rsidRPr="004B617F" w:rsidRDefault="00702481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4.2 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DAAFIM con equipo informático en funcionamiento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</w:tc>
      </w:tr>
      <w:tr w:rsidR="00702481" w:rsidRPr="00227068" w14:paraId="48CB682D" w14:textId="77777777" w:rsidTr="00D005E8">
        <w:trPr>
          <w:trHeight w:val="422"/>
        </w:trPr>
        <w:tc>
          <w:tcPr>
            <w:tcW w:w="2160" w:type="dxa"/>
            <w:vMerge/>
            <w:vAlign w:val="center"/>
          </w:tcPr>
          <w:p w14:paraId="12982080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</w:tcPr>
          <w:p w14:paraId="71237D07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/>
          </w:tcPr>
          <w:p w14:paraId="79806E06" w14:textId="75223AAE" w:rsidR="00702481" w:rsidRPr="00304715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7130" w:type="dxa"/>
            <w:gridSpan w:val="2"/>
          </w:tcPr>
          <w:p w14:paraId="4F09DF61" w14:textId="07445BD9" w:rsidR="00702481" w:rsidRPr="004B617F" w:rsidRDefault="00702481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4.3 </w:t>
            </w:r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Eventos de capacitación personal DAAFIM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</w:tc>
      </w:tr>
      <w:tr w:rsidR="00702481" w:rsidRPr="00227068" w14:paraId="74C3D5E7" w14:textId="77777777" w:rsidTr="00D005E8">
        <w:trPr>
          <w:trHeight w:val="449"/>
        </w:trPr>
        <w:tc>
          <w:tcPr>
            <w:tcW w:w="2160" w:type="dxa"/>
            <w:vMerge/>
            <w:vAlign w:val="center"/>
          </w:tcPr>
          <w:p w14:paraId="30AA03E4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</w:tcPr>
          <w:p w14:paraId="056418AD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6C1345F7" w14:textId="3D321D06" w:rsidR="00702481" w:rsidRPr="00304715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7130" w:type="dxa"/>
            <w:gridSpan w:val="2"/>
            <w:tcBorders>
              <w:bottom w:val="single" w:sz="4" w:space="0" w:color="auto"/>
            </w:tcBorders>
          </w:tcPr>
          <w:p w14:paraId="3A6FF982" w14:textId="20CFA1B2" w:rsidR="00702481" w:rsidRPr="004B617F" w:rsidRDefault="00702481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4.4 </w:t>
            </w:r>
            <w:proofErr w:type="gramStart"/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Funcionarios</w:t>
            </w:r>
            <w:proofErr w:type="gramEnd"/>
            <w:r w:rsidRPr="004B61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graduados en el Diplomado "Política Fiscal Municipal"</w:t>
            </w:r>
          </w:p>
        </w:tc>
      </w:tr>
      <w:tr w:rsidR="00702481" w:rsidRPr="00227068" w14:paraId="2F47BD64" w14:textId="77777777" w:rsidTr="00D005E8">
        <w:trPr>
          <w:trHeight w:val="521"/>
        </w:trPr>
        <w:tc>
          <w:tcPr>
            <w:tcW w:w="2160" w:type="dxa"/>
            <w:vMerge/>
            <w:vAlign w:val="center"/>
          </w:tcPr>
          <w:p w14:paraId="096A48AE" w14:textId="77777777" w:rsidR="00702481" w:rsidRPr="006C0012" w:rsidRDefault="00702481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2060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6354E" w14:textId="13CDE08A" w:rsidR="00702481" w:rsidRPr="004B617F" w:rsidRDefault="00702481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B44CB0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Componente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V</w:t>
            </w:r>
            <w:r w:rsidR="00D005E8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 [CTR]</w:t>
            </w:r>
            <w:r w:rsidRPr="00B44CB0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: Fortalecimiento de la capacidad técnica del INFOM</w:t>
            </w:r>
          </w:p>
        </w:tc>
      </w:tr>
      <w:tr w:rsidR="00CA48F5" w:rsidRPr="00227068" w14:paraId="3B980A54" w14:textId="77777777" w:rsidTr="00BB42A2">
        <w:trPr>
          <w:trHeight w:val="521"/>
        </w:trPr>
        <w:tc>
          <w:tcPr>
            <w:tcW w:w="2160" w:type="dxa"/>
            <w:vMerge/>
            <w:vAlign w:val="center"/>
          </w:tcPr>
          <w:p w14:paraId="46646CC5" w14:textId="77777777" w:rsidR="00CA48F5" w:rsidRPr="006C0012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 w:val="restart"/>
          </w:tcPr>
          <w:p w14:paraId="237D6AFA" w14:textId="77777777" w:rsidR="00CA48F5" w:rsidRPr="006C0012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R7. Capacidad técnica del Instituto de Fomento Municipal fortalecida.</w:t>
            </w:r>
          </w:p>
          <w:p w14:paraId="15ADA36D" w14:textId="04008866" w:rsidR="00CA48F5" w:rsidRPr="006C0012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 w:val="restart"/>
          </w:tcPr>
          <w:p w14:paraId="4163489E" w14:textId="2A894555" w:rsidR="00CA48F5" w:rsidRPr="000C0EE7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No definido</w:t>
            </w:r>
          </w:p>
        </w:tc>
        <w:tc>
          <w:tcPr>
            <w:tcW w:w="7130" w:type="dxa"/>
            <w:gridSpan w:val="2"/>
            <w:tcBorders>
              <w:bottom w:val="single" w:sz="4" w:space="0" w:color="auto"/>
            </w:tcBorders>
          </w:tcPr>
          <w:tbl>
            <w:tblPr>
              <w:tblW w:w="8120" w:type="dxa"/>
              <w:tblLayout w:type="fixed"/>
              <w:tblLook w:val="04A0" w:firstRow="1" w:lastRow="0" w:firstColumn="1" w:lastColumn="0" w:noHBand="0" w:noVBand="1"/>
            </w:tblPr>
            <w:tblGrid>
              <w:gridCol w:w="8120"/>
            </w:tblGrid>
            <w:tr w:rsidR="00CA48F5" w:rsidRPr="00227068" w14:paraId="59FB0593" w14:textId="77777777" w:rsidTr="0056431F">
              <w:trPr>
                <w:trHeight w:val="400"/>
              </w:trPr>
              <w:tc>
                <w:tcPr>
                  <w:tcW w:w="8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0B48FBC" w14:textId="27572EA6" w:rsidR="00CA48F5" w:rsidRPr="00161A7F" w:rsidRDefault="00CA48F5" w:rsidP="00702481">
                  <w:pPr>
                    <w:ind w:left="-68"/>
                    <w:rPr>
                      <w:rFonts w:asciiTheme="minorHAnsi" w:hAnsiTheme="minorHAnsi" w:cstheme="minorHAnsi"/>
                      <w:sz w:val="20"/>
                      <w:szCs w:val="20"/>
                      <w:lang w:val="es-BO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s-BO"/>
                    </w:rPr>
                    <w:t xml:space="preserve">6.1 </w:t>
                  </w:r>
                  <w:r w:rsidRPr="00161A7F">
                    <w:rPr>
                      <w:rFonts w:asciiTheme="minorHAnsi" w:hAnsiTheme="minorHAnsi" w:cstheme="minorHAnsi"/>
                      <w:sz w:val="20"/>
                      <w:szCs w:val="20"/>
                      <w:lang w:val="es-BO"/>
                    </w:rPr>
                    <w:t>Propuesta de nuevo rol del INFOM elaborad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s-BO"/>
                    </w:rPr>
                    <w:t>a*</w:t>
                  </w:r>
                </w:p>
              </w:tc>
            </w:tr>
          </w:tbl>
          <w:p w14:paraId="18E59BD5" w14:textId="17469641" w:rsidR="00CA48F5" w:rsidRPr="004B617F" w:rsidRDefault="00CA48F5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</w:tr>
      <w:tr w:rsidR="00CA48F5" w:rsidRPr="00227068" w14:paraId="1D0CA5AC" w14:textId="77777777" w:rsidTr="00D005E8">
        <w:trPr>
          <w:trHeight w:val="422"/>
        </w:trPr>
        <w:tc>
          <w:tcPr>
            <w:tcW w:w="2160" w:type="dxa"/>
            <w:vMerge/>
            <w:vAlign w:val="center"/>
          </w:tcPr>
          <w:p w14:paraId="59554D32" w14:textId="77777777" w:rsidR="00CA48F5" w:rsidRPr="006C0012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</w:tcPr>
          <w:p w14:paraId="387F6D7A" w14:textId="77777777" w:rsidR="00CA48F5" w:rsidRPr="006C0012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/>
          </w:tcPr>
          <w:p w14:paraId="0B97B3E5" w14:textId="6F35900A" w:rsidR="00CA48F5" w:rsidRPr="000C0EE7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7130" w:type="dxa"/>
            <w:gridSpan w:val="2"/>
            <w:tcBorders>
              <w:bottom w:val="single" w:sz="4" w:space="0" w:color="auto"/>
            </w:tcBorders>
          </w:tcPr>
          <w:p w14:paraId="55DD121C" w14:textId="56A55937" w:rsidR="00CA48F5" w:rsidRPr="004B617F" w:rsidRDefault="00CA48F5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6.2 </w:t>
            </w:r>
            <w:r w:rsidRPr="00161A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INFOM con equipo informático en funcionamiento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*</w:t>
            </w:r>
          </w:p>
        </w:tc>
      </w:tr>
      <w:tr w:rsidR="00CA48F5" w:rsidRPr="00227068" w14:paraId="04944E27" w14:textId="77777777" w:rsidTr="00D005E8">
        <w:trPr>
          <w:trHeight w:val="440"/>
        </w:trPr>
        <w:tc>
          <w:tcPr>
            <w:tcW w:w="2160" w:type="dxa"/>
            <w:vMerge/>
            <w:vAlign w:val="center"/>
          </w:tcPr>
          <w:p w14:paraId="54B68919" w14:textId="77777777" w:rsidR="00CA48F5" w:rsidRPr="006C0012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</w:tcPr>
          <w:p w14:paraId="79B668B5" w14:textId="77777777" w:rsidR="00CA48F5" w:rsidRPr="006C0012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65DBE5C8" w14:textId="0A23F0C3" w:rsidR="00CA48F5" w:rsidRPr="000C0EE7" w:rsidRDefault="00CA48F5" w:rsidP="00702481">
            <w:pPr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</w:p>
        </w:tc>
        <w:tc>
          <w:tcPr>
            <w:tcW w:w="7130" w:type="dxa"/>
            <w:gridSpan w:val="2"/>
            <w:tcBorders>
              <w:bottom w:val="single" w:sz="4" w:space="0" w:color="auto"/>
            </w:tcBorders>
          </w:tcPr>
          <w:p w14:paraId="400B1794" w14:textId="19CDEFBE" w:rsidR="00CA48F5" w:rsidRPr="004B617F" w:rsidRDefault="00CA48F5" w:rsidP="00702481">
            <w:pPr>
              <w:ind w:left="38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6.3 </w:t>
            </w:r>
            <w:proofErr w:type="gramStart"/>
            <w:r w:rsidRPr="00161A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Funcionarios</w:t>
            </w:r>
            <w:proofErr w:type="gramEnd"/>
            <w:r w:rsidRPr="00161A7F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graduados en el Diplomado "Política Fiscal Municipal"</w:t>
            </w:r>
          </w:p>
        </w:tc>
      </w:tr>
    </w:tbl>
    <w:p w14:paraId="54A6B01A" w14:textId="4B2C346A" w:rsidR="00F66FFE" w:rsidRDefault="00F66FFE">
      <w:pPr>
        <w:rPr>
          <w:rFonts w:asciiTheme="minorHAnsi" w:hAnsiTheme="minorHAnsi" w:cstheme="minorHAnsi"/>
          <w:lang w:val="es-BO"/>
        </w:rPr>
      </w:pPr>
    </w:p>
    <w:p w14:paraId="79E3B087" w14:textId="2EF82C12" w:rsidR="002A07A4" w:rsidRDefault="002A07A4">
      <w:pPr>
        <w:rPr>
          <w:rFonts w:asciiTheme="minorHAnsi" w:hAnsiTheme="minorHAnsi" w:cstheme="minorHAnsi"/>
          <w:lang w:val="es-BO"/>
        </w:rPr>
      </w:pPr>
      <w:bookmarkStart w:id="0" w:name="_GoBack"/>
      <w:bookmarkEnd w:id="0"/>
    </w:p>
    <w:sectPr w:rsidR="002A07A4" w:rsidSect="009721F1">
      <w:footerReference w:type="even" r:id="rId17"/>
      <w:footerReference w:type="default" r:id="rId18"/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17697" w14:textId="77777777" w:rsidR="00B11D80" w:rsidRDefault="00B11D80" w:rsidP="003C28EA">
      <w:r>
        <w:separator/>
      </w:r>
    </w:p>
  </w:endnote>
  <w:endnote w:type="continuationSeparator" w:id="0">
    <w:p w14:paraId="47BB736B" w14:textId="77777777" w:rsidR="00B11D80" w:rsidRDefault="00B11D80" w:rsidP="003C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FBAB2" w14:textId="77777777" w:rsidR="003C28EA" w:rsidRDefault="003C28EA" w:rsidP="008267D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74E630" w14:textId="77777777" w:rsidR="003C28EA" w:rsidRDefault="003C2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6C6C" w14:textId="730ED52D" w:rsidR="003C28EA" w:rsidRDefault="003C28EA" w:rsidP="008267D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4457">
      <w:rPr>
        <w:rStyle w:val="PageNumber"/>
        <w:noProof/>
      </w:rPr>
      <w:t>5</w:t>
    </w:r>
    <w:r>
      <w:rPr>
        <w:rStyle w:val="PageNumber"/>
      </w:rPr>
      <w:fldChar w:fldCharType="end"/>
    </w:r>
  </w:p>
  <w:p w14:paraId="4582CBDB" w14:textId="77777777" w:rsidR="003C28EA" w:rsidRDefault="003C2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8576F" w14:textId="77777777" w:rsidR="00B11D80" w:rsidRDefault="00B11D80" w:rsidP="003C28EA">
      <w:r>
        <w:separator/>
      </w:r>
    </w:p>
  </w:footnote>
  <w:footnote w:type="continuationSeparator" w:id="0">
    <w:p w14:paraId="02196A8A" w14:textId="77777777" w:rsidR="00B11D80" w:rsidRDefault="00B11D80" w:rsidP="003C28EA">
      <w:r>
        <w:continuationSeparator/>
      </w:r>
    </w:p>
  </w:footnote>
  <w:footnote w:id="1">
    <w:p w14:paraId="420345B2" w14:textId="02E90B39" w:rsidR="004B617F" w:rsidRPr="00AE75C1" w:rsidRDefault="004B617F">
      <w:pPr>
        <w:pStyle w:val="FootnoteText"/>
        <w:rPr>
          <w:rFonts w:asciiTheme="minorHAnsi" w:hAnsiTheme="minorHAnsi" w:cstheme="minorHAnsi"/>
          <w:lang w:val="es-BO"/>
        </w:rPr>
      </w:pPr>
      <w:r w:rsidRPr="00AE75C1">
        <w:rPr>
          <w:rStyle w:val="FootnoteReference"/>
          <w:rFonts w:asciiTheme="minorHAnsi" w:hAnsiTheme="minorHAnsi" w:cstheme="minorHAnsi"/>
          <w:sz w:val="20"/>
        </w:rPr>
        <w:footnoteRef/>
      </w:r>
      <w:r w:rsidRPr="00AE75C1">
        <w:rPr>
          <w:rFonts w:asciiTheme="minorHAnsi" w:hAnsiTheme="minorHAnsi" w:cstheme="minorHAnsi"/>
          <w:sz w:val="20"/>
          <w:lang w:val="es-BO"/>
        </w:rPr>
        <w:t xml:space="preserve"> Resumido de la Propuesta de Préstamo de la Operación.</w:t>
      </w:r>
    </w:p>
  </w:footnote>
  <w:footnote w:id="2">
    <w:p w14:paraId="3188BFC5" w14:textId="1FB45767" w:rsidR="00321FA8" w:rsidRPr="00321FA8" w:rsidRDefault="00321FA8">
      <w:pPr>
        <w:pStyle w:val="FootnoteText"/>
        <w:rPr>
          <w:rFonts w:asciiTheme="minorHAnsi" w:hAnsiTheme="minorHAnsi" w:cstheme="minorHAnsi"/>
          <w:sz w:val="20"/>
          <w:szCs w:val="20"/>
          <w:lang w:val="es-BO"/>
        </w:rPr>
      </w:pPr>
      <w:r w:rsidRPr="00321FA8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321FA8">
        <w:rPr>
          <w:rFonts w:asciiTheme="minorHAnsi" w:hAnsiTheme="minorHAnsi" w:cstheme="minorHAnsi"/>
          <w:sz w:val="20"/>
          <w:szCs w:val="20"/>
          <w:lang w:val="es-BO"/>
        </w:rPr>
        <w:t xml:space="preserve"> La numeración de los resultados corresponde a lo reportado en Convergencia.</w:t>
      </w:r>
    </w:p>
  </w:footnote>
  <w:footnote w:id="3">
    <w:p w14:paraId="1244BDE4" w14:textId="22524189" w:rsidR="00C91E8C" w:rsidRPr="00867D5C" w:rsidRDefault="00C91E8C" w:rsidP="00C91E8C">
      <w:pPr>
        <w:pStyle w:val="FootnoteText"/>
        <w:rPr>
          <w:rFonts w:asciiTheme="minorHAnsi" w:hAnsiTheme="minorHAnsi" w:cstheme="minorHAnsi"/>
          <w:sz w:val="20"/>
          <w:szCs w:val="20"/>
          <w:lang w:val="es-BO"/>
        </w:rPr>
      </w:pPr>
      <w:r w:rsidRPr="00867D5C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867D5C">
        <w:rPr>
          <w:rFonts w:asciiTheme="minorHAnsi" w:hAnsiTheme="minorHAnsi" w:cstheme="minorHAnsi"/>
          <w:sz w:val="20"/>
          <w:szCs w:val="20"/>
          <w:lang w:val="es-BO"/>
        </w:rPr>
        <w:t xml:space="preserve"> La numeración de los </w:t>
      </w:r>
      <w:r w:rsidR="00321FA8" w:rsidRPr="00867D5C">
        <w:rPr>
          <w:rFonts w:asciiTheme="minorHAnsi" w:hAnsiTheme="minorHAnsi" w:cstheme="minorHAnsi"/>
          <w:sz w:val="20"/>
          <w:szCs w:val="20"/>
          <w:lang w:val="es-BO"/>
        </w:rPr>
        <w:t xml:space="preserve">indicadores de </w:t>
      </w:r>
      <w:r w:rsidRPr="00867D5C">
        <w:rPr>
          <w:rFonts w:asciiTheme="minorHAnsi" w:hAnsiTheme="minorHAnsi" w:cstheme="minorHAnsi"/>
          <w:sz w:val="20"/>
          <w:szCs w:val="20"/>
          <w:lang w:val="es-BO"/>
        </w:rPr>
        <w:t>resultado corresponde a lo reportado en Convergencia.</w:t>
      </w:r>
    </w:p>
  </w:footnote>
  <w:footnote w:id="4">
    <w:p w14:paraId="7EEAD16E" w14:textId="573EB34F" w:rsidR="00867D5C" w:rsidRPr="00CA48F5" w:rsidRDefault="00867D5C">
      <w:pPr>
        <w:pStyle w:val="FootnoteText"/>
        <w:rPr>
          <w:rFonts w:asciiTheme="minorHAnsi" w:hAnsiTheme="minorHAnsi" w:cstheme="minorHAnsi"/>
          <w:sz w:val="20"/>
          <w:szCs w:val="20"/>
          <w:lang w:val="es-BO"/>
        </w:rPr>
      </w:pPr>
      <w:r w:rsidRPr="00867D5C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867D5C">
        <w:rPr>
          <w:rFonts w:asciiTheme="minorHAnsi" w:hAnsiTheme="minorHAnsi" w:cstheme="minorHAnsi"/>
          <w:sz w:val="20"/>
          <w:szCs w:val="20"/>
          <w:lang w:val="es-BO"/>
        </w:rPr>
        <w:t xml:space="preserve"> En la mayor parte de los casos se adoptó 2011 como año para la Línea Base. Sin embargo, en otros casos se emplearon datos correspondientes al año 2009, lo </w:t>
      </w:r>
      <w:r w:rsidRPr="00CA48F5">
        <w:rPr>
          <w:rFonts w:asciiTheme="minorHAnsi" w:hAnsiTheme="minorHAnsi" w:cstheme="minorHAnsi"/>
          <w:sz w:val="20"/>
          <w:szCs w:val="20"/>
          <w:lang w:val="es-BO"/>
        </w:rPr>
        <w:t>cual se debió a la no disponibilidad de información más reciente.</w:t>
      </w:r>
    </w:p>
  </w:footnote>
  <w:footnote w:id="5">
    <w:p w14:paraId="6E010919" w14:textId="44EE66FB" w:rsidR="00C91E8C" w:rsidRPr="00CA48F5" w:rsidRDefault="00C91E8C" w:rsidP="00112829">
      <w:pPr>
        <w:pStyle w:val="FootnoteText"/>
        <w:ind w:left="288" w:hanging="288"/>
        <w:rPr>
          <w:rFonts w:asciiTheme="minorHAnsi" w:hAnsiTheme="minorHAnsi" w:cstheme="minorHAnsi"/>
          <w:sz w:val="20"/>
          <w:szCs w:val="20"/>
          <w:lang w:val="es-BO"/>
        </w:rPr>
      </w:pPr>
      <w:r w:rsidRPr="00CA48F5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CA48F5">
        <w:rPr>
          <w:rFonts w:asciiTheme="minorHAnsi" w:hAnsiTheme="minorHAnsi" w:cstheme="minorHAnsi"/>
          <w:sz w:val="20"/>
          <w:szCs w:val="20"/>
          <w:lang w:val="es-BO"/>
        </w:rPr>
        <w:t xml:space="preserve"> </w:t>
      </w:r>
      <w:r w:rsidR="006975FE" w:rsidRPr="00CA48F5">
        <w:rPr>
          <w:rFonts w:asciiTheme="minorHAnsi" w:hAnsiTheme="minorHAnsi" w:cstheme="minorHAnsi"/>
          <w:sz w:val="20"/>
          <w:szCs w:val="20"/>
          <w:lang w:val="es-BO"/>
        </w:rPr>
        <w:t>La numeración de productos corresponde a lo reportado en Convergencia.</w:t>
      </w:r>
      <w:r w:rsidRPr="00CA48F5">
        <w:rPr>
          <w:rFonts w:asciiTheme="minorHAnsi" w:hAnsiTheme="minorHAnsi" w:cstheme="minorHAnsi"/>
          <w:sz w:val="20"/>
          <w:szCs w:val="20"/>
          <w:lang w:val="es-BO"/>
        </w:rPr>
        <w:t xml:space="preserve"> </w:t>
      </w:r>
    </w:p>
  </w:footnote>
  <w:footnote w:id="6">
    <w:p w14:paraId="61A93F88" w14:textId="69119D72" w:rsidR="00CA48F5" w:rsidRPr="00CA48F5" w:rsidRDefault="00CA48F5">
      <w:pPr>
        <w:pStyle w:val="FootnoteText"/>
        <w:rPr>
          <w:lang w:val="es-BO"/>
        </w:rPr>
      </w:pPr>
      <w:r w:rsidRPr="00CA48F5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CA48F5">
        <w:rPr>
          <w:rFonts w:asciiTheme="minorHAnsi" w:hAnsiTheme="minorHAnsi" w:cstheme="minorHAnsi"/>
          <w:sz w:val="20"/>
          <w:szCs w:val="20"/>
          <w:lang w:val="es-BO"/>
        </w:rPr>
        <w:t xml:space="preserve"> N.A.: No aplica.</w:t>
      </w:r>
    </w:p>
  </w:footnote>
  <w:footnote w:id="7">
    <w:p w14:paraId="7E902E48" w14:textId="77777777" w:rsidR="00490B32" w:rsidRPr="006223A3" w:rsidRDefault="00490B32" w:rsidP="00C91E8C">
      <w:pPr>
        <w:pStyle w:val="FootnoteText"/>
        <w:rPr>
          <w:rFonts w:asciiTheme="minorHAnsi" w:hAnsiTheme="minorHAnsi" w:cstheme="minorHAnsi"/>
          <w:sz w:val="20"/>
          <w:szCs w:val="20"/>
          <w:lang w:val="es-BO"/>
        </w:rPr>
      </w:pPr>
      <w:r w:rsidRPr="006223A3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6223A3">
        <w:rPr>
          <w:rFonts w:asciiTheme="minorHAnsi" w:hAnsiTheme="minorHAnsi" w:cstheme="minorHAnsi"/>
          <w:sz w:val="20"/>
          <w:szCs w:val="20"/>
          <w:lang w:val="es-BO"/>
        </w:rPr>
        <w:t xml:space="preserve"> La numeración de los resultados corresponde a lo reportado en Convergencia.</w:t>
      </w:r>
    </w:p>
  </w:footnote>
  <w:footnote w:id="8">
    <w:p w14:paraId="5BEEE15E" w14:textId="77777777" w:rsidR="00490B32" w:rsidRPr="006223A3" w:rsidRDefault="00490B32" w:rsidP="00112829">
      <w:pPr>
        <w:pStyle w:val="FootnoteText"/>
        <w:ind w:left="288" w:hanging="288"/>
        <w:rPr>
          <w:rFonts w:asciiTheme="minorHAnsi" w:hAnsiTheme="minorHAnsi" w:cstheme="minorHAnsi"/>
          <w:sz w:val="20"/>
          <w:szCs w:val="20"/>
          <w:lang w:val="es-BO"/>
        </w:rPr>
      </w:pPr>
      <w:r w:rsidRPr="006223A3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6223A3">
        <w:rPr>
          <w:rFonts w:asciiTheme="minorHAnsi" w:hAnsiTheme="minorHAnsi" w:cstheme="minorHAnsi"/>
          <w:sz w:val="20"/>
          <w:szCs w:val="20"/>
          <w:lang w:val="es-BO"/>
        </w:rPr>
        <w:t xml:space="preserve"> La numeración de productos corresponde a lo reportado en Convergencia. </w:t>
      </w:r>
    </w:p>
  </w:footnote>
  <w:footnote w:id="9">
    <w:p w14:paraId="426289EE" w14:textId="77777777" w:rsidR="00702481" w:rsidRPr="006223A3" w:rsidRDefault="00702481" w:rsidP="003C3CAC">
      <w:pPr>
        <w:pStyle w:val="FootnoteText"/>
        <w:rPr>
          <w:lang w:val="es-BO"/>
        </w:rPr>
      </w:pPr>
      <w:r w:rsidRPr="006223A3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6223A3">
        <w:rPr>
          <w:rFonts w:asciiTheme="minorHAnsi" w:hAnsiTheme="minorHAnsi" w:cstheme="minorHAnsi"/>
          <w:sz w:val="20"/>
          <w:szCs w:val="20"/>
          <w:lang w:val="es-BO"/>
        </w:rPr>
        <w:t xml:space="preserve"> Los </w:t>
      </w:r>
      <w:r>
        <w:rPr>
          <w:rFonts w:asciiTheme="minorHAnsi" w:hAnsiTheme="minorHAnsi" w:cstheme="minorHAnsi"/>
          <w:sz w:val="20"/>
          <w:szCs w:val="20"/>
          <w:lang w:val="es-BO"/>
        </w:rPr>
        <w:t xml:space="preserve">resultados y </w:t>
      </w:r>
      <w:r w:rsidRPr="006223A3">
        <w:rPr>
          <w:rFonts w:asciiTheme="minorHAnsi" w:hAnsiTheme="minorHAnsi" w:cstheme="minorHAnsi"/>
          <w:sz w:val="20"/>
          <w:szCs w:val="20"/>
          <w:lang w:val="es-BO"/>
        </w:rPr>
        <w:t xml:space="preserve">productos marcados con asterisco fueron adicionados durante la ejecución del Programa, con carácter posterior a la </w:t>
      </w:r>
      <w:r>
        <w:rPr>
          <w:rFonts w:asciiTheme="minorHAnsi" w:hAnsiTheme="minorHAnsi" w:cstheme="minorHAnsi"/>
          <w:sz w:val="20"/>
          <w:szCs w:val="20"/>
          <w:lang w:val="es-BO"/>
        </w:rPr>
        <w:t xml:space="preserve">fecha de </w:t>
      </w:r>
      <w:r w:rsidRPr="006223A3">
        <w:rPr>
          <w:rFonts w:asciiTheme="minorHAnsi" w:hAnsiTheme="minorHAnsi" w:cstheme="minorHAnsi"/>
          <w:sz w:val="20"/>
          <w:szCs w:val="20"/>
          <w:lang w:val="es-BO"/>
        </w:rPr>
        <w:t>elegibilidad + 60 días.</w:t>
      </w:r>
    </w:p>
  </w:footnote>
  <w:footnote w:id="10">
    <w:p w14:paraId="01A424A7" w14:textId="0E8C1C15" w:rsidR="00A300C0" w:rsidRPr="00195C01" w:rsidRDefault="00A300C0" w:rsidP="00A300C0">
      <w:pPr>
        <w:pStyle w:val="FootnoteText"/>
        <w:rPr>
          <w:rFonts w:asciiTheme="minorHAnsi" w:hAnsiTheme="minorHAnsi" w:cstheme="minorHAnsi"/>
          <w:sz w:val="20"/>
          <w:szCs w:val="20"/>
          <w:lang w:val="es-BO"/>
        </w:rPr>
      </w:pPr>
      <w:r w:rsidRPr="00195C01">
        <w:rPr>
          <w:rStyle w:val="FootnoteReference"/>
        </w:rPr>
        <w:footnoteRef/>
      </w:r>
      <w:r w:rsidRPr="00195C01">
        <w:rPr>
          <w:rFonts w:asciiTheme="minorHAnsi" w:hAnsiTheme="minorHAnsi" w:cstheme="minorHAnsi"/>
          <w:sz w:val="20"/>
          <w:szCs w:val="20"/>
          <w:lang w:val="es-BO"/>
        </w:rPr>
        <w:t xml:space="preserve"> El producto se definió originalmente como “Técnicos de la </w:t>
      </w:r>
      <w:r>
        <w:rPr>
          <w:rFonts w:asciiTheme="minorHAnsi" w:hAnsiTheme="minorHAnsi" w:cstheme="minorHAnsi"/>
          <w:sz w:val="20"/>
          <w:szCs w:val="20"/>
          <w:lang w:val="es-BO"/>
        </w:rPr>
        <w:t>MGCS</w:t>
      </w:r>
      <w:r w:rsidRPr="00195C01">
        <w:rPr>
          <w:rFonts w:asciiTheme="minorHAnsi" w:hAnsiTheme="minorHAnsi" w:cstheme="minorHAnsi"/>
          <w:sz w:val="20"/>
          <w:szCs w:val="20"/>
          <w:lang w:val="es-BO"/>
        </w:rPr>
        <w:t xml:space="preserve"> capacitados </w:t>
      </w:r>
      <w:r w:rsidRPr="00A300C0">
        <w:rPr>
          <w:rFonts w:asciiTheme="minorHAnsi" w:hAnsiTheme="minorHAnsi" w:cstheme="minorHAnsi"/>
          <w:sz w:val="20"/>
          <w:szCs w:val="20"/>
          <w:lang w:val="es-BO"/>
        </w:rPr>
        <w:t>en fortalecimiento fiscal, financiero y tarifario</w:t>
      </w:r>
      <w:r>
        <w:rPr>
          <w:rFonts w:asciiTheme="minorHAnsi" w:hAnsiTheme="minorHAnsi" w:cstheme="minorHAnsi"/>
          <w:sz w:val="20"/>
          <w:szCs w:val="20"/>
          <w:lang w:val="es-BO"/>
        </w:rPr>
        <w:t>”</w:t>
      </w:r>
      <w:r w:rsidRPr="00195C01">
        <w:rPr>
          <w:rFonts w:asciiTheme="minorHAnsi" w:hAnsiTheme="minorHAnsi" w:cstheme="minorHAnsi"/>
          <w:sz w:val="20"/>
          <w:szCs w:val="20"/>
          <w:lang w:val="es-BO"/>
        </w:rPr>
        <w:t>. Su alcance fue especificado</w:t>
      </w:r>
      <w:r>
        <w:rPr>
          <w:rFonts w:asciiTheme="minorHAnsi" w:hAnsiTheme="minorHAnsi" w:cstheme="minorHAnsi"/>
          <w:sz w:val="20"/>
          <w:szCs w:val="20"/>
          <w:lang w:val="es-BO"/>
        </w:rPr>
        <w:t xml:space="preserve"> durante la ejecución</w:t>
      </w:r>
      <w:r w:rsidRPr="00195C01">
        <w:rPr>
          <w:rFonts w:asciiTheme="minorHAnsi" w:hAnsiTheme="minorHAnsi" w:cstheme="minorHAnsi"/>
          <w:sz w:val="20"/>
          <w:szCs w:val="20"/>
          <w:lang w:val="es-BO"/>
        </w:rPr>
        <w:t>.</w:t>
      </w:r>
      <w:r>
        <w:rPr>
          <w:rFonts w:asciiTheme="minorHAnsi" w:hAnsiTheme="minorHAnsi" w:cstheme="minorHAnsi"/>
          <w:sz w:val="20"/>
          <w:szCs w:val="20"/>
          <w:lang w:val="es-BO"/>
        </w:rPr>
        <w:t xml:space="preserve"> Similar observación se aplica a las actividades de capacitación para funcionarios del MINFIN e INFOM.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62"/>
    <w:rsid w:val="000059A1"/>
    <w:rsid w:val="00012DBF"/>
    <w:rsid w:val="00020241"/>
    <w:rsid w:val="0002555C"/>
    <w:rsid w:val="00040D1E"/>
    <w:rsid w:val="00041A44"/>
    <w:rsid w:val="00064A3B"/>
    <w:rsid w:val="00065AC8"/>
    <w:rsid w:val="00075D7E"/>
    <w:rsid w:val="00075EFB"/>
    <w:rsid w:val="00093C64"/>
    <w:rsid w:val="000976BC"/>
    <w:rsid w:val="000C0EE7"/>
    <w:rsid w:val="000C6250"/>
    <w:rsid w:val="000E4A18"/>
    <w:rsid w:val="000F58EB"/>
    <w:rsid w:val="000F6D88"/>
    <w:rsid w:val="00112829"/>
    <w:rsid w:val="00113EF7"/>
    <w:rsid w:val="00132E44"/>
    <w:rsid w:val="00161A7F"/>
    <w:rsid w:val="001636F8"/>
    <w:rsid w:val="00164F48"/>
    <w:rsid w:val="00182045"/>
    <w:rsid w:val="00195C01"/>
    <w:rsid w:val="00197D98"/>
    <w:rsid w:val="001C3608"/>
    <w:rsid w:val="001E18DA"/>
    <w:rsid w:val="0020716B"/>
    <w:rsid w:val="002220D9"/>
    <w:rsid w:val="00223308"/>
    <w:rsid w:val="00225EEF"/>
    <w:rsid w:val="00227068"/>
    <w:rsid w:val="002342FA"/>
    <w:rsid w:val="002344B6"/>
    <w:rsid w:val="002652D0"/>
    <w:rsid w:val="002726EF"/>
    <w:rsid w:val="0028714A"/>
    <w:rsid w:val="002A07A4"/>
    <w:rsid w:val="002A4E22"/>
    <w:rsid w:val="002B4457"/>
    <w:rsid w:val="002B7850"/>
    <w:rsid w:val="002C5DC2"/>
    <w:rsid w:val="002C615C"/>
    <w:rsid w:val="002E1738"/>
    <w:rsid w:val="00304715"/>
    <w:rsid w:val="00320EEC"/>
    <w:rsid w:val="00321FA8"/>
    <w:rsid w:val="00322488"/>
    <w:rsid w:val="00332AFA"/>
    <w:rsid w:val="00337C83"/>
    <w:rsid w:val="003406C7"/>
    <w:rsid w:val="00356663"/>
    <w:rsid w:val="0036281D"/>
    <w:rsid w:val="003638C7"/>
    <w:rsid w:val="00380636"/>
    <w:rsid w:val="00387789"/>
    <w:rsid w:val="0039113C"/>
    <w:rsid w:val="00392933"/>
    <w:rsid w:val="0039490F"/>
    <w:rsid w:val="003A2AFB"/>
    <w:rsid w:val="003A4FF0"/>
    <w:rsid w:val="003B56C8"/>
    <w:rsid w:val="003B6148"/>
    <w:rsid w:val="003C28EA"/>
    <w:rsid w:val="003C3CAC"/>
    <w:rsid w:val="003D0719"/>
    <w:rsid w:val="003E73B4"/>
    <w:rsid w:val="003F5F54"/>
    <w:rsid w:val="00406F03"/>
    <w:rsid w:val="00417AB5"/>
    <w:rsid w:val="00461AA8"/>
    <w:rsid w:val="004633CE"/>
    <w:rsid w:val="00473655"/>
    <w:rsid w:val="00484A13"/>
    <w:rsid w:val="00484E04"/>
    <w:rsid w:val="00490B32"/>
    <w:rsid w:val="0049424E"/>
    <w:rsid w:val="00495929"/>
    <w:rsid w:val="004961C2"/>
    <w:rsid w:val="004B617F"/>
    <w:rsid w:val="004C38D5"/>
    <w:rsid w:val="004C70E1"/>
    <w:rsid w:val="004D3F2E"/>
    <w:rsid w:val="004E51E0"/>
    <w:rsid w:val="004E7785"/>
    <w:rsid w:val="00504502"/>
    <w:rsid w:val="0050582D"/>
    <w:rsid w:val="005108A1"/>
    <w:rsid w:val="00512F92"/>
    <w:rsid w:val="00526688"/>
    <w:rsid w:val="00534AD0"/>
    <w:rsid w:val="00537D4E"/>
    <w:rsid w:val="00543EBD"/>
    <w:rsid w:val="0055403D"/>
    <w:rsid w:val="0059507A"/>
    <w:rsid w:val="00597B2C"/>
    <w:rsid w:val="005A0C44"/>
    <w:rsid w:val="005A7218"/>
    <w:rsid w:val="005C0C60"/>
    <w:rsid w:val="005C6AFF"/>
    <w:rsid w:val="005D7302"/>
    <w:rsid w:val="005E5E57"/>
    <w:rsid w:val="0060759A"/>
    <w:rsid w:val="0061243D"/>
    <w:rsid w:val="0061657B"/>
    <w:rsid w:val="006223A3"/>
    <w:rsid w:val="00623FAA"/>
    <w:rsid w:val="00625DCF"/>
    <w:rsid w:val="00631FB3"/>
    <w:rsid w:val="006420FA"/>
    <w:rsid w:val="00650797"/>
    <w:rsid w:val="006541CD"/>
    <w:rsid w:val="00673BCA"/>
    <w:rsid w:val="00690F0B"/>
    <w:rsid w:val="00696BFF"/>
    <w:rsid w:val="006975FE"/>
    <w:rsid w:val="006C0012"/>
    <w:rsid w:val="006C13DE"/>
    <w:rsid w:val="006D42D2"/>
    <w:rsid w:val="006F094D"/>
    <w:rsid w:val="006F1C14"/>
    <w:rsid w:val="006F690E"/>
    <w:rsid w:val="006F6BFC"/>
    <w:rsid w:val="0070224E"/>
    <w:rsid w:val="00702481"/>
    <w:rsid w:val="00710F48"/>
    <w:rsid w:val="007113CD"/>
    <w:rsid w:val="0074585F"/>
    <w:rsid w:val="007527C9"/>
    <w:rsid w:val="00752B61"/>
    <w:rsid w:val="0076012B"/>
    <w:rsid w:val="0076659D"/>
    <w:rsid w:val="0078111F"/>
    <w:rsid w:val="00783200"/>
    <w:rsid w:val="007A02A2"/>
    <w:rsid w:val="007A1A54"/>
    <w:rsid w:val="007F04BD"/>
    <w:rsid w:val="007F6458"/>
    <w:rsid w:val="007F72E0"/>
    <w:rsid w:val="00800117"/>
    <w:rsid w:val="008210B0"/>
    <w:rsid w:val="008633A5"/>
    <w:rsid w:val="00867D5C"/>
    <w:rsid w:val="00884560"/>
    <w:rsid w:val="00896D6F"/>
    <w:rsid w:val="008A69C4"/>
    <w:rsid w:val="008B3EB7"/>
    <w:rsid w:val="008B60AC"/>
    <w:rsid w:val="008B675C"/>
    <w:rsid w:val="008B7A8E"/>
    <w:rsid w:val="008C2ED7"/>
    <w:rsid w:val="008D783C"/>
    <w:rsid w:val="008E7D3C"/>
    <w:rsid w:val="008F4AE4"/>
    <w:rsid w:val="008F7511"/>
    <w:rsid w:val="00914682"/>
    <w:rsid w:val="00925022"/>
    <w:rsid w:val="0092505A"/>
    <w:rsid w:val="009254D3"/>
    <w:rsid w:val="00951EBA"/>
    <w:rsid w:val="00954A3A"/>
    <w:rsid w:val="00955E5A"/>
    <w:rsid w:val="00956598"/>
    <w:rsid w:val="00963F67"/>
    <w:rsid w:val="0096549C"/>
    <w:rsid w:val="0097067C"/>
    <w:rsid w:val="009721F1"/>
    <w:rsid w:val="009B3924"/>
    <w:rsid w:val="009D44A5"/>
    <w:rsid w:val="00A0274C"/>
    <w:rsid w:val="00A300C0"/>
    <w:rsid w:val="00A4322D"/>
    <w:rsid w:val="00A52D5A"/>
    <w:rsid w:val="00A6154E"/>
    <w:rsid w:val="00A7760B"/>
    <w:rsid w:val="00A821A5"/>
    <w:rsid w:val="00A8268B"/>
    <w:rsid w:val="00A92C8A"/>
    <w:rsid w:val="00A93EFC"/>
    <w:rsid w:val="00AB0A1D"/>
    <w:rsid w:val="00AB20B3"/>
    <w:rsid w:val="00AB7115"/>
    <w:rsid w:val="00AD6ACE"/>
    <w:rsid w:val="00AE75C1"/>
    <w:rsid w:val="00AF148F"/>
    <w:rsid w:val="00AF2BAE"/>
    <w:rsid w:val="00B03365"/>
    <w:rsid w:val="00B04EC7"/>
    <w:rsid w:val="00B050EF"/>
    <w:rsid w:val="00B11D80"/>
    <w:rsid w:val="00B206FE"/>
    <w:rsid w:val="00B2324D"/>
    <w:rsid w:val="00B3287E"/>
    <w:rsid w:val="00B35662"/>
    <w:rsid w:val="00B44CB0"/>
    <w:rsid w:val="00B521DF"/>
    <w:rsid w:val="00B569CF"/>
    <w:rsid w:val="00B643FD"/>
    <w:rsid w:val="00B75EDF"/>
    <w:rsid w:val="00B92FF9"/>
    <w:rsid w:val="00BA3ECD"/>
    <w:rsid w:val="00BD6F8D"/>
    <w:rsid w:val="00BF32B9"/>
    <w:rsid w:val="00BF4D60"/>
    <w:rsid w:val="00C13CE6"/>
    <w:rsid w:val="00C16FCC"/>
    <w:rsid w:val="00C234AE"/>
    <w:rsid w:val="00C3265F"/>
    <w:rsid w:val="00C40B78"/>
    <w:rsid w:val="00C50E41"/>
    <w:rsid w:val="00C80CE8"/>
    <w:rsid w:val="00C85ADC"/>
    <w:rsid w:val="00C91E8C"/>
    <w:rsid w:val="00CA48F5"/>
    <w:rsid w:val="00CB6D79"/>
    <w:rsid w:val="00CD5BA9"/>
    <w:rsid w:val="00CE79D5"/>
    <w:rsid w:val="00CF1BC0"/>
    <w:rsid w:val="00CF2989"/>
    <w:rsid w:val="00CF60C0"/>
    <w:rsid w:val="00D005E8"/>
    <w:rsid w:val="00D021FB"/>
    <w:rsid w:val="00D27FF3"/>
    <w:rsid w:val="00D4529A"/>
    <w:rsid w:val="00D45FA7"/>
    <w:rsid w:val="00D54EE9"/>
    <w:rsid w:val="00D65966"/>
    <w:rsid w:val="00D81019"/>
    <w:rsid w:val="00DC5FC1"/>
    <w:rsid w:val="00DE5A61"/>
    <w:rsid w:val="00DF468B"/>
    <w:rsid w:val="00E01593"/>
    <w:rsid w:val="00E01E48"/>
    <w:rsid w:val="00E15EC7"/>
    <w:rsid w:val="00E26DF3"/>
    <w:rsid w:val="00E30016"/>
    <w:rsid w:val="00E41FD5"/>
    <w:rsid w:val="00E5387C"/>
    <w:rsid w:val="00E61BAD"/>
    <w:rsid w:val="00E81F26"/>
    <w:rsid w:val="00E91D34"/>
    <w:rsid w:val="00EB0578"/>
    <w:rsid w:val="00EB16F8"/>
    <w:rsid w:val="00EB1EC6"/>
    <w:rsid w:val="00EC136A"/>
    <w:rsid w:val="00F144FA"/>
    <w:rsid w:val="00F236D9"/>
    <w:rsid w:val="00F36B09"/>
    <w:rsid w:val="00F5725A"/>
    <w:rsid w:val="00F65B3B"/>
    <w:rsid w:val="00F66FFE"/>
    <w:rsid w:val="00F673D6"/>
    <w:rsid w:val="00F7108E"/>
    <w:rsid w:val="00FA6475"/>
    <w:rsid w:val="00FC50A3"/>
    <w:rsid w:val="00FC5488"/>
    <w:rsid w:val="00FD070B"/>
    <w:rsid w:val="00FE4D39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35F5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36B09"/>
    <w:pPr>
      <w:spacing w:before="100" w:beforeAutospacing="1" w:after="100" w:afterAutospacing="1"/>
      <w:outlineLvl w:val="3"/>
    </w:pPr>
    <w:rPr>
      <w:rFonts w:eastAsia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C28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8EA"/>
  </w:style>
  <w:style w:type="character" w:styleId="PageNumber">
    <w:name w:val="page number"/>
    <w:basedOn w:val="DefaultParagraphFont"/>
    <w:uiPriority w:val="99"/>
    <w:semiHidden/>
    <w:unhideWhenUsed/>
    <w:rsid w:val="003C28EA"/>
  </w:style>
  <w:style w:type="paragraph" w:styleId="FootnoteText">
    <w:name w:val="footnote text"/>
    <w:basedOn w:val="Normal"/>
    <w:link w:val="FootnoteTextChar"/>
    <w:uiPriority w:val="99"/>
    <w:unhideWhenUsed/>
    <w:rsid w:val="006D42D2"/>
  </w:style>
  <w:style w:type="character" w:customStyle="1" w:styleId="FootnoteTextChar">
    <w:name w:val="Footnote Text Char"/>
    <w:basedOn w:val="DefaultParagraphFont"/>
    <w:link w:val="FootnoteText"/>
    <w:uiPriority w:val="99"/>
    <w:rsid w:val="006D42D2"/>
  </w:style>
  <w:style w:type="character" w:styleId="FootnoteReference">
    <w:name w:val="footnote reference"/>
    <w:basedOn w:val="DefaultParagraphFont"/>
    <w:uiPriority w:val="99"/>
    <w:unhideWhenUsed/>
    <w:rsid w:val="006D42D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61243D"/>
  </w:style>
  <w:style w:type="character" w:customStyle="1" w:styleId="EndnoteTextChar">
    <w:name w:val="Endnote Text Char"/>
    <w:basedOn w:val="DefaultParagraphFont"/>
    <w:link w:val="EndnoteText"/>
    <w:uiPriority w:val="99"/>
    <w:rsid w:val="0061243D"/>
  </w:style>
  <w:style w:type="character" w:styleId="EndnoteReference">
    <w:name w:val="endnote reference"/>
    <w:basedOn w:val="DefaultParagraphFont"/>
    <w:uiPriority w:val="99"/>
    <w:unhideWhenUsed/>
    <w:rsid w:val="0061243D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F36B09"/>
    <w:rPr>
      <w:rFonts w:eastAsia="Times New Roman" w:cs="Times New Roman"/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30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72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F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vergence.iadb.org/GU-L1160/ResultsMatrix/OutcomeIndicator/Detail?resultsMatrixId=13096&amp;impactId=16380&amp;impactIndicatorId=123284" TargetMode="External"/><Relationship Id="rId13" Type="http://schemas.openxmlformats.org/officeDocument/2006/relationships/hyperlink" Target="http://convergence.iadb.org/GU-L1160/ResultsMatrix/OutcomeIndicator/Detail?resultsMatrixId=13096&amp;impactId=16382&amp;impactIndicatorId=12328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convergence.iadb.org/GU-L1160/ResultsMatrix/OutcomeIndicator/Detail?resultsMatrixId=13096&amp;impactId=16379&amp;impactIndicatorId=123282" TargetMode="External"/><Relationship Id="rId12" Type="http://schemas.openxmlformats.org/officeDocument/2006/relationships/hyperlink" Target="http://convergence.iadb.org/GU-L1160/ResultsMatrix/OutcomeIndicator/Detail?resultsMatrixId=13096&amp;impactId=16383&amp;impactIndicatorId=12329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convergence.iadb.org/GU-L1160/ResultsMatrix/OutcomeIndicator/Detail?resultsMatrixId=13096&amp;impactId=59628&amp;impactIndicatorId=12329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convergence.iadb.org/GU-L1160/ResultsMatrix/OutcomeIndicator/Detail?resultsMatrixId=13096&amp;impactId=16383&amp;impactIndicatorId=12328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onvergence.iadb.org/GU-L1160/ResultsMatrix/OutcomeIndicator/Detail?resultsMatrixId=13096&amp;impactId=59628&amp;impactIndicatorId=123291" TargetMode="External"/><Relationship Id="rId10" Type="http://schemas.openxmlformats.org/officeDocument/2006/relationships/hyperlink" Target="http://convergence.iadb.org/GU-L1160/ResultsMatrix/OutcomeIndicator/Detail?resultsMatrixId=13096&amp;impactId=16383&amp;impactIndicatorId=12328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nvergence.iadb.org/GU-L1160/ResultsMatrix/OutcomeIndicator/Detail?resultsMatrixId=13096&amp;impactId=16383&amp;impactIndicatorId=123287" TargetMode="External"/><Relationship Id="rId14" Type="http://schemas.openxmlformats.org/officeDocument/2006/relationships/hyperlink" Target="http://convergence.iadb.org/GU-L1160/ResultsMatrix/OutcomeIndicator/Detail?resultsMatrixId=13096&amp;impactId=16382&amp;impactIndicatorId=1232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B6B97-DC96-4CEB-B658-DC842B65B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 Howell</dc:creator>
  <cp:keywords/>
  <dc:description/>
  <cp:lastModifiedBy>IADB</cp:lastModifiedBy>
  <cp:revision>5</cp:revision>
  <cp:lastPrinted>2018-08-31T23:16:00Z</cp:lastPrinted>
  <dcterms:created xsi:type="dcterms:W3CDTF">2018-10-24T17:05:00Z</dcterms:created>
  <dcterms:modified xsi:type="dcterms:W3CDTF">2018-10-30T17:53:00Z</dcterms:modified>
</cp:coreProperties>
</file>