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4F3A76" w14:textId="7970074B" w:rsidR="00CE2DB0" w:rsidRPr="004E2535" w:rsidRDefault="00CE2DB0" w:rsidP="00CE2DB0">
      <w:pPr>
        <w:rPr>
          <w:rFonts w:cs="Arial"/>
          <w:b/>
          <w:bCs/>
          <w:sz w:val="24"/>
          <w:lang w:val="es-BO"/>
        </w:rPr>
      </w:pPr>
      <w:bookmarkStart w:id="0" w:name="_GoBack"/>
      <w:bookmarkEnd w:id="0"/>
      <w:r w:rsidRPr="004E2535">
        <w:rPr>
          <w:rFonts w:cs="Arial"/>
          <w:b/>
          <w:bCs/>
          <w:sz w:val="24"/>
          <w:lang w:val="es-BO"/>
        </w:rPr>
        <w:t>Factores críticos que afectaron el desempeño del Programa</w:t>
      </w:r>
    </w:p>
    <w:p w14:paraId="08D18845" w14:textId="673B98D0" w:rsidR="00CE2DB0" w:rsidRPr="004E2535" w:rsidRDefault="00CE2DB0" w:rsidP="00CE2DB0">
      <w:pPr>
        <w:rPr>
          <w:rFonts w:cs="Arial"/>
          <w:b/>
          <w:bCs/>
          <w:lang w:val="es-ES_tradnl"/>
        </w:rPr>
      </w:pPr>
    </w:p>
    <w:p w14:paraId="74625B5F" w14:textId="77777777" w:rsidR="00CE2DB0" w:rsidRPr="004E2535" w:rsidRDefault="00CE2DB0" w:rsidP="00CE2DB0">
      <w:pPr>
        <w:rPr>
          <w:rFonts w:cs="Arial"/>
          <w:b/>
          <w:bCs/>
          <w:lang w:val="es-ES_tradnl"/>
        </w:rPr>
      </w:pPr>
    </w:p>
    <w:p w14:paraId="69658306" w14:textId="7C58365B" w:rsidR="00CE2DB0" w:rsidRPr="004E2535" w:rsidRDefault="00CE2DB0" w:rsidP="00CE2DB0">
      <w:pPr>
        <w:rPr>
          <w:rFonts w:cs="Arial"/>
          <w:b/>
          <w:bCs/>
          <w:sz w:val="22"/>
          <w:lang w:val="es-ES_tradnl"/>
        </w:rPr>
      </w:pPr>
      <w:r w:rsidRPr="004E2535">
        <w:rPr>
          <w:rFonts w:cs="Arial"/>
          <w:b/>
          <w:bCs/>
          <w:sz w:val="22"/>
          <w:lang w:val="es-ES_tradnl"/>
        </w:rPr>
        <w:t>Factores positivos</w:t>
      </w:r>
    </w:p>
    <w:p w14:paraId="766073B7" w14:textId="77777777" w:rsidR="00CE2DB0" w:rsidRPr="004E2535" w:rsidRDefault="00CE2DB0" w:rsidP="00CE2DB0">
      <w:pPr>
        <w:rPr>
          <w:rFonts w:cs="Arial"/>
          <w:bCs/>
          <w:color w:val="FF0000"/>
          <w:sz w:val="22"/>
          <w:lang w:val="es-ES_tradnl"/>
        </w:rPr>
      </w:pPr>
    </w:p>
    <w:p w14:paraId="6D441AF4" w14:textId="77777777" w:rsidR="00CE2DB0" w:rsidRPr="004E2535" w:rsidRDefault="00CE2DB0" w:rsidP="00CE2DB0">
      <w:pPr>
        <w:numPr>
          <w:ilvl w:val="0"/>
          <w:numId w:val="3"/>
        </w:numPr>
        <w:ind w:left="360"/>
        <w:jc w:val="both"/>
        <w:rPr>
          <w:rFonts w:cs="Arial"/>
          <w:bCs/>
          <w:sz w:val="22"/>
          <w:lang w:val="es-ES_tradnl"/>
        </w:rPr>
      </w:pPr>
      <w:r w:rsidRPr="004E2535">
        <w:rPr>
          <w:rFonts w:cs="Arial"/>
          <w:bCs/>
          <w:sz w:val="22"/>
          <w:u w:val="single"/>
          <w:lang w:val="es-ES_tradnl"/>
        </w:rPr>
        <w:t>Estrategia política para la aprobación de la reforma</w:t>
      </w:r>
      <w:r w:rsidRPr="004E2535">
        <w:rPr>
          <w:rFonts w:cs="Arial"/>
          <w:bCs/>
          <w:sz w:val="22"/>
          <w:lang w:val="es-ES_tradnl"/>
        </w:rPr>
        <w:t xml:space="preserve">: Después de enfrentar una fuerte oposición a la reforma en la administración anterior que llevó a la inviabilidad política para aprobar la misma, el Organismo Ejecutivo logró encontrar los mecanismos para concretar el consenso político en el Congreso de la República y lograr así su aprobación. La estrategia implementada por el Ejecutivo fue la de buscar la aprobación de la reforma inmediatamente después de iniciar su periodo de gobierno, evitando así una repetición del desgaste político enfrentado por el gobierno anterior. Si bien esto implicó una discusión menos incluyente que la que se hubiera generado bajo un mecanismo como un pacto fiscal, la base de la reforma era en gran medida la misma que había promovido la administración anterior, por lo que el efecto neto de una discusión más amplia, con el respectivo aplazamiento que hubiera sido necesario, podría haber resultado en la inviabilidad de aprobar la reforma como sucedió anteriormente.  El éxito de la estrategia gubernamental y la consecuente aprobación de la reforma fue un paso importante para el país, ya que la nueva legislación contiene elementos que permiten fortalecer las finanzas públicas del país, tanto </w:t>
      </w:r>
      <w:proofErr w:type="gramStart"/>
      <w:r w:rsidRPr="004E2535">
        <w:rPr>
          <w:rFonts w:cs="Arial"/>
          <w:bCs/>
          <w:sz w:val="22"/>
          <w:lang w:val="es-ES_tradnl"/>
        </w:rPr>
        <w:t>en relación a</w:t>
      </w:r>
      <w:proofErr w:type="gramEnd"/>
      <w:r w:rsidRPr="004E2535">
        <w:rPr>
          <w:rFonts w:cs="Arial"/>
          <w:bCs/>
          <w:sz w:val="22"/>
          <w:lang w:val="es-ES_tradnl"/>
        </w:rPr>
        <w:t xml:space="preserve"> mayores ingresos como a capacidades de la administración tributaria para su buen funcionamiento.  </w:t>
      </w:r>
    </w:p>
    <w:p w14:paraId="68CAFCFF" w14:textId="77777777" w:rsidR="00CE2DB0" w:rsidRPr="004E2535" w:rsidRDefault="00CE2DB0" w:rsidP="00CE2DB0">
      <w:pPr>
        <w:ind w:left="360"/>
        <w:jc w:val="both"/>
        <w:rPr>
          <w:rFonts w:cs="Arial"/>
          <w:bCs/>
          <w:sz w:val="22"/>
          <w:u w:val="single"/>
          <w:lang w:val="es-ES_tradnl"/>
        </w:rPr>
      </w:pPr>
    </w:p>
    <w:p w14:paraId="5CAD3B85" w14:textId="77777777" w:rsidR="004E2535" w:rsidRDefault="004E2535" w:rsidP="00CE2DB0">
      <w:pPr>
        <w:rPr>
          <w:rFonts w:cs="Arial"/>
          <w:b/>
          <w:bCs/>
          <w:sz w:val="22"/>
          <w:lang w:val="es-ES_tradnl"/>
        </w:rPr>
      </w:pPr>
    </w:p>
    <w:p w14:paraId="4E58B44D" w14:textId="4A2DDE12" w:rsidR="00CE2DB0" w:rsidRPr="004E2535" w:rsidRDefault="00CE2DB0" w:rsidP="00CE2DB0">
      <w:pPr>
        <w:rPr>
          <w:rFonts w:cs="Arial"/>
          <w:b/>
          <w:bCs/>
          <w:sz w:val="22"/>
          <w:lang w:val="es-ES_tradnl"/>
        </w:rPr>
      </w:pPr>
      <w:r w:rsidRPr="004E2535">
        <w:rPr>
          <w:rFonts w:cs="Arial"/>
          <w:b/>
          <w:bCs/>
          <w:sz w:val="22"/>
          <w:lang w:val="es-ES_tradnl"/>
        </w:rPr>
        <w:t>Factores negativos</w:t>
      </w:r>
    </w:p>
    <w:p w14:paraId="3C09DCDE" w14:textId="77777777" w:rsidR="00CE2DB0" w:rsidRPr="004E2535" w:rsidRDefault="00CE2DB0" w:rsidP="00CE2DB0">
      <w:pPr>
        <w:rPr>
          <w:rFonts w:cs="Arial"/>
          <w:bCs/>
          <w:color w:val="FF0000"/>
          <w:sz w:val="22"/>
          <w:lang w:val="es-ES_tradnl"/>
        </w:rPr>
      </w:pPr>
    </w:p>
    <w:p w14:paraId="616B03E4" w14:textId="193C384F" w:rsidR="00CE2DB0" w:rsidRPr="004E2535" w:rsidRDefault="00CE2DB0" w:rsidP="00CE2DB0">
      <w:pPr>
        <w:numPr>
          <w:ilvl w:val="0"/>
          <w:numId w:val="3"/>
        </w:numPr>
        <w:ind w:left="360"/>
        <w:jc w:val="both"/>
        <w:rPr>
          <w:rFonts w:cs="Arial"/>
          <w:bCs/>
          <w:sz w:val="22"/>
          <w:lang w:val="es-ES_tradnl"/>
        </w:rPr>
      </w:pPr>
      <w:r w:rsidRPr="004E2535">
        <w:rPr>
          <w:rFonts w:cs="Arial"/>
          <w:bCs/>
          <w:sz w:val="22"/>
          <w:u w:val="single"/>
          <w:lang w:val="es-ES_tradnl"/>
        </w:rPr>
        <w:t>Choques externos en las importaciones y precios del petróleo</w:t>
      </w:r>
      <w:r w:rsidRPr="004E2535">
        <w:rPr>
          <w:rFonts w:cs="Arial"/>
          <w:bCs/>
          <w:sz w:val="22"/>
          <w:lang w:val="es-ES_tradnl"/>
        </w:rPr>
        <w:t>: El bajo crecimiento de las importaciones afectó la recaudación del IVA proveniente de la venta de bienes importados, lo cual contribuyó negativamente a que el indicador de carga tributaria no alcanzara el nivel planificado.  El Gráfico 1 muestra las tasas de crecimiento de las importaciones y del IVA de importaciones. Como se observa, la fuerte desaceleración entre 2011 y 2012 de las importaciones y su bajo dinamismo en 2013 impactaron negativamente en el crecimiento del IVA proveniente de estos bienes.  Dado que este rubro de ingresos representa alrededor del 30% de la recaudación total, no resulta sorprendente que la carga tributaria haya mostrado un desempeño menor al esperado</w:t>
      </w:r>
      <w:r w:rsidRPr="004E2535">
        <w:rPr>
          <w:rStyle w:val="FootnoteReference"/>
          <w:rFonts w:cs="Arial"/>
          <w:bCs/>
          <w:sz w:val="22"/>
          <w:lang w:val="es-ES_tradnl"/>
        </w:rPr>
        <w:footnoteReference w:id="1"/>
      </w:r>
      <w:r w:rsidRPr="004E2535">
        <w:rPr>
          <w:rFonts w:cs="Arial"/>
          <w:bCs/>
          <w:sz w:val="22"/>
          <w:lang w:val="es-ES_tradnl"/>
        </w:rPr>
        <w:t xml:space="preserve">. Cabe mencionar que algunos analistas estiman que parte de la desaceleración en el crecimiento de las importaciones podría estar vinculada al contrabando y los problemas registrados en las aduanas durante este periodo. El Gráfico 2 muestra el impacto directo de la baja de recaudación en IVA por importaciones en la variación anual de la carga tributaria, medida en porcentaje del PIB. También se observa que en 2013 el rubro de otros impuestos tuvo un importante impacto negativo en la variación de la carga tributaria en relación con 2012. Este comportamiento se explica parcialmente por la caída de los precios del petróleo, factor que incidió en una disminución en la captación de las regalías petroleras.  </w:t>
      </w:r>
    </w:p>
    <w:p w14:paraId="61813A76" w14:textId="77777777" w:rsidR="00CE2DB0" w:rsidRPr="004E2535" w:rsidRDefault="00CE2DB0" w:rsidP="00CE2DB0">
      <w:pPr>
        <w:jc w:val="both"/>
        <w:rPr>
          <w:rFonts w:cs="Arial"/>
          <w:bCs/>
          <w:lang w:val="es-ES_tradnl"/>
        </w:rPr>
      </w:pPr>
    </w:p>
    <w:p w14:paraId="35ACABA4" w14:textId="77777777" w:rsidR="00CE2DB0" w:rsidRPr="004E2535" w:rsidRDefault="00CE2DB0" w:rsidP="00CE2DB0">
      <w:pPr>
        <w:jc w:val="both"/>
        <w:rPr>
          <w:rFonts w:cs="Arial"/>
          <w:bCs/>
          <w:lang w:val="es-ES_tradnl"/>
        </w:rPr>
      </w:pPr>
    </w:p>
    <w:p w14:paraId="458B6B18" w14:textId="77777777" w:rsidR="00CE2DB0" w:rsidRPr="004E2535" w:rsidRDefault="00CE2DB0">
      <w:pPr>
        <w:spacing w:after="160" w:line="259" w:lineRule="auto"/>
        <w:rPr>
          <w:rFonts w:cs="Arial"/>
          <w:b/>
          <w:lang w:val="es-GT"/>
        </w:rPr>
      </w:pPr>
      <w:r w:rsidRPr="004E2535">
        <w:rPr>
          <w:rFonts w:cs="Arial"/>
          <w:b/>
          <w:lang w:val="es-GT"/>
        </w:rPr>
        <w:br w:type="page"/>
      </w:r>
    </w:p>
    <w:p w14:paraId="3C418633" w14:textId="4C1B11EC" w:rsidR="00CE2DB0" w:rsidRPr="004E2535" w:rsidRDefault="00CE2DB0" w:rsidP="00CE2DB0">
      <w:pPr>
        <w:autoSpaceDE w:val="0"/>
        <w:autoSpaceDN w:val="0"/>
        <w:adjustRightInd w:val="0"/>
        <w:jc w:val="center"/>
        <w:rPr>
          <w:rFonts w:cs="Arial"/>
          <w:b/>
          <w:lang w:val="es-GT"/>
        </w:rPr>
      </w:pPr>
      <w:r w:rsidRPr="004E2535">
        <w:rPr>
          <w:rFonts w:cs="Arial"/>
          <w:b/>
          <w:lang w:val="es-GT"/>
        </w:rPr>
        <w:lastRenderedPageBreak/>
        <w:t xml:space="preserve">Gráfico 1 – Guatemala: Crecimiento de las Importaciones y </w:t>
      </w:r>
      <w:r w:rsidRPr="004E2535">
        <w:rPr>
          <w:rFonts w:cs="Arial"/>
          <w:b/>
          <w:lang w:val="es-GT"/>
        </w:rPr>
        <w:br/>
        <w:t>del IVA de Importaciones 2004-2013</w:t>
      </w:r>
    </w:p>
    <w:p w14:paraId="38C62147" w14:textId="77777777" w:rsidR="00CE2DB0" w:rsidRPr="004E2535" w:rsidRDefault="00CE2DB0" w:rsidP="00CE2DB0">
      <w:pPr>
        <w:jc w:val="center"/>
        <w:rPr>
          <w:rFonts w:cs="Arial"/>
          <w:bCs/>
          <w:color w:val="FF0000"/>
          <w:sz w:val="22"/>
          <w:lang w:val="es-ES_tradnl"/>
        </w:rPr>
      </w:pPr>
      <w:r w:rsidRPr="004E2535">
        <w:rPr>
          <w:rFonts w:cs="Arial"/>
          <w:noProof/>
          <w:color w:val="FF0000"/>
          <w:sz w:val="22"/>
        </w:rPr>
        <w:drawing>
          <wp:inline distT="0" distB="0" distL="0" distR="0" wp14:anchorId="33913704" wp14:editId="64F85C9B">
            <wp:extent cx="4572000" cy="2637155"/>
            <wp:effectExtent l="0" t="0" r="0" b="0"/>
            <wp:docPr id="1" name="Picture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3F776F6" w14:textId="77777777" w:rsidR="00CE2DB0" w:rsidRPr="004E2535" w:rsidRDefault="00CE2DB0" w:rsidP="00CE2DB0">
      <w:pPr>
        <w:tabs>
          <w:tab w:val="left" w:pos="810"/>
        </w:tabs>
        <w:autoSpaceDE w:val="0"/>
        <w:autoSpaceDN w:val="0"/>
        <w:adjustRightInd w:val="0"/>
        <w:rPr>
          <w:rFonts w:cs="Arial"/>
          <w:noProof/>
          <w:sz w:val="18"/>
          <w:szCs w:val="24"/>
          <w:lang w:val="es-GT"/>
        </w:rPr>
      </w:pPr>
      <w:r w:rsidRPr="004E2535">
        <w:rPr>
          <w:rFonts w:cs="Arial"/>
          <w:noProof/>
          <w:sz w:val="18"/>
          <w:szCs w:val="24"/>
          <w:lang w:val="es-GT"/>
        </w:rPr>
        <w:tab/>
        <w:t>Fuente: Elaboración propia en base a datos del Banguat y SAT</w:t>
      </w:r>
    </w:p>
    <w:p w14:paraId="679B90DC" w14:textId="77777777" w:rsidR="00CE2DB0" w:rsidRPr="004E2535" w:rsidRDefault="00CE2DB0" w:rsidP="00CE2DB0">
      <w:pPr>
        <w:tabs>
          <w:tab w:val="left" w:pos="810"/>
        </w:tabs>
        <w:autoSpaceDE w:val="0"/>
        <w:autoSpaceDN w:val="0"/>
        <w:adjustRightInd w:val="0"/>
        <w:rPr>
          <w:rFonts w:cs="Arial"/>
          <w:noProof/>
          <w:sz w:val="18"/>
          <w:szCs w:val="24"/>
          <w:lang w:val="es-GT"/>
        </w:rPr>
      </w:pPr>
    </w:p>
    <w:p w14:paraId="56112B6D" w14:textId="77777777" w:rsidR="00CE2DB0" w:rsidRPr="004E2535" w:rsidRDefault="00CE2DB0" w:rsidP="00CE2DB0">
      <w:pPr>
        <w:tabs>
          <w:tab w:val="left" w:pos="810"/>
        </w:tabs>
        <w:autoSpaceDE w:val="0"/>
        <w:autoSpaceDN w:val="0"/>
        <w:adjustRightInd w:val="0"/>
        <w:rPr>
          <w:rFonts w:cs="Arial"/>
          <w:noProof/>
          <w:sz w:val="18"/>
          <w:szCs w:val="24"/>
          <w:lang w:val="es-GT"/>
        </w:rPr>
      </w:pPr>
    </w:p>
    <w:p w14:paraId="6BBBD6D4" w14:textId="1A0726D9" w:rsidR="00CE2DB0" w:rsidRPr="004E2535" w:rsidRDefault="00CE2DB0" w:rsidP="00CE2DB0">
      <w:pPr>
        <w:autoSpaceDE w:val="0"/>
        <w:autoSpaceDN w:val="0"/>
        <w:adjustRightInd w:val="0"/>
        <w:jc w:val="center"/>
        <w:rPr>
          <w:rFonts w:cs="Arial"/>
          <w:lang w:val="es-GT"/>
        </w:rPr>
      </w:pPr>
      <w:r w:rsidRPr="004E2535">
        <w:rPr>
          <w:rFonts w:cs="Arial"/>
          <w:b/>
          <w:lang w:val="es-GT"/>
        </w:rPr>
        <w:t>Gráfico 2 – Guatemala: Variación de la Recaudación por Impuesto 2011-2013</w:t>
      </w:r>
      <w:r w:rsidRPr="004E2535">
        <w:rPr>
          <w:rFonts w:cs="Arial"/>
          <w:b/>
          <w:lang w:val="es-GT"/>
        </w:rPr>
        <w:br/>
      </w:r>
      <w:r w:rsidRPr="004E2535">
        <w:rPr>
          <w:rFonts w:cs="Arial"/>
          <w:lang w:val="es-GT"/>
        </w:rPr>
        <w:t>(% del PIB)</w:t>
      </w:r>
    </w:p>
    <w:p w14:paraId="202D61E1" w14:textId="77777777" w:rsidR="00CE2DB0" w:rsidRPr="004E2535" w:rsidRDefault="00CE2DB0" w:rsidP="00CE2DB0">
      <w:pPr>
        <w:autoSpaceDE w:val="0"/>
        <w:autoSpaceDN w:val="0"/>
        <w:adjustRightInd w:val="0"/>
        <w:jc w:val="center"/>
        <w:rPr>
          <w:rFonts w:cs="Arial"/>
          <w:b/>
          <w:lang w:val="es-GT"/>
        </w:rPr>
      </w:pPr>
      <w:r w:rsidRPr="004E2535">
        <w:rPr>
          <w:rFonts w:cs="Arial"/>
          <w:b/>
          <w:noProof/>
        </w:rPr>
        <w:drawing>
          <wp:inline distT="0" distB="0" distL="0" distR="0" wp14:anchorId="2705A371" wp14:editId="1E5BE691">
            <wp:extent cx="4582795" cy="2753995"/>
            <wp:effectExtent l="0" t="0" r="8255"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2795" cy="2753995"/>
                    </a:xfrm>
                    <a:prstGeom prst="rect">
                      <a:avLst/>
                    </a:prstGeom>
                    <a:noFill/>
                    <a:ln>
                      <a:noFill/>
                    </a:ln>
                  </pic:spPr>
                </pic:pic>
              </a:graphicData>
            </a:graphic>
          </wp:inline>
        </w:drawing>
      </w:r>
    </w:p>
    <w:p w14:paraId="0810A6B8" w14:textId="77777777" w:rsidR="00CE2DB0" w:rsidRPr="004E2535" w:rsidRDefault="00CE2DB0" w:rsidP="00CE2DB0">
      <w:pPr>
        <w:tabs>
          <w:tab w:val="left" w:pos="810"/>
        </w:tabs>
        <w:autoSpaceDE w:val="0"/>
        <w:autoSpaceDN w:val="0"/>
        <w:adjustRightInd w:val="0"/>
        <w:rPr>
          <w:rFonts w:cs="Arial"/>
          <w:noProof/>
          <w:sz w:val="18"/>
          <w:szCs w:val="24"/>
          <w:lang w:val="es-GT"/>
        </w:rPr>
      </w:pPr>
      <w:r w:rsidRPr="004E2535">
        <w:rPr>
          <w:rFonts w:cs="Arial"/>
          <w:noProof/>
          <w:sz w:val="18"/>
          <w:szCs w:val="24"/>
          <w:lang w:val="es-GT"/>
        </w:rPr>
        <w:tab/>
        <w:t>Fuente: Elaboración propia en base a datos del MINFIN</w:t>
      </w:r>
    </w:p>
    <w:p w14:paraId="01D89A3E" w14:textId="77777777" w:rsidR="00CE2DB0" w:rsidRPr="004E2535" w:rsidRDefault="00CE2DB0" w:rsidP="00CE2DB0">
      <w:pPr>
        <w:tabs>
          <w:tab w:val="left" w:pos="810"/>
        </w:tabs>
        <w:autoSpaceDE w:val="0"/>
        <w:autoSpaceDN w:val="0"/>
        <w:adjustRightInd w:val="0"/>
        <w:rPr>
          <w:rFonts w:cs="Arial"/>
          <w:noProof/>
          <w:sz w:val="18"/>
          <w:szCs w:val="24"/>
          <w:lang w:val="es-GT"/>
        </w:rPr>
      </w:pPr>
    </w:p>
    <w:p w14:paraId="6DA1F53E" w14:textId="77777777" w:rsidR="00CE2DB0" w:rsidRPr="004E2535" w:rsidRDefault="00CE2DB0" w:rsidP="00CE2DB0">
      <w:pPr>
        <w:tabs>
          <w:tab w:val="left" w:pos="810"/>
        </w:tabs>
        <w:autoSpaceDE w:val="0"/>
        <w:autoSpaceDN w:val="0"/>
        <w:adjustRightInd w:val="0"/>
        <w:rPr>
          <w:rFonts w:cs="Arial"/>
          <w:noProof/>
          <w:sz w:val="18"/>
          <w:szCs w:val="24"/>
          <w:lang w:val="es-GT"/>
        </w:rPr>
      </w:pPr>
    </w:p>
    <w:p w14:paraId="794A389E" w14:textId="09816884" w:rsidR="00CE2DB0" w:rsidRPr="004E2535" w:rsidRDefault="00CE2DB0" w:rsidP="00CE2DB0">
      <w:pPr>
        <w:numPr>
          <w:ilvl w:val="0"/>
          <w:numId w:val="3"/>
        </w:numPr>
        <w:ind w:left="360"/>
        <w:jc w:val="both"/>
        <w:rPr>
          <w:rFonts w:cs="Arial"/>
          <w:bCs/>
          <w:sz w:val="22"/>
          <w:lang w:val="es-ES_tradnl"/>
        </w:rPr>
      </w:pPr>
      <w:r w:rsidRPr="004E2535">
        <w:rPr>
          <w:rFonts w:cs="Arial"/>
          <w:bCs/>
          <w:sz w:val="22"/>
          <w:u w:val="single"/>
          <w:lang w:val="es-ES_tradnl"/>
        </w:rPr>
        <w:t>Impugnaciones por inconstitucionalidad</w:t>
      </w:r>
      <w:r w:rsidRPr="004E2535">
        <w:rPr>
          <w:rFonts w:cs="Arial"/>
          <w:bCs/>
          <w:sz w:val="22"/>
          <w:lang w:val="es-ES_tradnl"/>
        </w:rPr>
        <w:t xml:space="preserve">: En el Cuadro </w:t>
      </w:r>
      <w:r w:rsidR="00210B88" w:rsidRPr="004E2535">
        <w:rPr>
          <w:rFonts w:cs="Arial"/>
          <w:bCs/>
          <w:sz w:val="22"/>
          <w:lang w:val="es-ES_tradnl"/>
        </w:rPr>
        <w:t>1</w:t>
      </w:r>
      <w:r w:rsidRPr="004E2535">
        <w:rPr>
          <w:rFonts w:cs="Arial"/>
          <w:bCs/>
          <w:sz w:val="22"/>
          <w:lang w:val="es-ES_tradnl"/>
        </w:rPr>
        <w:t xml:space="preserve"> se listan las impugnaciones por inconstitucionalidad en contra de las leyes de Actualización Tributaria y Anti</w:t>
      </w:r>
      <w:r w:rsidR="00CA3289">
        <w:rPr>
          <w:rFonts w:cs="Arial"/>
          <w:bCs/>
          <w:sz w:val="22"/>
          <w:lang w:val="es-ES_tradnl"/>
        </w:rPr>
        <w:t>-</w:t>
      </w:r>
      <w:r w:rsidRPr="004E2535">
        <w:rPr>
          <w:rFonts w:cs="Arial"/>
          <w:bCs/>
          <w:sz w:val="22"/>
          <w:lang w:val="es-ES_tradnl"/>
        </w:rPr>
        <w:t xml:space="preserve">evasión II que </w:t>
      </w:r>
      <w:r w:rsidR="00CA3289">
        <w:rPr>
          <w:rFonts w:cs="Arial"/>
          <w:bCs/>
          <w:sz w:val="22"/>
          <w:lang w:val="es-ES_tradnl"/>
        </w:rPr>
        <w:t>afectaron</w:t>
      </w:r>
      <w:r w:rsidRPr="004E2535">
        <w:rPr>
          <w:rFonts w:cs="Arial"/>
          <w:bCs/>
          <w:sz w:val="22"/>
          <w:lang w:val="es-ES_tradnl"/>
        </w:rPr>
        <w:t xml:space="preserve"> la legislación aprobada en la reforma. Estas acciones fueron presentadas por las cámaras empresariales y partidos de oposición en los meses posteriores a la publicación de los Decretos 4-2012 y 10-2012. En los casos en que estas impugnaciones han sido declaradas con lugar, el resultado principal ha sido una reducción de las facultades de la Administración Tributaria para fortalecer sus capacidades recaudatorias. El único impacto directo sobre la recaudación está relacionado con la tasa del ICV, el cual fue inicialmente sujeto de impugnación, lo que llevó al Organismo Ejecutivo a proponer una reducción del </w:t>
      </w:r>
      <w:r w:rsidRPr="004E2535">
        <w:rPr>
          <w:rFonts w:cs="Arial"/>
          <w:bCs/>
          <w:sz w:val="22"/>
          <w:lang w:val="es-ES_tradnl"/>
        </w:rPr>
        <w:lastRenderedPageBreak/>
        <w:t>50%, la cual fue finalmente aprobada por el Congreso de la República por medio del Decreto 1-2013.</w:t>
      </w:r>
    </w:p>
    <w:p w14:paraId="2F6B084D" w14:textId="77777777" w:rsidR="00CE2DB0" w:rsidRPr="004E2535" w:rsidRDefault="00CE2DB0" w:rsidP="00CE2DB0">
      <w:pPr>
        <w:tabs>
          <w:tab w:val="left" w:pos="810"/>
        </w:tabs>
        <w:autoSpaceDE w:val="0"/>
        <w:autoSpaceDN w:val="0"/>
        <w:adjustRightInd w:val="0"/>
        <w:rPr>
          <w:rFonts w:cs="Arial"/>
          <w:noProof/>
          <w:sz w:val="18"/>
          <w:szCs w:val="24"/>
          <w:lang w:val="es-ES_tradnl"/>
        </w:rPr>
      </w:pPr>
    </w:p>
    <w:p w14:paraId="382A320A" w14:textId="77777777" w:rsidR="00CE2DB0" w:rsidRPr="004E2535" w:rsidRDefault="00CE2DB0" w:rsidP="00CE2DB0">
      <w:pPr>
        <w:jc w:val="both"/>
        <w:rPr>
          <w:rFonts w:cs="Arial"/>
          <w:bCs/>
          <w:sz w:val="22"/>
          <w:lang w:val="es-ES_tradnl"/>
        </w:rPr>
      </w:pPr>
      <w:r w:rsidRPr="004E2535">
        <w:rPr>
          <w:rFonts w:cs="Arial"/>
          <w:bCs/>
          <w:sz w:val="22"/>
          <w:lang w:val="es-ES_tradnl"/>
        </w:rPr>
        <w:t xml:space="preserve"> </w:t>
      </w:r>
    </w:p>
    <w:p w14:paraId="45CE68B9" w14:textId="1BAF3335" w:rsidR="00CE2DB0" w:rsidRPr="004E2535" w:rsidRDefault="00CE2DB0" w:rsidP="00CE2DB0">
      <w:pPr>
        <w:autoSpaceDE w:val="0"/>
        <w:autoSpaceDN w:val="0"/>
        <w:adjustRightInd w:val="0"/>
        <w:spacing w:after="120"/>
        <w:jc w:val="center"/>
        <w:rPr>
          <w:rFonts w:cs="Arial"/>
          <w:b/>
          <w:lang w:val="es-GT"/>
        </w:rPr>
      </w:pPr>
      <w:r w:rsidRPr="004E2535">
        <w:rPr>
          <w:rFonts w:cs="Arial"/>
          <w:b/>
          <w:lang w:val="es-GT"/>
        </w:rPr>
        <w:t xml:space="preserve">Cuadro </w:t>
      </w:r>
      <w:r w:rsidR="00210B88" w:rsidRPr="004E2535">
        <w:rPr>
          <w:rFonts w:cs="Arial"/>
          <w:b/>
          <w:lang w:val="es-GT"/>
        </w:rPr>
        <w:t>1</w:t>
      </w:r>
      <w:r w:rsidRPr="004E2535">
        <w:rPr>
          <w:rFonts w:cs="Arial"/>
          <w:b/>
          <w:lang w:val="es-GT"/>
        </w:rPr>
        <w:t xml:space="preserve"> – Listado de Impugnaciones por Inconstitucionalidad en contra de los Decretos 4-2012 y 10-2012 que han afectado la reforma</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5"/>
        <w:gridCol w:w="4590"/>
        <w:gridCol w:w="3105"/>
      </w:tblGrid>
      <w:tr w:rsidR="00CE2DB0" w:rsidRPr="004E2535" w14:paraId="7A26FCC0" w14:textId="77777777" w:rsidTr="0053017E">
        <w:trPr>
          <w:jc w:val="center"/>
        </w:trPr>
        <w:tc>
          <w:tcPr>
            <w:tcW w:w="1575" w:type="dxa"/>
            <w:shd w:val="clear" w:color="auto" w:fill="000000" w:themeFill="text1"/>
          </w:tcPr>
          <w:p w14:paraId="1A9458CD" w14:textId="77777777" w:rsidR="00CE2DB0" w:rsidRPr="004E2535" w:rsidRDefault="00CE2DB0" w:rsidP="0053017E">
            <w:pPr>
              <w:pStyle w:val="ListParagraph"/>
              <w:numPr>
                <w:ilvl w:val="0"/>
                <w:numId w:val="0"/>
              </w:numPr>
              <w:jc w:val="center"/>
              <w:rPr>
                <w:rFonts w:ascii="Arial" w:hAnsi="Arial" w:cs="Arial"/>
                <w:b/>
                <w:sz w:val="20"/>
              </w:rPr>
            </w:pPr>
          </w:p>
        </w:tc>
        <w:tc>
          <w:tcPr>
            <w:tcW w:w="4590" w:type="dxa"/>
            <w:shd w:val="clear" w:color="auto" w:fill="000000" w:themeFill="text1"/>
          </w:tcPr>
          <w:p w14:paraId="481F70E9" w14:textId="77777777" w:rsidR="00CE2DB0" w:rsidRPr="004E2535" w:rsidRDefault="00CE2DB0" w:rsidP="0053017E">
            <w:pPr>
              <w:pStyle w:val="ListParagraph"/>
              <w:numPr>
                <w:ilvl w:val="0"/>
                <w:numId w:val="0"/>
              </w:numPr>
              <w:jc w:val="center"/>
              <w:rPr>
                <w:rFonts w:ascii="Arial" w:hAnsi="Arial" w:cs="Arial"/>
                <w:b/>
                <w:sz w:val="20"/>
              </w:rPr>
            </w:pPr>
            <w:r w:rsidRPr="004E2535">
              <w:rPr>
                <w:rFonts w:ascii="Arial" w:hAnsi="Arial" w:cs="Arial"/>
                <w:b/>
                <w:sz w:val="20"/>
              </w:rPr>
              <w:t>Tema que afecta</w:t>
            </w:r>
          </w:p>
        </w:tc>
        <w:tc>
          <w:tcPr>
            <w:tcW w:w="3105" w:type="dxa"/>
            <w:shd w:val="clear" w:color="auto" w:fill="000000" w:themeFill="text1"/>
          </w:tcPr>
          <w:p w14:paraId="793B7C93" w14:textId="77777777" w:rsidR="00CE2DB0" w:rsidRPr="004E2535" w:rsidRDefault="00CE2DB0" w:rsidP="0053017E">
            <w:pPr>
              <w:pStyle w:val="ListParagraph"/>
              <w:numPr>
                <w:ilvl w:val="0"/>
                <w:numId w:val="0"/>
              </w:numPr>
              <w:jc w:val="center"/>
              <w:rPr>
                <w:rFonts w:ascii="Arial" w:hAnsi="Arial" w:cs="Arial"/>
                <w:b/>
                <w:sz w:val="20"/>
              </w:rPr>
            </w:pPr>
            <w:proofErr w:type="gramStart"/>
            <w:r w:rsidRPr="004E2535">
              <w:rPr>
                <w:rFonts w:ascii="Arial" w:hAnsi="Arial" w:cs="Arial"/>
                <w:b/>
                <w:sz w:val="20"/>
              </w:rPr>
              <w:t>Status</w:t>
            </w:r>
            <w:proofErr w:type="gramEnd"/>
            <w:r w:rsidRPr="004E2535">
              <w:rPr>
                <w:rFonts w:ascii="Arial" w:hAnsi="Arial" w:cs="Arial"/>
                <w:b/>
                <w:sz w:val="20"/>
              </w:rPr>
              <w:t xml:space="preserve"> de la Legislación</w:t>
            </w:r>
          </w:p>
        </w:tc>
      </w:tr>
      <w:tr w:rsidR="00CE2DB0" w:rsidRPr="004E2535" w14:paraId="5DC2F7BC" w14:textId="77777777" w:rsidTr="0053017E">
        <w:trPr>
          <w:jc w:val="center"/>
        </w:trPr>
        <w:tc>
          <w:tcPr>
            <w:tcW w:w="9270" w:type="dxa"/>
            <w:gridSpan w:val="3"/>
            <w:shd w:val="clear" w:color="auto" w:fill="AEAAAA" w:themeFill="background2" w:themeFillShade="BF"/>
          </w:tcPr>
          <w:p w14:paraId="44BB3A93" w14:textId="77777777" w:rsidR="00CE2DB0" w:rsidRPr="004E2535" w:rsidRDefault="00CE2DB0" w:rsidP="0053017E">
            <w:pPr>
              <w:pStyle w:val="ListParagraph"/>
              <w:numPr>
                <w:ilvl w:val="0"/>
                <w:numId w:val="0"/>
              </w:numPr>
              <w:rPr>
                <w:rFonts w:ascii="Arial" w:hAnsi="Arial" w:cs="Arial"/>
                <w:b/>
                <w:sz w:val="20"/>
              </w:rPr>
            </w:pPr>
            <w:r w:rsidRPr="004E2535">
              <w:rPr>
                <w:rFonts w:ascii="Arial" w:hAnsi="Arial" w:cs="Arial"/>
                <w:sz w:val="20"/>
              </w:rPr>
              <w:t xml:space="preserve">Decreto 4-2012 – Ley </w:t>
            </w:r>
            <w:proofErr w:type="spellStart"/>
            <w:r w:rsidRPr="004E2535">
              <w:rPr>
                <w:rFonts w:ascii="Arial" w:hAnsi="Arial" w:cs="Arial"/>
                <w:sz w:val="20"/>
              </w:rPr>
              <w:t>Antievasión</w:t>
            </w:r>
            <w:proofErr w:type="spellEnd"/>
            <w:r w:rsidRPr="004E2535">
              <w:rPr>
                <w:rFonts w:ascii="Arial" w:hAnsi="Arial" w:cs="Arial"/>
                <w:sz w:val="20"/>
              </w:rPr>
              <w:t xml:space="preserve"> II </w:t>
            </w:r>
          </w:p>
        </w:tc>
      </w:tr>
      <w:tr w:rsidR="00CE2DB0" w:rsidRPr="004E2535" w14:paraId="00CD5075" w14:textId="77777777" w:rsidTr="0053017E">
        <w:trPr>
          <w:jc w:val="center"/>
        </w:trPr>
        <w:tc>
          <w:tcPr>
            <w:tcW w:w="1575" w:type="dxa"/>
          </w:tcPr>
          <w:p w14:paraId="1BA6DB70" w14:textId="77777777" w:rsidR="00CE2DB0" w:rsidRPr="004E2535" w:rsidRDefault="00CE2DB0" w:rsidP="0053017E">
            <w:pPr>
              <w:pStyle w:val="ListParagraph"/>
              <w:numPr>
                <w:ilvl w:val="0"/>
                <w:numId w:val="0"/>
              </w:numPr>
              <w:jc w:val="left"/>
              <w:rPr>
                <w:rFonts w:ascii="Arial" w:hAnsi="Arial" w:cs="Arial"/>
                <w:sz w:val="20"/>
              </w:rPr>
            </w:pPr>
            <w:r w:rsidRPr="004E2535">
              <w:rPr>
                <w:rFonts w:ascii="Arial" w:hAnsi="Arial" w:cs="Arial"/>
                <w:sz w:val="20"/>
              </w:rPr>
              <w:t>Artículo 2</w:t>
            </w:r>
          </w:p>
        </w:tc>
        <w:tc>
          <w:tcPr>
            <w:tcW w:w="4590" w:type="dxa"/>
          </w:tcPr>
          <w:p w14:paraId="6B3D1FFE" w14:textId="77777777" w:rsidR="00CE2DB0" w:rsidRPr="004E2535" w:rsidRDefault="00CE2DB0" w:rsidP="0053017E">
            <w:pPr>
              <w:pStyle w:val="ListParagraph"/>
              <w:numPr>
                <w:ilvl w:val="0"/>
                <w:numId w:val="0"/>
              </w:numPr>
              <w:rPr>
                <w:rFonts w:ascii="Arial" w:hAnsi="Arial" w:cs="Arial"/>
                <w:sz w:val="20"/>
              </w:rPr>
            </w:pPr>
            <w:r w:rsidRPr="004E2535">
              <w:rPr>
                <w:rFonts w:ascii="Arial" w:hAnsi="Arial" w:cs="Arial"/>
                <w:sz w:val="20"/>
              </w:rPr>
              <w:t xml:space="preserve">Limitación de costos deducibles en ISR exclusivamente por planes de pensiones debidamente autorizados como tales. </w:t>
            </w:r>
          </w:p>
        </w:tc>
        <w:tc>
          <w:tcPr>
            <w:tcW w:w="3105" w:type="dxa"/>
          </w:tcPr>
          <w:p w14:paraId="230137FB" w14:textId="77777777" w:rsidR="00CE2DB0" w:rsidRPr="004E2535" w:rsidRDefault="00CE2DB0" w:rsidP="0053017E">
            <w:pPr>
              <w:pStyle w:val="ListParagraph"/>
              <w:numPr>
                <w:ilvl w:val="0"/>
                <w:numId w:val="0"/>
              </w:numPr>
              <w:rPr>
                <w:rFonts w:ascii="Arial" w:hAnsi="Arial" w:cs="Arial"/>
                <w:sz w:val="20"/>
              </w:rPr>
            </w:pPr>
            <w:r w:rsidRPr="004E2535">
              <w:rPr>
                <w:rFonts w:ascii="Arial" w:hAnsi="Arial" w:cs="Arial"/>
                <w:sz w:val="20"/>
              </w:rPr>
              <w:t>Declarado inconstitucional en el Expediente 2836-2012, del 18 de diciembre de 2012.</w:t>
            </w:r>
          </w:p>
        </w:tc>
      </w:tr>
      <w:tr w:rsidR="00CE2DB0" w:rsidRPr="004E2535" w14:paraId="2CEDB680" w14:textId="77777777" w:rsidTr="0053017E">
        <w:trPr>
          <w:jc w:val="center"/>
        </w:trPr>
        <w:tc>
          <w:tcPr>
            <w:tcW w:w="1575" w:type="dxa"/>
          </w:tcPr>
          <w:p w14:paraId="5F945BCA" w14:textId="77777777" w:rsidR="00CE2DB0" w:rsidRPr="004E2535" w:rsidRDefault="00CE2DB0" w:rsidP="0053017E">
            <w:pPr>
              <w:pStyle w:val="ListParagraph"/>
              <w:numPr>
                <w:ilvl w:val="0"/>
                <w:numId w:val="0"/>
              </w:numPr>
              <w:jc w:val="left"/>
              <w:rPr>
                <w:rFonts w:ascii="Arial" w:hAnsi="Arial" w:cs="Arial"/>
                <w:sz w:val="20"/>
              </w:rPr>
            </w:pPr>
            <w:r w:rsidRPr="004E2535">
              <w:rPr>
                <w:rFonts w:ascii="Arial" w:hAnsi="Arial" w:cs="Arial"/>
                <w:sz w:val="20"/>
              </w:rPr>
              <w:t>Artículo 31</w:t>
            </w:r>
          </w:p>
        </w:tc>
        <w:tc>
          <w:tcPr>
            <w:tcW w:w="4590" w:type="dxa"/>
          </w:tcPr>
          <w:p w14:paraId="59923291" w14:textId="77777777" w:rsidR="00CE2DB0" w:rsidRPr="004E2535" w:rsidRDefault="00CE2DB0" w:rsidP="0053017E">
            <w:pPr>
              <w:pStyle w:val="ListParagraph"/>
              <w:numPr>
                <w:ilvl w:val="0"/>
                <w:numId w:val="0"/>
              </w:numPr>
              <w:rPr>
                <w:rFonts w:ascii="Arial" w:hAnsi="Arial" w:cs="Arial"/>
                <w:sz w:val="20"/>
              </w:rPr>
            </w:pPr>
            <w:r w:rsidRPr="004E2535">
              <w:rPr>
                <w:rFonts w:ascii="Arial" w:hAnsi="Arial" w:cs="Arial"/>
                <w:sz w:val="20"/>
              </w:rPr>
              <w:t>Simulación fiscal.</w:t>
            </w:r>
          </w:p>
        </w:tc>
        <w:tc>
          <w:tcPr>
            <w:tcW w:w="3105" w:type="dxa"/>
          </w:tcPr>
          <w:p w14:paraId="58AAD657" w14:textId="77777777" w:rsidR="00CE2DB0" w:rsidRPr="004E2535" w:rsidRDefault="00CE2DB0" w:rsidP="0053017E">
            <w:pPr>
              <w:pStyle w:val="ListParagraph"/>
              <w:numPr>
                <w:ilvl w:val="0"/>
                <w:numId w:val="0"/>
              </w:numPr>
              <w:rPr>
                <w:rFonts w:ascii="Arial" w:hAnsi="Arial" w:cs="Arial"/>
                <w:sz w:val="20"/>
              </w:rPr>
            </w:pPr>
            <w:r w:rsidRPr="004E2535">
              <w:rPr>
                <w:rFonts w:ascii="Arial" w:hAnsi="Arial" w:cs="Arial"/>
                <w:sz w:val="20"/>
              </w:rPr>
              <w:t>Declarado inconstitucional en el Expediente 1898-2012, del 11 de julio de 2013.</w:t>
            </w:r>
          </w:p>
        </w:tc>
      </w:tr>
      <w:tr w:rsidR="00CE2DB0" w:rsidRPr="004E2535" w14:paraId="48166175" w14:textId="77777777" w:rsidTr="0053017E">
        <w:trPr>
          <w:jc w:val="center"/>
        </w:trPr>
        <w:tc>
          <w:tcPr>
            <w:tcW w:w="1575" w:type="dxa"/>
          </w:tcPr>
          <w:p w14:paraId="367F1FBF" w14:textId="77777777" w:rsidR="00CE2DB0" w:rsidRPr="004E2535" w:rsidRDefault="00CE2DB0" w:rsidP="0053017E">
            <w:pPr>
              <w:pStyle w:val="ListParagraph"/>
              <w:numPr>
                <w:ilvl w:val="0"/>
                <w:numId w:val="0"/>
              </w:numPr>
              <w:jc w:val="left"/>
              <w:rPr>
                <w:rFonts w:ascii="Arial" w:hAnsi="Arial" w:cs="Arial"/>
                <w:sz w:val="20"/>
              </w:rPr>
            </w:pPr>
            <w:r w:rsidRPr="004E2535">
              <w:rPr>
                <w:rFonts w:ascii="Arial" w:hAnsi="Arial" w:cs="Arial"/>
                <w:sz w:val="20"/>
              </w:rPr>
              <w:t xml:space="preserve">Artículo 38, </w:t>
            </w:r>
            <w:r w:rsidRPr="004E2535">
              <w:rPr>
                <w:rFonts w:ascii="Arial" w:hAnsi="Arial" w:cs="Arial"/>
                <w:sz w:val="20"/>
              </w:rPr>
              <w:br/>
              <w:t>segundo párrafo</w:t>
            </w:r>
          </w:p>
        </w:tc>
        <w:tc>
          <w:tcPr>
            <w:tcW w:w="4590" w:type="dxa"/>
          </w:tcPr>
          <w:p w14:paraId="45F1B4A8" w14:textId="77777777" w:rsidR="00CE2DB0" w:rsidRPr="004E2535" w:rsidRDefault="00CE2DB0" w:rsidP="0053017E">
            <w:pPr>
              <w:pStyle w:val="ListParagraph"/>
              <w:numPr>
                <w:ilvl w:val="0"/>
                <w:numId w:val="0"/>
              </w:numPr>
              <w:rPr>
                <w:rFonts w:ascii="Arial" w:hAnsi="Arial" w:cs="Arial"/>
                <w:sz w:val="20"/>
              </w:rPr>
            </w:pPr>
            <w:r w:rsidRPr="004E2535">
              <w:rPr>
                <w:rFonts w:ascii="Arial" w:hAnsi="Arial" w:cs="Arial"/>
                <w:sz w:val="20"/>
              </w:rPr>
              <w:t>Solvencia fiscal.  El segundo párrafo faculta a la Administración Tributaria a determinar los requisitos, características y demás condiciones para la obtención de la solvencia fiscal.</w:t>
            </w:r>
          </w:p>
        </w:tc>
        <w:tc>
          <w:tcPr>
            <w:tcW w:w="3105" w:type="dxa"/>
          </w:tcPr>
          <w:p w14:paraId="64AC7BCD" w14:textId="77777777" w:rsidR="00CE2DB0" w:rsidRPr="004E2535" w:rsidRDefault="00CE2DB0" w:rsidP="0053017E">
            <w:pPr>
              <w:pStyle w:val="ListParagraph"/>
              <w:numPr>
                <w:ilvl w:val="0"/>
                <w:numId w:val="0"/>
              </w:numPr>
              <w:rPr>
                <w:rFonts w:ascii="Arial" w:hAnsi="Arial" w:cs="Arial"/>
                <w:sz w:val="20"/>
              </w:rPr>
            </w:pPr>
            <w:r w:rsidRPr="004E2535">
              <w:rPr>
                <w:rFonts w:ascii="Arial" w:hAnsi="Arial" w:cs="Arial"/>
                <w:sz w:val="20"/>
              </w:rPr>
              <w:t>Declarado inconstitucional en el Expediente 5094-2012, del 1 de octubre de 2013.</w:t>
            </w:r>
          </w:p>
        </w:tc>
      </w:tr>
      <w:tr w:rsidR="00CE2DB0" w:rsidRPr="004E2535" w14:paraId="79AE2ACC" w14:textId="77777777" w:rsidTr="0053017E">
        <w:trPr>
          <w:jc w:val="center"/>
        </w:trPr>
        <w:tc>
          <w:tcPr>
            <w:tcW w:w="1575" w:type="dxa"/>
          </w:tcPr>
          <w:p w14:paraId="1DA59442" w14:textId="77777777" w:rsidR="00CE2DB0" w:rsidRPr="004E2535" w:rsidRDefault="00CE2DB0" w:rsidP="0053017E">
            <w:pPr>
              <w:pStyle w:val="ListParagraph"/>
              <w:numPr>
                <w:ilvl w:val="0"/>
                <w:numId w:val="0"/>
              </w:numPr>
              <w:jc w:val="left"/>
              <w:rPr>
                <w:rFonts w:ascii="Arial" w:hAnsi="Arial" w:cs="Arial"/>
                <w:sz w:val="20"/>
              </w:rPr>
            </w:pPr>
            <w:r w:rsidRPr="004E2535">
              <w:rPr>
                <w:rFonts w:ascii="Arial" w:hAnsi="Arial" w:cs="Arial"/>
                <w:sz w:val="20"/>
              </w:rPr>
              <w:t>Artículo 44</w:t>
            </w:r>
            <w:r w:rsidRPr="004E2535">
              <w:rPr>
                <w:rFonts w:ascii="Arial" w:hAnsi="Arial" w:cs="Arial"/>
                <w:sz w:val="20"/>
              </w:rPr>
              <w:br/>
              <w:t>(numeral 19)</w:t>
            </w:r>
          </w:p>
        </w:tc>
        <w:tc>
          <w:tcPr>
            <w:tcW w:w="4590" w:type="dxa"/>
          </w:tcPr>
          <w:p w14:paraId="743557C7" w14:textId="77777777" w:rsidR="00CE2DB0" w:rsidRPr="004E2535" w:rsidRDefault="00CE2DB0" w:rsidP="0053017E">
            <w:pPr>
              <w:pStyle w:val="ListParagraph"/>
              <w:numPr>
                <w:ilvl w:val="0"/>
                <w:numId w:val="0"/>
              </w:numPr>
              <w:rPr>
                <w:rFonts w:ascii="Arial" w:hAnsi="Arial" w:cs="Arial"/>
                <w:sz w:val="20"/>
                <w:szCs w:val="21"/>
              </w:rPr>
            </w:pPr>
            <w:r w:rsidRPr="004E2535">
              <w:rPr>
                <w:rFonts w:ascii="Arial" w:hAnsi="Arial" w:cs="Arial"/>
                <w:sz w:val="20"/>
              </w:rPr>
              <w:t>Infracciones a los deberes formales.  Se elimina el numeral 19, en las partes que dicen: “La no exhibición del protocolo por el notario, a requerimiento de la Administración Tributaria…”; y “SANCIÓN: Multa de cinco mil Quetzales (Q</w:t>
            </w:r>
            <w:proofErr w:type="gramStart"/>
            <w:r w:rsidRPr="004E2535">
              <w:rPr>
                <w:rFonts w:ascii="Arial" w:hAnsi="Arial" w:cs="Arial"/>
                <w:sz w:val="20"/>
              </w:rPr>
              <w:t>5,000.00)…</w:t>
            </w:r>
            <w:proofErr w:type="gramEnd"/>
            <w:r w:rsidRPr="004E2535">
              <w:rPr>
                <w:rFonts w:ascii="Arial" w:hAnsi="Arial" w:cs="Arial"/>
                <w:sz w:val="20"/>
              </w:rPr>
              <w:t>”.</w:t>
            </w:r>
          </w:p>
          <w:p w14:paraId="3D756926" w14:textId="77777777" w:rsidR="00CE2DB0" w:rsidRPr="004E2535" w:rsidRDefault="00CE2DB0" w:rsidP="0053017E">
            <w:pPr>
              <w:pStyle w:val="ListParagraph"/>
              <w:numPr>
                <w:ilvl w:val="0"/>
                <w:numId w:val="0"/>
              </w:numPr>
              <w:jc w:val="left"/>
              <w:rPr>
                <w:rFonts w:ascii="Arial" w:hAnsi="Arial" w:cs="Arial"/>
                <w:sz w:val="20"/>
              </w:rPr>
            </w:pPr>
          </w:p>
        </w:tc>
        <w:tc>
          <w:tcPr>
            <w:tcW w:w="3105" w:type="dxa"/>
          </w:tcPr>
          <w:p w14:paraId="5C4FBA62" w14:textId="77777777" w:rsidR="00CE2DB0" w:rsidRPr="004E2535" w:rsidRDefault="00CE2DB0" w:rsidP="0053017E">
            <w:pPr>
              <w:pStyle w:val="ListParagraph"/>
              <w:numPr>
                <w:ilvl w:val="0"/>
                <w:numId w:val="0"/>
              </w:numPr>
              <w:rPr>
                <w:rFonts w:ascii="Arial" w:hAnsi="Arial" w:cs="Arial"/>
                <w:sz w:val="20"/>
              </w:rPr>
            </w:pPr>
            <w:r w:rsidRPr="004E2535">
              <w:rPr>
                <w:rFonts w:ascii="Arial" w:hAnsi="Arial" w:cs="Arial"/>
                <w:sz w:val="20"/>
              </w:rPr>
              <w:t>Declarado inconstitucional en el Expediente 1898-2012, del 11 de julio de 2013.</w:t>
            </w:r>
          </w:p>
        </w:tc>
      </w:tr>
      <w:tr w:rsidR="00CE2DB0" w:rsidRPr="004E2535" w14:paraId="00360D7E" w14:textId="77777777" w:rsidTr="0053017E">
        <w:trPr>
          <w:jc w:val="center"/>
        </w:trPr>
        <w:tc>
          <w:tcPr>
            <w:tcW w:w="1575" w:type="dxa"/>
          </w:tcPr>
          <w:p w14:paraId="29ACD536" w14:textId="77777777" w:rsidR="00CE2DB0" w:rsidRPr="004E2535" w:rsidRDefault="00CE2DB0" w:rsidP="0053017E">
            <w:pPr>
              <w:pStyle w:val="ListParagraph"/>
              <w:numPr>
                <w:ilvl w:val="0"/>
                <w:numId w:val="0"/>
              </w:numPr>
              <w:jc w:val="left"/>
              <w:rPr>
                <w:rFonts w:ascii="Arial" w:hAnsi="Arial" w:cs="Arial"/>
                <w:sz w:val="20"/>
              </w:rPr>
            </w:pPr>
            <w:r w:rsidRPr="004E2535">
              <w:rPr>
                <w:rFonts w:ascii="Arial" w:hAnsi="Arial" w:cs="Arial"/>
                <w:sz w:val="20"/>
              </w:rPr>
              <w:t>Artículo 50 (primer párrafo)</w:t>
            </w:r>
          </w:p>
        </w:tc>
        <w:tc>
          <w:tcPr>
            <w:tcW w:w="4590" w:type="dxa"/>
          </w:tcPr>
          <w:p w14:paraId="667C5141" w14:textId="77777777" w:rsidR="00CE2DB0" w:rsidRPr="004E2535" w:rsidRDefault="00CE2DB0" w:rsidP="0053017E">
            <w:pPr>
              <w:pStyle w:val="ListParagraph"/>
              <w:numPr>
                <w:ilvl w:val="0"/>
                <w:numId w:val="0"/>
              </w:numPr>
              <w:rPr>
                <w:rFonts w:ascii="Arial" w:hAnsi="Arial" w:cs="Arial"/>
                <w:sz w:val="20"/>
              </w:rPr>
            </w:pPr>
            <w:r w:rsidRPr="004E2535">
              <w:rPr>
                <w:rFonts w:ascii="Arial" w:hAnsi="Arial" w:cs="Arial"/>
                <w:sz w:val="20"/>
              </w:rPr>
              <w:t>Medidas preventivas de cierre de negocios. Se elimina la palabra “profesionales”, contenida en el primer párrafo.</w:t>
            </w:r>
          </w:p>
        </w:tc>
        <w:tc>
          <w:tcPr>
            <w:tcW w:w="3105" w:type="dxa"/>
          </w:tcPr>
          <w:p w14:paraId="4A46263F" w14:textId="77777777" w:rsidR="00CE2DB0" w:rsidRPr="004E2535" w:rsidRDefault="00CE2DB0" w:rsidP="0053017E">
            <w:pPr>
              <w:pStyle w:val="ListParagraph"/>
              <w:numPr>
                <w:ilvl w:val="0"/>
                <w:numId w:val="0"/>
              </w:numPr>
              <w:rPr>
                <w:rFonts w:ascii="Arial" w:hAnsi="Arial" w:cs="Arial"/>
                <w:sz w:val="20"/>
              </w:rPr>
            </w:pPr>
            <w:r w:rsidRPr="004E2535">
              <w:rPr>
                <w:rFonts w:ascii="Arial" w:hAnsi="Arial" w:cs="Arial"/>
                <w:sz w:val="20"/>
              </w:rPr>
              <w:t>Declarado inconstitucional en el Expediente 1898-2012, del 11 de julio de 2013.</w:t>
            </w:r>
          </w:p>
        </w:tc>
      </w:tr>
      <w:tr w:rsidR="00CE2DB0" w:rsidRPr="004E2535" w14:paraId="68133D50" w14:textId="77777777" w:rsidTr="0053017E">
        <w:trPr>
          <w:jc w:val="center"/>
        </w:trPr>
        <w:tc>
          <w:tcPr>
            <w:tcW w:w="9270" w:type="dxa"/>
            <w:gridSpan w:val="3"/>
            <w:shd w:val="clear" w:color="auto" w:fill="AEAAAA" w:themeFill="background2" w:themeFillShade="BF"/>
          </w:tcPr>
          <w:p w14:paraId="34B03CA4" w14:textId="77777777" w:rsidR="00CE2DB0" w:rsidRPr="004E2535" w:rsidRDefault="00CE2DB0" w:rsidP="0053017E">
            <w:pPr>
              <w:pStyle w:val="ListParagraph"/>
              <w:numPr>
                <w:ilvl w:val="0"/>
                <w:numId w:val="0"/>
              </w:numPr>
              <w:jc w:val="left"/>
              <w:rPr>
                <w:rFonts w:ascii="Arial" w:hAnsi="Arial" w:cs="Arial"/>
                <w:b/>
                <w:sz w:val="20"/>
              </w:rPr>
            </w:pPr>
            <w:r w:rsidRPr="004E2535">
              <w:rPr>
                <w:rFonts w:ascii="Arial" w:hAnsi="Arial" w:cs="Arial"/>
                <w:sz w:val="20"/>
              </w:rPr>
              <w:t>Decreto 10-2012 – Ley de Actualización Tributaria</w:t>
            </w:r>
          </w:p>
        </w:tc>
      </w:tr>
      <w:tr w:rsidR="00CE2DB0" w:rsidRPr="004E2535" w14:paraId="10E8222D" w14:textId="77777777" w:rsidTr="0053017E">
        <w:trPr>
          <w:jc w:val="center"/>
        </w:trPr>
        <w:tc>
          <w:tcPr>
            <w:tcW w:w="1575" w:type="dxa"/>
          </w:tcPr>
          <w:p w14:paraId="45241734" w14:textId="77777777" w:rsidR="00CE2DB0" w:rsidRPr="004E2535" w:rsidRDefault="00CE2DB0" w:rsidP="0053017E">
            <w:pPr>
              <w:pStyle w:val="ListParagraph"/>
              <w:numPr>
                <w:ilvl w:val="0"/>
                <w:numId w:val="0"/>
              </w:numPr>
              <w:jc w:val="left"/>
              <w:rPr>
                <w:rFonts w:ascii="Arial" w:hAnsi="Arial" w:cs="Arial"/>
                <w:sz w:val="20"/>
              </w:rPr>
            </w:pPr>
            <w:r w:rsidRPr="004E2535">
              <w:rPr>
                <w:rFonts w:ascii="Arial" w:hAnsi="Arial" w:cs="Arial"/>
                <w:sz w:val="20"/>
              </w:rPr>
              <w:t>Artículo 4, inciso b), numeral 2</w:t>
            </w:r>
          </w:p>
        </w:tc>
        <w:tc>
          <w:tcPr>
            <w:tcW w:w="4590" w:type="dxa"/>
          </w:tcPr>
          <w:p w14:paraId="149B0A5F" w14:textId="77777777" w:rsidR="00CE2DB0" w:rsidRPr="004E2535" w:rsidRDefault="00CE2DB0" w:rsidP="0053017E">
            <w:pPr>
              <w:pStyle w:val="ListParagraph"/>
              <w:numPr>
                <w:ilvl w:val="0"/>
                <w:numId w:val="0"/>
              </w:numPr>
              <w:rPr>
                <w:rFonts w:ascii="Arial" w:hAnsi="Arial" w:cs="Arial"/>
                <w:sz w:val="20"/>
              </w:rPr>
            </w:pPr>
            <w:r w:rsidRPr="004E2535">
              <w:rPr>
                <w:rFonts w:ascii="Arial" w:hAnsi="Arial" w:cs="Arial"/>
                <w:sz w:val="20"/>
              </w:rPr>
              <w:t>Para que las pensiones, jubilaciones y montepíos no sean consideradas rentas gravadas.</w:t>
            </w:r>
          </w:p>
        </w:tc>
        <w:tc>
          <w:tcPr>
            <w:tcW w:w="3105" w:type="dxa"/>
          </w:tcPr>
          <w:p w14:paraId="1AE9A83E" w14:textId="77777777" w:rsidR="00CE2DB0" w:rsidRPr="004E2535" w:rsidRDefault="00CE2DB0" w:rsidP="0053017E">
            <w:pPr>
              <w:pStyle w:val="ListParagraph"/>
              <w:numPr>
                <w:ilvl w:val="0"/>
                <w:numId w:val="0"/>
              </w:numPr>
              <w:rPr>
                <w:rFonts w:ascii="Arial" w:hAnsi="Arial" w:cs="Arial"/>
                <w:sz w:val="20"/>
              </w:rPr>
            </w:pPr>
            <w:r w:rsidRPr="004E2535">
              <w:rPr>
                <w:rFonts w:ascii="Arial" w:hAnsi="Arial" w:cs="Arial"/>
                <w:sz w:val="20"/>
              </w:rPr>
              <w:t>Suspendido provisionalmente en el trámite del Expediente 317-2013.</w:t>
            </w:r>
          </w:p>
        </w:tc>
      </w:tr>
      <w:tr w:rsidR="00CE2DB0" w:rsidRPr="000009B6" w14:paraId="44678771" w14:textId="77777777" w:rsidTr="0053017E">
        <w:trPr>
          <w:jc w:val="center"/>
        </w:trPr>
        <w:tc>
          <w:tcPr>
            <w:tcW w:w="1575" w:type="dxa"/>
          </w:tcPr>
          <w:p w14:paraId="3473CF0C" w14:textId="77777777" w:rsidR="00CE2DB0" w:rsidRPr="004E2535" w:rsidRDefault="00CE2DB0" w:rsidP="0053017E">
            <w:pPr>
              <w:pStyle w:val="ListParagraph"/>
              <w:numPr>
                <w:ilvl w:val="0"/>
                <w:numId w:val="0"/>
              </w:numPr>
              <w:jc w:val="left"/>
              <w:rPr>
                <w:rFonts w:ascii="Arial" w:hAnsi="Arial" w:cs="Arial"/>
                <w:sz w:val="20"/>
              </w:rPr>
            </w:pPr>
            <w:r w:rsidRPr="004E2535">
              <w:rPr>
                <w:rFonts w:ascii="Arial" w:hAnsi="Arial" w:cs="Arial"/>
                <w:sz w:val="20"/>
              </w:rPr>
              <w:t xml:space="preserve">Artículos 54 </w:t>
            </w:r>
            <w:r w:rsidRPr="004E2535">
              <w:rPr>
                <w:rFonts w:ascii="Arial" w:hAnsi="Arial" w:cs="Arial"/>
                <w:sz w:val="20"/>
              </w:rPr>
              <w:br/>
              <w:t>al 67</w:t>
            </w:r>
          </w:p>
        </w:tc>
        <w:tc>
          <w:tcPr>
            <w:tcW w:w="4590" w:type="dxa"/>
          </w:tcPr>
          <w:p w14:paraId="59DAC9C3" w14:textId="77777777" w:rsidR="00CE2DB0" w:rsidRPr="004E2535" w:rsidRDefault="00CE2DB0" w:rsidP="0053017E">
            <w:pPr>
              <w:pStyle w:val="ListParagraph"/>
              <w:numPr>
                <w:ilvl w:val="0"/>
                <w:numId w:val="0"/>
              </w:numPr>
              <w:rPr>
                <w:rFonts w:ascii="Arial" w:hAnsi="Arial" w:cs="Arial"/>
                <w:sz w:val="20"/>
              </w:rPr>
            </w:pPr>
            <w:r w:rsidRPr="004E2535">
              <w:rPr>
                <w:rFonts w:ascii="Arial" w:hAnsi="Arial" w:cs="Arial"/>
                <w:sz w:val="20"/>
              </w:rPr>
              <w:t>Recalificación de operaciones (precios de transferencia).  El Decreto 19-2013 suspende la aplicación y vigencia de estos artículos de forma temporal, volviendo a darles vigencia a partir del 1 de enero de 2015.</w:t>
            </w:r>
          </w:p>
        </w:tc>
        <w:tc>
          <w:tcPr>
            <w:tcW w:w="3105" w:type="dxa"/>
          </w:tcPr>
          <w:p w14:paraId="397B25D7" w14:textId="77777777" w:rsidR="00CE2DB0" w:rsidRPr="004E2535" w:rsidRDefault="00CE2DB0" w:rsidP="0053017E">
            <w:pPr>
              <w:pStyle w:val="ListParagraph"/>
              <w:numPr>
                <w:ilvl w:val="0"/>
                <w:numId w:val="0"/>
              </w:numPr>
              <w:jc w:val="left"/>
              <w:rPr>
                <w:rFonts w:ascii="Arial" w:hAnsi="Arial" w:cs="Arial"/>
                <w:sz w:val="20"/>
              </w:rPr>
            </w:pPr>
            <w:r w:rsidRPr="004E2535">
              <w:rPr>
                <w:rFonts w:ascii="Arial" w:hAnsi="Arial" w:cs="Arial"/>
                <w:sz w:val="20"/>
              </w:rPr>
              <w:t xml:space="preserve">Modificado por el Decreto 19-2013, publicado </w:t>
            </w:r>
            <w:proofErr w:type="gramStart"/>
            <w:r w:rsidRPr="004E2535">
              <w:rPr>
                <w:rFonts w:ascii="Arial" w:hAnsi="Arial" w:cs="Arial"/>
                <w:sz w:val="20"/>
              </w:rPr>
              <w:t>el  20</w:t>
            </w:r>
            <w:proofErr w:type="gramEnd"/>
            <w:r w:rsidRPr="004E2535">
              <w:rPr>
                <w:rFonts w:ascii="Arial" w:hAnsi="Arial" w:cs="Arial"/>
                <w:sz w:val="20"/>
              </w:rPr>
              <w:t xml:space="preserve"> de diciembre de 2013.</w:t>
            </w:r>
          </w:p>
        </w:tc>
      </w:tr>
      <w:tr w:rsidR="00CE2DB0" w:rsidRPr="004E2535" w14:paraId="33780E69" w14:textId="77777777" w:rsidTr="0053017E">
        <w:trPr>
          <w:jc w:val="center"/>
        </w:trPr>
        <w:tc>
          <w:tcPr>
            <w:tcW w:w="1575" w:type="dxa"/>
          </w:tcPr>
          <w:p w14:paraId="52C3C7D3" w14:textId="77777777" w:rsidR="00CE2DB0" w:rsidRPr="004E2535" w:rsidRDefault="00CE2DB0" w:rsidP="0053017E">
            <w:pPr>
              <w:pStyle w:val="ListParagraph"/>
              <w:numPr>
                <w:ilvl w:val="0"/>
                <w:numId w:val="0"/>
              </w:numPr>
              <w:jc w:val="left"/>
              <w:rPr>
                <w:rFonts w:ascii="Arial" w:hAnsi="Arial" w:cs="Arial"/>
                <w:sz w:val="20"/>
              </w:rPr>
            </w:pPr>
            <w:r w:rsidRPr="004E2535">
              <w:rPr>
                <w:rFonts w:ascii="Arial" w:hAnsi="Arial" w:cs="Arial"/>
                <w:sz w:val="20"/>
              </w:rPr>
              <w:t>Artículo 61</w:t>
            </w:r>
          </w:p>
        </w:tc>
        <w:tc>
          <w:tcPr>
            <w:tcW w:w="4590" w:type="dxa"/>
          </w:tcPr>
          <w:p w14:paraId="3BD5D852" w14:textId="77777777" w:rsidR="00CE2DB0" w:rsidRPr="004E2535" w:rsidRDefault="00CE2DB0" w:rsidP="0053017E">
            <w:pPr>
              <w:pStyle w:val="ListParagraph"/>
              <w:numPr>
                <w:ilvl w:val="0"/>
                <w:numId w:val="0"/>
              </w:numPr>
              <w:rPr>
                <w:rFonts w:ascii="Arial" w:hAnsi="Arial" w:cs="Arial"/>
                <w:sz w:val="20"/>
              </w:rPr>
            </w:pPr>
            <w:r w:rsidRPr="004E2535">
              <w:rPr>
                <w:rFonts w:ascii="Arial" w:hAnsi="Arial" w:cs="Arial"/>
                <w:sz w:val="20"/>
              </w:rPr>
              <w:t>Recalificación de operaciones (precios de transferencia).</w:t>
            </w:r>
          </w:p>
        </w:tc>
        <w:tc>
          <w:tcPr>
            <w:tcW w:w="3105" w:type="dxa"/>
          </w:tcPr>
          <w:p w14:paraId="15D8A67F" w14:textId="77777777" w:rsidR="00CE2DB0" w:rsidRPr="004E2535" w:rsidRDefault="00CE2DB0" w:rsidP="0053017E">
            <w:pPr>
              <w:pStyle w:val="ListParagraph"/>
              <w:numPr>
                <w:ilvl w:val="0"/>
                <w:numId w:val="0"/>
              </w:numPr>
              <w:rPr>
                <w:rFonts w:ascii="Arial" w:hAnsi="Arial" w:cs="Arial"/>
                <w:sz w:val="20"/>
              </w:rPr>
            </w:pPr>
            <w:r w:rsidRPr="004E2535">
              <w:rPr>
                <w:rFonts w:ascii="Arial" w:hAnsi="Arial" w:cs="Arial"/>
                <w:sz w:val="20"/>
              </w:rPr>
              <w:t>Se revocó la suspensión provisional del artículo 61 que había sido decretada mediante el auto de 25 de enero de 2013.</w:t>
            </w:r>
          </w:p>
        </w:tc>
      </w:tr>
      <w:tr w:rsidR="00CE2DB0" w:rsidRPr="004E2535" w14:paraId="53882A7D" w14:textId="77777777" w:rsidTr="0053017E">
        <w:trPr>
          <w:jc w:val="center"/>
        </w:trPr>
        <w:tc>
          <w:tcPr>
            <w:tcW w:w="1575" w:type="dxa"/>
          </w:tcPr>
          <w:p w14:paraId="1FCD956F" w14:textId="77777777" w:rsidR="00CE2DB0" w:rsidRPr="004E2535" w:rsidRDefault="00CE2DB0" w:rsidP="0053017E">
            <w:pPr>
              <w:pStyle w:val="ListParagraph"/>
              <w:numPr>
                <w:ilvl w:val="0"/>
                <w:numId w:val="0"/>
              </w:numPr>
              <w:jc w:val="left"/>
              <w:rPr>
                <w:rFonts w:ascii="Arial" w:hAnsi="Arial" w:cs="Arial"/>
                <w:sz w:val="20"/>
              </w:rPr>
            </w:pPr>
            <w:r w:rsidRPr="004E2535">
              <w:rPr>
                <w:rFonts w:ascii="Arial" w:hAnsi="Arial" w:cs="Arial"/>
                <w:sz w:val="20"/>
              </w:rPr>
              <w:t xml:space="preserve">Artículo 84, </w:t>
            </w:r>
            <w:r w:rsidRPr="004E2535">
              <w:rPr>
                <w:rFonts w:ascii="Arial" w:hAnsi="Arial" w:cs="Arial"/>
                <w:sz w:val="20"/>
              </w:rPr>
              <w:br/>
              <w:t>numeral 3</w:t>
            </w:r>
          </w:p>
        </w:tc>
        <w:tc>
          <w:tcPr>
            <w:tcW w:w="4590" w:type="dxa"/>
          </w:tcPr>
          <w:p w14:paraId="2CEA7B26" w14:textId="77777777" w:rsidR="00CE2DB0" w:rsidRPr="004E2535" w:rsidRDefault="00CE2DB0" w:rsidP="0053017E">
            <w:pPr>
              <w:pStyle w:val="ListParagraph"/>
              <w:numPr>
                <w:ilvl w:val="0"/>
                <w:numId w:val="0"/>
              </w:numPr>
              <w:rPr>
                <w:rFonts w:ascii="Arial" w:hAnsi="Arial" w:cs="Arial"/>
                <w:sz w:val="20"/>
              </w:rPr>
            </w:pPr>
            <w:r w:rsidRPr="004E2535">
              <w:rPr>
                <w:rFonts w:ascii="Arial" w:hAnsi="Arial" w:cs="Arial"/>
                <w:sz w:val="20"/>
              </w:rPr>
              <w:t>Las revaluaciones de bienes inmuebles hechas por el contribuyente.</w:t>
            </w:r>
          </w:p>
        </w:tc>
        <w:tc>
          <w:tcPr>
            <w:tcW w:w="3105" w:type="dxa"/>
          </w:tcPr>
          <w:p w14:paraId="3A8320A5" w14:textId="77777777" w:rsidR="00CE2DB0" w:rsidRPr="004E2535" w:rsidRDefault="00CE2DB0" w:rsidP="0053017E">
            <w:pPr>
              <w:pStyle w:val="ListParagraph"/>
              <w:numPr>
                <w:ilvl w:val="0"/>
                <w:numId w:val="0"/>
              </w:numPr>
              <w:rPr>
                <w:rFonts w:ascii="Arial" w:hAnsi="Arial" w:cs="Arial"/>
                <w:sz w:val="20"/>
              </w:rPr>
            </w:pPr>
            <w:r w:rsidRPr="004E2535">
              <w:rPr>
                <w:rFonts w:ascii="Arial" w:hAnsi="Arial" w:cs="Arial"/>
                <w:sz w:val="20"/>
              </w:rPr>
              <w:t>Suspendido provisionalmente en el trámite del Expediente 293-2013.</w:t>
            </w:r>
          </w:p>
        </w:tc>
      </w:tr>
      <w:tr w:rsidR="00CE2DB0" w:rsidRPr="004E2535" w14:paraId="0673BB3A" w14:textId="77777777" w:rsidTr="0053017E">
        <w:trPr>
          <w:jc w:val="center"/>
        </w:trPr>
        <w:tc>
          <w:tcPr>
            <w:tcW w:w="1575" w:type="dxa"/>
          </w:tcPr>
          <w:p w14:paraId="29D2E15E" w14:textId="77777777" w:rsidR="00CE2DB0" w:rsidRPr="004E2535" w:rsidRDefault="00CE2DB0" w:rsidP="0053017E">
            <w:pPr>
              <w:pStyle w:val="ListParagraph"/>
              <w:numPr>
                <w:ilvl w:val="0"/>
                <w:numId w:val="0"/>
              </w:numPr>
              <w:jc w:val="left"/>
              <w:rPr>
                <w:rFonts w:ascii="Arial" w:hAnsi="Arial" w:cs="Arial"/>
                <w:sz w:val="20"/>
              </w:rPr>
            </w:pPr>
            <w:r w:rsidRPr="004E2535">
              <w:rPr>
                <w:rFonts w:ascii="Arial" w:hAnsi="Arial" w:cs="Arial"/>
                <w:sz w:val="20"/>
              </w:rPr>
              <w:t>Artículo 109, literales a) y b)</w:t>
            </w:r>
          </w:p>
        </w:tc>
        <w:tc>
          <w:tcPr>
            <w:tcW w:w="4590" w:type="dxa"/>
          </w:tcPr>
          <w:p w14:paraId="1A1C9277" w14:textId="77777777" w:rsidR="00CE2DB0" w:rsidRPr="004E2535" w:rsidRDefault="00CE2DB0" w:rsidP="0053017E">
            <w:pPr>
              <w:pStyle w:val="ListParagraph"/>
              <w:numPr>
                <w:ilvl w:val="0"/>
                <w:numId w:val="0"/>
              </w:numPr>
              <w:rPr>
                <w:rFonts w:ascii="Arial" w:hAnsi="Arial" w:cs="Arial"/>
                <w:sz w:val="20"/>
              </w:rPr>
            </w:pPr>
            <w:r w:rsidRPr="004E2535">
              <w:rPr>
                <w:rFonts w:ascii="Arial" w:hAnsi="Arial" w:cs="Arial"/>
                <w:sz w:val="20"/>
              </w:rPr>
              <w:t>Prohibición de la importación y registro de (a) vehículos livianos que tengan más de diez años de antigüedad respecto del modelo del año en curso y (b) vehículos con un cilindraje hasta de mil centímetros cúbicos, que tengan más de quince años de antigüedad respecto del modelo del año en curso.</w:t>
            </w:r>
          </w:p>
        </w:tc>
        <w:tc>
          <w:tcPr>
            <w:tcW w:w="3105" w:type="dxa"/>
          </w:tcPr>
          <w:p w14:paraId="552BA55D" w14:textId="77777777" w:rsidR="00CE2DB0" w:rsidRPr="004E2535" w:rsidRDefault="00CE2DB0" w:rsidP="0053017E">
            <w:pPr>
              <w:pStyle w:val="ListParagraph"/>
              <w:numPr>
                <w:ilvl w:val="0"/>
                <w:numId w:val="0"/>
              </w:numPr>
              <w:rPr>
                <w:rFonts w:ascii="Arial" w:hAnsi="Arial" w:cs="Arial"/>
                <w:sz w:val="20"/>
              </w:rPr>
            </w:pPr>
            <w:r w:rsidRPr="004E2535">
              <w:rPr>
                <w:rFonts w:ascii="Arial" w:hAnsi="Arial" w:cs="Arial"/>
                <w:sz w:val="20"/>
              </w:rPr>
              <w:t>Declarado inconstitucional en el Expediente 2959-2012, del 18 de junio de 2013.</w:t>
            </w:r>
          </w:p>
        </w:tc>
      </w:tr>
      <w:tr w:rsidR="00CE2DB0" w:rsidRPr="004E2535" w14:paraId="4DECC646" w14:textId="77777777" w:rsidTr="0053017E">
        <w:trPr>
          <w:jc w:val="center"/>
        </w:trPr>
        <w:tc>
          <w:tcPr>
            <w:tcW w:w="1575" w:type="dxa"/>
          </w:tcPr>
          <w:p w14:paraId="20E25CC4" w14:textId="77777777" w:rsidR="00CE2DB0" w:rsidRPr="004E2535" w:rsidRDefault="00CE2DB0" w:rsidP="0053017E">
            <w:pPr>
              <w:pStyle w:val="ListParagraph"/>
              <w:numPr>
                <w:ilvl w:val="0"/>
                <w:numId w:val="0"/>
              </w:numPr>
              <w:jc w:val="left"/>
              <w:rPr>
                <w:rFonts w:ascii="Arial" w:hAnsi="Arial" w:cs="Arial"/>
                <w:sz w:val="20"/>
              </w:rPr>
            </w:pPr>
            <w:r w:rsidRPr="004E2535">
              <w:rPr>
                <w:rFonts w:ascii="Arial" w:hAnsi="Arial" w:cs="Arial"/>
                <w:sz w:val="20"/>
              </w:rPr>
              <w:t xml:space="preserve">Artículos 159 </w:t>
            </w:r>
            <w:r w:rsidRPr="004E2535">
              <w:rPr>
                <w:rFonts w:ascii="Arial" w:hAnsi="Arial" w:cs="Arial"/>
                <w:sz w:val="20"/>
              </w:rPr>
              <w:br/>
              <w:t>al 169</w:t>
            </w:r>
          </w:p>
        </w:tc>
        <w:tc>
          <w:tcPr>
            <w:tcW w:w="4590" w:type="dxa"/>
          </w:tcPr>
          <w:p w14:paraId="270D83A0" w14:textId="77777777" w:rsidR="00CE2DB0" w:rsidRPr="004E2535" w:rsidRDefault="00CE2DB0" w:rsidP="0053017E">
            <w:pPr>
              <w:pStyle w:val="ListParagraph"/>
              <w:numPr>
                <w:ilvl w:val="0"/>
                <w:numId w:val="0"/>
              </w:numPr>
              <w:rPr>
                <w:rFonts w:ascii="Arial" w:hAnsi="Arial" w:cs="Arial"/>
                <w:sz w:val="20"/>
              </w:rPr>
            </w:pPr>
            <w:r w:rsidRPr="004E2535">
              <w:rPr>
                <w:rFonts w:ascii="Arial" w:hAnsi="Arial" w:cs="Arial"/>
                <w:sz w:val="20"/>
              </w:rPr>
              <w:t>Impuesto sobre Circulación de Vehículos Terrestres, Marítimos y Aéreos.</w:t>
            </w:r>
          </w:p>
        </w:tc>
        <w:tc>
          <w:tcPr>
            <w:tcW w:w="3105" w:type="dxa"/>
          </w:tcPr>
          <w:p w14:paraId="4C7F6259" w14:textId="77777777" w:rsidR="00CE2DB0" w:rsidRPr="004E2535" w:rsidRDefault="00CE2DB0" w:rsidP="0053017E">
            <w:pPr>
              <w:pStyle w:val="ListParagraph"/>
              <w:numPr>
                <w:ilvl w:val="0"/>
                <w:numId w:val="0"/>
              </w:numPr>
              <w:rPr>
                <w:rFonts w:ascii="Arial" w:hAnsi="Arial" w:cs="Arial"/>
                <w:sz w:val="20"/>
              </w:rPr>
            </w:pPr>
            <w:r w:rsidRPr="004E2535">
              <w:rPr>
                <w:rFonts w:ascii="Arial" w:hAnsi="Arial" w:cs="Arial"/>
                <w:sz w:val="20"/>
              </w:rPr>
              <w:t>Modificado por el Decreto 1-2013, publicado el 24 de junio de 2013.</w:t>
            </w:r>
          </w:p>
        </w:tc>
      </w:tr>
      <w:tr w:rsidR="00CE2DB0" w:rsidRPr="004E2535" w14:paraId="26D1516F" w14:textId="77777777" w:rsidTr="0053017E">
        <w:trPr>
          <w:jc w:val="center"/>
        </w:trPr>
        <w:tc>
          <w:tcPr>
            <w:tcW w:w="1575" w:type="dxa"/>
          </w:tcPr>
          <w:p w14:paraId="0F7F5262" w14:textId="77777777" w:rsidR="00CE2DB0" w:rsidRPr="004E2535" w:rsidRDefault="00CE2DB0" w:rsidP="0053017E">
            <w:pPr>
              <w:pStyle w:val="ListParagraph"/>
              <w:numPr>
                <w:ilvl w:val="0"/>
                <w:numId w:val="0"/>
              </w:numPr>
              <w:jc w:val="left"/>
              <w:rPr>
                <w:rFonts w:ascii="Arial" w:hAnsi="Arial" w:cs="Arial"/>
                <w:sz w:val="20"/>
              </w:rPr>
            </w:pPr>
            <w:r w:rsidRPr="004E2535">
              <w:rPr>
                <w:rFonts w:ascii="Arial" w:hAnsi="Arial" w:cs="Arial"/>
                <w:sz w:val="20"/>
              </w:rPr>
              <w:lastRenderedPageBreak/>
              <w:t>Artículo 180, inciso 4</w:t>
            </w:r>
          </w:p>
        </w:tc>
        <w:tc>
          <w:tcPr>
            <w:tcW w:w="4590" w:type="dxa"/>
          </w:tcPr>
          <w:p w14:paraId="2288431C" w14:textId="77777777" w:rsidR="00CE2DB0" w:rsidRPr="004E2535" w:rsidRDefault="00CE2DB0" w:rsidP="0053017E">
            <w:pPr>
              <w:pStyle w:val="ListParagraph"/>
              <w:numPr>
                <w:ilvl w:val="0"/>
                <w:numId w:val="0"/>
              </w:numPr>
              <w:rPr>
                <w:rFonts w:ascii="Arial" w:hAnsi="Arial" w:cs="Arial"/>
                <w:sz w:val="20"/>
              </w:rPr>
            </w:pPr>
            <w:r w:rsidRPr="004E2535">
              <w:rPr>
                <w:rFonts w:ascii="Arial" w:hAnsi="Arial" w:cs="Arial"/>
                <w:sz w:val="20"/>
              </w:rPr>
              <w:t>Eliminaba la exención de remesas de intereses al exterior.</w:t>
            </w:r>
          </w:p>
        </w:tc>
        <w:tc>
          <w:tcPr>
            <w:tcW w:w="3105" w:type="dxa"/>
          </w:tcPr>
          <w:p w14:paraId="608343EA" w14:textId="77777777" w:rsidR="00CE2DB0" w:rsidRPr="004E2535" w:rsidRDefault="00CE2DB0" w:rsidP="0053017E">
            <w:pPr>
              <w:pStyle w:val="ListParagraph"/>
              <w:numPr>
                <w:ilvl w:val="0"/>
                <w:numId w:val="0"/>
              </w:numPr>
              <w:rPr>
                <w:rFonts w:ascii="Arial" w:hAnsi="Arial" w:cs="Arial"/>
                <w:sz w:val="20"/>
              </w:rPr>
            </w:pPr>
            <w:r w:rsidRPr="004E2535">
              <w:rPr>
                <w:rFonts w:ascii="Arial" w:hAnsi="Arial" w:cs="Arial"/>
                <w:sz w:val="20"/>
              </w:rPr>
              <w:t>Declarado inconstitucional en el Expediente 2849-2012, del 28 de mayo de 2013.</w:t>
            </w:r>
          </w:p>
        </w:tc>
      </w:tr>
    </w:tbl>
    <w:p w14:paraId="472DD89B" w14:textId="2E487971" w:rsidR="00CE2DB0" w:rsidRPr="004E2535" w:rsidRDefault="00210B88" w:rsidP="00CE2DB0">
      <w:pPr>
        <w:autoSpaceDE w:val="0"/>
        <w:autoSpaceDN w:val="0"/>
        <w:adjustRightInd w:val="0"/>
        <w:ind w:left="-270"/>
        <w:rPr>
          <w:rFonts w:cs="Arial"/>
          <w:sz w:val="16"/>
          <w:szCs w:val="24"/>
          <w:lang w:val="es-GT"/>
        </w:rPr>
      </w:pPr>
      <w:r w:rsidRPr="004E2535">
        <w:rPr>
          <w:rFonts w:cs="Arial"/>
          <w:noProof/>
          <w:sz w:val="16"/>
          <w:szCs w:val="24"/>
          <w:lang w:val="es-GT"/>
        </w:rPr>
        <w:t xml:space="preserve">      </w:t>
      </w:r>
      <w:r w:rsidR="00CE2DB0" w:rsidRPr="004E2535">
        <w:rPr>
          <w:rFonts w:cs="Arial"/>
          <w:noProof/>
          <w:sz w:val="16"/>
          <w:szCs w:val="24"/>
          <w:lang w:val="es-GT"/>
        </w:rPr>
        <w:t>Fuente: Elaboración propia en base a información del MINFIN y la CC.</w:t>
      </w:r>
    </w:p>
    <w:p w14:paraId="44DB7E83" w14:textId="77777777" w:rsidR="00CE2DB0" w:rsidRPr="004E2535" w:rsidRDefault="00CE2DB0" w:rsidP="00CE2DB0">
      <w:pPr>
        <w:rPr>
          <w:rFonts w:cs="Arial"/>
          <w:b/>
          <w:bCs/>
          <w:lang w:val="es-ES_tradnl"/>
        </w:rPr>
      </w:pPr>
    </w:p>
    <w:p w14:paraId="0466B108" w14:textId="77777777" w:rsidR="0011593C" w:rsidRPr="004E2535" w:rsidRDefault="000009B6">
      <w:pPr>
        <w:rPr>
          <w:rFonts w:cs="Arial"/>
          <w:lang w:val="es-ES_tradnl"/>
        </w:rPr>
      </w:pPr>
    </w:p>
    <w:sectPr w:rsidR="0011593C" w:rsidRPr="004E253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891F74" w14:textId="77777777" w:rsidR="0087390E" w:rsidRDefault="0087390E" w:rsidP="00CE2DB0">
      <w:r>
        <w:separator/>
      </w:r>
    </w:p>
  </w:endnote>
  <w:endnote w:type="continuationSeparator" w:id="0">
    <w:p w14:paraId="647B86E3" w14:textId="77777777" w:rsidR="0087390E" w:rsidRDefault="0087390E" w:rsidP="00CE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6759E" w14:textId="77777777" w:rsidR="004E2535" w:rsidRDefault="004E2535">
    <w:pPr>
      <w:pStyle w:val="Footer"/>
      <w:tabs>
        <w:tab w:val="clear" w:pos="4680"/>
        <w:tab w:val="clear" w:pos="9360"/>
      </w:tabs>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37EE7056" w14:textId="77777777" w:rsidR="004E2535" w:rsidRDefault="004E25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A79C5" w14:textId="77777777" w:rsidR="0087390E" w:rsidRDefault="0087390E" w:rsidP="00CE2DB0">
      <w:r>
        <w:separator/>
      </w:r>
    </w:p>
  </w:footnote>
  <w:footnote w:type="continuationSeparator" w:id="0">
    <w:p w14:paraId="0A3916F7" w14:textId="77777777" w:rsidR="0087390E" w:rsidRDefault="0087390E" w:rsidP="00CE2DB0">
      <w:r>
        <w:continuationSeparator/>
      </w:r>
    </w:p>
  </w:footnote>
  <w:footnote w:id="1">
    <w:p w14:paraId="46A90B36" w14:textId="77777777" w:rsidR="00CE2DB0" w:rsidRPr="0092654F" w:rsidRDefault="00CE2DB0" w:rsidP="00CE2DB0">
      <w:pPr>
        <w:pStyle w:val="FootnoteText"/>
        <w:jc w:val="both"/>
        <w:rPr>
          <w:lang w:val="es-GT"/>
        </w:rPr>
      </w:pPr>
      <w:r w:rsidRPr="00CE2DB0">
        <w:rPr>
          <w:rStyle w:val="FootnoteReference"/>
          <w:rFonts w:ascii="Arial" w:hAnsi="Arial" w:cs="Arial"/>
        </w:rPr>
        <w:footnoteRef/>
      </w:r>
      <w:r w:rsidRPr="00CE2DB0">
        <w:rPr>
          <w:rFonts w:ascii="Arial" w:hAnsi="Arial" w:cs="Arial"/>
          <w:lang w:val="es-GT"/>
        </w:rPr>
        <w:t xml:space="preserve"> En efecto, si se realiza una simulación imponiendo una tasa de crecimiento del 10% en el IVA de importaciones en 2012 y 2013 (en vez de sus valores reales de 5,2% y 0,2%), la carga tributaria aumenta a 11,1% y 11,5% del PIB respectivamente.  En comparación con los valores observados, la diferencia en la carga tributaria sería de 0,3% en 2012 y de 0,5% en 2013, lo que muestra el potencial impacto negativo que tuvo este factor.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9B4E22"/>
    <w:multiLevelType w:val="hybridMultilevel"/>
    <w:tmpl w:val="2EE687EC"/>
    <w:lvl w:ilvl="0" w:tplc="1144DE18">
      <w:start w:val="1"/>
      <w:numFmt w:val="lowerLetter"/>
      <w:pStyle w:val="ListParagraph"/>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5A16159"/>
    <w:multiLevelType w:val="hybridMultilevel"/>
    <w:tmpl w:val="08DA1100"/>
    <w:lvl w:ilvl="0" w:tplc="802C7646">
      <w:start w:val="1"/>
      <w:numFmt w:val="bullet"/>
      <w:lvlText w:val=""/>
      <w:lvlJc w:val="left"/>
      <w:pPr>
        <w:ind w:left="25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6652CC"/>
    <w:multiLevelType w:val="hybridMultilevel"/>
    <w:tmpl w:val="5D5CF8CA"/>
    <w:lvl w:ilvl="0" w:tplc="04090013">
      <w:start w:val="1"/>
      <w:numFmt w:val="upperRoman"/>
      <w:lvlText w:val="%1."/>
      <w:lvlJc w:val="righ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DB0"/>
    <w:rsid w:val="000009B6"/>
    <w:rsid w:val="000719C2"/>
    <w:rsid w:val="00134D20"/>
    <w:rsid w:val="00210B88"/>
    <w:rsid w:val="004E2535"/>
    <w:rsid w:val="0087390E"/>
    <w:rsid w:val="0088628B"/>
    <w:rsid w:val="00CA3289"/>
    <w:rsid w:val="00CE2DB0"/>
    <w:rsid w:val="00D84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4BA82"/>
  <w15:chartTrackingRefBased/>
  <w15:docId w15:val="{484EF809-8755-4794-9620-00DB7DF5D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2DB0"/>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qFormat/>
    <w:rsid w:val="00CE2DB0"/>
    <w:pPr>
      <w:keepNext/>
      <w:jc w:val="center"/>
      <w:outlineLvl w:val="0"/>
    </w:pPr>
    <w:rPr>
      <w:color w:val="000080"/>
      <w:sz w:val="44"/>
      <w:lang w:val="es-ES_tradnl"/>
    </w:rPr>
  </w:style>
  <w:style w:type="paragraph" w:styleId="Heading2">
    <w:name w:val="heading 2"/>
    <w:basedOn w:val="Normal"/>
    <w:next w:val="Normal"/>
    <w:link w:val="Heading2Char"/>
    <w:qFormat/>
    <w:rsid w:val="00CE2DB0"/>
    <w:pPr>
      <w:keepNext/>
      <w:jc w:val="center"/>
      <w:outlineLvl w:val="1"/>
    </w:pPr>
    <w:rPr>
      <w:b/>
      <w:bCs/>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2DB0"/>
    <w:rPr>
      <w:rFonts w:ascii="Arial" w:eastAsia="Times New Roman" w:hAnsi="Arial" w:cs="Times New Roman"/>
      <w:color w:val="000080"/>
      <w:sz w:val="44"/>
      <w:szCs w:val="20"/>
      <w:lang w:val="es-ES_tradnl"/>
    </w:rPr>
  </w:style>
  <w:style w:type="character" w:customStyle="1" w:styleId="Heading2Char">
    <w:name w:val="Heading 2 Char"/>
    <w:basedOn w:val="DefaultParagraphFont"/>
    <w:link w:val="Heading2"/>
    <w:rsid w:val="00CE2DB0"/>
    <w:rPr>
      <w:rFonts w:ascii="Arial" w:eastAsia="Times New Roman" w:hAnsi="Arial" w:cs="Times New Roman"/>
      <w:b/>
      <w:bCs/>
      <w:sz w:val="20"/>
      <w:szCs w:val="20"/>
      <w:lang w:val="es-ES_tradnl"/>
    </w:rPr>
  </w:style>
  <w:style w:type="paragraph" w:styleId="FootnoteText">
    <w:name w:val="footnote text"/>
    <w:basedOn w:val="Normal"/>
    <w:link w:val="FootnoteTextChar"/>
    <w:semiHidden/>
    <w:rsid w:val="00CE2DB0"/>
    <w:rPr>
      <w:rFonts w:ascii="Times New Roman" w:hAnsi="Times New Roman"/>
    </w:rPr>
  </w:style>
  <w:style w:type="character" w:customStyle="1" w:styleId="FootnoteTextChar">
    <w:name w:val="Footnote Text Char"/>
    <w:basedOn w:val="DefaultParagraphFont"/>
    <w:link w:val="FootnoteText"/>
    <w:semiHidden/>
    <w:rsid w:val="00CE2DB0"/>
    <w:rPr>
      <w:rFonts w:ascii="Times New Roman" w:eastAsia="Times New Roman" w:hAnsi="Times New Roman" w:cs="Times New Roman"/>
      <w:sz w:val="20"/>
      <w:szCs w:val="20"/>
    </w:rPr>
  </w:style>
  <w:style w:type="character" w:styleId="FootnoteReference">
    <w:name w:val="footnote reference"/>
    <w:semiHidden/>
    <w:rsid w:val="00CE2DB0"/>
    <w:rPr>
      <w:vertAlign w:val="superscript"/>
    </w:rPr>
  </w:style>
  <w:style w:type="paragraph" w:styleId="ListParagraph">
    <w:name w:val="List Paragraph"/>
    <w:basedOn w:val="Normal"/>
    <w:uiPriority w:val="34"/>
    <w:qFormat/>
    <w:rsid w:val="00CE2DB0"/>
    <w:pPr>
      <w:numPr>
        <w:numId w:val="2"/>
      </w:numPr>
      <w:contextualSpacing/>
      <w:jc w:val="both"/>
    </w:pPr>
    <w:rPr>
      <w:rFonts w:ascii="Calibri" w:hAnsi="Calibri"/>
      <w:sz w:val="22"/>
      <w:szCs w:val="22"/>
      <w:lang w:val="es-GT"/>
    </w:rPr>
  </w:style>
  <w:style w:type="paragraph" w:styleId="Header">
    <w:name w:val="header"/>
    <w:basedOn w:val="Normal"/>
    <w:link w:val="HeaderChar"/>
    <w:uiPriority w:val="99"/>
    <w:unhideWhenUsed/>
    <w:rsid w:val="004E2535"/>
    <w:pPr>
      <w:tabs>
        <w:tab w:val="center" w:pos="4680"/>
        <w:tab w:val="right" w:pos="9360"/>
      </w:tabs>
    </w:pPr>
  </w:style>
  <w:style w:type="character" w:customStyle="1" w:styleId="HeaderChar">
    <w:name w:val="Header Char"/>
    <w:basedOn w:val="DefaultParagraphFont"/>
    <w:link w:val="Header"/>
    <w:uiPriority w:val="99"/>
    <w:rsid w:val="004E2535"/>
    <w:rPr>
      <w:rFonts w:ascii="Arial" w:eastAsia="Times New Roman" w:hAnsi="Arial" w:cs="Times New Roman"/>
      <w:sz w:val="20"/>
      <w:szCs w:val="20"/>
    </w:rPr>
  </w:style>
  <w:style w:type="paragraph" w:styleId="Footer">
    <w:name w:val="footer"/>
    <w:basedOn w:val="Normal"/>
    <w:link w:val="FooterChar"/>
    <w:uiPriority w:val="99"/>
    <w:unhideWhenUsed/>
    <w:rsid w:val="004E2535"/>
    <w:pPr>
      <w:tabs>
        <w:tab w:val="center" w:pos="4680"/>
        <w:tab w:val="right" w:pos="9360"/>
      </w:tabs>
    </w:pPr>
  </w:style>
  <w:style w:type="character" w:customStyle="1" w:styleId="FooterChar">
    <w:name w:val="Footer Char"/>
    <w:basedOn w:val="DefaultParagraphFont"/>
    <w:link w:val="Footer"/>
    <w:uiPriority w:val="99"/>
    <w:rsid w:val="004E2535"/>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Alejandro\Documents\Consultor&#237;as\Consultor&#237;a%20BID%20-%20PCR%20Pr&#233;stamo%20Finanzas%20P&#250;blicas%20GT\Datos%20Importaciones%20CIF.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1"/>
        <c:ser>
          <c:idx val="0"/>
          <c:order val="0"/>
          <c:tx>
            <c:v>Importaciones</c:v>
          </c:tx>
          <c:marker>
            <c:symbol val="none"/>
          </c:marker>
          <c:cat>
            <c:numRef>
              <c:f>Variación!$A$31:$A$40</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Variación!$B$31:$B$40</c:f>
              <c:numCache>
                <c:formatCode>0.0%</c:formatCode>
                <c:ptCount val="10"/>
                <c:pt idx="0">
                  <c:v>0.16608634669094591</c:v>
                </c:pt>
                <c:pt idx="1">
                  <c:v>0.10774879716383889</c:v>
                </c:pt>
                <c:pt idx="2">
                  <c:v>0.13484398216939097</c:v>
                </c:pt>
                <c:pt idx="3">
                  <c:v>0.13942674891938367</c:v>
                </c:pt>
                <c:pt idx="4">
                  <c:v>7.1510124708118461E-2</c:v>
                </c:pt>
                <c:pt idx="5">
                  <c:v>-0.20728010174268741</c:v>
                </c:pt>
                <c:pt idx="6">
                  <c:v>0.20006417316347691</c:v>
                </c:pt>
                <c:pt idx="7">
                  <c:v>0.20050873300911221</c:v>
                </c:pt>
                <c:pt idx="8">
                  <c:v>2.2957924516944672E-2</c:v>
                </c:pt>
                <c:pt idx="9">
                  <c:v>3.0804264934331194E-2</c:v>
                </c:pt>
              </c:numCache>
            </c:numRef>
          </c:val>
          <c:smooth val="1"/>
          <c:extLst>
            <c:ext xmlns:c16="http://schemas.microsoft.com/office/drawing/2014/chart" uri="{C3380CC4-5D6E-409C-BE32-E72D297353CC}">
              <c16:uniqueId val="{00000000-4DD1-4D1B-8ED9-398867716611}"/>
            </c:ext>
          </c:extLst>
        </c:ser>
        <c:ser>
          <c:idx val="1"/>
          <c:order val="1"/>
          <c:tx>
            <c:v>IVA Importaciones</c:v>
          </c:tx>
          <c:marker>
            <c:symbol val="none"/>
          </c:marker>
          <c:cat>
            <c:numRef>
              <c:f>Variación!$A$31:$A$40</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Variación!$J$31:$J$40</c:f>
              <c:numCache>
                <c:formatCode>0.0%</c:formatCode>
                <c:ptCount val="10"/>
                <c:pt idx="0">
                  <c:v>0.14918361143949732</c:v>
                </c:pt>
                <c:pt idx="1">
                  <c:v>0.11897656666834977</c:v>
                </c:pt>
                <c:pt idx="2">
                  <c:v>0.12215926701069635</c:v>
                </c:pt>
                <c:pt idx="3">
                  <c:v>0.18018718408902301</c:v>
                </c:pt>
                <c:pt idx="4">
                  <c:v>5.6487104621624429E-2</c:v>
                </c:pt>
                <c:pt idx="5">
                  <c:v>-0.12749089409777714</c:v>
                </c:pt>
                <c:pt idx="6">
                  <c:v>0.14613437861151146</c:v>
                </c:pt>
                <c:pt idx="7">
                  <c:v>0.16017087193399315</c:v>
                </c:pt>
                <c:pt idx="8">
                  <c:v>5.2480968324996491E-2</c:v>
                </c:pt>
                <c:pt idx="9">
                  <c:v>2.3433895299698193E-3</c:v>
                </c:pt>
              </c:numCache>
            </c:numRef>
          </c:val>
          <c:smooth val="1"/>
          <c:extLst>
            <c:ext xmlns:c16="http://schemas.microsoft.com/office/drawing/2014/chart" uri="{C3380CC4-5D6E-409C-BE32-E72D297353CC}">
              <c16:uniqueId val="{00000001-4DD1-4D1B-8ED9-398867716611}"/>
            </c:ext>
          </c:extLst>
        </c:ser>
        <c:dLbls>
          <c:showLegendKey val="0"/>
          <c:showVal val="0"/>
          <c:showCatName val="0"/>
          <c:showSerName val="0"/>
          <c:showPercent val="0"/>
          <c:showBubbleSize val="0"/>
        </c:dLbls>
        <c:smooth val="0"/>
        <c:axId val="258108416"/>
        <c:axId val="258110208"/>
      </c:lineChart>
      <c:catAx>
        <c:axId val="258108416"/>
        <c:scaling>
          <c:orientation val="minMax"/>
        </c:scaling>
        <c:delete val="1"/>
        <c:axPos val="b"/>
        <c:numFmt formatCode="General" sourceLinked="1"/>
        <c:majorTickMark val="cross"/>
        <c:minorTickMark val="cross"/>
        <c:tickLblPos val="low"/>
        <c:crossAx val="258110208"/>
        <c:crosses val="autoZero"/>
        <c:auto val="1"/>
        <c:lblAlgn val="ctr"/>
        <c:lblOffset val="100"/>
        <c:noMultiLvlLbl val="1"/>
      </c:catAx>
      <c:valAx>
        <c:axId val="258110208"/>
        <c:scaling>
          <c:orientation val="minMax"/>
        </c:scaling>
        <c:delete val="1"/>
        <c:axPos val="l"/>
        <c:majorGridlines>
          <c:spPr>
            <a:ln>
              <a:prstDash val="sysDot"/>
            </a:ln>
          </c:spPr>
        </c:majorGridlines>
        <c:numFmt formatCode="0.0%" sourceLinked="1"/>
        <c:majorTickMark val="cross"/>
        <c:minorTickMark val="cross"/>
        <c:tickLblPos val="nextTo"/>
        <c:crossAx val="258108416"/>
        <c:crosses val="autoZero"/>
        <c:crossBetween val="between"/>
      </c:valAx>
    </c:plotArea>
    <c:legend>
      <c:legendPos val="b"/>
      <c:overlay val="1"/>
    </c:legend>
    <c:plotVisOnly val="1"/>
    <c:dispBlanksAs val="zero"/>
    <c:showDLblsOverMax val="1"/>
  </c:chart>
  <c:spPr>
    <a:ln>
      <a:noFill/>
    </a:ln>
  </c:sp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0.54375</cdr:x>
      <cdr:y>0.04861</cdr:y>
    </cdr:from>
    <cdr:to>
      <cdr:x>0.54375</cdr:x>
      <cdr:y>0.78194</cdr:y>
    </cdr:to>
    <cdr:sp macro="" textlink="">
      <cdr:nvSpPr>
        <cdr:cNvPr id="2" name="1 Conector recto"/>
        <cdr:cNvSpPr/>
      </cdr:nvSpPr>
      <cdr:spPr>
        <a:xfrm xmlns:a="http://schemas.openxmlformats.org/drawingml/2006/main">
          <a:off x="2486025" y="133350"/>
          <a:ext cx="0" cy="2011680"/>
        </a:xfrm>
        <a:prstGeom xmlns:a="http://schemas.openxmlformats.org/drawingml/2006/main" prst="line">
          <a:avLst/>
        </a:prstGeom>
        <a:noFill xmlns:a="http://schemas.openxmlformats.org/drawingml/2006/main"/>
        <a:ln xmlns:a="http://schemas.openxmlformats.org/drawingml/2006/main" w="9525" cap="flat" cmpd="sng" algn="ctr">
          <a:solidFill>
            <a:srgbClr val="FF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wrap="square"/>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en-US"/>
        </a:p>
      </cdr:txBody>
    </cdr:sp>
  </cdr:relSizeAnchor>
  <cdr:relSizeAnchor xmlns:cdr="http://schemas.openxmlformats.org/drawingml/2006/chartDrawing">
    <cdr:from>
      <cdr:x>0.33125</cdr:x>
      <cdr:y>0.62847</cdr:y>
    </cdr:from>
    <cdr:to>
      <cdr:x>0.58333</cdr:x>
      <cdr:y>0.78819</cdr:y>
    </cdr:to>
    <cdr:sp macro="" textlink="">
      <cdr:nvSpPr>
        <cdr:cNvPr id="3" name="2 CuadroTexto"/>
        <cdr:cNvSpPr txBox="1"/>
      </cdr:nvSpPr>
      <cdr:spPr>
        <a:xfrm xmlns:a="http://schemas.openxmlformats.org/drawingml/2006/main">
          <a:off x="1514475" y="1724025"/>
          <a:ext cx="1152525" cy="43815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000">
              <a:solidFill>
                <a:srgbClr val="FF0000"/>
              </a:solidFill>
            </a:rPr>
            <a:t>Crisis financiera</a:t>
          </a:r>
          <a:r>
            <a:rPr lang="en-US" sz="1000" baseline="0">
              <a:solidFill>
                <a:srgbClr val="FF0000"/>
              </a:solidFill>
            </a:rPr>
            <a:t> global</a:t>
          </a:r>
          <a:endParaRPr lang="en-US" sz="1000">
            <a:solidFill>
              <a:srgbClr val="FF0000"/>
            </a:solidFill>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1081</Words>
  <Characters>6162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IADB</dc:creator>
  <cp:keywords/>
  <dc:description/>
  <cp:lastModifiedBy>IADB</cp:lastModifiedBy>
  <cp:revision>2</cp:revision>
  <dcterms:created xsi:type="dcterms:W3CDTF">2018-09-25T21:58:00Z</dcterms:created>
  <dcterms:modified xsi:type="dcterms:W3CDTF">2018-09-25T21:58:00Z</dcterms:modified>
</cp:coreProperties>
</file>