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65C44" w:rsidRDefault="000D40DB" w14:paraId="637BE352" w14:textId="77777777">
      <w:pPr>
        <w:spacing w:before="200" w:after="200"/>
        <w:jc w:val="center"/>
      </w:pPr>
      <w:r>
        <w:rPr>
          <w:rFonts w:ascii="Arial" w:hAnsi="Arial" w:cs="Arial"/>
          <w:b/>
        </w:rPr>
        <w:t>TC ABSTRACT</w:t>
      </w:r>
    </w:p>
    <w:p w:rsidR="00965C44" w:rsidRDefault="000D40DB" w14:paraId="22CCA2F2" w14:textId="77777777">
      <w:pPr>
        <w:spacing w:before="120" w:after="120"/>
        <w:ind w:left="579" w:hanging="579"/>
      </w:pPr>
      <w:r>
        <w:rPr>
          <w:rFonts w:ascii="Arial" w:hAnsi="Arial" w:cs="Arial"/>
          <w:b/>
        </w:rPr>
        <w:t>I.</w:t>
      </w:r>
      <w:r>
        <w:rPr>
          <w:rFonts w:ascii="Arial" w:hAnsi="Arial" w:cs="Arial"/>
          <w:b/>
        </w:rPr>
        <w:tab/>
      </w:r>
      <w:r>
        <w:rPr>
          <w:rFonts w:ascii="Arial" w:hAnsi="Arial" w:cs="Arial"/>
          <w:b/>
        </w:rPr>
        <w:t>Basic Project Data</w:t>
      </w:r>
    </w:p>
    <w:tbl>
      <w:tblPr>
        <w:tblStyle w:val="TableGrid"/>
        <w:tblW w:w="5000" w:type="auto"/>
        <w:jc w:val="center"/>
        <w:tblBorders>
          <w:top w:val="single" w:color="D3D3D3" w:sz="2" w:space="0"/>
          <w:left w:val="single" w:color="D3D3D3" w:sz="2" w:space="0"/>
          <w:bottom w:val="single" w:color="D3D3D3" w:sz="2" w:space="0"/>
          <w:right w:val="single" w:color="D3D3D3" w:sz="2" w:space="0"/>
          <w:insideH w:val="single" w:color="D3D3D3" w:sz="2" w:space="0"/>
          <w:insideV w:val="single" w:color="D3D3D3" w:sz="2" w:space="0"/>
        </w:tblBorders>
        <w:tblLook w:val="04A0" w:firstRow="1" w:lastRow="0" w:firstColumn="1" w:lastColumn="0" w:noHBand="0" w:noVBand="1"/>
      </w:tblPr>
      <w:tblGrid>
        <w:gridCol w:w="4114"/>
        <w:gridCol w:w="5128"/>
      </w:tblGrid>
      <w:tr w:rsidR="00965C44" w:rsidTr="4CA5DDC5" w14:paraId="49C3CF40" w14:textId="77777777">
        <w:trPr>
          <w:jc w:val="center"/>
        </w:trPr>
        <w:tc>
          <w:tcPr>
            <w:tcW w:w="5250" w:type="dxa"/>
            <w:tcMar/>
          </w:tcPr>
          <w:p w:rsidR="00965C44" w:rsidRDefault="000D40DB" w14:paraId="1F93F5CF" w14:textId="77777777">
            <w:pPr>
              <w:spacing w:before="40" w:after="40"/>
              <w:ind w:left="115" w:hanging="115"/>
            </w:pPr>
            <w:r>
              <w:rPr>
                <w:rFonts w:ascii="Arial" w:hAnsi="Arial" w:cs="Arial"/>
                <w:sz w:val="18"/>
                <w:szCs w:val="18"/>
              </w:rPr>
              <w:t>▪</w:t>
            </w:r>
            <w:r>
              <w:rPr>
                <w:rFonts w:ascii="Arial" w:hAnsi="Arial" w:cs="Arial"/>
                <w:sz w:val="18"/>
                <w:szCs w:val="18"/>
              </w:rPr>
              <w:t xml:space="preserve"> Country/Region:</w:t>
            </w:r>
          </w:p>
        </w:tc>
        <w:tc>
          <w:tcPr>
            <w:tcW w:w="6750" w:type="dxa"/>
            <w:tcMar/>
          </w:tcPr>
          <w:p w:rsidR="00965C44" w:rsidRDefault="000D40DB" w14:paraId="0A49BC27" w14:textId="77777777">
            <w:pPr>
              <w:spacing w:before="40" w:after="40"/>
            </w:pPr>
            <w:r>
              <w:rPr>
                <w:rFonts w:ascii="Arial" w:hAnsi="Arial" w:cs="Arial"/>
                <w:sz w:val="18"/>
                <w:szCs w:val="18"/>
              </w:rPr>
              <w:t>REGIONAL/CID - Isthmus &amp; DR</w:t>
            </w:r>
          </w:p>
        </w:tc>
      </w:tr>
      <w:tr w:rsidRPr="000D40DB" w:rsidR="00965C44" w:rsidTr="4CA5DDC5" w14:paraId="4F154330" w14:textId="77777777">
        <w:trPr>
          <w:jc w:val="center"/>
        </w:trPr>
        <w:tc>
          <w:tcPr>
            <w:tcW w:w="5250" w:type="dxa"/>
            <w:tcMar/>
          </w:tcPr>
          <w:p w:rsidR="00965C44" w:rsidRDefault="000D40DB" w14:paraId="77F2B518" w14:textId="77777777">
            <w:pPr>
              <w:spacing w:before="40" w:after="40"/>
              <w:ind w:left="115" w:hanging="115"/>
            </w:pPr>
            <w:r>
              <w:rPr>
                <w:rFonts w:ascii="Arial" w:hAnsi="Arial" w:cs="Arial"/>
                <w:sz w:val="18"/>
                <w:szCs w:val="18"/>
              </w:rPr>
              <w:t>▪</w:t>
            </w:r>
            <w:r>
              <w:rPr>
                <w:rFonts w:ascii="Arial" w:hAnsi="Arial" w:cs="Arial"/>
                <w:sz w:val="18"/>
                <w:szCs w:val="18"/>
              </w:rPr>
              <w:t xml:space="preserve"> TC Name:</w:t>
            </w:r>
          </w:p>
        </w:tc>
        <w:tc>
          <w:tcPr>
            <w:tcW w:w="6750" w:type="dxa"/>
            <w:tcMar/>
          </w:tcPr>
          <w:p w:rsidRPr="000D40DB" w:rsidR="00965C44" w:rsidRDefault="000D40DB" w14:paraId="351A5AAC" w14:textId="77777777">
            <w:pPr>
              <w:spacing w:before="40" w:after="40"/>
              <w:rPr>
                <w:lang w:val="es-419"/>
              </w:rPr>
            </w:pPr>
            <w:r w:rsidRPr="000D40DB">
              <w:rPr>
                <w:rFonts w:ascii="Arial" w:hAnsi="Arial" w:cs="Arial"/>
                <w:sz w:val="18"/>
                <w:szCs w:val="18"/>
                <w:lang w:val="es-419"/>
              </w:rPr>
              <w:t>Fortalecimiento de los programas para migrantes retornados en México y Centroamérica</w:t>
            </w:r>
          </w:p>
        </w:tc>
      </w:tr>
      <w:tr w:rsidR="00965C44" w:rsidTr="4CA5DDC5" w14:paraId="2E1A6657" w14:textId="77777777">
        <w:trPr>
          <w:jc w:val="center"/>
        </w:trPr>
        <w:tc>
          <w:tcPr>
            <w:tcW w:w="5250" w:type="dxa"/>
            <w:tcMar/>
          </w:tcPr>
          <w:p w:rsidR="00965C44" w:rsidRDefault="000D40DB" w14:paraId="7DBF65F2" w14:textId="77777777">
            <w:pPr>
              <w:spacing w:before="40" w:after="40"/>
              <w:ind w:left="115" w:hanging="115"/>
            </w:pPr>
            <w:r>
              <w:rPr>
                <w:rFonts w:ascii="Arial" w:hAnsi="Arial" w:cs="Arial"/>
                <w:sz w:val="18"/>
                <w:szCs w:val="18"/>
              </w:rPr>
              <w:t>▪</w:t>
            </w:r>
            <w:r>
              <w:rPr>
                <w:rFonts w:ascii="Arial" w:hAnsi="Arial" w:cs="Arial"/>
                <w:sz w:val="18"/>
                <w:szCs w:val="18"/>
              </w:rPr>
              <w:t xml:space="preserve"> TC Number:</w:t>
            </w:r>
          </w:p>
        </w:tc>
        <w:tc>
          <w:tcPr>
            <w:tcW w:w="6750" w:type="dxa"/>
            <w:tcMar/>
          </w:tcPr>
          <w:p w:rsidR="00965C44" w:rsidRDefault="000D40DB" w14:paraId="32B6E921" w14:textId="77777777">
            <w:pPr>
              <w:spacing w:before="40" w:after="40"/>
            </w:pPr>
            <w:r>
              <w:rPr>
                <w:rFonts w:ascii="Arial" w:hAnsi="Arial" w:cs="Arial"/>
                <w:sz w:val="18"/>
                <w:szCs w:val="18"/>
              </w:rPr>
              <w:t>RG-T4068</w:t>
            </w:r>
          </w:p>
        </w:tc>
      </w:tr>
      <w:tr w:rsidRPr="000D40DB" w:rsidR="00965C44" w:rsidTr="4CA5DDC5" w14:paraId="05D7335B" w14:textId="77777777">
        <w:trPr>
          <w:jc w:val="center"/>
        </w:trPr>
        <w:tc>
          <w:tcPr>
            <w:tcW w:w="5250" w:type="dxa"/>
            <w:tcMar/>
          </w:tcPr>
          <w:p w:rsidR="00965C44" w:rsidRDefault="000D40DB" w14:paraId="45D4D8CB" w14:textId="77777777">
            <w:pPr>
              <w:spacing w:before="40" w:after="40"/>
              <w:ind w:left="115" w:hanging="115"/>
            </w:pPr>
            <w:r>
              <w:rPr>
                <w:rFonts w:ascii="Arial" w:hAnsi="Arial" w:cs="Arial"/>
                <w:sz w:val="18"/>
                <w:szCs w:val="18"/>
              </w:rPr>
              <w:t>▪</w:t>
            </w:r>
            <w:r>
              <w:rPr>
                <w:rFonts w:ascii="Arial" w:hAnsi="Arial" w:cs="Arial"/>
                <w:sz w:val="18"/>
                <w:szCs w:val="18"/>
              </w:rPr>
              <w:t xml:space="preserve"> Team Leader/Members:</w:t>
            </w:r>
          </w:p>
        </w:tc>
        <w:tc>
          <w:tcPr>
            <w:tcW w:w="6750" w:type="dxa"/>
            <w:tcMar/>
          </w:tcPr>
          <w:p w:rsidRPr="000D40DB" w:rsidR="00965C44" w:rsidRDefault="000D40DB" w14:paraId="118DBEA3" w14:textId="2FC45A5C">
            <w:pPr>
              <w:spacing w:before="40" w:after="40"/>
              <w:rPr>
                <w:lang w:val="es-419"/>
              </w:rPr>
            </w:pPr>
            <w:r w:rsidRPr="4CA5DDC5" w:rsidR="000D40DB">
              <w:rPr>
                <w:rFonts w:ascii="Arial" w:hAnsi="Arial" w:cs="Arial"/>
                <w:sz w:val="18"/>
                <w:szCs w:val="18"/>
                <w:lang w:val="es-419"/>
              </w:rPr>
              <w:t xml:space="preserve">CARRION MENENDEZ, </w:t>
            </w:r>
            <w:r w:rsidRPr="4CA5DDC5" w:rsidR="000D40DB">
              <w:rPr>
                <w:rFonts w:ascii="Arial" w:hAnsi="Arial" w:cs="Arial"/>
                <w:sz w:val="18"/>
                <w:szCs w:val="18"/>
                <w:lang w:val="es-419"/>
              </w:rPr>
              <w:t>ALEJANDRO (CID/CID) Team Leader; MIRANDA, ROBERTO (CID/CID); ACEVEDO CALLE, DANIELA (LEG/SGO); ADELA DAVALOS (SCL/MIG)</w:t>
            </w:r>
          </w:p>
        </w:tc>
      </w:tr>
      <w:tr w:rsidR="00965C44" w:rsidTr="4CA5DDC5" w14:paraId="66DF3753" w14:textId="77777777">
        <w:trPr>
          <w:jc w:val="center"/>
        </w:trPr>
        <w:tc>
          <w:tcPr>
            <w:tcW w:w="5250" w:type="dxa"/>
            <w:tcMar/>
          </w:tcPr>
          <w:p w:rsidR="00965C44" w:rsidRDefault="000D40DB" w14:paraId="2BD9F01E" w14:textId="77777777">
            <w:pPr>
              <w:spacing w:before="40" w:after="40"/>
              <w:ind w:left="115" w:hanging="115"/>
            </w:pPr>
            <w:r>
              <w:rPr>
                <w:rFonts w:ascii="Arial" w:hAnsi="Arial" w:cs="Arial"/>
                <w:sz w:val="18"/>
                <w:szCs w:val="18"/>
              </w:rPr>
              <w:t>▪</w:t>
            </w:r>
            <w:r>
              <w:rPr>
                <w:rFonts w:ascii="Arial" w:hAnsi="Arial" w:cs="Arial"/>
                <w:sz w:val="18"/>
                <w:szCs w:val="18"/>
              </w:rPr>
              <w:t xml:space="preserve"> Taxonomy:</w:t>
            </w:r>
          </w:p>
        </w:tc>
        <w:tc>
          <w:tcPr>
            <w:tcW w:w="6750" w:type="dxa"/>
            <w:tcMar/>
          </w:tcPr>
          <w:p w:rsidR="00965C44" w:rsidRDefault="000D40DB" w14:paraId="62DD825E" w14:textId="77777777">
            <w:pPr>
              <w:spacing w:before="40" w:after="40"/>
            </w:pPr>
            <w:r>
              <w:rPr>
                <w:rFonts w:ascii="Arial" w:hAnsi="Arial" w:cs="Arial"/>
                <w:sz w:val="18"/>
                <w:szCs w:val="18"/>
              </w:rPr>
              <w:t>Research and Dissemination</w:t>
            </w:r>
          </w:p>
        </w:tc>
      </w:tr>
      <w:tr w:rsidR="00965C44" w:rsidTr="4CA5DDC5" w14:paraId="73ED79A2" w14:textId="77777777">
        <w:trPr>
          <w:jc w:val="center"/>
        </w:trPr>
        <w:tc>
          <w:tcPr>
            <w:tcW w:w="5250" w:type="dxa"/>
            <w:tcMar/>
          </w:tcPr>
          <w:p w:rsidR="00965C44" w:rsidRDefault="000D40DB" w14:paraId="1C5A4991" w14:textId="77777777">
            <w:pPr>
              <w:spacing w:before="40" w:after="40"/>
              <w:ind w:left="115" w:hanging="115"/>
            </w:pPr>
            <w:r>
              <w:rPr>
                <w:rFonts w:ascii="Arial" w:hAnsi="Arial" w:cs="Arial"/>
                <w:sz w:val="18"/>
                <w:szCs w:val="18"/>
              </w:rPr>
              <w:t>▪</w:t>
            </w:r>
            <w:r>
              <w:rPr>
                <w:rFonts w:ascii="Arial" w:hAnsi="Arial" w:cs="Arial"/>
                <w:sz w:val="18"/>
                <w:szCs w:val="18"/>
              </w:rPr>
              <w:t xml:space="preserve"> Number and name of operation supported by the TC:</w:t>
            </w:r>
          </w:p>
        </w:tc>
        <w:tc>
          <w:tcPr>
            <w:tcW w:w="6750" w:type="dxa"/>
            <w:tcMar/>
          </w:tcPr>
          <w:p w:rsidR="00965C44" w:rsidRDefault="000D40DB" w14:paraId="4EC4EE0E" w14:textId="77777777">
            <w:pPr>
              <w:spacing w:before="40" w:after="40"/>
            </w:pPr>
            <w:r>
              <w:rPr>
                <w:rFonts w:ascii="Arial" w:hAnsi="Arial" w:cs="Arial"/>
                <w:sz w:val="18"/>
                <w:szCs w:val="18"/>
              </w:rPr>
              <w:t>N/A</w:t>
            </w:r>
          </w:p>
        </w:tc>
      </w:tr>
      <w:tr w:rsidR="00965C44" w:rsidTr="4CA5DDC5" w14:paraId="0A9D2D65" w14:textId="77777777">
        <w:trPr>
          <w:jc w:val="center"/>
        </w:trPr>
        <w:tc>
          <w:tcPr>
            <w:tcW w:w="5250" w:type="dxa"/>
            <w:tcMar/>
          </w:tcPr>
          <w:p w:rsidR="00965C44" w:rsidRDefault="000D40DB" w14:paraId="786020ED" w14:textId="77777777">
            <w:pPr>
              <w:spacing w:before="40" w:after="40"/>
              <w:ind w:left="115" w:hanging="115"/>
            </w:pPr>
            <w:r>
              <w:rPr>
                <w:rFonts w:ascii="Arial" w:hAnsi="Arial" w:cs="Arial"/>
                <w:sz w:val="18"/>
                <w:szCs w:val="18"/>
              </w:rPr>
              <w:t>▪</w:t>
            </w:r>
            <w:r>
              <w:rPr>
                <w:rFonts w:ascii="Arial" w:hAnsi="Arial" w:cs="Arial"/>
                <w:sz w:val="18"/>
                <w:szCs w:val="18"/>
              </w:rPr>
              <w:t xml:space="preserve"> Date of TC Abstract:</w:t>
            </w:r>
          </w:p>
        </w:tc>
        <w:tc>
          <w:tcPr>
            <w:tcW w:w="6750" w:type="dxa"/>
            <w:tcMar/>
          </w:tcPr>
          <w:p w:rsidR="00965C44" w:rsidRDefault="000D40DB" w14:paraId="1ADC25A7" w14:textId="77777777">
            <w:pPr>
              <w:spacing w:before="40" w:after="40"/>
            </w:pPr>
            <w:r>
              <w:rPr>
                <w:rFonts w:ascii="Arial" w:hAnsi="Arial" w:cs="Arial"/>
                <w:sz w:val="18"/>
                <w:szCs w:val="18"/>
              </w:rPr>
              <w:t>21 Mar 2022</w:t>
            </w:r>
          </w:p>
        </w:tc>
      </w:tr>
      <w:tr w:rsidRPr="000D40DB" w:rsidR="00965C44" w:rsidTr="4CA5DDC5" w14:paraId="03646169" w14:textId="77777777">
        <w:trPr>
          <w:jc w:val="center"/>
        </w:trPr>
        <w:tc>
          <w:tcPr>
            <w:tcW w:w="5250" w:type="dxa"/>
            <w:tcMar/>
          </w:tcPr>
          <w:p w:rsidR="00965C44" w:rsidRDefault="000D40DB" w14:paraId="4AE3383C" w14:textId="77777777">
            <w:pPr>
              <w:spacing w:before="40" w:after="40"/>
              <w:ind w:left="115" w:hanging="115"/>
            </w:pPr>
            <w:r>
              <w:rPr>
                <w:rFonts w:ascii="Arial" w:hAnsi="Arial" w:cs="Arial"/>
                <w:sz w:val="18"/>
                <w:szCs w:val="18"/>
              </w:rPr>
              <w:t>▪</w:t>
            </w:r>
            <w:r>
              <w:rPr>
                <w:rFonts w:ascii="Arial" w:hAnsi="Arial" w:cs="Arial"/>
                <w:sz w:val="18"/>
                <w:szCs w:val="18"/>
              </w:rPr>
              <w:t xml:space="preserve"> </w:t>
            </w:r>
            <w:r>
              <w:rPr>
                <w:rFonts w:ascii="Arial" w:hAnsi="Arial" w:cs="Arial"/>
                <w:sz w:val="18"/>
                <w:szCs w:val="18"/>
              </w:rPr>
              <w:t>Beneficiary:</w:t>
            </w:r>
          </w:p>
        </w:tc>
        <w:tc>
          <w:tcPr>
            <w:tcW w:w="6750" w:type="dxa"/>
            <w:tcMar/>
          </w:tcPr>
          <w:p w:rsidRPr="000D40DB" w:rsidR="00965C44" w:rsidRDefault="000D40DB" w14:paraId="09F126A6" w14:textId="77777777">
            <w:pPr>
              <w:spacing w:before="40" w:after="40"/>
              <w:rPr>
                <w:lang w:val="es-419"/>
              </w:rPr>
            </w:pPr>
            <w:r w:rsidRPr="000D40DB">
              <w:rPr>
                <w:rFonts w:ascii="Arial" w:hAnsi="Arial" w:cs="Arial"/>
                <w:sz w:val="18"/>
                <w:szCs w:val="18"/>
                <w:lang w:val="es-419"/>
              </w:rPr>
              <w:t>Guatemala, Honduras, El Salvador, México</w:t>
            </w:r>
          </w:p>
        </w:tc>
      </w:tr>
      <w:tr w:rsidR="00965C44" w:rsidTr="4CA5DDC5" w14:paraId="3AE1D37E" w14:textId="77777777">
        <w:trPr>
          <w:jc w:val="center"/>
        </w:trPr>
        <w:tc>
          <w:tcPr>
            <w:tcW w:w="5250" w:type="dxa"/>
            <w:tcMar/>
          </w:tcPr>
          <w:p w:rsidR="00965C44" w:rsidRDefault="000D40DB" w14:paraId="3CF9A7FA" w14:textId="77777777">
            <w:pPr>
              <w:spacing w:before="40" w:after="40"/>
              <w:ind w:left="115" w:hanging="115"/>
            </w:pPr>
            <w:r>
              <w:rPr>
                <w:rFonts w:ascii="Arial" w:hAnsi="Arial" w:cs="Arial"/>
                <w:sz w:val="18"/>
                <w:szCs w:val="18"/>
              </w:rPr>
              <w:t>▪</w:t>
            </w:r>
            <w:r>
              <w:rPr>
                <w:rFonts w:ascii="Arial" w:hAnsi="Arial" w:cs="Arial"/>
                <w:sz w:val="18"/>
                <w:szCs w:val="18"/>
              </w:rPr>
              <w:t xml:space="preserve"> Executing Agency:</w:t>
            </w:r>
          </w:p>
        </w:tc>
        <w:tc>
          <w:tcPr>
            <w:tcW w:w="6750" w:type="dxa"/>
            <w:tcMar/>
          </w:tcPr>
          <w:p w:rsidR="00965C44" w:rsidRDefault="000D40DB" w14:paraId="50ADE973" w14:textId="77777777">
            <w:pPr>
              <w:spacing w:before="40" w:after="40"/>
            </w:pPr>
            <w:r>
              <w:rPr>
                <w:rFonts w:ascii="Arial" w:hAnsi="Arial" w:cs="Arial"/>
                <w:sz w:val="18"/>
                <w:szCs w:val="18"/>
              </w:rPr>
              <w:t>INTER-AMERICAN DEVELOPMENT BANK</w:t>
            </w:r>
          </w:p>
        </w:tc>
      </w:tr>
      <w:tr w:rsidR="00965C44" w:rsidTr="4CA5DDC5" w14:paraId="55935401" w14:textId="77777777">
        <w:trPr>
          <w:jc w:val="center"/>
        </w:trPr>
        <w:tc>
          <w:tcPr>
            <w:tcW w:w="5250" w:type="dxa"/>
            <w:tcMar/>
          </w:tcPr>
          <w:p w:rsidR="00965C44" w:rsidRDefault="000D40DB" w14:paraId="047B6623" w14:textId="77777777">
            <w:pPr>
              <w:spacing w:before="40" w:after="40"/>
              <w:ind w:left="115" w:hanging="115"/>
            </w:pPr>
            <w:r>
              <w:rPr>
                <w:rFonts w:ascii="Arial" w:hAnsi="Arial" w:cs="Arial"/>
                <w:sz w:val="18"/>
                <w:szCs w:val="18"/>
              </w:rPr>
              <w:t>▪</w:t>
            </w:r>
            <w:r>
              <w:rPr>
                <w:rFonts w:ascii="Arial" w:hAnsi="Arial" w:cs="Arial"/>
                <w:sz w:val="18"/>
                <w:szCs w:val="18"/>
              </w:rPr>
              <w:t xml:space="preserve"> IDB funding requested:</w:t>
            </w:r>
          </w:p>
        </w:tc>
        <w:tc>
          <w:tcPr>
            <w:tcW w:w="6750" w:type="dxa"/>
            <w:tcMar/>
          </w:tcPr>
          <w:p w:rsidR="00965C44" w:rsidRDefault="000D40DB" w14:paraId="0D0A0CA2" w14:textId="77777777">
            <w:pPr>
              <w:bidi/>
              <w:spacing w:before="40" w:after="40"/>
            </w:pPr>
            <w:r>
              <w:rPr>
                <w:rFonts w:ascii="Arial" w:hAnsi="Arial" w:cs="Arial"/>
                <w:sz w:val="18"/>
                <w:szCs w:val="18"/>
              </w:rPr>
              <w:t>US$235,000.00</w:t>
            </w:r>
          </w:p>
        </w:tc>
      </w:tr>
      <w:tr w:rsidR="00965C44" w:rsidTr="4CA5DDC5" w14:paraId="4E7DD4F4" w14:textId="77777777">
        <w:trPr>
          <w:jc w:val="center"/>
        </w:trPr>
        <w:tc>
          <w:tcPr>
            <w:tcW w:w="5250" w:type="dxa"/>
            <w:tcMar/>
          </w:tcPr>
          <w:p w:rsidR="00965C44" w:rsidRDefault="000D40DB" w14:paraId="100A8A33" w14:textId="77777777">
            <w:pPr>
              <w:spacing w:before="40" w:after="40"/>
              <w:ind w:left="115" w:hanging="115"/>
            </w:pPr>
            <w:r>
              <w:rPr>
                <w:rFonts w:ascii="Arial" w:hAnsi="Arial" w:cs="Arial"/>
                <w:sz w:val="18"/>
                <w:szCs w:val="18"/>
              </w:rPr>
              <w:t>▪</w:t>
            </w:r>
            <w:r>
              <w:rPr>
                <w:rFonts w:ascii="Arial" w:hAnsi="Arial" w:cs="Arial"/>
                <w:sz w:val="18"/>
                <w:szCs w:val="18"/>
              </w:rPr>
              <w:t xml:space="preserve"> Local counterpart funding:</w:t>
            </w:r>
          </w:p>
        </w:tc>
        <w:tc>
          <w:tcPr>
            <w:tcW w:w="6750" w:type="dxa"/>
            <w:tcMar/>
          </w:tcPr>
          <w:p w:rsidR="00965C44" w:rsidRDefault="000D40DB" w14:paraId="7F648636" w14:textId="77777777">
            <w:pPr>
              <w:bidi/>
              <w:spacing w:before="40" w:after="40"/>
            </w:pPr>
            <w:r>
              <w:rPr>
                <w:rFonts w:ascii="Arial" w:hAnsi="Arial" w:cs="Arial"/>
                <w:sz w:val="18"/>
                <w:szCs w:val="18"/>
              </w:rPr>
              <w:t>US$0.00</w:t>
            </w:r>
          </w:p>
        </w:tc>
      </w:tr>
      <w:tr w:rsidR="00965C44" w:rsidTr="4CA5DDC5" w14:paraId="0DC1DB8E" w14:textId="77777777">
        <w:trPr>
          <w:jc w:val="center"/>
        </w:trPr>
        <w:tc>
          <w:tcPr>
            <w:tcW w:w="5250" w:type="dxa"/>
            <w:tcMar/>
          </w:tcPr>
          <w:p w:rsidR="00965C44" w:rsidRDefault="000D40DB" w14:paraId="4C5F80E9" w14:textId="77777777">
            <w:pPr>
              <w:spacing w:before="40" w:after="40"/>
              <w:ind w:left="115" w:hanging="115"/>
            </w:pPr>
            <w:r>
              <w:rPr>
                <w:rFonts w:ascii="Arial" w:hAnsi="Arial" w:cs="Arial"/>
                <w:sz w:val="18"/>
                <w:szCs w:val="18"/>
              </w:rPr>
              <w:t>▪</w:t>
            </w:r>
            <w:r>
              <w:rPr>
                <w:rFonts w:ascii="Arial" w:hAnsi="Arial" w:cs="Arial"/>
                <w:sz w:val="18"/>
                <w:szCs w:val="18"/>
              </w:rPr>
              <w:t xml:space="preserve"> Disbursement period:</w:t>
            </w:r>
          </w:p>
        </w:tc>
        <w:tc>
          <w:tcPr>
            <w:tcW w:w="6750" w:type="dxa"/>
            <w:tcMar/>
          </w:tcPr>
          <w:p w:rsidR="00965C44" w:rsidRDefault="000D40DB" w14:paraId="06E1568C" w14:textId="77777777">
            <w:pPr>
              <w:bidi/>
              <w:spacing w:before="40" w:after="40"/>
            </w:pPr>
            <w:r>
              <w:rPr>
                <w:rFonts w:ascii="Arial" w:hAnsi="Arial" w:cs="Arial"/>
                <w:sz w:val="18"/>
                <w:szCs w:val="18"/>
              </w:rPr>
              <w:t>36 months</w:t>
            </w:r>
          </w:p>
        </w:tc>
      </w:tr>
      <w:tr w:rsidR="00965C44" w:rsidTr="4CA5DDC5" w14:paraId="0BB5DBDD" w14:textId="77777777">
        <w:trPr>
          <w:jc w:val="center"/>
        </w:trPr>
        <w:tc>
          <w:tcPr>
            <w:tcW w:w="5250" w:type="dxa"/>
            <w:tcMar/>
          </w:tcPr>
          <w:p w:rsidR="00965C44" w:rsidRDefault="000D40DB" w14:paraId="61108DE2" w14:textId="77777777">
            <w:pPr>
              <w:spacing w:before="40" w:after="40"/>
              <w:ind w:left="115" w:hanging="115"/>
            </w:pPr>
            <w:r>
              <w:rPr>
                <w:rFonts w:ascii="Arial" w:hAnsi="Arial" w:cs="Arial"/>
                <w:sz w:val="18"/>
                <w:szCs w:val="18"/>
              </w:rPr>
              <w:t>▪</w:t>
            </w:r>
            <w:r>
              <w:rPr>
                <w:rFonts w:ascii="Arial" w:hAnsi="Arial" w:cs="Arial"/>
                <w:sz w:val="18"/>
                <w:szCs w:val="18"/>
              </w:rPr>
              <w:t xml:space="preserve"> Types of consultants:</w:t>
            </w:r>
          </w:p>
        </w:tc>
        <w:tc>
          <w:tcPr>
            <w:tcW w:w="6750" w:type="dxa"/>
            <w:tcMar/>
          </w:tcPr>
          <w:p w:rsidR="00965C44" w:rsidRDefault="000D40DB" w14:paraId="531FF2E3" w14:textId="77777777">
            <w:pPr>
              <w:spacing w:before="40" w:after="40"/>
            </w:pPr>
            <w:r>
              <w:rPr>
                <w:rFonts w:ascii="Arial" w:hAnsi="Arial" w:cs="Arial"/>
                <w:sz w:val="18"/>
                <w:szCs w:val="18"/>
              </w:rPr>
              <w:t>Individuals; Firms</w:t>
            </w:r>
          </w:p>
        </w:tc>
      </w:tr>
      <w:tr w:rsidR="00965C44" w:rsidTr="4CA5DDC5" w14:paraId="324EDA0C" w14:textId="77777777">
        <w:trPr>
          <w:jc w:val="center"/>
        </w:trPr>
        <w:tc>
          <w:tcPr>
            <w:tcW w:w="5250" w:type="dxa"/>
            <w:tcMar/>
          </w:tcPr>
          <w:p w:rsidR="00965C44" w:rsidRDefault="000D40DB" w14:paraId="5AC06841" w14:textId="77777777">
            <w:pPr>
              <w:spacing w:before="40" w:after="40"/>
              <w:ind w:left="115" w:hanging="115"/>
            </w:pPr>
            <w:r>
              <w:rPr>
                <w:rFonts w:ascii="Arial" w:hAnsi="Arial" w:cs="Arial"/>
                <w:sz w:val="18"/>
                <w:szCs w:val="18"/>
              </w:rPr>
              <w:t>▪</w:t>
            </w:r>
            <w:r>
              <w:rPr>
                <w:rFonts w:ascii="Arial" w:hAnsi="Arial" w:cs="Arial"/>
                <w:sz w:val="18"/>
                <w:szCs w:val="18"/>
              </w:rPr>
              <w:t xml:space="preserve"> Prepared by Unit:</w:t>
            </w:r>
          </w:p>
        </w:tc>
        <w:tc>
          <w:tcPr>
            <w:tcW w:w="6750" w:type="dxa"/>
            <w:tcMar/>
          </w:tcPr>
          <w:p w:rsidR="00965C44" w:rsidRDefault="000D40DB" w14:paraId="226C5D95" w14:textId="77777777">
            <w:pPr>
              <w:spacing w:before="40" w:after="40"/>
            </w:pPr>
            <w:r>
              <w:rPr>
                <w:rFonts w:ascii="Arial" w:hAnsi="Arial" w:cs="Arial"/>
                <w:sz w:val="18"/>
                <w:szCs w:val="18"/>
              </w:rPr>
              <w:t>SCL/MIG - Migration Unit</w:t>
            </w:r>
          </w:p>
        </w:tc>
      </w:tr>
      <w:tr w:rsidR="00965C44" w:rsidTr="4CA5DDC5" w14:paraId="3800E02D" w14:textId="77777777">
        <w:trPr>
          <w:jc w:val="center"/>
        </w:trPr>
        <w:tc>
          <w:tcPr>
            <w:tcW w:w="5250" w:type="dxa"/>
            <w:tcMar/>
          </w:tcPr>
          <w:p w:rsidR="00965C44" w:rsidRDefault="000D40DB" w14:paraId="160FCBB0" w14:textId="77777777">
            <w:pPr>
              <w:spacing w:before="40" w:after="40"/>
              <w:ind w:left="115" w:hanging="115"/>
            </w:pPr>
            <w:r>
              <w:rPr>
                <w:rFonts w:ascii="Arial" w:hAnsi="Arial" w:cs="Arial"/>
                <w:sz w:val="18"/>
                <w:szCs w:val="18"/>
              </w:rPr>
              <w:t>▪</w:t>
            </w:r>
            <w:r>
              <w:rPr>
                <w:rFonts w:ascii="Arial" w:hAnsi="Arial" w:cs="Arial"/>
                <w:sz w:val="18"/>
                <w:szCs w:val="18"/>
              </w:rPr>
              <w:t xml:space="preserve"> Unit of Disbursement Responsibility:</w:t>
            </w:r>
          </w:p>
        </w:tc>
        <w:tc>
          <w:tcPr>
            <w:tcW w:w="6750" w:type="dxa"/>
            <w:tcMar/>
          </w:tcPr>
          <w:p w:rsidR="00965C44" w:rsidRDefault="000D40DB" w14:paraId="7705E3CB" w14:textId="77777777">
            <w:pPr>
              <w:spacing w:before="40" w:after="40"/>
            </w:pPr>
            <w:r>
              <w:rPr>
                <w:rFonts w:ascii="Arial" w:hAnsi="Arial" w:cs="Arial"/>
                <w:sz w:val="18"/>
                <w:szCs w:val="18"/>
              </w:rPr>
              <w:t>SCL/MIG - Migration Unit</w:t>
            </w:r>
          </w:p>
        </w:tc>
      </w:tr>
      <w:tr w:rsidR="00965C44" w:rsidTr="4CA5DDC5" w14:paraId="744DBE9F" w14:textId="77777777">
        <w:trPr>
          <w:jc w:val="center"/>
        </w:trPr>
        <w:tc>
          <w:tcPr>
            <w:tcW w:w="5250" w:type="dxa"/>
            <w:tcMar/>
          </w:tcPr>
          <w:p w:rsidR="00965C44" w:rsidRDefault="000D40DB" w14:paraId="14A4FAE3" w14:textId="77777777">
            <w:pPr>
              <w:spacing w:before="40" w:after="40"/>
            </w:pPr>
            <w:r>
              <w:rPr>
                <w:rFonts w:ascii="Arial" w:hAnsi="Arial" w:cs="Arial"/>
                <w:sz w:val="18"/>
                <w:szCs w:val="18"/>
              </w:rPr>
              <w:t>▪</w:t>
            </w:r>
            <w:r>
              <w:rPr>
                <w:rFonts w:ascii="Arial" w:hAnsi="Arial" w:cs="Arial"/>
                <w:sz w:val="18"/>
                <w:szCs w:val="18"/>
              </w:rPr>
              <w:t xml:space="preserve"> TC included in Country Strategy (y/n):</w:t>
            </w:r>
            <w:r>
              <w:rPr>
                <w:rFonts w:ascii="Arial" w:hAnsi="Arial" w:cs="Arial"/>
                <w:sz w:val="18"/>
                <w:szCs w:val="18"/>
              </w:rPr>
              <w:br/>
            </w:r>
            <w:r>
              <w:rPr>
                <w:rFonts w:ascii="Arial" w:hAnsi="Arial" w:cs="Arial"/>
                <w:sz w:val="18"/>
                <w:szCs w:val="18"/>
              </w:rPr>
              <w:br/>
            </w:r>
            <w:r>
              <w:rPr>
                <w:rFonts w:ascii="Arial" w:hAnsi="Arial" w:cs="Arial"/>
                <w:sz w:val="18"/>
                <w:szCs w:val="18"/>
              </w:rPr>
              <w:t>▪ TC included in CPD (y/n):</w:t>
            </w:r>
          </w:p>
        </w:tc>
        <w:tc>
          <w:tcPr>
            <w:tcW w:w="6750" w:type="dxa"/>
            <w:tcMar/>
          </w:tcPr>
          <w:p w:rsidR="00965C44" w:rsidRDefault="000D40DB" w14:paraId="18399675" w14:textId="77777777">
            <w:pPr>
              <w:spacing w:before="40" w:after="40"/>
            </w:pPr>
            <w:r>
              <w:rPr>
                <w:rFonts w:ascii="Arial" w:hAnsi="Arial" w:cs="Arial"/>
                <w:sz w:val="18"/>
                <w:szCs w:val="18"/>
              </w:rPr>
              <w:t>No</w:t>
            </w:r>
            <w:r>
              <w:rPr>
                <w:rFonts w:ascii="Arial" w:hAnsi="Arial" w:cs="Arial"/>
                <w:sz w:val="18"/>
                <w:szCs w:val="18"/>
              </w:rPr>
              <w:br/>
            </w:r>
            <w:r>
              <w:rPr>
                <w:rFonts w:ascii="Arial" w:hAnsi="Arial" w:cs="Arial"/>
                <w:sz w:val="18"/>
                <w:szCs w:val="18"/>
              </w:rPr>
              <w:br/>
            </w:r>
            <w:proofErr w:type="spellStart"/>
            <w:r>
              <w:rPr>
                <w:rFonts w:ascii="Arial" w:hAnsi="Arial" w:cs="Arial"/>
                <w:sz w:val="18"/>
                <w:szCs w:val="18"/>
              </w:rPr>
              <w:t>No</w:t>
            </w:r>
            <w:proofErr w:type="spellEnd"/>
          </w:p>
        </w:tc>
      </w:tr>
      <w:tr w:rsidR="00965C44" w:rsidTr="4CA5DDC5" w14:paraId="2F5A6213" w14:textId="77777777">
        <w:trPr>
          <w:jc w:val="center"/>
        </w:trPr>
        <w:tc>
          <w:tcPr>
            <w:tcW w:w="5250" w:type="dxa"/>
            <w:tcMar/>
          </w:tcPr>
          <w:p w:rsidR="00965C44" w:rsidRDefault="000D40DB" w14:paraId="6596DBD6" w14:textId="77777777">
            <w:pPr>
              <w:spacing w:before="40" w:after="40"/>
              <w:ind w:left="115" w:hanging="115"/>
            </w:pPr>
            <w:r>
              <w:rPr>
                <w:rFonts w:ascii="Arial" w:hAnsi="Arial" w:cs="Arial"/>
                <w:sz w:val="18"/>
                <w:szCs w:val="18"/>
              </w:rPr>
              <w:t>▪</w:t>
            </w:r>
            <w:r>
              <w:rPr>
                <w:rFonts w:ascii="Arial" w:hAnsi="Arial" w:cs="Arial"/>
                <w:sz w:val="18"/>
                <w:szCs w:val="18"/>
              </w:rPr>
              <w:t xml:space="preserve"> Alignment to the Update to the </w:t>
            </w:r>
            <w:r>
              <w:rPr>
                <w:rFonts w:ascii="Arial" w:hAnsi="Arial" w:cs="Arial"/>
                <w:sz w:val="18"/>
                <w:szCs w:val="18"/>
              </w:rPr>
              <w:t>Institutional Strategy 2010-2020:</w:t>
            </w:r>
          </w:p>
        </w:tc>
        <w:tc>
          <w:tcPr>
            <w:tcW w:w="6750" w:type="dxa"/>
            <w:tcMar/>
          </w:tcPr>
          <w:p w:rsidR="00965C44" w:rsidRDefault="000D40DB" w14:paraId="677C872B" w14:textId="77777777">
            <w:pPr>
              <w:spacing w:before="40" w:after="40"/>
            </w:pPr>
            <w:r>
              <w:rPr>
                <w:rFonts w:ascii="Arial" w:hAnsi="Arial" w:cs="Arial"/>
                <w:sz w:val="18"/>
                <w:szCs w:val="18"/>
              </w:rPr>
              <w:t xml:space="preserve">Social inclusion and </w:t>
            </w:r>
            <w:proofErr w:type="gramStart"/>
            <w:r>
              <w:rPr>
                <w:rFonts w:ascii="Arial" w:hAnsi="Arial" w:cs="Arial"/>
                <w:sz w:val="18"/>
                <w:szCs w:val="18"/>
              </w:rPr>
              <w:t>equality ;</w:t>
            </w:r>
            <w:proofErr w:type="gramEnd"/>
            <w:r>
              <w:rPr>
                <w:rFonts w:ascii="Arial" w:hAnsi="Arial" w:cs="Arial"/>
                <w:sz w:val="18"/>
                <w:szCs w:val="18"/>
              </w:rPr>
              <w:t xml:space="preserve"> Productivity and innovation ; Institutional capacity and rule of law; Gender equality; Diversity</w:t>
            </w:r>
          </w:p>
        </w:tc>
      </w:tr>
      <w:tr w:rsidR="00965C44" w:rsidTr="4CA5DDC5" w14:paraId="20F3AB56" w14:textId="77777777">
        <w:trPr>
          <w:jc w:val="center"/>
        </w:trPr>
        <w:tc>
          <w:tcPr>
            <w:tcW w:w="5250" w:type="dxa"/>
            <w:tcMar/>
          </w:tcPr>
          <w:p w:rsidR="00965C44" w:rsidRDefault="00965C44" w14:paraId="39714A7F" w14:textId="77777777"/>
        </w:tc>
        <w:tc>
          <w:tcPr>
            <w:tcW w:w="6750" w:type="dxa"/>
            <w:tcMar/>
          </w:tcPr>
          <w:p w:rsidR="00965C44" w:rsidRDefault="00965C44" w14:paraId="4A43AA93" w14:textId="77777777"/>
        </w:tc>
      </w:tr>
    </w:tbl>
    <w:p w:rsidR="00965C44" w:rsidRDefault="000D40DB" w14:paraId="3F00C53A" w14:textId="77777777">
      <w:pPr>
        <w:spacing w:before="120" w:after="120"/>
        <w:ind w:left="579" w:hanging="579"/>
      </w:pPr>
      <w:r>
        <w:rPr>
          <w:rFonts w:ascii="Arial" w:hAnsi="Arial" w:cs="Arial"/>
          <w:b/>
        </w:rPr>
        <w:t>II.</w:t>
      </w:r>
      <w:r>
        <w:rPr>
          <w:rFonts w:ascii="Arial" w:hAnsi="Arial" w:cs="Arial"/>
          <w:b/>
        </w:rPr>
        <w:tab/>
      </w:r>
      <w:r>
        <w:rPr>
          <w:rFonts w:ascii="Arial" w:hAnsi="Arial" w:cs="Arial"/>
          <w:b/>
        </w:rPr>
        <w:t>Objective and Justification</w:t>
      </w:r>
    </w:p>
    <w:p w:rsidR="00965C44" w:rsidRDefault="000D40DB" w14:paraId="1B9B2ABF" w14:textId="77777777">
      <w:pPr>
        <w:spacing w:before="120" w:after="120"/>
        <w:ind w:left="579" w:hanging="579"/>
        <w:jc w:val="both"/>
      </w:pPr>
      <w:r>
        <w:rPr>
          <w:rFonts w:ascii="Arial" w:hAnsi="Arial" w:cs="Arial"/>
        </w:rPr>
        <w:t>2.1</w:t>
      </w:r>
      <w:r>
        <w:rPr>
          <w:rFonts w:ascii="Arial" w:hAnsi="Arial" w:cs="Arial"/>
        </w:rPr>
        <w:tab/>
      </w:r>
      <w:r>
        <w:rPr>
          <w:rFonts w:ascii="Arial" w:hAnsi="Arial" w:cs="Arial"/>
        </w:rPr>
        <w:t xml:space="preserve">Increase the capacity of governments to </w:t>
      </w:r>
      <w:r>
        <w:rPr>
          <w:rFonts w:ascii="Arial" w:hAnsi="Arial" w:cs="Arial"/>
        </w:rPr>
        <w:t>implement actions to attend and look after returning migrants</w:t>
      </w:r>
    </w:p>
    <w:p w:rsidRPr="000D40DB" w:rsidR="00965C44" w:rsidRDefault="000D40DB" w14:paraId="2AC3B1B6" w14:textId="77777777">
      <w:pPr>
        <w:spacing w:before="120" w:after="120"/>
        <w:ind w:left="579" w:hanging="579"/>
        <w:jc w:val="both"/>
        <w:rPr>
          <w:lang w:val="es-419"/>
        </w:rPr>
      </w:pPr>
      <w:r w:rsidRPr="000D40DB">
        <w:rPr>
          <w:rFonts w:ascii="Arial" w:hAnsi="Arial" w:cs="Arial"/>
          <w:lang w:val="es-419"/>
        </w:rPr>
        <w:t>2.2</w:t>
      </w:r>
      <w:r w:rsidRPr="000D40DB">
        <w:rPr>
          <w:rFonts w:ascii="Arial" w:hAnsi="Arial" w:cs="Arial"/>
          <w:lang w:val="es-419"/>
        </w:rPr>
        <w:tab/>
      </w:r>
      <w:r w:rsidRPr="000D40DB">
        <w:rPr>
          <w:rFonts w:ascii="Arial" w:hAnsi="Arial" w:cs="Arial"/>
          <w:lang w:val="es-419"/>
        </w:rPr>
        <w:t>Entre 2018 y 2021, más de 660 mil migrantes retornaron a ES, GU y HO desde ME y los EE.UU. El retorno involuntario y las deportaciones han sido las principales razones para establecer servic</w:t>
      </w:r>
      <w:r w:rsidRPr="000D40DB">
        <w:rPr>
          <w:rFonts w:ascii="Arial" w:hAnsi="Arial" w:cs="Arial"/>
          <w:lang w:val="es-419"/>
        </w:rPr>
        <w:t>ios de recepción y reintegración provistos por gobiernos nacionales y locales al igual que por la sociedad civil en los países del Triángulo Norte (TN).  El aumento de estos flujos ha afectado la capacidad de los gobiernos de atender a esta población y red</w:t>
      </w:r>
      <w:r w:rsidRPr="000D40DB">
        <w:rPr>
          <w:rFonts w:ascii="Arial" w:hAnsi="Arial" w:cs="Arial"/>
          <w:lang w:val="es-419"/>
        </w:rPr>
        <w:t>ucir el riesgo de que las personas vuelvan a migrar.</w:t>
      </w:r>
    </w:p>
    <w:p w:rsidRPr="000D40DB" w:rsidR="00965C44" w:rsidRDefault="000D40DB" w14:paraId="3085622B" w14:textId="77777777">
      <w:pPr>
        <w:spacing w:before="120" w:after="120"/>
        <w:ind w:left="579" w:hanging="579"/>
        <w:jc w:val="both"/>
        <w:rPr>
          <w:lang w:val="es-419"/>
        </w:rPr>
      </w:pPr>
      <w:r w:rsidRPr="000D40DB">
        <w:rPr>
          <w:rFonts w:ascii="Arial" w:hAnsi="Arial" w:cs="Arial"/>
          <w:lang w:val="es-419"/>
        </w:rPr>
        <w:t>2.3</w:t>
      </w:r>
      <w:r w:rsidRPr="000D40DB">
        <w:rPr>
          <w:rFonts w:ascii="Arial" w:hAnsi="Arial" w:cs="Arial"/>
          <w:lang w:val="es-419"/>
        </w:rPr>
        <w:tab/>
      </w:r>
      <w:r w:rsidRPr="000D40DB">
        <w:rPr>
          <w:rFonts w:ascii="Arial" w:hAnsi="Arial" w:cs="Arial"/>
          <w:lang w:val="es-419"/>
        </w:rPr>
        <w:t>Existen brechas de información que requieren ser subsanadas para una mejor focalización y efectividad de los programas. El problema de la información es una limitante para los programas y servicios q</w:t>
      </w:r>
      <w:r w:rsidRPr="000D40DB">
        <w:rPr>
          <w:rFonts w:ascii="Arial" w:hAnsi="Arial" w:cs="Arial"/>
          <w:lang w:val="es-419"/>
        </w:rPr>
        <w:t>ue se para migrantes, tanto en el caso de recepción como de reintegración. La mayoría de estos se enfocan en preparación para el empleo, sin embargo, no cuentan con información actualizada para validar las competencias de los distintos migrantes ni tampoco</w:t>
      </w:r>
      <w:r w:rsidRPr="000D40DB">
        <w:rPr>
          <w:rFonts w:ascii="Arial" w:hAnsi="Arial" w:cs="Arial"/>
          <w:lang w:val="es-419"/>
        </w:rPr>
        <w:t xml:space="preserve"> para diferenciar sus habilidades. La falta de documentos de un registro integral de migrantes y de sistemas de información integrados crea obstáculos para la prestación eficiente y focalizada de servicios. En ese sentido, es necesario mejorar análisis de </w:t>
      </w:r>
      <w:r w:rsidRPr="000D40DB">
        <w:rPr>
          <w:rFonts w:ascii="Arial" w:hAnsi="Arial" w:cs="Arial"/>
          <w:lang w:val="es-419"/>
        </w:rPr>
        <w:t xml:space="preserve">datos sobre flujos y el intercambio de información entre las distintas entidades. </w:t>
      </w:r>
    </w:p>
    <w:p w:rsidRPr="000D40DB" w:rsidR="00965C44" w:rsidRDefault="000D40DB" w14:paraId="0813D74D" w14:textId="77777777">
      <w:pPr>
        <w:spacing w:before="120" w:after="120"/>
        <w:ind w:left="579" w:hanging="579"/>
        <w:jc w:val="both"/>
        <w:rPr>
          <w:lang w:val="es-419"/>
        </w:rPr>
      </w:pPr>
      <w:r w:rsidRPr="000D40DB">
        <w:rPr>
          <w:rFonts w:ascii="Arial" w:hAnsi="Arial" w:cs="Arial"/>
          <w:lang w:val="es-419"/>
        </w:rPr>
        <w:lastRenderedPageBreak/>
        <w:t>2.4</w:t>
      </w:r>
      <w:r w:rsidRPr="000D40DB">
        <w:rPr>
          <w:rFonts w:ascii="Arial" w:hAnsi="Arial" w:cs="Arial"/>
          <w:lang w:val="es-419"/>
        </w:rPr>
        <w:tab/>
      </w:r>
      <w:r w:rsidRPr="000D40DB">
        <w:rPr>
          <w:rFonts w:ascii="Arial" w:hAnsi="Arial" w:cs="Arial"/>
          <w:lang w:val="es-419"/>
        </w:rPr>
        <w:t>Esta CT se enmarca dentro de la Visión 2025 ya que contribuirá a (i) mejorar el acceso a empleos de población vulnerable, con especial énfasis en la participación de muj</w:t>
      </w:r>
      <w:r w:rsidRPr="000D40DB">
        <w:rPr>
          <w:rFonts w:ascii="Arial" w:hAnsi="Arial" w:cs="Arial"/>
          <w:lang w:val="es-419"/>
        </w:rPr>
        <w:t>eres migrantes; y (ii) promover redes de protección social por medio de servicios de recepción y reintegración a migrantes.  Adicionalmente, contribuye a la respuesta del Banco al fenómeno migratorio, lo que le da un carácter transversal.</w:t>
      </w:r>
    </w:p>
    <w:p w:rsidRPr="000D40DB" w:rsidR="00965C44" w:rsidRDefault="000D40DB" w14:paraId="7C3769FA" w14:textId="77777777">
      <w:pPr>
        <w:spacing w:before="120" w:after="120"/>
        <w:ind w:left="579" w:hanging="579"/>
        <w:jc w:val="both"/>
        <w:rPr>
          <w:lang w:val="es-419"/>
        </w:rPr>
      </w:pPr>
      <w:r w:rsidRPr="000D40DB">
        <w:rPr>
          <w:rFonts w:ascii="Arial" w:hAnsi="Arial" w:cs="Arial"/>
          <w:lang w:val="es-419"/>
        </w:rPr>
        <w:t>2.5</w:t>
      </w:r>
      <w:r w:rsidRPr="000D40DB">
        <w:rPr>
          <w:rFonts w:ascii="Arial" w:hAnsi="Arial" w:cs="Arial"/>
          <w:lang w:val="es-419"/>
        </w:rPr>
        <w:tab/>
      </w:r>
      <w:r w:rsidRPr="000D40DB">
        <w:rPr>
          <w:rFonts w:ascii="Arial" w:hAnsi="Arial" w:cs="Arial"/>
          <w:lang w:val="es-419"/>
        </w:rPr>
        <w:t>Así mismo, la</w:t>
      </w:r>
      <w:r w:rsidRPr="000D40DB">
        <w:rPr>
          <w:rFonts w:ascii="Arial" w:hAnsi="Arial" w:cs="Arial"/>
          <w:lang w:val="es-419"/>
        </w:rPr>
        <w:t xml:space="preserve"> CT es consistente con la Actualización de la Estrategia Institucional (UIS) (AB-3190-2) y los desafíos de desarrollo: (i) Productividad e innovación al recopilar información que busca innovar y generar la capacidad instalada necesaria  para  gestionar fut</w:t>
      </w:r>
      <w:r w:rsidRPr="000D40DB">
        <w:rPr>
          <w:rFonts w:ascii="Arial" w:hAnsi="Arial" w:cs="Arial"/>
          <w:lang w:val="es-419"/>
        </w:rPr>
        <w:t>uros  flujos  migratorios  en  el  país; (ii) Inclusión Social e Igualdad al promover la igualdad de oportunidades e integración al mercado laboral para retornados; e (iii) Igualdad de Género y Diversidad al tomar en cuenta las vulnerabilidad adicionales q</w:t>
      </w:r>
      <w:r w:rsidRPr="000D40DB">
        <w:rPr>
          <w:rFonts w:ascii="Arial" w:hAnsi="Arial" w:cs="Arial"/>
          <w:lang w:val="es-419"/>
        </w:rPr>
        <w:t xml:space="preserve">ue enfrentan mujeres, niños y niñas, población indígena, comunidad LGBTI+, y personas con discapacidad. </w:t>
      </w:r>
    </w:p>
    <w:p w:rsidRPr="000D40DB" w:rsidR="00965C44" w:rsidRDefault="000D40DB" w14:paraId="74E9A72F" w14:textId="77777777">
      <w:pPr>
        <w:spacing w:before="120" w:after="120"/>
        <w:ind w:left="579" w:hanging="579"/>
        <w:jc w:val="both"/>
        <w:rPr>
          <w:lang w:val="es-419"/>
        </w:rPr>
      </w:pPr>
      <w:r w:rsidRPr="000D40DB">
        <w:rPr>
          <w:rFonts w:ascii="Arial" w:hAnsi="Arial" w:cs="Arial"/>
          <w:lang w:val="es-419"/>
        </w:rPr>
        <w:t>2.6</w:t>
      </w:r>
      <w:r w:rsidRPr="000D40DB">
        <w:rPr>
          <w:rFonts w:ascii="Arial" w:hAnsi="Arial" w:cs="Arial"/>
          <w:lang w:val="es-419"/>
        </w:rPr>
        <w:tab/>
      </w:r>
      <w:r w:rsidRPr="000D40DB">
        <w:rPr>
          <w:rFonts w:ascii="Arial" w:hAnsi="Arial" w:cs="Arial"/>
          <w:lang w:val="es-419"/>
        </w:rPr>
        <w:t>Los países beneficiaros fueron seleccionados por su flujo migratorio, repentino, y de gran magnitud. Como mencionado anteriormente, entre 2018 y 20</w:t>
      </w:r>
      <w:r w:rsidRPr="000D40DB">
        <w:rPr>
          <w:rFonts w:ascii="Arial" w:hAnsi="Arial" w:cs="Arial"/>
          <w:lang w:val="es-419"/>
        </w:rPr>
        <w:t>21, más de 660 mil migrantes retornaron a ES, GU y HO desde ME y los EE.UU. El retorno involuntario y deportaciones han sido las principales razones para establecer servicios de recepción y reintegración provistos por gobiernos nacionales y locales al igua</w:t>
      </w:r>
      <w:r w:rsidRPr="000D40DB">
        <w:rPr>
          <w:rFonts w:ascii="Arial" w:hAnsi="Arial" w:cs="Arial"/>
          <w:lang w:val="es-419"/>
        </w:rPr>
        <w:t>l que por la sociedad civil en los países del Triángulo Norte (TN). En el sursureste de ME, los migrantes se concentran principalmente en los estados Chiapas, Quintana Roo, Puebla y Oaxaca. En su mayoría provienen de los países del Triángulo Norte.</w:t>
      </w:r>
    </w:p>
    <w:p w:rsidR="00965C44" w:rsidRDefault="000D40DB" w14:paraId="42BFB095" w14:textId="77777777">
      <w:pPr>
        <w:spacing w:before="120" w:after="120"/>
        <w:ind w:left="579" w:hanging="579"/>
      </w:pPr>
      <w:r>
        <w:rPr>
          <w:rFonts w:ascii="Arial" w:hAnsi="Arial" w:cs="Arial"/>
          <w:b/>
        </w:rPr>
        <w:t>III.</w:t>
      </w:r>
      <w:r>
        <w:rPr>
          <w:rFonts w:ascii="Arial" w:hAnsi="Arial" w:cs="Arial"/>
          <w:b/>
        </w:rPr>
        <w:tab/>
      </w:r>
      <w:r>
        <w:rPr>
          <w:rFonts w:ascii="Arial" w:hAnsi="Arial" w:cs="Arial"/>
          <w:b/>
        </w:rPr>
        <w:t>Description of Activities and Outputs</w:t>
      </w:r>
    </w:p>
    <w:p w:rsidRPr="000D40DB" w:rsidR="00965C44" w:rsidRDefault="000D40DB" w14:paraId="4EE61D5E" w14:textId="77777777">
      <w:pPr>
        <w:spacing w:before="120" w:after="120"/>
        <w:ind w:left="579" w:hanging="579"/>
        <w:jc w:val="both"/>
        <w:rPr>
          <w:lang w:val="es-419"/>
        </w:rPr>
      </w:pPr>
      <w:r w:rsidRPr="000D40DB">
        <w:rPr>
          <w:rFonts w:ascii="Arial" w:hAnsi="Arial" w:cs="Arial"/>
          <w:lang w:val="es-419"/>
        </w:rPr>
        <w:t>3.1</w:t>
      </w:r>
      <w:r w:rsidRPr="000D40DB">
        <w:rPr>
          <w:rFonts w:ascii="Arial" w:hAnsi="Arial" w:cs="Arial"/>
          <w:lang w:val="es-419"/>
        </w:rPr>
        <w:tab/>
      </w:r>
      <w:r w:rsidRPr="000D40DB">
        <w:rPr>
          <w:rFonts w:ascii="Arial" w:hAnsi="Arial" w:cs="Arial"/>
          <w:b/>
          <w:lang w:val="es-419"/>
        </w:rPr>
        <w:t xml:space="preserve">Component I: Estudios para la revisión y generación de datos e información para fortalecer programas para migrantes. </w:t>
      </w:r>
      <w:r w:rsidRPr="000D40DB">
        <w:rPr>
          <w:rFonts w:ascii="Arial" w:hAnsi="Arial" w:cs="Arial"/>
          <w:lang w:val="es-419"/>
        </w:rPr>
        <w:t>Este componente financiará estudios para identificar y recopilar información de fuentes primarias</w:t>
      </w:r>
      <w:r w:rsidRPr="000D40DB">
        <w:rPr>
          <w:rFonts w:ascii="Arial" w:hAnsi="Arial" w:cs="Arial"/>
          <w:lang w:val="es-419"/>
        </w:rPr>
        <w:t xml:space="preserve"> y secundarias sobre población retornada y las principales brechas que enfrentan. El objetivo central será fortalecer la capacidad de los países para atender migrantes retornados y los estudios contribuirán a identificar las principales brechas y las neces</w:t>
      </w:r>
      <w:r w:rsidRPr="000D40DB">
        <w:rPr>
          <w:rFonts w:ascii="Arial" w:hAnsi="Arial" w:cs="Arial"/>
          <w:lang w:val="es-419"/>
        </w:rPr>
        <w:t xml:space="preserve">idades de información para mejorar la calidad, eficiencia y focalización de los programas. </w:t>
      </w:r>
    </w:p>
    <w:p w:rsidRPr="000D40DB" w:rsidR="00965C44" w:rsidRDefault="000D40DB" w14:paraId="6D0185CC" w14:textId="77777777">
      <w:pPr>
        <w:spacing w:before="120" w:after="120"/>
        <w:ind w:left="579" w:hanging="579"/>
        <w:jc w:val="both"/>
        <w:rPr>
          <w:lang w:val="es-419"/>
        </w:rPr>
      </w:pPr>
      <w:r w:rsidRPr="000D40DB">
        <w:rPr>
          <w:rFonts w:ascii="Arial" w:hAnsi="Arial" w:cs="Arial"/>
          <w:lang w:val="es-419"/>
        </w:rPr>
        <w:t>3.2</w:t>
      </w:r>
      <w:r w:rsidRPr="000D40DB">
        <w:rPr>
          <w:rFonts w:ascii="Arial" w:hAnsi="Arial" w:cs="Arial"/>
          <w:lang w:val="es-419"/>
        </w:rPr>
        <w:tab/>
      </w:r>
      <w:r w:rsidRPr="000D40DB">
        <w:rPr>
          <w:rFonts w:ascii="Arial" w:hAnsi="Arial" w:cs="Arial"/>
          <w:b/>
          <w:lang w:val="es-419"/>
        </w:rPr>
        <w:t xml:space="preserve">Component II: Fortalecimiento de los marcos de política y gobernanza. </w:t>
      </w:r>
      <w:r w:rsidRPr="000D40DB">
        <w:rPr>
          <w:rFonts w:ascii="Arial" w:hAnsi="Arial" w:cs="Arial"/>
          <w:lang w:val="es-419"/>
        </w:rPr>
        <w:t>Este componente financiará estudios para revisar los marcos actuales de gobernanza y de po</w:t>
      </w:r>
      <w:r w:rsidRPr="000D40DB">
        <w:rPr>
          <w:rFonts w:ascii="Arial" w:hAnsi="Arial" w:cs="Arial"/>
          <w:lang w:val="es-419"/>
        </w:rPr>
        <w:t>lítica en el tema migratorio. El objetivo central de este componente es fortalecer la gobernanza migratoria y la capacidad de implementar políticas y normativas.</w:t>
      </w:r>
    </w:p>
    <w:p w:rsidR="00965C44" w:rsidRDefault="000D40DB" w14:paraId="6E76DD77" w14:textId="77777777">
      <w:pPr>
        <w:spacing w:before="120" w:after="120"/>
        <w:ind w:left="579" w:hanging="579"/>
      </w:pPr>
      <w:r>
        <w:rPr>
          <w:rFonts w:ascii="Arial" w:hAnsi="Arial" w:cs="Arial"/>
          <w:b/>
        </w:rPr>
        <w:t>IV.</w:t>
      </w:r>
      <w:r>
        <w:rPr>
          <w:rFonts w:ascii="Arial" w:hAnsi="Arial" w:cs="Arial"/>
          <w:b/>
        </w:rPr>
        <w:tab/>
      </w:r>
      <w:r>
        <w:rPr>
          <w:rFonts w:ascii="Arial" w:hAnsi="Arial" w:cs="Arial"/>
          <w:b/>
        </w:rPr>
        <w:t>Budget</w:t>
      </w:r>
    </w:p>
    <w:p w:rsidR="00965C44" w:rsidRDefault="000D40DB" w14:paraId="611B0FE5" w14:textId="77777777">
      <w:pPr>
        <w:spacing w:before="240" w:after="120"/>
        <w:jc w:val="center"/>
      </w:pPr>
      <w:r>
        <w:rPr>
          <w:rFonts w:ascii="Arial" w:hAnsi="Arial" w:cs="Arial"/>
          <w:b/>
          <w:sz w:val="18"/>
          <w:szCs w:val="18"/>
        </w:rPr>
        <w:t>Indicative Budget</w:t>
      </w:r>
    </w:p>
    <w:tbl>
      <w:tblPr>
        <w:tblStyle w:val="TableGrid"/>
        <w:tblW w:w="5000" w:type="auto"/>
        <w:tblLook w:val="04A0" w:firstRow="1" w:lastRow="0" w:firstColumn="1" w:lastColumn="0" w:noHBand="0" w:noVBand="1"/>
      </w:tblPr>
      <w:tblGrid>
        <w:gridCol w:w="2310"/>
        <w:gridCol w:w="2310"/>
        <w:gridCol w:w="2310"/>
        <w:gridCol w:w="2310"/>
      </w:tblGrid>
      <w:tr w:rsidR="00965C44" w14:paraId="3564C949" w14:textId="77777777">
        <w:tc>
          <w:tcPr>
            <w:tcW w:w="2310" w:type="dxa"/>
            <w:vAlign w:val="center"/>
          </w:tcPr>
          <w:p w:rsidR="00965C44" w:rsidRDefault="000D40DB" w14:paraId="663DB328" w14:textId="77777777">
            <w:pPr>
              <w:spacing w:before="40" w:after="40"/>
              <w:jc w:val="center"/>
            </w:pPr>
            <w:r>
              <w:rPr>
                <w:rFonts w:ascii="Arial" w:hAnsi="Arial" w:cs="Arial"/>
                <w:b/>
                <w:sz w:val="18"/>
                <w:szCs w:val="18"/>
              </w:rPr>
              <w:t>Activity/Component</w:t>
            </w:r>
          </w:p>
        </w:tc>
        <w:tc>
          <w:tcPr>
            <w:tcW w:w="2310" w:type="dxa"/>
          </w:tcPr>
          <w:p w:rsidR="00965C44" w:rsidRDefault="000D40DB" w14:paraId="680F061B" w14:textId="77777777">
            <w:pPr>
              <w:spacing w:before="40" w:after="40"/>
              <w:jc w:val="center"/>
            </w:pPr>
            <w:r>
              <w:rPr>
                <w:rFonts w:ascii="Arial" w:hAnsi="Arial" w:cs="Arial"/>
                <w:b/>
                <w:sz w:val="18"/>
                <w:szCs w:val="18"/>
              </w:rPr>
              <w:t>IDB/Fund Funding</w:t>
            </w:r>
          </w:p>
        </w:tc>
        <w:tc>
          <w:tcPr>
            <w:tcW w:w="2310" w:type="dxa"/>
          </w:tcPr>
          <w:p w:rsidR="00965C44" w:rsidRDefault="000D40DB" w14:paraId="236A2E53" w14:textId="77777777">
            <w:pPr>
              <w:spacing w:before="40" w:after="40"/>
              <w:jc w:val="center"/>
            </w:pPr>
            <w:r>
              <w:rPr>
                <w:rFonts w:ascii="Arial" w:hAnsi="Arial" w:cs="Arial"/>
                <w:b/>
                <w:sz w:val="18"/>
                <w:szCs w:val="18"/>
              </w:rPr>
              <w:t>Counterpart Funding</w:t>
            </w:r>
          </w:p>
        </w:tc>
        <w:tc>
          <w:tcPr>
            <w:tcW w:w="2310" w:type="dxa"/>
          </w:tcPr>
          <w:p w:rsidR="00965C44" w:rsidRDefault="000D40DB" w14:paraId="3B7FEAF0" w14:textId="77777777">
            <w:pPr>
              <w:spacing w:before="40" w:after="40"/>
              <w:jc w:val="center"/>
            </w:pPr>
            <w:r>
              <w:rPr>
                <w:rFonts w:ascii="Arial" w:hAnsi="Arial" w:cs="Arial"/>
                <w:b/>
                <w:sz w:val="18"/>
                <w:szCs w:val="18"/>
              </w:rPr>
              <w:t>Total Fun</w:t>
            </w:r>
            <w:r>
              <w:rPr>
                <w:rFonts w:ascii="Arial" w:hAnsi="Arial" w:cs="Arial"/>
                <w:b/>
                <w:sz w:val="18"/>
                <w:szCs w:val="18"/>
              </w:rPr>
              <w:t>ding</w:t>
            </w:r>
          </w:p>
        </w:tc>
      </w:tr>
      <w:tr w:rsidR="00965C44" w14:paraId="36C6E68A" w14:textId="77777777">
        <w:tc>
          <w:tcPr>
            <w:tcW w:w="2310" w:type="dxa"/>
            <w:vAlign w:val="center"/>
          </w:tcPr>
          <w:p w:rsidRPr="000D40DB" w:rsidR="00965C44" w:rsidRDefault="000D40DB" w14:paraId="768AD606" w14:textId="77777777">
            <w:pPr>
              <w:spacing w:before="40" w:after="40"/>
              <w:rPr>
                <w:lang w:val="es-419"/>
              </w:rPr>
            </w:pPr>
            <w:r w:rsidRPr="000D40DB">
              <w:rPr>
                <w:rFonts w:ascii="Arial" w:hAnsi="Arial" w:cs="Arial"/>
                <w:sz w:val="18"/>
                <w:szCs w:val="18"/>
                <w:lang w:val="es-419"/>
              </w:rPr>
              <w:t>Estudios para la revisión y generación de datos e información para fortalecer programas para migrantes</w:t>
            </w:r>
          </w:p>
        </w:tc>
        <w:tc>
          <w:tcPr>
            <w:tcW w:w="2310" w:type="dxa"/>
            <w:vAlign w:val="center"/>
          </w:tcPr>
          <w:p w:rsidR="00965C44" w:rsidRDefault="000D40DB" w14:paraId="4741A295" w14:textId="77777777">
            <w:pPr>
              <w:spacing w:before="40" w:after="40"/>
              <w:jc w:val="right"/>
            </w:pPr>
            <w:r>
              <w:rPr>
                <w:rFonts w:ascii="Arial" w:hAnsi="Arial" w:cs="Arial"/>
                <w:sz w:val="18"/>
                <w:szCs w:val="18"/>
              </w:rPr>
              <w:t>US$190,000.00</w:t>
            </w:r>
          </w:p>
        </w:tc>
        <w:tc>
          <w:tcPr>
            <w:tcW w:w="2310" w:type="dxa"/>
            <w:vAlign w:val="center"/>
          </w:tcPr>
          <w:p w:rsidR="00965C44" w:rsidRDefault="000D40DB" w14:paraId="3C071874" w14:textId="77777777">
            <w:pPr>
              <w:spacing w:before="40" w:after="40"/>
              <w:jc w:val="right"/>
            </w:pPr>
            <w:r>
              <w:rPr>
                <w:rFonts w:ascii="Arial" w:hAnsi="Arial" w:cs="Arial"/>
                <w:sz w:val="18"/>
                <w:szCs w:val="18"/>
              </w:rPr>
              <w:t>US$0.00</w:t>
            </w:r>
          </w:p>
        </w:tc>
        <w:tc>
          <w:tcPr>
            <w:tcW w:w="2310" w:type="dxa"/>
            <w:vAlign w:val="center"/>
          </w:tcPr>
          <w:p w:rsidR="00965C44" w:rsidRDefault="000D40DB" w14:paraId="7741EA50" w14:textId="77777777">
            <w:pPr>
              <w:spacing w:before="40" w:after="40"/>
              <w:jc w:val="right"/>
            </w:pPr>
            <w:r>
              <w:rPr>
                <w:rFonts w:ascii="Arial" w:hAnsi="Arial" w:cs="Arial"/>
                <w:sz w:val="18"/>
                <w:szCs w:val="18"/>
              </w:rPr>
              <w:t>US$190,000.00</w:t>
            </w:r>
          </w:p>
        </w:tc>
      </w:tr>
      <w:tr w:rsidR="00965C44" w14:paraId="2E12CF34" w14:textId="77777777">
        <w:tc>
          <w:tcPr>
            <w:tcW w:w="2310" w:type="dxa"/>
            <w:vAlign w:val="center"/>
          </w:tcPr>
          <w:p w:rsidRPr="000D40DB" w:rsidR="00965C44" w:rsidRDefault="000D40DB" w14:paraId="07871022" w14:textId="77777777">
            <w:pPr>
              <w:spacing w:before="40" w:after="40"/>
              <w:rPr>
                <w:lang w:val="es-419"/>
              </w:rPr>
            </w:pPr>
            <w:r w:rsidRPr="000D40DB">
              <w:rPr>
                <w:rFonts w:ascii="Arial" w:hAnsi="Arial" w:cs="Arial"/>
                <w:sz w:val="18"/>
                <w:szCs w:val="18"/>
                <w:lang w:val="es-419"/>
              </w:rPr>
              <w:t>Fortalecimiento de los marcos de política y gobernanza</w:t>
            </w:r>
          </w:p>
        </w:tc>
        <w:tc>
          <w:tcPr>
            <w:tcW w:w="2310" w:type="dxa"/>
            <w:vAlign w:val="center"/>
          </w:tcPr>
          <w:p w:rsidR="00965C44" w:rsidRDefault="000D40DB" w14:paraId="63828D37" w14:textId="77777777">
            <w:pPr>
              <w:spacing w:before="40" w:after="40"/>
              <w:jc w:val="right"/>
            </w:pPr>
            <w:r>
              <w:rPr>
                <w:rFonts w:ascii="Arial" w:hAnsi="Arial" w:cs="Arial"/>
                <w:sz w:val="18"/>
                <w:szCs w:val="18"/>
              </w:rPr>
              <w:t>US$45,000.00</w:t>
            </w:r>
          </w:p>
        </w:tc>
        <w:tc>
          <w:tcPr>
            <w:tcW w:w="2310" w:type="dxa"/>
            <w:vAlign w:val="center"/>
          </w:tcPr>
          <w:p w:rsidR="00965C44" w:rsidRDefault="000D40DB" w14:paraId="22705EE8" w14:textId="77777777">
            <w:pPr>
              <w:spacing w:before="40" w:after="40"/>
              <w:jc w:val="right"/>
            </w:pPr>
            <w:r>
              <w:rPr>
                <w:rFonts w:ascii="Arial" w:hAnsi="Arial" w:cs="Arial"/>
                <w:sz w:val="18"/>
                <w:szCs w:val="18"/>
              </w:rPr>
              <w:t>US$0.00</w:t>
            </w:r>
          </w:p>
        </w:tc>
        <w:tc>
          <w:tcPr>
            <w:tcW w:w="2310" w:type="dxa"/>
            <w:vAlign w:val="center"/>
          </w:tcPr>
          <w:p w:rsidR="00965C44" w:rsidRDefault="000D40DB" w14:paraId="4BF5C1A6" w14:textId="77777777">
            <w:pPr>
              <w:spacing w:before="40" w:after="40"/>
              <w:jc w:val="right"/>
            </w:pPr>
            <w:r>
              <w:rPr>
                <w:rFonts w:ascii="Arial" w:hAnsi="Arial" w:cs="Arial"/>
                <w:sz w:val="18"/>
                <w:szCs w:val="18"/>
              </w:rPr>
              <w:t>US$45,000.00</w:t>
            </w:r>
          </w:p>
        </w:tc>
      </w:tr>
      <w:tr w:rsidR="00965C44" w14:paraId="00A059EC" w14:textId="77777777">
        <w:tc>
          <w:tcPr>
            <w:tcW w:w="2310" w:type="dxa"/>
            <w:vAlign w:val="center"/>
          </w:tcPr>
          <w:p w:rsidR="00965C44" w:rsidRDefault="000D40DB" w14:paraId="22A3C5D3" w14:textId="77777777">
            <w:pPr>
              <w:spacing w:before="40" w:after="40"/>
            </w:pPr>
            <w:r>
              <w:rPr>
                <w:rFonts w:ascii="Arial" w:hAnsi="Arial" w:cs="Arial"/>
                <w:b/>
                <w:sz w:val="18"/>
                <w:szCs w:val="18"/>
              </w:rPr>
              <w:t>Total</w:t>
            </w:r>
          </w:p>
        </w:tc>
        <w:tc>
          <w:tcPr>
            <w:tcW w:w="2310" w:type="dxa"/>
            <w:vAlign w:val="center"/>
          </w:tcPr>
          <w:p w:rsidR="00965C44" w:rsidRDefault="000D40DB" w14:paraId="7FE8F183" w14:textId="77777777">
            <w:pPr>
              <w:spacing w:before="40" w:after="40"/>
              <w:jc w:val="right"/>
            </w:pPr>
            <w:r>
              <w:rPr>
                <w:rFonts w:ascii="Arial" w:hAnsi="Arial" w:cs="Arial"/>
                <w:b/>
                <w:sz w:val="18"/>
                <w:szCs w:val="18"/>
              </w:rPr>
              <w:t>US$235,000.00</w:t>
            </w:r>
          </w:p>
        </w:tc>
        <w:tc>
          <w:tcPr>
            <w:tcW w:w="2310" w:type="dxa"/>
            <w:vAlign w:val="center"/>
          </w:tcPr>
          <w:p w:rsidR="00965C44" w:rsidRDefault="000D40DB" w14:paraId="268621D5" w14:textId="77777777">
            <w:pPr>
              <w:spacing w:before="40" w:after="40"/>
              <w:jc w:val="right"/>
            </w:pPr>
            <w:r>
              <w:rPr>
                <w:rFonts w:ascii="Arial" w:hAnsi="Arial" w:cs="Arial"/>
                <w:b/>
                <w:sz w:val="18"/>
                <w:szCs w:val="18"/>
              </w:rPr>
              <w:t>US$0.00</w:t>
            </w:r>
          </w:p>
        </w:tc>
        <w:tc>
          <w:tcPr>
            <w:tcW w:w="2310" w:type="dxa"/>
            <w:vAlign w:val="center"/>
          </w:tcPr>
          <w:p w:rsidR="00965C44" w:rsidRDefault="000D40DB" w14:paraId="02CCA9F2" w14:textId="77777777">
            <w:pPr>
              <w:spacing w:before="40" w:after="40"/>
              <w:jc w:val="right"/>
            </w:pPr>
            <w:r>
              <w:rPr>
                <w:rFonts w:ascii="Arial" w:hAnsi="Arial" w:cs="Arial"/>
                <w:b/>
                <w:sz w:val="18"/>
                <w:szCs w:val="18"/>
              </w:rPr>
              <w:t>US$235,000.00</w:t>
            </w:r>
          </w:p>
        </w:tc>
      </w:tr>
    </w:tbl>
    <w:p w:rsidR="00965C44" w:rsidRDefault="000D40DB" w14:paraId="22A65E46" w14:textId="77777777">
      <w:pPr>
        <w:spacing w:before="120" w:after="120"/>
        <w:ind w:left="579" w:hanging="579"/>
      </w:pPr>
      <w:r>
        <w:rPr>
          <w:rFonts w:ascii="Arial" w:hAnsi="Arial" w:cs="Arial"/>
          <w:b/>
        </w:rPr>
        <w:t>V.</w:t>
      </w:r>
      <w:r>
        <w:rPr>
          <w:rFonts w:ascii="Arial" w:hAnsi="Arial" w:cs="Arial"/>
          <w:b/>
        </w:rPr>
        <w:tab/>
      </w:r>
      <w:r>
        <w:rPr>
          <w:rFonts w:ascii="Arial" w:hAnsi="Arial" w:cs="Arial"/>
          <w:b/>
        </w:rPr>
        <w:t>Executing Agency and Execution Structure</w:t>
      </w:r>
    </w:p>
    <w:p w:rsidRPr="000D40DB" w:rsidR="00965C44" w:rsidRDefault="000D40DB" w14:paraId="637B5BFE" w14:textId="77777777">
      <w:pPr>
        <w:spacing w:before="200" w:after="200"/>
        <w:ind w:left="579" w:hanging="579"/>
        <w:jc w:val="both"/>
        <w:rPr>
          <w:lang w:val="es-419"/>
        </w:rPr>
      </w:pPr>
      <w:r w:rsidRPr="000D40DB">
        <w:rPr>
          <w:rFonts w:ascii="Arial" w:hAnsi="Arial" w:cs="Arial"/>
          <w:lang w:val="es-419"/>
        </w:rPr>
        <w:t>5.1</w:t>
      </w:r>
      <w:r w:rsidRPr="000D40DB">
        <w:rPr>
          <w:rFonts w:ascii="Arial" w:hAnsi="Arial" w:cs="Arial"/>
          <w:lang w:val="es-419"/>
        </w:rPr>
        <w:tab/>
      </w:r>
      <w:r w:rsidRPr="000D40DB">
        <w:rPr>
          <w:rFonts w:ascii="Arial" w:hAnsi="Arial" w:cs="Arial"/>
          <w:lang w:val="es-419"/>
        </w:rPr>
        <w:t>Esta operación será ejecutada por la Unidad de Migración del Banco, perteneciente al Departamento del Sector Social (SCL/MIG), de conformidad con el Anexo 2 de las Directr</w:t>
      </w:r>
      <w:r w:rsidRPr="000D40DB">
        <w:rPr>
          <w:rFonts w:ascii="Arial" w:hAnsi="Arial" w:cs="Arial"/>
          <w:lang w:val="es-419"/>
        </w:rPr>
        <w:t xml:space="preserve">ices Operativas para Productos de Cooperación Técnica (GN-619-4). En su calidad de organismo ejecutor de la CT, el Banco se encargará de (i) coordinar a los </w:t>
      </w:r>
      <w:r w:rsidRPr="000D40DB">
        <w:rPr>
          <w:rFonts w:ascii="Arial" w:hAnsi="Arial" w:cs="Arial"/>
          <w:lang w:val="es-419"/>
        </w:rPr>
        <w:lastRenderedPageBreak/>
        <w:t>actores involucrados en las actividades; (ii) identificar los estudios y trabajos técnicos necesari</w:t>
      </w:r>
      <w:r w:rsidRPr="000D40DB">
        <w:rPr>
          <w:rFonts w:ascii="Arial" w:hAnsi="Arial" w:cs="Arial"/>
          <w:lang w:val="es-419"/>
        </w:rPr>
        <w:t>os para llevar a cabo la CT; (iii) seleccionar y contratar a los consultores que prestarán los servicios necesarios; (iv) supervisar los servicios de consultoría a los que el beneficiario aporte insumos técnicos; y (v) gestionar la ejecución y prestación d</w:t>
      </w:r>
      <w:r w:rsidRPr="000D40DB">
        <w:rPr>
          <w:rFonts w:ascii="Arial" w:hAnsi="Arial" w:cs="Arial"/>
          <w:lang w:val="es-419"/>
        </w:rPr>
        <w:t>e los servicios de consultoría.</w:t>
      </w:r>
    </w:p>
    <w:p w:rsidRPr="000D40DB" w:rsidR="00965C44" w:rsidRDefault="000D40DB" w14:paraId="0E8511A8" w14:textId="77777777">
      <w:pPr>
        <w:spacing w:before="200" w:after="200"/>
        <w:ind w:left="579" w:hanging="579"/>
        <w:jc w:val="both"/>
        <w:rPr>
          <w:lang w:val="es-419"/>
        </w:rPr>
      </w:pPr>
      <w:r w:rsidRPr="000D40DB">
        <w:rPr>
          <w:rFonts w:ascii="Arial" w:hAnsi="Arial" w:cs="Arial"/>
          <w:lang w:val="es-419"/>
        </w:rPr>
        <w:t>5.2</w:t>
      </w:r>
      <w:r w:rsidRPr="000D40DB">
        <w:rPr>
          <w:rFonts w:ascii="Arial" w:hAnsi="Arial" w:cs="Arial"/>
          <w:lang w:val="es-419"/>
        </w:rPr>
        <w:tab/>
      </w:r>
      <w:r w:rsidRPr="000D40DB">
        <w:rPr>
          <w:rFonts w:ascii="Arial" w:hAnsi="Arial" w:cs="Arial"/>
          <w:lang w:val="es-419"/>
        </w:rPr>
        <w:t>La ejecución de esta CT por parte del Banco se justifica ya que representa una iniciativa promovida por el Banco y los productos y actividades previstos generarán conocimiento y fortalecerán la capacidad técnica del Banc</w:t>
      </w:r>
      <w:r w:rsidRPr="000D40DB">
        <w:rPr>
          <w:rFonts w:ascii="Arial" w:hAnsi="Arial" w:cs="Arial"/>
          <w:lang w:val="es-419"/>
        </w:rPr>
        <w:t>o y de sus países miembros. También se justifica porque no existe ninguna entidad en la región que pueda asumir la ejecución de la operación.</w:t>
      </w:r>
    </w:p>
    <w:p w:rsidRPr="000D40DB" w:rsidR="00965C44" w:rsidRDefault="000D40DB" w14:paraId="220304E4" w14:textId="77777777">
      <w:pPr>
        <w:spacing w:before="120" w:after="120"/>
        <w:ind w:left="579" w:hanging="579"/>
        <w:rPr>
          <w:lang w:val="es-419"/>
        </w:rPr>
      </w:pPr>
      <w:r w:rsidRPr="000D40DB">
        <w:rPr>
          <w:rFonts w:ascii="Arial" w:hAnsi="Arial" w:cs="Arial"/>
          <w:b/>
          <w:lang w:val="es-419"/>
        </w:rPr>
        <w:t>VI.</w:t>
      </w:r>
      <w:r w:rsidRPr="000D40DB">
        <w:rPr>
          <w:rFonts w:ascii="Arial" w:hAnsi="Arial" w:cs="Arial"/>
          <w:b/>
          <w:lang w:val="es-419"/>
        </w:rPr>
        <w:tab/>
      </w:r>
      <w:r w:rsidRPr="000D40DB">
        <w:rPr>
          <w:rFonts w:ascii="Arial" w:hAnsi="Arial" w:cs="Arial"/>
          <w:b/>
          <w:lang w:val="es-419"/>
        </w:rPr>
        <w:t>Project Risks and Issues</w:t>
      </w:r>
    </w:p>
    <w:p w:rsidRPr="000D40DB" w:rsidR="00965C44" w:rsidRDefault="000D40DB" w14:paraId="68DF74C5" w14:textId="77777777">
      <w:pPr>
        <w:spacing w:before="200" w:after="200"/>
        <w:ind w:left="579" w:hanging="579"/>
        <w:jc w:val="both"/>
        <w:rPr>
          <w:lang w:val="es-419"/>
        </w:rPr>
      </w:pPr>
      <w:r w:rsidRPr="000D40DB">
        <w:rPr>
          <w:rFonts w:ascii="Arial" w:hAnsi="Arial" w:cs="Arial"/>
          <w:lang w:val="es-419"/>
        </w:rPr>
        <w:t>6.1</w:t>
      </w:r>
      <w:r w:rsidRPr="000D40DB">
        <w:rPr>
          <w:rFonts w:ascii="Arial" w:hAnsi="Arial" w:cs="Arial"/>
          <w:lang w:val="es-419"/>
        </w:rPr>
        <w:tab/>
      </w:r>
      <w:r w:rsidRPr="000D40DB">
        <w:rPr>
          <w:rFonts w:ascii="Arial" w:hAnsi="Arial" w:cs="Arial"/>
          <w:lang w:val="es-419"/>
        </w:rPr>
        <w:t xml:space="preserve">La recopilación de datos en un contexto como el de las zonas de bajos </w:t>
      </w:r>
      <w:r w:rsidRPr="000D40DB">
        <w:rPr>
          <w:rFonts w:ascii="Arial" w:hAnsi="Arial" w:cs="Arial"/>
          <w:lang w:val="es-419"/>
        </w:rPr>
        <w:t>ingresos de Guatemala, Honduras y El Salvador presenta desafíos logísticos. Así mismo, otros riesgos a tomar en cuenta durante la ejecución pueden ser (i) las debilidades institucionales y baja capacidad técnica de algunas instituciones asociadas potencial</w:t>
      </w:r>
      <w:r w:rsidRPr="000D40DB">
        <w:rPr>
          <w:rFonts w:ascii="Arial" w:hAnsi="Arial" w:cs="Arial"/>
          <w:lang w:val="es-419"/>
        </w:rPr>
        <w:t>es; y (ii) los requisitos de seguridad en torno al intercambio de conocimientos y el almacenamiento de datos que restringen la participación de los socios potenciales. Estos riesgos se mitigarán mediante reuniones y sesiones de seguimiento con diferentes p</w:t>
      </w:r>
      <w:r w:rsidRPr="000D40DB">
        <w:rPr>
          <w:rFonts w:ascii="Arial" w:hAnsi="Arial" w:cs="Arial"/>
          <w:lang w:val="es-419"/>
        </w:rPr>
        <w:t>artes interesadas antes y durante la ejecución del programa de cooperación técnica.</w:t>
      </w:r>
    </w:p>
    <w:p w:rsidR="00965C44" w:rsidRDefault="000D40DB" w14:paraId="5F8F9084" w14:textId="77777777">
      <w:pPr>
        <w:spacing w:before="120" w:after="120"/>
        <w:ind w:left="579" w:hanging="579"/>
      </w:pPr>
      <w:r>
        <w:rPr>
          <w:rFonts w:ascii="Arial" w:hAnsi="Arial" w:cs="Arial"/>
          <w:b/>
        </w:rPr>
        <w:t>VII.</w:t>
      </w:r>
      <w:r>
        <w:rPr>
          <w:rFonts w:ascii="Arial" w:hAnsi="Arial" w:cs="Arial"/>
          <w:b/>
        </w:rPr>
        <w:tab/>
      </w:r>
      <w:r>
        <w:rPr>
          <w:rFonts w:ascii="Arial" w:hAnsi="Arial" w:cs="Arial"/>
          <w:b/>
        </w:rPr>
        <w:t>Environmental and Social Classification</w:t>
      </w:r>
    </w:p>
    <w:p w:rsidR="00965C44" w:rsidRDefault="000D40DB" w14:paraId="21A807D3" w14:textId="77777777">
      <w:pPr>
        <w:spacing w:before="240" w:after="120"/>
        <w:ind w:left="579" w:hanging="579"/>
        <w:jc w:val="both"/>
      </w:pPr>
      <w:r>
        <w:rPr>
          <w:rFonts w:ascii="Arial" w:hAnsi="Arial" w:cs="Arial"/>
        </w:rPr>
        <w:t>7.1</w:t>
      </w:r>
      <w:r>
        <w:rPr>
          <w:rFonts w:ascii="Arial" w:hAnsi="Arial" w:cs="Arial"/>
        </w:rPr>
        <w:tab/>
      </w:r>
      <w:r>
        <w:rPr>
          <w:rFonts w:ascii="Arial" w:hAnsi="Arial" w:cs="Arial"/>
        </w:rPr>
        <w:t>The ESG classification for this operation is "undefined".</w:t>
      </w:r>
    </w:p>
    <w:sectPr w:rsidR="00965C44" w:rsidSect="00FC3028">
      <w:footerReference w:type="default" r:id="rId6"/>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00000" w:rsidRDefault="000D40DB" w14:paraId="63D2B86E" w14:textId="77777777">
      <w:r>
        <w:separator/>
      </w:r>
    </w:p>
  </w:endnote>
  <w:endnote w:type="continuationSeparator" w:id="0">
    <w:p w:rsidR="00000000" w:rsidRDefault="000D40DB" w14:paraId="0CD53F7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5C44" w:rsidRDefault="000D40DB" w14:paraId="7215C091" w14:textId="77777777">
    <w:pPr>
      <w:pStyle w:val="FooterStyle"/>
      <w:jc w:val="center"/>
    </w:pPr>
    <w:r>
      <w:t xml:space="preserve"> - </w:t>
    </w:r>
    <w:r>
      <w:fldChar w:fldCharType="begin"/>
    </w:r>
    <w:r>
      <w:instrText xml:space="preserve"> PAGE </w:instrText>
    </w:r>
    <w:r>
      <w:fldChar w:fldCharType="separate"/>
    </w:r>
    <w:r>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00000" w:rsidRDefault="000D40DB" w14:paraId="4640E465" w14:textId="77777777">
      <w:r>
        <w:separator/>
      </w:r>
    </w:p>
  </w:footnote>
  <w:footnote w:type="continuationSeparator" w:id="0">
    <w:p w:rsidR="00000000" w:rsidRDefault="000D40DB" w14:paraId="4B50A82E" w14:textId="77777777">
      <w:r>
        <w:continuationSeparator/>
      </w:r>
    </w:p>
  </w:footnote>
</w:footnote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7F62"/>
    <w:rsid w:val="000D40DB"/>
    <w:rsid w:val="001915A3"/>
    <w:rsid w:val="00217F62"/>
    <w:rsid w:val="00965C44"/>
    <w:rsid w:val="00A906D8"/>
    <w:rsid w:val="00AB5A74"/>
    <w:rsid w:val="00F071AE"/>
    <w:rsid w:val="4CA5DD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50B0A"/>
  <w15:docId w15:val="{EF52C479-7CAC-4119-A349-AFC9A46E7A6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hAnsiTheme="majorHAnsi" w:eastAsiaTheme="majorEastAsia"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hAnsiTheme="majorHAnsi" w:eastAsiaTheme="majorEastAsia"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hAnsiTheme="majorHAnsi" w:eastAsiaTheme="majorEastAsia"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hAnsiTheme="majorHAnsi" w:eastAsiaTheme="majorEastAsia"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hAnsiTheme="majorHAnsi" w:eastAsiaTheme="majorEastAsia"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hAnsiTheme="majorHAnsi" w:eastAsiaTheme="majorEastAsia"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hAnsiTheme="majorHAnsi" w:eastAsiaTheme="majorEastAsia" w:cstheme="majorBidi"/>
      <w:i/>
      <w:iCs/>
      <w:color w:val="404040" w:themeColor="text1" w:themeTint="BF"/>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2Char" w:customStyle="1">
    <w:name w:val="Heading 2 Char"/>
    <w:basedOn w:val="DefaultParagraphFont"/>
    <w:link w:val="Heading2"/>
    <w:uiPriority w:val="9"/>
    <w:rsid w:val="00263428"/>
    <w:rPr>
      <w:rFonts w:asciiTheme="majorHAnsi" w:hAnsiTheme="majorHAnsi" w:eastAsiaTheme="majorEastAsia" w:cstheme="majorBidi"/>
      <w:b/>
      <w:bCs/>
      <w:color w:val="4472C4" w:themeColor="accent1"/>
      <w:sz w:val="26"/>
      <w:szCs w:val="26"/>
    </w:rPr>
  </w:style>
  <w:style w:type="character" w:styleId="Heading3Char" w:customStyle="1">
    <w:name w:val="Heading 3 Char"/>
    <w:basedOn w:val="DefaultParagraphFont"/>
    <w:link w:val="Heading3"/>
    <w:uiPriority w:val="9"/>
    <w:rsid w:val="00263428"/>
    <w:rPr>
      <w:rFonts w:asciiTheme="majorHAnsi" w:hAnsiTheme="majorHAnsi" w:eastAsiaTheme="majorEastAsia" w:cstheme="majorBidi"/>
      <w:b/>
      <w:bCs/>
      <w:color w:val="4472C4" w:themeColor="accent1"/>
    </w:rPr>
  </w:style>
  <w:style w:type="character" w:styleId="Heading4Char" w:customStyle="1">
    <w:name w:val="Heading 4 Char"/>
    <w:basedOn w:val="DefaultParagraphFont"/>
    <w:link w:val="Heading4"/>
    <w:uiPriority w:val="9"/>
    <w:rsid w:val="00263428"/>
    <w:rPr>
      <w:rFonts w:asciiTheme="majorHAnsi" w:hAnsiTheme="majorHAnsi" w:eastAsiaTheme="majorEastAsia" w:cstheme="majorBidi"/>
      <w:b/>
      <w:bCs/>
      <w:i/>
      <w:iCs/>
      <w:color w:val="4472C4" w:themeColor="accent1"/>
    </w:rPr>
  </w:style>
  <w:style w:type="character" w:styleId="Heading5Char" w:customStyle="1">
    <w:name w:val="Heading 5 Char"/>
    <w:basedOn w:val="DefaultParagraphFont"/>
    <w:link w:val="Heading5"/>
    <w:uiPriority w:val="9"/>
    <w:rsid w:val="00263428"/>
    <w:rPr>
      <w:rFonts w:asciiTheme="majorHAnsi" w:hAnsiTheme="majorHAnsi" w:eastAsiaTheme="majorEastAsia" w:cstheme="majorBidi"/>
      <w:color w:val="1F3763" w:themeColor="accent1" w:themeShade="7F"/>
    </w:rPr>
  </w:style>
  <w:style w:type="character" w:styleId="Heading6Char" w:customStyle="1">
    <w:name w:val="Heading 6 Char"/>
    <w:basedOn w:val="DefaultParagraphFont"/>
    <w:link w:val="Heading6"/>
    <w:uiPriority w:val="9"/>
    <w:rsid w:val="00263428"/>
    <w:rPr>
      <w:rFonts w:asciiTheme="majorHAnsi" w:hAnsiTheme="majorHAnsi" w:eastAsiaTheme="majorEastAsia" w:cstheme="majorBidi"/>
      <w:i/>
      <w:iCs/>
      <w:color w:val="1F3763" w:themeColor="accent1" w:themeShade="7F"/>
    </w:rPr>
  </w:style>
  <w:style w:type="character" w:styleId="Heading7Char" w:customStyle="1">
    <w:name w:val="Heading 7 Char"/>
    <w:basedOn w:val="DefaultParagraphFont"/>
    <w:link w:val="Heading7"/>
    <w:uiPriority w:val="9"/>
    <w:rsid w:val="00263428"/>
    <w:rPr>
      <w:rFonts w:asciiTheme="majorHAnsi" w:hAnsiTheme="majorHAnsi" w:eastAsiaTheme="majorEastAsia" w:cstheme="majorBidi"/>
      <w:i/>
      <w:iCs/>
      <w:color w:val="404040" w:themeColor="text1" w:themeTint="BF"/>
    </w:rPr>
  </w:style>
  <w:style w:type="character" w:styleId="Heading8Char" w:customStyle="1">
    <w:name w:val="Heading 8 Char"/>
    <w:basedOn w:val="DefaultParagraphFont"/>
    <w:link w:val="Heading8"/>
    <w:uiPriority w:val="9"/>
    <w:rsid w:val="00263428"/>
    <w:rPr>
      <w:rFonts w:asciiTheme="majorHAnsi" w:hAnsiTheme="majorHAnsi" w:eastAsiaTheme="majorEastAsia" w:cstheme="majorBidi"/>
      <w:color w:val="404040" w:themeColor="text1" w:themeTint="BF"/>
      <w:sz w:val="20"/>
      <w:szCs w:val="20"/>
    </w:rPr>
  </w:style>
  <w:style w:type="character" w:styleId="Heading9Char" w:customStyle="1">
    <w:name w:val="Heading 9 Char"/>
    <w:basedOn w:val="DefaultParagraphFont"/>
    <w:link w:val="Heading9"/>
    <w:uiPriority w:val="9"/>
    <w:rsid w:val="00263428"/>
    <w:rPr>
      <w:rFonts w:asciiTheme="majorHAnsi" w:hAnsiTheme="majorHAnsi" w:eastAsiaTheme="majorEastAsia" w:cstheme="majorBidi"/>
      <w:i/>
      <w:iCs/>
      <w:color w:val="404040" w:themeColor="text1" w:themeTint="BF"/>
      <w:sz w:val="20"/>
      <w:szCs w:val="20"/>
    </w:rPr>
  </w:style>
  <w:style w:type="table" w:styleId="TableGrid">
    <w:name w:val="Table Grid"/>
    <w:basedOn w:val="TableNormal"/>
    <w:uiPriority w:val="59"/>
    <w:rsid w:val="008D011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FooterStyle" w:customStyle="1">
    <w:name w:val="FooterStyle"/>
    <w:rPr>
      <w:rFonts w:ascii="Arial" w:hAnsi="Arial" w:eastAsia="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5.xml" Id="rId13"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customXml" Target="../customXml/item4.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customXml" Target="../customXml/item3.xml" Id="rId11" /><Relationship Type="http://schemas.openxmlformats.org/officeDocument/2006/relationships/endnotes" Target="endnotes.xml" Id="rId5" /><Relationship Type="http://schemas.openxmlformats.org/officeDocument/2006/relationships/customXml" Target="../customXml/item2.xml" Id="rId10" /><Relationship Type="http://schemas.openxmlformats.org/officeDocument/2006/relationships/footnotes" Target="footnotes.xml" Id="rId4" /><Relationship Type="http://schemas.openxmlformats.org/officeDocument/2006/relationships/customXml" Target="../customXml/item1.xml" Id="rId9" /><Relationship Type="http://schemas.openxmlformats.org/officeDocument/2006/relationships/customXml" Target="../customXml/item6.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7634227A6016ED4AA5EBA30A131061C6" ma:contentTypeVersion="0" ma:contentTypeDescription="The base project type from which other project content types inherit their information." ma:contentTypeScope="" ma:versionID="38738b98f46a11c3b9e3d25315ed4c3a">
  <xsd:schema xmlns:xsd="http://www.w3.org/2001/XMLSchema" xmlns:xs="http://www.w3.org/2001/XMLSchema" xmlns:p="http://schemas.microsoft.com/office/2006/metadata/properties" xmlns:ns2="cdc7663a-08f0-4737-9e8c-148ce897a09c" targetNamespace="http://schemas.microsoft.com/office/2006/metadata/properties" ma:root="true" ma:fieldsID="0aa96fb509823d5b8051a5847513bf5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ACF722E9F6B0B149B0CD8BE2560A6672" PreviousValue="false" LastSyncTimeStamp="2021-11-30T20:17:31.517Z"/>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SCL/MIG</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PHASE_PREPARATION</Phase>
    <Document_x0020_Author xmlns="cdc7663a-08f0-4737-9e8c-148ce897a09c">Adela Davalos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MIGRATION ＆ MIGRANTS</TermName>
          <TermId xmlns="http://schemas.microsoft.com/office/infopath/2007/PartnerControls">249eb24d-9db0-433e-a327-7ea6b4c84b8f</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W2E</TermName>
          <TermId xmlns="http://schemas.microsoft.com/office/infopath/2007/PartnerControls">04657f43-c5bd-4a1d-b2b2-363cfe552a5e</TermId>
        </TermInfo>
      </Terms>
    </g511464f9e53401d84b16fa9b379a574>
    <Related_x0020_SisCor_x0020_Number xmlns="cdc7663a-08f0-4737-9e8c-148ce897a09c" xsi:nil="true"/>
    <Transaction_x0020_Type xmlns="cdc7663a-08f0-4737-9e8c-148ce897a09c" xsi:nil="true"/>
    <TaxCatchAll xmlns="cdc7663a-08f0-4737-9e8c-148ce897a09c">
      <Value>1244</Value>
      <Value>1719</Value>
      <Value>79</Value>
      <Value>1</Value>
      <Value>44</Value>
    </TaxCatchAll>
    <Operation_x0020_Type xmlns="cdc7663a-08f0-4737-9e8c-148ce897a09c">TCP</Operation_x0020_Type>
    <Package_x0020_Code xmlns="cdc7663a-08f0-4737-9e8c-148ce897a09c" xsi:nil="true"/>
    <To_x003a_ xmlns="cdc7663a-08f0-4737-9e8c-148ce897a09c" xsi:nil="true"/>
    <Identifier xmlns="cdc7663a-08f0-4737-9e8c-148ce897a09c" xsi:nil="true"/>
    <Project_x0020_Number xmlns="cdc7663a-08f0-4737-9e8c-148ce897a09c">RG-T4068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Transaction_x0020_Number xmlns="cdc7663a-08f0-4737-9e8c-148ce897a09c" xsi:nil="true"/>
    <Extracted_x0020_Keywords xmlns="cdc7663a-08f0-4737-9e8c-148ce897a09c" xsi:nil="true"/>
    <Approval_x0020_date xmlns="cdc7663a-08f0-4737-9e8c-148ce897a09c" xsi:nil="true"/>
    <_dlc_DocId xmlns="cdc7663a-08f0-4737-9e8c-148ce897a09c">EZSHARE-1211643691-2</_dlc_DocId>
    <_dlc_DocIdUrl xmlns="cdc7663a-08f0-4737-9e8c-148ce897a09c">
      <Url>https://idbg.sharepoint.com/teams/EZ-RG-TCP/RG-T4068/_layouts/15/DocIdRedir.aspx?ID=EZSHARE-1211643691-2</Url>
      <Description>EZSHARE-1211643691-2</Description>
    </_dlc_DocIdUrl>
  </documentManagement>
</p:properties>
</file>

<file path=customXml/itemProps1.xml><?xml version="1.0" encoding="utf-8"?>
<ds:datastoreItem xmlns:ds="http://schemas.openxmlformats.org/officeDocument/2006/customXml" ds:itemID="{705BE28A-94F0-4B36-9AAE-45E044394877}"/>
</file>

<file path=customXml/itemProps2.xml><?xml version="1.0" encoding="utf-8"?>
<ds:datastoreItem xmlns:ds="http://schemas.openxmlformats.org/officeDocument/2006/customXml" ds:itemID="{241516D4-6EC0-4CC8-9CA6-62EE293CE19B}"/>
</file>

<file path=customXml/itemProps3.xml><?xml version="1.0" encoding="utf-8"?>
<ds:datastoreItem xmlns:ds="http://schemas.openxmlformats.org/officeDocument/2006/customXml" ds:itemID="{AD6A62BF-C716-4EFD-940B-7EF9BA28EB5A}"/>
</file>

<file path=customXml/itemProps4.xml><?xml version="1.0" encoding="utf-8"?>
<ds:datastoreItem xmlns:ds="http://schemas.openxmlformats.org/officeDocument/2006/customXml" ds:itemID="{651468EB-2AC6-45A0-8402-E64316A5117A}"/>
</file>

<file path=customXml/itemProps5.xml><?xml version="1.0" encoding="utf-8"?>
<ds:datastoreItem xmlns:ds="http://schemas.openxmlformats.org/officeDocument/2006/customXml" ds:itemID="{B959C613-265F-45BC-809F-5F5C4298B42C}"/>
</file>

<file path=customXml/itemProps6.xml><?xml version="1.0" encoding="utf-8"?>
<ds:datastoreItem xmlns:ds="http://schemas.openxmlformats.org/officeDocument/2006/customXml" ds:itemID="{3606EC24-0141-4DAF-BB42-08072590383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keywords/>
  <cp:lastModifiedBy>Adela Davalos</cp:lastModifiedBy>
  <cp:revision>3</cp:revision>
  <dcterms:created xsi:type="dcterms:W3CDTF">2022-07-05T20:56:00Z</dcterms:created>
  <dcterms:modified xsi:type="dcterms:W3CDTF">2022-07-05T21:05:05Z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0x010100ACF722E9F6B0B149B0CD8BE2560A6672007634227A6016ED4AA5EBA30A131061C6</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44;#Regional|2537a5b7-6d8e-482c-94dc-32c3cc44ff65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1;#Project Preparation Planning and Design|29ca0c72-1fc4-435f-a09c-28585cb5eac9</vt:lpwstr>
  </property>
  <property fmtid="{D5CDD505-2E9C-101B-9397-08002B2CF9AE}" pid="10" name="Sector_x0020_IDB">
    <vt:lpwstr/>
  </property>
  <property fmtid="{D5CDD505-2E9C-101B-9397-08002B2CF9AE}" pid="11" name="Sub-Sector">
    <vt:lpwstr>1244;#MIGRATION ＆ MIGRANTS|249eb24d-9db0-433e-a327-7ea6b4c84b8f</vt:lpwstr>
  </property>
  <property fmtid="{D5CDD505-2E9C-101B-9397-08002B2CF9AE}" pid="13" name="Fund IDB">
    <vt:lpwstr>1719;#W2E|04657f43-c5bd-4a1d-b2b2-363cfe552a5e</vt:lpwstr>
  </property>
  <property fmtid="{D5CDD505-2E9C-101B-9397-08002B2CF9AE}" pid="14" name="Sector IDB">
    <vt:lpwstr>79;#SOCIAL INVESTMENT|3f908695-d5b5-49f6-941f-76876b39564f</vt:lpwstr>
  </property>
  <property fmtid="{D5CDD505-2E9C-101B-9397-08002B2CF9AE}" pid="15" name="_dlc_DocIdItemGuid">
    <vt:lpwstr>7ad55844-c481-4b6c-8e38-c89856b81f8a</vt:lpwstr>
  </property>
  <property fmtid="{D5CDD505-2E9C-101B-9397-08002B2CF9AE}" pid="16" name="Disclosure Activity">
    <vt:lpwstr>TC Abstract</vt:lpwstr>
  </property>
  <property fmtid="{D5CDD505-2E9C-101B-9397-08002B2CF9AE}" pid="17" name="Webtopic">
    <vt:lpwstr/>
  </property>
  <property fmtid="{D5CDD505-2E9C-101B-9397-08002B2CF9AE}" pid="18" name="Series Operations IDB">
    <vt:lpwstr/>
  </property>
</Properties>
</file>