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9697" w14:textId="77777777" w:rsidR="00CA2C18" w:rsidRPr="00F55F48" w:rsidRDefault="002C5584">
      <w:pPr>
        <w:spacing w:before="200" w:after="200"/>
        <w:jc w:val="center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ABSTRACTO DE COOPERACIÓN TÉCNICA</w:t>
      </w:r>
    </w:p>
    <w:p w14:paraId="0144F999" w14:textId="77777777" w:rsidR="00CA2C18" w:rsidRPr="00F55F48" w:rsidRDefault="002C5584">
      <w:pPr>
        <w:spacing w:before="120" w:after="120"/>
        <w:ind w:left="579" w:hanging="579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I.</w:t>
      </w:r>
      <w:r w:rsidRPr="00F55F48">
        <w:rPr>
          <w:rFonts w:ascii="Arial" w:hAnsi="Arial" w:cs="Arial"/>
          <w:b/>
          <w:lang w:val="es-PR"/>
        </w:rPr>
        <w:tab/>
        <w:t>Información Básica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4054"/>
        <w:gridCol w:w="4966"/>
      </w:tblGrid>
      <w:tr w:rsidR="00CA2C18" w14:paraId="391AF4FA" w14:textId="77777777">
        <w:trPr>
          <w:jc w:val="center"/>
        </w:trPr>
        <w:tc>
          <w:tcPr>
            <w:tcW w:w="5250" w:type="dxa"/>
          </w:tcPr>
          <w:p w14:paraId="4E2814C9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2B23151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REGIONAL/BID</w:t>
            </w:r>
          </w:p>
        </w:tc>
      </w:tr>
      <w:tr w:rsidR="00CA2C18" w:rsidRPr="00F55F48" w14:paraId="0DF54C66" w14:textId="77777777">
        <w:trPr>
          <w:jc w:val="center"/>
        </w:trPr>
        <w:tc>
          <w:tcPr>
            <w:tcW w:w="5250" w:type="dxa"/>
          </w:tcPr>
          <w:p w14:paraId="5A34DABC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6750" w:type="dxa"/>
          </w:tcPr>
          <w:p w14:paraId="38B835D0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Promoción de soluciones innovadoras de financiamiento en el sector de agua y saneamiento</w:t>
            </w:r>
          </w:p>
        </w:tc>
      </w:tr>
      <w:tr w:rsidR="00CA2C18" w14:paraId="1DB623D6" w14:textId="77777777">
        <w:trPr>
          <w:jc w:val="center"/>
        </w:trPr>
        <w:tc>
          <w:tcPr>
            <w:tcW w:w="5250" w:type="dxa"/>
          </w:tcPr>
          <w:p w14:paraId="1680A4BF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603CF5FF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RG-T4084</w:t>
            </w:r>
          </w:p>
        </w:tc>
      </w:tr>
      <w:tr w:rsidR="00CA2C18" w:rsidRPr="00F55F48" w14:paraId="6FF9A4CF" w14:textId="77777777">
        <w:trPr>
          <w:jc w:val="center"/>
        </w:trPr>
        <w:tc>
          <w:tcPr>
            <w:tcW w:w="5250" w:type="dxa"/>
          </w:tcPr>
          <w:p w14:paraId="6F89874E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0A18AEE1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SASAKI, KEISUKE (INE/WSA) Líder del Equipo; GOUVEA BERTO, MARIA EDUARDA (INE/WSA) </w:t>
            </w:r>
            <w:proofErr w:type="gramStart"/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Jefe</w:t>
            </w:r>
            <w:proofErr w:type="gramEnd"/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 Alterno del Equipo de Proyecto; GARCIA MERINO, LUCIO JAVIER (INE/WSA) Jefe Alterno del Equipo de Proyecto; GUERRERO RIVERA, MARILYN IVETTE (KIC/DCC); MA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CHADO, KLEBER B. (INE/WSA); ACEVEDO CALLE, DANIELA (LEG/SGO); BASANI, MARCELLO (INE/WSA)</w:t>
            </w:r>
          </w:p>
        </w:tc>
      </w:tr>
      <w:tr w:rsidR="00CA2C18" w14:paraId="1EAA2327" w14:textId="77777777">
        <w:trPr>
          <w:jc w:val="center"/>
        </w:trPr>
        <w:tc>
          <w:tcPr>
            <w:tcW w:w="5250" w:type="dxa"/>
          </w:tcPr>
          <w:p w14:paraId="57348672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51696F6" w14:textId="77777777" w:rsidR="00CA2C18" w:rsidRDefault="002C5584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Investigación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Difusión</w:t>
            </w:r>
            <w:proofErr w:type="spellEnd"/>
          </w:p>
        </w:tc>
      </w:tr>
      <w:tr w:rsidR="00CA2C18" w14:paraId="24E92CC6" w14:textId="77777777">
        <w:trPr>
          <w:jc w:val="center"/>
        </w:trPr>
        <w:tc>
          <w:tcPr>
            <w:tcW w:w="5250" w:type="dxa"/>
          </w:tcPr>
          <w:p w14:paraId="00134319" w14:textId="77777777" w:rsidR="00CA2C18" w:rsidRPr="00F55F48" w:rsidRDefault="002C5584">
            <w:pPr>
              <w:spacing w:before="40" w:after="40"/>
              <w:ind w:left="115" w:hanging="115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 Número y nombre de la operación que apoyará la CT:</w:t>
            </w:r>
          </w:p>
        </w:tc>
        <w:tc>
          <w:tcPr>
            <w:tcW w:w="6750" w:type="dxa"/>
          </w:tcPr>
          <w:p w14:paraId="7E01C4D5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CA2C18" w14:paraId="4C031730" w14:textId="77777777">
        <w:trPr>
          <w:jc w:val="center"/>
        </w:trPr>
        <w:tc>
          <w:tcPr>
            <w:tcW w:w="5250" w:type="dxa"/>
          </w:tcPr>
          <w:p w14:paraId="20675FC1" w14:textId="77777777" w:rsidR="00CA2C18" w:rsidRPr="00F55F48" w:rsidRDefault="002C5584">
            <w:pPr>
              <w:spacing w:before="40" w:after="40"/>
              <w:ind w:left="115" w:hanging="115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 Fecha del Abstracto de CT:</w:t>
            </w:r>
          </w:p>
        </w:tc>
        <w:tc>
          <w:tcPr>
            <w:tcW w:w="6750" w:type="dxa"/>
          </w:tcPr>
          <w:p w14:paraId="38D12EF4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12 Apr 2022</w:t>
            </w:r>
          </w:p>
        </w:tc>
      </w:tr>
      <w:tr w:rsidR="00CA2C18" w14:paraId="34071CDC" w14:textId="77777777">
        <w:trPr>
          <w:jc w:val="center"/>
        </w:trPr>
        <w:tc>
          <w:tcPr>
            <w:tcW w:w="5250" w:type="dxa"/>
          </w:tcPr>
          <w:p w14:paraId="2D9D7065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0BED9202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Regional</w:t>
            </w:r>
          </w:p>
        </w:tc>
      </w:tr>
      <w:tr w:rsidR="00CA2C18" w14:paraId="685F111A" w14:textId="77777777">
        <w:trPr>
          <w:jc w:val="center"/>
        </w:trPr>
        <w:tc>
          <w:tcPr>
            <w:tcW w:w="5250" w:type="dxa"/>
          </w:tcPr>
          <w:p w14:paraId="0FEAFE5D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52CF27A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INTER-AMERICAN DEVELOPMENT BANK</w:t>
            </w:r>
          </w:p>
        </w:tc>
      </w:tr>
      <w:tr w:rsidR="00CA2C18" w14:paraId="6D002DC8" w14:textId="77777777">
        <w:trPr>
          <w:jc w:val="center"/>
        </w:trPr>
        <w:tc>
          <w:tcPr>
            <w:tcW w:w="5250" w:type="dxa"/>
          </w:tcPr>
          <w:p w14:paraId="22200A08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6750" w:type="dxa"/>
          </w:tcPr>
          <w:p w14:paraId="422DAAD9" w14:textId="77777777" w:rsidR="00CA2C18" w:rsidRDefault="002C558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US$150,000.00</w:t>
            </w:r>
          </w:p>
        </w:tc>
      </w:tr>
      <w:tr w:rsidR="00CA2C18" w14:paraId="4FA5F250" w14:textId="77777777">
        <w:trPr>
          <w:jc w:val="center"/>
        </w:trPr>
        <w:tc>
          <w:tcPr>
            <w:tcW w:w="5250" w:type="dxa"/>
          </w:tcPr>
          <w:p w14:paraId="3AE94186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6750" w:type="dxa"/>
          </w:tcPr>
          <w:p w14:paraId="218392DD" w14:textId="77777777" w:rsidR="00CA2C18" w:rsidRDefault="002C558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</w:tr>
      <w:tr w:rsidR="00CA2C18" w14:paraId="1E8E2B72" w14:textId="77777777">
        <w:trPr>
          <w:jc w:val="center"/>
        </w:trPr>
        <w:tc>
          <w:tcPr>
            <w:tcW w:w="5250" w:type="dxa"/>
          </w:tcPr>
          <w:p w14:paraId="2C4DD296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40949112" w14:textId="77777777" w:rsidR="00CA2C18" w:rsidRDefault="002C5584">
            <w:pPr>
              <w:bidi/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24 meses</w:t>
            </w:r>
          </w:p>
        </w:tc>
      </w:tr>
      <w:tr w:rsidR="00CA2C18" w14:paraId="7D48DCC7" w14:textId="77777777">
        <w:trPr>
          <w:jc w:val="center"/>
        </w:trPr>
        <w:tc>
          <w:tcPr>
            <w:tcW w:w="5250" w:type="dxa"/>
          </w:tcPr>
          <w:p w14:paraId="4F2567F7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912475E" w14:textId="77777777" w:rsidR="00CA2C18" w:rsidRDefault="002C5584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CA2C18" w:rsidRPr="00F55F48" w14:paraId="64A9B5EF" w14:textId="77777777">
        <w:trPr>
          <w:jc w:val="center"/>
        </w:trPr>
        <w:tc>
          <w:tcPr>
            <w:tcW w:w="5250" w:type="dxa"/>
          </w:tcPr>
          <w:p w14:paraId="6F4AB341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FCBB349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INE/WSA - Agua y Saneamiento</w:t>
            </w:r>
          </w:p>
        </w:tc>
      </w:tr>
      <w:tr w:rsidR="00CA2C18" w:rsidRPr="00F55F48" w14:paraId="20C78830" w14:textId="77777777">
        <w:trPr>
          <w:jc w:val="center"/>
        </w:trPr>
        <w:tc>
          <w:tcPr>
            <w:tcW w:w="5250" w:type="dxa"/>
          </w:tcPr>
          <w:p w14:paraId="5DB5776D" w14:textId="77777777" w:rsidR="00CA2C18" w:rsidRDefault="002C5584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</w:t>
            </w:r>
            <w:r>
              <w:rPr>
                <w:rFonts w:ascii="Arial" w:hAnsi="Arial" w:cs="Arial"/>
                <w:sz w:val="18"/>
                <w:szCs w:val="18"/>
              </w:rPr>
              <w:t xml:space="preserve">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5B37621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INE/WSA - Agua y Saneamiento</w:t>
            </w:r>
          </w:p>
        </w:tc>
      </w:tr>
      <w:tr w:rsidR="00CA2C18" w14:paraId="17A481B4" w14:textId="77777777">
        <w:trPr>
          <w:jc w:val="center"/>
        </w:trPr>
        <w:tc>
          <w:tcPr>
            <w:tcW w:w="5250" w:type="dxa"/>
          </w:tcPr>
          <w:p w14:paraId="21C055C2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 CT incluida en la Estrategia de País (s/n):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br/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br/>
              <w:t>▪ CT incluida en CPD (s/n):</w:t>
            </w:r>
          </w:p>
        </w:tc>
        <w:tc>
          <w:tcPr>
            <w:tcW w:w="6750" w:type="dxa"/>
          </w:tcPr>
          <w:p w14:paraId="6AA6AF6B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No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</w:t>
            </w:r>
            <w:proofErr w:type="spellEnd"/>
          </w:p>
        </w:tc>
      </w:tr>
      <w:tr w:rsidR="00CA2C18" w:rsidRPr="00F55F48" w14:paraId="650DD898" w14:textId="77777777">
        <w:trPr>
          <w:jc w:val="center"/>
        </w:trPr>
        <w:tc>
          <w:tcPr>
            <w:tcW w:w="5250" w:type="dxa"/>
          </w:tcPr>
          <w:p w14:paraId="1D108419" w14:textId="77777777" w:rsidR="00CA2C18" w:rsidRPr="00F55F48" w:rsidRDefault="002C5584">
            <w:pPr>
              <w:spacing w:before="40" w:after="40"/>
              <w:ind w:left="115" w:hanging="115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▪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 Alineación a la 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Actualización de la Estrategia Institucional 2010-2020:</w:t>
            </w:r>
          </w:p>
        </w:tc>
        <w:tc>
          <w:tcPr>
            <w:tcW w:w="6750" w:type="dxa"/>
          </w:tcPr>
          <w:p w14:paraId="1DA88548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Inclusión social e igualdad; Productividad e innovación; Capacidad institucional y estado de derecho; Sostenibilidad ambiental</w:t>
            </w:r>
          </w:p>
        </w:tc>
      </w:tr>
      <w:tr w:rsidR="00CA2C18" w:rsidRPr="00F55F48" w14:paraId="370C7FBC" w14:textId="77777777">
        <w:trPr>
          <w:jc w:val="center"/>
        </w:trPr>
        <w:tc>
          <w:tcPr>
            <w:tcW w:w="5250" w:type="dxa"/>
          </w:tcPr>
          <w:p w14:paraId="5F3B3D52" w14:textId="77777777" w:rsidR="00CA2C18" w:rsidRPr="00F55F48" w:rsidRDefault="00CA2C18">
            <w:pPr>
              <w:rPr>
                <w:lang w:val="es-PR"/>
              </w:rPr>
            </w:pPr>
          </w:p>
        </w:tc>
        <w:tc>
          <w:tcPr>
            <w:tcW w:w="6750" w:type="dxa"/>
          </w:tcPr>
          <w:p w14:paraId="7EAC6786" w14:textId="77777777" w:rsidR="00CA2C18" w:rsidRPr="00F55F48" w:rsidRDefault="00CA2C18">
            <w:pPr>
              <w:rPr>
                <w:lang w:val="es-PR"/>
              </w:rPr>
            </w:pPr>
          </w:p>
        </w:tc>
      </w:tr>
    </w:tbl>
    <w:p w14:paraId="758D131B" w14:textId="77777777" w:rsidR="00CA2C18" w:rsidRPr="00F55F48" w:rsidRDefault="002C5584" w:rsidP="00F55F48">
      <w:pPr>
        <w:spacing w:before="240" w:after="240"/>
        <w:ind w:left="579" w:hanging="579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II.</w:t>
      </w:r>
      <w:r w:rsidRPr="00F55F48">
        <w:rPr>
          <w:rFonts w:ascii="Arial" w:hAnsi="Arial" w:cs="Arial"/>
          <w:b/>
          <w:lang w:val="es-PR"/>
        </w:rPr>
        <w:tab/>
        <w:t>Objetivos y Justificación de la CT</w:t>
      </w:r>
    </w:p>
    <w:p w14:paraId="4022DB69" w14:textId="77777777" w:rsidR="00CA2C18" w:rsidRPr="00F55F48" w:rsidRDefault="002C5584">
      <w:pPr>
        <w:spacing w:before="120" w:after="120"/>
        <w:ind w:left="579" w:hanging="579"/>
        <w:jc w:val="both"/>
        <w:rPr>
          <w:lang w:val="es-PR"/>
        </w:rPr>
      </w:pPr>
      <w:r w:rsidRPr="00F55F48">
        <w:rPr>
          <w:rFonts w:ascii="Arial" w:hAnsi="Arial" w:cs="Arial"/>
          <w:lang w:val="es-PR"/>
        </w:rPr>
        <w:t>2.1</w:t>
      </w:r>
      <w:r w:rsidRPr="00F55F48">
        <w:rPr>
          <w:rFonts w:ascii="Arial" w:hAnsi="Arial" w:cs="Arial"/>
          <w:lang w:val="es-PR"/>
        </w:rPr>
        <w:tab/>
        <w:t xml:space="preserve">El objetivo de la CT es </w:t>
      </w:r>
      <w:r w:rsidRPr="00F55F48">
        <w:rPr>
          <w:rFonts w:ascii="Arial" w:hAnsi="Arial" w:cs="Arial"/>
          <w:lang w:val="es-PR"/>
        </w:rPr>
        <w:t>contribuir a promover el desarrollo de mercados de crédito y de capitales que orienten recursos a inversiones en el sector de agua y saneamiento (</w:t>
      </w:r>
      <w:proofErr w:type="spellStart"/>
      <w:r w:rsidRPr="00F55F48">
        <w:rPr>
          <w:rFonts w:ascii="Arial" w:hAnsi="Arial" w:cs="Arial"/>
          <w:lang w:val="es-PR"/>
        </w:rPr>
        <w:t>AyS</w:t>
      </w:r>
      <w:proofErr w:type="spellEnd"/>
      <w:r w:rsidRPr="00F55F48">
        <w:rPr>
          <w:rFonts w:ascii="Arial" w:hAnsi="Arial" w:cs="Arial"/>
          <w:lang w:val="es-PR"/>
        </w:rPr>
        <w:t>), esquemas de financiamiento conjunto y combinado que permitan aumentar el impacto de las inversiones y el</w:t>
      </w:r>
      <w:r w:rsidRPr="00F55F48">
        <w:rPr>
          <w:rFonts w:ascii="Arial" w:hAnsi="Arial" w:cs="Arial"/>
          <w:lang w:val="es-PR"/>
        </w:rPr>
        <w:t xml:space="preserve"> impulso al uso de instrumentos innovadores e incentivos que promuevan la resiliencia de las </w:t>
      </w:r>
      <w:proofErr w:type="spellStart"/>
      <w:proofErr w:type="gramStart"/>
      <w:r w:rsidRPr="00F55F48">
        <w:rPr>
          <w:rFonts w:ascii="Arial" w:hAnsi="Arial" w:cs="Arial"/>
          <w:lang w:val="es-PR"/>
        </w:rPr>
        <w:t>inversiones.l</w:t>
      </w:r>
      <w:proofErr w:type="spellEnd"/>
      <w:proofErr w:type="gramEnd"/>
    </w:p>
    <w:p w14:paraId="04E039B0" w14:textId="77777777" w:rsidR="00F55F48" w:rsidRDefault="002C5584" w:rsidP="00F55F48">
      <w:pPr>
        <w:spacing w:before="120" w:after="120"/>
        <w:ind w:left="579" w:hanging="579"/>
        <w:jc w:val="both"/>
        <w:rPr>
          <w:rFonts w:ascii="Arial" w:hAnsi="Arial" w:cs="Arial"/>
          <w:lang w:val="es-PR"/>
        </w:rPr>
      </w:pPr>
      <w:r w:rsidRPr="00F55F48">
        <w:rPr>
          <w:rFonts w:ascii="Arial" w:hAnsi="Arial" w:cs="Arial"/>
          <w:lang w:val="es-PR"/>
        </w:rPr>
        <w:t>2.2</w:t>
      </w:r>
      <w:r w:rsidRPr="00F55F48">
        <w:rPr>
          <w:rFonts w:ascii="Arial" w:hAnsi="Arial" w:cs="Arial"/>
          <w:lang w:val="es-PR"/>
        </w:rPr>
        <w:tab/>
        <w:t xml:space="preserve">La razón de la CT. En el sector de </w:t>
      </w:r>
      <w:proofErr w:type="spellStart"/>
      <w:r w:rsidRPr="00F55F48">
        <w:rPr>
          <w:rFonts w:ascii="Arial" w:hAnsi="Arial" w:cs="Arial"/>
          <w:lang w:val="es-PR"/>
        </w:rPr>
        <w:t>AyS</w:t>
      </w:r>
      <w:proofErr w:type="spellEnd"/>
      <w:r w:rsidRPr="00F55F48">
        <w:rPr>
          <w:rFonts w:ascii="Arial" w:hAnsi="Arial" w:cs="Arial"/>
          <w:lang w:val="es-PR"/>
        </w:rPr>
        <w:t>, las fuentes tradicionales de ingresos y financiamiento incluyen, entre otros: (i) impuestos pagados por p</w:t>
      </w:r>
      <w:r w:rsidRPr="00F55F48">
        <w:rPr>
          <w:rFonts w:ascii="Arial" w:hAnsi="Arial" w:cs="Arial"/>
          <w:lang w:val="es-PR"/>
        </w:rPr>
        <w:t>articulares y empresas (tasas), (</w:t>
      </w:r>
      <w:proofErr w:type="spellStart"/>
      <w:r w:rsidRPr="00F55F48">
        <w:rPr>
          <w:rFonts w:ascii="Arial" w:hAnsi="Arial" w:cs="Arial"/>
          <w:lang w:val="es-PR"/>
        </w:rPr>
        <w:t>ii</w:t>
      </w:r>
      <w:proofErr w:type="spellEnd"/>
      <w:r w:rsidRPr="00F55F48">
        <w:rPr>
          <w:rFonts w:ascii="Arial" w:hAnsi="Arial" w:cs="Arial"/>
          <w:lang w:val="es-PR"/>
        </w:rPr>
        <w:t>) transferencias de los respectivos entes gubernamentales; y (</w:t>
      </w:r>
      <w:proofErr w:type="spellStart"/>
      <w:r w:rsidRPr="00F55F48">
        <w:rPr>
          <w:rFonts w:ascii="Arial" w:hAnsi="Arial" w:cs="Arial"/>
          <w:lang w:val="es-PR"/>
        </w:rPr>
        <w:t>iii</w:t>
      </w:r>
      <w:proofErr w:type="spellEnd"/>
      <w:r w:rsidRPr="00F55F48">
        <w:rPr>
          <w:rFonts w:ascii="Arial" w:hAnsi="Arial" w:cs="Arial"/>
          <w:lang w:val="es-PR"/>
        </w:rPr>
        <w:t xml:space="preserve">) tarifas pagadas por los usuarios de los servicios. Estas fuentes de ingresos son conocidas en inglés como the </w:t>
      </w:r>
      <w:proofErr w:type="spellStart"/>
      <w:r w:rsidRPr="00F55F48">
        <w:rPr>
          <w:rFonts w:ascii="Arial" w:hAnsi="Arial" w:cs="Arial"/>
          <w:lang w:val="es-PR"/>
        </w:rPr>
        <w:t>Three</w:t>
      </w:r>
      <w:proofErr w:type="spellEnd"/>
      <w:r w:rsidRPr="00F55F48">
        <w:rPr>
          <w:rFonts w:ascii="Arial" w:hAnsi="Arial" w:cs="Arial"/>
          <w:lang w:val="es-PR"/>
        </w:rPr>
        <w:t xml:space="preserve"> </w:t>
      </w:r>
      <w:proofErr w:type="spellStart"/>
      <w:r w:rsidRPr="00F55F48">
        <w:rPr>
          <w:rFonts w:ascii="Arial" w:hAnsi="Arial" w:cs="Arial"/>
          <w:lang w:val="es-PR"/>
        </w:rPr>
        <w:t>Ts</w:t>
      </w:r>
      <w:proofErr w:type="spellEnd"/>
      <w:r w:rsidRPr="00F55F48">
        <w:rPr>
          <w:rFonts w:ascii="Arial" w:hAnsi="Arial" w:cs="Arial"/>
          <w:lang w:val="es-PR"/>
        </w:rPr>
        <w:t xml:space="preserve"> (</w:t>
      </w:r>
      <w:proofErr w:type="spellStart"/>
      <w:r w:rsidRPr="00F55F48">
        <w:rPr>
          <w:rFonts w:ascii="Arial" w:hAnsi="Arial" w:cs="Arial"/>
          <w:lang w:val="es-PR"/>
        </w:rPr>
        <w:t>taxes</w:t>
      </w:r>
      <w:proofErr w:type="spellEnd"/>
      <w:r w:rsidRPr="00F55F48">
        <w:rPr>
          <w:rFonts w:ascii="Arial" w:hAnsi="Arial" w:cs="Arial"/>
          <w:lang w:val="es-PR"/>
        </w:rPr>
        <w:t xml:space="preserve">, </w:t>
      </w:r>
      <w:proofErr w:type="spellStart"/>
      <w:r w:rsidRPr="00F55F48">
        <w:rPr>
          <w:rFonts w:ascii="Arial" w:hAnsi="Arial" w:cs="Arial"/>
          <w:lang w:val="es-PR"/>
        </w:rPr>
        <w:t>transfers</w:t>
      </w:r>
      <w:proofErr w:type="spellEnd"/>
      <w:r w:rsidRPr="00F55F48">
        <w:rPr>
          <w:rFonts w:ascii="Arial" w:hAnsi="Arial" w:cs="Arial"/>
          <w:lang w:val="es-PR"/>
        </w:rPr>
        <w:t xml:space="preserve"> and </w:t>
      </w:r>
      <w:proofErr w:type="spellStart"/>
      <w:r w:rsidRPr="00F55F48">
        <w:rPr>
          <w:rFonts w:ascii="Arial" w:hAnsi="Arial" w:cs="Arial"/>
          <w:lang w:val="es-PR"/>
        </w:rPr>
        <w:t>tariffs</w:t>
      </w:r>
      <w:proofErr w:type="spellEnd"/>
      <w:r w:rsidRPr="00F55F48">
        <w:rPr>
          <w:rFonts w:ascii="Arial" w:hAnsi="Arial" w:cs="Arial"/>
          <w:lang w:val="es-PR"/>
        </w:rPr>
        <w:t>). Sin</w:t>
      </w:r>
      <w:r w:rsidRPr="00F55F48">
        <w:rPr>
          <w:rFonts w:ascii="Arial" w:hAnsi="Arial" w:cs="Arial"/>
          <w:lang w:val="es-PR"/>
        </w:rPr>
        <w:t xml:space="preserve"> embargo, estos recursos no son suficientes. Según datos de </w:t>
      </w:r>
      <w:proofErr w:type="gramStart"/>
      <w:r w:rsidRPr="00F55F48">
        <w:rPr>
          <w:rFonts w:ascii="Arial" w:hAnsi="Arial" w:cs="Arial"/>
          <w:lang w:val="es-PR"/>
        </w:rPr>
        <w:t>ONU</w:t>
      </w:r>
      <w:proofErr w:type="gramEnd"/>
      <w:r w:rsidRPr="00F55F48">
        <w:rPr>
          <w:rFonts w:ascii="Arial" w:hAnsi="Arial" w:cs="Arial"/>
          <w:lang w:val="es-PR"/>
        </w:rPr>
        <w:t xml:space="preserve">-Agua (2017), el 80 % de los países, a nivel global, califica como insuficiente el financiamiento existente para lograr alcanzar sus objetivos nacionales en materia de cierre de brechas de </w:t>
      </w:r>
      <w:proofErr w:type="spellStart"/>
      <w:r w:rsidRPr="00F55F48">
        <w:rPr>
          <w:rFonts w:ascii="Arial" w:hAnsi="Arial" w:cs="Arial"/>
          <w:lang w:val="es-PR"/>
        </w:rPr>
        <w:t>AyS</w:t>
      </w:r>
      <w:proofErr w:type="spellEnd"/>
      <w:r w:rsidRPr="00F55F48">
        <w:rPr>
          <w:rFonts w:ascii="Arial" w:hAnsi="Arial" w:cs="Arial"/>
          <w:lang w:val="es-PR"/>
        </w:rPr>
        <w:t>,</w:t>
      </w:r>
      <w:r w:rsidRPr="00F55F48">
        <w:rPr>
          <w:rFonts w:ascii="Arial" w:hAnsi="Arial" w:cs="Arial"/>
          <w:lang w:val="es-PR"/>
        </w:rPr>
        <w:t xml:space="preserve"> y el 50 % reporta que las tarifas pagadas por los usuarios del servicio no alcanzan siquiera a cubrir los costos de operación y mantenimiento (O&amp;M). Estimaciones del Banco indican que al ritmo que se viene invirtiendo, apenas en el año 2075 se estarían cu</w:t>
      </w:r>
      <w:r w:rsidRPr="00F55F48">
        <w:rPr>
          <w:rFonts w:ascii="Arial" w:hAnsi="Arial" w:cs="Arial"/>
          <w:lang w:val="es-PR"/>
        </w:rPr>
        <w:t xml:space="preserve">mpliendo los ODS. Un desafío es fortalecer alianzas para aumentar el flujo de </w:t>
      </w:r>
      <w:r w:rsidRPr="00F55F48">
        <w:rPr>
          <w:rFonts w:ascii="Arial" w:hAnsi="Arial" w:cs="Arial"/>
          <w:lang w:val="es-PR"/>
        </w:rPr>
        <w:lastRenderedPageBreak/>
        <w:t>recursos (apalancamiento; bien sea de cooperación internacional o préstamos, tanto al sector público como al privado, o de aportes de capital) y también conocimiento que refuerce</w:t>
      </w:r>
      <w:r w:rsidRPr="00F55F48">
        <w:rPr>
          <w:rFonts w:ascii="Arial" w:hAnsi="Arial" w:cs="Arial"/>
          <w:lang w:val="es-PR"/>
        </w:rPr>
        <w:t xml:space="preserve"> y multiplique el impacto de las intervenciones. </w:t>
      </w:r>
      <w:r w:rsidRPr="00F55F48">
        <w:rPr>
          <w:rFonts w:ascii="Arial" w:hAnsi="Arial" w:cs="Arial"/>
          <w:lang w:val="es-PR"/>
        </w:rPr>
        <w:t xml:space="preserve">Alineación estratégica. La CT es consistente con la Segunda Actualización de la Estrategia Institucional (UIS) </w:t>
      </w:r>
      <w:r w:rsidR="00F55F48">
        <w:rPr>
          <w:rFonts w:ascii="Arial" w:hAnsi="Arial" w:cs="Arial"/>
          <w:lang w:val="es-PR"/>
        </w:rPr>
        <w:br/>
      </w:r>
      <w:r w:rsidRPr="00F55F48">
        <w:rPr>
          <w:rFonts w:ascii="Arial" w:hAnsi="Arial" w:cs="Arial"/>
          <w:lang w:val="es-PR"/>
        </w:rPr>
        <w:t xml:space="preserve">(AB-3190-2) y se alinea con los desafíos de desarrollo de: (i) Inclusión Social e Igualdad, al </w:t>
      </w:r>
      <w:r w:rsidRPr="00F55F48">
        <w:rPr>
          <w:rFonts w:ascii="Arial" w:hAnsi="Arial" w:cs="Arial"/>
          <w:lang w:val="es-PR"/>
        </w:rPr>
        <w:t>generar conocimiento sobre el financiamiento para el incremento y mejora del acceso a los servicios de agua y saneamiento; y (</w:t>
      </w:r>
      <w:proofErr w:type="spellStart"/>
      <w:r w:rsidRPr="00F55F48">
        <w:rPr>
          <w:rFonts w:ascii="Arial" w:hAnsi="Arial" w:cs="Arial"/>
          <w:lang w:val="es-PR"/>
        </w:rPr>
        <w:t>ii</w:t>
      </w:r>
      <w:proofErr w:type="spellEnd"/>
      <w:r w:rsidRPr="00F55F48">
        <w:rPr>
          <w:rFonts w:ascii="Arial" w:hAnsi="Arial" w:cs="Arial"/>
          <w:lang w:val="es-PR"/>
        </w:rPr>
        <w:t>) Productividad e Innovación, al impulsar el uso de instrumentos innovadores. La CT también se alinea con las áreas transversale</w:t>
      </w:r>
      <w:r w:rsidRPr="00F55F48">
        <w:rPr>
          <w:rFonts w:ascii="Arial" w:hAnsi="Arial" w:cs="Arial"/>
          <w:lang w:val="es-PR"/>
        </w:rPr>
        <w:t>s de: (i) Capacidad Institucional y Estado de Derecho, al incluir como una de las áreas de análisis el uso de herramientas digitales para los mecanismos de financiación basada en resultados (FBR); y (</w:t>
      </w:r>
      <w:proofErr w:type="spellStart"/>
      <w:r w:rsidRPr="00F55F48">
        <w:rPr>
          <w:rFonts w:ascii="Arial" w:hAnsi="Arial" w:cs="Arial"/>
          <w:lang w:val="es-PR"/>
        </w:rPr>
        <w:t>ii</w:t>
      </w:r>
      <w:proofErr w:type="spellEnd"/>
      <w:r w:rsidRPr="00F55F48">
        <w:rPr>
          <w:rFonts w:ascii="Arial" w:hAnsi="Arial" w:cs="Arial"/>
          <w:lang w:val="es-PR"/>
        </w:rPr>
        <w:t xml:space="preserve">) Cambio Climático y Sostenibilidad Ambiental, ya que </w:t>
      </w:r>
      <w:r w:rsidRPr="00F55F48">
        <w:rPr>
          <w:rFonts w:ascii="Arial" w:hAnsi="Arial" w:cs="Arial"/>
          <w:lang w:val="es-PR"/>
        </w:rPr>
        <w:t>contribuye a impulsar el acceso a la financiación climática que facilite inversiones en el sector de agua y saneamiento para la adaptación y mitigación al cambio climático. La CT está alineada con la Visión 2025 del Grupo BID, al incorporar, como ya se han</w:t>
      </w:r>
      <w:r w:rsidRPr="00F55F48">
        <w:rPr>
          <w:rFonts w:ascii="Arial" w:hAnsi="Arial" w:cs="Arial"/>
          <w:lang w:val="es-PR"/>
        </w:rPr>
        <w:t xml:space="preserve"> mencionado, actividades para impulsar el uso de herramientas digitales y también las para promover el acceso a la financiación climática.</w:t>
      </w:r>
      <w:r w:rsidR="00F55F48">
        <w:rPr>
          <w:rFonts w:ascii="Arial" w:hAnsi="Arial" w:cs="Arial"/>
          <w:lang w:val="es-PR"/>
        </w:rPr>
        <w:t xml:space="preserve"> </w:t>
      </w:r>
      <w:r w:rsidRPr="00F55F48">
        <w:rPr>
          <w:rFonts w:ascii="Arial" w:hAnsi="Arial" w:cs="Arial"/>
          <w:lang w:val="es-PR"/>
        </w:rPr>
        <w:t>Los principales resultados esperados son: (i) Incrementar la movilización de capital para el sector de agua y saneami</w:t>
      </w:r>
      <w:r w:rsidRPr="00F55F48">
        <w:rPr>
          <w:rFonts w:ascii="Arial" w:hAnsi="Arial" w:cs="Arial"/>
          <w:lang w:val="es-PR"/>
        </w:rPr>
        <w:t>ento; y (</w:t>
      </w:r>
      <w:proofErr w:type="spellStart"/>
      <w:r w:rsidRPr="00F55F48">
        <w:rPr>
          <w:rFonts w:ascii="Arial" w:hAnsi="Arial" w:cs="Arial"/>
          <w:lang w:val="es-PR"/>
        </w:rPr>
        <w:t>ii</w:t>
      </w:r>
      <w:proofErr w:type="spellEnd"/>
      <w:r w:rsidRPr="00F55F48">
        <w:rPr>
          <w:rFonts w:ascii="Arial" w:hAnsi="Arial" w:cs="Arial"/>
          <w:lang w:val="es-PR"/>
        </w:rPr>
        <w:t xml:space="preserve">) Promover enfoques de FBR para el financiamiento del sector (en la sección de Componentes se detallan las actividades a realizar). </w:t>
      </w:r>
    </w:p>
    <w:p w14:paraId="14481481" w14:textId="54135170" w:rsidR="00CA2C18" w:rsidRPr="00F55F48" w:rsidRDefault="00F55F48" w:rsidP="00F55F48">
      <w:pPr>
        <w:spacing w:before="120" w:after="120"/>
        <w:ind w:left="579" w:hanging="579"/>
        <w:jc w:val="both"/>
        <w:rPr>
          <w:rFonts w:ascii="Arial" w:hAnsi="Arial" w:cs="Arial"/>
          <w:lang w:val="es-PR"/>
        </w:rPr>
      </w:pPr>
      <w:r w:rsidRPr="00F55F48">
        <w:rPr>
          <w:rFonts w:ascii="Arial" w:hAnsi="Arial" w:cs="Arial"/>
          <w:lang w:val="es-PR"/>
        </w:rPr>
        <w:t>2.</w:t>
      </w:r>
      <w:r>
        <w:rPr>
          <w:rFonts w:ascii="Arial" w:hAnsi="Arial" w:cs="Arial"/>
          <w:lang w:val="es-PR"/>
        </w:rPr>
        <w:t>3</w:t>
      </w:r>
      <w:r>
        <w:rPr>
          <w:rFonts w:ascii="Arial" w:hAnsi="Arial" w:cs="Arial"/>
          <w:lang w:val="es-PR"/>
        </w:rPr>
        <w:tab/>
      </w:r>
      <w:r w:rsidR="002C5584" w:rsidRPr="00F55F48">
        <w:rPr>
          <w:rFonts w:ascii="Arial" w:hAnsi="Arial" w:cs="Arial"/>
          <w:lang w:val="es-PR"/>
        </w:rPr>
        <w:t>La CT beneficiará a los 26 países, contribuyendo a mejorar las operaciones actuales y futuras del BID e informan</w:t>
      </w:r>
      <w:r w:rsidR="002C5584" w:rsidRPr="00F55F48">
        <w:rPr>
          <w:rFonts w:ascii="Arial" w:hAnsi="Arial" w:cs="Arial"/>
          <w:lang w:val="es-PR"/>
        </w:rPr>
        <w:t>do la asistencia del BID para transacciones de financiamiento verde y climático (como bonos temáticos o bonos vinculados a la sostenibilidad) en el sector.</w:t>
      </w:r>
      <w:r>
        <w:rPr>
          <w:rFonts w:ascii="Arial" w:hAnsi="Arial" w:cs="Arial"/>
          <w:lang w:val="es-PR"/>
        </w:rPr>
        <w:t xml:space="preserve"> </w:t>
      </w:r>
      <w:r w:rsidR="002C5584" w:rsidRPr="00F55F48">
        <w:rPr>
          <w:rFonts w:ascii="Arial" w:hAnsi="Arial" w:cs="Arial"/>
          <w:lang w:val="es-PR"/>
        </w:rPr>
        <w:t>Es imperativo que el Banco promueva soluciones financieras innovadoras para aumentar la movilizació</w:t>
      </w:r>
      <w:r w:rsidR="002C5584" w:rsidRPr="00F55F48">
        <w:rPr>
          <w:rFonts w:ascii="Arial" w:hAnsi="Arial" w:cs="Arial"/>
          <w:lang w:val="es-PR"/>
        </w:rPr>
        <w:t xml:space="preserve">n de recursos (incluido las finanzas climáticas y verdes), apalancar recursos del sector privado y maximizar el impacto de los proyectos y programas en el sector de </w:t>
      </w:r>
      <w:proofErr w:type="spellStart"/>
      <w:r w:rsidR="002C5584" w:rsidRPr="00F55F48">
        <w:rPr>
          <w:rFonts w:ascii="Arial" w:hAnsi="Arial" w:cs="Arial"/>
          <w:lang w:val="es-PR"/>
        </w:rPr>
        <w:t>AyS</w:t>
      </w:r>
      <w:proofErr w:type="spellEnd"/>
      <w:r w:rsidR="002C5584" w:rsidRPr="00F55F48">
        <w:rPr>
          <w:rFonts w:ascii="Arial" w:hAnsi="Arial" w:cs="Arial"/>
          <w:lang w:val="es-PR"/>
        </w:rPr>
        <w:t>. La CT pretende lograr esto a través de dos Componentes complementarios: (i) Movilizaci</w:t>
      </w:r>
      <w:r w:rsidR="002C5584" w:rsidRPr="00F55F48">
        <w:rPr>
          <w:rFonts w:ascii="Arial" w:hAnsi="Arial" w:cs="Arial"/>
          <w:lang w:val="es-PR"/>
        </w:rPr>
        <w:t xml:space="preserve">ón de capital para </w:t>
      </w:r>
      <w:proofErr w:type="spellStart"/>
      <w:r w:rsidR="002C5584" w:rsidRPr="00F55F48">
        <w:rPr>
          <w:rFonts w:ascii="Arial" w:hAnsi="Arial" w:cs="Arial"/>
          <w:lang w:val="es-PR"/>
        </w:rPr>
        <w:t>AyS</w:t>
      </w:r>
      <w:proofErr w:type="spellEnd"/>
      <w:r w:rsidR="002C5584" w:rsidRPr="00F55F48">
        <w:rPr>
          <w:rFonts w:ascii="Arial" w:hAnsi="Arial" w:cs="Arial"/>
          <w:lang w:val="es-PR"/>
        </w:rPr>
        <w:t>; y (</w:t>
      </w:r>
      <w:proofErr w:type="spellStart"/>
      <w:r w:rsidR="002C5584" w:rsidRPr="00F55F48">
        <w:rPr>
          <w:rFonts w:ascii="Arial" w:hAnsi="Arial" w:cs="Arial"/>
          <w:lang w:val="es-PR"/>
        </w:rPr>
        <w:t>ii</w:t>
      </w:r>
      <w:proofErr w:type="spellEnd"/>
      <w:r w:rsidR="002C5584" w:rsidRPr="00F55F48">
        <w:rPr>
          <w:rFonts w:ascii="Arial" w:hAnsi="Arial" w:cs="Arial"/>
          <w:lang w:val="es-PR"/>
        </w:rPr>
        <w:t xml:space="preserve">) FBR. Esta agenda (soluciones innovadoras de financiamiento para el sector de </w:t>
      </w:r>
      <w:proofErr w:type="spellStart"/>
      <w:r w:rsidR="002C5584" w:rsidRPr="00F55F48">
        <w:rPr>
          <w:rFonts w:ascii="Arial" w:hAnsi="Arial" w:cs="Arial"/>
          <w:lang w:val="es-PR"/>
        </w:rPr>
        <w:t>AyS</w:t>
      </w:r>
      <w:proofErr w:type="spellEnd"/>
      <w:r w:rsidR="002C5584" w:rsidRPr="00F55F48">
        <w:rPr>
          <w:rFonts w:ascii="Arial" w:hAnsi="Arial" w:cs="Arial"/>
          <w:lang w:val="es-PR"/>
        </w:rPr>
        <w:t>) es de interés para los donantes del BID.</w:t>
      </w:r>
    </w:p>
    <w:p w14:paraId="2C4745AC" w14:textId="77777777" w:rsidR="00CA2C18" w:rsidRPr="00F55F48" w:rsidRDefault="002C5584" w:rsidP="00F55F48">
      <w:pPr>
        <w:spacing w:before="240" w:after="240"/>
        <w:ind w:left="579" w:hanging="579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III.</w:t>
      </w:r>
      <w:r w:rsidRPr="00F55F48">
        <w:rPr>
          <w:rFonts w:ascii="Arial" w:hAnsi="Arial" w:cs="Arial"/>
          <w:b/>
          <w:lang w:val="es-PR"/>
        </w:rPr>
        <w:tab/>
        <w:t>Descripción de las Actividades y Resultados</w:t>
      </w:r>
    </w:p>
    <w:p w14:paraId="4548A2CA" w14:textId="77777777" w:rsidR="00CA2C18" w:rsidRPr="00F55F48" w:rsidRDefault="002C5584">
      <w:pPr>
        <w:spacing w:before="120" w:after="120"/>
        <w:ind w:left="579" w:hanging="579"/>
        <w:jc w:val="both"/>
        <w:rPr>
          <w:lang w:val="es-PR"/>
        </w:rPr>
      </w:pPr>
      <w:r w:rsidRPr="00F55F48">
        <w:rPr>
          <w:rFonts w:ascii="Arial" w:hAnsi="Arial" w:cs="Arial"/>
          <w:lang w:val="es-PR"/>
        </w:rPr>
        <w:t>3.1</w:t>
      </w:r>
      <w:r w:rsidRPr="00F55F48">
        <w:rPr>
          <w:rFonts w:ascii="Arial" w:hAnsi="Arial" w:cs="Arial"/>
          <w:lang w:val="es-PR"/>
        </w:rPr>
        <w:tab/>
      </w:r>
      <w:r w:rsidRPr="00F55F48">
        <w:rPr>
          <w:rFonts w:ascii="Arial" w:hAnsi="Arial" w:cs="Arial"/>
          <w:b/>
          <w:lang w:val="es-PR"/>
        </w:rPr>
        <w:t xml:space="preserve">Componente I: 1: Movilización de capital para el </w:t>
      </w:r>
      <w:r w:rsidRPr="00F55F48">
        <w:rPr>
          <w:rFonts w:ascii="Arial" w:hAnsi="Arial" w:cs="Arial"/>
          <w:b/>
          <w:lang w:val="es-PR"/>
        </w:rPr>
        <w:t xml:space="preserve">sector de agua y saneamiento. </w:t>
      </w:r>
      <w:r w:rsidRPr="00F55F48">
        <w:rPr>
          <w:rFonts w:ascii="Arial" w:hAnsi="Arial" w:cs="Arial"/>
          <w:lang w:val="es-PR"/>
        </w:rPr>
        <w:t xml:space="preserve">Se llevarán a cabo investigaciones de casos exitosos y entrevistas con funcionarios gubernamentales del sector de </w:t>
      </w:r>
      <w:proofErr w:type="spellStart"/>
      <w:r w:rsidRPr="00F55F48">
        <w:rPr>
          <w:rFonts w:ascii="Arial" w:hAnsi="Arial" w:cs="Arial"/>
          <w:lang w:val="es-PR"/>
        </w:rPr>
        <w:t>AyS</w:t>
      </w:r>
      <w:proofErr w:type="spellEnd"/>
      <w:r w:rsidRPr="00F55F48">
        <w:rPr>
          <w:rFonts w:ascii="Arial" w:hAnsi="Arial" w:cs="Arial"/>
          <w:lang w:val="es-PR"/>
        </w:rPr>
        <w:t>/empresas estatales/bancos de desarrollo/bancos comerciales/patrocinadores e inversores de proyectos, ambient</w:t>
      </w:r>
      <w:r w:rsidRPr="00F55F48">
        <w:rPr>
          <w:rFonts w:ascii="Arial" w:hAnsi="Arial" w:cs="Arial"/>
          <w:lang w:val="es-PR"/>
        </w:rPr>
        <w:t xml:space="preserve">ales, sociales y de gobernanza e inversores institucionales para comprender los desafíos, las barreras, las tendencias y el apetito por implementar soluciones financieras innovadoras en el sector de </w:t>
      </w:r>
      <w:proofErr w:type="spellStart"/>
      <w:r w:rsidRPr="00F55F48">
        <w:rPr>
          <w:rFonts w:ascii="Arial" w:hAnsi="Arial" w:cs="Arial"/>
          <w:lang w:val="es-PR"/>
        </w:rPr>
        <w:t>AyS</w:t>
      </w:r>
      <w:proofErr w:type="spellEnd"/>
      <w:r w:rsidRPr="00F55F48">
        <w:rPr>
          <w:rFonts w:ascii="Arial" w:hAnsi="Arial" w:cs="Arial"/>
          <w:lang w:val="es-PR"/>
        </w:rPr>
        <w:t xml:space="preserve"> en ALC y posiblemente identificar proyectos potencial</w:t>
      </w:r>
      <w:r w:rsidRPr="00F55F48">
        <w:rPr>
          <w:rFonts w:ascii="Arial" w:hAnsi="Arial" w:cs="Arial"/>
          <w:lang w:val="es-PR"/>
        </w:rPr>
        <w:t>es a desarrollar.</w:t>
      </w:r>
    </w:p>
    <w:p w14:paraId="0E99E7EB" w14:textId="042811DA" w:rsidR="00CA2C18" w:rsidRDefault="002C5584">
      <w:pPr>
        <w:spacing w:before="120" w:after="120"/>
        <w:ind w:left="579" w:hanging="579"/>
        <w:jc w:val="both"/>
        <w:rPr>
          <w:rFonts w:ascii="Arial" w:hAnsi="Arial" w:cs="Arial"/>
          <w:lang w:val="es-PR"/>
        </w:rPr>
      </w:pPr>
      <w:r w:rsidRPr="00F55F48">
        <w:rPr>
          <w:rFonts w:ascii="Arial" w:hAnsi="Arial" w:cs="Arial"/>
          <w:lang w:val="es-PR"/>
        </w:rPr>
        <w:t>3.2</w:t>
      </w:r>
      <w:r w:rsidRPr="00F55F48">
        <w:rPr>
          <w:rFonts w:ascii="Arial" w:hAnsi="Arial" w:cs="Arial"/>
          <w:lang w:val="es-PR"/>
        </w:rPr>
        <w:tab/>
      </w:r>
      <w:r w:rsidRPr="00F55F48">
        <w:rPr>
          <w:rFonts w:ascii="Arial" w:hAnsi="Arial" w:cs="Arial"/>
          <w:b/>
          <w:lang w:val="es-PR"/>
        </w:rPr>
        <w:t xml:space="preserve">Componente II: 2: Financiación basada en resultados (FBR). </w:t>
      </w:r>
      <w:r w:rsidRPr="00F55F48">
        <w:rPr>
          <w:rFonts w:ascii="Arial" w:hAnsi="Arial" w:cs="Arial"/>
          <w:lang w:val="es-PR"/>
        </w:rPr>
        <w:t xml:space="preserve">Se analizarán casos exitosos de implementación de FBR, principalmente en el sector de </w:t>
      </w:r>
      <w:proofErr w:type="spellStart"/>
      <w:r w:rsidRPr="00F55F48">
        <w:rPr>
          <w:rFonts w:ascii="Arial" w:hAnsi="Arial" w:cs="Arial"/>
          <w:lang w:val="es-PR"/>
        </w:rPr>
        <w:t>AyS</w:t>
      </w:r>
      <w:proofErr w:type="spellEnd"/>
      <w:r w:rsidRPr="00F55F48">
        <w:rPr>
          <w:rFonts w:ascii="Arial" w:hAnsi="Arial" w:cs="Arial"/>
          <w:lang w:val="es-PR"/>
        </w:rPr>
        <w:t xml:space="preserve"> en la región. Este análisis detallará metodologías e instrumentos utilizados en cada caso e identificará elementos replicables y recomendaciones para otras institucio</w:t>
      </w:r>
      <w:r w:rsidRPr="00F55F48">
        <w:rPr>
          <w:rFonts w:ascii="Arial" w:hAnsi="Arial" w:cs="Arial"/>
          <w:lang w:val="es-PR"/>
        </w:rPr>
        <w:t xml:space="preserve">nes del sector en la determinación de áreas de mejora en sus proyectos y/o iniciativas. Como una de las áreas de análisis se incluirá el uso de herramientas digitales (situación actual/buenas prácticas/su potencial) para los mecanismos de FBR. </w:t>
      </w:r>
    </w:p>
    <w:p w14:paraId="10419BB5" w14:textId="3FFF3B7B" w:rsidR="00F55F48" w:rsidRDefault="00F55F48">
      <w:pPr>
        <w:spacing w:before="120" w:after="120"/>
        <w:ind w:left="579" w:hanging="579"/>
        <w:jc w:val="both"/>
        <w:rPr>
          <w:rFonts w:ascii="Arial" w:hAnsi="Arial" w:cs="Arial"/>
          <w:lang w:val="es-PR"/>
        </w:rPr>
      </w:pPr>
    </w:p>
    <w:p w14:paraId="3D99B786" w14:textId="4D22615A" w:rsidR="00F55F48" w:rsidRDefault="00F55F48">
      <w:pPr>
        <w:spacing w:before="120" w:after="120"/>
        <w:ind w:left="579" w:hanging="579"/>
        <w:jc w:val="both"/>
        <w:rPr>
          <w:rFonts w:ascii="Arial" w:hAnsi="Arial" w:cs="Arial"/>
          <w:lang w:val="es-PR"/>
        </w:rPr>
      </w:pPr>
    </w:p>
    <w:p w14:paraId="3AFD9316" w14:textId="2D008138" w:rsidR="00F55F48" w:rsidRDefault="00F55F48">
      <w:pPr>
        <w:spacing w:before="120" w:after="120"/>
        <w:ind w:left="579" w:hanging="579"/>
        <w:jc w:val="both"/>
        <w:rPr>
          <w:rFonts w:ascii="Arial" w:hAnsi="Arial" w:cs="Arial"/>
          <w:lang w:val="es-PR"/>
        </w:rPr>
      </w:pPr>
    </w:p>
    <w:p w14:paraId="076A0D1A" w14:textId="77777777" w:rsidR="00F55F48" w:rsidRPr="00F55F48" w:rsidRDefault="00F55F48">
      <w:pPr>
        <w:spacing w:before="120" w:after="120"/>
        <w:ind w:left="579" w:hanging="579"/>
        <w:jc w:val="both"/>
        <w:rPr>
          <w:lang w:val="es-PR"/>
        </w:rPr>
      </w:pPr>
    </w:p>
    <w:p w14:paraId="4162CF41" w14:textId="77777777" w:rsidR="00CA2C18" w:rsidRDefault="002C5584" w:rsidP="00F55F48">
      <w:pPr>
        <w:spacing w:before="240" w:after="240"/>
        <w:ind w:left="579" w:hanging="579"/>
      </w:pPr>
      <w:r>
        <w:rPr>
          <w:rFonts w:ascii="Arial" w:hAnsi="Arial" w:cs="Arial"/>
          <w:b/>
        </w:rPr>
        <w:lastRenderedPageBreak/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</w:t>
      </w:r>
      <w:r>
        <w:rPr>
          <w:rFonts w:ascii="Arial" w:hAnsi="Arial" w:cs="Arial"/>
          <w:b/>
        </w:rPr>
        <w:t>esto</w:t>
      </w:r>
      <w:proofErr w:type="spellEnd"/>
    </w:p>
    <w:p w14:paraId="06B5C2E3" w14:textId="77777777" w:rsidR="00CA2C18" w:rsidRDefault="002C5584">
      <w:pPr>
        <w:spacing w:before="240" w:after="120"/>
        <w:jc w:val="center"/>
      </w:pPr>
      <w:proofErr w:type="spellStart"/>
      <w:r>
        <w:rPr>
          <w:rFonts w:ascii="Arial" w:hAnsi="Arial" w:cs="Arial"/>
          <w:b/>
          <w:sz w:val="18"/>
          <w:szCs w:val="18"/>
        </w:rPr>
        <w:t>Presupuesto</w:t>
      </w:r>
      <w:proofErr w:type="spellEnd"/>
      <w:r>
        <w:rPr>
          <w:rFonts w:ascii="Arial" w:hAnsi="Arial" w:cs="Arial"/>
          <w:b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b/>
          <w:sz w:val="18"/>
          <w:szCs w:val="18"/>
        </w:rPr>
        <w:t>Indicativo</w:t>
      </w:r>
      <w:proofErr w:type="spellEnd"/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97"/>
        <w:gridCol w:w="2269"/>
        <w:gridCol w:w="2218"/>
        <w:gridCol w:w="2232"/>
      </w:tblGrid>
      <w:tr w:rsidR="00CA2C18" w14:paraId="12D52CFF" w14:textId="77777777">
        <w:tc>
          <w:tcPr>
            <w:tcW w:w="2310" w:type="dxa"/>
            <w:vAlign w:val="center"/>
          </w:tcPr>
          <w:p w14:paraId="060242E1" w14:textId="77777777" w:rsidR="00CA2C18" w:rsidRDefault="002C5584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310" w:type="dxa"/>
          </w:tcPr>
          <w:p w14:paraId="1FCC5EFF" w14:textId="77777777" w:rsidR="00CA2C18" w:rsidRDefault="002C5584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por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310" w:type="dxa"/>
          </w:tcPr>
          <w:p w14:paraId="7E652B62" w14:textId="77777777" w:rsidR="00CA2C18" w:rsidRDefault="002C5584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310" w:type="dxa"/>
          </w:tcPr>
          <w:p w14:paraId="0A3E4B23" w14:textId="77777777" w:rsidR="00CA2C18" w:rsidRDefault="002C5584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CA2C18" w14:paraId="66C9D89B" w14:textId="77777777">
        <w:tc>
          <w:tcPr>
            <w:tcW w:w="2310" w:type="dxa"/>
            <w:vAlign w:val="center"/>
          </w:tcPr>
          <w:p w14:paraId="172BFDB8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1: Movilización de capital para el sector de agua y saneamiento</w:t>
            </w:r>
          </w:p>
        </w:tc>
        <w:tc>
          <w:tcPr>
            <w:tcW w:w="2310" w:type="dxa"/>
            <w:vAlign w:val="center"/>
          </w:tcPr>
          <w:p w14:paraId="0DB12F79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US$75,000.00</w:t>
            </w:r>
          </w:p>
        </w:tc>
        <w:tc>
          <w:tcPr>
            <w:tcW w:w="2310" w:type="dxa"/>
            <w:vAlign w:val="center"/>
          </w:tcPr>
          <w:p w14:paraId="6176EE33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2A9D120A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US$75,000.00</w:t>
            </w:r>
          </w:p>
        </w:tc>
      </w:tr>
      <w:tr w:rsidR="00CA2C18" w14:paraId="1CA28298" w14:textId="77777777">
        <w:tc>
          <w:tcPr>
            <w:tcW w:w="2310" w:type="dxa"/>
            <w:vAlign w:val="center"/>
          </w:tcPr>
          <w:p w14:paraId="68879D61" w14:textId="77777777" w:rsidR="00CA2C18" w:rsidRPr="00F55F48" w:rsidRDefault="002C5584">
            <w:pPr>
              <w:spacing w:before="40" w:after="40"/>
              <w:rPr>
                <w:lang w:val="es-PR"/>
              </w:rPr>
            </w:pP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 xml:space="preserve">2: Financiación basada en </w:t>
            </w:r>
            <w:r w:rsidRPr="00F55F48">
              <w:rPr>
                <w:rFonts w:ascii="Arial" w:hAnsi="Arial" w:cs="Arial"/>
                <w:sz w:val="18"/>
                <w:szCs w:val="18"/>
                <w:lang w:val="es-PR"/>
              </w:rPr>
              <w:t>resultados (FBR)</w:t>
            </w:r>
          </w:p>
        </w:tc>
        <w:tc>
          <w:tcPr>
            <w:tcW w:w="2310" w:type="dxa"/>
            <w:vAlign w:val="center"/>
          </w:tcPr>
          <w:p w14:paraId="35AD81BC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US$75,000.00</w:t>
            </w:r>
          </w:p>
        </w:tc>
        <w:tc>
          <w:tcPr>
            <w:tcW w:w="2310" w:type="dxa"/>
            <w:vAlign w:val="center"/>
          </w:tcPr>
          <w:p w14:paraId="5C56C790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0832B6FB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US$75,000.00</w:t>
            </w:r>
          </w:p>
        </w:tc>
      </w:tr>
      <w:tr w:rsidR="00CA2C18" w14:paraId="03200894" w14:textId="77777777">
        <w:tc>
          <w:tcPr>
            <w:tcW w:w="2310" w:type="dxa"/>
            <w:vAlign w:val="center"/>
          </w:tcPr>
          <w:p w14:paraId="2178B8AB" w14:textId="77777777" w:rsidR="00CA2C18" w:rsidRDefault="002C5584">
            <w:pPr>
              <w:spacing w:before="40" w:after="40"/>
            </w:pPr>
            <w:r>
              <w:rPr>
                <w:rFonts w:ascii="Arial" w:hAnsi="Arial" w:cs="Arial"/>
                <w:b/>
                <w:sz w:val="18"/>
                <w:szCs w:val="18"/>
              </w:rPr>
              <w:t>Total</w:t>
            </w:r>
          </w:p>
        </w:tc>
        <w:tc>
          <w:tcPr>
            <w:tcW w:w="2310" w:type="dxa"/>
            <w:vAlign w:val="center"/>
          </w:tcPr>
          <w:p w14:paraId="2F513B7C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US$150,000.00</w:t>
            </w:r>
          </w:p>
        </w:tc>
        <w:tc>
          <w:tcPr>
            <w:tcW w:w="2310" w:type="dxa"/>
            <w:vAlign w:val="center"/>
          </w:tcPr>
          <w:p w14:paraId="5A63C2D6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US$0.00</w:t>
            </w:r>
          </w:p>
        </w:tc>
        <w:tc>
          <w:tcPr>
            <w:tcW w:w="2310" w:type="dxa"/>
            <w:vAlign w:val="center"/>
          </w:tcPr>
          <w:p w14:paraId="40366DD3" w14:textId="77777777" w:rsidR="00CA2C18" w:rsidRDefault="002C5584">
            <w:pPr>
              <w:spacing w:before="40" w:after="40"/>
              <w:jc w:val="right"/>
            </w:pPr>
            <w:r>
              <w:rPr>
                <w:rFonts w:ascii="Arial" w:hAnsi="Arial" w:cs="Arial"/>
                <w:b/>
                <w:sz w:val="18"/>
                <w:szCs w:val="18"/>
              </w:rPr>
              <w:t>US$150,000.00</w:t>
            </w:r>
          </w:p>
        </w:tc>
      </w:tr>
    </w:tbl>
    <w:p w14:paraId="7EF5CFD5" w14:textId="77777777" w:rsidR="00CA2C18" w:rsidRPr="00F55F48" w:rsidRDefault="002C5584" w:rsidP="00F55F48">
      <w:pPr>
        <w:spacing w:before="240" w:after="240"/>
        <w:ind w:left="579" w:hanging="579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V.</w:t>
      </w:r>
      <w:r w:rsidRPr="00F55F48">
        <w:rPr>
          <w:rFonts w:ascii="Arial" w:hAnsi="Arial" w:cs="Arial"/>
          <w:b/>
          <w:lang w:val="es-PR"/>
        </w:rPr>
        <w:tab/>
        <w:t>Agencia Ejecutora y Estructura de Ejecución</w:t>
      </w:r>
    </w:p>
    <w:p w14:paraId="373315D1" w14:textId="77777777" w:rsidR="00CA2C18" w:rsidRPr="00F55F48" w:rsidRDefault="002C5584">
      <w:pPr>
        <w:spacing w:before="200" w:after="200"/>
        <w:ind w:left="579" w:hanging="579"/>
        <w:jc w:val="both"/>
        <w:rPr>
          <w:lang w:val="es-PR"/>
        </w:rPr>
      </w:pPr>
      <w:r w:rsidRPr="00F55F48">
        <w:rPr>
          <w:rFonts w:ascii="Arial" w:hAnsi="Arial" w:cs="Arial"/>
          <w:lang w:val="es-PR"/>
        </w:rPr>
        <w:t>5.1</w:t>
      </w:r>
      <w:r w:rsidRPr="00F55F48">
        <w:rPr>
          <w:rFonts w:ascii="Arial" w:hAnsi="Arial" w:cs="Arial"/>
          <w:lang w:val="es-PR"/>
        </w:rPr>
        <w:tab/>
        <w:t>El Organismo Ejecutor será el Banco, a través de la División de Agua y Saneamiento (INE/WSA).</w:t>
      </w:r>
    </w:p>
    <w:p w14:paraId="3DD8D203" w14:textId="77777777" w:rsidR="00CA2C18" w:rsidRPr="00F55F48" w:rsidRDefault="002C5584">
      <w:pPr>
        <w:spacing w:before="200" w:after="200"/>
        <w:ind w:left="579" w:hanging="579"/>
        <w:jc w:val="both"/>
        <w:rPr>
          <w:lang w:val="es-PR"/>
        </w:rPr>
      </w:pPr>
      <w:r w:rsidRPr="00F55F48">
        <w:rPr>
          <w:rFonts w:ascii="Arial" w:hAnsi="Arial" w:cs="Arial"/>
          <w:lang w:val="es-PR"/>
        </w:rPr>
        <w:t>5.2</w:t>
      </w:r>
      <w:r w:rsidRPr="00F55F48">
        <w:rPr>
          <w:rFonts w:ascii="Arial" w:hAnsi="Arial" w:cs="Arial"/>
          <w:lang w:val="es-PR"/>
        </w:rPr>
        <w:tab/>
        <w:t>El rol del B</w:t>
      </w:r>
      <w:r w:rsidRPr="00F55F48">
        <w:rPr>
          <w:rFonts w:ascii="Arial" w:hAnsi="Arial" w:cs="Arial"/>
          <w:lang w:val="es-PR"/>
        </w:rPr>
        <w:t>anco como organismo ejecutor se justifica por la siguientes razones: (i) el Banco cuenta con experiencia en el ámbito de trabajo de esta CT, incluyendo el desarrollo de dos guías (la Guía práctica de instrumentos financieros innovadores para el sector de a</w:t>
      </w:r>
      <w:r w:rsidRPr="00F55F48">
        <w:rPr>
          <w:rFonts w:ascii="Arial" w:hAnsi="Arial" w:cs="Arial"/>
          <w:lang w:val="es-PR"/>
        </w:rPr>
        <w:t>gua y saneamiento en América Latina y Caribe, y la Guía práctica de Financiación Basada en Resultados en el sector de agua y saneamiento); (</w:t>
      </w:r>
      <w:proofErr w:type="spellStart"/>
      <w:r w:rsidRPr="00F55F48">
        <w:rPr>
          <w:rFonts w:ascii="Arial" w:hAnsi="Arial" w:cs="Arial"/>
          <w:lang w:val="es-PR"/>
        </w:rPr>
        <w:t>ii</w:t>
      </w:r>
      <w:proofErr w:type="spellEnd"/>
      <w:r w:rsidRPr="00F55F48">
        <w:rPr>
          <w:rFonts w:ascii="Arial" w:hAnsi="Arial" w:cs="Arial"/>
          <w:lang w:val="es-PR"/>
        </w:rPr>
        <w:t>) la mayoría de las actividades son regionales por su naturaleza (desarrollo de productos de conocimiento), por lo</w:t>
      </w:r>
      <w:r w:rsidRPr="00F55F48">
        <w:rPr>
          <w:rFonts w:ascii="Arial" w:hAnsi="Arial" w:cs="Arial"/>
          <w:lang w:val="es-PR"/>
        </w:rPr>
        <w:t xml:space="preserve"> que el Banco se encuentra en posición ideal para poder ejecutarlos; y (</w:t>
      </w:r>
      <w:proofErr w:type="spellStart"/>
      <w:r w:rsidRPr="00F55F48">
        <w:rPr>
          <w:rFonts w:ascii="Arial" w:hAnsi="Arial" w:cs="Arial"/>
          <w:lang w:val="es-PR"/>
        </w:rPr>
        <w:t>iii</w:t>
      </w:r>
      <w:proofErr w:type="spellEnd"/>
      <w:r w:rsidRPr="00F55F48">
        <w:rPr>
          <w:rFonts w:ascii="Arial" w:hAnsi="Arial" w:cs="Arial"/>
          <w:lang w:val="es-PR"/>
        </w:rPr>
        <w:t>) el Banco ayuda a asegurar que los resultados de los estudios de carácter regional se diseminen adecuadamente dentro de la región.</w:t>
      </w:r>
    </w:p>
    <w:p w14:paraId="41FD83D3" w14:textId="77777777" w:rsidR="00CA2C18" w:rsidRPr="00F55F48" w:rsidRDefault="002C5584" w:rsidP="00F55F48">
      <w:pPr>
        <w:spacing w:before="240" w:after="240"/>
        <w:ind w:left="579" w:hanging="579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VI.</w:t>
      </w:r>
      <w:r w:rsidRPr="00F55F48">
        <w:rPr>
          <w:rFonts w:ascii="Arial" w:hAnsi="Arial" w:cs="Arial"/>
          <w:b/>
          <w:lang w:val="es-PR"/>
        </w:rPr>
        <w:tab/>
        <w:t>Riesgos Importantes</w:t>
      </w:r>
    </w:p>
    <w:p w14:paraId="35B6FB1D" w14:textId="77777777" w:rsidR="00CA2C18" w:rsidRPr="00F55F48" w:rsidRDefault="002C5584">
      <w:pPr>
        <w:spacing w:before="200" w:after="200"/>
        <w:ind w:left="579" w:hanging="579"/>
        <w:jc w:val="both"/>
        <w:rPr>
          <w:lang w:val="es-PR"/>
        </w:rPr>
      </w:pPr>
      <w:r w:rsidRPr="00F55F48">
        <w:rPr>
          <w:rFonts w:ascii="Arial" w:hAnsi="Arial" w:cs="Arial"/>
          <w:lang w:val="es-PR"/>
        </w:rPr>
        <w:t>6.1</w:t>
      </w:r>
      <w:r w:rsidRPr="00F55F48">
        <w:rPr>
          <w:rFonts w:ascii="Arial" w:hAnsi="Arial" w:cs="Arial"/>
          <w:lang w:val="es-PR"/>
        </w:rPr>
        <w:tab/>
        <w:t>Considerando el alcan</w:t>
      </w:r>
      <w:r w:rsidRPr="00F55F48">
        <w:rPr>
          <w:rFonts w:ascii="Arial" w:hAnsi="Arial" w:cs="Arial"/>
          <w:lang w:val="es-PR"/>
        </w:rPr>
        <w:t>ce de la operación, no se identifican riesgos importantes, con la excepción de los potenciales retrasos de los consultores contratados. Este riesgo será mitigado a través de un seguimiento estricto de los planes de trabajo.</w:t>
      </w:r>
    </w:p>
    <w:p w14:paraId="47CC499F" w14:textId="77777777" w:rsidR="00CA2C18" w:rsidRPr="00F55F48" w:rsidRDefault="002C5584" w:rsidP="00F55F48">
      <w:pPr>
        <w:spacing w:before="240" w:after="240"/>
        <w:ind w:left="579" w:hanging="579"/>
        <w:rPr>
          <w:lang w:val="es-PR"/>
        </w:rPr>
      </w:pPr>
      <w:r w:rsidRPr="00F55F48">
        <w:rPr>
          <w:rFonts w:ascii="Arial" w:hAnsi="Arial" w:cs="Arial"/>
          <w:b/>
          <w:lang w:val="es-PR"/>
        </w:rPr>
        <w:t>VII.</w:t>
      </w:r>
      <w:r w:rsidRPr="00F55F48">
        <w:rPr>
          <w:rFonts w:ascii="Arial" w:hAnsi="Arial" w:cs="Arial"/>
          <w:b/>
          <w:lang w:val="es-PR"/>
        </w:rPr>
        <w:tab/>
        <w:t>Salvaguardias Ambientales</w:t>
      </w:r>
    </w:p>
    <w:p w14:paraId="03313A8C" w14:textId="77777777" w:rsidR="00CA2C18" w:rsidRPr="00F55F48" w:rsidRDefault="002C5584">
      <w:pPr>
        <w:spacing w:before="240" w:after="120"/>
        <w:ind w:left="579" w:hanging="579"/>
        <w:jc w:val="both"/>
        <w:rPr>
          <w:lang w:val="es-PR"/>
        </w:rPr>
      </w:pPr>
      <w:r w:rsidRPr="00F55F48">
        <w:rPr>
          <w:rFonts w:ascii="Arial" w:hAnsi="Arial" w:cs="Arial"/>
          <w:lang w:val="es-PR"/>
        </w:rPr>
        <w:t>7.1</w:t>
      </w:r>
      <w:r w:rsidRPr="00F55F48">
        <w:rPr>
          <w:rFonts w:ascii="Arial" w:hAnsi="Arial" w:cs="Arial"/>
          <w:lang w:val="es-PR"/>
        </w:rPr>
        <w:tab/>
        <w:t>La clasificación ESG para esta operación es "indefinida".</w:t>
      </w:r>
    </w:p>
    <w:sectPr w:rsidR="00CA2C18" w:rsidRPr="00F55F48" w:rsidSect="00FC302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859618" w14:textId="77777777" w:rsidR="00000000" w:rsidRDefault="002C5584">
      <w:r>
        <w:separator/>
      </w:r>
    </w:p>
  </w:endnote>
  <w:endnote w:type="continuationSeparator" w:id="0">
    <w:p w14:paraId="49F6BA2B" w14:textId="77777777" w:rsidR="00000000" w:rsidRDefault="002C5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293AF" w14:textId="77777777" w:rsidR="00CA2C18" w:rsidRDefault="002C5584">
    <w:pPr>
      <w:pStyle w:val="FooterStyle"/>
      <w:jc w:val="center"/>
    </w:pPr>
    <w:r>
      <w:t xml:space="preserve"> - </w:t>
    </w:r>
    <w:r>
      <w:fldChar w:fldCharType="begin"/>
    </w:r>
    <w:r>
      <w:instrText xml:space="preserve"> PAGE </w:instrText>
    </w:r>
    <w:r>
      <w:fldChar w:fldCharType="separate"/>
    </w:r>
    <w:r w:rsidR="00F55F48">
      <w:rPr>
        <w:noProof/>
      </w:rPr>
      <w:t>1</w:t>
    </w:r>
    <w:r>
      <w:fldChar w:fldCharType="end"/>
    </w:r>
    <w:r>
      <w:t xml:space="preserve"> -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FC1E9" w14:textId="77777777" w:rsidR="00000000" w:rsidRDefault="002C5584">
      <w:r>
        <w:separator/>
      </w:r>
    </w:p>
  </w:footnote>
  <w:footnote w:type="continuationSeparator" w:id="0">
    <w:p w14:paraId="2032D51B" w14:textId="77777777" w:rsidR="00000000" w:rsidRDefault="002C5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915A3"/>
    <w:rsid w:val="00217F62"/>
    <w:rsid w:val="002C5584"/>
    <w:rsid w:val="00A906D8"/>
    <w:rsid w:val="00AB5A74"/>
    <w:rsid w:val="00CA2C18"/>
    <w:rsid w:val="00D05F33"/>
    <w:rsid w:val="00F071AE"/>
    <w:rsid w:val="00F5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1CE6F"/>
  <w15:docId w15:val="{BEA0265A-A631-4A58-B502-BB42EBFD6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oterStyle">
    <w:name w:val="FooterStyle"/>
    <w:rPr>
      <w:rFonts w:ascii="Arial" w:eastAsia="Arial" w:hAnsi="Arial" w:cs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5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Relationship Id="rId14" Type="http://schemas.openxmlformats.org/officeDocument/2006/relationships/customXml" Target="../customXml/item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842F9D9649B0A746A269C44BDC266B12" ma:contentTypeVersion="8202" ma:contentTypeDescription="The base project type from which other project content types inherit their information." ma:contentTypeScope="" ma:versionID="7d55213b71e97cb93553ef52e94b5ae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62d6bbfef7b762071ddb373f4d40519b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  <xsd:element ref="ns2:Extracted_x0020_Keywords" minOccurs="0"/>
                <xsd:element ref="ns2:Approval_x0020_date" minOccurs="0"/>
                <xsd:element ref="ns2:Transaction_x0020_Type" minOccurs="0"/>
                <xsd:element ref="ns2:Transact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  <xsd:element name="Extracted_x0020_Keywords" ma:index="47" nillable="true" ma:displayName="Extracted Keywords" ma:internalName="Extracted_x0020_Keyword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z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Approval_x0020_date" ma:index="48" nillable="true" ma:displayName="Approval date" ma:format="DateOnly" ma:internalName="Approval_x0020_date">
      <xsd:simpleType>
        <xsd:restriction base="dms:DateTime"/>
      </xsd:simpleType>
    </xsd:element>
    <xsd:element name="Transaction_x0020_Type" ma:index="49" nillable="true" ma:displayName="Transaction Type" ma:format="Dropdown" ma:internalName="Transaction_x0020_Type">
      <xsd:simpleType>
        <xsd:restriction base="dms:Choice">
          <xsd:enumeration value="APR"/>
          <xsd:enumeration value="APRR"/>
          <xsd:enumeration value="APRA"/>
          <xsd:enumeration value="API"/>
          <xsd:enumeration value="INC"/>
          <xsd:enumeration value="INCR"/>
          <xsd:enumeration value="BCL"/>
          <xsd:enumeration value="BCC"/>
          <xsd:enumeration value="FCM"/>
          <xsd:enumeration value="FCP"/>
          <xsd:enumeration value="FCPR"/>
          <xsd:enumeration value="FCA"/>
        </xsd:restriction>
      </xsd:simpleType>
    </xsd:element>
    <xsd:element name="Transaction_x0020_Number" ma:index="50" nillable="true" ma:displayName="Transaction Number" ma:internalName="Transaction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rom_x003a_ xmlns="cdc7663a-08f0-4737-9e8c-148ce897a09c" xsi:nil="true"/>
    <Fiscal_x0020_Year_x0020_IDB xmlns="cdc7663a-08f0-4737-9e8c-148ce897a09c">2022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PHASE_PREPARATION</Phase>
    <Document_x0020_Author xmlns="cdc7663a-08f0-4737-9e8c-148ce897a09c">Guerrero Rivera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SUPPLY URBAN</TermName>
          <TermId xmlns="http://schemas.microsoft.com/office/infopath/2007/PartnerControls">28df1b5d-8f50-49f8-b50a-8bcbae67d2a4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MAF</TermName>
          <TermId xmlns="http://schemas.microsoft.com/office/infopath/2007/PartnerControls">e43db9f5-6ed8-400e-be55-a0e52f6e8c79</TermId>
        </TermInfo>
      </Terms>
    </g511464f9e53401d84b16fa9b379a574>
    <Related_x0020_SisCor_x0020_Number xmlns="cdc7663a-08f0-4737-9e8c-148ce897a09c" xsi:nil="true"/>
    <Transaction_x0020_Type xmlns="cdc7663a-08f0-4737-9e8c-148ce897a09c" xsi:nil="true"/>
    <TaxCatchAll xmlns="cdc7663a-08f0-4737-9e8c-148ce897a09c">
      <Value>237</Value>
      <Value>351</Value>
      <Value>44</Value>
      <Value>1</Value>
      <Value>273</Value>
    </TaxCatchAll>
    <Operation_x0020_Type xmlns="cdc7663a-08f0-4737-9e8c-148ce897a09c">TCP</Operation_x0020_Type>
    <Package_x0020_Code xmlns="cdc7663a-08f0-4737-9e8c-148ce897a09c" xsi:nil="true"/>
    <To_x003a_ xmlns="cdc7663a-08f0-4737-9e8c-148ce897a09c" xsi:nil="true"/>
    <Identifier xmlns="cdc7663a-08f0-4737-9e8c-148ce897a09c" xsi:nil="true"/>
    <Project_x0020_Number xmlns="cdc7663a-08f0-4737-9e8c-148ce897a09c">RG-T4084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Transaction_x0020_Number xmlns="cdc7663a-08f0-4737-9e8c-148ce897a09c" xsi:nil="true"/>
    <Extracted_x0020_Keywords xmlns="cdc7663a-08f0-4737-9e8c-148ce897a09c" xsi:nil="true"/>
    <Approval_x0020_date xmlns="cdc7663a-08f0-4737-9e8c-148ce897a09c" xsi:nil="true"/>
    <_dlc_DocId xmlns="cdc7663a-08f0-4737-9e8c-148ce897a09c">EZSHARE-1212760466-2</_dlc_DocId>
    <_dlc_DocIdUrl xmlns="cdc7663a-08f0-4737-9e8c-148ce897a09c">
      <Url>https://idbg.sharepoint.com/teams/EZ-RG-TCP/RG-T4084/_layouts/15/DocIdRedir.aspx?ID=EZSHARE-1212760466-2</Url>
      <Description>EZSHARE-1212760466-2</Description>
    </_dlc_DocIdUrl>
  </documentManagement>
</p:properties>
</file>

<file path=customXml/itemProps1.xml><?xml version="1.0" encoding="utf-8"?>
<ds:datastoreItem xmlns:ds="http://schemas.openxmlformats.org/officeDocument/2006/customXml" ds:itemID="{ACC71694-7085-4EA7-BE1F-CA4FE1CB5739}"/>
</file>

<file path=customXml/itemProps2.xml><?xml version="1.0" encoding="utf-8"?>
<ds:datastoreItem xmlns:ds="http://schemas.openxmlformats.org/officeDocument/2006/customXml" ds:itemID="{43EF9ABA-2BC6-4FB4-8338-7CB9A6A108D4}"/>
</file>

<file path=customXml/itemProps3.xml><?xml version="1.0" encoding="utf-8"?>
<ds:datastoreItem xmlns:ds="http://schemas.openxmlformats.org/officeDocument/2006/customXml" ds:itemID="{0FE4956A-8AEC-4619-8413-E59290B390C0}"/>
</file>

<file path=customXml/itemProps4.xml><?xml version="1.0" encoding="utf-8"?>
<ds:datastoreItem xmlns:ds="http://schemas.openxmlformats.org/officeDocument/2006/customXml" ds:itemID="{6EE2327C-0BCD-4480-9C84-9C68EC696757}"/>
</file>

<file path=customXml/itemProps5.xml><?xml version="1.0" encoding="utf-8"?>
<ds:datastoreItem xmlns:ds="http://schemas.openxmlformats.org/officeDocument/2006/customXml" ds:itemID="{7DA8FC61-161F-48E0-9AC7-C93AC48C6253}"/>
</file>

<file path=customXml/itemProps6.xml><?xml version="1.0" encoding="utf-8"?>
<ds:datastoreItem xmlns:ds="http://schemas.openxmlformats.org/officeDocument/2006/customXml" ds:itemID="{82E24CD2-B669-4F98-A4E4-CA92C4792C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1193</Words>
  <Characters>6805</Characters>
  <Application>Microsoft Office Word</Application>
  <DocSecurity>0</DocSecurity>
  <Lines>56</Lines>
  <Paragraphs>15</Paragraphs>
  <ScaleCrop>false</ScaleCrop>
  <Company/>
  <LinksUpToDate>false</LinksUpToDate>
  <CharactersWithSpaces>7983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Guerrero Rivera, Marilyn Ivette</dc:creator>
  <cp:keywords/>
  <cp:lastModifiedBy>Guerrero Rivera, Marilyn Ivette</cp:lastModifiedBy>
  <cp:revision>2</cp:revision>
  <dcterms:created xsi:type="dcterms:W3CDTF">2022-05-18T14:47:00Z</dcterms:created>
  <dcterms:modified xsi:type="dcterms:W3CDTF">2022-05-18T14:47:00Z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0x010100ACF722E9F6B0B149B0CD8BE2560A667200842F9D9649B0A746A269C44BDC266B12</vt:lpwstr>
  </property>
  <property fmtid="{D5CDD505-2E9C-101B-9397-08002B2CF9AE}" pid="3" name="TaxKeyword">
    <vt:lpwstr/>
  </property>
  <property fmtid="{D5CDD505-2E9C-101B-9397-08002B2CF9AE}" pid="4" name="Sub_x002d_Sector">
    <vt:lpwstr/>
  </property>
  <property fmtid="{D5CDD505-2E9C-101B-9397-08002B2CF9AE}" pid="5" name="TaxKeywordTaxHTField">
    <vt:lpwstr/>
  </property>
  <property fmtid="{D5CDD505-2E9C-101B-9397-08002B2CF9AE}" pid="6" name="Country">
    <vt:lpwstr>44;#Regional|2537a5b7-6d8e-482c-94dc-32c3cc44ff65</vt:lpwstr>
  </property>
  <property fmtid="{D5CDD505-2E9C-101B-9397-08002B2CF9AE}" pid="7" name="Fund_x0020_IDB">
    <vt:lpwstr/>
  </property>
  <property fmtid="{D5CDD505-2E9C-101B-9397-08002B2CF9AE}" pid="8" name="Series_x0020_Operations_x0020_IDB">
    <vt:lpwstr/>
  </property>
  <property fmtid="{D5CDD505-2E9C-101B-9397-08002B2CF9AE}" pid="9" name="Function Operations IDB">
    <vt:lpwstr>1;#Project Preparation Planning and Design|29ca0c72-1fc4-435f-a09c-28585cb5eac9</vt:lpwstr>
  </property>
  <property fmtid="{D5CDD505-2E9C-101B-9397-08002B2CF9AE}" pid="10" name="Sector_x0020_IDB">
    <vt:lpwstr/>
  </property>
  <property fmtid="{D5CDD505-2E9C-101B-9397-08002B2CF9AE}" pid="11" name="Sub-Sector">
    <vt:lpwstr>351;#WATER SUPPLY URBAN|28df1b5d-8f50-49f8-b50a-8bcbae67d2a4</vt:lpwstr>
  </property>
  <property fmtid="{D5CDD505-2E9C-101B-9397-08002B2CF9AE}" pid="13" name="Fund IDB">
    <vt:lpwstr>273;#MAF|e43db9f5-6ed8-400e-be55-a0e52f6e8c79</vt:lpwstr>
  </property>
  <property fmtid="{D5CDD505-2E9C-101B-9397-08002B2CF9AE}" pid="14" name="Sector IDB">
    <vt:lpwstr>237;#WATER AND SANITATION|ba6b63cd-e402-47cb-9357-08149f7ce046</vt:lpwstr>
  </property>
  <property fmtid="{D5CDD505-2E9C-101B-9397-08002B2CF9AE}" pid="15" name="_dlc_DocIdItemGuid">
    <vt:lpwstr>64a25560-d3ea-4634-9317-6a930c2fe3cd</vt:lpwstr>
  </property>
  <property fmtid="{D5CDD505-2E9C-101B-9397-08002B2CF9AE}" pid="16" name="Disclosure Activity">
    <vt:lpwstr>TC Abstract</vt:lpwstr>
  </property>
  <property fmtid="{D5CDD505-2E9C-101B-9397-08002B2CF9AE}" pid="17" name="Webtopic">
    <vt:lpwstr>Water and Sanitation;</vt:lpwstr>
  </property>
  <property fmtid="{D5CDD505-2E9C-101B-9397-08002B2CF9AE}" pid="18" name="Series Operations IDB">
    <vt:lpwstr/>
  </property>
</Properties>
</file>