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694" w:rsidRPr="00D61694" w:rsidRDefault="00D61694" w:rsidP="00D61694">
      <w:pPr>
        <w:jc w:val="center"/>
        <w:rPr>
          <w:rFonts w:ascii="Times New Roman" w:hAnsi="Times New Roman" w:cs="Times New Roman"/>
          <w:b/>
          <w:lang w:val="es-ES_tradnl"/>
        </w:rPr>
      </w:pPr>
      <w:r w:rsidRPr="00D61694">
        <w:rPr>
          <w:rFonts w:ascii="Times New Roman" w:hAnsi="Times New Roman" w:cs="Times New Roman"/>
          <w:b/>
          <w:lang w:val="es-ES_tradnl"/>
        </w:rPr>
        <w:t>ENLACE OPCIONAL 11</w:t>
      </w:r>
    </w:p>
    <w:p w:rsidR="00D61694" w:rsidRDefault="00D61694" w:rsidP="00D61694">
      <w:pPr>
        <w:jc w:val="center"/>
        <w:rPr>
          <w:rFonts w:ascii="Times New Roman" w:hAnsi="Times New Roman" w:cs="Times New Roman"/>
          <w:b/>
          <w:lang w:val="es-ES_tradnl"/>
        </w:rPr>
      </w:pPr>
      <w:r w:rsidRPr="00D61694">
        <w:rPr>
          <w:rFonts w:ascii="Times New Roman" w:hAnsi="Times New Roman" w:cs="Times New Roman"/>
          <w:b/>
          <w:lang w:val="es-ES_tradnl"/>
        </w:rPr>
        <w:t xml:space="preserve">INFORMACION SOBRE ACCIONES DE POLITICA PARA MEJORAR LA </w:t>
      </w:r>
    </w:p>
    <w:p w:rsidR="0004346B" w:rsidRPr="00D61694" w:rsidRDefault="00D61694" w:rsidP="00D61694">
      <w:pPr>
        <w:jc w:val="center"/>
        <w:rPr>
          <w:rFonts w:ascii="Times New Roman" w:hAnsi="Times New Roman" w:cs="Times New Roman"/>
          <w:b/>
          <w:lang w:val="es-ES_tradnl"/>
        </w:rPr>
      </w:pPr>
      <w:r w:rsidRPr="00D61694">
        <w:rPr>
          <w:rFonts w:ascii="Times New Roman" w:hAnsi="Times New Roman" w:cs="Times New Roman"/>
          <w:b/>
          <w:lang w:val="es-ES_tradnl"/>
        </w:rPr>
        <w:t>EFICIENCIA DEL SISTEMA NACIONAL DE SALUD</w:t>
      </w:r>
      <w:bookmarkStart w:id="0" w:name="_GoBack"/>
      <w:bookmarkEnd w:id="0"/>
    </w:p>
    <w:p w:rsidR="00D61694" w:rsidRPr="00D61694" w:rsidRDefault="00D61694">
      <w:pPr>
        <w:rPr>
          <w:rFonts w:ascii="Times New Roman" w:hAnsi="Times New Roman" w:cs="Times New Roman"/>
          <w:lang w:val="es-ES_tradnl"/>
        </w:rPr>
      </w:pPr>
    </w:p>
    <w:p w:rsidR="00D61694" w:rsidRPr="00D61694" w:rsidRDefault="00D61694" w:rsidP="00771077">
      <w:pPr>
        <w:jc w:val="both"/>
        <w:rPr>
          <w:rFonts w:ascii="Times New Roman" w:hAnsi="Times New Roman" w:cs="Times New Roman"/>
          <w:lang w:val="es-ES_tradnl"/>
        </w:rPr>
      </w:pPr>
      <w:r w:rsidRPr="00D61694">
        <w:rPr>
          <w:rFonts w:ascii="Times New Roman" w:hAnsi="Times New Roman" w:cs="Times New Roman"/>
          <w:b/>
          <w:lang w:val="es-ES_tradnl"/>
        </w:rPr>
        <w:t>El modelo de atención.</w:t>
      </w:r>
      <w:r w:rsidRPr="00D61694">
        <w:rPr>
          <w:rFonts w:ascii="Times New Roman" w:hAnsi="Times New Roman" w:cs="Times New Roman"/>
          <w:lang w:val="es-ES_tradnl"/>
        </w:rPr>
        <w:t xml:space="preserve"> La oficialización e implementación del modelo de atención es una de las principales prioridades de la actual administración y se expresa como un objetivo clave a alcanzar dentro de la Estrategia Nacional de Desarrollo del país, recientemente aprobada por ley en el Congreso de la República. El </w:t>
      </w:r>
      <w:r w:rsidR="007D0553">
        <w:rPr>
          <w:rFonts w:ascii="Times New Roman" w:hAnsi="Times New Roman" w:cs="Times New Roman"/>
          <w:lang w:val="es-ES_tradnl"/>
        </w:rPr>
        <w:t>Ministerio de Salud Pública (</w:t>
      </w:r>
      <w:r w:rsidRPr="00D61694">
        <w:rPr>
          <w:rFonts w:ascii="Times New Roman" w:hAnsi="Times New Roman" w:cs="Times New Roman"/>
          <w:lang w:val="es-ES_tradnl"/>
        </w:rPr>
        <w:t>MSP</w:t>
      </w:r>
      <w:r w:rsidR="007D0553">
        <w:rPr>
          <w:rFonts w:ascii="Times New Roman" w:hAnsi="Times New Roman" w:cs="Times New Roman"/>
          <w:lang w:val="es-ES_tradnl"/>
        </w:rPr>
        <w:t>)</w:t>
      </w:r>
      <w:r w:rsidRPr="00D61694">
        <w:rPr>
          <w:rFonts w:ascii="Times New Roman" w:hAnsi="Times New Roman" w:cs="Times New Roman"/>
          <w:lang w:val="es-ES_tradnl"/>
        </w:rPr>
        <w:t xml:space="preserve"> tiene finalizada la definición de este modelo, pero es necesario socializarlo y </w:t>
      </w:r>
      <w:proofErr w:type="spellStart"/>
      <w:r w:rsidRPr="00D61694">
        <w:rPr>
          <w:rFonts w:ascii="Times New Roman" w:hAnsi="Times New Roman" w:cs="Times New Roman"/>
          <w:lang w:val="es-ES_tradnl"/>
        </w:rPr>
        <w:t>operativizarlo</w:t>
      </w:r>
      <w:proofErr w:type="spellEnd"/>
      <w:r w:rsidRPr="00D61694">
        <w:rPr>
          <w:rFonts w:ascii="Times New Roman" w:hAnsi="Times New Roman" w:cs="Times New Roman"/>
          <w:lang w:val="es-ES_tradnl"/>
        </w:rPr>
        <w:t xml:space="preserve"> para llevar a cabo su implementación. El modelo de atención define la nueva estructura organizacional de los prestadores públicos</w:t>
      </w:r>
      <w:r w:rsidR="007D0553">
        <w:rPr>
          <w:rFonts w:ascii="Times New Roman" w:hAnsi="Times New Roman" w:cs="Times New Roman"/>
          <w:lang w:val="es-ES_tradnl"/>
        </w:rPr>
        <w:t>, con la atención primaria como puerta de entrada</w:t>
      </w:r>
      <w:r w:rsidRPr="00D61694">
        <w:rPr>
          <w:rFonts w:ascii="Times New Roman" w:hAnsi="Times New Roman" w:cs="Times New Roman"/>
          <w:lang w:val="es-ES_tradnl"/>
        </w:rPr>
        <w:t xml:space="preserve">. El modelo de atención establece los principios, directrices y parámetros que deben ser utilizados en cada regional para la organización de los servicios de salud. Sitúa la atención primaria como puerta de entrada al sistema, y organiza los niveles de atención como una red, para dar atención articulada, integral y </w:t>
      </w:r>
      <w:r w:rsidR="007D0553" w:rsidRPr="00D61694">
        <w:rPr>
          <w:rFonts w:ascii="Times New Roman" w:hAnsi="Times New Roman" w:cs="Times New Roman"/>
          <w:lang w:val="es-ES_tradnl"/>
        </w:rPr>
        <w:t>continua</w:t>
      </w:r>
      <w:r w:rsidRPr="00D61694">
        <w:rPr>
          <w:rFonts w:ascii="Times New Roman" w:hAnsi="Times New Roman" w:cs="Times New Roman"/>
          <w:lang w:val="es-ES_tradnl"/>
        </w:rPr>
        <w:t>. El modelo es un instrumento clave para planifi</w:t>
      </w:r>
      <w:r w:rsidR="007D0553">
        <w:rPr>
          <w:rFonts w:ascii="Times New Roman" w:hAnsi="Times New Roman" w:cs="Times New Roman"/>
          <w:lang w:val="es-ES_tradnl"/>
        </w:rPr>
        <w:t>car y presupuestar</w:t>
      </w:r>
      <w:r w:rsidRPr="00D61694">
        <w:rPr>
          <w:rFonts w:ascii="Times New Roman" w:hAnsi="Times New Roman" w:cs="Times New Roman"/>
          <w:lang w:val="es-ES_tradnl"/>
        </w:rPr>
        <w:t xml:space="preserve">, pues incluye la definición </w:t>
      </w:r>
      <w:r w:rsidR="007D0553">
        <w:rPr>
          <w:rFonts w:ascii="Times New Roman" w:hAnsi="Times New Roman" w:cs="Times New Roman"/>
          <w:lang w:val="es-ES_tradnl"/>
        </w:rPr>
        <w:t>de los principios, directrices y parámetros a ser utilizados por todos los servicios regionales para brindar los servicios de salud, así como las responsabilidades y funciones de los actores del sector.</w:t>
      </w:r>
    </w:p>
    <w:p w:rsidR="00D61694" w:rsidRDefault="00D61694" w:rsidP="00114C41">
      <w:pPr>
        <w:jc w:val="both"/>
        <w:rPr>
          <w:rFonts w:ascii="Times New Roman" w:hAnsi="Times New Roman" w:cs="Times New Roman"/>
          <w:lang w:val="es-ES_tradnl"/>
        </w:rPr>
      </w:pPr>
      <w:r w:rsidRPr="00D61694">
        <w:rPr>
          <w:rFonts w:ascii="Times New Roman" w:hAnsi="Times New Roman" w:cs="Times New Roman"/>
          <w:b/>
          <w:lang w:val="es-ES_tradnl"/>
        </w:rPr>
        <w:t>La separación de funciones.</w:t>
      </w:r>
      <w:r w:rsidRPr="00D61694">
        <w:rPr>
          <w:rFonts w:ascii="Times New Roman" w:hAnsi="Times New Roman" w:cs="Times New Roman"/>
          <w:lang w:val="es-ES_tradnl"/>
        </w:rPr>
        <w:t xml:space="preserve"> El decreto de separación de funciones ordenará la desconcentración administrativa, funcional y territorial del Vice-Ministerio de Atención a las Personas</w:t>
      </w:r>
      <w:r w:rsidR="007D0553">
        <w:rPr>
          <w:rFonts w:ascii="Times New Roman" w:hAnsi="Times New Roman" w:cs="Times New Roman"/>
          <w:lang w:val="es-ES_tradnl"/>
        </w:rPr>
        <w:t xml:space="preserve"> y de los Servicios Regionales de Salud (SRS), con el objetivo de separar las funciones de provisión de servicios de salud, de </w:t>
      </w:r>
      <w:proofErr w:type="gramStart"/>
      <w:r w:rsidR="007D0553">
        <w:rPr>
          <w:rFonts w:ascii="Times New Roman" w:hAnsi="Times New Roman" w:cs="Times New Roman"/>
          <w:lang w:val="es-ES_tradnl"/>
        </w:rPr>
        <w:t>las de rectoría</w:t>
      </w:r>
      <w:proofErr w:type="gramEnd"/>
      <w:r w:rsidR="007D0553">
        <w:rPr>
          <w:rFonts w:ascii="Times New Roman" w:hAnsi="Times New Roman" w:cs="Times New Roman"/>
          <w:lang w:val="es-ES_tradnl"/>
        </w:rPr>
        <w:t xml:space="preserve"> y salud colectiva del MSP.</w:t>
      </w:r>
      <w:r w:rsidRPr="00D61694">
        <w:rPr>
          <w:rFonts w:ascii="Times New Roman" w:hAnsi="Times New Roman" w:cs="Times New Roman"/>
          <w:lang w:val="es-ES_tradnl"/>
        </w:rPr>
        <w:t xml:space="preserve">  E</w:t>
      </w:r>
      <w:r w:rsidR="007D0553">
        <w:rPr>
          <w:rFonts w:ascii="Times New Roman" w:hAnsi="Times New Roman" w:cs="Times New Roman"/>
          <w:lang w:val="es-ES_tradnl"/>
        </w:rPr>
        <w:t xml:space="preserve">l Viceministerio de Atención a las personas, que pasará a llamarse Dirección General de Coordinación de los Servicios Públicos de Atención a la Salud (DGCSS), será el encargado de coordinar los SRS, con sus establecimientos de salud; así como, los centros </w:t>
      </w:r>
      <w:proofErr w:type="spellStart"/>
      <w:r w:rsidR="007D0553">
        <w:rPr>
          <w:rFonts w:ascii="Times New Roman" w:hAnsi="Times New Roman" w:cs="Times New Roman"/>
          <w:lang w:val="es-ES_tradnl"/>
        </w:rPr>
        <w:t>autogestionados</w:t>
      </w:r>
      <w:proofErr w:type="spellEnd"/>
      <w:r w:rsidR="007D0553">
        <w:rPr>
          <w:rFonts w:ascii="Times New Roman" w:hAnsi="Times New Roman" w:cs="Times New Roman"/>
          <w:lang w:val="es-ES_tradnl"/>
        </w:rPr>
        <w:t xml:space="preserve"> de servicios de salud. </w:t>
      </w:r>
      <w:r w:rsidRPr="00D61694">
        <w:rPr>
          <w:rFonts w:ascii="Times New Roman" w:hAnsi="Times New Roman" w:cs="Times New Roman"/>
          <w:lang w:val="es-ES_tradnl"/>
        </w:rPr>
        <w:t xml:space="preserve">De esta forma, el </w:t>
      </w:r>
      <w:r w:rsidR="007D0553">
        <w:rPr>
          <w:rFonts w:ascii="Times New Roman" w:hAnsi="Times New Roman" w:cs="Times New Roman"/>
          <w:lang w:val="es-ES_tradnl"/>
        </w:rPr>
        <w:t>MSP</w:t>
      </w:r>
      <w:r w:rsidRPr="00D61694">
        <w:rPr>
          <w:rFonts w:ascii="Times New Roman" w:hAnsi="Times New Roman" w:cs="Times New Roman"/>
          <w:lang w:val="es-ES_tradnl"/>
        </w:rPr>
        <w:t xml:space="preserve"> </w:t>
      </w:r>
      <w:r w:rsidR="007D0553">
        <w:rPr>
          <w:rFonts w:ascii="Times New Roman" w:hAnsi="Times New Roman" w:cs="Times New Roman"/>
          <w:lang w:val="es-ES_tradnl"/>
        </w:rPr>
        <w:t>se concentrará</w:t>
      </w:r>
      <w:r w:rsidRPr="00D61694">
        <w:rPr>
          <w:rFonts w:ascii="Times New Roman" w:hAnsi="Times New Roman" w:cs="Times New Roman"/>
          <w:lang w:val="es-ES_tradnl"/>
        </w:rPr>
        <w:t xml:space="preserve"> exclusivamente en la función de rectoría del Sistema Nacional de Salud.</w:t>
      </w:r>
    </w:p>
    <w:p w:rsidR="00D61694" w:rsidRPr="00D61694" w:rsidRDefault="00D61694" w:rsidP="00114C41">
      <w:pPr>
        <w:spacing w:before="120" w:after="120"/>
        <w:jc w:val="both"/>
        <w:rPr>
          <w:rFonts w:ascii="Times New Roman" w:hAnsi="Times New Roman" w:cs="Times New Roman"/>
          <w:lang w:val="es-ES_tradnl"/>
        </w:rPr>
      </w:pPr>
      <w:r w:rsidRPr="00D61694">
        <w:rPr>
          <w:rFonts w:ascii="Times New Roman" w:hAnsi="Times New Roman" w:cs="Times New Roman"/>
          <w:b/>
          <w:lang w:val="es-ES_tradnl"/>
        </w:rPr>
        <w:t>El Plan Estratégico del MSP.</w:t>
      </w:r>
      <w:r w:rsidRPr="00D61694">
        <w:rPr>
          <w:rFonts w:ascii="Times New Roman" w:hAnsi="Times New Roman" w:cs="Times New Roman"/>
          <w:lang w:val="es-ES_tradnl"/>
        </w:rPr>
        <w:t xml:space="preserve"> Para hacer operativas las funciones de rectoría, el  plan orientará las líneas de acción del MSP dentro de las principales dimensiones de la función rectora: la conducción sectorial, la inteligencia sanitaria, y la regulación y supervisión del SNS. Las acciones del plan están alineadas para llevar a cabo los objetivos estratégicos planteados en la Estrategia Nacional de Desarrollo 2030. </w:t>
      </w:r>
    </w:p>
    <w:p w:rsidR="00D61694" w:rsidRDefault="00D61694" w:rsidP="00114C41">
      <w:pPr>
        <w:spacing w:before="120" w:after="120"/>
        <w:ind w:left="14" w:hanging="14"/>
        <w:jc w:val="both"/>
        <w:rPr>
          <w:rFonts w:ascii="Times New Roman" w:hAnsi="Times New Roman" w:cs="Times New Roman"/>
          <w:lang w:val="es-ES_tradnl"/>
        </w:rPr>
      </w:pPr>
      <w:r w:rsidRPr="00D61694">
        <w:rPr>
          <w:rFonts w:ascii="Times New Roman" w:hAnsi="Times New Roman" w:cs="Times New Roman"/>
          <w:b/>
          <w:lang w:val="es-ES_tradnl"/>
        </w:rPr>
        <w:t>Política de calidad.</w:t>
      </w:r>
      <w:r w:rsidRPr="00D61694">
        <w:rPr>
          <w:rFonts w:ascii="Times New Roman" w:hAnsi="Times New Roman" w:cs="Times New Roman"/>
          <w:lang w:val="es-ES_tradnl"/>
        </w:rPr>
        <w:t xml:space="preserve"> La Política Nacional de Calidad establece las directrices que debe seguir el SNS, a saber: (i) la calidad de la atención brindada en las entidades proveedoras públicas, privadas y mixtas; y (ii) la seguridad, inocuidad y eficiencia de los medicamentos y de las tecnologías sanitarias. En ese sentido, define requisitos mínimos para la habilitación de los establecimientos de salud en todos los niveles, las guías y  protocolos de atención que deben seguir el personal de salud y los estándares de calidad para los medicamentos y tecnologías sanitarias.</w:t>
      </w:r>
      <w:r w:rsidR="007D0553">
        <w:rPr>
          <w:rFonts w:ascii="Times New Roman" w:hAnsi="Times New Roman" w:cs="Times New Roman"/>
          <w:lang w:val="es-ES_tradnl"/>
        </w:rPr>
        <w:t xml:space="preserve"> </w:t>
      </w:r>
      <w:r w:rsidRPr="00D61694">
        <w:rPr>
          <w:rFonts w:ascii="Times New Roman" w:hAnsi="Times New Roman" w:cs="Times New Roman"/>
          <w:lang w:val="es-ES_tradnl"/>
        </w:rPr>
        <w:t>Contar con estas normativas facilitará llevar a cabo las  acciones para impulsar, vigilar y monitorear la calidad de la prestación.</w:t>
      </w:r>
    </w:p>
    <w:p w:rsidR="00D61694" w:rsidRDefault="00D61694" w:rsidP="00114C41">
      <w:pPr>
        <w:spacing w:before="120" w:after="120"/>
        <w:jc w:val="both"/>
        <w:rPr>
          <w:rFonts w:ascii="Times New Roman" w:hAnsi="Times New Roman" w:cs="Times New Roman"/>
          <w:lang w:val="es-ES_tradnl"/>
        </w:rPr>
      </w:pPr>
      <w:r w:rsidRPr="00D61694">
        <w:rPr>
          <w:rFonts w:ascii="Times New Roman" w:hAnsi="Times New Roman" w:cs="Times New Roman"/>
          <w:b/>
          <w:lang w:val="es-ES_tradnl"/>
        </w:rPr>
        <w:t>Carrera sanitaria.</w:t>
      </w:r>
      <w:r w:rsidRPr="00D61694">
        <w:rPr>
          <w:rFonts w:ascii="Times New Roman" w:hAnsi="Times New Roman" w:cs="Times New Roman"/>
          <w:lang w:val="es-ES_tradnl"/>
        </w:rPr>
        <w:t xml:space="preserve"> La Ley  de Carrera Sanitaria contiene la definición de la carrera para los profesionales de salud del sector público de RD. </w:t>
      </w:r>
      <w:r w:rsidR="007D0553">
        <w:rPr>
          <w:rFonts w:ascii="Times New Roman" w:hAnsi="Times New Roman" w:cs="Times New Roman"/>
          <w:lang w:val="es-ES_tradnl"/>
        </w:rPr>
        <w:t xml:space="preserve">En particular, la Ley: i) designa al MSP y al MAP como responsables de la gestión de la carrera sanitaria; ii) establece las relaciones laborales entre los servidores públicos y el </w:t>
      </w:r>
      <w:r w:rsidR="007D0553">
        <w:rPr>
          <w:rFonts w:ascii="Times New Roman" w:hAnsi="Times New Roman" w:cs="Times New Roman"/>
          <w:lang w:val="es-ES_tradnl"/>
        </w:rPr>
        <w:lastRenderedPageBreak/>
        <w:t>estado, bajo principios de eficiencia y eficacia, integralidad, y selección y promoción basada en el mérito; iii) clasifica y define los cargos contemplados en la carrera sanitaria; iv) especifica los contenidos de los planes de desarrollo de los RH; y v) define el proceso de selección y reclutamiento del personal.</w:t>
      </w:r>
    </w:p>
    <w:p w:rsidR="00D61694" w:rsidRPr="00D61694" w:rsidRDefault="00D61694" w:rsidP="00520D52">
      <w:pPr>
        <w:spacing w:before="120" w:after="120"/>
        <w:jc w:val="both"/>
        <w:rPr>
          <w:lang w:val="es-ES_tradnl"/>
        </w:rPr>
      </w:pPr>
      <w:r w:rsidRPr="00D61694">
        <w:rPr>
          <w:rFonts w:ascii="Times New Roman" w:hAnsi="Times New Roman" w:cs="Times New Roman"/>
          <w:b/>
          <w:lang w:val="es-ES_tradnl"/>
        </w:rPr>
        <w:t>Unidad actuarial.</w:t>
      </w:r>
      <w:r w:rsidRPr="00D61694">
        <w:rPr>
          <w:rFonts w:ascii="Times New Roman" w:hAnsi="Times New Roman" w:cs="Times New Roman"/>
          <w:lang w:val="es-ES_tradnl"/>
        </w:rPr>
        <w:t xml:space="preserve"> La unidad de análisis actuarial del SENASA tendrá como objetivo el monitoreo permanente de la sostenibilidad financiera del portafolio de la institución. Entre sus principales funciones se destaca: (i) elaboración de los estudios actuariales necesarios para brindar información para la toma de decisiones, incluyendo el perfil de morbilidad de la población por región y régimen de afiliación; (ii) estimación de las primas de los asegurados, por régimen de filiación; (iii) definición de nuevos productos para los afiliados; (iv) análisis de la siniestralidad de SENASA para detectar comportamientos atípicos en la prestación de  servicios; y (v) elaboración de la Reserva de Prima No Devengada, la Reserva de Siniestros Avisados, la Reserva de Siniestros NO Avisados (IBNR) y la Reserva de Desviación Catastrófica. Esta información es un insumo fundamental para las decisiones de planificación y administración de los recursos para el aseguramiento.</w:t>
      </w:r>
    </w:p>
    <w:sectPr w:rsidR="00D61694" w:rsidRPr="00D61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401F"/>
    <w:multiLevelType w:val="hybridMultilevel"/>
    <w:tmpl w:val="34224FE6"/>
    <w:lvl w:ilvl="0" w:tplc="07769A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A15B3"/>
    <w:multiLevelType w:val="hybridMultilevel"/>
    <w:tmpl w:val="492CA732"/>
    <w:lvl w:ilvl="0" w:tplc="07769A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B66EF"/>
    <w:multiLevelType w:val="hybridMultilevel"/>
    <w:tmpl w:val="AE404854"/>
    <w:lvl w:ilvl="0" w:tplc="D1B8269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95262E"/>
    <w:multiLevelType w:val="hybridMultilevel"/>
    <w:tmpl w:val="15942446"/>
    <w:lvl w:ilvl="0" w:tplc="74427B84">
      <w:start w:val="1"/>
      <w:numFmt w:val="lowerRoman"/>
      <w:lvlText w:val="%1)"/>
      <w:lvlJc w:val="left"/>
      <w:pPr>
        <w:ind w:left="1080" w:hanging="72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9044F2"/>
    <w:multiLevelType w:val="hybridMultilevel"/>
    <w:tmpl w:val="97648282"/>
    <w:lvl w:ilvl="0" w:tplc="07769A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94"/>
    <w:rsid w:val="0004346B"/>
    <w:rsid w:val="00120B07"/>
    <w:rsid w:val="002845A6"/>
    <w:rsid w:val="004E79ED"/>
    <w:rsid w:val="00520D52"/>
    <w:rsid w:val="0057794E"/>
    <w:rsid w:val="006A58EF"/>
    <w:rsid w:val="0072508E"/>
    <w:rsid w:val="00771077"/>
    <w:rsid w:val="007D0553"/>
    <w:rsid w:val="00D61694"/>
    <w:rsid w:val="00FE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7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9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9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9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9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10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7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9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9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9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9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1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39199744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SCL/SPH</Division_x0020_or_x0020_Unit>
    <Approval_x0020_Number xmlns="cdc7663a-08f0-4737-9e8c-148ce897a09c" xsi:nil="true"/>
    <Document_x0020_Author xmlns="cdc7663a-08f0-4737-9e8c-148ce897a09c">Parodi, Sandro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DR-L1073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Proposal0NPO-DR-L1073-CP1160497207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EZSHARE-1213748265-85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https://idbg.sharepoint.com/teams/EZ-DR-LON/DR-L1073/_layouts/15/DocIdRedir.aspx?ID=EZSHARE-1213748265-85</Url>
      <Description>EZSHARE-1213748265-85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76F00FFD4CE384684BE0C0CD2F63760" ma:contentTypeVersion="20" ma:contentTypeDescription="The base project type from which other project content types inherit their information." ma:contentTypeScope="" ma:versionID="0a58181ceb1dcfd3f74e34e54f1253e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E28F9F1-9B9B-4584-AF1E-019A9622C30C}"/>
</file>

<file path=customXml/itemProps2.xml><?xml version="1.0" encoding="utf-8"?>
<ds:datastoreItem xmlns:ds="http://schemas.openxmlformats.org/officeDocument/2006/customXml" ds:itemID="{E81FF63C-3C69-42D8-8241-3934D0FE8CE1}"/>
</file>

<file path=customXml/itemProps3.xml><?xml version="1.0" encoding="utf-8"?>
<ds:datastoreItem xmlns:ds="http://schemas.openxmlformats.org/officeDocument/2006/customXml" ds:itemID="{C7B5C145-7506-41E2-BCD3-67BF6AF38885}"/>
</file>

<file path=customXml/itemProps4.xml><?xml version="1.0" encoding="utf-8"?>
<ds:datastoreItem xmlns:ds="http://schemas.openxmlformats.org/officeDocument/2006/customXml" ds:itemID="{7A600C3B-4E65-46F8-B99D-3A6899FF9E7F}"/>
</file>

<file path=customXml/itemProps5.xml><?xml version="1.0" encoding="utf-8"?>
<ds:datastoreItem xmlns:ds="http://schemas.openxmlformats.org/officeDocument/2006/customXml" ds:itemID="{9142D649-E3AD-42EE-9376-82AEE3DB324E}"/>
</file>

<file path=customXml/itemProps6.xml><?xml version="1.0" encoding="utf-8"?>
<ds:datastoreItem xmlns:ds="http://schemas.openxmlformats.org/officeDocument/2006/customXml" ds:itemID="{5B9CDF54-70AC-45E4-ACE7-B2DB679C818C}"/>
</file>

<file path=customXml/itemProps7.xml><?xml version="1.0" encoding="utf-8"?>
<ds:datastoreItem xmlns:ds="http://schemas.openxmlformats.org/officeDocument/2006/customXml" ds:itemID="{5330AE37-0161-4FDE-84A7-01BBBCDB7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110314 Enlace Opcional 11</dc:title>
  <dc:creator>Inter-American Development Bank</dc:creator>
  <cp:lastModifiedBy>Astrid Pineda</cp:lastModifiedBy>
  <cp:revision>4</cp:revision>
  <dcterms:created xsi:type="dcterms:W3CDTF">2014-11-03T13:45:00Z</dcterms:created>
  <dcterms:modified xsi:type="dcterms:W3CDTF">2014-11-03T16:24:00Z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0x010100ACF722E9F6B0B149B0CD8BE2560A667200C76F00FFD4CE384684BE0C0CD2F63760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10;#Condition Prior|dd58a837-3167-4269-b017-66d8d146ed3b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10;#Condition Prior|dd58a837-3167-4269-b017-66d8d146ed3b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8500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Loan Proposal</vt:lpwstr>
  </property>
  <property fmtid="{D5CDD505-2E9C-101B-9397-08002B2CF9AE}" pid="24" name="Webtopic">
    <vt:lpwstr>Health</vt:lpwstr>
  </property>
  <property fmtid="{D5CDD505-2E9C-101B-9397-08002B2CF9AE}" pid="26" name="Disclosed">
    <vt:bool>false</vt:bool>
  </property>
  <property fmtid="{D5CDD505-2E9C-101B-9397-08002B2CF9AE}" pid="27" name="_dlc_DocIdItemGuid">
    <vt:lpwstr>7eff2f4c-5071-4573-ab63-58986e7c173b</vt:lpwstr>
  </property>
</Properties>
</file>