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45" w:type="dxa"/>
        <w:tblInd w:w="-72" w:type="dxa"/>
        <w:tblLayout w:type="fixed"/>
        <w:tblCellMar>
          <w:left w:w="70" w:type="dxa"/>
          <w:right w:w="70" w:type="dxa"/>
        </w:tblCellMar>
        <w:tblLook w:val="00A0" w:firstRow="1" w:lastRow="0" w:firstColumn="1" w:lastColumn="0" w:noHBand="0" w:noVBand="0"/>
      </w:tblPr>
      <w:tblGrid>
        <w:gridCol w:w="1766"/>
        <w:gridCol w:w="2066"/>
        <w:gridCol w:w="1271"/>
        <w:gridCol w:w="1818"/>
        <w:gridCol w:w="1379"/>
        <w:gridCol w:w="1077"/>
        <w:gridCol w:w="1278"/>
        <w:gridCol w:w="647"/>
        <w:gridCol w:w="720"/>
        <w:gridCol w:w="645"/>
        <w:gridCol w:w="578"/>
      </w:tblGrid>
      <w:tr w:rsidR="005E1AF0" w:rsidRPr="00E03D3B" w:rsidTr="00126393">
        <w:trPr>
          <w:trHeight w:val="340"/>
          <w:tblHeader/>
        </w:trPr>
        <w:tc>
          <w:tcPr>
            <w:tcW w:w="13245" w:type="dxa"/>
            <w:gridSpan w:val="11"/>
            <w:tcBorders>
              <w:top w:val="single" w:sz="8" w:space="0" w:color="auto"/>
              <w:left w:val="single" w:sz="8" w:space="0" w:color="auto"/>
              <w:bottom w:val="single" w:sz="4" w:space="0" w:color="auto"/>
              <w:right w:val="single" w:sz="8" w:space="0" w:color="auto"/>
            </w:tcBorders>
          </w:tcPr>
          <w:p w:rsidR="005E1AF0" w:rsidRPr="00E03D3B" w:rsidRDefault="005E1AF0" w:rsidP="00F574C7">
            <w:pPr>
              <w:spacing w:after="0" w:line="240" w:lineRule="auto"/>
              <w:jc w:val="center"/>
              <w:rPr>
                <w:rFonts w:ascii="Arial" w:hAnsi="Arial" w:cs="Arial"/>
                <w:b/>
                <w:bCs/>
                <w:color w:val="000000"/>
                <w:sz w:val="18"/>
                <w:szCs w:val="18"/>
                <w:lang w:val="es-ES" w:eastAsia="es-MX"/>
              </w:rPr>
            </w:pPr>
            <w:bookmarkStart w:id="0" w:name="_GoBack"/>
            <w:bookmarkEnd w:id="0"/>
            <w:r w:rsidRPr="00E03D3B">
              <w:rPr>
                <w:rFonts w:ascii="Arial" w:hAnsi="Arial" w:cs="Arial"/>
                <w:b/>
                <w:bCs/>
                <w:color w:val="000000"/>
                <w:sz w:val="18"/>
                <w:szCs w:val="18"/>
                <w:lang w:val="es-ES" w:eastAsia="es-MX"/>
              </w:rPr>
              <w:t>Mapa Institucional de Protección Social</w:t>
            </w:r>
          </w:p>
        </w:tc>
      </w:tr>
      <w:tr w:rsidR="005E1AF0" w:rsidRPr="00E03D3B" w:rsidTr="00126393">
        <w:trPr>
          <w:trHeight w:hRule="exact" w:val="199"/>
        </w:trPr>
        <w:tc>
          <w:tcPr>
            <w:tcW w:w="10655" w:type="dxa"/>
            <w:gridSpan w:val="7"/>
            <w:tcBorders>
              <w:top w:val="nil"/>
              <w:left w:val="single" w:sz="8" w:space="0" w:color="auto"/>
              <w:bottom w:val="single" w:sz="4" w:space="0" w:color="auto"/>
              <w:right w:val="single" w:sz="4"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p>
        </w:tc>
        <w:tc>
          <w:tcPr>
            <w:tcW w:w="2590" w:type="dxa"/>
            <w:gridSpan w:val="4"/>
            <w:tcBorders>
              <w:top w:val="nil"/>
              <w:left w:val="nil"/>
              <w:bottom w:val="single" w:sz="4" w:space="0" w:color="auto"/>
              <w:right w:val="single" w:sz="8"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Proyección Gasto / PIB</w:t>
            </w:r>
            <w:r w:rsidR="00126393" w:rsidRPr="00E03D3B">
              <w:rPr>
                <w:rFonts w:ascii="Arial" w:hAnsi="Arial" w:cs="Arial"/>
                <w:b/>
                <w:color w:val="000000"/>
                <w:sz w:val="18"/>
                <w:szCs w:val="18"/>
                <w:lang w:val="es-ES" w:eastAsia="es-MX"/>
              </w:rPr>
              <w:t>(7)</w:t>
            </w:r>
          </w:p>
        </w:tc>
      </w:tr>
      <w:tr w:rsidR="005B67D5" w:rsidRPr="00E03D3B" w:rsidTr="00E03D3B">
        <w:trPr>
          <w:trHeight w:hRule="exact" w:val="892"/>
        </w:trPr>
        <w:tc>
          <w:tcPr>
            <w:tcW w:w="1766" w:type="dxa"/>
            <w:tcBorders>
              <w:top w:val="nil"/>
              <w:left w:val="single" w:sz="8" w:space="0" w:color="auto"/>
              <w:bottom w:val="single" w:sz="4" w:space="0" w:color="auto"/>
              <w:right w:val="single" w:sz="4" w:space="0" w:color="auto"/>
            </w:tcBorders>
            <w:shd w:val="clear" w:color="auto" w:fill="EEECE1"/>
          </w:tcPr>
          <w:p w:rsidR="005E1AF0" w:rsidRPr="00E03D3B" w:rsidRDefault="005E1AF0" w:rsidP="00466BD7">
            <w:pPr>
              <w:spacing w:after="0" w:line="240" w:lineRule="auto"/>
              <w:rPr>
                <w:rFonts w:ascii="Arial" w:hAnsi="Arial" w:cs="Arial"/>
                <w:b/>
                <w:bCs/>
                <w:color w:val="000000"/>
                <w:sz w:val="18"/>
                <w:szCs w:val="18"/>
                <w:lang w:val="es-ES" w:eastAsia="es-MX"/>
              </w:rPr>
            </w:pPr>
            <w:r w:rsidRPr="00E03D3B">
              <w:rPr>
                <w:rFonts w:ascii="Arial" w:hAnsi="Arial" w:cs="Arial"/>
                <w:b/>
                <w:bCs/>
                <w:color w:val="000000"/>
                <w:sz w:val="18"/>
                <w:szCs w:val="18"/>
                <w:lang w:val="es-ES" w:eastAsia="es-MX"/>
              </w:rPr>
              <w:t>Programa</w:t>
            </w:r>
          </w:p>
        </w:tc>
        <w:tc>
          <w:tcPr>
            <w:tcW w:w="2066" w:type="dxa"/>
            <w:tcBorders>
              <w:top w:val="nil"/>
              <w:left w:val="nil"/>
              <w:bottom w:val="single" w:sz="4" w:space="0" w:color="auto"/>
              <w:right w:val="single" w:sz="4"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Focalización </w:t>
            </w:r>
          </w:p>
        </w:tc>
        <w:tc>
          <w:tcPr>
            <w:tcW w:w="1271" w:type="dxa"/>
            <w:tcBorders>
              <w:top w:val="single" w:sz="4" w:space="0" w:color="auto"/>
              <w:left w:val="nil"/>
              <w:bottom w:val="single" w:sz="4" w:space="0" w:color="auto"/>
              <w:right w:val="single" w:sz="4"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Población actual</w:t>
            </w:r>
          </w:p>
        </w:tc>
        <w:tc>
          <w:tcPr>
            <w:tcW w:w="1818" w:type="dxa"/>
            <w:tcBorders>
              <w:top w:val="single" w:sz="4" w:space="0" w:color="auto"/>
              <w:left w:val="single" w:sz="4" w:space="0" w:color="auto"/>
              <w:bottom w:val="single" w:sz="4" w:space="0" w:color="auto"/>
              <w:right w:val="single" w:sz="4" w:space="0" w:color="auto"/>
            </w:tcBorders>
            <w:shd w:val="clear" w:color="auto" w:fill="EEECE1"/>
          </w:tcPr>
          <w:p w:rsidR="005E1AF0" w:rsidRPr="00E03D3B" w:rsidRDefault="005E1AF0" w:rsidP="005E1AF0">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Población objetivo (</w:t>
            </w:r>
            <w:r w:rsidR="00D0723B" w:rsidRPr="00E03D3B">
              <w:rPr>
                <w:rFonts w:ascii="Arial" w:hAnsi="Arial" w:cs="Arial"/>
                <w:b/>
                <w:color w:val="000000"/>
                <w:sz w:val="18"/>
                <w:szCs w:val="18"/>
                <w:lang w:val="es-ES" w:eastAsia="es-MX"/>
              </w:rPr>
              <w:t xml:space="preserve">personas que viven en </w:t>
            </w:r>
            <w:r w:rsidRPr="00E03D3B">
              <w:rPr>
                <w:rFonts w:ascii="Arial" w:hAnsi="Arial" w:cs="Arial"/>
                <w:b/>
                <w:color w:val="000000"/>
                <w:sz w:val="18"/>
                <w:szCs w:val="18"/>
                <w:lang w:val="es-ES" w:eastAsia="es-MX"/>
              </w:rPr>
              <w:t>hogares</w:t>
            </w:r>
            <w:r w:rsidR="00D0723B" w:rsidRPr="00E03D3B">
              <w:rPr>
                <w:rFonts w:ascii="Arial" w:hAnsi="Arial" w:cs="Arial"/>
                <w:b/>
                <w:color w:val="000000"/>
                <w:sz w:val="18"/>
                <w:szCs w:val="18"/>
                <w:lang w:val="es-ES" w:eastAsia="es-MX"/>
              </w:rPr>
              <w:t xml:space="preserve"> con perceptores</w:t>
            </w:r>
            <w:r w:rsidRPr="00E03D3B">
              <w:rPr>
                <w:rFonts w:ascii="Arial" w:hAnsi="Arial" w:cs="Arial"/>
                <w:b/>
                <w:color w:val="000000"/>
                <w:sz w:val="18"/>
                <w:szCs w:val="18"/>
                <w:lang w:val="es-ES" w:eastAsia="es-MX"/>
              </w:rPr>
              <w:t xml:space="preserve">) </w:t>
            </w:r>
          </w:p>
        </w:tc>
        <w:tc>
          <w:tcPr>
            <w:tcW w:w="1379" w:type="dxa"/>
            <w:tcBorders>
              <w:top w:val="single" w:sz="4" w:space="0" w:color="auto"/>
              <w:left w:val="single" w:sz="4" w:space="0" w:color="auto"/>
              <w:bottom w:val="single" w:sz="4" w:space="0" w:color="auto"/>
              <w:right w:val="single" w:sz="4" w:space="0" w:color="auto"/>
            </w:tcBorders>
            <w:shd w:val="clear" w:color="auto" w:fill="EEECE1"/>
          </w:tcPr>
          <w:p w:rsidR="005E1AF0" w:rsidRPr="00E03D3B" w:rsidRDefault="005E1AF0" w:rsidP="00C87000">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Población objetivo (individuos) (1)</w:t>
            </w:r>
          </w:p>
        </w:tc>
        <w:tc>
          <w:tcPr>
            <w:tcW w:w="1077" w:type="dxa"/>
            <w:tcBorders>
              <w:top w:val="nil"/>
              <w:left w:val="single" w:sz="4" w:space="0" w:color="auto"/>
              <w:bottom w:val="single" w:sz="4" w:space="0" w:color="auto"/>
              <w:right w:val="single" w:sz="4"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 Monto/mes</w:t>
            </w:r>
          </w:p>
        </w:tc>
        <w:tc>
          <w:tcPr>
            <w:tcW w:w="1278" w:type="dxa"/>
            <w:tcBorders>
              <w:top w:val="nil"/>
              <w:left w:val="nil"/>
              <w:bottom w:val="single" w:sz="4" w:space="0" w:color="auto"/>
              <w:right w:val="single" w:sz="4"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 Gasto/PIB</w:t>
            </w:r>
            <w:r w:rsidR="007477BF" w:rsidRPr="00E03D3B">
              <w:rPr>
                <w:rStyle w:val="FootnoteReference"/>
                <w:rFonts w:ascii="Arial" w:hAnsi="Arial" w:cs="Arial"/>
                <w:b/>
                <w:color w:val="000000"/>
                <w:sz w:val="18"/>
                <w:szCs w:val="18"/>
                <w:lang w:val="es-ES" w:eastAsia="es-MX"/>
              </w:rPr>
              <w:footnoteReference w:id="1"/>
            </w:r>
          </w:p>
        </w:tc>
        <w:tc>
          <w:tcPr>
            <w:tcW w:w="647" w:type="dxa"/>
            <w:tcBorders>
              <w:top w:val="nil"/>
              <w:left w:val="nil"/>
              <w:bottom w:val="single" w:sz="4" w:space="0" w:color="auto"/>
              <w:right w:val="single" w:sz="4"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2016 </w:t>
            </w:r>
          </w:p>
        </w:tc>
        <w:tc>
          <w:tcPr>
            <w:tcW w:w="720" w:type="dxa"/>
            <w:tcBorders>
              <w:top w:val="nil"/>
              <w:left w:val="nil"/>
              <w:bottom w:val="single" w:sz="4" w:space="0" w:color="auto"/>
              <w:right w:val="single" w:sz="8"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2017 </w:t>
            </w:r>
          </w:p>
        </w:tc>
        <w:tc>
          <w:tcPr>
            <w:tcW w:w="645" w:type="dxa"/>
            <w:tcBorders>
              <w:top w:val="nil"/>
              <w:left w:val="nil"/>
              <w:bottom w:val="single" w:sz="4" w:space="0" w:color="auto"/>
              <w:right w:val="single" w:sz="8"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2018</w:t>
            </w:r>
          </w:p>
        </w:tc>
        <w:tc>
          <w:tcPr>
            <w:tcW w:w="578" w:type="dxa"/>
            <w:tcBorders>
              <w:top w:val="nil"/>
              <w:left w:val="nil"/>
              <w:bottom w:val="single" w:sz="4" w:space="0" w:color="auto"/>
              <w:right w:val="single" w:sz="8" w:space="0" w:color="auto"/>
            </w:tcBorders>
            <w:shd w:val="clear" w:color="auto" w:fill="EEECE1"/>
          </w:tcPr>
          <w:p w:rsidR="005E1AF0" w:rsidRPr="00E03D3B" w:rsidRDefault="005E1AF0" w:rsidP="00466BD7">
            <w:pPr>
              <w:spacing w:after="0" w:line="240" w:lineRule="auto"/>
              <w:rPr>
                <w:rFonts w:ascii="Arial" w:hAnsi="Arial" w:cs="Arial"/>
                <w:b/>
                <w:color w:val="000000"/>
                <w:sz w:val="18"/>
                <w:szCs w:val="18"/>
                <w:lang w:val="es-ES" w:eastAsia="es-MX"/>
              </w:rPr>
            </w:pPr>
            <w:r w:rsidRPr="00E03D3B">
              <w:rPr>
                <w:rFonts w:ascii="Arial" w:hAnsi="Arial" w:cs="Arial"/>
                <w:b/>
                <w:color w:val="000000"/>
                <w:sz w:val="18"/>
                <w:szCs w:val="18"/>
                <w:lang w:val="es-ES" w:eastAsia="es-MX"/>
              </w:rPr>
              <w:t>2019</w:t>
            </w:r>
          </w:p>
        </w:tc>
      </w:tr>
      <w:tr w:rsidR="00127BCD" w:rsidRPr="00E03D3B" w:rsidTr="00E03D3B">
        <w:trPr>
          <w:trHeight w:hRule="exact" w:val="352"/>
        </w:trPr>
        <w:tc>
          <w:tcPr>
            <w:tcW w:w="1766" w:type="dxa"/>
            <w:tcBorders>
              <w:top w:val="nil"/>
              <w:left w:val="single" w:sz="8"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b/>
                <w:bCs/>
                <w:color w:val="000000"/>
                <w:sz w:val="18"/>
                <w:szCs w:val="18"/>
                <w:lang w:val="es-ES" w:eastAsia="es-MX"/>
              </w:rPr>
            </w:pPr>
            <w:r w:rsidRPr="00E03D3B">
              <w:rPr>
                <w:rFonts w:ascii="Arial" w:hAnsi="Arial" w:cs="Arial"/>
                <w:b/>
                <w:bCs/>
                <w:color w:val="000000"/>
                <w:sz w:val="18"/>
                <w:szCs w:val="18"/>
                <w:lang w:val="es-ES" w:eastAsia="es-MX"/>
              </w:rPr>
              <w:t>PTMC</w:t>
            </w:r>
          </w:p>
        </w:tc>
        <w:tc>
          <w:tcPr>
            <w:tcW w:w="2066"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p>
        </w:tc>
        <w:tc>
          <w:tcPr>
            <w:tcW w:w="1271" w:type="dxa"/>
            <w:tcBorders>
              <w:top w:val="single" w:sz="4" w:space="0" w:color="auto"/>
              <w:left w:val="nil"/>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p>
        </w:tc>
        <w:tc>
          <w:tcPr>
            <w:tcW w:w="1818"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p>
        </w:tc>
        <w:tc>
          <w:tcPr>
            <w:tcW w:w="1077" w:type="dxa"/>
            <w:tcBorders>
              <w:top w:val="nil"/>
              <w:left w:val="single" w:sz="4"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p>
        </w:tc>
        <w:tc>
          <w:tcPr>
            <w:tcW w:w="1278"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0,66</w:t>
            </w:r>
          </w:p>
        </w:tc>
        <w:tc>
          <w:tcPr>
            <w:tcW w:w="647" w:type="dxa"/>
            <w:tcBorders>
              <w:top w:val="nil"/>
              <w:left w:val="nil"/>
              <w:bottom w:val="single" w:sz="4" w:space="0" w:color="auto"/>
              <w:right w:val="single" w:sz="4" w:space="0" w:color="auto"/>
            </w:tcBorders>
            <w:shd w:val="clear" w:color="auto" w:fill="auto"/>
            <w:vAlign w:val="bottom"/>
          </w:tcPr>
          <w:p w:rsidR="00127BCD" w:rsidRPr="00E03D3B" w:rsidRDefault="00127BCD" w:rsidP="00127BCD">
            <w:pPr>
              <w:jc w:val="right"/>
              <w:rPr>
                <w:rFonts w:eastAsia="Times New Roman" w:cs="Calibri"/>
                <w:color w:val="000000"/>
                <w:lang w:val="es-UY"/>
              </w:rPr>
            </w:pPr>
            <w:r w:rsidRPr="00E03D3B">
              <w:rPr>
                <w:rFonts w:cs="Calibri"/>
                <w:color w:val="000000"/>
              </w:rPr>
              <w:t>0,64</w:t>
            </w:r>
          </w:p>
        </w:tc>
        <w:tc>
          <w:tcPr>
            <w:tcW w:w="720"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eastAsia="Times New Roman" w:cs="Calibri"/>
                <w:color w:val="000000"/>
                <w:lang w:val="es-UY"/>
              </w:rPr>
            </w:pPr>
            <w:r w:rsidRPr="00E03D3B">
              <w:rPr>
                <w:rFonts w:cs="Calibri"/>
                <w:color w:val="000000"/>
              </w:rPr>
              <w:t>0,63</w:t>
            </w:r>
          </w:p>
        </w:tc>
        <w:tc>
          <w:tcPr>
            <w:tcW w:w="645"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eastAsia="Times New Roman" w:cs="Calibri"/>
                <w:color w:val="000000"/>
                <w:lang w:val="es-UY"/>
              </w:rPr>
            </w:pPr>
            <w:r w:rsidRPr="00E03D3B">
              <w:rPr>
                <w:rFonts w:cs="Calibri"/>
                <w:color w:val="000000"/>
              </w:rPr>
              <w:t>0,66</w:t>
            </w:r>
          </w:p>
        </w:tc>
        <w:tc>
          <w:tcPr>
            <w:tcW w:w="578" w:type="dxa"/>
            <w:tcBorders>
              <w:top w:val="nil"/>
              <w:left w:val="nil"/>
              <w:bottom w:val="single" w:sz="4" w:space="0" w:color="auto"/>
              <w:right w:val="single" w:sz="8" w:space="0" w:color="auto"/>
            </w:tcBorders>
            <w:vAlign w:val="bottom"/>
          </w:tcPr>
          <w:p w:rsidR="00127BCD" w:rsidRPr="00E03D3B" w:rsidRDefault="00127BCD" w:rsidP="00127BCD">
            <w:pPr>
              <w:jc w:val="right"/>
              <w:rPr>
                <w:rFonts w:eastAsia="Times New Roman" w:cs="Calibri"/>
                <w:color w:val="000000"/>
                <w:lang w:val="es-UY"/>
              </w:rPr>
            </w:pPr>
            <w:r w:rsidRPr="00E03D3B">
              <w:rPr>
                <w:rFonts w:cs="Calibri"/>
                <w:color w:val="000000"/>
              </w:rPr>
              <w:t>0,68</w:t>
            </w:r>
          </w:p>
        </w:tc>
      </w:tr>
      <w:tr w:rsidR="00127BCD" w:rsidRPr="00E03D3B" w:rsidTr="00E03D3B">
        <w:trPr>
          <w:trHeight w:hRule="exact" w:val="865"/>
        </w:trPr>
        <w:tc>
          <w:tcPr>
            <w:tcW w:w="1766" w:type="dxa"/>
            <w:tcBorders>
              <w:top w:val="nil"/>
              <w:left w:val="single" w:sz="8"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Red de Oportunidades (incluye bono) alimentaria)</w:t>
            </w:r>
          </w:p>
        </w:tc>
        <w:tc>
          <w:tcPr>
            <w:tcW w:w="2066"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Hogares pobres extremos con niños menores de 18 años</w:t>
            </w:r>
          </w:p>
        </w:tc>
        <w:tc>
          <w:tcPr>
            <w:tcW w:w="1271" w:type="dxa"/>
            <w:tcBorders>
              <w:top w:val="single" w:sz="4" w:space="0" w:color="auto"/>
              <w:left w:val="nil"/>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58.783(6)</w:t>
            </w:r>
          </w:p>
          <w:p w:rsidR="00127BCD" w:rsidRPr="00E03D3B" w:rsidRDefault="00127BCD" w:rsidP="00127BCD">
            <w:pPr>
              <w:spacing w:after="0" w:line="240" w:lineRule="auto"/>
              <w:rPr>
                <w:rFonts w:ascii="Arial" w:hAnsi="Arial" w:cs="Arial"/>
                <w:color w:val="000000"/>
                <w:sz w:val="18"/>
                <w:szCs w:val="18"/>
                <w:lang w:val="es-ES" w:eastAsia="es-MX"/>
              </w:rPr>
            </w:pPr>
          </w:p>
        </w:tc>
        <w:tc>
          <w:tcPr>
            <w:tcW w:w="1818"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358.171 (5)</w:t>
            </w:r>
          </w:p>
        </w:tc>
        <w:tc>
          <w:tcPr>
            <w:tcW w:w="1379"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82.800</w:t>
            </w:r>
          </w:p>
          <w:p w:rsidR="00127BCD" w:rsidRPr="00E03D3B" w:rsidRDefault="00127BCD" w:rsidP="00127BCD">
            <w:pPr>
              <w:spacing w:after="0" w:line="240" w:lineRule="auto"/>
              <w:rPr>
                <w:rFonts w:ascii="Arial" w:hAnsi="Arial" w:cs="Arial"/>
                <w:color w:val="000000"/>
                <w:sz w:val="18"/>
                <w:szCs w:val="18"/>
                <w:lang w:val="es-ES" w:eastAsia="es-MX"/>
              </w:rPr>
            </w:pPr>
          </w:p>
        </w:tc>
        <w:tc>
          <w:tcPr>
            <w:tcW w:w="1077" w:type="dxa"/>
            <w:tcBorders>
              <w:top w:val="nil"/>
              <w:left w:val="single" w:sz="4"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PAB50</w:t>
            </w:r>
          </w:p>
        </w:tc>
        <w:tc>
          <w:tcPr>
            <w:tcW w:w="1278"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0,12</w:t>
            </w:r>
          </w:p>
        </w:tc>
        <w:tc>
          <w:tcPr>
            <w:tcW w:w="647" w:type="dxa"/>
            <w:tcBorders>
              <w:top w:val="nil"/>
              <w:left w:val="nil"/>
              <w:bottom w:val="single" w:sz="4" w:space="0" w:color="auto"/>
              <w:right w:val="single" w:sz="4"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0,13</w:t>
            </w:r>
          </w:p>
        </w:tc>
        <w:tc>
          <w:tcPr>
            <w:tcW w:w="720"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0,10</w:t>
            </w:r>
          </w:p>
        </w:tc>
        <w:tc>
          <w:tcPr>
            <w:tcW w:w="645"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0,11</w:t>
            </w:r>
          </w:p>
        </w:tc>
        <w:tc>
          <w:tcPr>
            <w:tcW w:w="578" w:type="dxa"/>
            <w:tcBorders>
              <w:top w:val="nil"/>
              <w:left w:val="nil"/>
              <w:bottom w:val="single" w:sz="4" w:space="0" w:color="auto"/>
              <w:right w:val="single" w:sz="8" w:space="0" w:color="auto"/>
            </w:tcBorders>
            <w:vAlign w:val="bottom"/>
          </w:tcPr>
          <w:p w:rsidR="00127BCD" w:rsidRPr="00E03D3B" w:rsidRDefault="00127BCD" w:rsidP="00127BCD">
            <w:pPr>
              <w:jc w:val="right"/>
              <w:rPr>
                <w:rFonts w:cs="Calibri"/>
                <w:color w:val="000000"/>
              </w:rPr>
            </w:pPr>
            <w:r w:rsidRPr="00E03D3B">
              <w:rPr>
                <w:rFonts w:cs="Calibri"/>
                <w:color w:val="000000"/>
              </w:rPr>
              <w:t>0,12</w:t>
            </w:r>
          </w:p>
        </w:tc>
      </w:tr>
      <w:tr w:rsidR="00127BCD" w:rsidRPr="00E03D3B" w:rsidTr="00E03D3B">
        <w:trPr>
          <w:trHeight w:hRule="exact" w:val="991"/>
        </w:trPr>
        <w:tc>
          <w:tcPr>
            <w:tcW w:w="1766" w:type="dxa"/>
            <w:tcBorders>
              <w:top w:val="nil"/>
              <w:left w:val="single" w:sz="8"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 xml:space="preserve">120 a los 65  </w:t>
            </w:r>
          </w:p>
        </w:tc>
        <w:tc>
          <w:tcPr>
            <w:tcW w:w="2066"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Hogares pobres con adultos mayores de 64 años, y donde nadie recibe una pensión por vejez</w:t>
            </w:r>
          </w:p>
        </w:tc>
        <w:tc>
          <w:tcPr>
            <w:tcW w:w="1271" w:type="dxa"/>
            <w:tcBorders>
              <w:top w:val="single" w:sz="4" w:space="0" w:color="auto"/>
              <w:left w:val="nil"/>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90.124</w:t>
            </w:r>
            <w:r w:rsidRPr="00E03D3B">
              <w:rPr>
                <w:rFonts w:ascii="Arial" w:hAnsi="Arial" w:cs="Arial"/>
                <w:color w:val="000000"/>
                <w:sz w:val="18"/>
                <w:szCs w:val="18"/>
                <w:vertAlign w:val="superscript"/>
                <w:lang w:val="es-ES" w:eastAsia="es-MX"/>
              </w:rPr>
              <w:t>1</w:t>
            </w:r>
          </w:p>
        </w:tc>
        <w:tc>
          <w:tcPr>
            <w:tcW w:w="1818"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261,553 (5)</w:t>
            </w:r>
          </w:p>
        </w:tc>
        <w:tc>
          <w:tcPr>
            <w:tcW w:w="1379"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82.430 (6)</w:t>
            </w:r>
          </w:p>
        </w:tc>
        <w:tc>
          <w:tcPr>
            <w:tcW w:w="1077" w:type="dxa"/>
            <w:tcBorders>
              <w:top w:val="nil"/>
              <w:left w:val="single" w:sz="4"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PAB120</w:t>
            </w:r>
          </w:p>
        </w:tc>
        <w:tc>
          <w:tcPr>
            <w:tcW w:w="1278"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0,25</w:t>
            </w:r>
          </w:p>
        </w:tc>
        <w:tc>
          <w:tcPr>
            <w:tcW w:w="647" w:type="dxa"/>
            <w:tcBorders>
              <w:top w:val="nil"/>
              <w:left w:val="nil"/>
              <w:bottom w:val="single" w:sz="4" w:space="0" w:color="auto"/>
              <w:right w:val="single" w:sz="4"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0,31</w:t>
            </w:r>
          </w:p>
        </w:tc>
        <w:tc>
          <w:tcPr>
            <w:tcW w:w="720"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0,30</w:t>
            </w:r>
          </w:p>
        </w:tc>
        <w:tc>
          <w:tcPr>
            <w:tcW w:w="645"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0,28</w:t>
            </w:r>
          </w:p>
        </w:tc>
        <w:tc>
          <w:tcPr>
            <w:tcW w:w="578"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0,26</w:t>
            </w:r>
          </w:p>
        </w:tc>
      </w:tr>
      <w:tr w:rsidR="00127BCD" w:rsidRPr="00E03D3B" w:rsidTr="00E03D3B">
        <w:trPr>
          <w:trHeight w:hRule="exact" w:val="802"/>
        </w:trPr>
        <w:tc>
          <w:tcPr>
            <w:tcW w:w="1766" w:type="dxa"/>
            <w:tcBorders>
              <w:top w:val="nil"/>
              <w:left w:val="single" w:sz="8"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 xml:space="preserve">Ángel Guardián </w:t>
            </w:r>
          </w:p>
        </w:tc>
        <w:tc>
          <w:tcPr>
            <w:tcW w:w="2066"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Hogares pobres extremos y con discapacidad severa</w:t>
            </w:r>
          </w:p>
        </w:tc>
        <w:tc>
          <w:tcPr>
            <w:tcW w:w="1271" w:type="dxa"/>
            <w:tcBorders>
              <w:top w:val="single" w:sz="4" w:space="0" w:color="auto"/>
              <w:left w:val="nil"/>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8.605</w:t>
            </w:r>
            <w:r w:rsidRPr="00E03D3B">
              <w:rPr>
                <w:rFonts w:ascii="Arial" w:hAnsi="Arial" w:cs="Arial"/>
                <w:color w:val="000000"/>
                <w:sz w:val="18"/>
                <w:szCs w:val="18"/>
                <w:vertAlign w:val="superscript"/>
                <w:lang w:val="es-ES" w:eastAsia="es-MX"/>
              </w:rPr>
              <w:t>1</w:t>
            </w:r>
          </w:p>
        </w:tc>
        <w:tc>
          <w:tcPr>
            <w:tcW w:w="1818"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57.309(1) (2)</w:t>
            </w:r>
          </w:p>
        </w:tc>
        <w:tc>
          <w:tcPr>
            <w:tcW w:w="1379"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8.605</w:t>
            </w:r>
          </w:p>
        </w:tc>
        <w:tc>
          <w:tcPr>
            <w:tcW w:w="1077" w:type="dxa"/>
            <w:tcBorders>
              <w:top w:val="nil"/>
              <w:left w:val="single" w:sz="4"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PAB80</w:t>
            </w:r>
          </w:p>
        </w:tc>
        <w:tc>
          <w:tcPr>
            <w:tcW w:w="1278"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0,02</w:t>
            </w:r>
          </w:p>
        </w:tc>
        <w:tc>
          <w:tcPr>
            <w:tcW w:w="647" w:type="dxa"/>
            <w:tcBorders>
              <w:top w:val="nil"/>
              <w:left w:val="nil"/>
              <w:bottom w:val="single" w:sz="4" w:space="0" w:color="auto"/>
              <w:right w:val="single" w:sz="4"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0,02</w:t>
            </w:r>
          </w:p>
        </w:tc>
        <w:tc>
          <w:tcPr>
            <w:tcW w:w="720"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0,02</w:t>
            </w:r>
          </w:p>
        </w:tc>
        <w:tc>
          <w:tcPr>
            <w:tcW w:w="645"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0,02</w:t>
            </w:r>
          </w:p>
        </w:tc>
        <w:tc>
          <w:tcPr>
            <w:tcW w:w="578" w:type="dxa"/>
            <w:tcBorders>
              <w:top w:val="nil"/>
              <w:left w:val="nil"/>
              <w:bottom w:val="single" w:sz="4" w:space="0" w:color="auto"/>
              <w:right w:val="single" w:sz="8" w:space="0" w:color="auto"/>
            </w:tcBorders>
            <w:vAlign w:val="bottom"/>
          </w:tcPr>
          <w:p w:rsidR="00127BCD" w:rsidRPr="00E03D3B" w:rsidRDefault="00127BCD" w:rsidP="00127BCD">
            <w:pPr>
              <w:jc w:val="right"/>
              <w:rPr>
                <w:rFonts w:cs="Calibri"/>
                <w:color w:val="000000"/>
              </w:rPr>
            </w:pPr>
            <w:r w:rsidRPr="00E03D3B">
              <w:rPr>
                <w:rFonts w:cs="Calibri"/>
                <w:color w:val="000000"/>
              </w:rPr>
              <w:t>0,02</w:t>
            </w:r>
          </w:p>
        </w:tc>
      </w:tr>
      <w:tr w:rsidR="00127BCD" w:rsidRPr="00E03D3B" w:rsidTr="00E03D3B">
        <w:trPr>
          <w:trHeight w:hRule="exact" w:val="589"/>
        </w:trPr>
        <w:tc>
          <w:tcPr>
            <w:tcW w:w="1766" w:type="dxa"/>
            <w:tcBorders>
              <w:top w:val="nil"/>
              <w:left w:val="single" w:sz="8"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 xml:space="preserve">Beca Universal </w:t>
            </w:r>
          </w:p>
        </w:tc>
        <w:tc>
          <w:tcPr>
            <w:tcW w:w="2066"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p>
        </w:tc>
        <w:tc>
          <w:tcPr>
            <w:tcW w:w="1271" w:type="dxa"/>
            <w:tcBorders>
              <w:top w:val="single" w:sz="4" w:space="0" w:color="auto"/>
              <w:left w:val="nil"/>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 xml:space="preserve">273,077(5) </w:t>
            </w:r>
          </w:p>
        </w:tc>
        <w:tc>
          <w:tcPr>
            <w:tcW w:w="1818"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2.723.086 (4)(5)</w:t>
            </w:r>
          </w:p>
        </w:tc>
        <w:tc>
          <w:tcPr>
            <w:tcW w:w="1379" w:type="dxa"/>
            <w:tcBorders>
              <w:top w:val="single" w:sz="4" w:space="0" w:color="auto"/>
              <w:left w:val="single" w:sz="4" w:space="0" w:color="auto"/>
              <w:bottom w:val="single" w:sz="4" w:space="0" w:color="auto"/>
              <w:right w:val="single" w:sz="4" w:space="0" w:color="auto"/>
            </w:tcBorders>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478.574 (4)</w:t>
            </w:r>
          </w:p>
        </w:tc>
        <w:tc>
          <w:tcPr>
            <w:tcW w:w="1077" w:type="dxa"/>
            <w:tcBorders>
              <w:top w:val="nil"/>
              <w:left w:val="single" w:sz="4" w:space="0" w:color="auto"/>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PAB20</w:t>
            </w:r>
          </w:p>
        </w:tc>
        <w:tc>
          <w:tcPr>
            <w:tcW w:w="1278" w:type="dxa"/>
            <w:tcBorders>
              <w:top w:val="nil"/>
              <w:left w:val="nil"/>
              <w:bottom w:val="single" w:sz="4" w:space="0" w:color="auto"/>
              <w:right w:val="single" w:sz="4" w:space="0" w:color="auto"/>
            </w:tcBorders>
            <w:shd w:val="clear" w:color="auto" w:fill="auto"/>
          </w:tcPr>
          <w:p w:rsidR="00127BCD" w:rsidRPr="00E03D3B" w:rsidRDefault="00127BCD" w:rsidP="00127BCD">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0,19</w:t>
            </w:r>
          </w:p>
        </w:tc>
        <w:tc>
          <w:tcPr>
            <w:tcW w:w="647" w:type="dxa"/>
            <w:tcBorders>
              <w:top w:val="nil"/>
              <w:left w:val="nil"/>
              <w:bottom w:val="single" w:sz="4" w:space="0" w:color="auto"/>
              <w:right w:val="single" w:sz="4"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0,17</w:t>
            </w:r>
          </w:p>
        </w:tc>
        <w:tc>
          <w:tcPr>
            <w:tcW w:w="720"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0,21</w:t>
            </w:r>
          </w:p>
        </w:tc>
        <w:tc>
          <w:tcPr>
            <w:tcW w:w="645"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0,25</w:t>
            </w:r>
          </w:p>
        </w:tc>
        <w:tc>
          <w:tcPr>
            <w:tcW w:w="578" w:type="dxa"/>
            <w:tcBorders>
              <w:top w:val="nil"/>
              <w:left w:val="nil"/>
              <w:bottom w:val="single" w:sz="4" w:space="0" w:color="auto"/>
              <w:right w:val="single" w:sz="8" w:space="0" w:color="auto"/>
            </w:tcBorders>
            <w:shd w:val="clear" w:color="auto" w:fill="auto"/>
            <w:vAlign w:val="bottom"/>
          </w:tcPr>
          <w:p w:rsidR="00127BCD" w:rsidRPr="00E03D3B" w:rsidRDefault="00127BCD" w:rsidP="00127BCD">
            <w:pPr>
              <w:jc w:val="right"/>
              <w:rPr>
                <w:rFonts w:cs="Calibri"/>
                <w:color w:val="000000"/>
              </w:rPr>
            </w:pPr>
            <w:r w:rsidRPr="00E03D3B">
              <w:rPr>
                <w:rFonts w:cs="Calibri"/>
                <w:color w:val="000000"/>
              </w:rPr>
              <w:t>0,28</w:t>
            </w:r>
          </w:p>
        </w:tc>
      </w:tr>
      <w:tr w:rsidR="005B67D5" w:rsidRPr="00E03D3B" w:rsidTr="00E03D3B">
        <w:trPr>
          <w:trHeight w:hRule="exact" w:val="216"/>
        </w:trPr>
        <w:tc>
          <w:tcPr>
            <w:tcW w:w="1766" w:type="dxa"/>
            <w:tcBorders>
              <w:top w:val="nil"/>
              <w:left w:val="single" w:sz="8"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b/>
                <w:bCs/>
                <w:color w:val="000000"/>
                <w:sz w:val="18"/>
                <w:szCs w:val="18"/>
                <w:lang w:val="es-ES" w:eastAsia="es-MX"/>
              </w:rPr>
            </w:pPr>
            <w:r w:rsidRPr="00E03D3B">
              <w:rPr>
                <w:rFonts w:ascii="Arial" w:hAnsi="Arial" w:cs="Arial"/>
                <w:b/>
                <w:bCs/>
                <w:color w:val="000000"/>
                <w:sz w:val="18"/>
                <w:szCs w:val="18"/>
                <w:lang w:val="es-ES" w:eastAsia="es-MX"/>
              </w:rPr>
              <w:t>Primera Infancia</w:t>
            </w:r>
          </w:p>
        </w:tc>
        <w:tc>
          <w:tcPr>
            <w:tcW w:w="2066" w:type="dxa"/>
            <w:tcBorders>
              <w:top w:val="nil"/>
              <w:left w:val="nil"/>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271" w:type="dxa"/>
            <w:tcBorders>
              <w:top w:val="single" w:sz="4" w:space="0" w:color="auto"/>
              <w:left w:val="nil"/>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c>
          <w:tcPr>
            <w:tcW w:w="1818"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E1AF0" w:rsidRPr="00E03D3B" w:rsidRDefault="00405DB5"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370.000</w:t>
            </w:r>
            <w:r w:rsidRPr="00E03D3B">
              <w:rPr>
                <w:rStyle w:val="FootnoteReference"/>
                <w:rFonts w:ascii="Arial" w:hAnsi="Arial" w:cs="Arial"/>
                <w:color w:val="000000"/>
                <w:sz w:val="18"/>
                <w:szCs w:val="18"/>
                <w:lang w:val="es-ES" w:eastAsia="es-MX"/>
              </w:rPr>
              <w:footnoteReference w:id="2"/>
            </w:r>
          </w:p>
        </w:tc>
        <w:tc>
          <w:tcPr>
            <w:tcW w:w="1077" w:type="dxa"/>
            <w:tcBorders>
              <w:top w:val="nil"/>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278" w:type="dxa"/>
            <w:tcBorders>
              <w:top w:val="nil"/>
              <w:left w:val="nil"/>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7" w:type="dxa"/>
            <w:tcBorders>
              <w:top w:val="nil"/>
              <w:left w:val="nil"/>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720" w:type="dxa"/>
            <w:tcBorders>
              <w:top w:val="nil"/>
              <w:left w:val="nil"/>
              <w:bottom w:val="single" w:sz="4" w:space="0" w:color="auto"/>
              <w:right w:val="single" w:sz="8"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5" w:type="dxa"/>
            <w:tcBorders>
              <w:top w:val="nil"/>
              <w:left w:val="nil"/>
              <w:bottom w:val="single" w:sz="4" w:space="0" w:color="auto"/>
              <w:right w:val="single" w:sz="8"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578" w:type="dxa"/>
            <w:tcBorders>
              <w:top w:val="nil"/>
              <w:left w:val="nil"/>
              <w:bottom w:val="single" w:sz="4" w:space="0" w:color="auto"/>
              <w:right w:val="single" w:sz="8"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r>
      <w:tr w:rsidR="005B67D5" w:rsidRPr="00E03D3B" w:rsidTr="00E03D3B">
        <w:trPr>
          <w:trHeight w:hRule="exact" w:val="946"/>
        </w:trPr>
        <w:tc>
          <w:tcPr>
            <w:tcW w:w="17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bCs/>
                <w:color w:val="000000"/>
                <w:sz w:val="18"/>
                <w:szCs w:val="18"/>
                <w:lang w:val="es-ES" w:eastAsia="es-MX"/>
              </w:rPr>
            </w:pPr>
            <w:r w:rsidRPr="00E03D3B">
              <w:rPr>
                <w:rFonts w:ascii="Arial" w:hAnsi="Arial" w:cs="Arial"/>
                <w:bCs/>
                <w:color w:val="000000"/>
                <w:sz w:val="18"/>
                <w:szCs w:val="18"/>
                <w:lang w:val="es-ES" w:eastAsia="es-MX"/>
              </w:rPr>
              <w:t>COIF</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Niños menores de 5 años</w:t>
            </w:r>
          </w:p>
        </w:tc>
        <w:tc>
          <w:tcPr>
            <w:tcW w:w="1271" w:type="dxa"/>
            <w:tcBorders>
              <w:top w:val="single" w:sz="4" w:space="0" w:color="auto"/>
              <w:left w:val="single" w:sz="4" w:space="0" w:color="auto"/>
              <w:bottom w:val="single" w:sz="4" w:space="0" w:color="auto"/>
              <w:right w:val="single" w:sz="4" w:space="0" w:color="auto"/>
            </w:tcBorders>
          </w:tcPr>
          <w:p w:rsidR="005E1AF0" w:rsidRPr="00E03D3B" w:rsidRDefault="005E1AF0" w:rsidP="003C41A0">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5.</w:t>
            </w:r>
            <w:r w:rsidR="003F65B6" w:rsidRPr="00E03D3B">
              <w:rPr>
                <w:rFonts w:ascii="Arial" w:hAnsi="Arial" w:cs="Arial"/>
                <w:color w:val="000000"/>
                <w:sz w:val="18"/>
                <w:szCs w:val="18"/>
                <w:lang w:val="es-ES" w:eastAsia="es-MX"/>
              </w:rPr>
              <w:t>949</w:t>
            </w:r>
            <w:r w:rsidR="003F65B6" w:rsidRPr="00E03D3B">
              <w:rPr>
                <w:rStyle w:val="FootnoteReference"/>
                <w:rFonts w:ascii="Arial" w:hAnsi="Arial" w:cs="Arial"/>
                <w:color w:val="000000"/>
                <w:sz w:val="18"/>
                <w:szCs w:val="18"/>
                <w:lang w:val="es-ES" w:eastAsia="es-MX"/>
              </w:rPr>
              <w:footnoteReference w:id="3"/>
            </w:r>
          </w:p>
        </w:tc>
        <w:tc>
          <w:tcPr>
            <w:tcW w:w="181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5.949 (6)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n/a</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5B67D5" w:rsidRPr="00E03D3B" w:rsidRDefault="005B67D5" w:rsidP="00766C67">
            <w:pPr>
              <w:spacing w:after="0" w:line="240" w:lineRule="auto"/>
              <w:rPr>
                <w:rFonts w:ascii="Arial" w:hAnsi="Arial" w:cs="Arial"/>
                <w:color w:val="000000"/>
                <w:sz w:val="18"/>
                <w:szCs w:val="18"/>
                <w:lang w:val="es-ES" w:eastAsia="es-MX"/>
              </w:rPr>
            </w:pPr>
          </w:p>
        </w:tc>
        <w:tc>
          <w:tcPr>
            <w:tcW w:w="64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578"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r>
      <w:tr w:rsidR="005B67D5" w:rsidRPr="00E03D3B" w:rsidTr="00E03D3B">
        <w:trPr>
          <w:trHeight w:hRule="exact" w:val="216"/>
        </w:trPr>
        <w:tc>
          <w:tcPr>
            <w:tcW w:w="17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bCs/>
                <w:color w:val="000000"/>
                <w:sz w:val="18"/>
                <w:szCs w:val="18"/>
                <w:lang w:val="es-ES" w:eastAsia="es-MX"/>
              </w:rPr>
            </w:pPr>
            <w:r w:rsidRPr="00E03D3B">
              <w:rPr>
                <w:rFonts w:ascii="Arial" w:hAnsi="Arial" w:cs="Arial"/>
                <w:bCs/>
                <w:color w:val="000000"/>
                <w:sz w:val="18"/>
                <w:szCs w:val="18"/>
                <w:lang w:val="es-ES" w:eastAsia="es-MX"/>
              </w:rPr>
              <w:t>COIF Público</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Niños menores de 5 años</w:t>
            </w:r>
          </w:p>
        </w:tc>
        <w:tc>
          <w:tcPr>
            <w:tcW w:w="1271" w:type="dxa"/>
            <w:tcBorders>
              <w:top w:val="single" w:sz="4" w:space="0" w:color="auto"/>
              <w:left w:val="single" w:sz="4" w:space="0" w:color="auto"/>
              <w:bottom w:val="single" w:sz="4" w:space="0" w:color="auto"/>
              <w:right w:val="single" w:sz="4" w:space="0" w:color="auto"/>
            </w:tcBorders>
          </w:tcPr>
          <w:p w:rsidR="005E1AF0" w:rsidRPr="00E03D3B" w:rsidRDefault="005E1AF0" w:rsidP="003C41A0">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3.074</w:t>
            </w:r>
            <w:r w:rsidR="003F65B6" w:rsidRPr="00E03D3B">
              <w:rPr>
                <w:rFonts w:ascii="Arial" w:hAnsi="Arial" w:cs="Arial"/>
                <w:color w:val="000000"/>
                <w:sz w:val="18"/>
                <w:szCs w:val="18"/>
                <w:vertAlign w:val="superscript"/>
                <w:lang w:val="es-ES" w:eastAsia="es-MX"/>
              </w:rPr>
              <w:t>3</w:t>
            </w:r>
          </w:p>
        </w:tc>
        <w:tc>
          <w:tcPr>
            <w:tcW w:w="181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3.074(6)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n/a</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578"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r>
      <w:tr w:rsidR="005B67D5" w:rsidRPr="00E03D3B" w:rsidTr="00E03D3B">
        <w:trPr>
          <w:trHeight w:hRule="exact" w:val="216"/>
        </w:trPr>
        <w:tc>
          <w:tcPr>
            <w:tcW w:w="17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bCs/>
                <w:color w:val="000000"/>
                <w:sz w:val="18"/>
                <w:szCs w:val="18"/>
                <w:lang w:val="es-ES" w:eastAsia="es-MX"/>
              </w:rPr>
            </w:pPr>
            <w:r w:rsidRPr="00E03D3B">
              <w:rPr>
                <w:rFonts w:ascii="Arial" w:hAnsi="Arial" w:cs="Arial"/>
                <w:bCs/>
                <w:color w:val="000000"/>
                <w:sz w:val="18"/>
                <w:szCs w:val="18"/>
                <w:lang w:val="es-ES" w:eastAsia="es-MX"/>
              </w:rPr>
              <w:t>COIF Privado</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Niños menores de 5 años</w:t>
            </w:r>
          </w:p>
        </w:tc>
        <w:tc>
          <w:tcPr>
            <w:tcW w:w="1271" w:type="dxa"/>
            <w:tcBorders>
              <w:top w:val="single" w:sz="4" w:space="0" w:color="auto"/>
              <w:left w:val="single" w:sz="4" w:space="0" w:color="auto"/>
              <w:bottom w:val="single" w:sz="4" w:space="0" w:color="auto"/>
              <w:right w:val="single" w:sz="4" w:space="0" w:color="auto"/>
            </w:tcBorders>
          </w:tcPr>
          <w:p w:rsidR="005E1AF0" w:rsidRPr="00E03D3B" w:rsidRDefault="005E1AF0" w:rsidP="003C41A0">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2.875</w:t>
            </w:r>
            <w:r w:rsidR="003F65B6" w:rsidRPr="00E03D3B">
              <w:rPr>
                <w:rFonts w:ascii="Arial" w:hAnsi="Arial" w:cs="Arial"/>
                <w:color w:val="000000"/>
                <w:sz w:val="18"/>
                <w:szCs w:val="18"/>
                <w:vertAlign w:val="superscript"/>
                <w:lang w:val="es-ES" w:eastAsia="es-MX"/>
              </w:rPr>
              <w:t>3</w:t>
            </w:r>
          </w:p>
        </w:tc>
        <w:tc>
          <w:tcPr>
            <w:tcW w:w="181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2.875 (6)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n/a</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578"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r>
      <w:tr w:rsidR="005B67D5" w:rsidRPr="00E03D3B" w:rsidTr="00E03D3B">
        <w:trPr>
          <w:trHeight w:hRule="exact" w:val="469"/>
        </w:trPr>
        <w:tc>
          <w:tcPr>
            <w:tcW w:w="17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bCs/>
                <w:color w:val="000000"/>
                <w:sz w:val="18"/>
                <w:szCs w:val="18"/>
                <w:lang w:val="es-ES" w:eastAsia="es-MX"/>
              </w:rPr>
            </w:pPr>
            <w:r w:rsidRPr="00E03D3B">
              <w:rPr>
                <w:rFonts w:ascii="Arial" w:hAnsi="Arial" w:cs="Arial"/>
                <w:bCs/>
                <w:color w:val="000000"/>
                <w:sz w:val="18"/>
                <w:szCs w:val="18"/>
                <w:lang w:val="es-ES" w:eastAsia="es-MX"/>
              </w:rPr>
              <w:t>Modalidad comunitaria</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Niños menores de 5 años</w:t>
            </w:r>
          </w:p>
        </w:tc>
        <w:tc>
          <w:tcPr>
            <w:tcW w:w="1271" w:type="dxa"/>
            <w:tcBorders>
              <w:top w:val="single" w:sz="4" w:space="0" w:color="auto"/>
              <w:left w:val="single" w:sz="4" w:space="0" w:color="auto"/>
              <w:bottom w:val="single" w:sz="4" w:space="0" w:color="auto"/>
              <w:right w:val="single" w:sz="4" w:space="0" w:color="auto"/>
            </w:tcBorders>
          </w:tcPr>
          <w:p w:rsidR="005E1AF0" w:rsidRPr="00E03D3B" w:rsidRDefault="00716EBA"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0</w:t>
            </w:r>
          </w:p>
        </w:tc>
        <w:tc>
          <w:tcPr>
            <w:tcW w:w="181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E1AF0" w:rsidRPr="00E03D3B" w:rsidRDefault="00716EBA"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13.000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785D8E"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n/a</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578"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r>
      <w:tr w:rsidR="005B67D5" w:rsidRPr="00E03D3B" w:rsidTr="00E03D3B">
        <w:trPr>
          <w:trHeight w:hRule="exact" w:val="216"/>
        </w:trPr>
        <w:tc>
          <w:tcPr>
            <w:tcW w:w="3832" w:type="dxa"/>
            <w:gridSpan w:val="2"/>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bCs/>
                <w:color w:val="000000"/>
                <w:sz w:val="18"/>
                <w:szCs w:val="18"/>
                <w:lang w:val="es-ES" w:eastAsia="es-MX"/>
              </w:rPr>
              <w:t>Preescolar MEDUCA</w:t>
            </w:r>
          </w:p>
        </w:tc>
        <w:tc>
          <w:tcPr>
            <w:tcW w:w="1271"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c>
          <w:tcPr>
            <w:tcW w:w="181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578"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r>
      <w:tr w:rsidR="005B67D5" w:rsidRPr="00E03D3B" w:rsidTr="00E03D3B">
        <w:trPr>
          <w:trHeight w:hRule="exact" w:val="685"/>
        </w:trPr>
        <w:tc>
          <w:tcPr>
            <w:tcW w:w="17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bCs/>
                <w:color w:val="000000"/>
                <w:sz w:val="18"/>
                <w:szCs w:val="18"/>
                <w:lang w:val="es-ES" w:eastAsia="es-MX"/>
              </w:rPr>
            </w:pPr>
            <w:r w:rsidRPr="00E03D3B">
              <w:rPr>
                <w:rFonts w:ascii="Arial" w:hAnsi="Arial" w:cs="Arial"/>
                <w:bCs/>
                <w:color w:val="000000"/>
                <w:sz w:val="18"/>
                <w:szCs w:val="18"/>
                <w:lang w:val="es-ES" w:eastAsia="es-MX"/>
              </w:rPr>
              <w:t>Formal</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Niños de 4 a 5 años</w:t>
            </w:r>
            <w:r w:rsidR="007A1812" w:rsidRPr="00E03D3B">
              <w:rPr>
                <w:rFonts w:ascii="Arial" w:hAnsi="Arial" w:cs="Arial"/>
                <w:color w:val="000000"/>
                <w:sz w:val="18"/>
                <w:szCs w:val="18"/>
                <w:lang w:val="es-ES" w:eastAsia="es-MX"/>
              </w:rPr>
              <w:t xml:space="preserve"> (nivel preescolar: prejardin y jardín)</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7A1812"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85,087</w:t>
            </w:r>
          </w:p>
        </w:tc>
        <w:tc>
          <w:tcPr>
            <w:tcW w:w="181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n/a</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7"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5E1AF0" w:rsidRPr="00E03D3B" w:rsidRDefault="005E1AF0" w:rsidP="00466BD7">
            <w:pPr>
              <w:spacing w:after="0" w:line="240" w:lineRule="auto"/>
              <w:rPr>
                <w:rFonts w:ascii="Arial" w:hAnsi="Arial" w:cs="Arial"/>
                <w:color w:val="000000"/>
                <w:sz w:val="18"/>
                <w:szCs w:val="18"/>
                <w:lang w:val="es-ES" w:eastAsia="es-MX"/>
              </w:rPr>
            </w:pPr>
          </w:p>
        </w:tc>
        <w:tc>
          <w:tcPr>
            <w:tcW w:w="578" w:type="dxa"/>
            <w:tcBorders>
              <w:top w:val="single" w:sz="4" w:space="0" w:color="auto"/>
              <w:left w:val="single" w:sz="4" w:space="0" w:color="auto"/>
              <w:bottom w:val="single" w:sz="4" w:space="0" w:color="auto"/>
              <w:right w:val="single" w:sz="4" w:space="0" w:color="auto"/>
            </w:tcBorders>
          </w:tcPr>
          <w:p w:rsidR="005E1AF0" w:rsidRPr="00E03D3B" w:rsidRDefault="005E1AF0" w:rsidP="00466BD7">
            <w:pPr>
              <w:spacing w:after="0" w:line="240" w:lineRule="auto"/>
              <w:rPr>
                <w:rFonts w:ascii="Arial" w:hAnsi="Arial" w:cs="Arial"/>
                <w:color w:val="000000"/>
                <w:sz w:val="18"/>
                <w:szCs w:val="18"/>
                <w:lang w:val="es-ES" w:eastAsia="es-MX"/>
              </w:rPr>
            </w:pPr>
          </w:p>
        </w:tc>
      </w:tr>
      <w:tr w:rsidR="005B67D5" w:rsidRPr="00F574C7" w:rsidTr="00E03D3B">
        <w:trPr>
          <w:trHeight w:hRule="exact" w:val="216"/>
        </w:trPr>
        <w:tc>
          <w:tcPr>
            <w:tcW w:w="1766" w:type="dxa"/>
            <w:tcBorders>
              <w:top w:val="single" w:sz="4" w:space="0" w:color="auto"/>
              <w:left w:val="single" w:sz="4" w:space="0" w:color="auto"/>
              <w:bottom w:val="single" w:sz="4" w:space="0" w:color="auto"/>
              <w:right w:val="single" w:sz="4" w:space="0" w:color="auto"/>
            </w:tcBorders>
            <w:shd w:val="clear" w:color="auto" w:fill="auto"/>
          </w:tcPr>
          <w:p w:rsidR="005B67D5" w:rsidRPr="00E03D3B" w:rsidRDefault="005B67D5" w:rsidP="00466BD7">
            <w:pPr>
              <w:spacing w:after="0" w:line="240" w:lineRule="auto"/>
              <w:rPr>
                <w:rFonts w:ascii="Arial" w:hAnsi="Arial" w:cs="Arial"/>
                <w:bCs/>
                <w:color w:val="000000"/>
                <w:sz w:val="18"/>
                <w:szCs w:val="18"/>
                <w:lang w:val="es-ES" w:eastAsia="es-MX"/>
              </w:rPr>
            </w:pPr>
            <w:r w:rsidRPr="00E03D3B">
              <w:rPr>
                <w:rFonts w:ascii="Arial" w:hAnsi="Arial" w:cs="Arial"/>
                <w:bCs/>
                <w:color w:val="000000"/>
                <w:sz w:val="18"/>
                <w:szCs w:val="18"/>
                <w:lang w:val="es-ES" w:eastAsia="es-MX"/>
              </w:rPr>
              <w:lastRenderedPageBreak/>
              <w:t>EIH</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5B67D5" w:rsidRPr="00E03D3B" w:rsidRDefault="005B67D5"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Niños menores de 5 años</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67D5" w:rsidRPr="00E03D3B" w:rsidRDefault="005B67D5"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4.812</w:t>
            </w:r>
            <w:r w:rsidRPr="00E03D3B">
              <w:rPr>
                <w:rStyle w:val="FootnoteReference"/>
                <w:rFonts w:ascii="Arial" w:hAnsi="Arial" w:cs="Arial"/>
                <w:color w:val="000000"/>
                <w:sz w:val="18"/>
                <w:szCs w:val="18"/>
                <w:lang w:val="es-ES" w:eastAsia="es-MX"/>
              </w:rPr>
              <w:footnoteReference w:id="4"/>
            </w:r>
          </w:p>
        </w:tc>
        <w:tc>
          <w:tcPr>
            <w:tcW w:w="1818" w:type="dxa"/>
            <w:tcBorders>
              <w:top w:val="single" w:sz="4" w:space="0" w:color="auto"/>
              <w:left w:val="single" w:sz="4" w:space="0" w:color="auto"/>
              <w:bottom w:val="single" w:sz="4" w:space="0" w:color="auto"/>
              <w:right w:val="single" w:sz="4" w:space="0" w:color="auto"/>
            </w:tcBorders>
            <w:shd w:val="clear" w:color="auto" w:fill="auto"/>
          </w:tcPr>
          <w:p w:rsidR="005B67D5" w:rsidRPr="00E03D3B" w:rsidRDefault="005B67D5" w:rsidP="00466BD7">
            <w:pPr>
              <w:spacing w:after="0" w:line="240" w:lineRule="auto"/>
              <w:rPr>
                <w:rFonts w:ascii="Arial" w:hAnsi="Arial" w:cs="Arial"/>
                <w:color w:val="000000"/>
                <w:sz w:val="18"/>
                <w:szCs w:val="18"/>
                <w:lang w:val="es-ES" w:eastAsia="es-MX"/>
              </w:rPr>
            </w:pPr>
          </w:p>
        </w:tc>
        <w:tc>
          <w:tcPr>
            <w:tcW w:w="1379" w:type="dxa"/>
            <w:tcBorders>
              <w:top w:val="single" w:sz="4" w:space="0" w:color="auto"/>
              <w:left w:val="single" w:sz="4" w:space="0" w:color="auto"/>
              <w:bottom w:val="single" w:sz="4" w:space="0" w:color="auto"/>
              <w:right w:val="single" w:sz="4" w:space="0" w:color="auto"/>
            </w:tcBorders>
          </w:tcPr>
          <w:p w:rsidR="005B67D5" w:rsidRPr="00E03D3B" w:rsidRDefault="005B67D5" w:rsidP="00466BD7">
            <w:pPr>
              <w:spacing w:after="0" w:line="240" w:lineRule="auto"/>
              <w:rPr>
                <w:rFonts w:ascii="Arial" w:hAnsi="Arial" w:cs="Arial"/>
                <w:color w:val="000000"/>
                <w:sz w:val="18"/>
                <w:szCs w:val="18"/>
                <w:lang w:val="es-ES" w:eastAsia="es-MX"/>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5B67D5" w:rsidRPr="00E03D3B" w:rsidRDefault="005B67D5" w:rsidP="00466BD7">
            <w:pPr>
              <w:spacing w:after="0" w:line="240" w:lineRule="auto"/>
              <w:rPr>
                <w:rFonts w:ascii="Arial" w:hAnsi="Arial" w:cs="Arial"/>
                <w:color w:val="000000"/>
                <w:sz w:val="18"/>
                <w:szCs w:val="18"/>
                <w:lang w:val="es-ES" w:eastAsia="es-MX"/>
              </w:rPr>
            </w:pPr>
            <w:r w:rsidRPr="00E03D3B">
              <w:rPr>
                <w:rFonts w:ascii="Arial" w:hAnsi="Arial" w:cs="Arial"/>
                <w:color w:val="000000"/>
                <w:sz w:val="18"/>
                <w:szCs w:val="18"/>
                <w:lang w:val="es-ES" w:eastAsia="es-MX"/>
              </w:rPr>
              <w:t>n/a</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5B67D5" w:rsidRPr="00E03D3B" w:rsidRDefault="005B67D5" w:rsidP="00466BD7">
            <w:pPr>
              <w:spacing w:after="0" w:line="240" w:lineRule="auto"/>
              <w:rPr>
                <w:rFonts w:ascii="Arial" w:hAnsi="Arial" w:cs="Arial"/>
                <w:color w:val="000000"/>
                <w:sz w:val="18"/>
                <w:szCs w:val="18"/>
                <w:lang w:val="es-ES" w:eastAsia="es-MX"/>
              </w:rPr>
            </w:pPr>
          </w:p>
        </w:tc>
        <w:tc>
          <w:tcPr>
            <w:tcW w:w="647" w:type="dxa"/>
            <w:tcBorders>
              <w:top w:val="single" w:sz="4" w:space="0" w:color="auto"/>
              <w:left w:val="single" w:sz="4" w:space="0" w:color="auto"/>
              <w:bottom w:val="single" w:sz="4" w:space="0" w:color="auto"/>
              <w:right w:val="single" w:sz="4" w:space="0" w:color="auto"/>
            </w:tcBorders>
            <w:shd w:val="clear" w:color="auto" w:fill="auto"/>
          </w:tcPr>
          <w:p w:rsidR="005B67D5" w:rsidRPr="00F574C7" w:rsidRDefault="005B67D5" w:rsidP="00613F96">
            <w:pPr>
              <w:rPr>
                <w:rFonts w:ascii="Arial" w:hAnsi="Arial" w:cs="Arial"/>
                <w:color w:val="000000"/>
                <w:sz w:val="18"/>
              </w:rPr>
            </w:pPr>
            <w:r w:rsidRPr="00E03D3B">
              <w:rPr>
                <w:rFonts w:ascii="Arial" w:hAnsi="Arial" w:cs="Arial"/>
                <w:color w:val="000000"/>
                <w:sz w:val="18"/>
              </w:rPr>
              <w:t>.00</w:t>
            </w:r>
          </w:p>
          <w:p w:rsidR="005B67D5" w:rsidRPr="00F574C7" w:rsidRDefault="005B67D5" w:rsidP="00613F96">
            <w:pPr>
              <w:spacing w:after="0" w:line="240" w:lineRule="auto"/>
              <w:rPr>
                <w:rFonts w:ascii="Arial" w:hAnsi="Arial" w:cs="Arial"/>
                <w:color w:val="000000"/>
                <w:sz w:val="18"/>
                <w:szCs w:val="18"/>
                <w:lang w:val="es-ES" w:eastAsia="es-MX"/>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B67D5" w:rsidRPr="00F574C7" w:rsidRDefault="005B67D5" w:rsidP="00466BD7">
            <w:pPr>
              <w:spacing w:after="0" w:line="240" w:lineRule="auto"/>
              <w:rPr>
                <w:rFonts w:ascii="Arial" w:hAnsi="Arial" w:cs="Arial"/>
                <w:color w:val="000000"/>
                <w:sz w:val="18"/>
                <w:szCs w:val="18"/>
                <w:lang w:val="es-ES" w:eastAsia="es-MX"/>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5B67D5" w:rsidRPr="00F574C7" w:rsidRDefault="005B67D5" w:rsidP="00466BD7">
            <w:pPr>
              <w:spacing w:after="0" w:line="240" w:lineRule="auto"/>
              <w:rPr>
                <w:rFonts w:ascii="Arial" w:hAnsi="Arial" w:cs="Arial"/>
                <w:color w:val="000000"/>
                <w:sz w:val="18"/>
                <w:szCs w:val="18"/>
                <w:lang w:val="es-ES" w:eastAsia="es-MX"/>
              </w:rPr>
            </w:pPr>
          </w:p>
        </w:tc>
        <w:tc>
          <w:tcPr>
            <w:tcW w:w="578" w:type="dxa"/>
            <w:tcBorders>
              <w:top w:val="single" w:sz="4" w:space="0" w:color="auto"/>
              <w:left w:val="single" w:sz="4" w:space="0" w:color="auto"/>
              <w:bottom w:val="single" w:sz="4" w:space="0" w:color="auto"/>
              <w:right w:val="single" w:sz="4" w:space="0" w:color="auto"/>
            </w:tcBorders>
          </w:tcPr>
          <w:p w:rsidR="005B67D5" w:rsidRPr="00F574C7" w:rsidRDefault="005B67D5" w:rsidP="00466BD7">
            <w:pPr>
              <w:spacing w:after="0" w:line="240" w:lineRule="auto"/>
              <w:rPr>
                <w:rFonts w:ascii="Arial" w:hAnsi="Arial" w:cs="Arial"/>
                <w:color w:val="000000"/>
                <w:sz w:val="18"/>
                <w:szCs w:val="18"/>
                <w:lang w:val="es-ES" w:eastAsia="es-MX"/>
              </w:rPr>
            </w:pPr>
          </w:p>
        </w:tc>
      </w:tr>
    </w:tbl>
    <w:p w:rsidR="00C87000" w:rsidRPr="00F574C7" w:rsidRDefault="00D61E52" w:rsidP="000F49CE">
      <w:pPr>
        <w:pStyle w:val="FootnoteText"/>
        <w:numPr>
          <w:ilvl w:val="0"/>
          <w:numId w:val="2"/>
        </w:numPr>
        <w:spacing w:after="0"/>
        <w:rPr>
          <w:rFonts w:ascii="Arial" w:hAnsi="Arial" w:cs="Arial"/>
          <w:color w:val="000000"/>
          <w:sz w:val="18"/>
          <w:szCs w:val="18"/>
          <w:lang w:val="es-ES" w:eastAsia="es-MX"/>
        </w:rPr>
      </w:pPr>
      <w:r w:rsidRPr="00F574C7">
        <w:rPr>
          <w:rFonts w:ascii="Arial" w:hAnsi="Arial" w:cs="Arial"/>
          <w:color w:val="000000"/>
          <w:sz w:val="18"/>
          <w:szCs w:val="18"/>
          <w:lang w:val="es-ES" w:eastAsia="es-MX"/>
        </w:rPr>
        <w:t xml:space="preserve">Fuente: Ministerio de la Presidencia, Dirección de Presupuesto de MIDES y Unidades Coordinadoras de los programas MIDES (2015); encuesta de propósitos múltiples (marzo) y  mercados laborales (agosto) INEC; ingreso per-cápita y líneas de pobreza (extrema y general) del MEF. </w:t>
      </w:r>
    </w:p>
    <w:p w:rsidR="000F49CE" w:rsidRPr="00F574C7" w:rsidRDefault="00D61E52" w:rsidP="000F49CE">
      <w:pPr>
        <w:pStyle w:val="FootnoteText"/>
        <w:numPr>
          <w:ilvl w:val="0"/>
          <w:numId w:val="2"/>
        </w:numPr>
        <w:spacing w:after="0"/>
        <w:rPr>
          <w:rFonts w:ascii="Arial" w:hAnsi="Arial" w:cs="Arial"/>
          <w:color w:val="000000"/>
          <w:sz w:val="18"/>
          <w:szCs w:val="18"/>
          <w:lang w:val="es-ES" w:eastAsia="es-MX"/>
        </w:rPr>
      </w:pPr>
      <w:r w:rsidRPr="00F574C7">
        <w:rPr>
          <w:rFonts w:ascii="Arial" w:hAnsi="Arial" w:cs="Arial"/>
          <w:color w:val="000000"/>
          <w:sz w:val="18"/>
          <w:szCs w:val="18"/>
          <w:lang w:val="es-ES" w:eastAsia="es-MX"/>
        </w:rPr>
        <w:t xml:space="preserve">Método de cálculo: </w:t>
      </w:r>
      <w:r w:rsidR="00E363A6" w:rsidRPr="00F574C7">
        <w:rPr>
          <w:rFonts w:ascii="Arial" w:hAnsi="Arial" w:cs="Arial"/>
          <w:color w:val="000000"/>
          <w:sz w:val="18"/>
          <w:szCs w:val="18"/>
          <w:lang w:val="es-ES" w:eastAsia="es-MX"/>
        </w:rPr>
        <w:t xml:space="preserve">Número actual de beneficiarios de PTMC  x promedio del tamaño del hogar de la población objetivo de cada PTMC. </w:t>
      </w:r>
      <w:r w:rsidR="000F49CE" w:rsidRPr="00F574C7">
        <w:rPr>
          <w:rFonts w:ascii="Arial" w:hAnsi="Arial" w:cs="Arial"/>
          <w:color w:val="000000"/>
          <w:sz w:val="18"/>
          <w:szCs w:val="18"/>
          <w:lang w:val="es-ES" w:eastAsia="es-MX"/>
        </w:rPr>
        <w:t>Se consideran beneficiarios todos los miembros de un hogar en que una o más personas reciben la transferencia. El cálculo de la población objetivo se base en el número actual de beneficiarios de PTMC ya que se espera que a través de mejoras en la focalización (y por tanto el número de beneficiarios pobres de los PTMC) el número total de beneficiarios se mantiene constante</w:t>
      </w:r>
      <w:r w:rsidRPr="00F574C7">
        <w:rPr>
          <w:rFonts w:ascii="Arial" w:hAnsi="Arial" w:cs="Arial"/>
          <w:color w:val="000000"/>
          <w:sz w:val="18"/>
          <w:szCs w:val="18"/>
          <w:lang w:val="es-ES" w:eastAsia="es-MX"/>
        </w:rPr>
        <w:t>.</w:t>
      </w:r>
    </w:p>
    <w:p w:rsidR="00D61E52" w:rsidRPr="00F574C7" w:rsidRDefault="000F49CE" w:rsidP="003269B1">
      <w:pPr>
        <w:pStyle w:val="FootnoteText"/>
        <w:numPr>
          <w:ilvl w:val="0"/>
          <w:numId w:val="2"/>
        </w:numPr>
        <w:spacing w:after="0"/>
        <w:rPr>
          <w:rFonts w:ascii="Arial" w:hAnsi="Arial" w:cs="Arial"/>
          <w:color w:val="000000"/>
          <w:sz w:val="18"/>
          <w:szCs w:val="18"/>
          <w:lang w:val="es-ES" w:eastAsia="es-MX"/>
        </w:rPr>
      </w:pPr>
      <w:r w:rsidRPr="00F574C7">
        <w:rPr>
          <w:rFonts w:ascii="Arial" w:hAnsi="Arial" w:cs="Arial"/>
          <w:color w:val="000000"/>
          <w:sz w:val="18"/>
          <w:szCs w:val="18"/>
          <w:lang w:val="es-ES" w:eastAsia="es-MX"/>
        </w:rPr>
        <w:t>No se incluyen a los beneficiarios de la Beca Universal</w:t>
      </w:r>
      <w:r w:rsidR="00D61E52" w:rsidRPr="00F574C7">
        <w:rPr>
          <w:rFonts w:ascii="Arial" w:hAnsi="Arial" w:cs="Arial"/>
          <w:color w:val="000000"/>
          <w:sz w:val="18"/>
          <w:szCs w:val="18"/>
          <w:lang w:val="es-ES" w:eastAsia="es-MX"/>
        </w:rPr>
        <w:t>.</w:t>
      </w:r>
    </w:p>
    <w:p w:rsidR="00D61E52" w:rsidRDefault="00D61E52" w:rsidP="00D61E52">
      <w:pPr>
        <w:pStyle w:val="FootnoteText"/>
        <w:numPr>
          <w:ilvl w:val="0"/>
          <w:numId w:val="2"/>
        </w:numPr>
        <w:spacing w:after="0"/>
        <w:rPr>
          <w:rFonts w:ascii="Arial" w:hAnsi="Arial" w:cs="Arial"/>
          <w:color w:val="000000"/>
          <w:sz w:val="18"/>
          <w:szCs w:val="18"/>
          <w:lang w:val="es-ES" w:eastAsia="es-MX"/>
        </w:rPr>
      </w:pPr>
      <w:r w:rsidRPr="00F574C7">
        <w:rPr>
          <w:rFonts w:ascii="Arial" w:hAnsi="Arial" w:cs="Arial"/>
          <w:color w:val="000000"/>
          <w:sz w:val="18"/>
          <w:szCs w:val="18"/>
          <w:lang w:val="es-ES" w:eastAsia="es-MX"/>
        </w:rPr>
        <w:t>Método de cálculo: Número actual de beneficiarios de la Beca Universal  x promedio del tamaño del hogares pobres. La Beca Universal tiene vocación universal, sin embargo se espera la introducción de criterios de priorización para aumentar la cobertura entre los pobres. Se consideran beneficiarios todos los miembros de un hogar en que una o más personas reciben la transferencia. El cálculo de la población objetivo se base en el número actual de beneficiarios de BU ya que se espera que a través de mejoras en la focalización (y por tanto el número de beneficiarios pobres de los BU) el número total de beneficiarios se mantiene constante.</w:t>
      </w:r>
    </w:p>
    <w:p w:rsidR="00663F5D" w:rsidRDefault="00663F5D" w:rsidP="00663F5D">
      <w:pPr>
        <w:pStyle w:val="FootnoteText"/>
        <w:numPr>
          <w:ilvl w:val="0"/>
          <w:numId w:val="2"/>
        </w:numPr>
        <w:spacing w:after="0"/>
        <w:rPr>
          <w:rFonts w:ascii="Arial" w:hAnsi="Arial" w:cs="Arial"/>
          <w:color w:val="000000"/>
          <w:sz w:val="18"/>
          <w:szCs w:val="18"/>
          <w:lang w:val="es-ES" w:eastAsia="es-MX"/>
        </w:rPr>
      </w:pPr>
      <w:r>
        <w:rPr>
          <w:rFonts w:ascii="Arial" w:hAnsi="Arial" w:cs="Arial"/>
          <w:color w:val="000000"/>
          <w:sz w:val="18"/>
          <w:szCs w:val="18"/>
          <w:lang w:val="es-ES" w:eastAsia="es-MX"/>
        </w:rPr>
        <w:t>Estimación en base a la Encuesta de Mercado Laboral y Propósitos múltiples , mazo 2014. Se toman los beneficiarios efectivos de los programas según lo reportado en dicho relevamiento y se computa el total de beneficiarios potenciales en función de los criterios de elegibilidad de los programas.</w:t>
      </w:r>
    </w:p>
    <w:p w:rsidR="00663F5D" w:rsidRDefault="00663F5D" w:rsidP="00663F5D">
      <w:pPr>
        <w:pStyle w:val="FootnoteText"/>
        <w:numPr>
          <w:ilvl w:val="0"/>
          <w:numId w:val="2"/>
        </w:numPr>
        <w:spacing w:after="0"/>
        <w:rPr>
          <w:rFonts w:ascii="Arial" w:hAnsi="Arial" w:cs="Arial"/>
          <w:color w:val="000000"/>
          <w:sz w:val="18"/>
          <w:szCs w:val="18"/>
          <w:lang w:val="es-ES" w:eastAsia="es-MX"/>
        </w:rPr>
      </w:pPr>
      <w:r>
        <w:rPr>
          <w:rFonts w:ascii="Arial" w:hAnsi="Arial" w:cs="Arial"/>
          <w:color w:val="000000"/>
          <w:sz w:val="18"/>
          <w:szCs w:val="18"/>
          <w:lang w:val="es-ES" w:eastAsia="es-MX"/>
        </w:rPr>
        <w:t>En marzo de 2014 el programa 120 a los 65 todavía no se había desplegado en el tramo etáreo 65-69 años. El total de beneficiarios totales surge de asumir que el programa ingresa en un proceso de recertificación , asumiendo como población objetivo los adultos de 65 años y más en situación de pobreza, que no perciben jubilaciones u otras transferencias contributivas.</w:t>
      </w:r>
    </w:p>
    <w:p w:rsidR="00126393" w:rsidRPr="00F574C7" w:rsidRDefault="00126393" w:rsidP="00663F5D">
      <w:pPr>
        <w:pStyle w:val="FootnoteText"/>
        <w:numPr>
          <w:ilvl w:val="0"/>
          <w:numId w:val="2"/>
        </w:numPr>
        <w:spacing w:after="0"/>
        <w:rPr>
          <w:rFonts w:ascii="Arial" w:hAnsi="Arial" w:cs="Arial"/>
          <w:color w:val="000000"/>
          <w:sz w:val="18"/>
          <w:szCs w:val="18"/>
          <w:lang w:val="es-ES" w:eastAsia="es-MX"/>
        </w:rPr>
      </w:pPr>
      <w:r>
        <w:rPr>
          <w:rFonts w:ascii="Arial" w:hAnsi="Arial" w:cs="Arial"/>
          <w:color w:val="000000"/>
          <w:sz w:val="18"/>
          <w:szCs w:val="18"/>
          <w:lang w:val="es-ES" w:eastAsia="es-MX"/>
        </w:rPr>
        <w:t>Supuestos de crecimiento: 2016 6% (estimación CEPAL), para luego crecer a un 3% acumulativo anual entre 2016 y 2019</w:t>
      </w:r>
    </w:p>
    <w:sectPr w:rsidR="00126393" w:rsidRPr="00F574C7" w:rsidSect="00FB572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170" w:rsidRDefault="00B51170" w:rsidP="00E363A6">
      <w:pPr>
        <w:spacing w:after="0" w:line="240" w:lineRule="auto"/>
      </w:pPr>
      <w:r>
        <w:separator/>
      </w:r>
    </w:p>
  </w:endnote>
  <w:endnote w:type="continuationSeparator" w:id="0">
    <w:p w:rsidR="00B51170" w:rsidRDefault="00B51170" w:rsidP="00E36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170" w:rsidRDefault="00B51170" w:rsidP="00E363A6">
      <w:pPr>
        <w:spacing w:after="0" w:line="240" w:lineRule="auto"/>
      </w:pPr>
      <w:r>
        <w:separator/>
      </w:r>
    </w:p>
  </w:footnote>
  <w:footnote w:type="continuationSeparator" w:id="0">
    <w:p w:rsidR="00B51170" w:rsidRDefault="00B51170" w:rsidP="00E363A6">
      <w:pPr>
        <w:spacing w:after="0" w:line="240" w:lineRule="auto"/>
      </w:pPr>
      <w:r>
        <w:continuationSeparator/>
      </w:r>
    </w:p>
  </w:footnote>
  <w:footnote w:id="1">
    <w:p w:rsidR="007477BF" w:rsidRPr="00766C67" w:rsidRDefault="007477BF" w:rsidP="00F574C7">
      <w:pPr>
        <w:spacing w:after="0" w:line="240" w:lineRule="auto"/>
        <w:jc w:val="both"/>
        <w:rPr>
          <w:rFonts w:ascii="Arial" w:hAnsi="Arial" w:cs="Arial"/>
          <w:sz w:val="18"/>
          <w:szCs w:val="18"/>
          <w:lang w:val="es-ES"/>
        </w:rPr>
      </w:pPr>
      <w:r>
        <w:rPr>
          <w:rStyle w:val="FootnoteReference"/>
        </w:rPr>
        <w:footnoteRef/>
      </w:r>
      <w:r w:rsidRPr="007477BF">
        <w:rPr>
          <w:lang w:val="es-ES"/>
        </w:rPr>
        <w:t xml:space="preserve"> </w:t>
      </w:r>
      <w:r w:rsidRPr="00766C67">
        <w:rPr>
          <w:rFonts w:ascii="Arial" w:hAnsi="Arial" w:cs="Arial"/>
          <w:sz w:val="18"/>
          <w:szCs w:val="18"/>
          <w:lang w:val="es-ES"/>
        </w:rPr>
        <w:t>Informes de ejecución presupuestaria del MIDES y la Contraloría General (para el presupuesto) y CEPAL (para PIB).</w:t>
      </w:r>
    </w:p>
  </w:footnote>
  <w:footnote w:id="2">
    <w:p w:rsidR="00405DB5" w:rsidRPr="00766C67" w:rsidRDefault="00405DB5" w:rsidP="00766C67">
      <w:pPr>
        <w:pStyle w:val="FootnoteText"/>
        <w:spacing w:after="0"/>
        <w:ind w:left="0" w:firstLine="0"/>
        <w:rPr>
          <w:rFonts w:ascii="Arial" w:hAnsi="Arial" w:cs="Arial"/>
          <w:sz w:val="18"/>
          <w:szCs w:val="18"/>
          <w:lang w:val="es-ES"/>
        </w:rPr>
      </w:pPr>
      <w:r w:rsidRPr="00766C67">
        <w:rPr>
          <w:rStyle w:val="FootnoteReference"/>
          <w:rFonts w:ascii="Arial" w:hAnsi="Arial" w:cs="Arial"/>
          <w:sz w:val="18"/>
          <w:szCs w:val="18"/>
        </w:rPr>
        <w:footnoteRef/>
      </w:r>
      <w:r w:rsidRPr="00766C67">
        <w:rPr>
          <w:rFonts w:ascii="Arial" w:hAnsi="Arial" w:cs="Arial"/>
          <w:sz w:val="18"/>
          <w:szCs w:val="18"/>
          <w:lang w:val="es-ES"/>
        </w:rPr>
        <w:t xml:space="preserve"> Proyecciones del Censo Nacional 2010</w:t>
      </w:r>
    </w:p>
  </w:footnote>
  <w:footnote w:id="3">
    <w:p w:rsidR="003F65B6" w:rsidRPr="00766C67" w:rsidRDefault="003F65B6" w:rsidP="00F574C7">
      <w:pPr>
        <w:spacing w:after="0" w:line="240" w:lineRule="auto"/>
        <w:rPr>
          <w:rFonts w:ascii="Arial" w:hAnsi="Arial" w:cs="Arial"/>
          <w:color w:val="000000"/>
          <w:sz w:val="18"/>
          <w:szCs w:val="18"/>
          <w:lang w:val="es-ES" w:eastAsia="es-MX"/>
        </w:rPr>
      </w:pPr>
      <w:r w:rsidRPr="00766C67">
        <w:rPr>
          <w:rStyle w:val="FootnoteReference"/>
          <w:rFonts w:ascii="Arial" w:hAnsi="Arial" w:cs="Arial"/>
          <w:sz w:val="18"/>
          <w:szCs w:val="18"/>
        </w:rPr>
        <w:footnoteRef/>
      </w:r>
      <w:r w:rsidRPr="00766C67">
        <w:rPr>
          <w:rFonts w:ascii="Arial" w:hAnsi="Arial" w:cs="Arial"/>
          <w:sz w:val="18"/>
          <w:szCs w:val="18"/>
        </w:rPr>
        <w:t xml:space="preserve"> </w:t>
      </w:r>
      <w:r w:rsidRPr="00766C67">
        <w:rPr>
          <w:rFonts w:ascii="Arial" w:hAnsi="Arial" w:cs="Arial"/>
          <w:color w:val="000000"/>
          <w:sz w:val="18"/>
          <w:szCs w:val="18"/>
          <w:lang w:val="es-ES" w:eastAsia="es-MX"/>
        </w:rPr>
        <w:t xml:space="preserve">MIDES, Dirección de Servicios de Protección Social. Matricula de COIF a nivel nacional, 2014. </w:t>
      </w:r>
    </w:p>
    <w:p w:rsidR="005B67D5" w:rsidRPr="00766C67" w:rsidRDefault="005B67D5" w:rsidP="00F574C7">
      <w:pPr>
        <w:pStyle w:val="FootnoteText"/>
        <w:spacing w:after="0"/>
        <w:ind w:left="0" w:firstLine="0"/>
        <w:rPr>
          <w:rFonts w:ascii="Arial" w:hAnsi="Arial" w:cs="Arial"/>
          <w:sz w:val="18"/>
          <w:szCs w:val="18"/>
          <w:lang w:val="es-ES"/>
        </w:rPr>
      </w:pPr>
      <w:r w:rsidRPr="00766C67">
        <w:rPr>
          <w:rFonts w:ascii="Arial" w:hAnsi="Arial" w:cs="Arial"/>
          <w:sz w:val="18"/>
          <w:szCs w:val="18"/>
          <w:lang w:val="es-ES"/>
        </w:rPr>
        <w:t xml:space="preserve">*La cifra es el presupuesto total de la Dirección de Servicios de Protección Social. </w:t>
      </w:r>
    </w:p>
  </w:footnote>
  <w:footnote w:id="4">
    <w:p w:rsidR="005B67D5" w:rsidRPr="00766C67" w:rsidRDefault="005B67D5" w:rsidP="00766C67">
      <w:pPr>
        <w:pStyle w:val="FootnoteText"/>
        <w:spacing w:after="0"/>
        <w:ind w:left="0" w:firstLine="0"/>
        <w:rPr>
          <w:rFonts w:ascii="Arial" w:hAnsi="Arial" w:cs="Arial"/>
          <w:sz w:val="18"/>
          <w:szCs w:val="18"/>
          <w:lang w:val="es-ES_tradnl"/>
        </w:rPr>
      </w:pPr>
      <w:r w:rsidRPr="00766C67">
        <w:rPr>
          <w:rStyle w:val="FootnoteReference"/>
          <w:rFonts w:ascii="Arial" w:hAnsi="Arial" w:cs="Arial"/>
          <w:sz w:val="18"/>
          <w:szCs w:val="18"/>
        </w:rPr>
        <w:footnoteRef/>
      </w:r>
      <w:r w:rsidRPr="00766C67">
        <w:rPr>
          <w:rFonts w:ascii="Arial" w:hAnsi="Arial" w:cs="Arial"/>
          <w:sz w:val="18"/>
          <w:szCs w:val="18"/>
          <w:lang w:val="es-ES"/>
        </w:rPr>
        <w:t xml:space="preserve"> </w:t>
      </w:r>
      <w:r w:rsidRPr="00766C67">
        <w:rPr>
          <w:rFonts w:ascii="Arial" w:hAnsi="Arial" w:cs="Arial"/>
          <w:sz w:val="18"/>
          <w:szCs w:val="18"/>
          <w:lang w:val="es-ES_tradnl"/>
        </w:rPr>
        <w:t>UNICEF. Mapeo de oferta y demanda de servicios a la primera infancia, Panamá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61B9B"/>
    <w:multiLevelType w:val="hybridMultilevel"/>
    <w:tmpl w:val="4BA8EC72"/>
    <w:lvl w:ilvl="0" w:tplc="4AF4F966">
      <w:start w:val="5"/>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8825B0"/>
    <w:multiLevelType w:val="hybridMultilevel"/>
    <w:tmpl w:val="5146736C"/>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773330"/>
    <w:multiLevelType w:val="hybridMultilevel"/>
    <w:tmpl w:val="E4201A62"/>
    <w:lvl w:ilvl="0" w:tplc="A7FC070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1C7688F"/>
    <w:multiLevelType w:val="hybridMultilevel"/>
    <w:tmpl w:val="96604AF2"/>
    <w:lvl w:ilvl="0" w:tplc="591269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03F"/>
    <w:rsid w:val="000F49CE"/>
    <w:rsid w:val="00126393"/>
    <w:rsid w:val="00127BCD"/>
    <w:rsid w:val="001D59CE"/>
    <w:rsid w:val="001E234D"/>
    <w:rsid w:val="00265BDF"/>
    <w:rsid w:val="002920BF"/>
    <w:rsid w:val="002F4CD9"/>
    <w:rsid w:val="00313C5D"/>
    <w:rsid w:val="0031504E"/>
    <w:rsid w:val="003269B1"/>
    <w:rsid w:val="003453E6"/>
    <w:rsid w:val="003A198B"/>
    <w:rsid w:val="003A469B"/>
    <w:rsid w:val="003F004A"/>
    <w:rsid w:val="003F65B6"/>
    <w:rsid w:val="00405DB5"/>
    <w:rsid w:val="00466BD7"/>
    <w:rsid w:val="00495AD1"/>
    <w:rsid w:val="004D6485"/>
    <w:rsid w:val="004F33F3"/>
    <w:rsid w:val="0057007A"/>
    <w:rsid w:val="00580D8C"/>
    <w:rsid w:val="005A12F9"/>
    <w:rsid w:val="005B67D5"/>
    <w:rsid w:val="005E1AF0"/>
    <w:rsid w:val="00631F57"/>
    <w:rsid w:val="00663F5D"/>
    <w:rsid w:val="006652B5"/>
    <w:rsid w:val="00716EBA"/>
    <w:rsid w:val="007477BF"/>
    <w:rsid w:val="00754F60"/>
    <w:rsid w:val="007604DB"/>
    <w:rsid w:val="00766C67"/>
    <w:rsid w:val="00785D8E"/>
    <w:rsid w:val="007A1812"/>
    <w:rsid w:val="007F4E09"/>
    <w:rsid w:val="009423C1"/>
    <w:rsid w:val="00952615"/>
    <w:rsid w:val="009D2568"/>
    <w:rsid w:val="00A27C9B"/>
    <w:rsid w:val="00B14384"/>
    <w:rsid w:val="00B51170"/>
    <w:rsid w:val="00C50A95"/>
    <w:rsid w:val="00C87000"/>
    <w:rsid w:val="00CF5DA4"/>
    <w:rsid w:val="00D0723B"/>
    <w:rsid w:val="00D61E52"/>
    <w:rsid w:val="00DE52C7"/>
    <w:rsid w:val="00E03D3B"/>
    <w:rsid w:val="00E17181"/>
    <w:rsid w:val="00E363A6"/>
    <w:rsid w:val="00EB3013"/>
    <w:rsid w:val="00EF1618"/>
    <w:rsid w:val="00F026CA"/>
    <w:rsid w:val="00F1703F"/>
    <w:rsid w:val="00F574C7"/>
    <w:rsid w:val="00FB5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03F"/>
    <w:rPr>
      <w:rFonts w:ascii="Calibri" w:eastAsia="MS Mincho" w:hAnsi="Calibri" w:cs="Times New Roman"/>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F1703F"/>
    <w:rPr>
      <w:rFonts w:cs="Times New Roman"/>
      <w:sz w:val="16"/>
      <w:szCs w:val="16"/>
    </w:rPr>
  </w:style>
  <w:style w:type="paragraph" w:styleId="ListParagraph">
    <w:name w:val="List Paragraph"/>
    <w:basedOn w:val="Normal"/>
    <w:uiPriority w:val="34"/>
    <w:qFormat/>
    <w:rsid w:val="00B14384"/>
    <w:pPr>
      <w:ind w:left="720"/>
      <w:contextualSpacing/>
    </w:p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qFormat/>
    <w:rsid w:val="00E363A6"/>
    <w:pPr>
      <w:keepNext/>
      <w:keepLines/>
      <w:spacing w:after="120" w:line="240" w:lineRule="auto"/>
      <w:ind w:left="288" w:hanging="288"/>
      <w:jc w:val="both"/>
    </w:pPr>
    <w:rPr>
      <w:rFonts w:ascii="Times New Roman" w:eastAsia="Times New Roman" w:hAnsi="Times New Roman"/>
      <w:spacing w:val="-3"/>
      <w:sz w:val="20"/>
      <w:szCs w:val="20"/>
      <w:lang w:val="en-US"/>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rsid w:val="00E363A6"/>
    <w:rPr>
      <w:rFonts w:ascii="Times New Roman" w:eastAsia="Times New Roman" w:hAnsi="Times New Roman" w:cs="Times New Roman"/>
      <w:spacing w:val="-3"/>
      <w:sz w:val="20"/>
      <w:szCs w:val="20"/>
    </w:rPr>
  </w:style>
  <w:style w:type="character" w:styleId="FootnoteReference">
    <w:name w:val="footnote reference"/>
    <w:aliases w:val="Ref. de nota al pie.,FC,Footnote Reference.SES,referencia nota al pie,titulo 2,16 Point,Superscript 6 Point,Fußnotenzeichen DISS,ftref,Ref,de nota al pie,BVI fnr,Знак сноски 1,Footnote Referencefra,Style 24,pie pddes"/>
    <w:qFormat/>
    <w:rsid w:val="00E363A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03F"/>
    <w:rPr>
      <w:rFonts w:ascii="Calibri" w:eastAsia="MS Mincho" w:hAnsi="Calibri" w:cs="Times New Roman"/>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F1703F"/>
    <w:rPr>
      <w:rFonts w:cs="Times New Roman"/>
      <w:sz w:val="16"/>
      <w:szCs w:val="16"/>
    </w:rPr>
  </w:style>
  <w:style w:type="paragraph" w:styleId="ListParagraph">
    <w:name w:val="List Paragraph"/>
    <w:basedOn w:val="Normal"/>
    <w:uiPriority w:val="34"/>
    <w:qFormat/>
    <w:rsid w:val="00B14384"/>
    <w:pPr>
      <w:ind w:left="720"/>
      <w:contextualSpacing/>
    </w:p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qFormat/>
    <w:rsid w:val="00E363A6"/>
    <w:pPr>
      <w:keepNext/>
      <w:keepLines/>
      <w:spacing w:after="120" w:line="240" w:lineRule="auto"/>
      <w:ind w:left="288" w:hanging="288"/>
      <w:jc w:val="both"/>
    </w:pPr>
    <w:rPr>
      <w:rFonts w:ascii="Times New Roman" w:eastAsia="Times New Roman" w:hAnsi="Times New Roman"/>
      <w:spacing w:val="-3"/>
      <w:sz w:val="20"/>
      <w:szCs w:val="20"/>
      <w:lang w:val="en-US"/>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rsid w:val="00E363A6"/>
    <w:rPr>
      <w:rFonts w:ascii="Times New Roman" w:eastAsia="Times New Roman" w:hAnsi="Times New Roman" w:cs="Times New Roman"/>
      <w:spacing w:val="-3"/>
      <w:sz w:val="20"/>
      <w:szCs w:val="20"/>
    </w:rPr>
  </w:style>
  <w:style w:type="character" w:styleId="FootnoteReference">
    <w:name w:val="footnote reference"/>
    <w:aliases w:val="Ref. de nota al pie.,FC,Footnote Reference.SES,referencia nota al pie,titulo 2,16 Point,Superscript 6 Point,Fußnotenzeichen DISS,ftref,Ref,de nota al pie,BVI fnr,Знак сноски 1,Footnote Referencefra,Style 24,pie pddes"/>
    <w:qFormat/>
    <w:rsid w:val="00E363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8528">
      <w:bodyDiv w:val="1"/>
      <w:marLeft w:val="0"/>
      <w:marRight w:val="0"/>
      <w:marTop w:val="0"/>
      <w:marBottom w:val="0"/>
      <w:divBdr>
        <w:top w:val="none" w:sz="0" w:space="0" w:color="auto"/>
        <w:left w:val="none" w:sz="0" w:space="0" w:color="auto"/>
        <w:bottom w:val="none" w:sz="0" w:space="0" w:color="auto"/>
        <w:right w:val="none" w:sz="0" w:space="0" w:color="auto"/>
      </w:divBdr>
    </w:div>
    <w:div w:id="348527008">
      <w:bodyDiv w:val="1"/>
      <w:marLeft w:val="0"/>
      <w:marRight w:val="0"/>
      <w:marTop w:val="0"/>
      <w:marBottom w:val="0"/>
      <w:divBdr>
        <w:top w:val="none" w:sz="0" w:space="0" w:color="auto"/>
        <w:left w:val="none" w:sz="0" w:space="0" w:color="auto"/>
        <w:bottom w:val="none" w:sz="0" w:space="0" w:color="auto"/>
        <w:right w:val="none" w:sz="0" w:space="0" w:color="auto"/>
      </w:divBdr>
    </w:div>
    <w:div w:id="422382420">
      <w:bodyDiv w:val="1"/>
      <w:marLeft w:val="0"/>
      <w:marRight w:val="0"/>
      <w:marTop w:val="0"/>
      <w:marBottom w:val="0"/>
      <w:divBdr>
        <w:top w:val="none" w:sz="0" w:space="0" w:color="auto"/>
        <w:left w:val="none" w:sz="0" w:space="0" w:color="auto"/>
        <w:bottom w:val="none" w:sz="0" w:space="0" w:color="auto"/>
        <w:right w:val="none" w:sz="0" w:space="0" w:color="auto"/>
      </w:divBdr>
    </w:div>
    <w:div w:id="512064376">
      <w:bodyDiv w:val="1"/>
      <w:marLeft w:val="0"/>
      <w:marRight w:val="0"/>
      <w:marTop w:val="0"/>
      <w:marBottom w:val="0"/>
      <w:divBdr>
        <w:top w:val="none" w:sz="0" w:space="0" w:color="auto"/>
        <w:left w:val="none" w:sz="0" w:space="0" w:color="auto"/>
        <w:bottom w:val="none" w:sz="0" w:space="0" w:color="auto"/>
        <w:right w:val="none" w:sz="0" w:space="0" w:color="auto"/>
      </w:divBdr>
    </w:div>
    <w:div w:id="1168209647">
      <w:bodyDiv w:val="1"/>
      <w:marLeft w:val="0"/>
      <w:marRight w:val="0"/>
      <w:marTop w:val="0"/>
      <w:marBottom w:val="0"/>
      <w:divBdr>
        <w:top w:val="none" w:sz="0" w:space="0" w:color="auto"/>
        <w:left w:val="none" w:sz="0" w:space="0" w:color="auto"/>
        <w:bottom w:val="none" w:sz="0" w:space="0" w:color="auto"/>
        <w:right w:val="none" w:sz="0" w:space="0" w:color="auto"/>
      </w:divBdr>
    </w:div>
    <w:div w:id="1201014704">
      <w:bodyDiv w:val="1"/>
      <w:marLeft w:val="0"/>
      <w:marRight w:val="0"/>
      <w:marTop w:val="0"/>
      <w:marBottom w:val="0"/>
      <w:divBdr>
        <w:top w:val="none" w:sz="0" w:space="0" w:color="auto"/>
        <w:left w:val="none" w:sz="0" w:space="0" w:color="auto"/>
        <w:bottom w:val="none" w:sz="0" w:space="0" w:color="auto"/>
        <w:right w:val="none" w:sz="0" w:space="0" w:color="auto"/>
      </w:divBdr>
    </w:div>
    <w:div w:id="1485731293">
      <w:bodyDiv w:val="1"/>
      <w:marLeft w:val="0"/>
      <w:marRight w:val="0"/>
      <w:marTop w:val="0"/>
      <w:marBottom w:val="0"/>
      <w:divBdr>
        <w:top w:val="none" w:sz="0" w:space="0" w:color="auto"/>
        <w:left w:val="none" w:sz="0" w:space="0" w:color="auto"/>
        <w:bottom w:val="none" w:sz="0" w:space="0" w:color="auto"/>
        <w:right w:val="none" w:sz="0" w:space="0" w:color="auto"/>
      </w:divBdr>
    </w:div>
    <w:div w:id="1600288431">
      <w:bodyDiv w:val="1"/>
      <w:marLeft w:val="0"/>
      <w:marRight w:val="0"/>
      <w:marTop w:val="0"/>
      <w:marBottom w:val="0"/>
      <w:divBdr>
        <w:top w:val="none" w:sz="0" w:space="0" w:color="auto"/>
        <w:left w:val="none" w:sz="0" w:space="0" w:color="auto"/>
        <w:bottom w:val="none" w:sz="0" w:space="0" w:color="auto"/>
        <w:right w:val="none" w:sz="0" w:space="0" w:color="auto"/>
      </w:divBdr>
    </w:div>
    <w:div w:id="1869223169">
      <w:bodyDiv w:val="1"/>
      <w:marLeft w:val="0"/>
      <w:marRight w:val="0"/>
      <w:marTop w:val="0"/>
      <w:marBottom w:val="0"/>
      <w:divBdr>
        <w:top w:val="none" w:sz="0" w:space="0" w:color="auto"/>
        <w:left w:val="none" w:sz="0" w:space="0" w:color="auto"/>
        <w:bottom w:val="none" w:sz="0" w:space="0" w:color="auto"/>
        <w:right w:val="none" w:sz="0" w:space="0" w:color="auto"/>
      </w:divBdr>
    </w:div>
    <w:div w:id="2032951479">
      <w:bodyDiv w:val="1"/>
      <w:marLeft w:val="0"/>
      <w:marRight w:val="0"/>
      <w:marTop w:val="0"/>
      <w:marBottom w:val="0"/>
      <w:divBdr>
        <w:top w:val="none" w:sz="0" w:space="0" w:color="auto"/>
        <w:left w:val="none" w:sz="0" w:space="0" w:color="auto"/>
        <w:bottom w:val="none" w:sz="0" w:space="0" w:color="auto"/>
        <w:right w:val="none" w:sz="0" w:space="0" w:color="auto"/>
      </w:divBdr>
    </w:div>
    <w:div w:id="20953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8A3BCEEEA004947977A9F3B96C74157" ma:contentTypeVersion="0" ma:contentTypeDescription="A content type to manage public (operations) IDB documents" ma:contentTypeScope="" ma:versionID="130d93567d496c81f553a1c218a15404">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39684880</IDBDocs_x0020_Number>
    <Document_x0020_Author xmlns="9c571b2f-e523-4ab2-ba2e-09e151a03ef4">Pinzon Enciso, Leonardo Enrique</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PN-L1105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A4971F00-7148-44A6-B57C-B980871005BE}"/>
</file>

<file path=customXml/itemProps2.xml><?xml version="1.0" encoding="utf-8"?>
<ds:datastoreItem xmlns:ds="http://schemas.openxmlformats.org/officeDocument/2006/customXml" ds:itemID="{77AF321E-1022-42DA-978A-21C0EFDDEBF3}"/>
</file>

<file path=customXml/itemProps3.xml><?xml version="1.0" encoding="utf-8"?>
<ds:datastoreItem xmlns:ds="http://schemas.openxmlformats.org/officeDocument/2006/customXml" ds:itemID="{8381C79D-86BF-4A63-9F64-1FF1476D95DF}"/>
</file>

<file path=customXml/itemProps4.xml><?xml version="1.0" encoding="utf-8"?>
<ds:datastoreItem xmlns:ds="http://schemas.openxmlformats.org/officeDocument/2006/customXml" ds:itemID="{8385114F-EE1A-4AB6-966F-9020DAF3A77E}"/>
</file>

<file path=customXml/itemProps5.xml><?xml version="1.0" encoding="utf-8"?>
<ds:datastoreItem xmlns:ds="http://schemas.openxmlformats.org/officeDocument/2006/customXml" ds:itemID="{F05DF8C1-FE3C-4422-8733-2FF4EDC25894}"/>
</file>

<file path=customXml/itemProps6.xml><?xml version="1.0" encoding="utf-8"?>
<ds:datastoreItem xmlns:ds="http://schemas.openxmlformats.org/officeDocument/2006/customXml" ds:itemID="{9BF1C1E6-9499-4BBA-883D-7AF86D0AC983}"/>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3026</Characters>
  <Application>Microsoft Office Word</Application>
  <DocSecurity>4</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_Mapa institucional de Protección Social_</dc:title>
  <dc:creator>IADB</dc:creator>
  <cp:lastModifiedBy>Test</cp:lastModifiedBy>
  <cp:revision>2</cp:revision>
  <dcterms:created xsi:type="dcterms:W3CDTF">2015-06-22T18:10:00Z</dcterms:created>
  <dcterms:modified xsi:type="dcterms:W3CDTF">2015-06-22T18:10:00Z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0x01010046CF21643EE8D14686A648AA6DAD08920048A3BCEEEA004947977A9F3B96C74157</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