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36"/>
      </w:tblGrid>
      <w:tr w:rsidR="008F0380" w:rsidRPr="003E3210">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8F0380" w:rsidRPr="003E3210" w:rsidRDefault="0012300A">
            <w:pPr>
              <w:spacing w:after="240"/>
              <w:rPr>
                <w:rFonts w:ascii="Arial" w:eastAsia="Times New Roman" w:hAnsi="Arial" w:cs="Arial"/>
              </w:rPr>
            </w:pPr>
            <w:bookmarkStart w:id="0" w:name="_GoBack"/>
            <w:bookmarkEnd w:id="0"/>
            <w:r w:rsidRPr="003E3210">
              <w:rPr>
                <w:rFonts w:ascii="Arial" w:eastAsia="Times New Roman" w:hAnsi="Arial" w:cs="Arial"/>
                <w:b/>
                <w:bCs/>
              </w:rPr>
              <w:t>SAFEGUARD POLICY FILTER REPORT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43"/>
              <w:gridCol w:w="6667"/>
            </w:tblGrid>
            <w:tr w:rsidR="008F0380" w:rsidRPr="003E3210">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PROJECT DETAILS</w:t>
                  </w:r>
                </w:p>
              </w:tc>
            </w:tr>
            <w:tr w:rsidR="008F0380" w:rsidRPr="003E3210">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B778C2">
                  <w:pPr>
                    <w:rPr>
                      <w:rFonts w:ascii="Arial" w:eastAsia="Times New Roman" w:hAnsi="Arial" w:cs="Arial"/>
                      <w:sz w:val="22"/>
                      <w:szCs w:val="22"/>
                    </w:rPr>
                  </w:pPr>
                  <w:r w:rsidRPr="003E3210">
                    <w:rPr>
                      <w:rFonts w:ascii="Arial" w:eastAsia="Times New Roman" w:hAnsi="Arial" w:cs="Arial"/>
                      <w:sz w:val="22"/>
                      <w:szCs w:val="22"/>
                    </w:rPr>
                    <w:t>Social protection, social inclusion and equality</w:t>
                  </w:r>
                </w:p>
              </w:tc>
            </w:tr>
            <w:tr w:rsidR="008F0380" w:rsidRPr="003E321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Investment Loan</w:t>
                  </w:r>
                </w:p>
              </w:tc>
            </w:tr>
            <w:tr w:rsidR="008F0380" w:rsidRPr="003E321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8F0380">
                  <w:pPr>
                    <w:rPr>
                      <w:rFonts w:ascii="Arial" w:eastAsia="Times New Roman" w:hAnsi="Arial" w:cs="Arial"/>
                      <w:sz w:val="22"/>
                      <w:szCs w:val="22"/>
                    </w:rPr>
                  </w:pPr>
                </w:p>
              </w:tc>
            </w:tr>
            <w:tr w:rsidR="008F0380" w:rsidRPr="003E321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Generic Checklist</w:t>
                  </w:r>
                </w:p>
              </w:tc>
            </w:tr>
            <w:tr w:rsidR="008F0380" w:rsidRPr="003E321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Pinzón Enciso, Leonardo Enrique (LEONARDOP@iadb.org)</w:t>
                  </w:r>
                </w:p>
              </w:tc>
            </w:tr>
            <w:tr w:rsidR="008F0380" w:rsidRPr="003E321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rsidP="00B778C2">
                  <w:pPr>
                    <w:rPr>
                      <w:rFonts w:ascii="Arial" w:eastAsia="Times New Roman" w:hAnsi="Arial" w:cs="Arial"/>
                      <w:sz w:val="22"/>
                      <w:szCs w:val="22"/>
                    </w:rPr>
                  </w:pPr>
                  <w:r w:rsidRPr="003E3210">
                    <w:rPr>
                      <w:rFonts w:ascii="Arial" w:eastAsia="Times New Roman" w:hAnsi="Arial" w:cs="Arial"/>
                      <w:sz w:val="22"/>
                      <w:szCs w:val="22"/>
                    </w:rPr>
                    <w:t xml:space="preserve">Program Development and </w:t>
                  </w:r>
                  <w:r w:rsidR="00B778C2" w:rsidRPr="003E3210">
                    <w:rPr>
                      <w:rFonts w:ascii="Arial" w:eastAsia="Times New Roman" w:hAnsi="Arial" w:cs="Arial"/>
                      <w:sz w:val="22"/>
                      <w:szCs w:val="22"/>
                    </w:rPr>
                    <w:t xml:space="preserve">Social </w:t>
                  </w:r>
                  <w:r w:rsidRPr="003E3210">
                    <w:rPr>
                      <w:rFonts w:ascii="Arial" w:eastAsia="Times New Roman" w:hAnsi="Arial" w:cs="Arial"/>
                      <w:sz w:val="22"/>
                      <w:szCs w:val="22"/>
                    </w:rPr>
                    <w:t>Inclusion</w:t>
                  </w:r>
                </w:p>
              </w:tc>
            </w:tr>
            <w:tr w:rsidR="008F0380" w:rsidRPr="003E321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PN-L1105</w:t>
                  </w:r>
                </w:p>
              </w:tc>
            </w:tr>
            <w:tr w:rsidR="008F0380" w:rsidRPr="003E321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Smith, Ruth Ann Cecilia (rsmith@IADB.ORG)</w:t>
                  </w:r>
                </w:p>
              </w:tc>
            </w:tr>
            <w:tr w:rsidR="008F0380" w:rsidRPr="003E321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2015-03-03</w:t>
                  </w:r>
                </w:p>
              </w:tc>
            </w:tr>
          </w:tbl>
          <w:p w:rsidR="008F0380" w:rsidRPr="003E3210" w:rsidRDefault="008F0380">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1"/>
              <w:gridCol w:w="3839"/>
              <w:gridCol w:w="2930"/>
            </w:tblGrid>
            <w:tr w:rsidR="008F0380" w:rsidRPr="003E3210">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SAFEGUARD POLICY FILTER RESULTS</w:t>
                  </w:r>
                </w:p>
              </w:tc>
            </w:tr>
            <w:tr w:rsidR="008F0380" w:rsidRPr="003E3210">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Loan Operation</w:t>
                  </w:r>
                </w:p>
              </w:tc>
            </w:tr>
            <w:tr w:rsidR="008F0380" w:rsidRPr="003E3210">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Safeguard Policy Items</w:t>
                  </w:r>
                  <w:r w:rsidRPr="003E3210">
                    <w:rPr>
                      <w:rFonts w:ascii="Arial" w:eastAsia="Times New Roman" w:hAnsi="Arial" w:cs="Arial"/>
                      <w:b/>
                      <w:bCs/>
                      <w:sz w:val="22"/>
                      <w:szCs w:val="22"/>
                    </w:rPr>
                    <w:br/>
                    <w:t xml:space="preserve">Identified </w:t>
                  </w:r>
                  <w:r w:rsidRPr="003E3210">
                    <w:rPr>
                      <w:rFonts w:ascii="Arial" w:eastAsia="Times New Roman" w:hAnsi="Arial" w:cs="Arial"/>
                      <w:b/>
                      <w:bCs/>
                      <w:color w:val="FF0000"/>
                      <w:sz w:val="22"/>
                      <w:szCs w:val="22"/>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Is this project specifically designed to address indigenous peoples issues?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(B.01) Indigenous People Policy– OP-765</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Does this project offer opportunities for indigenous peoples through its project components?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(B.01) Indigenous People Policy– OP-765</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The Bank will make available to the public the relevant Project documents.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(B.01) Access to Information Policy– OP-102</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Is this project specifically designed to address gender equality or women's empowerment issues?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(B.01) Gender Equality Policy– OP-761</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Does this project offer opportunities to promote gender equality or women's empowerment through its project components?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(B.01) Gender Equality Policy– OP-761</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(B.02)</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(B.03)</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There are Associated Facilities (see Policy definition) relating to the investments being financed by the Bank.</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(B.04)</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An Environmental Assessment is required.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(B.05)</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 xml:space="preserve">Consultations with affected parties will be performed equitably and inclusively with the views of all stakeholders taken into account, including in particular: (a) equal participation of women and men, (b) socio-culturally appropriate participation of indigenous peoples and (c) mechanisms for equitable participation by vulnerable groups. </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(B.06)</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(B.07)</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The operation has the potential to pollute the environment (e.g. air, soil, water, greenhouse gases...).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(B.11)</w:t>
                  </w:r>
                </w:p>
              </w:tc>
            </w:tr>
            <w:tr w:rsidR="008F0380" w:rsidRPr="003E321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color w:val="0000FF"/>
                      <w:sz w:val="22"/>
                      <w:szCs w:val="22"/>
                    </w:rPr>
                  </w:pPr>
                  <w:r w:rsidRPr="003E3210">
                    <w:rPr>
                      <w:rFonts w:ascii="Arial" w:eastAsia="Times New Roman" w:hAnsi="Arial" w:cs="Arial"/>
                      <w:color w:val="0000FF"/>
                      <w:sz w:val="22"/>
                      <w:szCs w:val="22"/>
                    </w:rPr>
                    <w:t>(B.17)</w:t>
                  </w:r>
                </w:p>
              </w:tc>
            </w:tr>
            <w:tr w:rsidR="008F0380" w:rsidRPr="003E3210">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Potential Safeguard Policy</w:t>
                  </w:r>
                  <w:r w:rsidRPr="003E3210">
                    <w:rPr>
                      <w:rFonts w:ascii="Arial" w:eastAsia="Times New Roman" w:hAnsi="Arial" w:cs="Arial"/>
                      <w:b/>
                      <w:bCs/>
                      <w:sz w:val="22"/>
                      <w:szCs w:val="22"/>
                    </w:rPr>
                    <w:br/>
                    <w:t>Items</w:t>
                  </w:r>
                  <w:r w:rsidRPr="003E3210">
                    <w:rPr>
                      <w:rFonts w:ascii="Arial" w:eastAsia="Times New Roman" w:hAnsi="Arial" w:cs="Arial"/>
                      <w:b/>
                      <w:bCs/>
                      <w:color w:val="FF0000"/>
                      <w:sz w:val="22"/>
                      <w:szCs w:val="22"/>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F0380" w:rsidRPr="003E3210" w:rsidRDefault="0012300A">
                  <w:pPr>
                    <w:spacing w:after="240"/>
                    <w:rPr>
                      <w:rFonts w:ascii="Arial" w:eastAsia="Times New Roman" w:hAnsi="Arial" w:cs="Arial"/>
                      <w:sz w:val="22"/>
                      <w:szCs w:val="22"/>
                    </w:rPr>
                  </w:pPr>
                  <w:r w:rsidRPr="003E3210">
                    <w:rPr>
                      <w:rFonts w:ascii="Arial" w:eastAsia="Times New Roman" w:hAnsi="Arial" w:cs="Arial"/>
                      <w:sz w:val="22"/>
                      <w:szCs w:val="22"/>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8F0380">
                  <w:pPr>
                    <w:rPr>
                      <w:rFonts w:ascii="Arial" w:eastAsia="Times New Roman" w:hAnsi="Arial" w:cs="Arial"/>
                      <w:sz w:val="22"/>
                      <w:szCs w:val="22"/>
                    </w:rPr>
                  </w:pPr>
                </w:p>
              </w:tc>
            </w:tr>
            <w:tr w:rsidR="008F0380" w:rsidRPr="003E3210">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spacing w:after="240"/>
                    <w:rPr>
                      <w:rFonts w:ascii="Arial" w:eastAsia="Times New Roman" w:hAnsi="Arial" w:cs="Arial"/>
                      <w:sz w:val="22"/>
                      <w:szCs w:val="22"/>
                    </w:rPr>
                  </w:pPr>
                  <w:r w:rsidRPr="003E3210">
                    <w:rPr>
                      <w:rFonts w:ascii="Arial" w:eastAsia="Times New Roman" w:hAnsi="Arial" w:cs="Arial"/>
                      <w:sz w:val="22"/>
                      <w:szCs w:val="22"/>
                    </w:rPr>
                    <w:t>Operation has triggered 1 or more Policy Directives; please refer to appropriate Directive(s). Complete Project Classification Tool. Submit Safeguard Policy Filter Report, PP (or equivalent) and Safeguard Screening Form to ESR.</w:t>
                  </w:r>
                  <w:r w:rsidRPr="003E3210">
                    <w:rPr>
                      <w:rFonts w:ascii="Arial" w:eastAsia="Times New Roman" w:hAnsi="Arial" w:cs="Arial"/>
                      <w:sz w:val="22"/>
                      <w:szCs w:val="22"/>
                    </w:rPr>
                    <w:br/>
                  </w:r>
                  <w:r w:rsidRPr="003E3210">
                    <w:rPr>
                      <w:rFonts w:ascii="Arial" w:eastAsia="Times New Roman" w:hAnsi="Arial" w:cs="Arial"/>
                      <w:sz w:val="22"/>
                      <w:szCs w:val="22"/>
                    </w:rPr>
                    <w:lastRenderedPageBreak/>
                    <w:br/>
                  </w:r>
                </w:p>
              </w:tc>
            </w:tr>
            <w:tr w:rsidR="008F0380" w:rsidRPr="003E3210">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lastRenderedPageBreak/>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8F0380">
                  <w:pPr>
                    <w:rPr>
                      <w:rFonts w:ascii="Arial" w:eastAsia="Times New Roman" w:hAnsi="Arial" w:cs="Arial"/>
                      <w:sz w:val="22"/>
                      <w:szCs w:val="22"/>
                    </w:rPr>
                  </w:pPr>
                </w:p>
              </w:tc>
            </w:tr>
          </w:tbl>
          <w:p w:rsidR="008F0380" w:rsidRPr="003E3210" w:rsidRDefault="008F0380">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43"/>
              <w:gridCol w:w="6667"/>
            </w:tblGrid>
            <w:tr w:rsidR="008F0380" w:rsidRPr="003E3210">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ASSESSOR DETAILS</w:t>
                  </w:r>
                </w:p>
              </w:tc>
            </w:tr>
            <w:tr w:rsidR="008F0380" w:rsidRPr="003E3210">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Smith, Ruth Ann Cecilia (rsmith@IADB.ORG)</w:t>
                  </w:r>
                </w:p>
              </w:tc>
            </w:tr>
            <w:tr w:rsidR="008F0380" w:rsidRPr="003E3210">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8F0380">
                  <w:pPr>
                    <w:rPr>
                      <w:rFonts w:ascii="Arial" w:eastAsia="Times New Roman" w:hAnsi="Arial" w:cs="Arial"/>
                      <w:sz w:val="22"/>
                      <w:szCs w:val="22"/>
                    </w:rPr>
                  </w:pPr>
                </w:p>
              </w:tc>
            </w:tr>
            <w:tr w:rsidR="008F0380" w:rsidRPr="003E3210">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2015-03-03</w:t>
                  </w:r>
                </w:p>
              </w:tc>
            </w:tr>
          </w:tbl>
          <w:p w:rsidR="008F0380" w:rsidRPr="003E3210" w:rsidRDefault="0012300A">
            <w:pPr>
              <w:rPr>
                <w:rFonts w:ascii="Arial" w:eastAsia="Times New Roman" w:hAnsi="Arial" w:cs="Arial"/>
                <w:sz w:val="20"/>
                <w:szCs w:val="20"/>
              </w:rPr>
            </w:pPr>
            <w:r w:rsidRPr="003E3210">
              <w:rPr>
                <w:rFonts w:ascii="Arial" w:eastAsia="Times New Roman" w:hAnsi="Arial" w:cs="Arial"/>
                <w:sz w:val="20"/>
                <w:szCs w:val="20"/>
              </w:rPr>
              <w:br/>
              <w:t> </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10"/>
            </w:tblGrid>
            <w:tr w:rsidR="008F0380" w:rsidRPr="003E3210">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COMMENTS</w:t>
                  </w:r>
                </w:p>
              </w:tc>
            </w:tr>
            <w:tr w:rsidR="008F0380" w:rsidRPr="003E321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No Comments</w:t>
                  </w:r>
                </w:p>
              </w:tc>
            </w:tr>
          </w:tbl>
          <w:p w:rsidR="008F0380" w:rsidRPr="003E3210" w:rsidRDefault="0012300A">
            <w:pPr>
              <w:spacing w:after="240"/>
              <w:rPr>
                <w:rFonts w:ascii="Arial" w:eastAsia="Times New Roman" w:hAnsi="Arial" w:cs="Arial"/>
                <w:sz w:val="22"/>
                <w:szCs w:val="22"/>
              </w:rPr>
            </w:pPr>
            <w:r w:rsidRPr="003E3210">
              <w:rPr>
                <w:rFonts w:ascii="Arial" w:eastAsia="Times New Roman" w:hAnsi="Arial" w:cs="Arial"/>
                <w:sz w:val="22"/>
                <w:szCs w:val="22"/>
              </w:rPr>
              <w:br/>
            </w:r>
          </w:p>
          <w:tbl>
            <w:tblPr>
              <w:tblW w:w="5000" w:type="pct"/>
              <w:tblCellSpacing w:w="15"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010"/>
            </w:tblGrid>
            <w:tr w:rsidR="008F0380" w:rsidRPr="003E3210">
              <w:trPr>
                <w:divId w:val="1489206461"/>
                <w:tblCellSpacing w:w="15" w:type="dxa"/>
              </w:trPr>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8F0380" w:rsidRPr="003E3210" w:rsidRDefault="0012300A">
                  <w:pPr>
                    <w:spacing w:after="240"/>
                    <w:rPr>
                      <w:rFonts w:ascii="Arial" w:eastAsia="Times New Roman" w:hAnsi="Arial" w:cs="Arial"/>
                      <w:sz w:val="22"/>
                      <w:szCs w:val="22"/>
                    </w:rPr>
                  </w:pPr>
                  <w:r w:rsidRPr="003E3210">
                    <w:rPr>
                      <w:rFonts w:ascii="Arial" w:eastAsia="Times New Roman" w:hAnsi="Arial" w:cs="Arial"/>
                      <w:b/>
                      <w:bCs/>
                      <w:sz w:val="22"/>
                      <w:szCs w:val="22"/>
                    </w:rPr>
                    <w:t>SAFEGUARD SCREENING FORM</w:t>
                  </w:r>
                </w:p>
                <w:tbl>
                  <w:tblPr>
                    <w:tblW w:w="5000" w:type="pct"/>
                    <w:tblCellSpacing w:w="0" w:type="dxa"/>
                    <w:tblBorders>
                      <w:top w:val="single" w:sz="6" w:space="0" w:color="808080"/>
                      <w:left w:val="single" w:sz="6" w:space="0" w:color="808080"/>
                      <w:right w:val="single" w:sz="6" w:space="0" w:color="808080"/>
                    </w:tblBorders>
                    <w:tblCellMar>
                      <w:left w:w="0" w:type="dxa"/>
                      <w:right w:w="0" w:type="dxa"/>
                    </w:tblCellMar>
                    <w:tblLook w:val="04A0" w:firstRow="1" w:lastRow="0" w:firstColumn="1" w:lastColumn="0" w:noHBand="0" w:noVBand="1"/>
                  </w:tblPr>
                  <w:tblGrid>
                    <w:gridCol w:w="2260"/>
                    <w:gridCol w:w="6434"/>
                  </w:tblGrid>
                  <w:tr w:rsidR="008F0380" w:rsidRPr="003E3210">
                    <w:trPr>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0" w:type="dxa"/>
                          <w:left w:w="105" w:type="dxa"/>
                          <w:bottom w:w="0"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PROJECT DETAILS</w:t>
                        </w:r>
                      </w:p>
                    </w:tc>
                  </w:tr>
                  <w:tr w:rsidR="008F0380" w:rsidRPr="003E3210">
                    <w:trPr>
                      <w:tblCellSpacing w:w="0" w:type="dxa"/>
                    </w:trPr>
                    <w:tc>
                      <w:tcPr>
                        <w:tcW w:w="13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IDB Sector</w:t>
                        </w:r>
                      </w:p>
                    </w:tc>
                    <w:tc>
                      <w:tcPr>
                        <w:tcW w:w="37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F0380" w:rsidRPr="003E3210" w:rsidRDefault="00B778C2">
                        <w:pPr>
                          <w:rPr>
                            <w:rFonts w:ascii="Arial" w:eastAsia="Times New Roman" w:hAnsi="Arial" w:cs="Arial"/>
                            <w:sz w:val="22"/>
                            <w:szCs w:val="22"/>
                          </w:rPr>
                        </w:pPr>
                        <w:r w:rsidRPr="003E3210">
                          <w:rPr>
                            <w:rFonts w:ascii="Arial" w:eastAsia="Times New Roman" w:hAnsi="Arial" w:cs="Arial"/>
                            <w:sz w:val="22"/>
                            <w:szCs w:val="22"/>
                          </w:rPr>
                          <w:t>Social protection, social inclusion and equality</w:t>
                        </w:r>
                      </w:p>
                    </w:tc>
                  </w:tr>
                  <w:tr w:rsidR="008F0380" w:rsidRPr="003E32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Type of Operation</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Investment Loan</w:t>
                        </w:r>
                      </w:p>
                    </w:tc>
                  </w:tr>
                  <w:tr w:rsidR="008F0380" w:rsidRPr="003E32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F0380" w:rsidRPr="003E3210" w:rsidRDefault="008F0380">
                        <w:pPr>
                          <w:rPr>
                            <w:rFonts w:ascii="Arial" w:eastAsia="Times New Roman" w:hAnsi="Arial" w:cs="Arial"/>
                            <w:sz w:val="22"/>
                            <w:szCs w:val="22"/>
                          </w:rPr>
                        </w:pPr>
                      </w:p>
                    </w:tc>
                  </w:tr>
                  <w:tr w:rsidR="008F0380" w:rsidRPr="003E32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Country</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PANAMA</w:t>
                        </w:r>
                      </w:p>
                    </w:tc>
                  </w:tr>
                  <w:tr w:rsidR="008F0380" w:rsidRPr="003E32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Project Status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F0380" w:rsidRPr="003E3210" w:rsidRDefault="008F0380">
                        <w:pPr>
                          <w:rPr>
                            <w:rFonts w:ascii="Arial" w:eastAsia="Times New Roman" w:hAnsi="Arial" w:cs="Arial"/>
                            <w:sz w:val="22"/>
                            <w:szCs w:val="22"/>
                          </w:rPr>
                        </w:pPr>
                      </w:p>
                    </w:tc>
                  </w:tr>
                  <w:tr w:rsidR="008F0380" w:rsidRPr="003E32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Generic Checklist</w:t>
                        </w:r>
                      </w:p>
                    </w:tc>
                  </w:tr>
                  <w:tr w:rsidR="008F0380" w:rsidRPr="003E32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Team Leader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Pinzón Enciso, Leonardo Enrique (LEONARDOP@iadb.org)</w:t>
                        </w:r>
                      </w:p>
                    </w:tc>
                  </w:tr>
                  <w:tr w:rsidR="008F0380" w:rsidRPr="003E32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Project Title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F0380" w:rsidRPr="003E3210" w:rsidRDefault="0012300A" w:rsidP="00B778C2">
                        <w:pPr>
                          <w:rPr>
                            <w:rFonts w:ascii="Arial" w:eastAsia="Times New Roman" w:hAnsi="Arial" w:cs="Arial"/>
                            <w:sz w:val="22"/>
                            <w:szCs w:val="22"/>
                          </w:rPr>
                        </w:pPr>
                        <w:r w:rsidRPr="003E3210">
                          <w:rPr>
                            <w:rFonts w:ascii="Arial" w:eastAsia="Times New Roman" w:hAnsi="Arial" w:cs="Arial"/>
                            <w:sz w:val="22"/>
                            <w:szCs w:val="22"/>
                          </w:rPr>
                          <w:t xml:space="preserve">Program for Development and </w:t>
                        </w:r>
                        <w:r w:rsidR="00B778C2" w:rsidRPr="003E3210">
                          <w:rPr>
                            <w:rFonts w:ascii="Arial" w:eastAsia="Times New Roman" w:hAnsi="Arial" w:cs="Arial"/>
                            <w:sz w:val="22"/>
                            <w:szCs w:val="22"/>
                          </w:rPr>
                          <w:t xml:space="preserve">Social </w:t>
                        </w:r>
                        <w:r w:rsidRPr="003E3210">
                          <w:rPr>
                            <w:rFonts w:ascii="Arial" w:eastAsia="Times New Roman" w:hAnsi="Arial" w:cs="Arial"/>
                            <w:sz w:val="22"/>
                            <w:szCs w:val="22"/>
                          </w:rPr>
                          <w:t>Inclusion</w:t>
                        </w:r>
                      </w:p>
                    </w:tc>
                  </w:tr>
                  <w:tr w:rsidR="008F0380" w:rsidRPr="003E32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Project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PN-L1105</w:t>
                        </w:r>
                      </w:p>
                    </w:tc>
                  </w:tr>
                  <w:tr w:rsidR="008F0380" w:rsidRPr="003E32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Smith, Ruth Ann Cecilia (rsmith@IADB.ORG)</w:t>
                        </w:r>
                      </w:p>
                    </w:tc>
                  </w:tr>
                  <w:tr w:rsidR="008F0380" w:rsidRPr="003E32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Assessment Date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2015-03-03</w:t>
                        </w:r>
                      </w:p>
                    </w:tc>
                  </w:tr>
                </w:tbl>
                <w:p w:rsidR="008F0380" w:rsidRPr="003E3210" w:rsidRDefault="008F0380">
                  <w:pPr>
                    <w:spacing w:after="240"/>
                    <w:rPr>
                      <w:rFonts w:ascii="Arial" w:eastAsia="Times New Roman" w:hAnsi="Arial" w:cs="Arial"/>
                      <w:sz w:val="22"/>
                      <w:szCs w:val="22"/>
                    </w:rPr>
                  </w:pPr>
                </w:p>
                <w:tbl>
                  <w:tblPr>
                    <w:tblW w:w="0" w:type="auto"/>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14"/>
                    <w:gridCol w:w="1812"/>
                    <w:gridCol w:w="4568"/>
                  </w:tblGrid>
                  <w:tr w:rsidR="008F0380" w:rsidRPr="003E3210">
                    <w:trPr>
                      <w:tblCellSpacing w:w="15" w:type="dxa"/>
                    </w:trPr>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PROJECT CLASSIFICATION SUMMARY</w:t>
                        </w:r>
                      </w:p>
                    </w:tc>
                  </w:tr>
                  <w:tr w:rsidR="008F0380" w:rsidRPr="003E3210">
                    <w:trPr>
                      <w:trHeight w:val="600"/>
                      <w:tblCellSpacing w:w="15" w:type="dxa"/>
                    </w:trPr>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Project Category:</w:t>
                        </w:r>
                        <w:r w:rsidRPr="003E3210">
                          <w:rPr>
                            <w:rFonts w:ascii="Arial" w:eastAsia="Times New Roman" w:hAnsi="Arial" w:cs="Arial"/>
                            <w:b/>
                            <w:bCs/>
                            <w:sz w:val="22"/>
                            <w:szCs w:val="22"/>
                          </w:rPr>
                          <w:br/>
                        </w:r>
                        <w:r w:rsidRPr="003E3210">
                          <w:rPr>
                            <w:rFonts w:ascii="Arial" w:eastAsia="Times New Roman" w:hAnsi="Arial" w:cs="Arial"/>
                            <w:sz w:val="22"/>
                            <w:szCs w:val="22"/>
                          </w:rPr>
                          <w:t>B</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Override Justification:</w:t>
                        </w:r>
                      </w:p>
                    </w:tc>
                  </w:tr>
                  <w:tr w:rsidR="008F0380" w:rsidRPr="003E3210">
                    <w:trPr>
                      <w:trHeight w:val="600"/>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0380" w:rsidRPr="003E3210" w:rsidRDefault="008F0380">
                        <w:pPr>
                          <w:rPr>
                            <w:rFonts w:ascii="Arial" w:eastAsia="Times New Roman" w:hAnsi="Arial" w:cs="Arial"/>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Comments:</w:t>
                        </w:r>
                      </w:p>
                    </w:tc>
                  </w:tr>
                  <w:tr w:rsidR="008F0380" w:rsidRPr="003E32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Conditions/</w:t>
                        </w:r>
                        <w:r w:rsidRPr="003E3210">
                          <w:rPr>
                            <w:rFonts w:ascii="Arial" w:eastAsia="Times New Roman" w:hAnsi="Arial" w:cs="Arial"/>
                            <w:b/>
                            <w:bCs/>
                            <w:sz w:val="22"/>
                            <w:szCs w:val="22"/>
                          </w:rPr>
                          <w:br/>
                        </w:r>
                        <w:r w:rsidRPr="003E3210">
                          <w:rPr>
                            <w:rFonts w:ascii="Arial" w:eastAsia="Times New Roman" w:hAnsi="Arial" w:cs="Arial"/>
                            <w:b/>
                            <w:bCs/>
                            <w:sz w:val="22"/>
                            <w:szCs w:val="22"/>
                          </w:rPr>
                          <w:lastRenderedPageBreak/>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spacing w:after="240"/>
                          <w:rPr>
                            <w:rFonts w:ascii="Arial" w:eastAsia="Times New Roman" w:hAnsi="Arial" w:cs="Arial"/>
                            <w:sz w:val="22"/>
                            <w:szCs w:val="22"/>
                          </w:rPr>
                        </w:pPr>
                        <w:r w:rsidRPr="003E3210">
                          <w:rPr>
                            <w:rFonts w:ascii="Arial" w:eastAsia="Times New Roman" w:hAnsi="Arial" w:cs="Arial"/>
                            <w:sz w:val="22"/>
                            <w:szCs w:val="22"/>
                          </w:rPr>
                          <w:lastRenderedPageBreak/>
                          <w:t xml:space="preserve">  Category "B" operations require an environmental analysis </w:t>
                        </w:r>
                        <w:r w:rsidRPr="003E3210">
                          <w:rPr>
                            <w:rFonts w:ascii="Arial" w:eastAsia="Times New Roman" w:hAnsi="Arial" w:cs="Arial"/>
                            <w:sz w:val="22"/>
                            <w:szCs w:val="22"/>
                          </w:rPr>
                          <w:lastRenderedPageBreak/>
                          <w:t>(see Environment Policy Guideline: Directive B.5 for Environmental Analysis requirements).</w:t>
                        </w:r>
                      </w:p>
                      <w:p w:rsidR="008F0380" w:rsidRPr="003E3210" w:rsidRDefault="0012300A">
                        <w:pPr>
                          <w:spacing w:after="240"/>
                          <w:rPr>
                            <w:rFonts w:ascii="Arial" w:eastAsia="Times New Roman" w:hAnsi="Arial" w:cs="Arial"/>
                            <w:sz w:val="22"/>
                            <w:szCs w:val="22"/>
                          </w:rPr>
                        </w:pPr>
                        <w:r w:rsidRPr="003E3210">
                          <w:rPr>
                            <w:rFonts w:ascii="Arial" w:eastAsia="Times New Roman" w:hAnsi="Arial" w:cs="Arial"/>
                            <w:sz w:val="22"/>
                            <w:szCs w:val="22"/>
                          </w:rPr>
                          <w:t>  The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8F0380" w:rsidRPr="003E3210" w:rsidRDefault="0012300A">
                        <w:pPr>
                          <w:spacing w:after="240"/>
                          <w:rPr>
                            <w:rFonts w:ascii="Arial" w:eastAsia="Times New Roman" w:hAnsi="Arial" w:cs="Arial"/>
                            <w:sz w:val="22"/>
                            <w:szCs w:val="22"/>
                          </w:rPr>
                        </w:pPr>
                        <w:r w:rsidRPr="003E3210">
                          <w:rPr>
                            <w:rFonts w:ascii="Arial" w:eastAsia="Times New Roman" w:hAnsi="Arial" w:cs="Arial"/>
                            <w:sz w:val="22"/>
                            <w:szCs w:val="22"/>
                          </w:rPr>
                          <w:t>  These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tc>
                  </w:tr>
                </w:tbl>
                <w:p w:rsidR="008F0380" w:rsidRPr="003E3210" w:rsidRDefault="008F0380">
                  <w:pPr>
                    <w:spacing w:after="240"/>
                    <w:rPr>
                      <w:rFonts w:ascii="Arial" w:eastAsia="Times New Roman" w:hAnsi="Arial" w:cs="Arial"/>
                      <w:sz w:val="22"/>
                      <w:szCs w:val="22"/>
                    </w:rPr>
                  </w:pPr>
                </w:p>
                <w:tbl>
                  <w:tblPr>
                    <w:tblW w:w="5000" w:type="pct"/>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82"/>
                    <w:gridCol w:w="6412"/>
                  </w:tblGrid>
                  <w:tr w:rsidR="008F0380" w:rsidRPr="003E3210">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SUMMARY OF IMPACTS/RISKS AND POTENTIAL SOLUTIONS</w:t>
                        </w:r>
                      </w:p>
                    </w:tc>
                  </w:tr>
                  <w:tr w:rsidR="008F0380" w:rsidRPr="003E3210">
                    <w:trPr>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Identified Impacts/Risks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Potential Solutions</w:t>
                        </w:r>
                      </w:p>
                    </w:tc>
                  </w:tr>
                  <w:tr w:rsidR="008F0380" w:rsidRPr="003E32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Generation of solid waste is moderate in volume, does not include hazardous materials and follows standards recognized by multilateral development banks.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b/>
                            <w:bCs/>
                            <w:sz w:val="22"/>
                            <w:szCs w:val="22"/>
                          </w:rPr>
                          <w:t>Solid Waste Management:</w:t>
                        </w:r>
                        <w:r w:rsidRPr="003E3210">
                          <w:rPr>
                            <w:rFonts w:ascii="Arial" w:eastAsia="Times New Roman" w:hAnsi="Arial" w:cs="Arial"/>
                            <w:sz w:val="22"/>
                            <w:szCs w:val="22"/>
                          </w:rPr>
                          <w:t xml:space="preserve"> The borrower should monitor and report on waste reduction, management and disposal and may also need to develop a Waste Management Plan (which could be included in the ESMP). Effort should be placed on reducing and re-cycling solid wastes. Specifically (if applicable) in the case that national legislations have no provisions for the disposal and destruction of hazardous materials, the applicable procedures established within the Rotterdam Convention, the Stockholm Convention, the Basel Convention, the WHO List on Banned Pesticides, and the Pollution Prevention and Abatement Handbook (PPAH), should be taken into consideration.</w:t>
                        </w:r>
                      </w:p>
                    </w:tc>
                  </w:tr>
                  <w:tr w:rsidR="008F0380" w:rsidRPr="003E32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Moderate Greenhouse Gas Emissions are predicted.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b/>
                            <w:bCs/>
                            <w:sz w:val="22"/>
                            <w:szCs w:val="22"/>
                          </w:rPr>
                          <w:t>Greenhouse Gas (GHG) Assessment:</w:t>
                        </w:r>
                        <w:r w:rsidRPr="003E3210">
                          <w:rPr>
                            <w:rFonts w:ascii="Arial" w:eastAsia="Times New Roman" w:hAnsi="Arial" w:cs="Arial"/>
                            <w:sz w:val="22"/>
                            <w:szCs w:val="22"/>
                          </w:rPr>
                          <w:t xml:space="preserve"> The borrower should promote the reduction of project-related greenhouse gas emissions in a manner appropriate to the nature and scale of project operations and impacts. The borrower should quantify direct emissions from the facilities owned or controlled within the physical project boundary and indirect emissions associated with the off-site production of power used by the project. Quantification and monitoring of GHG emissions should be conducted annually in accordance with internationally recognized methodologies (i.e. IPCC - </w:t>
                        </w:r>
                        <w:hyperlink r:id="rId8" w:tgtFrame="_blank" w:history="1">
                          <w:r w:rsidRPr="003E3210">
                            <w:rPr>
                              <w:rStyle w:val="Hyperlink"/>
                              <w:rFonts w:ascii="Arial" w:eastAsia="Times New Roman" w:hAnsi="Arial" w:cs="Arial"/>
                              <w:sz w:val="22"/>
                              <w:szCs w:val="22"/>
                            </w:rPr>
                            <w:t>http://www.ipcc.ch/</w:t>
                          </w:r>
                        </w:hyperlink>
                        <w:r w:rsidRPr="003E3210">
                          <w:rPr>
                            <w:rFonts w:ascii="Arial" w:eastAsia="Times New Roman" w:hAnsi="Arial" w:cs="Arial"/>
                            <w:sz w:val="22"/>
                            <w:szCs w:val="22"/>
                          </w:rPr>
                          <w:t>). In addition, the borrower should evaluate technically and financially feasible and cost-effective options for the reduction/offset of emissions that may be achieved during the design and operation of the project. The Sustainable Energy and Climate Change Initiative (SECCI) can help with this task (</w:t>
                        </w:r>
                        <w:hyperlink r:id="rId9" w:tgtFrame="_blank" w:history="1">
                          <w:r w:rsidRPr="003E3210">
                            <w:rPr>
                              <w:rStyle w:val="Hyperlink"/>
                              <w:rFonts w:ascii="Arial" w:eastAsia="Times New Roman" w:hAnsi="Arial" w:cs="Arial"/>
                              <w:sz w:val="22"/>
                              <w:szCs w:val="22"/>
                            </w:rPr>
                            <w:t>http://www.iadb.org/secci/</w:t>
                          </w:r>
                        </w:hyperlink>
                        <w:r w:rsidRPr="003E3210">
                          <w:rPr>
                            <w:rFonts w:ascii="Arial" w:eastAsia="Times New Roman" w:hAnsi="Arial" w:cs="Arial"/>
                            <w:sz w:val="22"/>
                            <w:szCs w:val="22"/>
                          </w:rPr>
                          <w:t>).</w:t>
                        </w:r>
                      </w:p>
                    </w:tc>
                  </w:tr>
                  <w:tr w:rsidR="008F0380" w:rsidRPr="003E32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 xml:space="preserve">Project construction </w:t>
                        </w:r>
                        <w:r w:rsidRPr="003E3210">
                          <w:rPr>
                            <w:rFonts w:ascii="Arial" w:eastAsia="Times New Roman" w:hAnsi="Arial" w:cs="Arial"/>
                            <w:sz w:val="22"/>
                            <w:szCs w:val="22"/>
                          </w:rPr>
                          <w:lastRenderedPageBreak/>
                          <w:t>activities are likely to lead to localized and temporary impacts (such as dust, noise, traffic etc) that will affect local communities and workers but these are minor to moderate in nature.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b/>
                            <w:bCs/>
                            <w:sz w:val="22"/>
                            <w:szCs w:val="22"/>
                          </w:rPr>
                          <w:lastRenderedPageBreak/>
                          <w:t>Construction:</w:t>
                        </w:r>
                        <w:r w:rsidRPr="003E3210">
                          <w:rPr>
                            <w:rFonts w:ascii="Arial" w:eastAsia="Times New Roman" w:hAnsi="Arial" w:cs="Arial"/>
                            <w:sz w:val="22"/>
                            <w:szCs w:val="22"/>
                          </w:rPr>
                          <w:t xml:space="preserve"> The borrower should demonstrate how the </w:t>
                        </w:r>
                        <w:r w:rsidRPr="003E3210">
                          <w:rPr>
                            <w:rFonts w:ascii="Arial" w:eastAsia="Times New Roman" w:hAnsi="Arial" w:cs="Arial"/>
                            <w:sz w:val="22"/>
                            <w:szCs w:val="22"/>
                          </w:rPr>
                          <w:lastRenderedPageBreak/>
                          <w:t>construction impacts will be mitigated. Appropriate management plans and procedures should be incorporated into the ESMP. Review of implementation as well as reporting on the plan should be part of the legal documentation (covenants, conditions of disbursement, etc).</w:t>
                        </w:r>
                      </w:p>
                    </w:tc>
                  </w:tr>
                </w:tbl>
                <w:p w:rsidR="008F0380" w:rsidRPr="003E3210" w:rsidRDefault="008F0380">
                  <w:pPr>
                    <w:spacing w:after="240"/>
                    <w:rPr>
                      <w:rFonts w:ascii="Arial" w:eastAsia="Times New Roman" w:hAnsi="Arial" w:cs="Arial"/>
                      <w:sz w:val="22"/>
                      <w:szCs w:val="22"/>
                    </w:rPr>
                  </w:pPr>
                </w:p>
                <w:tbl>
                  <w:tblPr>
                    <w:tblW w:w="0" w:type="auto"/>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82"/>
                    <w:gridCol w:w="6412"/>
                  </w:tblGrid>
                  <w:tr w:rsidR="008F0380" w:rsidRPr="003E3210">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DISASTER RISK SUMMARY</w:t>
                        </w:r>
                      </w:p>
                    </w:tc>
                  </w:tr>
                  <w:tr w:rsidR="008F0380" w:rsidRPr="003E3210">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br/>
                          <w:t xml:space="preserve">Disaster Risk Category: </w:t>
                        </w:r>
                        <w:r w:rsidRPr="003E3210">
                          <w:rPr>
                            <w:rFonts w:ascii="Arial" w:eastAsia="Times New Roman" w:hAnsi="Arial" w:cs="Arial"/>
                            <w:sz w:val="22"/>
                            <w:szCs w:val="22"/>
                          </w:rPr>
                          <w:t>Low</w:t>
                        </w:r>
                      </w:p>
                    </w:tc>
                  </w:tr>
                  <w:tr w:rsidR="008F0380" w:rsidRPr="003E3210">
                    <w:trPr>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Disaster/</w:t>
                        </w:r>
                        <w:r w:rsidRPr="003E3210">
                          <w:rPr>
                            <w:rFonts w:ascii="Arial" w:eastAsia="Times New Roman" w:hAnsi="Arial" w:cs="Arial"/>
                            <w:b/>
                            <w:bCs/>
                            <w:sz w:val="22"/>
                            <w:szCs w:val="22"/>
                          </w:rPr>
                          <w:br/>
                          <w:t>Recommendations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numPr>
                            <w:ilvl w:val="0"/>
                            <w:numId w:val="1"/>
                          </w:numPr>
                          <w:spacing w:before="100" w:beforeAutospacing="1" w:after="100" w:afterAutospacing="1"/>
                          <w:rPr>
                            <w:rFonts w:ascii="Arial" w:eastAsia="Times New Roman" w:hAnsi="Arial" w:cs="Arial"/>
                            <w:sz w:val="22"/>
                            <w:szCs w:val="22"/>
                          </w:rPr>
                        </w:pPr>
                        <w:r w:rsidRPr="003E3210">
                          <w:rPr>
                            <w:rFonts w:ascii="Arial" w:eastAsia="Times New Roman" w:hAnsi="Arial" w:cs="Arial"/>
                            <w:sz w:val="22"/>
                            <w:szCs w:val="22"/>
                          </w:rPr>
                          <w:t>No specific disaster risk management measures are required.</w:t>
                        </w:r>
                      </w:p>
                    </w:tc>
                  </w:tr>
                </w:tbl>
                <w:p w:rsidR="008F0380" w:rsidRPr="003E3210" w:rsidRDefault="008F0380">
                  <w:pPr>
                    <w:spacing w:after="240"/>
                    <w:rPr>
                      <w:rFonts w:ascii="Arial" w:eastAsia="Times New Roman" w:hAnsi="Arial" w:cs="Arial"/>
                      <w:sz w:val="22"/>
                      <w:szCs w:val="22"/>
                    </w:rPr>
                  </w:pPr>
                </w:p>
                <w:tbl>
                  <w:tblPr>
                    <w:tblW w:w="0" w:type="auto"/>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82"/>
                    <w:gridCol w:w="6412"/>
                  </w:tblGrid>
                  <w:tr w:rsidR="008F0380" w:rsidRPr="003E3210">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ASSESSOR DETAILS</w:t>
                        </w:r>
                      </w:p>
                    </w:tc>
                  </w:tr>
                  <w:tr w:rsidR="008F0380" w:rsidRPr="003E3210">
                    <w:trPr>
                      <w:trHeight w:val="300"/>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Smith, Ruth Ann Cecilia (rsmith@IADB.ORG)</w:t>
                        </w:r>
                      </w:p>
                    </w:tc>
                  </w:tr>
                  <w:tr w:rsidR="008F0380" w:rsidRPr="003E3210">
                    <w:trPr>
                      <w:trHeight w:val="300"/>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8F0380">
                        <w:pPr>
                          <w:rPr>
                            <w:rFonts w:ascii="Arial" w:eastAsia="Times New Roman" w:hAnsi="Arial" w:cs="Arial"/>
                            <w:sz w:val="22"/>
                            <w:szCs w:val="22"/>
                          </w:rPr>
                        </w:pPr>
                      </w:p>
                    </w:tc>
                  </w:tr>
                  <w:tr w:rsidR="008F0380" w:rsidRPr="003E3210">
                    <w:trPr>
                      <w:trHeight w:val="300"/>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t>2015-03-03</w:t>
                        </w:r>
                      </w:p>
                    </w:tc>
                  </w:tr>
                </w:tbl>
                <w:p w:rsidR="008F0380" w:rsidRPr="003E3210" w:rsidRDefault="0012300A">
                  <w:pPr>
                    <w:rPr>
                      <w:rFonts w:ascii="Arial" w:eastAsia="Times New Roman" w:hAnsi="Arial" w:cs="Arial"/>
                      <w:sz w:val="22"/>
                      <w:szCs w:val="22"/>
                    </w:rPr>
                  </w:pPr>
                  <w:r w:rsidRPr="003E3210">
                    <w:rPr>
                      <w:rFonts w:ascii="Arial" w:eastAsia="Times New Roman" w:hAnsi="Arial" w:cs="Arial"/>
                      <w:sz w:val="22"/>
                      <w:szCs w:val="22"/>
                    </w:rPr>
                    <w:br/>
                    <w:t> </w:t>
                  </w:r>
                </w:p>
                <w:tbl>
                  <w:tblPr>
                    <w:tblW w:w="5000" w:type="pct"/>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694"/>
                  </w:tblGrid>
                  <w:tr w:rsidR="008F0380" w:rsidRPr="003E321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COMMENTS</w:t>
                        </w:r>
                      </w:p>
                    </w:tc>
                  </w:tr>
                  <w:tr w:rsidR="008F0380" w:rsidRPr="003E32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F0380" w:rsidRPr="003E3210" w:rsidRDefault="0012300A">
                        <w:pPr>
                          <w:rPr>
                            <w:rFonts w:ascii="Arial" w:eastAsia="Times New Roman" w:hAnsi="Arial" w:cs="Arial"/>
                            <w:b/>
                            <w:bCs/>
                            <w:sz w:val="22"/>
                            <w:szCs w:val="22"/>
                          </w:rPr>
                        </w:pPr>
                        <w:r w:rsidRPr="003E3210">
                          <w:rPr>
                            <w:rFonts w:ascii="Arial" w:eastAsia="Times New Roman" w:hAnsi="Arial" w:cs="Arial"/>
                            <w:b/>
                            <w:bCs/>
                            <w:sz w:val="22"/>
                            <w:szCs w:val="22"/>
                          </w:rPr>
                          <w:t>No Comments</w:t>
                        </w:r>
                      </w:p>
                    </w:tc>
                  </w:tr>
                </w:tbl>
                <w:p w:rsidR="008F0380" w:rsidRPr="003E3210" w:rsidRDefault="008F0380">
                  <w:pPr>
                    <w:rPr>
                      <w:rFonts w:ascii="Arial" w:eastAsia="Times New Roman" w:hAnsi="Arial" w:cs="Arial"/>
                      <w:sz w:val="22"/>
                      <w:szCs w:val="22"/>
                    </w:rPr>
                  </w:pPr>
                </w:p>
              </w:tc>
            </w:tr>
          </w:tbl>
          <w:p w:rsidR="008F0380" w:rsidRPr="003E3210" w:rsidRDefault="008F0380">
            <w:pPr>
              <w:rPr>
                <w:rFonts w:ascii="Arial" w:eastAsia="Times New Roman" w:hAnsi="Arial" w:cs="Arial"/>
                <w:sz w:val="20"/>
                <w:szCs w:val="20"/>
              </w:rPr>
            </w:pPr>
          </w:p>
        </w:tc>
      </w:tr>
    </w:tbl>
    <w:p w:rsidR="0012300A" w:rsidRDefault="0012300A">
      <w:pPr>
        <w:rPr>
          <w:rFonts w:eastAsia="Times New Roman"/>
        </w:rPr>
      </w:pPr>
    </w:p>
    <w:sectPr w:rsidR="0012300A" w:rsidSect="00DF5FE4">
      <w:headerReference w:type="even" r:id="rId10"/>
      <w:headerReference w:type="default" r:id="rId11"/>
      <w:head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FE4" w:rsidRDefault="00DF5FE4" w:rsidP="00DF5FE4">
      <w:r>
        <w:separator/>
      </w:r>
    </w:p>
  </w:endnote>
  <w:endnote w:type="continuationSeparator" w:id="0">
    <w:p w:rsidR="00DF5FE4" w:rsidRDefault="00DF5FE4" w:rsidP="00DF5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FE4" w:rsidRDefault="00DF5FE4" w:rsidP="00DF5FE4">
      <w:r>
        <w:separator/>
      </w:r>
    </w:p>
  </w:footnote>
  <w:footnote w:type="continuationSeparator" w:id="0">
    <w:p w:rsidR="00DF5FE4" w:rsidRDefault="00DF5FE4" w:rsidP="00DF5F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FE4" w:rsidRPr="00DF5FE4" w:rsidRDefault="00DF5FE4" w:rsidP="00DF5FE4">
    <w:pPr>
      <w:pStyle w:val="Header"/>
      <w:rPr>
        <w:rFonts w:ascii="Gotham Book" w:hAnsi="Gotham Book"/>
        <w:sz w:val="18"/>
        <w:szCs w:val="18"/>
      </w:rPr>
    </w:pPr>
    <w:r w:rsidRPr="00DF5FE4">
      <w:rPr>
        <w:rFonts w:ascii="Gotham Book" w:hAnsi="Gotham Book"/>
        <w:sz w:val="18"/>
        <w:szCs w:val="18"/>
      </w:rPr>
      <w:t>Anexo IV – PN-L110</w:t>
    </w:r>
    <w:r>
      <w:rPr>
        <w:rFonts w:ascii="Gotham Book" w:hAnsi="Gotham Book"/>
        <w:sz w:val="18"/>
        <w:szCs w:val="18"/>
      </w:rPr>
      <w:t>5</w:t>
    </w:r>
  </w:p>
  <w:p w:rsidR="00DF5FE4" w:rsidRDefault="00DA5F90" w:rsidP="00DF5FE4">
    <w:pPr>
      <w:pStyle w:val="Header"/>
    </w:pPr>
    <w:sdt>
      <w:sdtPr>
        <w:rPr>
          <w:rFonts w:ascii="Gotham Book" w:hAnsi="Gotham Book"/>
          <w:sz w:val="18"/>
          <w:szCs w:val="18"/>
        </w:rPr>
        <w:id w:val="-1147272391"/>
        <w:docPartObj>
          <w:docPartGallery w:val="Page Numbers (Top of Page)"/>
          <w:docPartUnique/>
        </w:docPartObj>
      </w:sdtPr>
      <w:sdtEndPr/>
      <w:sdtContent>
        <w:r w:rsidR="00DF5FE4" w:rsidRPr="00DF5FE4">
          <w:rPr>
            <w:rFonts w:ascii="Gotham Book" w:hAnsi="Gotham Book"/>
            <w:sz w:val="18"/>
            <w:szCs w:val="18"/>
          </w:rPr>
          <w:t xml:space="preserve">Página </w:t>
        </w:r>
        <w:r w:rsidR="00DF5FE4" w:rsidRPr="00DF5FE4">
          <w:rPr>
            <w:rFonts w:ascii="Gotham Book" w:hAnsi="Gotham Book"/>
            <w:bCs/>
            <w:sz w:val="18"/>
            <w:szCs w:val="18"/>
          </w:rPr>
          <w:fldChar w:fldCharType="begin"/>
        </w:r>
        <w:r w:rsidR="00DF5FE4" w:rsidRPr="00DF5FE4">
          <w:rPr>
            <w:rFonts w:ascii="Gotham Book" w:hAnsi="Gotham Book"/>
            <w:bCs/>
            <w:sz w:val="18"/>
            <w:szCs w:val="18"/>
          </w:rPr>
          <w:instrText xml:space="preserve"> PAGE </w:instrText>
        </w:r>
        <w:r w:rsidR="00DF5FE4" w:rsidRPr="00DF5FE4">
          <w:rPr>
            <w:rFonts w:ascii="Gotham Book" w:hAnsi="Gotham Book"/>
            <w:bCs/>
            <w:sz w:val="18"/>
            <w:szCs w:val="18"/>
          </w:rPr>
          <w:fldChar w:fldCharType="separate"/>
        </w:r>
        <w:r>
          <w:rPr>
            <w:rFonts w:ascii="Gotham Book" w:hAnsi="Gotham Book"/>
            <w:bCs/>
            <w:noProof/>
            <w:sz w:val="18"/>
            <w:szCs w:val="18"/>
          </w:rPr>
          <w:t>4</w:t>
        </w:r>
        <w:r w:rsidR="00DF5FE4" w:rsidRPr="00DF5FE4">
          <w:rPr>
            <w:rFonts w:ascii="Gotham Book" w:hAnsi="Gotham Book"/>
            <w:bCs/>
            <w:sz w:val="18"/>
            <w:szCs w:val="18"/>
          </w:rPr>
          <w:fldChar w:fldCharType="end"/>
        </w:r>
        <w:r w:rsidR="00DF5FE4" w:rsidRPr="00DF5FE4">
          <w:rPr>
            <w:rFonts w:ascii="Gotham Book" w:hAnsi="Gotham Book"/>
            <w:sz w:val="18"/>
            <w:szCs w:val="18"/>
          </w:rPr>
          <w:t xml:space="preserve"> de </w:t>
        </w:r>
        <w:r w:rsidR="00DF5FE4" w:rsidRPr="00DF5FE4">
          <w:rPr>
            <w:rFonts w:ascii="Gotham Book" w:hAnsi="Gotham Book"/>
            <w:bCs/>
            <w:sz w:val="18"/>
            <w:szCs w:val="18"/>
          </w:rPr>
          <w:fldChar w:fldCharType="begin"/>
        </w:r>
        <w:r w:rsidR="00DF5FE4" w:rsidRPr="00DF5FE4">
          <w:rPr>
            <w:rFonts w:ascii="Gotham Book" w:hAnsi="Gotham Book"/>
            <w:bCs/>
            <w:sz w:val="18"/>
            <w:szCs w:val="18"/>
          </w:rPr>
          <w:instrText xml:space="preserve"> NUMPAGES  </w:instrText>
        </w:r>
        <w:r w:rsidR="00DF5FE4" w:rsidRPr="00DF5FE4">
          <w:rPr>
            <w:rFonts w:ascii="Gotham Book" w:hAnsi="Gotham Book"/>
            <w:bCs/>
            <w:sz w:val="18"/>
            <w:szCs w:val="18"/>
          </w:rPr>
          <w:fldChar w:fldCharType="separate"/>
        </w:r>
        <w:r>
          <w:rPr>
            <w:rFonts w:ascii="Gotham Book" w:hAnsi="Gotham Book"/>
            <w:bCs/>
            <w:noProof/>
            <w:sz w:val="18"/>
            <w:szCs w:val="18"/>
          </w:rPr>
          <w:t>5</w:t>
        </w:r>
        <w:r w:rsidR="00DF5FE4" w:rsidRPr="00DF5FE4">
          <w:rPr>
            <w:rFonts w:ascii="Gotham Book" w:hAnsi="Gotham Book"/>
            <w:bCs/>
            <w:sz w:val="18"/>
            <w:szCs w:val="18"/>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FE4" w:rsidRPr="003E3210" w:rsidRDefault="00DF5FE4" w:rsidP="00DF5FE4">
    <w:pPr>
      <w:pStyle w:val="Header"/>
      <w:jc w:val="right"/>
      <w:rPr>
        <w:rFonts w:ascii="Arial" w:hAnsi="Arial" w:cs="Arial"/>
        <w:sz w:val="18"/>
        <w:szCs w:val="18"/>
      </w:rPr>
    </w:pPr>
    <w:r w:rsidRPr="003E3210">
      <w:rPr>
        <w:rFonts w:ascii="Arial" w:hAnsi="Arial" w:cs="Arial"/>
        <w:sz w:val="18"/>
        <w:szCs w:val="18"/>
      </w:rPr>
      <w:t>PN-L1105</w:t>
    </w:r>
  </w:p>
  <w:p w:rsidR="00DF5FE4" w:rsidRPr="003E3210" w:rsidRDefault="00DA5F90" w:rsidP="00DF5FE4">
    <w:pPr>
      <w:pStyle w:val="Header"/>
      <w:jc w:val="right"/>
      <w:rPr>
        <w:rFonts w:ascii="Arial" w:hAnsi="Arial" w:cs="Arial"/>
        <w:sz w:val="18"/>
        <w:szCs w:val="18"/>
      </w:rPr>
    </w:pPr>
    <w:sdt>
      <w:sdtPr>
        <w:rPr>
          <w:rFonts w:ascii="Arial" w:hAnsi="Arial" w:cs="Arial"/>
          <w:sz w:val="18"/>
          <w:szCs w:val="18"/>
        </w:rPr>
        <w:id w:val="-686445779"/>
        <w:docPartObj>
          <w:docPartGallery w:val="Page Numbers (Top of Page)"/>
          <w:docPartUnique/>
        </w:docPartObj>
      </w:sdtPr>
      <w:sdtEndPr/>
      <w:sdtContent>
        <w:r w:rsidR="00DF5FE4" w:rsidRPr="003E3210">
          <w:rPr>
            <w:rFonts w:ascii="Arial" w:hAnsi="Arial" w:cs="Arial"/>
            <w:sz w:val="18"/>
            <w:szCs w:val="18"/>
          </w:rPr>
          <w:t xml:space="preserve">Página </w:t>
        </w:r>
        <w:r w:rsidR="00DF5FE4" w:rsidRPr="003E3210">
          <w:rPr>
            <w:rFonts w:ascii="Arial" w:hAnsi="Arial" w:cs="Arial"/>
            <w:bCs/>
            <w:sz w:val="18"/>
            <w:szCs w:val="18"/>
          </w:rPr>
          <w:fldChar w:fldCharType="begin"/>
        </w:r>
        <w:r w:rsidR="00DF5FE4" w:rsidRPr="003E3210">
          <w:rPr>
            <w:rFonts w:ascii="Arial" w:hAnsi="Arial" w:cs="Arial"/>
            <w:bCs/>
            <w:sz w:val="18"/>
            <w:szCs w:val="18"/>
          </w:rPr>
          <w:instrText xml:space="preserve"> PAGE </w:instrText>
        </w:r>
        <w:r w:rsidR="00DF5FE4" w:rsidRPr="003E3210">
          <w:rPr>
            <w:rFonts w:ascii="Arial" w:hAnsi="Arial" w:cs="Arial"/>
            <w:bCs/>
            <w:sz w:val="18"/>
            <w:szCs w:val="18"/>
          </w:rPr>
          <w:fldChar w:fldCharType="separate"/>
        </w:r>
        <w:r>
          <w:rPr>
            <w:rFonts w:ascii="Arial" w:hAnsi="Arial" w:cs="Arial"/>
            <w:bCs/>
            <w:noProof/>
            <w:sz w:val="18"/>
            <w:szCs w:val="18"/>
          </w:rPr>
          <w:t>1</w:t>
        </w:r>
        <w:r w:rsidR="00DF5FE4" w:rsidRPr="003E3210">
          <w:rPr>
            <w:rFonts w:ascii="Arial" w:hAnsi="Arial" w:cs="Arial"/>
            <w:bCs/>
            <w:sz w:val="18"/>
            <w:szCs w:val="18"/>
          </w:rPr>
          <w:fldChar w:fldCharType="end"/>
        </w:r>
        <w:r w:rsidR="00DF5FE4" w:rsidRPr="003E3210">
          <w:rPr>
            <w:rFonts w:ascii="Arial" w:hAnsi="Arial" w:cs="Arial"/>
            <w:sz w:val="18"/>
            <w:szCs w:val="18"/>
          </w:rPr>
          <w:t xml:space="preserve"> de </w:t>
        </w:r>
        <w:r w:rsidR="00DF5FE4" w:rsidRPr="003E3210">
          <w:rPr>
            <w:rFonts w:ascii="Arial" w:hAnsi="Arial" w:cs="Arial"/>
            <w:bCs/>
            <w:sz w:val="18"/>
            <w:szCs w:val="18"/>
          </w:rPr>
          <w:fldChar w:fldCharType="begin"/>
        </w:r>
        <w:r w:rsidR="00DF5FE4" w:rsidRPr="003E3210">
          <w:rPr>
            <w:rFonts w:ascii="Arial" w:hAnsi="Arial" w:cs="Arial"/>
            <w:bCs/>
            <w:sz w:val="18"/>
            <w:szCs w:val="18"/>
          </w:rPr>
          <w:instrText xml:space="preserve"> NUMPAGES  </w:instrText>
        </w:r>
        <w:r w:rsidR="00DF5FE4" w:rsidRPr="003E3210">
          <w:rPr>
            <w:rFonts w:ascii="Arial" w:hAnsi="Arial" w:cs="Arial"/>
            <w:bCs/>
            <w:sz w:val="18"/>
            <w:szCs w:val="18"/>
          </w:rPr>
          <w:fldChar w:fldCharType="separate"/>
        </w:r>
        <w:r>
          <w:rPr>
            <w:rFonts w:ascii="Arial" w:hAnsi="Arial" w:cs="Arial"/>
            <w:bCs/>
            <w:noProof/>
            <w:sz w:val="18"/>
            <w:szCs w:val="18"/>
          </w:rPr>
          <w:t>5</w:t>
        </w:r>
        <w:r w:rsidR="00DF5FE4" w:rsidRPr="003E3210">
          <w:rPr>
            <w:rFonts w:ascii="Arial" w:hAnsi="Arial" w:cs="Arial"/>
            <w:bCs/>
            <w:sz w:val="18"/>
            <w:szCs w:val="18"/>
          </w:rPr>
          <w:fldChar w:fldCharType="end"/>
        </w:r>
      </w:sdtContent>
    </w:sdt>
  </w:p>
  <w:p w:rsidR="00DF5FE4" w:rsidRDefault="00DF5FE4" w:rsidP="00DF5F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FE4" w:rsidRPr="00DF5FE4" w:rsidRDefault="00DF5FE4">
    <w:pPr>
      <w:pStyle w:val="Header"/>
      <w:jc w:val="right"/>
      <w:rPr>
        <w:rFonts w:ascii="Gotham Book" w:hAnsi="Gotham Book"/>
        <w:sz w:val="18"/>
        <w:szCs w:val="18"/>
      </w:rPr>
    </w:pPr>
    <w:r w:rsidRPr="00DF5FE4">
      <w:rPr>
        <w:rFonts w:ascii="Gotham Book" w:hAnsi="Gotham Book"/>
        <w:sz w:val="18"/>
        <w:szCs w:val="18"/>
      </w:rPr>
      <w:t>Anexo IV – PN-L110</w:t>
    </w:r>
    <w:r>
      <w:rPr>
        <w:rFonts w:ascii="Gotham Book" w:hAnsi="Gotham Book"/>
        <w:sz w:val="18"/>
        <w:szCs w:val="18"/>
      </w:rPr>
      <w:t>5</w:t>
    </w:r>
  </w:p>
  <w:p w:rsidR="00DF5FE4" w:rsidRPr="00DF5FE4" w:rsidRDefault="00DA5F90">
    <w:pPr>
      <w:pStyle w:val="Header"/>
      <w:jc w:val="right"/>
      <w:rPr>
        <w:rFonts w:ascii="Gotham Book" w:hAnsi="Gotham Book"/>
        <w:sz w:val="18"/>
        <w:szCs w:val="18"/>
      </w:rPr>
    </w:pPr>
    <w:sdt>
      <w:sdtPr>
        <w:rPr>
          <w:rFonts w:ascii="Gotham Book" w:hAnsi="Gotham Book"/>
          <w:sz w:val="18"/>
          <w:szCs w:val="18"/>
        </w:rPr>
        <w:id w:val="1477648756"/>
        <w:docPartObj>
          <w:docPartGallery w:val="Page Numbers (Top of Page)"/>
          <w:docPartUnique/>
        </w:docPartObj>
      </w:sdtPr>
      <w:sdtEndPr/>
      <w:sdtContent>
        <w:r w:rsidR="00DF5FE4" w:rsidRPr="00DF5FE4">
          <w:rPr>
            <w:rFonts w:ascii="Gotham Book" w:hAnsi="Gotham Book"/>
            <w:sz w:val="18"/>
            <w:szCs w:val="18"/>
          </w:rPr>
          <w:t xml:space="preserve">Página </w:t>
        </w:r>
        <w:r w:rsidR="00DF5FE4" w:rsidRPr="00DF5FE4">
          <w:rPr>
            <w:rFonts w:ascii="Gotham Book" w:hAnsi="Gotham Book"/>
            <w:bCs/>
            <w:sz w:val="18"/>
            <w:szCs w:val="18"/>
          </w:rPr>
          <w:fldChar w:fldCharType="begin"/>
        </w:r>
        <w:r w:rsidR="00DF5FE4" w:rsidRPr="00DF5FE4">
          <w:rPr>
            <w:rFonts w:ascii="Gotham Book" w:hAnsi="Gotham Book"/>
            <w:bCs/>
            <w:sz w:val="18"/>
            <w:szCs w:val="18"/>
          </w:rPr>
          <w:instrText xml:space="preserve"> PAGE </w:instrText>
        </w:r>
        <w:r w:rsidR="00DF5FE4" w:rsidRPr="00DF5FE4">
          <w:rPr>
            <w:rFonts w:ascii="Gotham Book" w:hAnsi="Gotham Book"/>
            <w:bCs/>
            <w:sz w:val="18"/>
            <w:szCs w:val="18"/>
          </w:rPr>
          <w:fldChar w:fldCharType="separate"/>
        </w:r>
        <w:r w:rsidR="00DF5FE4">
          <w:rPr>
            <w:rFonts w:ascii="Gotham Book" w:hAnsi="Gotham Book"/>
            <w:bCs/>
            <w:noProof/>
            <w:sz w:val="18"/>
            <w:szCs w:val="18"/>
          </w:rPr>
          <w:t>1</w:t>
        </w:r>
        <w:r w:rsidR="00DF5FE4" w:rsidRPr="00DF5FE4">
          <w:rPr>
            <w:rFonts w:ascii="Gotham Book" w:hAnsi="Gotham Book"/>
            <w:bCs/>
            <w:sz w:val="18"/>
            <w:szCs w:val="18"/>
          </w:rPr>
          <w:fldChar w:fldCharType="end"/>
        </w:r>
        <w:r w:rsidR="00DF5FE4" w:rsidRPr="00DF5FE4">
          <w:rPr>
            <w:rFonts w:ascii="Gotham Book" w:hAnsi="Gotham Book"/>
            <w:sz w:val="18"/>
            <w:szCs w:val="18"/>
          </w:rPr>
          <w:t xml:space="preserve"> de </w:t>
        </w:r>
        <w:r w:rsidR="00DF5FE4" w:rsidRPr="00DF5FE4">
          <w:rPr>
            <w:rFonts w:ascii="Gotham Book" w:hAnsi="Gotham Book"/>
            <w:bCs/>
            <w:sz w:val="18"/>
            <w:szCs w:val="18"/>
          </w:rPr>
          <w:fldChar w:fldCharType="begin"/>
        </w:r>
        <w:r w:rsidR="00DF5FE4" w:rsidRPr="00DF5FE4">
          <w:rPr>
            <w:rFonts w:ascii="Gotham Book" w:hAnsi="Gotham Book"/>
            <w:bCs/>
            <w:sz w:val="18"/>
            <w:szCs w:val="18"/>
          </w:rPr>
          <w:instrText xml:space="preserve"> NUMPAGES  </w:instrText>
        </w:r>
        <w:r w:rsidR="00DF5FE4" w:rsidRPr="00DF5FE4">
          <w:rPr>
            <w:rFonts w:ascii="Gotham Book" w:hAnsi="Gotham Book"/>
            <w:bCs/>
            <w:sz w:val="18"/>
            <w:szCs w:val="18"/>
          </w:rPr>
          <w:fldChar w:fldCharType="separate"/>
        </w:r>
        <w:r w:rsidR="00922812">
          <w:rPr>
            <w:rFonts w:ascii="Gotham Book" w:hAnsi="Gotham Book"/>
            <w:bCs/>
            <w:noProof/>
            <w:sz w:val="18"/>
            <w:szCs w:val="18"/>
          </w:rPr>
          <w:t>6</w:t>
        </w:r>
        <w:r w:rsidR="00DF5FE4" w:rsidRPr="00DF5FE4">
          <w:rPr>
            <w:rFonts w:ascii="Gotham Book" w:hAnsi="Gotham Book"/>
            <w:bCs/>
            <w:sz w:val="18"/>
            <w:szCs w:val="18"/>
          </w:rPr>
          <w:fldChar w:fldCharType="end"/>
        </w:r>
      </w:sdtContent>
    </w:sdt>
  </w:p>
  <w:p w:rsidR="00DF5FE4" w:rsidRDefault="00DF5F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1898"/>
    <w:multiLevelType w:val="multilevel"/>
    <w:tmpl w:val="4524F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evenAndOddHeaders/>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E37B7D"/>
    <w:rsid w:val="0012300A"/>
    <w:rsid w:val="003E3210"/>
    <w:rsid w:val="00531820"/>
    <w:rsid w:val="008F0380"/>
    <w:rsid w:val="00922812"/>
    <w:rsid w:val="009E5DD0"/>
    <w:rsid w:val="00B11655"/>
    <w:rsid w:val="00B778C2"/>
    <w:rsid w:val="00DA5F90"/>
    <w:rsid w:val="00DC6398"/>
    <w:rsid w:val="00DF5FE4"/>
    <w:rsid w:val="00E37B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customStyle="1" w:styleId="tablehead">
    <w:name w:val="tablehead"/>
    <w:basedOn w:val="Normal"/>
    <w:pPr>
      <w:spacing w:before="100" w:beforeAutospacing="1" w:after="100" w:afterAutospacing="1"/>
      <w:jc w:val="center"/>
    </w:pPr>
    <w:rPr>
      <w:b/>
      <w:bCs/>
      <w:sz w:val="20"/>
      <w:szCs w:val="20"/>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unhideWhenUsed/>
    <w:rsid w:val="00DF5FE4"/>
    <w:pPr>
      <w:tabs>
        <w:tab w:val="center" w:pos="4680"/>
        <w:tab w:val="right" w:pos="9360"/>
      </w:tabs>
    </w:pPr>
  </w:style>
  <w:style w:type="character" w:customStyle="1" w:styleId="HeaderChar">
    <w:name w:val="Header Char"/>
    <w:basedOn w:val="DefaultParagraphFont"/>
    <w:link w:val="Header"/>
    <w:uiPriority w:val="99"/>
    <w:rsid w:val="00DF5FE4"/>
    <w:rPr>
      <w:rFonts w:eastAsiaTheme="minorEastAsia"/>
      <w:sz w:val="24"/>
      <w:szCs w:val="24"/>
    </w:rPr>
  </w:style>
  <w:style w:type="paragraph" w:styleId="Footer">
    <w:name w:val="footer"/>
    <w:basedOn w:val="Normal"/>
    <w:link w:val="FooterChar"/>
    <w:uiPriority w:val="99"/>
    <w:unhideWhenUsed/>
    <w:rsid w:val="00DF5FE4"/>
    <w:pPr>
      <w:tabs>
        <w:tab w:val="center" w:pos="4680"/>
        <w:tab w:val="right" w:pos="9360"/>
      </w:tabs>
    </w:pPr>
  </w:style>
  <w:style w:type="character" w:customStyle="1" w:styleId="FooterChar">
    <w:name w:val="Footer Char"/>
    <w:basedOn w:val="DefaultParagraphFont"/>
    <w:link w:val="Footer"/>
    <w:uiPriority w:val="99"/>
    <w:rsid w:val="00DF5FE4"/>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customStyle="1" w:styleId="tablehead">
    <w:name w:val="tablehead"/>
    <w:basedOn w:val="Normal"/>
    <w:pPr>
      <w:spacing w:before="100" w:beforeAutospacing="1" w:after="100" w:afterAutospacing="1"/>
      <w:jc w:val="center"/>
    </w:pPr>
    <w:rPr>
      <w:b/>
      <w:bCs/>
      <w:sz w:val="20"/>
      <w:szCs w:val="20"/>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unhideWhenUsed/>
    <w:rsid w:val="00DF5FE4"/>
    <w:pPr>
      <w:tabs>
        <w:tab w:val="center" w:pos="4680"/>
        <w:tab w:val="right" w:pos="9360"/>
      </w:tabs>
    </w:pPr>
  </w:style>
  <w:style w:type="character" w:customStyle="1" w:styleId="HeaderChar">
    <w:name w:val="Header Char"/>
    <w:basedOn w:val="DefaultParagraphFont"/>
    <w:link w:val="Header"/>
    <w:uiPriority w:val="99"/>
    <w:rsid w:val="00DF5FE4"/>
    <w:rPr>
      <w:rFonts w:eastAsiaTheme="minorEastAsia"/>
      <w:sz w:val="24"/>
      <w:szCs w:val="24"/>
    </w:rPr>
  </w:style>
  <w:style w:type="paragraph" w:styleId="Footer">
    <w:name w:val="footer"/>
    <w:basedOn w:val="Normal"/>
    <w:link w:val="FooterChar"/>
    <w:uiPriority w:val="99"/>
    <w:unhideWhenUsed/>
    <w:rsid w:val="00DF5FE4"/>
    <w:pPr>
      <w:tabs>
        <w:tab w:val="center" w:pos="4680"/>
        <w:tab w:val="right" w:pos="9360"/>
      </w:tabs>
    </w:pPr>
  </w:style>
  <w:style w:type="character" w:customStyle="1" w:styleId="FooterChar">
    <w:name w:val="Footer Char"/>
    <w:basedOn w:val="DefaultParagraphFont"/>
    <w:link w:val="Footer"/>
    <w:uiPriority w:val="99"/>
    <w:rsid w:val="00DF5FE4"/>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20646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cc.ch/"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iadb.org/secc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8A3BCEEEA004947977A9F3B96C74157" ma:contentTypeVersion="0" ma:contentTypeDescription="A content type to manage public (operations) IDB documents" ma:contentTypeScope="" ma:versionID="130d93567d496c81f553a1c218a15404">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39720918</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Pinzon Enciso, Leonardo Enrique</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PN-L1105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77CE6397-1403-4059-9A89-6A93F71F9EDC}"/>
</file>

<file path=customXml/itemProps2.xml><?xml version="1.0" encoding="utf-8"?>
<ds:datastoreItem xmlns:ds="http://schemas.openxmlformats.org/officeDocument/2006/customXml" ds:itemID="{51A67C21-9083-4478-8808-8DA738CF2726}"/>
</file>

<file path=customXml/itemProps3.xml><?xml version="1.0" encoding="utf-8"?>
<ds:datastoreItem xmlns:ds="http://schemas.openxmlformats.org/officeDocument/2006/customXml" ds:itemID="{4FDDCE42-388E-487A-8706-EAA7FB3D66D8}"/>
</file>

<file path=customXml/itemProps4.xml><?xml version="1.0" encoding="utf-8"?>
<ds:datastoreItem xmlns:ds="http://schemas.openxmlformats.org/officeDocument/2006/customXml" ds:itemID="{DA228F28-C585-49DC-A483-0254558151C5}"/>
</file>

<file path=customXml/itemProps5.xml><?xml version="1.0" encoding="utf-8"?>
<ds:datastoreItem xmlns:ds="http://schemas.openxmlformats.org/officeDocument/2006/customXml" ds:itemID="{4CBDF006-3AD9-426A-8612-C1DAD3E69F25}"/>
</file>

<file path=docProps/app.xml><?xml version="1.0" encoding="utf-8"?>
<Properties xmlns="http://schemas.openxmlformats.org/officeDocument/2006/extended-properties" xmlns:vt="http://schemas.openxmlformats.org/officeDocument/2006/docPropsVTypes">
  <Template>Normal.dotm</Template>
  <TotalTime>1</TotalTime>
  <Pages>5</Pages>
  <Words>970</Words>
  <Characters>6597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y salvaguardias ambientales</dc:title>
  <dc:creator>IADB</dc:creator>
  <cp:lastModifiedBy>Test</cp:lastModifiedBy>
  <cp:revision>2</cp:revision>
  <cp:lastPrinted>2015-05-27T14:18:00Z</cp:lastPrinted>
  <dcterms:created xsi:type="dcterms:W3CDTF">2015-07-09T12:40:00Z</dcterms:created>
  <dcterms:modified xsi:type="dcterms:W3CDTF">2015-07-09T12:40:00Z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0x01010046CF21643EE8D14686A648AA6DAD08920048A3BCEEEA004947977A9F3B96C74157</vt:lpwstr>
  </property>
  <property fmtid="{D5CDD505-2E9C-101B-9397-08002B2CF9AE}" pid="3" name="TaxKeyword">
    <vt:lpwstr/>
  </property>
  <property fmtid="{D5CDD505-2E9C-101B-9397-08002B2CF9AE}" pid="4" name="Function Operations IDB">
    <vt:lpwstr>8;#IDBDocs|cca77002-e150-4b2d-ab1f-1d7a7cdcae16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