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CC0C7" w14:textId="77777777" w:rsidR="00373EDE" w:rsidRPr="00A523B2" w:rsidRDefault="00373EDE" w:rsidP="00373EDE">
      <w:pPr>
        <w:spacing w:after="0" w:line="240" w:lineRule="auto"/>
        <w:jc w:val="center"/>
        <w:rPr>
          <w:rFonts w:ascii="Arial" w:hAnsi="Arial" w:cs="Arial"/>
          <w:b/>
          <w:sz w:val="24"/>
          <w:szCs w:val="24"/>
          <w:lang w:val="es-ES"/>
        </w:rPr>
      </w:pPr>
      <w:r w:rsidRPr="00A523B2">
        <w:rPr>
          <w:rFonts w:ascii="Arial" w:hAnsi="Arial" w:cs="Arial"/>
          <w:b/>
          <w:sz w:val="24"/>
          <w:szCs w:val="24"/>
          <w:lang w:val="es-ES"/>
        </w:rPr>
        <w:t xml:space="preserve">Abstracto de Cooperación Técnica </w:t>
      </w:r>
    </w:p>
    <w:p w14:paraId="672A6659" w14:textId="77777777" w:rsidR="008F4286" w:rsidRPr="005358DE" w:rsidRDefault="008F4286" w:rsidP="005358DE">
      <w:pPr>
        <w:spacing w:after="0" w:line="240" w:lineRule="auto"/>
        <w:jc w:val="both"/>
        <w:rPr>
          <w:rFonts w:ascii="Arial" w:hAnsi="Arial" w:cs="Arial"/>
          <w:b/>
          <w:sz w:val="18"/>
          <w:lang w:val="es-ES"/>
        </w:rPr>
      </w:pPr>
    </w:p>
    <w:p w14:paraId="0A37501D" w14:textId="15FE3504" w:rsidR="005358DE" w:rsidRPr="00373EDE" w:rsidRDefault="5CCB81BE" w:rsidP="00373EDE">
      <w:pPr>
        <w:pStyle w:val="ListParagraph"/>
        <w:numPr>
          <w:ilvl w:val="0"/>
          <w:numId w:val="5"/>
        </w:numPr>
        <w:spacing w:before="120" w:after="120" w:line="240" w:lineRule="auto"/>
        <w:contextualSpacing w:val="0"/>
        <w:jc w:val="both"/>
        <w:rPr>
          <w:rFonts w:ascii="Arial" w:eastAsia="Arial" w:hAnsi="Arial" w:cs="Arial"/>
          <w:b/>
          <w:bCs/>
          <w:lang w:val="es-ES"/>
        </w:rPr>
      </w:pPr>
      <w:r w:rsidRPr="5CCB81BE">
        <w:rPr>
          <w:rFonts w:ascii="Arial" w:eastAsia="Arial" w:hAnsi="Arial" w:cs="Arial"/>
          <w:b/>
          <w:bCs/>
          <w:lang w:val="es-ES"/>
        </w:rPr>
        <w:t>Información Básica de la CT</w:t>
      </w:r>
    </w:p>
    <w:tbl>
      <w:tblPr>
        <w:tblStyle w:val="TableGrid"/>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0C16F9" w:rsidRPr="00D97FAD" w14:paraId="6F10009C" w14:textId="77777777" w:rsidTr="5CCB81BE">
        <w:tc>
          <w:tcPr>
            <w:tcW w:w="4140" w:type="dxa"/>
          </w:tcPr>
          <w:p w14:paraId="0D1FC40D"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País/Región:</w:t>
            </w:r>
          </w:p>
        </w:tc>
        <w:tc>
          <w:tcPr>
            <w:tcW w:w="4428" w:type="dxa"/>
          </w:tcPr>
          <w:p w14:paraId="5DAB6C7B" w14:textId="385E56C5" w:rsidR="009F33FF" w:rsidRPr="00D97FAD" w:rsidRDefault="000B01C4" w:rsidP="00DA0911">
            <w:pPr>
              <w:spacing w:after="60"/>
              <w:ind w:left="360"/>
              <w:rPr>
                <w:rFonts w:ascii="Arial" w:hAnsi="Arial" w:cs="Arial"/>
                <w:sz w:val="18"/>
                <w:szCs w:val="18"/>
                <w:lang w:val="es-ES"/>
              </w:rPr>
            </w:pPr>
            <w:r>
              <w:rPr>
                <w:rFonts w:ascii="Arial" w:hAnsi="Arial" w:cs="Arial"/>
                <w:sz w:val="18"/>
                <w:szCs w:val="18"/>
                <w:lang w:val="es-ES"/>
              </w:rPr>
              <w:t xml:space="preserve">Venezuela </w:t>
            </w:r>
          </w:p>
        </w:tc>
      </w:tr>
      <w:tr w:rsidR="000C16F9" w:rsidRPr="00EF0A17" w14:paraId="3B85F105" w14:textId="77777777" w:rsidTr="5CCB81BE">
        <w:tc>
          <w:tcPr>
            <w:tcW w:w="4140" w:type="dxa"/>
          </w:tcPr>
          <w:p w14:paraId="5FCAF11C"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Nombre de la CT:</w:t>
            </w:r>
          </w:p>
        </w:tc>
        <w:tc>
          <w:tcPr>
            <w:tcW w:w="4428" w:type="dxa"/>
          </w:tcPr>
          <w:p w14:paraId="02EB378F" w14:textId="62D8E577" w:rsidR="009F33FF" w:rsidRPr="00D97FAD" w:rsidRDefault="000B01C4" w:rsidP="00DA0911">
            <w:pPr>
              <w:spacing w:after="60"/>
              <w:ind w:left="360"/>
              <w:rPr>
                <w:rFonts w:ascii="Arial" w:hAnsi="Arial" w:cs="Arial"/>
                <w:sz w:val="18"/>
                <w:szCs w:val="18"/>
                <w:lang w:val="es-ES"/>
              </w:rPr>
            </w:pPr>
            <w:r w:rsidRPr="000B01C4">
              <w:rPr>
                <w:rFonts w:ascii="Arial" w:hAnsi="Arial" w:cs="Arial"/>
                <w:sz w:val="18"/>
                <w:szCs w:val="18"/>
                <w:lang w:val="es-ES"/>
              </w:rPr>
              <w:t>Apoyo a los Sectores de Agua, Electricidad y Transporte</w:t>
            </w:r>
          </w:p>
        </w:tc>
      </w:tr>
      <w:tr w:rsidR="000C16F9" w:rsidRPr="00D97FAD" w14:paraId="5714C373" w14:textId="77777777" w:rsidTr="5CCB81BE">
        <w:tc>
          <w:tcPr>
            <w:tcW w:w="4140" w:type="dxa"/>
          </w:tcPr>
          <w:p w14:paraId="4C82597E"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Número de CT:</w:t>
            </w:r>
          </w:p>
        </w:tc>
        <w:tc>
          <w:tcPr>
            <w:tcW w:w="4428" w:type="dxa"/>
          </w:tcPr>
          <w:p w14:paraId="6A05A809" w14:textId="479D6F7B" w:rsidR="009F33FF" w:rsidRPr="00D97FAD" w:rsidRDefault="000B01C4" w:rsidP="00DA0911">
            <w:pPr>
              <w:spacing w:after="60"/>
              <w:ind w:left="360"/>
              <w:rPr>
                <w:rFonts w:ascii="Arial" w:hAnsi="Arial" w:cs="Arial"/>
                <w:sz w:val="18"/>
                <w:szCs w:val="18"/>
                <w:lang w:val="es-ES"/>
              </w:rPr>
            </w:pPr>
            <w:r>
              <w:rPr>
                <w:rFonts w:ascii="Arial" w:hAnsi="Arial" w:cs="Arial"/>
                <w:sz w:val="18"/>
                <w:szCs w:val="18"/>
                <w:lang w:val="es-ES"/>
              </w:rPr>
              <w:t>VE-T1072</w:t>
            </w:r>
          </w:p>
        </w:tc>
      </w:tr>
      <w:tr w:rsidR="000C16F9" w:rsidRPr="00EF0A17" w14:paraId="2A7365E5" w14:textId="77777777" w:rsidTr="5CCB81BE">
        <w:tc>
          <w:tcPr>
            <w:tcW w:w="4140" w:type="dxa"/>
          </w:tcPr>
          <w:p w14:paraId="230A9DE0"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Jefe de Equipo/Miembros:</w:t>
            </w:r>
          </w:p>
        </w:tc>
        <w:tc>
          <w:tcPr>
            <w:tcW w:w="4428" w:type="dxa"/>
          </w:tcPr>
          <w:p w14:paraId="5A39BBE3" w14:textId="64375017" w:rsidR="009F33FF" w:rsidRPr="00D97FAD" w:rsidRDefault="004328D1" w:rsidP="000E192F">
            <w:pPr>
              <w:spacing w:after="60"/>
              <w:ind w:left="360"/>
              <w:jc w:val="both"/>
              <w:rPr>
                <w:rFonts w:ascii="Arial" w:hAnsi="Arial" w:cs="Arial"/>
                <w:sz w:val="18"/>
                <w:szCs w:val="18"/>
                <w:lang w:val="es-ES"/>
              </w:rPr>
            </w:pPr>
            <w:r w:rsidRPr="004328D1">
              <w:rPr>
                <w:rFonts w:ascii="Arial" w:hAnsi="Arial" w:cs="Arial"/>
                <w:sz w:val="18"/>
                <w:szCs w:val="18"/>
                <w:lang w:val="es-ES"/>
              </w:rPr>
              <w:t xml:space="preserve">Jefe de </w:t>
            </w:r>
            <w:r>
              <w:rPr>
                <w:rFonts w:ascii="Arial" w:hAnsi="Arial" w:cs="Arial"/>
                <w:sz w:val="18"/>
                <w:szCs w:val="18"/>
                <w:lang w:val="es-ES"/>
              </w:rPr>
              <w:t>E</w:t>
            </w:r>
            <w:r w:rsidRPr="004328D1">
              <w:rPr>
                <w:rFonts w:ascii="Arial" w:hAnsi="Arial" w:cs="Arial"/>
                <w:sz w:val="18"/>
                <w:szCs w:val="18"/>
                <w:lang w:val="es-ES"/>
              </w:rPr>
              <w:t xml:space="preserve">quipo, </w:t>
            </w:r>
            <w:r w:rsidR="00CB7EF1">
              <w:rPr>
                <w:rFonts w:ascii="Arial" w:hAnsi="Arial" w:cs="Arial"/>
                <w:sz w:val="18"/>
                <w:szCs w:val="18"/>
                <w:lang w:val="es-ES"/>
              </w:rPr>
              <w:t>Maria Julia Bocco</w:t>
            </w:r>
            <w:r w:rsidR="00CB7EF1" w:rsidRPr="004328D1">
              <w:rPr>
                <w:rFonts w:ascii="Arial" w:hAnsi="Arial" w:cs="Arial"/>
                <w:sz w:val="18"/>
                <w:szCs w:val="18"/>
                <w:lang w:val="es-ES"/>
              </w:rPr>
              <w:t xml:space="preserve"> (INE/WSA)</w:t>
            </w:r>
            <w:r w:rsidR="003C70DB">
              <w:rPr>
                <w:rFonts w:ascii="Arial" w:hAnsi="Arial" w:cs="Arial"/>
                <w:sz w:val="18"/>
                <w:szCs w:val="18"/>
                <w:lang w:val="es-ES"/>
              </w:rPr>
              <w:t xml:space="preserve">; </w:t>
            </w:r>
            <w:r w:rsidR="00752360">
              <w:rPr>
                <w:rFonts w:ascii="Arial" w:hAnsi="Arial" w:cs="Arial"/>
                <w:sz w:val="18"/>
                <w:szCs w:val="18"/>
                <w:lang w:val="es-ES"/>
              </w:rPr>
              <w:t>Jefe</w:t>
            </w:r>
            <w:r w:rsidR="003C70DB">
              <w:rPr>
                <w:rFonts w:ascii="Arial" w:hAnsi="Arial" w:cs="Arial"/>
                <w:sz w:val="18"/>
                <w:szCs w:val="18"/>
                <w:lang w:val="es-ES"/>
              </w:rPr>
              <w:t>s</w:t>
            </w:r>
            <w:r w:rsidR="00752360">
              <w:rPr>
                <w:rFonts w:ascii="Arial" w:hAnsi="Arial" w:cs="Arial"/>
                <w:sz w:val="18"/>
                <w:szCs w:val="18"/>
                <w:lang w:val="es-ES"/>
              </w:rPr>
              <w:t xml:space="preserve"> de </w:t>
            </w:r>
            <w:r w:rsidR="003C70DB">
              <w:rPr>
                <w:rFonts w:ascii="Arial" w:hAnsi="Arial" w:cs="Arial"/>
                <w:sz w:val="18"/>
                <w:szCs w:val="18"/>
                <w:lang w:val="es-ES"/>
              </w:rPr>
              <w:t>E</w:t>
            </w:r>
            <w:r w:rsidR="00752360">
              <w:rPr>
                <w:rFonts w:ascii="Arial" w:hAnsi="Arial" w:cs="Arial"/>
                <w:sz w:val="18"/>
                <w:szCs w:val="18"/>
                <w:lang w:val="es-ES"/>
              </w:rPr>
              <w:t>quipo</w:t>
            </w:r>
            <w:r w:rsidR="003C70DB">
              <w:rPr>
                <w:rFonts w:ascii="Arial" w:hAnsi="Arial" w:cs="Arial"/>
                <w:sz w:val="18"/>
                <w:szCs w:val="18"/>
                <w:lang w:val="es-ES"/>
              </w:rPr>
              <w:t xml:space="preserve"> </w:t>
            </w:r>
            <w:r w:rsidR="003C70DB" w:rsidRPr="003C70DB">
              <w:rPr>
                <w:rFonts w:ascii="Arial" w:hAnsi="Arial" w:cs="Arial"/>
                <w:sz w:val="18"/>
                <w:szCs w:val="18"/>
                <w:lang w:val="es-ES"/>
              </w:rPr>
              <w:t>Alterno</w:t>
            </w:r>
            <w:r w:rsidR="00752360">
              <w:rPr>
                <w:rFonts w:ascii="Arial" w:hAnsi="Arial" w:cs="Arial"/>
                <w:sz w:val="18"/>
                <w:szCs w:val="18"/>
                <w:lang w:val="es-ES"/>
              </w:rPr>
              <w:t>;</w:t>
            </w:r>
            <w:r w:rsidR="00CB7EF1">
              <w:rPr>
                <w:rFonts w:ascii="Arial" w:hAnsi="Arial" w:cs="Arial"/>
                <w:sz w:val="18"/>
                <w:szCs w:val="18"/>
                <w:lang w:val="es-ES"/>
              </w:rPr>
              <w:t xml:space="preserve"> </w:t>
            </w:r>
            <w:r w:rsidR="00752360">
              <w:rPr>
                <w:rFonts w:ascii="Arial" w:hAnsi="Arial" w:cs="Arial"/>
                <w:sz w:val="18"/>
                <w:szCs w:val="18"/>
                <w:lang w:val="es-ES"/>
              </w:rPr>
              <w:t xml:space="preserve">Leopoldo Montanez (INE/INE) </w:t>
            </w:r>
            <w:r w:rsidR="003C70DB">
              <w:rPr>
                <w:rFonts w:ascii="Arial" w:hAnsi="Arial" w:cs="Arial"/>
                <w:sz w:val="18"/>
                <w:szCs w:val="18"/>
                <w:lang w:val="es-ES"/>
              </w:rPr>
              <w:t>y</w:t>
            </w:r>
            <w:r>
              <w:rPr>
                <w:rFonts w:ascii="Arial" w:hAnsi="Arial" w:cs="Arial"/>
                <w:sz w:val="18"/>
                <w:szCs w:val="18"/>
                <w:lang w:val="es-ES"/>
              </w:rPr>
              <w:t xml:space="preserve"> </w:t>
            </w:r>
            <w:r w:rsidR="00752360">
              <w:rPr>
                <w:rFonts w:ascii="Arial" w:hAnsi="Arial" w:cs="Arial"/>
                <w:sz w:val="18"/>
                <w:szCs w:val="18"/>
                <w:lang w:val="es-ES"/>
              </w:rPr>
              <w:t>Ana Maria Pinto (INE /TSP)</w:t>
            </w:r>
            <w:r w:rsidR="003C70DB">
              <w:rPr>
                <w:rFonts w:ascii="Arial" w:hAnsi="Arial" w:cs="Arial"/>
                <w:sz w:val="18"/>
                <w:szCs w:val="18"/>
                <w:lang w:val="es-ES"/>
              </w:rPr>
              <w:t>;</w:t>
            </w:r>
            <w:r w:rsidR="00752360" w:rsidRPr="004328D1">
              <w:rPr>
                <w:rFonts w:ascii="Arial" w:hAnsi="Arial" w:cs="Arial"/>
                <w:sz w:val="18"/>
                <w:szCs w:val="18"/>
                <w:lang w:val="es-ES"/>
              </w:rPr>
              <w:t xml:space="preserve"> </w:t>
            </w:r>
            <w:r w:rsidR="00752360">
              <w:rPr>
                <w:rFonts w:ascii="Arial" w:hAnsi="Arial" w:cs="Arial"/>
                <w:sz w:val="18"/>
                <w:szCs w:val="18"/>
                <w:lang w:val="es-ES"/>
              </w:rPr>
              <w:t>Edgar Orellana</w:t>
            </w:r>
            <w:r w:rsidR="00752360" w:rsidRPr="004328D1">
              <w:rPr>
                <w:rFonts w:ascii="Arial" w:hAnsi="Arial" w:cs="Arial"/>
                <w:sz w:val="18"/>
                <w:szCs w:val="18"/>
                <w:lang w:val="es-ES"/>
              </w:rPr>
              <w:t xml:space="preserve"> </w:t>
            </w:r>
            <w:r w:rsidR="003775D7">
              <w:rPr>
                <w:rFonts w:ascii="Arial" w:hAnsi="Arial" w:cs="Arial"/>
                <w:sz w:val="18"/>
                <w:szCs w:val="18"/>
                <w:lang w:val="es-ES"/>
              </w:rPr>
              <w:t xml:space="preserve">A. </w:t>
            </w:r>
            <w:r w:rsidR="003C70DB">
              <w:rPr>
                <w:rFonts w:ascii="Arial" w:hAnsi="Arial" w:cs="Arial"/>
                <w:sz w:val="18"/>
                <w:szCs w:val="18"/>
                <w:lang w:val="es-ES"/>
              </w:rPr>
              <w:t xml:space="preserve">y </w:t>
            </w:r>
            <w:r w:rsidR="003C70DB" w:rsidRPr="003C70DB">
              <w:rPr>
                <w:rFonts w:ascii="Arial" w:hAnsi="Arial" w:cs="Arial"/>
                <w:sz w:val="18"/>
                <w:szCs w:val="18"/>
                <w:lang w:val="es-ES"/>
              </w:rPr>
              <w:t xml:space="preserve">Marilyn Guerrero </w:t>
            </w:r>
            <w:r w:rsidR="00752360" w:rsidRPr="004328D1">
              <w:rPr>
                <w:rFonts w:ascii="Arial" w:hAnsi="Arial" w:cs="Arial"/>
                <w:sz w:val="18"/>
                <w:szCs w:val="18"/>
                <w:lang w:val="es-ES"/>
              </w:rPr>
              <w:t>(</w:t>
            </w:r>
            <w:r w:rsidR="00752360">
              <w:rPr>
                <w:rFonts w:ascii="Arial" w:hAnsi="Arial" w:cs="Arial"/>
                <w:sz w:val="18"/>
                <w:szCs w:val="18"/>
                <w:lang w:val="es-ES"/>
              </w:rPr>
              <w:t>INE/</w:t>
            </w:r>
            <w:r w:rsidR="00752360" w:rsidRPr="004328D1">
              <w:rPr>
                <w:rFonts w:ascii="Arial" w:hAnsi="Arial" w:cs="Arial"/>
                <w:sz w:val="18"/>
                <w:szCs w:val="18"/>
                <w:lang w:val="es-ES"/>
              </w:rPr>
              <w:t xml:space="preserve">WSA); </w:t>
            </w:r>
            <w:r>
              <w:rPr>
                <w:rFonts w:ascii="Arial" w:hAnsi="Arial" w:cs="Arial"/>
                <w:sz w:val="18"/>
                <w:szCs w:val="18"/>
                <w:lang w:val="es-ES"/>
              </w:rPr>
              <w:t>Rudy Joel Loo-Kung</w:t>
            </w:r>
            <w:r w:rsidRPr="004328D1">
              <w:rPr>
                <w:rFonts w:ascii="Arial" w:hAnsi="Arial" w:cs="Arial"/>
                <w:sz w:val="18"/>
                <w:szCs w:val="18"/>
                <w:lang w:val="es-ES"/>
              </w:rPr>
              <w:t xml:space="preserve"> (</w:t>
            </w:r>
            <w:r>
              <w:rPr>
                <w:rFonts w:ascii="Arial" w:hAnsi="Arial" w:cs="Arial"/>
                <w:sz w:val="18"/>
                <w:szCs w:val="18"/>
                <w:lang w:val="es-ES"/>
              </w:rPr>
              <w:t>VPS/VPS</w:t>
            </w:r>
            <w:r w:rsidRPr="004328D1">
              <w:rPr>
                <w:rFonts w:ascii="Arial" w:hAnsi="Arial" w:cs="Arial"/>
                <w:sz w:val="18"/>
                <w:szCs w:val="18"/>
                <w:lang w:val="es-ES"/>
              </w:rPr>
              <w:t xml:space="preserve">); </w:t>
            </w:r>
            <w:r>
              <w:rPr>
                <w:rFonts w:ascii="Arial" w:hAnsi="Arial" w:cs="Arial"/>
                <w:sz w:val="18"/>
                <w:szCs w:val="18"/>
                <w:lang w:val="es-ES"/>
              </w:rPr>
              <w:t>Norma Constanza Peña</w:t>
            </w:r>
            <w:r w:rsidRPr="004328D1">
              <w:rPr>
                <w:rFonts w:ascii="Arial" w:hAnsi="Arial" w:cs="Arial"/>
                <w:sz w:val="18"/>
                <w:szCs w:val="18"/>
                <w:lang w:val="es-ES"/>
              </w:rPr>
              <w:t xml:space="preserve"> (</w:t>
            </w:r>
            <w:r>
              <w:rPr>
                <w:rFonts w:ascii="Arial" w:hAnsi="Arial" w:cs="Arial"/>
                <w:sz w:val="18"/>
                <w:szCs w:val="18"/>
                <w:lang w:val="es-ES"/>
              </w:rPr>
              <w:t>IFD/ICS</w:t>
            </w:r>
            <w:r w:rsidRPr="004328D1">
              <w:rPr>
                <w:rFonts w:ascii="Arial" w:hAnsi="Arial" w:cs="Arial"/>
                <w:sz w:val="18"/>
                <w:szCs w:val="18"/>
                <w:lang w:val="es-ES"/>
              </w:rPr>
              <w:t>);</w:t>
            </w:r>
            <w:r w:rsidR="003C70DB">
              <w:rPr>
                <w:rFonts w:ascii="Arial" w:hAnsi="Arial" w:cs="Arial"/>
                <w:sz w:val="18"/>
                <w:szCs w:val="18"/>
                <w:lang w:val="es-ES"/>
              </w:rPr>
              <w:t xml:space="preserve"> </w:t>
            </w:r>
            <w:r w:rsidRPr="004328D1">
              <w:rPr>
                <w:rFonts w:ascii="Arial" w:hAnsi="Arial" w:cs="Arial"/>
                <w:sz w:val="18"/>
                <w:szCs w:val="18"/>
                <w:lang w:val="es-ES"/>
              </w:rPr>
              <w:t xml:space="preserve">y </w:t>
            </w:r>
            <w:r w:rsidR="003C70DB">
              <w:rPr>
                <w:rFonts w:ascii="Arial" w:hAnsi="Arial" w:cs="Arial"/>
                <w:sz w:val="18"/>
                <w:szCs w:val="18"/>
                <w:lang w:val="es-ES"/>
              </w:rPr>
              <w:t xml:space="preserve">Javier Jiménez </w:t>
            </w:r>
            <w:r w:rsidR="003C70DB" w:rsidRPr="003C70DB">
              <w:rPr>
                <w:rFonts w:ascii="Arial" w:hAnsi="Arial" w:cs="Arial"/>
                <w:sz w:val="18"/>
                <w:szCs w:val="18"/>
                <w:lang w:val="es-ES"/>
              </w:rPr>
              <w:t>Mosquera</w:t>
            </w:r>
            <w:r w:rsidRPr="003C70DB">
              <w:rPr>
                <w:rFonts w:ascii="Arial" w:hAnsi="Arial" w:cs="Arial"/>
                <w:sz w:val="18"/>
                <w:szCs w:val="18"/>
                <w:lang w:val="es-ES"/>
              </w:rPr>
              <w:t xml:space="preserve"> (LEG/SGO).</w:t>
            </w:r>
          </w:p>
        </w:tc>
      </w:tr>
      <w:tr w:rsidR="00CC716E" w:rsidRPr="004328D1" w14:paraId="6DA7E9D1" w14:textId="77777777" w:rsidTr="5CCB81BE">
        <w:tc>
          <w:tcPr>
            <w:tcW w:w="4140" w:type="dxa"/>
          </w:tcPr>
          <w:p w14:paraId="468513BA" w14:textId="77777777" w:rsidR="00CC716E"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 xml:space="preserve">Indicar si es: Apoyo Operativo, Apoyo al Cliente, o Investigación y Difusión </w:t>
            </w:r>
          </w:p>
        </w:tc>
        <w:tc>
          <w:tcPr>
            <w:tcW w:w="4428" w:type="dxa"/>
          </w:tcPr>
          <w:p w14:paraId="41C8F396" w14:textId="43ED61C4" w:rsidR="00CC716E" w:rsidRPr="00D97FAD" w:rsidRDefault="004328D1" w:rsidP="000E192F">
            <w:pPr>
              <w:spacing w:after="60"/>
              <w:ind w:left="360"/>
              <w:jc w:val="both"/>
              <w:rPr>
                <w:rFonts w:ascii="Arial" w:hAnsi="Arial" w:cs="Arial"/>
                <w:sz w:val="18"/>
                <w:szCs w:val="18"/>
                <w:lang w:val="es-ES"/>
              </w:rPr>
            </w:pPr>
            <w:r w:rsidRPr="004328D1">
              <w:rPr>
                <w:rFonts w:ascii="Arial" w:hAnsi="Arial" w:cs="Arial"/>
                <w:sz w:val="18"/>
                <w:szCs w:val="18"/>
                <w:lang w:val="es-ES"/>
              </w:rPr>
              <w:t>Investigación y Difusión</w:t>
            </w:r>
          </w:p>
        </w:tc>
      </w:tr>
      <w:tr w:rsidR="00CC716E" w:rsidRPr="004328D1" w14:paraId="55167F44" w14:textId="77777777" w:rsidTr="5CCB81BE">
        <w:tc>
          <w:tcPr>
            <w:tcW w:w="4140" w:type="dxa"/>
          </w:tcPr>
          <w:p w14:paraId="6D4C88AE" w14:textId="77777777" w:rsidR="00CC716E"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Si es Apoyo Operativo, proveer número y nombre de la operación que apoyará la CT:</w:t>
            </w:r>
          </w:p>
        </w:tc>
        <w:tc>
          <w:tcPr>
            <w:tcW w:w="4428" w:type="dxa"/>
          </w:tcPr>
          <w:p w14:paraId="72A3D3EC" w14:textId="3DD71074" w:rsidR="00CC716E" w:rsidRPr="00D97FAD" w:rsidRDefault="00F04BCE" w:rsidP="000E192F">
            <w:pPr>
              <w:spacing w:after="60"/>
              <w:ind w:left="360"/>
              <w:jc w:val="both"/>
              <w:rPr>
                <w:rFonts w:ascii="Arial" w:hAnsi="Arial" w:cs="Arial"/>
                <w:sz w:val="18"/>
                <w:szCs w:val="18"/>
                <w:lang w:val="es-ES"/>
              </w:rPr>
            </w:pPr>
            <w:r>
              <w:rPr>
                <w:rFonts w:ascii="Arial" w:hAnsi="Arial" w:cs="Arial"/>
                <w:sz w:val="18"/>
                <w:szCs w:val="18"/>
                <w:lang w:val="es-ES"/>
              </w:rPr>
              <w:t>N/A</w:t>
            </w:r>
          </w:p>
        </w:tc>
      </w:tr>
      <w:tr w:rsidR="000C16F9" w:rsidRPr="004328D1" w14:paraId="27904740" w14:textId="77777777" w:rsidTr="5CCB81BE">
        <w:tc>
          <w:tcPr>
            <w:tcW w:w="4140" w:type="dxa"/>
          </w:tcPr>
          <w:p w14:paraId="4E80ABEF"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Fecha de Autorización del Abstracto de CT:</w:t>
            </w:r>
          </w:p>
        </w:tc>
        <w:tc>
          <w:tcPr>
            <w:tcW w:w="4428" w:type="dxa"/>
          </w:tcPr>
          <w:p w14:paraId="0D0B940D" w14:textId="2035CF34" w:rsidR="009F33FF" w:rsidRPr="00D97FAD" w:rsidRDefault="00EF0A17" w:rsidP="000E192F">
            <w:pPr>
              <w:spacing w:after="60"/>
              <w:ind w:left="360"/>
              <w:jc w:val="both"/>
              <w:rPr>
                <w:rFonts w:ascii="Arial" w:hAnsi="Arial" w:cs="Arial"/>
                <w:sz w:val="18"/>
                <w:szCs w:val="18"/>
                <w:lang w:val="es-ES"/>
              </w:rPr>
            </w:pPr>
            <w:r>
              <w:rPr>
                <w:rFonts w:ascii="Arial" w:hAnsi="Arial" w:cs="Arial"/>
                <w:sz w:val="18"/>
                <w:szCs w:val="18"/>
                <w:lang w:val="es-ES"/>
              </w:rPr>
              <w:t>Mayo</w:t>
            </w:r>
            <w:bookmarkStart w:id="0" w:name="_GoBack"/>
            <w:bookmarkEnd w:id="0"/>
            <w:r w:rsidR="004328D1">
              <w:rPr>
                <w:rFonts w:ascii="Arial" w:hAnsi="Arial" w:cs="Arial"/>
                <w:sz w:val="18"/>
                <w:szCs w:val="18"/>
                <w:lang w:val="es-ES"/>
              </w:rPr>
              <w:t xml:space="preserve"> 2019</w:t>
            </w:r>
          </w:p>
        </w:tc>
      </w:tr>
      <w:tr w:rsidR="000C16F9" w:rsidRPr="004328D1" w14:paraId="1EA9AA0A" w14:textId="77777777" w:rsidTr="5CCB81BE">
        <w:tc>
          <w:tcPr>
            <w:tcW w:w="4140" w:type="dxa"/>
          </w:tcPr>
          <w:p w14:paraId="784D5A3A"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Beneficiario (países o entidades que recibirán la asistencia técnica):</w:t>
            </w:r>
          </w:p>
        </w:tc>
        <w:tc>
          <w:tcPr>
            <w:tcW w:w="4428" w:type="dxa"/>
          </w:tcPr>
          <w:p w14:paraId="0E27B00A" w14:textId="2EAE4408" w:rsidR="009F33FF" w:rsidRPr="00D97FAD" w:rsidRDefault="009E7921" w:rsidP="000E192F">
            <w:pPr>
              <w:spacing w:after="60"/>
              <w:ind w:left="360"/>
              <w:jc w:val="both"/>
              <w:rPr>
                <w:rFonts w:ascii="Arial" w:hAnsi="Arial" w:cs="Arial"/>
                <w:sz w:val="18"/>
                <w:szCs w:val="18"/>
                <w:lang w:val="es-ES"/>
              </w:rPr>
            </w:pPr>
            <w:r>
              <w:rPr>
                <w:rFonts w:ascii="Arial" w:hAnsi="Arial" w:cs="Arial"/>
                <w:sz w:val="18"/>
                <w:szCs w:val="18"/>
                <w:lang w:val="es-ES"/>
              </w:rPr>
              <w:t xml:space="preserve">República Bolivariana de </w:t>
            </w:r>
            <w:r w:rsidR="004328D1">
              <w:rPr>
                <w:rFonts w:ascii="Arial" w:hAnsi="Arial" w:cs="Arial"/>
                <w:sz w:val="18"/>
                <w:szCs w:val="18"/>
                <w:lang w:val="es-ES"/>
              </w:rPr>
              <w:t>Venezuela</w:t>
            </w:r>
          </w:p>
        </w:tc>
      </w:tr>
      <w:tr w:rsidR="000C16F9" w:rsidRPr="00EF0A17" w14:paraId="038E5F1D" w14:textId="77777777" w:rsidTr="5CCB81BE">
        <w:tc>
          <w:tcPr>
            <w:tcW w:w="4140" w:type="dxa"/>
          </w:tcPr>
          <w:p w14:paraId="18BF78AE" w14:textId="45BE5F49"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Agencia Ejecutora</w:t>
            </w:r>
          </w:p>
        </w:tc>
        <w:tc>
          <w:tcPr>
            <w:tcW w:w="4428" w:type="dxa"/>
          </w:tcPr>
          <w:p w14:paraId="60061E4C" w14:textId="12132CD6" w:rsidR="009F33FF" w:rsidRPr="00D97FAD" w:rsidRDefault="009E7921" w:rsidP="000E192F">
            <w:pPr>
              <w:spacing w:after="60"/>
              <w:ind w:left="360"/>
              <w:jc w:val="both"/>
              <w:rPr>
                <w:rFonts w:ascii="Arial" w:hAnsi="Arial" w:cs="Arial"/>
                <w:sz w:val="18"/>
                <w:szCs w:val="18"/>
                <w:lang w:val="es-ES"/>
              </w:rPr>
            </w:pPr>
            <w:r w:rsidRPr="009E7921">
              <w:rPr>
                <w:rFonts w:ascii="Arial" w:hAnsi="Arial" w:cs="Arial"/>
                <w:sz w:val="18"/>
                <w:szCs w:val="18"/>
                <w:lang w:val="es-ES"/>
              </w:rPr>
              <w:t>Banco Interamericano de Desarrollo (BID</w:t>
            </w:r>
            <w:r w:rsidR="009219CA">
              <w:rPr>
                <w:rFonts w:ascii="Arial" w:hAnsi="Arial" w:cs="Arial"/>
                <w:sz w:val="18"/>
                <w:szCs w:val="18"/>
                <w:lang w:val="es-ES"/>
              </w:rPr>
              <w:t>)</w:t>
            </w:r>
            <w:r w:rsidR="00373EDE">
              <w:rPr>
                <w:rFonts w:ascii="Arial" w:hAnsi="Arial" w:cs="Arial"/>
                <w:sz w:val="18"/>
                <w:szCs w:val="18"/>
                <w:lang w:val="es-ES"/>
              </w:rPr>
              <w:t xml:space="preserve">: </w:t>
            </w:r>
            <w:r w:rsidR="00373EDE" w:rsidRPr="00373EDE">
              <w:rPr>
                <w:rFonts w:ascii="Arial" w:hAnsi="Arial" w:cs="Arial"/>
                <w:sz w:val="18"/>
                <w:szCs w:val="18"/>
                <w:lang w:val="es-ES"/>
              </w:rPr>
              <w:t>Divisi</w:t>
            </w:r>
            <w:r w:rsidR="003775D7">
              <w:rPr>
                <w:rFonts w:ascii="Arial" w:hAnsi="Arial" w:cs="Arial"/>
                <w:sz w:val="18"/>
                <w:szCs w:val="18"/>
                <w:lang w:val="es-ES"/>
              </w:rPr>
              <w:t>o</w:t>
            </w:r>
            <w:r w:rsidR="00373EDE" w:rsidRPr="00373EDE">
              <w:rPr>
                <w:rFonts w:ascii="Arial" w:hAnsi="Arial" w:cs="Arial"/>
                <w:sz w:val="18"/>
                <w:szCs w:val="18"/>
                <w:lang w:val="es-ES"/>
              </w:rPr>
              <w:t>n</w:t>
            </w:r>
            <w:r w:rsidR="00373EDE">
              <w:rPr>
                <w:rFonts w:ascii="Arial" w:hAnsi="Arial" w:cs="Arial"/>
                <w:sz w:val="18"/>
                <w:szCs w:val="18"/>
                <w:lang w:val="es-ES"/>
              </w:rPr>
              <w:t>es</w:t>
            </w:r>
            <w:r w:rsidR="00373EDE" w:rsidRPr="00373EDE">
              <w:rPr>
                <w:rFonts w:ascii="Arial" w:hAnsi="Arial" w:cs="Arial"/>
                <w:sz w:val="18"/>
                <w:szCs w:val="18"/>
                <w:lang w:val="es-ES"/>
              </w:rPr>
              <w:t xml:space="preserve"> de Agua y Saneamiento (INE/WSA)</w:t>
            </w:r>
            <w:r w:rsidR="00373EDE">
              <w:rPr>
                <w:rFonts w:ascii="Arial" w:hAnsi="Arial" w:cs="Arial"/>
                <w:sz w:val="18"/>
                <w:szCs w:val="18"/>
                <w:lang w:val="es-ES"/>
              </w:rPr>
              <w:t>;</w:t>
            </w:r>
            <w:r w:rsidR="00373EDE" w:rsidRPr="00373EDE">
              <w:rPr>
                <w:rFonts w:ascii="Arial" w:hAnsi="Arial" w:cs="Arial"/>
                <w:sz w:val="18"/>
                <w:szCs w:val="18"/>
                <w:lang w:val="es-ES"/>
              </w:rPr>
              <w:t xml:space="preserve"> Energía </w:t>
            </w:r>
            <w:r w:rsidR="00373EDE">
              <w:rPr>
                <w:rFonts w:ascii="Arial" w:hAnsi="Arial" w:cs="Arial"/>
                <w:sz w:val="18"/>
                <w:szCs w:val="18"/>
                <w:lang w:val="es-ES"/>
              </w:rPr>
              <w:t xml:space="preserve">(INE/ENE) </w:t>
            </w:r>
            <w:r w:rsidR="00373EDE" w:rsidRPr="00373EDE">
              <w:rPr>
                <w:rFonts w:ascii="Arial" w:hAnsi="Arial" w:cs="Arial"/>
                <w:sz w:val="18"/>
                <w:szCs w:val="18"/>
                <w:lang w:val="es-ES"/>
              </w:rPr>
              <w:t>y Transporte (INE/</w:t>
            </w:r>
            <w:r w:rsidR="00373EDE">
              <w:rPr>
                <w:rFonts w:ascii="Arial" w:hAnsi="Arial" w:cs="Arial"/>
                <w:sz w:val="18"/>
                <w:szCs w:val="18"/>
                <w:lang w:val="es-ES"/>
              </w:rPr>
              <w:t>TSP</w:t>
            </w:r>
            <w:r w:rsidR="00373EDE" w:rsidRPr="00373EDE">
              <w:rPr>
                <w:rFonts w:ascii="Arial" w:hAnsi="Arial" w:cs="Arial"/>
                <w:sz w:val="18"/>
                <w:szCs w:val="18"/>
                <w:lang w:val="es-ES"/>
              </w:rPr>
              <w:t>)</w:t>
            </w:r>
          </w:p>
        </w:tc>
      </w:tr>
      <w:tr w:rsidR="000C16F9" w:rsidRPr="00D97FAD" w14:paraId="76038F20" w14:textId="77777777" w:rsidTr="5CCB81BE">
        <w:tc>
          <w:tcPr>
            <w:tcW w:w="4140" w:type="dxa"/>
          </w:tcPr>
          <w:p w14:paraId="643E4701"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Financiamiento Solicitado del BID:</w:t>
            </w:r>
          </w:p>
        </w:tc>
        <w:tc>
          <w:tcPr>
            <w:tcW w:w="4428" w:type="dxa"/>
          </w:tcPr>
          <w:p w14:paraId="4B94D5A5" w14:textId="3A84E3B1" w:rsidR="009F33FF" w:rsidRPr="00D97FAD" w:rsidRDefault="004328D1" w:rsidP="000E192F">
            <w:pPr>
              <w:spacing w:after="60"/>
              <w:ind w:left="360"/>
              <w:jc w:val="both"/>
              <w:rPr>
                <w:rFonts w:ascii="Arial" w:hAnsi="Arial" w:cs="Arial"/>
                <w:sz w:val="18"/>
                <w:szCs w:val="18"/>
                <w:lang w:val="es-ES"/>
              </w:rPr>
            </w:pPr>
            <w:r>
              <w:rPr>
                <w:rFonts w:ascii="Arial" w:hAnsi="Arial" w:cs="Arial"/>
                <w:sz w:val="18"/>
                <w:szCs w:val="18"/>
                <w:lang w:val="es-ES"/>
              </w:rPr>
              <w:t>US$600.000</w:t>
            </w:r>
          </w:p>
        </w:tc>
      </w:tr>
      <w:tr w:rsidR="000C16F9" w:rsidRPr="00D97FAD" w14:paraId="7A8751C5" w14:textId="77777777" w:rsidTr="5CCB81BE">
        <w:tc>
          <w:tcPr>
            <w:tcW w:w="4140" w:type="dxa"/>
          </w:tcPr>
          <w:p w14:paraId="5669A963"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Contrapartida Local, si hay:</w:t>
            </w:r>
          </w:p>
        </w:tc>
        <w:tc>
          <w:tcPr>
            <w:tcW w:w="4428" w:type="dxa"/>
          </w:tcPr>
          <w:p w14:paraId="3DEEC669" w14:textId="2347B1FB" w:rsidR="009F33FF" w:rsidRPr="00D97FAD" w:rsidRDefault="00AF2695" w:rsidP="000E192F">
            <w:pPr>
              <w:spacing w:after="60"/>
              <w:ind w:left="360"/>
              <w:jc w:val="both"/>
              <w:rPr>
                <w:rFonts w:ascii="Arial" w:hAnsi="Arial" w:cs="Arial"/>
                <w:sz w:val="18"/>
                <w:szCs w:val="18"/>
                <w:lang w:val="es-ES"/>
              </w:rPr>
            </w:pPr>
            <w:r>
              <w:rPr>
                <w:rFonts w:ascii="Arial" w:hAnsi="Arial" w:cs="Arial"/>
                <w:sz w:val="18"/>
                <w:szCs w:val="18"/>
                <w:lang w:val="es-ES"/>
              </w:rPr>
              <w:t>N/A</w:t>
            </w:r>
          </w:p>
        </w:tc>
      </w:tr>
      <w:tr w:rsidR="000C16F9" w:rsidRPr="00227B0C" w14:paraId="72E45707" w14:textId="77777777" w:rsidTr="5CCB81BE">
        <w:tc>
          <w:tcPr>
            <w:tcW w:w="4140" w:type="dxa"/>
          </w:tcPr>
          <w:p w14:paraId="59EB8350"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Periodo de Desembolso (incluye periodo de ejecución):</w:t>
            </w:r>
          </w:p>
        </w:tc>
        <w:tc>
          <w:tcPr>
            <w:tcW w:w="4428" w:type="dxa"/>
          </w:tcPr>
          <w:p w14:paraId="3656B9AB" w14:textId="01213302" w:rsidR="004328D1" w:rsidRPr="00D97FAD" w:rsidRDefault="004328D1" w:rsidP="000E192F">
            <w:pPr>
              <w:spacing w:after="60"/>
              <w:ind w:left="360"/>
              <w:rPr>
                <w:rFonts w:ascii="Arial" w:hAnsi="Arial" w:cs="Arial"/>
                <w:sz w:val="18"/>
                <w:szCs w:val="18"/>
                <w:lang w:val="es-ES"/>
              </w:rPr>
            </w:pPr>
            <w:r>
              <w:rPr>
                <w:rFonts w:ascii="Arial" w:hAnsi="Arial" w:cs="Arial"/>
                <w:sz w:val="18"/>
                <w:szCs w:val="18"/>
                <w:lang w:val="es-ES"/>
              </w:rPr>
              <w:t xml:space="preserve">Desembolso: </w:t>
            </w:r>
            <w:r w:rsidR="00227B0C">
              <w:rPr>
                <w:rFonts w:ascii="Arial" w:hAnsi="Arial" w:cs="Arial"/>
                <w:sz w:val="18"/>
                <w:szCs w:val="18"/>
                <w:lang w:val="es-ES"/>
              </w:rPr>
              <w:t>24</w:t>
            </w:r>
            <w:r>
              <w:rPr>
                <w:rFonts w:ascii="Arial" w:hAnsi="Arial" w:cs="Arial"/>
                <w:sz w:val="18"/>
                <w:szCs w:val="18"/>
                <w:lang w:val="es-ES"/>
              </w:rPr>
              <w:t xml:space="preserve"> meses</w:t>
            </w:r>
            <w:r>
              <w:rPr>
                <w:rFonts w:ascii="Arial" w:hAnsi="Arial" w:cs="Arial"/>
                <w:sz w:val="18"/>
                <w:szCs w:val="18"/>
                <w:lang w:val="es-ES"/>
              </w:rPr>
              <w:br/>
              <w:t xml:space="preserve">Ejecución: </w:t>
            </w:r>
            <w:r w:rsidR="00227B0C">
              <w:rPr>
                <w:rFonts w:ascii="Arial" w:hAnsi="Arial" w:cs="Arial"/>
                <w:sz w:val="18"/>
                <w:szCs w:val="18"/>
                <w:lang w:val="es-ES"/>
              </w:rPr>
              <w:t>3</w:t>
            </w:r>
            <w:r w:rsidR="003C70DB">
              <w:rPr>
                <w:rFonts w:ascii="Arial" w:hAnsi="Arial" w:cs="Arial"/>
                <w:sz w:val="18"/>
                <w:szCs w:val="18"/>
                <w:lang w:val="es-ES"/>
              </w:rPr>
              <w:t>0</w:t>
            </w:r>
            <w:r>
              <w:rPr>
                <w:rFonts w:ascii="Arial" w:hAnsi="Arial" w:cs="Arial"/>
                <w:sz w:val="18"/>
                <w:szCs w:val="18"/>
                <w:lang w:val="es-ES"/>
              </w:rPr>
              <w:t xml:space="preserve"> meses</w:t>
            </w:r>
          </w:p>
        </w:tc>
      </w:tr>
      <w:tr w:rsidR="000C16F9" w:rsidRPr="00D97FAD" w14:paraId="70450FB6" w14:textId="77777777" w:rsidTr="5CCB81BE">
        <w:tc>
          <w:tcPr>
            <w:tcW w:w="4140" w:type="dxa"/>
          </w:tcPr>
          <w:p w14:paraId="13F8EE5E" w14:textId="77777777" w:rsidR="009F33FF" w:rsidRPr="00192410"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00192410">
              <w:rPr>
                <w:rFonts w:ascii="Arial" w:eastAsia="Arial" w:hAnsi="Arial" w:cs="Arial"/>
                <w:sz w:val="18"/>
                <w:szCs w:val="18"/>
                <w:lang w:val="es-ES"/>
              </w:rPr>
              <w:t>Fecha de Inicio requerido:</w:t>
            </w:r>
          </w:p>
        </w:tc>
        <w:tc>
          <w:tcPr>
            <w:tcW w:w="4428" w:type="dxa"/>
          </w:tcPr>
          <w:p w14:paraId="45FB0818" w14:textId="525CC6FE" w:rsidR="009F33FF" w:rsidRPr="00D97FAD" w:rsidRDefault="00CB7EF1" w:rsidP="000E192F">
            <w:pPr>
              <w:spacing w:after="60"/>
              <w:ind w:left="360"/>
              <w:jc w:val="both"/>
              <w:rPr>
                <w:rFonts w:ascii="Arial" w:hAnsi="Arial" w:cs="Arial"/>
                <w:sz w:val="18"/>
                <w:szCs w:val="18"/>
                <w:lang w:val="es-ES"/>
              </w:rPr>
            </w:pPr>
            <w:r>
              <w:rPr>
                <w:rFonts w:ascii="Arial" w:hAnsi="Arial" w:cs="Arial"/>
                <w:sz w:val="18"/>
                <w:szCs w:val="18"/>
                <w:lang w:val="es-ES"/>
              </w:rPr>
              <w:t>Junio de 2019</w:t>
            </w:r>
          </w:p>
        </w:tc>
      </w:tr>
      <w:tr w:rsidR="000C16F9" w:rsidRPr="00D97FAD" w14:paraId="2E031584" w14:textId="77777777" w:rsidTr="5CCB81BE">
        <w:tc>
          <w:tcPr>
            <w:tcW w:w="4140" w:type="dxa"/>
          </w:tcPr>
          <w:p w14:paraId="0D949F12"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Tipos de consultores (firmas o consultores individuales):</w:t>
            </w:r>
          </w:p>
        </w:tc>
        <w:tc>
          <w:tcPr>
            <w:tcW w:w="4428" w:type="dxa"/>
          </w:tcPr>
          <w:p w14:paraId="049F31CB" w14:textId="1B491956" w:rsidR="009F33FF" w:rsidRPr="00D97FAD" w:rsidRDefault="004328D1" w:rsidP="000E192F">
            <w:pPr>
              <w:spacing w:after="60"/>
              <w:ind w:left="360"/>
              <w:jc w:val="both"/>
              <w:rPr>
                <w:rFonts w:ascii="Arial" w:hAnsi="Arial" w:cs="Arial"/>
                <w:sz w:val="18"/>
                <w:szCs w:val="18"/>
                <w:lang w:val="es-ES"/>
              </w:rPr>
            </w:pPr>
            <w:r w:rsidRPr="004328D1">
              <w:rPr>
                <w:rFonts w:ascii="Arial" w:hAnsi="Arial" w:cs="Arial"/>
                <w:sz w:val="18"/>
                <w:szCs w:val="18"/>
                <w:lang w:val="es-ES"/>
              </w:rPr>
              <w:t>Firmas y consultores individuales</w:t>
            </w:r>
          </w:p>
        </w:tc>
      </w:tr>
      <w:tr w:rsidR="000C16F9" w:rsidRPr="00EF0A17" w14:paraId="2B90F96D" w14:textId="77777777" w:rsidTr="5CCB81BE">
        <w:tc>
          <w:tcPr>
            <w:tcW w:w="4140" w:type="dxa"/>
          </w:tcPr>
          <w:p w14:paraId="7D8DCDD5"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5CCB81BE">
              <w:rPr>
                <w:rFonts w:ascii="Arial" w:eastAsia="Arial" w:hAnsi="Arial" w:cs="Arial"/>
                <w:sz w:val="18"/>
                <w:szCs w:val="18"/>
                <w:lang w:val="es-ES"/>
              </w:rPr>
              <w:t>Unidad de Preparación:</w:t>
            </w:r>
          </w:p>
        </w:tc>
        <w:tc>
          <w:tcPr>
            <w:tcW w:w="4428" w:type="dxa"/>
          </w:tcPr>
          <w:p w14:paraId="53128261" w14:textId="73EC01F1" w:rsidR="009F33FF" w:rsidRPr="00D97FAD" w:rsidRDefault="00373EDE" w:rsidP="000E192F">
            <w:pPr>
              <w:spacing w:after="60"/>
              <w:ind w:left="360"/>
              <w:jc w:val="both"/>
              <w:rPr>
                <w:rFonts w:ascii="Arial" w:hAnsi="Arial" w:cs="Arial"/>
                <w:sz w:val="18"/>
                <w:szCs w:val="18"/>
                <w:lang w:val="es-ES"/>
              </w:rPr>
            </w:pPr>
            <w:r w:rsidRPr="00373EDE">
              <w:rPr>
                <w:rFonts w:ascii="Arial" w:hAnsi="Arial" w:cs="Arial"/>
                <w:sz w:val="18"/>
                <w:szCs w:val="18"/>
                <w:lang w:val="es-ES"/>
              </w:rPr>
              <w:t xml:space="preserve">División de Agua y Saneamiento </w:t>
            </w:r>
            <w:r>
              <w:rPr>
                <w:rFonts w:ascii="Arial" w:hAnsi="Arial" w:cs="Arial"/>
                <w:sz w:val="18"/>
                <w:szCs w:val="18"/>
                <w:lang w:val="es-ES"/>
              </w:rPr>
              <w:t>(</w:t>
            </w:r>
            <w:r w:rsidR="004328D1">
              <w:rPr>
                <w:rFonts w:ascii="Arial" w:hAnsi="Arial" w:cs="Arial"/>
                <w:sz w:val="18"/>
                <w:szCs w:val="18"/>
                <w:lang w:val="es-ES"/>
              </w:rPr>
              <w:t>INE/WSA</w:t>
            </w:r>
            <w:r>
              <w:rPr>
                <w:rFonts w:ascii="Arial" w:hAnsi="Arial" w:cs="Arial"/>
                <w:sz w:val="18"/>
                <w:szCs w:val="18"/>
                <w:lang w:val="es-ES"/>
              </w:rPr>
              <w:t>)</w:t>
            </w:r>
          </w:p>
        </w:tc>
      </w:tr>
      <w:tr w:rsidR="000C16F9" w:rsidRPr="00EF0A17" w14:paraId="1535CB68" w14:textId="77777777" w:rsidTr="5CCB81BE">
        <w:tc>
          <w:tcPr>
            <w:tcW w:w="4140" w:type="dxa"/>
          </w:tcPr>
          <w:p w14:paraId="7B20EF37"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00373EDE">
              <w:rPr>
                <w:rFonts w:ascii="Arial" w:eastAsia="Arial" w:hAnsi="Arial" w:cs="Arial"/>
                <w:sz w:val="18"/>
                <w:szCs w:val="18"/>
                <w:lang w:val="es-ES"/>
              </w:rPr>
              <w:t>Unidad Responsable de Desembolso:</w:t>
            </w:r>
          </w:p>
        </w:tc>
        <w:tc>
          <w:tcPr>
            <w:tcW w:w="4428" w:type="dxa"/>
          </w:tcPr>
          <w:p w14:paraId="62486C05" w14:textId="22733553" w:rsidR="009F33FF" w:rsidRPr="00D97FAD" w:rsidRDefault="007048D3" w:rsidP="000E192F">
            <w:pPr>
              <w:spacing w:after="60"/>
              <w:ind w:left="360"/>
              <w:jc w:val="both"/>
              <w:rPr>
                <w:rFonts w:ascii="Arial" w:hAnsi="Arial" w:cs="Arial"/>
                <w:sz w:val="18"/>
                <w:szCs w:val="18"/>
                <w:lang w:val="es-ES"/>
              </w:rPr>
            </w:pPr>
            <w:r w:rsidRPr="007048D3">
              <w:rPr>
                <w:rFonts w:ascii="Arial" w:hAnsi="Arial" w:cs="Arial"/>
                <w:sz w:val="18"/>
                <w:szCs w:val="18"/>
                <w:lang w:val="es-ES"/>
              </w:rPr>
              <w:t>Sector de Infraestructura y Energía</w:t>
            </w:r>
            <w:r>
              <w:rPr>
                <w:rFonts w:ascii="Arial" w:hAnsi="Arial" w:cs="Arial"/>
                <w:sz w:val="18"/>
                <w:szCs w:val="18"/>
                <w:lang w:val="es-ES"/>
              </w:rPr>
              <w:t xml:space="preserve"> (</w:t>
            </w:r>
            <w:r w:rsidR="004328D1" w:rsidRPr="00373EDE">
              <w:rPr>
                <w:rFonts w:ascii="Arial" w:hAnsi="Arial" w:cs="Arial"/>
                <w:sz w:val="18"/>
                <w:szCs w:val="18"/>
                <w:lang w:val="es-ES"/>
              </w:rPr>
              <w:t>INE/</w:t>
            </w:r>
            <w:r w:rsidR="00373EDE" w:rsidRPr="00373EDE">
              <w:rPr>
                <w:rFonts w:ascii="Arial" w:hAnsi="Arial" w:cs="Arial"/>
                <w:sz w:val="18"/>
                <w:szCs w:val="18"/>
                <w:lang w:val="es-ES"/>
              </w:rPr>
              <w:t>INE</w:t>
            </w:r>
            <w:r>
              <w:rPr>
                <w:rFonts w:ascii="Arial" w:hAnsi="Arial" w:cs="Arial"/>
                <w:sz w:val="18"/>
                <w:szCs w:val="18"/>
                <w:lang w:val="es-ES"/>
              </w:rPr>
              <w:t>)</w:t>
            </w:r>
          </w:p>
        </w:tc>
      </w:tr>
      <w:tr w:rsidR="000C16F9" w:rsidRPr="00D97FAD" w14:paraId="2E9D9423" w14:textId="77777777" w:rsidTr="5CCB81BE">
        <w:tc>
          <w:tcPr>
            <w:tcW w:w="4140" w:type="dxa"/>
          </w:tcPr>
          <w:p w14:paraId="5224A35A"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pt-BR"/>
              </w:rPr>
            </w:pPr>
            <w:r w:rsidRPr="5CCB81BE">
              <w:rPr>
                <w:rFonts w:ascii="Arial" w:eastAsia="Arial" w:hAnsi="Arial" w:cs="Arial"/>
                <w:sz w:val="18"/>
                <w:szCs w:val="18"/>
                <w:lang w:val="es-ES"/>
              </w:rPr>
              <w:t xml:space="preserve">CT incluida en la Estrategia de País (s/n): </w:t>
            </w:r>
          </w:p>
        </w:tc>
        <w:tc>
          <w:tcPr>
            <w:tcW w:w="4428" w:type="dxa"/>
          </w:tcPr>
          <w:p w14:paraId="4101652C" w14:textId="08861643" w:rsidR="009F33FF" w:rsidRPr="00D97FAD" w:rsidRDefault="00DC32B9" w:rsidP="000E192F">
            <w:pPr>
              <w:spacing w:after="60"/>
              <w:ind w:left="360"/>
              <w:jc w:val="both"/>
              <w:rPr>
                <w:rFonts w:ascii="Arial" w:hAnsi="Arial" w:cs="Arial"/>
                <w:sz w:val="18"/>
                <w:szCs w:val="18"/>
                <w:lang w:val="pt-BR"/>
              </w:rPr>
            </w:pPr>
            <w:r>
              <w:rPr>
                <w:rFonts w:ascii="Arial" w:hAnsi="Arial" w:cs="Arial"/>
                <w:sz w:val="18"/>
                <w:szCs w:val="18"/>
                <w:lang w:val="pt-BR"/>
              </w:rPr>
              <w:t>No</w:t>
            </w:r>
          </w:p>
        </w:tc>
      </w:tr>
      <w:tr w:rsidR="007C6B4B" w:rsidRPr="004328D1" w14:paraId="2AD677D0" w14:textId="77777777" w:rsidTr="5CCB81BE">
        <w:tc>
          <w:tcPr>
            <w:tcW w:w="4140" w:type="dxa"/>
          </w:tcPr>
          <w:p w14:paraId="2CEB5ED7" w14:textId="77777777" w:rsidR="007C6B4B"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pt-BR"/>
              </w:rPr>
            </w:pPr>
            <w:r w:rsidRPr="5CCB81BE">
              <w:rPr>
                <w:rFonts w:ascii="Arial" w:eastAsia="Arial" w:hAnsi="Arial" w:cs="Arial"/>
                <w:sz w:val="18"/>
                <w:szCs w:val="18"/>
                <w:lang w:val="pt-BR"/>
              </w:rPr>
              <w:t xml:space="preserve">CT incluída </w:t>
            </w:r>
            <w:proofErr w:type="spellStart"/>
            <w:r w:rsidRPr="5CCB81BE">
              <w:rPr>
                <w:rFonts w:ascii="Arial" w:eastAsia="Arial" w:hAnsi="Arial" w:cs="Arial"/>
                <w:sz w:val="18"/>
                <w:szCs w:val="18"/>
                <w:lang w:val="pt-BR"/>
              </w:rPr>
              <w:t>en</w:t>
            </w:r>
            <w:proofErr w:type="spellEnd"/>
            <w:r w:rsidRPr="5CCB81BE">
              <w:rPr>
                <w:rFonts w:ascii="Arial" w:eastAsia="Arial" w:hAnsi="Arial" w:cs="Arial"/>
                <w:sz w:val="18"/>
                <w:szCs w:val="18"/>
                <w:lang w:val="pt-BR"/>
              </w:rPr>
              <w:t xml:space="preserve"> CPD (s/n):</w:t>
            </w:r>
          </w:p>
        </w:tc>
        <w:tc>
          <w:tcPr>
            <w:tcW w:w="4428" w:type="dxa"/>
          </w:tcPr>
          <w:p w14:paraId="4B99056E" w14:textId="6EED70F8" w:rsidR="007C6B4B" w:rsidRPr="00D97FAD" w:rsidRDefault="00DC32B9" w:rsidP="000E192F">
            <w:pPr>
              <w:spacing w:after="60"/>
              <w:ind w:left="360"/>
              <w:jc w:val="both"/>
              <w:rPr>
                <w:rFonts w:ascii="Arial" w:hAnsi="Arial" w:cs="Arial"/>
                <w:sz w:val="18"/>
                <w:szCs w:val="18"/>
                <w:lang w:val="pt-BR"/>
              </w:rPr>
            </w:pPr>
            <w:r>
              <w:rPr>
                <w:rFonts w:ascii="Arial" w:hAnsi="Arial" w:cs="Arial"/>
                <w:sz w:val="18"/>
                <w:szCs w:val="18"/>
                <w:lang w:val="pt-BR"/>
              </w:rPr>
              <w:t>No</w:t>
            </w:r>
          </w:p>
        </w:tc>
      </w:tr>
      <w:tr w:rsidR="000C16F9" w:rsidRPr="00EF0A17" w14:paraId="7C03F126" w14:textId="77777777" w:rsidTr="5CCB81BE">
        <w:tc>
          <w:tcPr>
            <w:tcW w:w="4140" w:type="dxa"/>
          </w:tcPr>
          <w:p w14:paraId="7CBE4013" w14:textId="77777777" w:rsidR="009F33FF" w:rsidRPr="00D97FAD" w:rsidRDefault="5CCB81BE" w:rsidP="5CCB81BE">
            <w:pPr>
              <w:pStyle w:val="ListParagraph"/>
              <w:numPr>
                <w:ilvl w:val="0"/>
                <w:numId w:val="2"/>
              </w:numPr>
              <w:spacing w:after="60"/>
              <w:ind w:left="180" w:hanging="180"/>
              <w:contextualSpacing w:val="0"/>
              <w:jc w:val="both"/>
              <w:rPr>
                <w:rFonts w:ascii="Arial" w:eastAsia="Arial" w:hAnsi="Arial" w:cs="Arial"/>
                <w:sz w:val="18"/>
                <w:szCs w:val="18"/>
                <w:lang w:val="es-ES"/>
              </w:rPr>
            </w:pPr>
            <w:r w:rsidRPr="009219CA">
              <w:rPr>
                <w:rFonts w:ascii="Arial" w:eastAsia="Arial" w:hAnsi="Arial" w:cs="Arial"/>
                <w:sz w:val="18"/>
                <w:szCs w:val="18"/>
                <w:lang w:val="es-ES"/>
              </w:rPr>
              <w:t>Alineación a la Actualización de la Estrategia Institucional 2010-2020:</w:t>
            </w:r>
          </w:p>
        </w:tc>
        <w:tc>
          <w:tcPr>
            <w:tcW w:w="4428" w:type="dxa"/>
          </w:tcPr>
          <w:p w14:paraId="1299C43A" w14:textId="1C1C127A" w:rsidR="009F33FF" w:rsidRPr="00D97FAD" w:rsidRDefault="00192410" w:rsidP="000E192F">
            <w:pPr>
              <w:spacing w:after="60"/>
              <w:ind w:left="360"/>
              <w:jc w:val="both"/>
              <w:rPr>
                <w:rFonts w:ascii="Arial" w:hAnsi="Arial" w:cs="Arial"/>
                <w:sz w:val="18"/>
                <w:szCs w:val="18"/>
                <w:lang w:val="es-ES"/>
              </w:rPr>
            </w:pPr>
            <w:r w:rsidRPr="009219CA">
              <w:rPr>
                <w:rFonts w:ascii="Arial" w:hAnsi="Arial" w:cs="Arial"/>
                <w:sz w:val="18"/>
                <w:szCs w:val="18"/>
                <w:lang w:val="es-EC"/>
              </w:rPr>
              <w:t xml:space="preserve">Inclusión social e igualdad; productividad e innovación; </w:t>
            </w:r>
            <w:r w:rsidR="009219CA" w:rsidRPr="009219CA">
              <w:rPr>
                <w:rFonts w:ascii="Arial" w:hAnsi="Arial" w:cs="Arial"/>
                <w:sz w:val="18"/>
                <w:szCs w:val="18"/>
                <w:lang w:val="es-ES_tradnl"/>
              </w:rPr>
              <w:t>capacidad institucional y estado de derecho; y</w:t>
            </w:r>
            <w:r w:rsidR="009219CA" w:rsidRPr="009219CA">
              <w:rPr>
                <w:rFonts w:ascii="Arial" w:hAnsi="Arial" w:cs="Arial"/>
                <w:sz w:val="18"/>
                <w:szCs w:val="18"/>
                <w:lang w:val="es-EC"/>
              </w:rPr>
              <w:t xml:space="preserve"> </w:t>
            </w:r>
            <w:r w:rsidRPr="009219CA">
              <w:rPr>
                <w:rFonts w:ascii="Arial" w:hAnsi="Arial" w:cs="Arial"/>
                <w:sz w:val="18"/>
                <w:szCs w:val="18"/>
                <w:lang w:val="es-EC"/>
              </w:rPr>
              <w:t xml:space="preserve">sostenibilidad ambiental.   </w:t>
            </w:r>
          </w:p>
        </w:tc>
      </w:tr>
    </w:tbl>
    <w:p w14:paraId="236F8754" w14:textId="7935C024" w:rsidR="0095711B" w:rsidRPr="00D97FAD" w:rsidRDefault="5CCB81BE" w:rsidP="5CCB81BE">
      <w:pPr>
        <w:pStyle w:val="ListParagraph"/>
        <w:numPr>
          <w:ilvl w:val="0"/>
          <w:numId w:val="5"/>
        </w:numPr>
        <w:spacing w:before="120" w:after="120" w:line="240" w:lineRule="auto"/>
        <w:contextualSpacing w:val="0"/>
        <w:rPr>
          <w:rFonts w:ascii="Arial" w:eastAsia="Arial" w:hAnsi="Arial" w:cs="Arial"/>
          <w:b/>
          <w:bCs/>
          <w:lang w:val="es-ES"/>
        </w:rPr>
      </w:pPr>
      <w:r w:rsidRPr="5CCB81BE">
        <w:rPr>
          <w:rFonts w:ascii="Arial" w:eastAsia="Arial" w:hAnsi="Arial" w:cs="Arial"/>
          <w:b/>
          <w:bCs/>
          <w:lang w:val="es-ES"/>
        </w:rPr>
        <w:t xml:space="preserve">Objetivos y Justificación de la CT </w:t>
      </w:r>
      <w:r w:rsidRPr="5CCB81BE">
        <w:rPr>
          <w:rFonts w:ascii="Arial" w:eastAsia="Arial" w:hAnsi="Arial" w:cs="Arial"/>
          <w:highlight w:val="yellow"/>
          <w:lang w:val="es-ES"/>
        </w:rPr>
        <w:t xml:space="preserve"> </w:t>
      </w:r>
    </w:p>
    <w:p w14:paraId="42A4A3EC" w14:textId="45384F72" w:rsidR="009E7921" w:rsidRDefault="009E7921" w:rsidP="009E7921">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886462">
        <w:rPr>
          <w:rFonts w:ascii="Arial" w:eastAsia="Arial" w:hAnsi="Arial" w:cs="Arial"/>
          <w:lang w:val="es-ES"/>
        </w:rPr>
        <w:t xml:space="preserve">El sector de agua y saneamiento en Venezuela que tradicionalmente se caracterizó por adecuados niveles de cobertura, ha devenido en un franco deterioro, entre otros factores, debido a una marcada desinversión y falta de modernización, lo que está llevando a importantes desafíos para asegurar el abastecimiento de agua potable, reportando significativos niveles de pérdidas de agua en red, e inadecuado funcionamiento de sus plantas potabilizadoras lo cual ha repercutido en un decremento en los niveles de cobertura y calidad en la prestación del servicio. En alcantarillado también se reportan frecuentes problemas en la red de recolección y transporte de aguas residuales, así como mal funcionamiento de las estaciones elevadoras y plantas de tratamiento. Asimismo, en algunos de los reservorios y acuíferos que son fuente para el abastecimiento de agua se reportan importantes </w:t>
      </w:r>
      <w:r w:rsidRPr="00886462">
        <w:rPr>
          <w:rFonts w:ascii="Arial" w:eastAsia="Arial" w:hAnsi="Arial" w:cs="Arial"/>
          <w:lang w:val="es-ES"/>
        </w:rPr>
        <w:lastRenderedPageBreak/>
        <w:t>niveles de eutroficación por falta de mantenimiento y sobre explotación respectivamente.</w:t>
      </w:r>
    </w:p>
    <w:p w14:paraId="69157B62" w14:textId="77777777" w:rsidR="006815BB" w:rsidRDefault="006815BB" w:rsidP="003C70DB">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886462">
        <w:rPr>
          <w:rFonts w:ascii="Arial" w:eastAsia="Arial" w:hAnsi="Arial" w:cs="Arial"/>
          <w:lang w:val="es-ES"/>
        </w:rPr>
        <w:t>Derivado de la limitada información con que se dispone actualmente y de información pública recabada por el Banco, se estima que la situación del sector eléctrico en Venezuela cuenta con severas limitaciones en cuanto a la capacidad disponible en toda la cadena comenzando por un número de centrales que se encuentran fuera de operación o en operación muy limitada. El parque generador presenta una muy baja capacidad efectiva frente a la capacidad instalada, y se presume que existe un alto porcentaje de unidades de generación térmica fuera de servicio. El sistema de transmisión y distribución se encuentra también con severas limitaciones de capacidad y amplias necesidades de mantenimiento, así como potencial disfuncionalidad de sistemas de control y protección de la red. Existen subestaciones a nivel de distribución que han sido inhabilitadas o que se usan para repuestos en otras áreas de la red.</w:t>
      </w:r>
    </w:p>
    <w:p w14:paraId="50A4DA38" w14:textId="7E419980" w:rsidR="006815BB" w:rsidRDefault="006815BB" w:rsidP="003C70DB">
      <w:pPr>
        <w:pStyle w:val="ListParagraph"/>
        <w:numPr>
          <w:ilvl w:val="1"/>
          <w:numId w:val="5"/>
        </w:numPr>
        <w:spacing w:before="120" w:after="120"/>
        <w:ind w:left="360" w:hanging="547"/>
        <w:contextualSpacing w:val="0"/>
        <w:jc w:val="both"/>
        <w:rPr>
          <w:rFonts w:ascii="Arial" w:eastAsia="Arial" w:hAnsi="Arial" w:cs="Arial"/>
          <w:lang w:val="es-ES"/>
        </w:rPr>
      </w:pPr>
      <w:r w:rsidRPr="006815BB">
        <w:rPr>
          <w:rFonts w:ascii="Arial" w:eastAsia="Arial" w:hAnsi="Arial" w:cs="Arial"/>
          <w:lang w:val="es-ES"/>
        </w:rPr>
        <w:t xml:space="preserve">Debido a la crisis política y económica por la que atraviesa Venezuela, los sistemas de transporte del país se han deteriorado sistemáticamente en los últimos 5 años, afectando considerablemente la distribución de bienes y servicios, y la accesibilidad a los servicios básicos como la salud y la educación. Actualmente, Venezuela ocupa el penúltimo lugar entre los países de América Latina (135 a nivel mundial) en la calidad de la infraestructura de transporte, de acuerdo con el Informe de Competitividad Global 2018 del </w:t>
      </w:r>
      <w:proofErr w:type="spellStart"/>
      <w:r w:rsidRPr="003775D7">
        <w:rPr>
          <w:rFonts w:ascii="Arial" w:eastAsia="Arial" w:hAnsi="Arial" w:cs="Arial"/>
          <w:i/>
          <w:lang w:val="es-ES"/>
        </w:rPr>
        <w:t>World</w:t>
      </w:r>
      <w:proofErr w:type="spellEnd"/>
      <w:r w:rsidRPr="003775D7">
        <w:rPr>
          <w:rFonts w:ascii="Arial" w:eastAsia="Arial" w:hAnsi="Arial" w:cs="Arial"/>
          <w:i/>
          <w:lang w:val="es-ES"/>
        </w:rPr>
        <w:t xml:space="preserve"> </w:t>
      </w:r>
      <w:proofErr w:type="spellStart"/>
      <w:r w:rsidRPr="003775D7">
        <w:rPr>
          <w:rFonts w:ascii="Arial" w:eastAsia="Arial" w:hAnsi="Arial" w:cs="Arial"/>
          <w:i/>
          <w:lang w:val="es-ES"/>
        </w:rPr>
        <w:t>Economic</w:t>
      </w:r>
      <w:proofErr w:type="spellEnd"/>
      <w:r w:rsidRPr="003775D7">
        <w:rPr>
          <w:rFonts w:ascii="Arial" w:eastAsia="Arial" w:hAnsi="Arial" w:cs="Arial"/>
          <w:i/>
          <w:lang w:val="es-ES"/>
        </w:rPr>
        <w:t xml:space="preserve"> </w:t>
      </w:r>
      <w:proofErr w:type="spellStart"/>
      <w:r w:rsidRPr="003775D7">
        <w:rPr>
          <w:rFonts w:ascii="Arial" w:eastAsia="Arial" w:hAnsi="Arial" w:cs="Arial"/>
          <w:i/>
          <w:lang w:val="es-ES"/>
        </w:rPr>
        <w:t>Forum</w:t>
      </w:r>
      <w:proofErr w:type="spellEnd"/>
      <w:r w:rsidRPr="006815BB">
        <w:rPr>
          <w:rFonts w:ascii="Arial" w:eastAsia="Arial" w:hAnsi="Arial" w:cs="Arial"/>
          <w:lang w:val="es-ES"/>
        </w:rPr>
        <w:t xml:space="preserve"> (WEF), y ocupa el lugar más bajo (142 a nivel mundial) en el Indicador de Desempeño Logístico del Banco Mundial 2018. Teniendo en cuenta lo anterior, y dada la escasa información disponible, se estima que las dificultades más importantes en el sector son consecuencia de la falta de provisión de servicios de transporte y logística, los altos costos de operación del parque automotor de transporte de carga y pasajeros, así como un mantenimiento escaso a la infraestructura física, lo cual ha venido afectando la calidad de puertos, aeropuertos, vías, entre otros.</w:t>
      </w:r>
    </w:p>
    <w:p w14:paraId="35AAAC67" w14:textId="04ABD574" w:rsidR="003C70DB" w:rsidRDefault="003C70DB" w:rsidP="003C70DB">
      <w:pPr>
        <w:pStyle w:val="ListParagraph"/>
        <w:numPr>
          <w:ilvl w:val="1"/>
          <w:numId w:val="5"/>
        </w:numPr>
        <w:spacing w:before="120" w:after="120"/>
        <w:ind w:left="360" w:hanging="547"/>
        <w:contextualSpacing w:val="0"/>
        <w:jc w:val="both"/>
        <w:rPr>
          <w:rFonts w:ascii="Arial" w:eastAsia="Arial" w:hAnsi="Arial" w:cs="Arial"/>
          <w:lang w:val="es-ES"/>
        </w:rPr>
      </w:pPr>
      <w:r w:rsidRPr="003C70DB">
        <w:rPr>
          <w:rFonts w:ascii="Arial" w:eastAsia="Arial" w:hAnsi="Arial" w:cs="Arial"/>
          <w:lang w:val="es-ES"/>
        </w:rPr>
        <w:t>En este contexto, las Divisiones de Agua y Saneamiento (INE/WSA), Energía (INE/ENE) y Transporte (INE/TSP) del Banco Interamericano de Desarrollo (BID o Banco) se proponen avanzar con un diagnóstico sobre la situación de los sectores mencionados y la definición de estrategias de acción para el restablecimiento de los servicios. Específicamente, los objetivos de esta cooperación técnica (C</w:t>
      </w:r>
      <w:r w:rsidR="00FA4544">
        <w:rPr>
          <w:rFonts w:ascii="Arial" w:eastAsia="Arial" w:hAnsi="Arial" w:cs="Arial"/>
          <w:lang w:val="es-ES"/>
        </w:rPr>
        <w:t>T</w:t>
      </w:r>
      <w:r w:rsidRPr="003C70DB">
        <w:rPr>
          <w:rFonts w:ascii="Arial" w:eastAsia="Arial" w:hAnsi="Arial" w:cs="Arial"/>
          <w:lang w:val="es-ES"/>
        </w:rPr>
        <w:t>) son los siguientes:</w:t>
      </w:r>
    </w:p>
    <w:p w14:paraId="61F1462F" w14:textId="78205870" w:rsidR="00953879" w:rsidRPr="00D97FAD" w:rsidRDefault="000B01C4" w:rsidP="003C70DB">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6C6A19">
        <w:rPr>
          <w:rFonts w:ascii="Arial" w:eastAsia="Arial" w:hAnsi="Arial" w:cs="Arial"/>
          <w:b/>
          <w:lang w:val="es-ES"/>
        </w:rPr>
        <w:t>En el Sector de Agua:</w:t>
      </w:r>
      <w:r w:rsidRPr="000B01C4">
        <w:rPr>
          <w:rFonts w:ascii="Arial" w:eastAsia="Arial" w:hAnsi="Arial" w:cs="Arial"/>
          <w:lang w:val="es-ES"/>
        </w:rPr>
        <w:t xml:space="preserve"> Realizar un diagnóstico rápido del sector y la identificación de medidas de rápido impacto para el restablecimiento de los servicios de abastecimiento de agua potable y la recolección y disposición adecuada de las aguas residuales, a niveles mínimos aceptables de calidad, y definir las estrategias, plan de acción y los estudios requeridos (con el desarrollo de TDR para los estudios más importantes) que permitan realizar la priorización de acciones e inversiones para la recuperación de los servicios a </w:t>
      </w:r>
      <w:r w:rsidR="00EE0BDA">
        <w:rPr>
          <w:rFonts w:ascii="Arial" w:eastAsia="Arial" w:hAnsi="Arial" w:cs="Arial"/>
          <w:lang w:val="es-ES"/>
        </w:rPr>
        <w:t xml:space="preserve">corto y </w:t>
      </w:r>
      <w:r w:rsidRPr="000B01C4">
        <w:rPr>
          <w:rFonts w:ascii="Arial" w:eastAsia="Arial" w:hAnsi="Arial" w:cs="Arial"/>
          <w:lang w:val="es-ES"/>
        </w:rPr>
        <w:t xml:space="preserve">mediano plazo. </w:t>
      </w:r>
    </w:p>
    <w:p w14:paraId="42C1B73E" w14:textId="0BEDBB0D" w:rsidR="000B01C4" w:rsidRDefault="000B01C4" w:rsidP="5CCB81BE">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6C6A19">
        <w:rPr>
          <w:rFonts w:ascii="Arial" w:eastAsia="Arial" w:hAnsi="Arial" w:cs="Arial"/>
          <w:b/>
          <w:lang w:val="es-ES"/>
        </w:rPr>
        <w:t>En el Sector de Electricidad:</w:t>
      </w:r>
      <w:r w:rsidR="003775D7">
        <w:rPr>
          <w:rFonts w:ascii="Arial" w:eastAsia="Arial" w:hAnsi="Arial" w:cs="Arial"/>
          <w:lang w:val="es-ES"/>
        </w:rPr>
        <w:t xml:space="preserve"> </w:t>
      </w:r>
      <w:r w:rsidRPr="000B01C4">
        <w:rPr>
          <w:rFonts w:ascii="Arial" w:eastAsia="Arial" w:hAnsi="Arial" w:cs="Arial"/>
          <w:lang w:val="es-ES"/>
        </w:rPr>
        <w:t xml:space="preserve">Realizar un diagnóstico para determinar las necesidades de infraestructura inmediatas para contener el deterioro de los servicios de electricidad e iniciar su recuperación de mediano plazo, con acciones específicas para los primeros doce meses. Se busca determinar las necesidades de inversión </w:t>
      </w:r>
      <w:r w:rsidRPr="000B01C4">
        <w:rPr>
          <w:rFonts w:ascii="Arial" w:eastAsia="Arial" w:hAnsi="Arial" w:cs="Arial"/>
          <w:lang w:val="es-ES"/>
        </w:rPr>
        <w:lastRenderedPageBreak/>
        <w:t>inmediatas y de muy corto plazo, mediante: (i) la definición de planes de inversión de muy corto plazo para recuperar el sector de transmisión y distribución; (</w:t>
      </w:r>
      <w:proofErr w:type="spellStart"/>
      <w:r w:rsidRPr="000B01C4">
        <w:rPr>
          <w:rFonts w:ascii="Arial" w:eastAsia="Arial" w:hAnsi="Arial" w:cs="Arial"/>
          <w:lang w:val="es-ES"/>
        </w:rPr>
        <w:t>ii</w:t>
      </w:r>
      <w:proofErr w:type="spellEnd"/>
      <w:r w:rsidRPr="000B01C4">
        <w:rPr>
          <w:rFonts w:ascii="Arial" w:eastAsia="Arial" w:hAnsi="Arial" w:cs="Arial"/>
          <w:lang w:val="es-ES"/>
        </w:rPr>
        <w:t>) la determinación de las inversiones de emergencia en el parque de generación para recuperar la capacidad de generación que sea factible en muy corto plazo; y (</w:t>
      </w:r>
      <w:proofErr w:type="spellStart"/>
      <w:r w:rsidRPr="000B01C4">
        <w:rPr>
          <w:rFonts w:ascii="Arial" w:eastAsia="Arial" w:hAnsi="Arial" w:cs="Arial"/>
          <w:lang w:val="es-ES"/>
        </w:rPr>
        <w:t>iii</w:t>
      </w:r>
      <w:proofErr w:type="spellEnd"/>
      <w:r w:rsidRPr="000B01C4">
        <w:rPr>
          <w:rFonts w:ascii="Arial" w:eastAsia="Arial" w:hAnsi="Arial" w:cs="Arial"/>
          <w:lang w:val="es-ES"/>
        </w:rPr>
        <w:t xml:space="preserve">) la construcción de escenarios de oferta y demanda en el corto y mediano plazo. </w:t>
      </w:r>
    </w:p>
    <w:p w14:paraId="2D0E4829" w14:textId="42FE417C" w:rsidR="003775D7" w:rsidRDefault="000B01C4" w:rsidP="5CCB81BE">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6C6A19">
        <w:rPr>
          <w:rFonts w:ascii="Arial" w:eastAsia="Arial" w:hAnsi="Arial" w:cs="Arial"/>
          <w:b/>
          <w:lang w:val="es-ES"/>
        </w:rPr>
        <w:t>En el Sector de Transporte:</w:t>
      </w:r>
      <w:r w:rsidRPr="000B01C4">
        <w:rPr>
          <w:rFonts w:ascii="Arial" w:eastAsia="Arial" w:hAnsi="Arial" w:cs="Arial"/>
          <w:lang w:val="es-ES"/>
        </w:rPr>
        <w:t xml:space="preserve"> Realizar un diagnóstico técnico del sector en el país atendiendo las necesidades más importantes, y elaborar una hoja de ruta con un plan de acción para reestablecer a futuro el sistema de transporte en el país.</w:t>
      </w:r>
    </w:p>
    <w:p w14:paraId="79417540" w14:textId="2F2302F9" w:rsidR="00F63751" w:rsidRPr="003775D7" w:rsidRDefault="00F63751" w:rsidP="003775D7">
      <w:pPr>
        <w:pStyle w:val="ListParagraph"/>
        <w:numPr>
          <w:ilvl w:val="1"/>
          <w:numId w:val="5"/>
        </w:numPr>
        <w:spacing w:before="120" w:after="120" w:line="240" w:lineRule="auto"/>
        <w:ind w:left="360" w:hanging="540"/>
        <w:contextualSpacing w:val="0"/>
        <w:jc w:val="both"/>
        <w:rPr>
          <w:rFonts w:ascii="Arial" w:eastAsia="Arial" w:hAnsi="Arial" w:cs="Arial"/>
          <w:b/>
          <w:bCs/>
          <w:lang w:val="es-ES"/>
        </w:rPr>
      </w:pPr>
      <w:bookmarkStart w:id="1" w:name="_Hlk8896692"/>
      <w:r w:rsidRPr="003775D7">
        <w:rPr>
          <w:rFonts w:ascii="Arial" w:eastAsia="Arial" w:hAnsi="Arial" w:cs="Arial"/>
          <w:lang w:val="es-ES"/>
        </w:rPr>
        <w:t xml:space="preserve">La CT es consistente con la Actualización de la </w:t>
      </w:r>
      <w:r w:rsidRPr="003775D7">
        <w:rPr>
          <w:rFonts w:ascii="Arial" w:eastAsia="Arial" w:hAnsi="Arial" w:cs="Arial"/>
          <w:lang w:val="es-CO"/>
        </w:rPr>
        <w:t>Estrategia Institucional 2010-2020 (</w:t>
      </w:r>
      <w:r w:rsidRPr="003775D7">
        <w:rPr>
          <w:rFonts w:ascii="Arial" w:eastAsia="Arial" w:hAnsi="Arial" w:cs="Arial"/>
          <w:lang w:val="es-ES"/>
        </w:rPr>
        <w:t>AB-3008</w:t>
      </w:r>
      <w:r w:rsidRPr="003775D7">
        <w:rPr>
          <w:rFonts w:ascii="Arial" w:eastAsia="Arial" w:hAnsi="Arial" w:cs="Arial"/>
          <w:lang w:val="es-CO"/>
        </w:rPr>
        <w:t xml:space="preserve">) y se alinea con los desafíos de desarrollo de: (i) inclusión social e igualdad, teniendo en cuenta que las actividades previstas en la </w:t>
      </w:r>
      <w:r w:rsidR="007048D3">
        <w:rPr>
          <w:rFonts w:ascii="Arial" w:eastAsia="Arial" w:hAnsi="Arial" w:cs="Arial"/>
          <w:lang w:val="es-CO"/>
        </w:rPr>
        <w:t>CT</w:t>
      </w:r>
      <w:r w:rsidR="007048D3" w:rsidRPr="003775D7">
        <w:rPr>
          <w:rFonts w:ascii="Arial" w:eastAsia="Arial" w:hAnsi="Arial" w:cs="Arial"/>
          <w:lang w:val="es-CO"/>
        </w:rPr>
        <w:t xml:space="preserve"> </w:t>
      </w:r>
      <w:r w:rsidRPr="003775D7">
        <w:rPr>
          <w:rFonts w:ascii="Arial" w:eastAsia="Arial" w:hAnsi="Arial" w:cs="Arial"/>
          <w:lang w:val="es-CO"/>
        </w:rPr>
        <w:t>están enfocadas en mejorar tanto el acceso como la calidad de los servicios agua y de saneamiento, energía y transporte; y (</w:t>
      </w:r>
      <w:proofErr w:type="spellStart"/>
      <w:r w:rsidRPr="003775D7">
        <w:rPr>
          <w:rFonts w:ascii="Arial" w:eastAsia="Arial" w:hAnsi="Arial" w:cs="Arial"/>
          <w:lang w:val="es-CO"/>
        </w:rPr>
        <w:t>ii</w:t>
      </w:r>
      <w:proofErr w:type="spellEnd"/>
      <w:r w:rsidRPr="003775D7">
        <w:rPr>
          <w:rFonts w:ascii="Arial" w:eastAsia="Arial" w:hAnsi="Arial" w:cs="Arial"/>
          <w:lang w:val="es-CO"/>
        </w:rPr>
        <w:t>) productividad e innovación,</w:t>
      </w:r>
      <w:r w:rsidR="001759EE" w:rsidRPr="003775D7">
        <w:rPr>
          <w:rFonts w:ascii="Arial" w:eastAsia="Arial" w:hAnsi="Arial" w:cs="Arial"/>
          <w:lang w:val="es-CO"/>
        </w:rPr>
        <w:t xml:space="preserve"> por medio del desarrollo de medidas que incrementaran la productividad de los usuarios de los servicios públicos</w:t>
      </w:r>
      <w:r w:rsidRPr="003775D7">
        <w:rPr>
          <w:rFonts w:ascii="Arial" w:eastAsia="Arial" w:hAnsi="Arial" w:cs="Arial"/>
          <w:lang w:val="es-CO"/>
        </w:rPr>
        <w:t xml:space="preserve">. La CT también se alinea con las áreas transversales de: </w:t>
      </w:r>
      <w:r w:rsidR="00F8723F" w:rsidRPr="003775D7">
        <w:rPr>
          <w:rFonts w:ascii="Arial" w:eastAsia="Arial" w:hAnsi="Arial" w:cs="Arial"/>
          <w:lang w:val="es-ES_tradnl"/>
        </w:rPr>
        <w:t xml:space="preserve">(i) capacidad institucional y estado de derecho, </w:t>
      </w:r>
      <w:r w:rsidR="001759EE" w:rsidRPr="003775D7">
        <w:rPr>
          <w:rFonts w:ascii="Arial" w:eastAsia="Arial" w:hAnsi="Arial" w:cs="Arial"/>
          <w:lang w:val="es-CO"/>
        </w:rPr>
        <w:t xml:space="preserve">al proponer medidas de fortalecimiento de la capacidad del sector público para mejorar la prestación de los servicios de electricidad, agua y saneamiento y transporte; y </w:t>
      </w:r>
      <w:r w:rsidRPr="003775D7">
        <w:rPr>
          <w:rFonts w:ascii="Arial" w:eastAsia="Arial" w:hAnsi="Arial" w:cs="Arial"/>
          <w:lang w:val="es-CO"/>
        </w:rPr>
        <w:t>(</w:t>
      </w:r>
      <w:proofErr w:type="spellStart"/>
      <w:r w:rsidR="001759EE" w:rsidRPr="003775D7">
        <w:rPr>
          <w:rFonts w:ascii="Arial" w:eastAsia="Arial" w:hAnsi="Arial" w:cs="Arial"/>
          <w:lang w:val="es-CO"/>
        </w:rPr>
        <w:t>i</w:t>
      </w:r>
      <w:r w:rsidRPr="003775D7">
        <w:rPr>
          <w:rFonts w:ascii="Arial" w:eastAsia="Arial" w:hAnsi="Arial" w:cs="Arial"/>
          <w:lang w:val="es-CO"/>
        </w:rPr>
        <w:t>i</w:t>
      </w:r>
      <w:proofErr w:type="spellEnd"/>
      <w:r w:rsidRPr="003775D7">
        <w:rPr>
          <w:rFonts w:ascii="Arial" w:eastAsia="Arial" w:hAnsi="Arial" w:cs="Arial"/>
          <w:lang w:val="es-CO"/>
        </w:rPr>
        <w:t xml:space="preserve">) cambio climático y sostenibilidad ambiental, por medio del financiamiento de actividades que resultarán en la mejora de la resiliencia y confiabilidad de los servicios de </w:t>
      </w:r>
      <w:r w:rsidR="001759EE" w:rsidRPr="003775D7">
        <w:rPr>
          <w:rFonts w:ascii="Arial" w:eastAsia="Arial" w:hAnsi="Arial" w:cs="Arial"/>
          <w:lang w:val="es-CO"/>
        </w:rPr>
        <w:t xml:space="preserve">electricidad, agua y saneamiento y transporte. </w:t>
      </w:r>
      <w:r w:rsidRPr="003775D7">
        <w:rPr>
          <w:rFonts w:ascii="Arial" w:eastAsia="Arial" w:hAnsi="Arial" w:cs="Arial"/>
          <w:lang w:val="es-CO"/>
        </w:rPr>
        <w:t>Adicionalmente, está alineada con: (i) el documento Marco de Resultados Corporativos (GN-2727-6) del Banco, y en particular con el indicador 25: agencias gubernamentales beneficiadas por proyectos que fortalecen los instrumentos tecnológicos y de gestión para mejorar la provisión de servicios públicos; y (</w:t>
      </w:r>
      <w:proofErr w:type="spellStart"/>
      <w:r w:rsidRPr="003775D7">
        <w:rPr>
          <w:rFonts w:ascii="Arial" w:eastAsia="Arial" w:hAnsi="Arial" w:cs="Arial"/>
          <w:lang w:val="es-CO"/>
        </w:rPr>
        <w:t>ii</w:t>
      </w:r>
      <w:proofErr w:type="spellEnd"/>
      <w:r w:rsidRPr="003775D7">
        <w:rPr>
          <w:rFonts w:ascii="Arial" w:eastAsia="Arial" w:hAnsi="Arial" w:cs="Arial"/>
          <w:lang w:val="es-CO"/>
        </w:rPr>
        <w:t>) la Estrategia de Infraestructura (GN-2710-5) en las áreas prioritarias de promover el acceso a los servicios de infraestructura y mejorar la gobernanza de la infraestructura para incrementar la eficiencia en la provisión de servicios de infraestructura.</w:t>
      </w:r>
      <w:r w:rsidRPr="003775D7">
        <w:rPr>
          <w:rFonts w:ascii="Arial" w:eastAsia="Arial" w:hAnsi="Arial" w:cs="Arial"/>
          <w:lang w:val="es-EC"/>
        </w:rPr>
        <w:t xml:space="preserve"> </w:t>
      </w:r>
      <w:bookmarkEnd w:id="1"/>
      <w:r w:rsidR="00871F5F" w:rsidRPr="003775D7">
        <w:rPr>
          <w:rFonts w:ascii="Arial" w:eastAsia="Arial" w:hAnsi="Arial" w:cs="Arial"/>
          <w:lang w:val="es-ES"/>
        </w:rPr>
        <w:t>Esta operación es congruente con los objetivos del Programa Estratégico para el Desarrollo de Infraestructura financiado por el Capital Ordinario (OC-SDP para Infraestructura, GN-2819-1), fuente de financiamiento de la misma, dado que busca mejorar el diseño y el seguimiento de las políticas públicas, incorporando lecciones aprendidas en el sector de infraestructura, para mejorar el desempeño, calidad y sostenibilidad de los servicios.</w:t>
      </w:r>
    </w:p>
    <w:p w14:paraId="3F4F3EE2" w14:textId="3F02D73B" w:rsidR="0095711B" w:rsidRPr="00D97FAD" w:rsidRDefault="5CCB81BE" w:rsidP="00F63751">
      <w:pPr>
        <w:pStyle w:val="ListParagraph"/>
        <w:numPr>
          <w:ilvl w:val="0"/>
          <w:numId w:val="5"/>
        </w:numPr>
        <w:spacing w:before="120" w:after="120" w:line="240" w:lineRule="auto"/>
        <w:contextualSpacing w:val="0"/>
        <w:jc w:val="both"/>
        <w:rPr>
          <w:rFonts w:ascii="Arial" w:eastAsia="Arial" w:hAnsi="Arial" w:cs="Arial"/>
          <w:b/>
          <w:bCs/>
          <w:lang w:val="es-ES"/>
        </w:rPr>
      </w:pPr>
      <w:r w:rsidRPr="5CCB81BE">
        <w:rPr>
          <w:rFonts w:ascii="Arial" w:eastAsia="Arial" w:hAnsi="Arial" w:cs="Arial"/>
          <w:b/>
          <w:bCs/>
          <w:lang w:val="es-ES"/>
        </w:rPr>
        <w:t>Descripción de las actividades</w:t>
      </w:r>
      <w:r w:rsidR="002F4075">
        <w:rPr>
          <w:rFonts w:ascii="Arial" w:eastAsia="Arial" w:hAnsi="Arial" w:cs="Arial"/>
          <w:b/>
          <w:bCs/>
          <w:lang w:val="es-ES"/>
        </w:rPr>
        <w:t xml:space="preserve"> y resultados</w:t>
      </w:r>
    </w:p>
    <w:p w14:paraId="4B501377" w14:textId="4E36B585" w:rsidR="001C18FD" w:rsidRDefault="000B01C4" w:rsidP="5CCB81BE">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0B01C4">
        <w:rPr>
          <w:rFonts w:ascii="Arial" w:eastAsia="Arial" w:hAnsi="Arial" w:cs="Arial"/>
          <w:b/>
          <w:lang w:val="es-ES"/>
        </w:rPr>
        <w:t>Componente 1.</w:t>
      </w:r>
      <w:r w:rsidRPr="000B01C4">
        <w:rPr>
          <w:rFonts w:ascii="Arial" w:eastAsia="Arial" w:hAnsi="Arial" w:cs="Arial"/>
          <w:lang w:val="es-ES"/>
        </w:rPr>
        <w:t xml:space="preserve"> </w:t>
      </w:r>
      <w:r w:rsidRPr="00440A3F">
        <w:rPr>
          <w:rFonts w:ascii="Arial" w:eastAsia="Arial" w:hAnsi="Arial" w:cs="Arial"/>
          <w:b/>
          <w:lang w:val="es-ES"/>
        </w:rPr>
        <w:t>Diagnóstico del sector de agua y saneamiento (A&amp;S), determinación de medidas de rápido impacto y priorización de acciones e inversiones para el mediano plazo (US$200.000).</w:t>
      </w:r>
      <w:r>
        <w:rPr>
          <w:rFonts w:ascii="Arial" w:eastAsia="Arial" w:hAnsi="Arial" w:cs="Arial"/>
          <w:lang w:val="es-ES"/>
        </w:rPr>
        <w:t xml:space="preserve"> </w:t>
      </w:r>
    </w:p>
    <w:p w14:paraId="23DE92F9" w14:textId="604F380E" w:rsidR="000B01C4" w:rsidRDefault="000B01C4" w:rsidP="5CCB81BE">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0B01C4">
        <w:rPr>
          <w:rFonts w:ascii="Arial" w:eastAsia="Arial" w:hAnsi="Arial" w:cs="Arial"/>
          <w:b/>
          <w:lang w:val="es-ES"/>
        </w:rPr>
        <w:t>Subcomponente 1.1: Diagnóstico para la puesta en marcha de los sistemas de A&amp;S.</w:t>
      </w:r>
      <w:r w:rsidRPr="000B01C4">
        <w:rPr>
          <w:rFonts w:ascii="Arial" w:eastAsia="Arial" w:hAnsi="Arial" w:cs="Arial"/>
          <w:lang w:val="es-ES"/>
        </w:rPr>
        <w:t xml:space="preserve"> Realizar un diagnóstico de la situación de los servicios de A&amp;S de los sistemas de abastecimiento más relevantes del país, que incluya un análisis detallado del estado de contaminación de las fuentes de agua, las infraestructuras más importantes de aducción, conducción, potabilización y redes de distribución troncales de los sistemas. Así mismo, se realizará un análisis rápido del estado de la infraestructura de saneamiento, tanto de redes primarias, colectores y plantas de tratamiento de aguas residuales, con el objetivo de detectar la existencia de reboses actuales y potenciales que presenten un riesgo para la salud de la población o para la contaminación de las fuentes de agua potable. Adicionalmente, se analizará el estado </w:t>
      </w:r>
      <w:r w:rsidRPr="000B01C4">
        <w:rPr>
          <w:rFonts w:ascii="Arial" w:eastAsia="Arial" w:hAnsi="Arial" w:cs="Arial"/>
          <w:lang w:val="es-ES"/>
        </w:rPr>
        <w:lastRenderedPageBreak/>
        <w:t>de los sistemas de atención al cliente, facturación y cobranza, con el objetivo de identificar aquellas medidas que permitan recuperar su funcionamiento mínimo.</w:t>
      </w:r>
    </w:p>
    <w:p w14:paraId="5A266320" w14:textId="31332C13" w:rsidR="000B01C4"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0B01C4">
        <w:rPr>
          <w:rFonts w:ascii="Arial" w:eastAsia="Arial" w:hAnsi="Arial" w:cs="Arial"/>
          <w:b/>
          <w:lang w:val="es-ES"/>
        </w:rPr>
        <w:t>Subcomponente 1.2: Determinación del plan de acción para la emergencia e identificación de medidas de rápido impacto.</w:t>
      </w:r>
      <w:r w:rsidRPr="000B01C4">
        <w:rPr>
          <w:rFonts w:ascii="Arial" w:eastAsia="Arial" w:hAnsi="Arial" w:cs="Arial"/>
          <w:lang w:val="es-ES"/>
        </w:rPr>
        <w:t xml:space="preserve"> Incluye la definición del plan de acción para los primeros 90 días (plan de emergencia) y la determinación de las medidas urgentes a ser implementadas para restaurar niveles básicos de prestación del servicio, incluyendo medidas orientadas a la recuperación de la infraestructura de producción y distribución de agua. Se prevé la identificación de las necesidades de adquisiciones de insumos para potabilización, equipos y repuestos para el funcionamiento de los sistemas y apoyo técnico especializado; y definición de las estrategias para su obtención y entrega a los correspondientes operadores.  La implementación de este componente se realizará con el apoyo de la red de empresas hermanas que apoya el BID (WOP-</w:t>
      </w:r>
      <w:bookmarkStart w:id="2" w:name="_Hlk9500050"/>
      <w:r w:rsidRPr="000B01C4">
        <w:rPr>
          <w:rFonts w:ascii="Arial" w:eastAsia="Arial" w:hAnsi="Arial" w:cs="Arial"/>
          <w:lang w:val="es-ES"/>
        </w:rPr>
        <w:t>LAC</w:t>
      </w:r>
      <w:r w:rsidR="00EE0BDA">
        <w:rPr>
          <w:rStyle w:val="FootnoteReference"/>
          <w:rFonts w:ascii="Arial" w:eastAsia="Arial" w:hAnsi="Arial" w:cs="Arial"/>
          <w:lang w:val="es-ES"/>
        </w:rPr>
        <w:footnoteReference w:id="1"/>
      </w:r>
      <w:r w:rsidRPr="000B01C4">
        <w:rPr>
          <w:rFonts w:ascii="Arial" w:eastAsia="Arial" w:hAnsi="Arial" w:cs="Arial"/>
          <w:lang w:val="es-ES"/>
        </w:rPr>
        <w:t>).</w:t>
      </w:r>
      <w:bookmarkEnd w:id="2"/>
    </w:p>
    <w:p w14:paraId="206C61DD" w14:textId="6DC439D7" w:rsidR="000B01C4"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0B01C4">
        <w:rPr>
          <w:rFonts w:ascii="Arial" w:eastAsia="Arial" w:hAnsi="Arial" w:cs="Arial"/>
          <w:b/>
          <w:lang w:val="es-ES"/>
        </w:rPr>
        <w:t>Subcomponente 1.3: Determinación del plan de acción para el corto plazo y la priorización de acciones y e inversiones para el mediano plazo.</w:t>
      </w:r>
      <w:r w:rsidRPr="000B01C4">
        <w:rPr>
          <w:rFonts w:ascii="Arial" w:eastAsia="Arial" w:hAnsi="Arial" w:cs="Arial"/>
          <w:lang w:val="es-ES"/>
        </w:rPr>
        <w:t xml:space="preserve"> Incluye la definición de las estrategias y un plan de acción para el primer año, incluyendo la identificación de los actores clave (individuos e instituciones), un plan de ordenamiento/regularización de los operadores (estabilización operacional, equipamiento y herramientas, etc.), y el comienzo de la definición del plan de acción para años 2 a 5, incluyendo reforma del sector. Se definirá los estudios requeridos para cumplir con los objetivos propuestos y la elaboración de los TDR para la contratación de los estudios más urgentes que lleven a una recuperación de los sistemas.</w:t>
      </w:r>
    </w:p>
    <w:p w14:paraId="1BEBE7EA" w14:textId="0872BA68" w:rsidR="000B01C4" w:rsidRPr="00440A3F"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b/>
          <w:lang w:val="es-ES"/>
        </w:rPr>
      </w:pPr>
      <w:r w:rsidRPr="00440A3F">
        <w:rPr>
          <w:rFonts w:ascii="Arial" w:eastAsia="Arial" w:hAnsi="Arial" w:cs="Arial"/>
          <w:b/>
          <w:lang w:val="es-ES"/>
        </w:rPr>
        <w:t>Componente 2. Definición de un plan de rehabilitación de emergencia de la infraestructura eléctrica para ser implementado en los primeros doce meses (US$200.000).</w:t>
      </w:r>
    </w:p>
    <w:p w14:paraId="3465DBC8" w14:textId="77944697" w:rsidR="000B01C4"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440A3F">
        <w:rPr>
          <w:rFonts w:ascii="Arial" w:eastAsia="Arial" w:hAnsi="Arial" w:cs="Arial"/>
          <w:b/>
          <w:lang w:val="es-ES"/>
        </w:rPr>
        <w:t>Subcomponente 2.1: Diagnóstico, necesidades inmediatas y de mediano plazo en la red de transmisión.</w:t>
      </w:r>
      <w:r w:rsidRPr="000B01C4">
        <w:rPr>
          <w:rFonts w:ascii="Arial" w:eastAsia="Arial" w:hAnsi="Arial" w:cs="Arial"/>
          <w:lang w:val="es-ES"/>
        </w:rPr>
        <w:t xml:space="preserve"> Realizar un diagnóstico del estado actual de las principales subestaciones y líneas de alta tensión (765kV, 440kV, 23kV) para determinar necesidades inmediatas de reparación, así como un plan de inversiones de mediano plazo, incluyendo hasta donde sea posible las instalaciones del centro de control y despacho.</w:t>
      </w:r>
    </w:p>
    <w:p w14:paraId="0E650997" w14:textId="57E852C2" w:rsidR="000B01C4"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440A3F">
        <w:rPr>
          <w:rFonts w:ascii="Arial" w:eastAsia="Arial" w:hAnsi="Arial" w:cs="Arial"/>
          <w:b/>
          <w:lang w:val="es-ES"/>
        </w:rPr>
        <w:t>Subcomponente 2.2: Definición de un plan de rehabilitación del parque de generación térmica.</w:t>
      </w:r>
      <w:r w:rsidRPr="000B01C4">
        <w:rPr>
          <w:rFonts w:ascii="Arial" w:eastAsia="Arial" w:hAnsi="Arial" w:cs="Arial"/>
          <w:lang w:val="es-ES"/>
        </w:rPr>
        <w:t xml:space="preserve"> Realizar un diagnóstico del estado actual de las principales plantas de generación térmica, priorizar las unidades a rehabilitar y listar los componentes necesarios para la operación de las unidades fuera de servicio con cronograma de trabajos para su instalación y costos estimados.</w:t>
      </w:r>
    </w:p>
    <w:p w14:paraId="06BBB0B3" w14:textId="39264177" w:rsidR="000B01C4" w:rsidRDefault="000B01C4"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0B01C4">
        <w:rPr>
          <w:rFonts w:ascii="Arial" w:eastAsia="Arial" w:hAnsi="Arial" w:cs="Arial"/>
          <w:b/>
          <w:lang w:val="es-ES"/>
        </w:rPr>
        <w:t>Subcomponente 2.3:</w:t>
      </w:r>
      <w:r w:rsidRPr="000B01C4">
        <w:rPr>
          <w:rFonts w:ascii="Arial" w:eastAsia="Arial" w:hAnsi="Arial" w:cs="Arial"/>
          <w:lang w:val="es-ES"/>
        </w:rPr>
        <w:t xml:space="preserve"> </w:t>
      </w:r>
      <w:r w:rsidRPr="000B01C4">
        <w:rPr>
          <w:rFonts w:ascii="Arial" w:eastAsia="Arial" w:hAnsi="Arial" w:cs="Arial"/>
          <w:b/>
          <w:lang w:val="es-ES"/>
        </w:rPr>
        <w:t>Plantear posibles escenarios del balance oferta/demanda</w:t>
      </w:r>
      <w:r w:rsidRPr="000B01C4">
        <w:rPr>
          <w:rFonts w:ascii="Arial" w:eastAsia="Arial" w:hAnsi="Arial" w:cs="Arial"/>
          <w:lang w:val="es-ES"/>
        </w:rPr>
        <w:t xml:space="preserve"> de electricidad para los tres primeros años, y definir opciones y mapa de ruta para la restructuración del sector eléctrico.</w:t>
      </w:r>
    </w:p>
    <w:p w14:paraId="0BAA50A5" w14:textId="178B07CE" w:rsidR="00440A3F" w:rsidRDefault="00440A3F" w:rsidP="000B01C4">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440A3F">
        <w:rPr>
          <w:rFonts w:ascii="Arial" w:eastAsia="Arial" w:hAnsi="Arial" w:cs="Arial"/>
          <w:b/>
          <w:lang w:val="es-ES"/>
        </w:rPr>
        <w:lastRenderedPageBreak/>
        <w:t>Componente 3. Diagnóstico técnico del sector transporte, y coordinación y creación de una hoja de ruta para el plan de acción para la emergencia (US$200.000).</w:t>
      </w:r>
      <w:r w:rsidRPr="00440A3F">
        <w:rPr>
          <w:rFonts w:ascii="Arial" w:eastAsia="Arial" w:hAnsi="Arial" w:cs="Arial"/>
          <w:lang w:val="es-ES"/>
        </w:rPr>
        <w:t xml:space="preserve"> Este componente financiará la contratación de dos o más consultores técnicos para la realización de las siguientes actividades: (i) diagnóstico sobre la situación del parque automotor y de los proveedores de servicios de transporte (carga y pasajeros), a través de censos</w:t>
      </w:r>
      <w:r w:rsidR="004258AF">
        <w:rPr>
          <w:rFonts w:ascii="Arial" w:eastAsia="Arial" w:hAnsi="Arial" w:cs="Arial"/>
          <w:lang w:val="es-ES"/>
        </w:rPr>
        <w:t xml:space="preserve"> </w:t>
      </w:r>
      <w:bookmarkStart w:id="3" w:name="_Hlk9500102"/>
      <w:r w:rsidR="004258AF">
        <w:rPr>
          <w:rFonts w:ascii="Arial" w:eastAsia="Arial" w:hAnsi="Arial" w:cs="Arial"/>
          <w:lang w:val="es-ES"/>
        </w:rPr>
        <w:t xml:space="preserve">que serán realizados por una firma </w:t>
      </w:r>
      <w:r w:rsidR="009221A9">
        <w:rPr>
          <w:rFonts w:ascii="Arial" w:eastAsia="Arial" w:hAnsi="Arial" w:cs="Arial"/>
          <w:lang w:val="es-ES"/>
        </w:rPr>
        <w:t>consultora</w:t>
      </w:r>
      <w:r w:rsidR="006D2ADF">
        <w:rPr>
          <w:rFonts w:ascii="Arial" w:eastAsia="Arial" w:hAnsi="Arial" w:cs="Arial"/>
          <w:lang w:val="es-ES"/>
        </w:rPr>
        <w:t xml:space="preserve">, o una firma </w:t>
      </w:r>
      <w:r w:rsidR="00857C9D">
        <w:rPr>
          <w:rFonts w:ascii="Arial" w:eastAsia="Arial" w:hAnsi="Arial" w:cs="Arial"/>
          <w:lang w:val="es-ES"/>
        </w:rPr>
        <w:t>de censos que el BID contratará</w:t>
      </w:r>
      <w:bookmarkEnd w:id="3"/>
      <w:r w:rsidRPr="00440A3F">
        <w:rPr>
          <w:rFonts w:ascii="Arial" w:eastAsia="Arial" w:hAnsi="Arial" w:cs="Arial"/>
          <w:lang w:val="es-ES"/>
        </w:rPr>
        <w:t>, análisis de la flota de vehículos existentes, análisis del mercado de autopartes, suministros y ensambladoras e importadores de vehículos; (</w:t>
      </w:r>
      <w:proofErr w:type="spellStart"/>
      <w:r w:rsidRPr="00440A3F">
        <w:rPr>
          <w:rFonts w:ascii="Arial" w:eastAsia="Arial" w:hAnsi="Arial" w:cs="Arial"/>
          <w:lang w:val="es-ES"/>
        </w:rPr>
        <w:t>ii</w:t>
      </w:r>
      <w:proofErr w:type="spellEnd"/>
      <w:r w:rsidRPr="00440A3F">
        <w:rPr>
          <w:rFonts w:ascii="Arial" w:eastAsia="Arial" w:hAnsi="Arial" w:cs="Arial"/>
          <w:lang w:val="es-ES"/>
        </w:rPr>
        <w:t>) apoyo técnico en el tema de transporte público, específicamente en la reorganización, operatividad, tarifas, etc., así como liderar y acompañar las acciones inmediatas y el diseño de la hoja de ruta para su implementación estableciendo necesidades en el corto, mediano y largo plazo; (</w:t>
      </w:r>
      <w:proofErr w:type="spellStart"/>
      <w:r w:rsidRPr="00440A3F">
        <w:rPr>
          <w:rFonts w:ascii="Arial" w:eastAsia="Arial" w:hAnsi="Arial" w:cs="Arial"/>
          <w:lang w:val="es-ES"/>
        </w:rPr>
        <w:t>iii</w:t>
      </w:r>
      <w:proofErr w:type="spellEnd"/>
      <w:r w:rsidRPr="00440A3F">
        <w:rPr>
          <w:rFonts w:ascii="Arial" w:eastAsia="Arial" w:hAnsi="Arial" w:cs="Arial"/>
          <w:lang w:val="es-ES"/>
        </w:rPr>
        <w:t>) evaluación de alternativas para la conformación de un sistema integrado de transporte en Caracas, donde el Metro sea la columna principal (estudio de demanda y de estructuración de rutas de transporte y sistemas de pago); (</w:t>
      </w:r>
      <w:proofErr w:type="spellStart"/>
      <w:r w:rsidRPr="00440A3F">
        <w:rPr>
          <w:rFonts w:ascii="Arial" w:eastAsia="Arial" w:hAnsi="Arial" w:cs="Arial"/>
          <w:lang w:val="es-ES"/>
        </w:rPr>
        <w:t>iv</w:t>
      </w:r>
      <w:proofErr w:type="spellEnd"/>
      <w:r w:rsidRPr="00440A3F">
        <w:rPr>
          <w:rFonts w:ascii="Arial" w:eastAsia="Arial" w:hAnsi="Arial" w:cs="Arial"/>
          <w:lang w:val="es-ES"/>
        </w:rPr>
        <w:t>) diagnóstico situación portuaria y aeroportuaria actual e identificación de necesidades; (v) diagnóstico del estado de la red; y (vi) diseño de un plan de acción para el trabajo inmediato en cada una de las áreas prioritarias.</w:t>
      </w:r>
    </w:p>
    <w:p w14:paraId="2373FF47" w14:textId="1CCD0432" w:rsidR="002F4075" w:rsidRDefault="002F4075" w:rsidP="002F4075">
      <w:pPr>
        <w:pStyle w:val="ListParagraph"/>
        <w:numPr>
          <w:ilvl w:val="0"/>
          <w:numId w:val="5"/>
        </w:numPr>
        <w:spacing w:before="120" w:after="120" w:line="240" w:lineRule="auto"/>
        <w:contextualSpacing w:val="0"/>
        <w:jc w:val="both"/>
        <w:rPr>
          <w:rFonts w:ascii="Arial" w:eastAsia="Arial" w:hAnsi="Arial" w:cs="Arial"/>
          <w:lang w:val="es-ES"/>
        </w:rPr>
      </w:pPr>
      <w:r w:rsidRPr="002F4075">
        <w:rPr>
          <w:rFonts w:ascii="Arial" w:eastAsia="Arial" w:hAnsi="Arial" w:cs="Arial"/>
          <w:b/>
          <w:lang w:val="es-ES"/>
        </w:rPr>
        <w:t>Presupuesto indicativo</w:t>
      </w:r>
    </w:p>
    <w:p w14:paraId="4689E363" w14:textId="082A5D44" w:rsidR="00AF2695" w:rsidRPr="009219CA" w:rsidRDefault="00AF2695" w:rsidP="009C6AE7">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9219CA">
        <w:rPr>
          <w:rFonts w:ascii="Arial" w:eastAsia="Arial" w:hAnsi="Arial" w:cs="Arial"/>
          <w:lang w:val="es-ES"/>
        </w:rPr>
        <w:t xml:space="preserve">El presupuesto </w:t>
      </w:r>
      <w:r w:rsidR="009C6AE7" w:rsidRPr="009219CA">
        <w:rPr>
          <w:rFonts w:ascii="Arial" w:eastAsia="Arial" w:hAnsi="Arial" w:cs="Arial"/>
          <w:lang w:val="es-ES"/>
        </w:rPr>
        <w:t xml:space="preserve">total </w:t>
      </w:r>
      <w:r w:rsidRPr="009219CA">
        <w:rPr>
          <w:rFonts w:ascii="Arial" w:eastAsia="Arial" w:hAnsi="Arial" w:cs="Arial"/>
          <w:lang w:val="es-ES"/>
        </w:rPr>
        <w:t xml:space="preserve">de la CT </w:t>
      </w:r>
      <w:r w:rsidR="009C6AE7" w:rsidRPr="009219CA">
        <w:rPr>
          <w:rFonts w:ascii="Arial" w:eastAsia="Arial" w:hAnsi="Arial" w:cs="Arial"/>
          <w:lang w:val="es-ES"/>
        </w:rPr>
        <w:t>alcanzara los</w:t>
      </w:r>
      <w:r w:rsidRPr="009219CA">
        <w:rPr>
          <w:rFonts w:ascii="Arial" w:eastAsia="Arial" w:hAnsi="Arial" w:cs="Arial"/>
          <w:lang w:val="es-ES"/>
        </w:rPr>
        <w:t xml:space="preserve"> US$600.000, donde US$200.000 de los recursos </w:t>
      </w:r>
      <w:r w:rsidR="00B12348" w:rsidRPr="009219CA">
        <w:rPr>
          <w:rFonts w:ascii="Arial" w:eastAsia="Arial" w:hAnsi="Arial" w:cs="Arial"/>
          <w:lang w:val="es-ES"/>
        </w:rPr>
        <w:t>serán</w:t>
      </w:r>
      <w:r w:rsidRPr="009219CA">
        <w:rPr>
          <w:rFonts w:ascii="Arial" w:eastAsia="Arial" w:hAnsi="Arial" w:cs="Arial"/>
          <w:lang w:val="es-ES"/>
        </w:rPr>
        <w:t xml:space="preserve"> </w:t>
      </w:r>
      <w:r w:rsidR="00B12348" w:rsidRPr="009219CA">
        <w:rPr>
          <w:rFonts w:ascii="Arial" w:eastAsia="Arial" w:hAnsi="Arial" w:cs="Arial"/>
          <w:lang w:val="es-ES"/>
        </w:rPr>
        <w:t>para</w:t>
      </w:r>
      <w:r w:rsidR="009C6AE7" w:rsidRPr="009219CA">
        <w:rPr>
          <w:rFonts w:ascii="Arial" w:eastAsia="Arial" w:hAnsi="Arial" w:cs="Arial"/>
          <w:lang w:val="es-ES"/>
        </w:rPr>
        <w:t xml:space="preserve"> el sector de</w:t>
      </w:r>
      <w:r w:rsidRPr="009219CA">
        <w:rPr>
          <w:rFonts w:ascii="Arial" w:eastAsia="Arial" w:hAnsi="Arial" w:cs="Arial"/>
          <w:lang w:val="es-ES"/>
        </w:rPr>
        <w:t xml:space="preserve"> </w:t>
      </w:r>
      <w:r w:rsidR="009C6AE7" w:rsidRPr="009219CA">
        <w:rPr>
          <w:rFonts w:ascii="Arial" w:eastAsia="Arial" w:hAnsi="Arial" w:cs="Arial"/>
          <w:lang w:val="es-ES"/>
        </w:rPr>
        <w:t>a</w:t>
      </w:r>
      <w:r w:rsidR="006C6A19" w:rsidRPr="009219CA">
        <w:rPr>
          <w:rFonts w:ascii="Arial" w:eastAsia="Arial" w:hAnsi="Arial" w:cs="Arial"/>
          <w:lang w:val="es-ES"/>
        </w:rPr>
        <w:t>gua</w:t>
      </w:r>
      <w:r w:rsidRPr="009219CA">
        <w:rPr>
          <w:rFonts w:ascii="Arial" w:eastAsia="Arial" w:hAnsi="Arial" w:cs="Arial"/>
          <w:lang w:val="es-ES"/>
        </w:rPr>
        <w:t xml:space="preserve">, US$200.000 </w:t>
      </w:r>
      <w:r w:rsidR="00B12348" w:rsidRPr="009219CA">
        <w:rPr>
          <w:rFonts w:ascii="Arial" w:eastAsia="Arial" w:hAnsi="Arial" w:cs="Arial"/>
          <w:lang w:val="es-ES"/>
        </w:rPr>
        <w:t>para</w:t>
      </w:r>
      <w:r w:rsidR="006C6A19" w:rsidRPr="009219CA">
        <w:rPr>
          <w:rFonts w:ascii="Arial" w:eastAsia="Arial" w:hAnsi="Arial" w:cs="Arial"/>
          <w:lang w:val="es-ES"/>
        </w:rPr>
        <w:t xml:space="preserve"> </w:t>
      </w:r>
      <w:r w:rsidR="009C6AE7" w:rsidRPr="009219CA">
        <w:rPr>
          <w:rFonts w:ascii="Arial" w:eastAsia="Arial" w:hAnsi="Arial" w:cs="Arial"/>
          <w:lang w:val="es-ES"/>
        </w:rPr>
        <w:t>el sector de t</w:t>
      </w:r>
      <w:r w:rsidR="006C6A19" w:rsidRPr="009219CA">
        <w:rPr>
          <w:rFonts w:ascii="Arial" w:eastAsia="Arial" w:hAnsi="Arial" w:cs="Arial"/>
          <w:lang w:val="es-ES"/>
        </w:rPr>
        <w:t>rasporte</w:t>
      </w:r>
      <w:r w:rsidRPr="009219CA">
        <w:rPr>
          <w:rFonts w:ascii="Arial" w:eastAsia="Arial" w:hAnsi="Arial" w:cs="Arial"/>
          <w:lang w:val="es-ES"/>
        </w:rPr>
        <w:t xml:space="preserve"> </w:t>
      </w:r>
      <w:r w:rsidR="00B12348" w:rsidRPr="009219CA">
        <w:rPr>
          <w:rFonts w:ascii="Arial" w:eastAsia="Arial" w:hAnsi="Arial" w:cs="Arial"/>
          <w:lang w:val="es-ES"/>
        </w:rPr>
        <w:t xml:space="preserve">y US$200.000 </w:t>
      </w:r>
      <w:r w:rsidR="009C6AE7" w:rsidRPr="009219CA">
        <w:rPr>
          <w:rFonts w:ascii="Arial" w:eastAsia="Arial" w:hAnsi="Arial" w:cs="Arial"/>
          <w:lang w:val="es-ES"/>
        </w:rPr>
        <w:t>para el sector de energía</w:t>
      </w:r>
      <w:r w:rsidRPr="009219CA">
        <w:rPr>
          <w:rFonts w:ascii="Arial" w:eastAsia="Arial" w:hAnsi="Arial" w:cs="Arial"/>
          <w:lang w:val="es-ES"/>
        </w:rPr>
        <w:t>. Los fondos se utilizarán para financiar la contratación de firmas y consultores individuales contra la presentación de productos verificables, así como los costos de los gastos de viajes y viáticos relacionados con el desempeño de sus funciones. El detalle de los costos se presenta a continuación:</w:t>
      </w:r>
    </w:p>
    <w:p w14:paraId="4DDBEF00" w14:textId="77777777" w:rsidR="00A452A4" w:rsidRDefault="00A452A4" w:rsidP="007C6B4B">
      <w:pPr>
        <w:pStyle w:val="ListParagraph"/>
        <w:spacing w:before="60" w:after="60" w:line="240" w:lineRule="auto"/>
        <w:ind w:left="360"/>
        <w:contextualSpacing w:val="0"/>
        <w:jc w:val="center"/>
        <w:rPr>
          <w:rFonts w:ascii="Arial" w:hAnsi="Arial" w:cs="Arial"/>
          <w:b/>
          <w:lang w:val="es-ES"/>
        </w:rPr>
      </w:pPr>
    </w:p>
    <w:p w14:paraId="45170D2E" w14:textId="64905F83" w:rsidR="00440A3F" w:rsidRPr="00440A3F" w:rsidRDefault="5CCB81BE" w:rsidP="00440A3F">
      <w:pPr>
        <w:pStyle w:val="ListParagraph"/>
        <w:spacing w:before="60" w:after="60" w:line="240" w:lineRule="auto"/>
        <w:ind w:left="360"/>
        <w:contextualSpacing w:val="0"/>
        <w:jc w:val="center"/>
        <w:rPr>
          <w:rFonts w:ascii="Arial" w:eastAsia="Arial" w:hAnsi="Arial" w:cs="Arial"/>
          <w:b/>
          <w:bCs/>
          <w:lang w:val="es-ES"/>
        </w:rPr>
      </w:pPr>
      <w:r w:rsidRPr="5CCB81BE">
        <w:rPr>
          <w:rFonts w:ascii="Arial" w:eastAsia="Arial" w:hAnsi="Arial" w:cs="Arial"/>
          <w:b/>
          <w:bCs/>
          <w:lang w:val="es-ES"/>
        </w:rPr>
        <w:t>Presupuesto Indicativo</w:t>
      </w:r>
    </w:p>
    <w:tbl>
      <w:tblPr>
        <w:tblStyle w:val="TableGrid1"/>
        <w:tblW w:w="0" w:type="auto"/>
        <w:jc w:val="center"/>
        <w:tblLook w:val="04A0" w:firstRow="1" w:lastRow="0" w:firstColumn="1" w:lastColumn="0" w:noHBand="0" w:noVBand="1"/>
      </w:tblPr>
      <w:tblGrid>
        <w:gridCol w:w="6475"/>
        <w:gridCol w:w="2070"/>
      </w:tblGrid>
      <w:tr w:rsidR="00440A3F" w:rsidRPr="00440A3F" w14:paraId="7D9DA8D3" w14:textId="77777777" w:rsidTr="00AF2695">
        <w:trPr>
          <w:jc w:val="center"/>
        </w:trPr>
        <w:tc>
          <w:tcPr>
            <w:tcW w:w="6475" w:type="dxa"/>
            <w:shd w:val="clear" w:color="auto" w:fill="BFBFBF" w:themeFill="background1" w:themeFillShade="BF"/>
          </w:tcPr>
          <w:p w14:paraId="206173F5" w14:textId="77777777" w:rsidR="00440A3F" w:rsidRPr="00440A3F" w:rsidRDefault="00440A3F" w:rsidP="00440A3F">
            <w:pPr>
              <w:rPr>
                <w:rFonts w:ascii="Arial" w:hAnsi="Arial" w:cs="Arial"/>
                <w:b/>
                <w:sz w:val="20"/>
                <w:szCs w:val="20"/>
                <w:lang w:val="es-419"/>
              </w:rPr>
            </w:pPr>
            <w:r w:rsidRPr="00440A3F">
              <w:rPr>
                <w:rFonts w:ascii="Arial" w:hAnsi="Arial" w:cs="Arial"/>
                <w:b/>
                <w:sz w:val="20"/>
                <w:szCs w:val="20"/>
                <w:lang w:val="es-419"/>
              </w:rPr>
              <w:t>Componente Sector Agua</w:t>
            </w:r>
          </w:p>
        </w:tc>
        <w:tc>
          <w:tcPr>
            <w:tcW w:w="2070" w:type="dxa"/>
            <w:shd w:val="clear" w:color="auto" w:fill="BFBFBF" w:themeFill="background1" w:themeFillShade="BF"/>
          </w:tcPr>
          <w:p w14:paraId="55AA341A" w14:textId="77777777" w:rsidR="00440A3F" w:rsidRPr="00440A3F" w:rsidRDefault="00440A3F" w:rsidP="00440A3F">
            <w:pPr>
              <w:jc w:val="center"/>
              <w:rPr>
                <w:rFonts w:ascii="Arial" w:hAnsi="Arial" w:cs="Arial"/>
                <w:b/>
                <w:sz w:val="20"/>
                <w:szCs w:val="20"/>
                <w:lang w:val="es-419"/>
              </w:rPr>
            </w:pPr>
            <w:r w:rsidRPr="00440A3F">
              <w:rPr>
                <w:rFonts w:ascii="Arial" w:hAnsi="Arial" w:cs="Arial"/>
                <w:b/>
                <w:sz w:val="20"/>
                <w:szCs w:val="20"/>
                <w:lang w:val="es-419"/>
              </w:rPr>
              <w:t>US$</w:t>
            </w:r>
          </w:p>
        </w:tc>
      </w:tr>
      <w:tr w:rsidR="00440A3F" w:rsidRPr="00440A3F" w14:paraId="670CA307" w14:textId="77777777" w:rsidTr="0033512D">
        <w:trPr>
          <w:jc w:val="center"/>
        </w:trPr>
        <w:tc>
          <w:tcPr>
            <w:tcW w:w="6475" w:type="dxa"/>
          </w:tcPr>
          <w:p w14:paraId="2462AFA0"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 xml:space="preserve">Diagnóstico rápido del sector </w:t>
            </w:r>
          </w:p>
        </w:tc>
        <w:tc>
          <w:tcPr>
            <w:tcW w:w="2070" w:type="dxa"/>
          </w:tcPr>
          <w:p w14:paraId="78F84219" w14:textId="77777777" w:rsidR="00440A3F" w:rsidRPr="00440A3F" w:rsidRDefault="00440A3F" w:rsidP="00440A3F">
            <w:pPr>
              <w:jc w:val="right"/>
              <w:rPr>
                <w:rFonts w:ascii="Arial" w:hAnsi="Arial" w:cs="Arial"/>
                <w:sz w:val="20"/>
                <w:szCs w:val="20"/>
                <w:lang w:val="es-419"/>
              </w:rPr>
            </w:pPr>
            <w:r w:rsidRPr="00440A3F">
              <w:rPr>
                <w:rFonts w:ascii="Arial" w:hAnsi="Arial" w:cs="Arial"/>
                <w:sz w:val="20"/>
                <w:szCs w:val="20"/>
                <w:lang w:val="es-419"/>
              </w:rPr>
              <w:t>75.000.00</w:t>
            </w:r>
          </w:p>
        </w:tc>
      </w:tr>
      <w:tr w:rsidR="00440A3F" w:rsidRPr="00440A3F" w14:paraId="765CA9BC" w14:textId="77777777" w:rsidTr="0033512D">
        <w:trPr>
          <w:jc w:val="center"/>
        </w:trPr>
        <w:tc>
          <w:tcPr>
            <w:tcW w:w="6475" w:type="dxa"/>
          </w:tcPr>
          <w:p w14:paraId="6AD73DC0"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 xml:space="preserve">Identificación de medidas de rápido impacto </w:t>
            </w:r>
          </w:p>
        </w:tc>
        <w:tc>
          <w:tcPr>
            <w:tcW w:w="2070" w:type="dxa"/>
          </w:tcPr>
          <w:p w14:paraId="5E68D267" w14:textId="77777777" w:rsidR="00440A3F" w:rsidRPr="00440A3F" w:rsidRDefault="00440A3F" w:rsidP="00440A3F">
            <w:pPr>
              <w:jc w:val="right"/>
              <w:rPr>
                <w:rFonts w:ascii="Arial" w:hAnsi="Arial" w:cs="Arial"/>
                <w:sz w:val="20"/>
                <w:szCs w:val="20"/>
                <w:lang w:val="es-419"/>
              </w:rPr>
            </w:pPr>
            <w:r w:rsidRPr="00440A3F">
              <w:rPr>
                <w:rFonts w:ascii="Arial" w:hAnsi="Arial" w:cs="Arial"/>
                <w:sz w:val="20"/>
                <w:szCs w:val="20"/>
                <w:lang w:val="es-419"/>
              </w:rPr>
              <w:t>50.000.00</w:t>
            </w:r>
          </w:p>
        </w:tc>
      </w:tr>
      <w:tr w:rsidR="00440A3F" w:rsidRPr="00440A3F" w14:paraId="4DE16876" w14:textId="77777777" w:rsidTr="0033512D">
        <w:trPr>
          <w:jc w:val="center"/>
        </w:trPr>
        <w:tc>
          <w:tcPr>
            <w:tcW w:w="6475" w:type="dxa"/>
          </w:tcPr>
          <w:p w14:paraId="5BE875D9"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Priorización de acciones e inversiones para el mediano plazo</w:t>
            </w:r>
          </w:p>
        </w:tc>
        <w:tc>
          <w:tcPr>
            <w:tcW w:w="2070" w:type="dxa"/>
          </w:tcPr>
          <w:p w14:paraId="7FFDFD0A" w14:textId="77777777" w:rsidR="00440A3F" w:rsidRPr="00440A3F" w:rsidRDefault="00440A3F" w:rsidP="00440A3F">
            <w:pPr>
              <w:jc w:val="right"/>
              <w:rPr>
                <w:rFonts w:ascii="Arial" w:hAnsi="Arial" w:cs="Arial"/>
                <w:sz w:val="20"/>
                <w:szCs w:val="20"/>
                <w:lang w:val="es-419"/>
              </w:rPr>
            </w:pPr>
            <w:r w:rsidRPr="00440A3F">
              <w:rPr>
                <w:rFonts w:ascii="Arial" w:hAnsi="Arial" w:cs="Arial"/>
                <w:sz w:val="20"/>
                <w:szCs w:val="20"/>
                <w:lang w:val="es-419"/>
              </w:rPr>
              <w:t>75.000.00</w:t>
            </w:r>
          </w:p>
        </w:tc>
      </w:tr>
      <w:tr w:rsidR="00440A3F" w:rsidRPr="00440A3F" w14:paraId="31ECBA8C" w14:textId="77777777" w:rsidTr="00AF2695">
        <w:trPr>
          <w:jc w:val="center"/>
        </w:trPr>
        <w:tc>
          <w:tcPr>
            <w:tcW w:w="6475" w:type="dxa"/>
            <w:shd w:val="clear" w:color="auto" w:fill="8DB3E2" w:themeFill="text2" w:themeFillTint="66"/>
          </w:tcPr>
          <w:p w14:paraId="5B714C36" w14:textId="77777777" w:rsidR="00440A3F" w:rsidRPr="00440A3F" w:rsidRDefault="00440A3F" w:rsidP="00440A3F">
            <w:pPr>
              <w:rPr>
                <w:rFonts w:ascii="Arial" w:hAnsi="Arial" w:cs="Arial"/>
                <w:b/>
                <w:sz w:val="20"/>
                <w:szCs w:val="20"/>
                <w:lang w:val="es-419"/>
              </w:rPr>
            </w:pPr>
            <w:r w:rsidRPr="00440A3F">
              <w:rPr>
                <w:rFonts w:ascii="Arial" w:hAnsi="Arial" w:cs="Arial"/>
                <w:b/>
                <w:sz w:val="20"/>
                <w:szCs w:val="20"/>
                <w:lang w:val="es-419"/>
              </w:rPr>
              <w:t>Subtotal</w:t>
            </w:r>
          </w:p>
        </w:tc>
        <w:tc>
          <w:tcPr>
            <w:tcW w:w="2070" w:type="dxa"/>
            <w:shd w:val="clear" w:color="auto" w:fill="8DB3E2" w:themeFill="text2" w:themeFillTint="66"/>
          </w:tcPr>
          <w:p w14:paraId="24858930" w14:textId="77777777" w:rsidR="00440A3F" w:rsidRPr="00440A3F" w:rsidRDefault="00440A3F" w:rsidP="00440A3F">
            <w:pPr>
              <w:jc w:val="right"/>
              <w:rPr>
                <w:rFonts w:ascii="Arial" w:hAnsi="Arial" w:cs="Arial"/>
                <w:b/>
                <w:sz w:val="20"/>
                <w:szCs w:val="20"/>
                <w:lang w:val="es-419"/>
              </w:rPr>
            </w:pPr>
            <w:r w:rsidRPr="00440A3F">
              <w:rPr>
                <w:rFonts w:ascii="Arial" w:hAnsi="Arial" w:cs="Arial"/>
                <w:b/>
                <w:sz w:val="20"/>
                <w:szCs w:val="20"/>
                <w:lang w:val="es-419"/>
              </w:rPr>
              <w:t>200.000.00</w:t>
            </w:r>
          </w:p>
        </w:tc>
      </w:tr>
      <w:tr w:rsidR="00440A3F" w:rsidRPr="00440A3F" w14:paraId="1496EA30" w14:textId="77777777" w:rsidTr="00AF2695">
        <w:tblPrEx>
          <w:jc w:val="left"/>
        </w:tblPrEx>
        <w:tc>
          <w:tcPr>
            <w:tcW w:w="6475" w:type="dxa"/>
            <w:shd w:val="clear" w:color="auto" w:fill="BFBFBF" w:themeFill="background1" w:themeFillShade="BF"/>
          </w:tcPr>
          <w:p w14:paraId="61BD6AF8" w14:textId="77777777" w:rsidR="00440A3F" w:rsidRPr="00440A3F" w:rsidRDefault="00440A3F" w:rsidP="00440A3F">
            <w:pPr>
              <w:rPr>
                <w:rFonts w:ascii="Arial" w:hAnsi="Arial" w:cs="Arial"/>
                <w:b/>
                <w:sz w:val="20"/>
                <w:szCs w:val="20"/>
                <w:lang w:val="es-419"/>
              </w:rPr>
            </w:pPr>
            <w:r w:rsidRPr="00440A3F">
              <w:rPr>
                <w:rFonts w:ascii="Arial" w:hAnsi="Arial" w:cs="Arial"/>
                <w:b/>
                <w:sz w:val="20"/>
                <w:szCs w:val="20"/>
                <w:lang w:val="es-419"/>
              </w:rPr>
              <w:t>Componente Sector Electricidad</w:t>
            </w:r>
          </w:p>
        </w:tc>
        <w:tc>
          <w:tcPr>
            <w:tcW w:w="2070" w:type="dxa"/>
            <w:shd w:val="clear" w:color="auto" w:fill="BFBFBF" w:themeFill="background1" w:themeFillShade="BF"/>
          </w:tcPr>
          <w:p w14:paraId="3ABD8B54" w14:textId="77777777" w:rsidR="00440A3F" w:rsidRPr="00440A3F" w:rsidRDefault="00440A3F" w:rsidP="00440A3F">
            <w:pPr>
              <w:jc w:val="right"/>
              <w:rPr>
                <w:rFonts w:ascii="Arial" w:hAnsi="Arial" w:cs="Arial"/>
                <w:sz w:val="20"/>
                <w:szCs w:val="20"/>
                <w:lang w:val="es-419"/>
              </w:rPr>
            </w:pPr>
          </w:p>
        </w:tc>
      </w:tr>
      <w:tr w:rsidR="00440A3F" w:rsidRPr="00440A3F" w14:paraId="508E6263" w14:textId="77777777" w:rsidTr="0033512D">
        <w:tblPrEx>
          <w:jc w:val="left"/>
        </w:tblPrEx>
        <w:tc>
          <w:tcPr>
            <w:tcW w:w="6475" w:type="dxa"/>
          </w:tcPr>
          <w:p w14:paraId="7CA2F0A7"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Diagnóstico necesidades inmediatas y mediano plazo redes transmisión y distribución y operación del sistema.</w:t>
            </w:r>
          </w:p>
        </w:tc>
        <w:tc>
          <w:tcPr>
            <w:tcW w:w="2070" w:type="dxa"/>
          </w:tcPr>
          <w:p w14:paraId="11F71FDF" w14:textId="77777777" w:rsidR="00440A3F" w:rsidRPr="00440A3F" w:rsidRDefault="00440A3F" w:rsidP="00440A3F">
            <w:pPr>
              <w:jc w:val="right"/>
              <w:rPr>
                <w:rFonts w:ascii="Arial" w:hAnsi="Arial" w:cs="Arial"/>
                <w:sz w:val="20"/>
                <w:szCs w:val="20"/>
                <w:lang w:val="es-419"/>
              </w:rPr>
            </w:pPr>
            <w:r w:rsidRPr="00440A3F">
              <w:rPr>
                <w:rFonts w:ascii="Arial" w:hAnsi="Arial" w:cs="Arial"/>
                <w:sz w:val="20"/>
                <w:szCs w:val="20"/>
                <w:lang w:val="es-419"/>
              </w:rPr>
              <w:t>75.000.00</w:t>
            </w:r>
          </w:p>
        </w:tc>
      </w:tr>
      <w:tr w:rsidR="00440A3F" w:rsidRPr="00440A3F" w14:paraId="02B98D7B" w14:textId="77777777" w:rsidTr="0033512D">
        <w:tblPrEx>
          <w:jc w:val="left"/>
        </w:tblPrEx>
        <w:tc>
          <w:tcPr>
            <w:tcW w:w="6475" w:type="dxa"/>
          </w:tcPr>
          <w:p w14:paraId="01614889"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Diagnóstico y necesidades inmediatas de parque de generación.</w:t>
            </w:r>
          </w:p>
        </w:tc>
        <w:tc>
          <w:tcPr>
            <w:tcW w:w="2070" w:type="dxa"/>
          </w:tcPr>
          <w:p w14:paraId="0C2857B6" w14:textId="77777777" w:rsidR="00440A3F" w:rsidRPr="00440A3F" w:rsidRDefault="00440A3F" w:rsidP="00440A3F">
            <w:pPr>
              <w:jc w:val="right"/>
              <w:rPr>
                <w:rFonts w:ascii="Arial" w:hAnsi="Arial" w:cs="Arial"/>
                <w:sz w:val="20"/>
                <w:szCs w:val="20"/>
                <w:lang w:val="es-419"/>
              </w:rPr>
            </w:pPr>
            <w:r w:rsidRPr="00440A3F">
              <w:rPr>
                <w:rFonts w:ascii="Arial" w:hAnsi="Arial" w:cs="Arial"/>
                <w:sz w:val="20"/>
                <w:szCs w:val="20"/>
                <w:lang w:val="es-419"/>
              </w:rPr>
              <w:t>75.000.00</w:t>
            </w:r>
          </w:p>
        </w:tc>
      </w:tr>
      <w:tr w:rsidR="00440A3F" w:rsidRPr="00440A3F" w14:paraId="5F12B486" w14:textId="77777777" w:rsidTr="0033512D">
        <w:tblPrEx>
          <w:jc w:val="left"/>
        </w:tblPrEx>
        <w:trPr>
          <w:trHeight w:val="287"/>
        </w:trPr>
        <w:tc>
          <w:tcPr>
            <w:tcW w:w="6475" w:type="dxa"/>
          </w:tcPr>
          <w:p w14:paraId="237554AE" w14:textId="77777777" w:rsidR="00440A3F" w:rsidRPr="00440A3F" w:rsidRDefault="00440A3F" w:rsidP="00440A3F">
            <w:pPr>
              <w:numPr>
                <w:ilvl w:val="0"/>
                <w:numId w:val="17"/>
              </w:numPr>
              <w:rPr>
                <w:rFonts w:ascii="Arial" w:hAnsi="Arial" w:cs="Arial"/>
                <w:sz w:val="20"/>
                <w:szCs w:val="20"/>
                <w:lang w:val="es-419"/>
              </w:rPr>
            </w:pPr>
            <w:r w:rsidRPr="00440A3F">
              <w:rPr>
                <w:rFonts w:ascii="Arial" w:hAnsi="Arial" w:cs="Arial"/>
                <w:sz w:val="20"/>
                <w:szCs w:val="20"/>
                <w:lang w:val="es-419"/>
              </w:rPr>
              <w:t>Análisis oferta y demanda y mapa de ruta para reforma del sector</w:t>
            </w:r>
          </w:p>
        </w:tc>
        <w:tc>
          <w:tcPr>
            <w:tcW w:w="2070" w:type="dxa"/>
          </w:tcPr>
          <w:p w14:paraId="673E60C1" w14:textId="77777777" w:rsidR="00440A3F" w:rsidRPr="00440A3F" w:rsidRDefault="00440A3F" w:rsidP="00440A3F">
            <w:pPr>
              <w:jc w:val="right"/>
              <w:rPr>
                <w:rFonts w:ascii="Arial" w:hAnsi="Arial" w:cs="Arial"/>
                <w:b/>
                <w:sz w:val="20"/>
                <w:szCs w:val="20"/>
                <w:lang w:val="es-419"/>
              </w:rPr>
            </w:pPr>
            <w:r w:rsidRPr="00440A3F">
              <w:rPr>
                <w:rFonts w:ascii="Arial" w:hAnsi="Arial" w:cs="Arial"/>
                <w:sz w:val="20"/>
                <w:szCs w:val="20"/>
                <w:lang w:val="es-419"/>
              </w:rPr>
              <w:t>50.000.00</w:t>
            </w:r>
          </w:p>
        </w:tc>
      </w:tr>
      <w:tr w:rsidR="00440A3F" w:rsidRPr="00440A3F" w14:paraId="05A4D3F0" w14:textId="77777777" w:rsidTr="00AF2695">
        <w:tblPrEx>
          <w:jc w:val="left"/>
        </w:tblPrEx>
        <w:tc>
          <w:tcPr>
            <w:tcW w:w="6475" w:type="dxa"/>
            <w:shd w:val="clear" w:color="auto" w:fill="8DB3E2" w:themeFill="text2" w:themeFillTint="66"/>
          </w:tcPr>
          <w:p w14:paraId="6BA46A1E" w14:textId="77777777" w:rsidR="00440A3F" w:rsidRPr="00440A3F" w:rsidRDefault="00440A3F" w:rsidP="00440A3F">
            <w:pPr>
              <w:ind w:left="360"/>
              <w:rPr>
                <w:rFonts w:ascii="Arial" w:hAnsi="Arial" w:cs="Arial"/>
                <w:b/>
                <w:sz w:val="20"/>
                <w:szCs w:val="20"/>
                <w:lang w:val="es-419"/>
              </w:rPr>
            </w:pPr>
            <w:r w:rsidRPr="00440A3F">
              <w:rPr>
                <w:rFonts w:ascii="Arial" w:hAnsi="Arial" w:cs="Arial"/>
                <w:b/>
                <w:sz w:val="20"/>
                <w:szCs w:val="20"/>
                <w:lang w:val="es-419"/>
              </w:rPr>
              <w:t>Subtotal</w:t>
            </w:r>
          </w:p>
        </w:tc>
        <w:tc>
          <w:tcPr>
            <w:tcW w:w="2070" w:type="dxa"/>
            <w:shd w:val="clear" w:color="auto" w:fill="8DB3E2" w:themeFill="text2" w:themeFillTint="66"/>
          </w:tcPr>
          <w:p w14:paraId="1D880141" w14:textId="77777777" w:rsidR="00440A3F" w:rsidRPr="00440A3F" w:rsidRDefault="00440A3F" w:rsidP="00440A3F">
            <w:pPr>
              <w:jc w:val="right"/>
              <w:rPr>
                <w:rFonts w:ascii="Arial" w:hAnsi="Arial" w:cs="Arial"/>
                <w:sz w:val="20"/>
                <w:szCs w:val="20"/>
                <w:lang w:val="es-419"/>
              </w:rPr>
            </w:pPr>
            <w:r w:rsidRPr="00440A3F">
              <w:rPr>
                <w:rFonts w:ascii="Arial" w:hAnsi="Arial" w:cs="Arial"/>
                <w:b/>
                <w:sz w:val="20"/>
                <w:szCs w:val="20"/>
                <w:lang w:val="es-419"/>
              </w:rPr>
              <w:t>200.000.00</w:t>
            </w:r>
          </w:p>
        </w:tc>
      </w:tr>
      <w:tr w:rsidR="00440A3F" w:rsidRPr="00440A3F" w14:paraId="259CA9DE" w14:textId="77777777" w:rsidTr="00AF2695">
        <w:tblPrEx>
          <w:jc w:val="left"/>
        </w:tblPrEx>
        <w:tc>
          <w:tcPr>
            <w:tcW w:w="6475" w:type="dxa"/>
            <w:shd w:val="clear" w:color="auto" w:fill="BFBFBF" w:themeFill="background1" w:themeFillShade="BF"/>
          </w:tcPr>
          <w:p w14:paraId="1F634FF1" w14:textId="77777777" w:rsidR="00440A3F" w:rsidRPr="00440A3F" w:rsidRDefault="00440A3F" w:rsidP="00440A3F">
            <w:pPr>
              <w:ind w:left="360"/>
              <w:rPr>
                <w:rFonts w:ascii="Arial" w:hAnsi="Arial" w:cs="Arial"/>
                <w:sz w:val="20"/>
                <w:szCs w:val="20"/>
                <w:lang w:val="es-419"/>
              </w:rPr>
            </w:pPr>
            <w:r w:rsidRPr="00440A3F">
              <w:rPr>
                <w:rFonts w:ascii="Arial" w:hAnsi="Arial" w:cs="Arial"/>
                <w:b/>
                <w:sz w:val="20"/>
                <w:szCs w:val="20"/>
                <w:lang w:val="es-419"/>
              </w:rPr>
              <w:t>Componente Sector Transporte</w:t>
            </w:r>
          </w:p>
        </w:tc>
        <w:tc>
          <w:tcPr>
            <w:tcW w:w="2070" w:type="dxa"/>
            <w:shd w:val="clear" w:color="auto" w:fill="BFBFBF" w:themeFill="background1" w:themeFillShade="BF"/>
          </w:tcPr>
          <w:p w14:paraId="3FFE9B68" w14:textId="77777777" w:rsidR="00440A3F" w:rsidRPr="00440A3F" w:rsidRDefault="00440A3F" w:rsidP="00440A3F">
            <w:pPr>
              <w:jc w:val="right"/>
              <w:rPr>
                <w:rFonts w:ascii="Arial" w:hAnsi="Arial" w:cs="Arial"/>
                <w:b/>
                <w:sz w:val="20"/>
                <w:szCs w:val="20"/>
                <w:lang w:val="es-419"/>
              </w:rPr>
            </w:pPr>
          </w:p>
        </w:tc>
      </w:tr>
      <w:tr w:rsidR="00440A3F" w:rsidRPr="00440A3F" w14:paraId="06A3648B" w14:textId="77777777" w:rsidTr="0033512D">
        <w:tblPrEx>
          <w:jc w:val="left"/>
        </w:tblPrEx>
        <w:tc>
          <w:tcPr>
            <w:tcW w:w="6475" w:type="dxa"/>
          </w:tcPr>
          <w:p w14:paraId="062D6F43" w14:textId="77777777"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7. Diagnóstico sobre la situación del parque automotor y de los proveedores</w:t>
            </w:r>
          </w:p>
        </w:tc>
        <w:tc>
          <w:tcPr>
            <w:tcW w:w="2070" w:type="dxa"/>
          </w:tcPr>
          <w:p w14:paraId="18120701" w14:textId="33609D2B" w:rsidR="00440A3F" w:rsidRPr="00440A3F" w:rsidRDefault="00D00697" w:rsidP="00440A3F">
            <w:pPr>
              <w:spacing w:before="40" w:after="40"/>
              <w:ind w:left="123"/>
              <w:jc w:val="right"/>
              <w:rPr>
                <w:rFonts w:ascii="Arial" w:hAnsi="Arial" w:cs="Arial"/>
                <w:sz w:val="20"/>
                <w:szCs w:val="20"/>
                <w:lang w:val="es-419"/>
              </w:rPr>
            </w:pPr>
            <w:r>
              <w:rPr>
                <w:rFonts w:ascii="Arial" w:hAnsi="Arial" w:cs="Arial"/>
                <w:sz w:val="20"/>
                <w:szCs w:val="20"/>
                <w:lang w:val="es-419"/>
              </w:rPr>
              <w:t>4</w:t>
            </w:r>
            <w:r w:rsidR="00440A3F" w:rsidRPr="00440A3F">
              <w:rPr>
                <w:rFonts w:ascii="Arial" w:hAnsi="Arial" w:cs="Arial"/>
                <w:sz w:val="20"/>
                <w:szCs w:val="20"/>
                <w:lang w:val="es-419"/>
              </w:rPr>
              <w:t>0.000.00</w:t>
            </w:r>
          </w:p>
        </w:tc>
      </w:tr>
      <w:tr w:rsidR="00440A3F" w:rsidRPr="00440A3F" w14:paraId="4229EAFD" w14:textId="77777777" w:rsidTr="0033512D">
        <w:tblPrEx>
          <w:jc w:val="left"/>
        </w:tblPrEx>
        <w:tc>
          <w:tcPr>
            <w:tcW w:w="6475" w:type="dxa"/>
          </w:tcPr>
          <w:p w14:paraId="4554DE4B" w14:textId="1C7A4DDE"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 xml:space="preserve">8. </w:t>
            </w:r>
            <w:r w:rsidR="000C2D7C">
              <w:rPr>
                <w:rFonts w:ascii="Arial" w:hAnsi="Arial" w:cs="Arial"/>
                <w:sz w:val="20"/>
                <w:szCs w:val="20"/>
                <w:lang w:val="es-419"/>
              </w:rPr>
              <w:t xml:space="preserve">Censo de la flota vehicular </w:t>
            </w:r>
            <w:r w:rsidR="002F158B">
              <w:rPr>
                <w:rFonts w:ascii="Arial" w:hAnsi="Arial" w:cs="Arial"/>
                <w:sz w:val="20"/>
                <w:szCs w:val="20"/>
                <w:lang w:val="es-419"/>
              </w:rPr>
              <w:t xml:space="preserve">(carga y pasajeros) </w:t>
            </w:r>
            <w:r w:rsidR="000C2D7C">
              <w:rPr>
                <w:rFonts w:ascii="Arial" w:hAnsi="Arial" w:cs="Arial"/>
                <w:sz w:val="20"/>
                <w:szCs w:val="20"/>
                <w:lang w:val="es-419"/>
              </w:rPr>
              <w:t>actual de Caracas</w:t>
            </w:r>
          </w:p>
        </w:tc>
        <w:tc>
          <w:tcPr>
            <w:tcW w:w="2070" w:type="dxa"/>
          </w:tcPr>
          <w:p w14:paraId="63E0CD1E" w14:textId="1B0A0FEC" w:rsidR="00440A3F" w:rsidRPr="00440A3F" w:rsidRDefault="008051D5" w:rsidP="00440A3F">
            <w:pPr>
              <w:spacing w:before="40" w:after="40"/>
              <w:ind w:left="123"/>
              <w:jc w:val="right"/>
              <w:rPr>
                <w:rFonts w:ascii="Arial" w:hAnsi="Arial" w:cs="Arial"/>
                <w:sz w:val="20"/>
                <w:szCs w:val="20"/>
                <w:lang w:val="es-419"/>
              </w:rPr>
            </w:pPr>
            <w:r>
              <w:rPr>
                <w:rFonts w:ascii="Arial" w:hAnsi="Arial" w:cs="Arial"/>
                <w:sz w:val="20"/>
                <w:szCs w:val="20"/>
                <w:lang w:val="es-419"/>
              </w:rPr>
              <w:t>3</w:t>
            </w:r>
            <w:r w:rsidR="00440A3F" w:rsidRPr="00440A3F">
              <w:rPr>
                <w:rFonts w:ascii="Arial" w:hAnsi="Arial" w:cs="Arial"/>
                <w:sz w:val="20"/>
                <w:szCs w:val="20"/>
                <w:lang w:val="es-419"/>
              </w:rPr>
              <w:t>0.000.00</w:t>
            </w:r>
          </w:p>
        </w:tc>
      </w:tr>
      <w:tr w:rsidR="00440A3F" w:rsidRPr="00440A3F" w14:paraId="5F16909F" w14:textId="77777777" w:rsidTr="0033512D">
        <w:tblPrEx>
          <w:jc w:val="left"/>
        </w:tblPrEx>
        <w:tc>
          <w:tcPr>
            <w:tcW w:w="6475" w:type="dxa"/>
          </w:tcPr>
          <w:p w14:paraId="5D28C5BF" w14:textId="77777777"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9. Evaluación de alternativas para la conformación de un sistema integrado de transporte en Caracas</w:t>
            </w:r>
          </w:p>
        </w:tc>
        <w:tc>
          <w:tcPr>
            <w:tcW w:w="2070" w:type="dxa"/>
          </w:tcPr>
          <w:p w14:paraId="0037286D" w14:textId="6C119524" w:rsidR="00440A3F" w:rsidRPr="00440A3F" w:rsidRDefault="000C2D7C" w:rsidP="00440A3F">
            <w:pPr>
              <w:spacing w:before="40" w:after="40"/>
              <w:ind w:left="123"/>
              <w:jc w:val="right"/>
              <w:rPr>
                <w:rFonts w:ascii="Arial" w:hAnsi="Arial" w:cs="Arial"/>
                <w:sz w:val="20"/>
                <w:szCs w:val="20"/>
                <w:lang w:val="es-419"/>
              </w:rPr>
            </w:pPr>
            <w:r>
              <w:rPr>
                <w:rFonts w:ascii="Arial" w:hAnsi="Arial" w:cs="Arial"/>
                <w:sz w:val="20"/>
                <w:szCs w:val="20"/>
                <w:lang w:val="es-419"/>
              </w:rPr>
              <w:t>2</w:t>
            </w:r>
            <w:r w:rsidR="00440A3F" w:rsidRPr="00440A3F">
              <w:rPr>
                <w:rFonts w:ascii="Arial" w:hAnsi="Arial" w:cs="Arial"/>
                <w:sz w:val="20"/>
                <w:szCs w:val="20"/>
                <w:lang w:val="es-419"/>
              </w:rPr>
              <w:t>0.000.00</w:t>
            </w:r>
          </w:p>
        </w:tc>
      </w:tr>
      <w:tr w:rsidR="00440A3F" w:rsidRPr="00440A3F" w14:paraId="37FBEF00" w14:textId="77777777" w:rsidTr="0033512D">
        <w:tblPrEx>
          <w:jc w:val="left"/>
        </w:tblPrEx>
        <w:tc>
          <w:tcPr>
            <w:tcW w:w="6475" w:type="dxa"/>
          </w:tcPr>
          <w:p w14:paraId="7FB71859" w14:textId="77777777"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10. Diagnóstico situación portuaria y aeroportuaria actual</w:t>
            </w:r>
          </w:p>
        </w:tc>
        <w:tc>
          <w:tcPr>
            <w:tcW w:w="2070" w:type="dxa"/>
          </w:tcPr>
          <w:p w14:paraId="2E2E0ED6" w14:textId="7993800F" w:rsidR="00440A3F" w:rsidRPr="00440A3F" w:rsidRDefault="00440A3F" w:rsidP="00440A3F">
            <w:pPr>
              <w:spacing w:before="40" w:after="40"/>
              <w:ind w:left="123"/>
              <w:jc w:val="right"/>
              <w:rPr>
                <w:rFonts w:ascii="Arial" w:hAnsi="Arial" w:cs="Arial"/>
                <w:sz w:val="20"/>
                <w:szCs w:val="20"/>
                <w:lang w:val="es-419"/>
              </w:rPr>
            </w:pPr>
            <w:r w:rsidRPr="00440A3F">
              <w:rPr>
                <w:rFonts w:ascii="Arial" w:hAnsi="Arial" w:cs="Arial"/>
                <w:sz w:val="20"/>
                <w:szCs w:val="20"/>
                <w:lang w:val="es-419"/>
              </w:rPr>
              <w:t>4</w:t>
            </w:r>
            <w:r w:rsidR="00D00697">
              <w:rPr>
                <w:rFonts w:ascii="Arial" w:hAnsi="Arial" w:cs="Arial"/>
                <w:sz w:val="20"/>
                <w:szCs w:val="20"/>
                <w:lang w:val="es-419"/>
              </w:rPr>
              <w:t>0</w:t>
            </w:r>
            <w:r w:rsidRPr="00440A3F">
              <w:rPr>
                <w:rFonts w:ascii="Arial" w:hAnsi="Arial" w:cs="Arial"/>
                <w:sz w:val="20"/>
                <w:szCs w:val="20"/>
                <w:lang w:val="es-419"/>
              </w:rPr>
              <w:t>.000.00</w:t>
            </w:r>
          </w:p>
        </w:tc>
      </w:tr>
      <w:tr w:rsidR="00440A3F" w:rsidRPr="00440A3F" w14:paraId="6736F939" w14:textId="77777777" w:rsidTr="0033512D">
        <w:tblPrEx>
          <w:jc w:val="left"/>
        </w:tblPrEx>
        <w:tc>
          <w:tcPr>
            <w:tcW w:w="6475" w:type="dxa"/>
          </w:tcPr>
          <w:p w14:paraId="570CA2DF" w14:textId="77777777"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11. Diagnóstico del estado de la red</w:t>
            </w:r>
          </w:p>
        </w:tc>
        <w:tc>
          <w:tcPr>
            <w:tcW w:w="2070" w:type="dxa"/>
          </w:tcPr>
          <w:p w14:paraId="1AD136FB" w14:textId="2AA4B490" w:rsidR="00440A3F" w:rsidRPr="00440A3F" w:rsidRDefault="00440A3F" w:rsidP="00440A3F">
            <w:pPr>
              <w:spacing w:before="40" w:after="40"/>
              <w:ind w:left="123"/>
              <w:jc w:val="right"/>
              <w:rPr>
                <w:rFonts w:ascii="Arial" w:hAnsi="Arial" w:cs="Arial"/>
                <w:sz w:val="20"/>
                <w:szCs w:val="20"/>
                <w:lang w:val="es-419"/>
              </w:rPr>
            </w:pPr>
            <w:r w:rsidRPr="00440A3F">
              <w:rPr>
                <w:rFonts w:ascii="Arial" w:hAnsi="Arial" w:cs="Arial"/>
                <w:sz w:val="20"/>
                <w:szCs w:val="20"/>
                <w:lang w:val="es-419"/>
              </w:rPr>
              <w:t>4</w:t>
            </w:r>
            <w:r w:rsidR="00D00697">
              <w:rPr>
                <w:rFonts w:ascii="Arial" w:hAnsi="Arial" w:cs="Arial"/>
                <w:sz w:val="20"/>
                <w:szCs w:val="20"/>
                <w:lang w:val="es-419"/>
              </w:rPr>
              <w:t>0</w:t>
            </w:r>
            <w:r w:rsidRPr="00440A3F">
              <w:rPr>
                <w:rFonts w:ascii="Arial" w:hAnsi="Arial" w:cs="Arial"/>
                <w:sz w:val="20"/>
                <w:szCs w:val="20"/>
                <w:lang w:val="es-419"/>
              </w:rPr>
              <w:t>.000.00</w:t>
            </w:r>
          </w:p>
        </w:tc>
      </w:tr>
      <w:tr w:rsidR="00440A3F" w:rsidRPr="00440A3F" w14:paraId="3707197E" w14:textId="77777777" w:rsidTr="0033512D">
        <w:tblPrEx>
          <w:jc w:val="left"/>
        </w:tblPrEx>
        <w:tc>
          <w:tcPr>
            <w:tcW w:w="6475" w:type="dxa"/>
          </w:tcPr>
          <w:p w14:paraId="4303E8D5" w14:textId="77777777" w:rsidR="00440A3F" w:rsidRPr="00440A3F" w:rsidRDefault="00440A3F" w:rsidP="00440A3F">
            <w:pPr>
              <w:spacing w:before="40" w:after="40"/>
              <w:ind w:left="72"/>
              <w:rPr>
                <w:rFonts w:ascii="Arial" w:hAnsi="Arial" w:cs="Arial"/>
                <w:sz w:val="20"/>
                <w:szCs w:val="20"/>
                <w:lang w:val="es-419"/>
              </w:rPr>
            </w:pPr>
            <w:r w:rsidRPr="00440A3F">
              <w:rPr>
                <w:rFonts w:ascii="Arial" w:hAnsi="Arial" w:cs="Arial"/>
                <w:sz w:val="20"/>
                <w:szCs w:val="20"/>
                <w:lang w:val="es-419"/>
              </w:rPr>
              <w:t>12. Diseño de un plan de acción para el trabajo inmediato</w:t>
            </w:r>
          </w:p>
        </w:tc>
        <w:tc>
          <w:tcPr>
            <w:tcW w:w="2070" w:type="dxa"/>
          </w:tcPr>
          <w:p w14:paraId="08080727" w14:textId="77777777" w:rsidR="00440A3F" w:rsidRPr="00440A3F" w:rsidRDefault="00440A3F" w:rsidP="00440A3F">
            <w:pPr>
              <w:spacing w:before="40" w:after="40"/>
              <w:ind w:left="123"/>
              <w:jc w:val="right"/>
              <w:rPr>
                <w:rFonts w:ascii="Arial" w:hAnsi="Arial" w:cs="Arial"/>
                <w:sz w:val="20"/>
                <w:szCs w:val="20"/>
                <w:lang w:val="es-419"/>
              </w:rPr>
            </w:pPr>
            <w:r w:rsidRPr="00440A3F">
              <w:rPr>
                <w:rFonts w:ascii="Arial" w:hAnsi="Arial" w:cs="Arial"/>
                <w:sz w:val="20"/>
                <w:szCs w:val="20"/>
                <w:lang w:val="es-419"/>
              </w:rPr>
              <w:t>30.000.00</w:t>
            </w:r>
          </w:p>
        </w:tc>
      </w:tr>
      <w:tr w:rsidR="00440A3F" w:rsidRPr="00440A3F" w14:paraId="56547C87" w14:textId="77777777" w:rsidTr="00AF2695">
        <w:tblPrEx>
          <w:jc w:val="left"/>
        </w:tblPrEx>
        <w:tc>
          <w:tcPr>
            <w:tcW w:w="6475" w:type="dxa"/>
            <w:shd w:val="clear" w:color="auto" w:fill="8DB3E2" w:themeFill="text2" w:themeFillTint="66"/>
          </w:tcPr>
          <w:p w14:paraId="2669C4B3" w14:textId="77777777" w:rsidR="00440A3F" w:rsidRPr="00440A3F" w:rsidRDefault="00440A3F" w:rsidP="00440A3F">
            <w:pPr>
              <w:ind w:left="360"/>
              <w:rPr>
                <w:rFonts w:ascii="Arial" w:hAnsi="Arial" w:cs="Arial"/>
                <w:b/>
                <w:sz w:val="20"/>
                <w:szCs w:val="20"/>
                <w:lang w:val="es-419"/>
              </w:rPr>
            </w:pPr>
            <w:r w:rsidRPr="00440A3F">
              <w:rPr>
                <w:rFonts w:ascii="Arial" w:hAnsi="Arial" w:cs="Arial"/>
                <w:b/>
                <w:sz w:val="20"/>
                <w:szCs w:val="20"/>
                <w:lang w:val="es-419"/>
              </w:rPr>
              <w:t>Subtotal</w:t>
            </w:r>
          </w:p>
        </w:tc>
        <w:tc>
          <w:tcPr>
            <w:tcW w:w="2070" w:type="dxa"/>
            <w:shd w:val="clear" w:color="auto" w:fill="8DB3E2" w:themeFill="text2" w:themeFillTint="66"/>
          </w:tcPr>
          <w:p w14:paraId="42ABDD45" w14:textId="77777777" w:rsidR="00440A3F" w:rsidRPr="00440A3F" w:rsidRDefault="00440A3F" w:rsidP="00440A3F">
            <w:pPr>
              <w:jc w:val="right"/>
              <w:rPr>
                <w:rFonts w:ascii="Arial" w:hAnsi="Arial" w:cs="Arial"/>
                <w:sz w:val="20"/>
                <w:szCs w:val="20"/>
                <w:lang w:val="es-419"/>
              </w:rPr>
            </w:pPr>
            <w:r w:rsidRPr="00440A3F">
              <w:rPr>
                <w:rFonts w:ascii="Arial" w:hAnsi="Arial" w:cs="Arial"/>
                <w:b/>
                <w:sz w:val="20"/>
                <w:szCs w:val="20"/>
                <w:lang w:val="es-419"/>
              </w:rPr>
              <w:t>200.000.00</w:t>
            </w:r>
          </w:p>
        </w:tc>
      </w:tr>
      <w:tr w:rsidR="00440A3F" w:rsidRPr="00440A3F" w14:paraId="52B7D43B" w14:textId="77777777" w:rsidTr="00AF2695">
        <w:tblPrEx>
          <w:jc w:val="left"/>
        </w:tblPrEx>
        <w:tc>
          <w:tcPr>
            <w:tcW w:w="6475" w:type="dxa"/>
            <w:shd w:val="clear" w:color="auto" w:fill="8DB3E2" w:themeFill="text2" w:themeFillTint="66"/>
          </w:tcPr>
          <w:p w14:paraId="023A266E" w14:textId="77777777" w:rsidR="00440A3F" w:rsidRPr="00440A3F" w:rsidRDefault="00440A3F" w:rsidP="00440A3F">
            <w:pPr>
              <w:ind w:left="360"/>
              <w:rPr>
                <w:rFonts w:ascii="Arial" w:hAnsi="Arial" w:cs="Arial"/>
                <w:b/>
                <w:sz w:val="20"/>
                <w:szCs w:val="20"/>
                <w:lang w:val="es-419"/>
              </w:rPr>
            </w:pPr>
            <w:r w:rsidRPr="00440A3F">
              <w:rPr>
                <w:rFonts w:ascii="Arial" w:hAnsi="Arial" w:cs="Arial"/>
                <w:b/>
                <w:sz w:val="20"/>
                <w:szCs w:val="20"/>
                <w:lang w:val="es-419"/>
              </w:rPr>
              <w:t>Total</w:t>
            </w:r>
          </w:p>
        </w:tc>
        <w:tc>
          <w:tcPr>
            <w:tcW w:w="2070" w:type="dxa"/>
            <w:shd w:val="clear" w:color="auto" w:fill="8DB3E2" w:themeFill="text2" w:themeFillTint="66"/>
          </w:tcPr>
          <w:p w14:paraId="0BE10635" w14:textId="77777777" w:rsidR="00440A3F" w:rsidRPr="00440A3F" w:rsidRDefault="00440A3F" w:rsidP="00440A3F">
            <w:pPr>
              <w:jc w:val="right"/>
              <w:rPr>
                <w:rFonts w:ascii="Arial" w:hAnsi="Arial" w:cs="Arial"/>
                <w:sz w:val="20"/>
                <w:szCs w:val="20"/>
                <w:lang w:val="es-419"/>
              </w:rPr>
            </w:pPr>
            <w:r w:rsidRPr="00440A3F">
              <w:rPr>
                <w:rFonts w:ascii="Arial" w:hAnsi="Arial" w:cs="Arial"/>
                <w:b/>
                <w:sz w:val="20"/>
                <w:szCs w:val="20"/>
                <w:lang w:val="es-419"/>
              </w:rPr>
              <w:t>600.000.00</w:t>
            </w:r>
          </w:p>
        </w:tc>
      </w:tr>
    </w:tbl>
    <w:p w14:paraId="1CCB449E" w14:textId="77777777" w:rsidR="00367BD3" w:rsidRPr="00367BD3" w:rsidRDefault="5CCB81BE" w:rsidP="008E0960">
      <w:pPr>
        <w:pStyle w:val="ListParagraph"/>
        <w:numPr>
          <w:ilvl w:val="0"/>
          <w:numId w:val="5"/>
        </w:numPr>
        <w:spacing w:before="120" w:after="120" w:line="240" w:lineRule="auto"/>
        <w:contextualSpacing w:val="0"/>
        <w:jc w:val="both"/>
        <w:rPr>
          <w:rFonts w:ascii="Arial" w:eastAsia="Arial" w:hAnsi="Arial" w:cs="Arial"/>
          <w:lang w:val="es-ES"/>
        </w:rPr>
      </w:pPr>
      <w:r w:rsidRPr="00367BD3">
        <w:rPr>
          <w:rFonts w:ascii="Arial" w:eastAsia="Arial" w:hAnsi="Arial" w:cs="Arial"/>
          <w:b/>
          <w:bCs/>
          <w:lang w:val="es-ES"/>
        </w:rPr>
        <w:lastRenderedPageBreak/>
        <w:t xml:space="preserve">Agencia Ejecutora y estructura de ejecución </w:t>
      </w:r>
    </w:p>
    <w:p w14:paraId="2D63B6C1" w14:textId="20D4BFB5" w:rsidR="009219CA" w:rsidRPr="00367BD3" w:rsidRDefault="009219CA" w:rsidP="002F4075">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367BD3">
        <w:rPr>
          <w:rFonts w:ascii="Arial" w:eastAsia="Arial" w:hAnsi="Arial" w:cs="Arial"/>
          <w:lang w:val="es-ES"/>
        </w:rPr>
        <w:t xml:space="preserve">El Organismo Ejecutor será el Banco, a través de la División de Agua y Saneamiento (INE/WSA). INE/WSA, en coordinación con los especialistas </w:t>
      </w:r>
      <w:r w:rsidR="00367BD3" w:rsidRPr="00367BD3">
        <w:rPr>
          <w:rFonts w:ascii="Arial" w:eastAsia="Arial" w:hAnsi="Arial" w:cs="Arial"/>
          <w:lang w:val="es-ES"/>
        </w:rPr>
        <w:t>la División de Energía (INE/ENE) y la División de Transporte (INE/TSP)</w:t>
      </w:r>
      <w:r w:rsidRPr="00367BD3">
        <w:rPr>
          <w:rFonts w:ascii="Arial" w:eastAsia="Arial" w:hAnsi="Arial" w:cs="Arial"/>
          <w:lang w:val="es-ES"/>
        </w:rPr>
        <w:t>, serán responsables por la administración, la planificación, el control y la supervisión de los recursos financieros asignados, así como todas aquellas actividades relacionadas con la adecuada preparación y programación de la operación.</w:t>
      </w:r>
    </w:p>
    <w:p w14:paraId="6566DB42" w14:textId="20790391" w:rsidR="009219CA" w:rsidRPr="009219CA" w:rsidRDefault="00585EC6" w:rsidP="002F4075">
      <w:pPr>
        <w:pStyle w:val="ListParagraph"/>
        <w:numPr>
          <w:ilvl w:val="1"/>
          <w:numId w:val="5"/>
        </w:numPr>
        <w:spacing w:before="120" w:after="120" w:line="240" w:lineRule="auto"/>
        <w:ind w:left="360" w:hanging="540"/>
        <w:contextualSpacing w:val="0"/>
        <w:jc w:val="both"/>
        <w:rPr>
          <w:rFonts w:ascii="Arial" w:eastAsia="Arial" w:hAnsi="Arial" w:cs="Arial"/>
          <w:lang w:val="es-ES"/>
        </w:rPr>
      </w:pPr>
      <w:bookmarkStart w:id="4" w:name="_Hlk9241623"/>
      <w:r>
        <w:rPr>
          <w:rFonts w:ascii="Arial" w:eastAsia="Arial" w:hAnsi="Arial" w:cs="Arial"/>
          <w:lang w:val="es-ES"/>
        </w:rPr>
        <w:t xml:space="preserve">De conformidad con el documento Directrices Operativas para Productos de Cooperación Técnica (GN-2629-1), Apéndice 10, al ser esta </w:t>
      </w:r>
      <w:r w:rsidR="007048D3">
        <w:rPr>
          <w:rFonts w:ascii="Arial" w:eastAsia="Arial" w:hAnsi="Arial" w:cs="Arial"/>
          <w:lang w:val="es-ES"/>
        </w:rPr>
        <w:t>CT</w:t>
      </w:r>
      <w:r>
        <w:rPr>
          <w:rFonts w:ascii="Arial" w:eastAsia="Arial" w:hAnsi="Arial" w:cs="Arial"/>
          <w:lang w:val="es-ES"/>
        </w:rPr>
        <w:t xml:space="preserve"> de iniciativa del Banco bajo la taxonomía investigación y conocimiento, el Banco será el Organismo Ejecutor</w:t>
      </w:r>
      <w:r w:rsidR="009219CA" w:rsidRPr="009219CA">
        <w:rPr>
          <w:rFonts w:ascii="Arial" w:eastAsia="Arial" w:hAnsi="Arial" w:cs="Arial"/>
          <w:lang w:val="es-ES"/>
        </w:rPr>
        <w:t xml:space="preserve">.    </w:t>
      </w:r>
    </w:p>
    <w:bookmarkEnd w:id="4"/>
    <w:p w14:paraId="490CB023" w14:textId="540E8F5E" w:rsidR="009219CA" w:rsidRPr="009219CA" w:rsidRDefault="009219CA" w:rsidP="002F4075">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9219CA">
        <w:rPr>
          <w:rFonts w:ascii="Arial" w:eastAsia="Arial" w:hAnsi="Arial" w:cs="Arial"/>
          <w:lang w:val="es-ES"/>
        </w:rPr>
        <w:t xml:space="preserve">El Banco contratará consultores individuales y firmas consultoras, de acuerdo con las políticas y procedimientos de adquisiciones vigentes del Banco. Para la contratación de firmas consultoras se aplicarán las políticas de selección de consultores </w:t>
      </w:r>
      <w:r w:rsidR="003C70DB">
        <w:rPr>
          <w:rFonts w:ascii="Arial" w:eastAsia="Arial" w:hAnsi="Arial" w:cs="Arial"/>
          <w:lang w:val="es-ES"/>
        </w:rPr>
        <w:br/>
      </w:r>
      <w:r w:rsidRPr="009219CA">
        <w:rPr>
          <w:rFonts w:ascii="Arial" w:eastAsia="Arial" w:hAnsi="Arial" w:cs="Arial"/>
          <w:lang w:val="es-ES"/>
        </w:rPr>
        <w:t>(GN-2765-1) y las guías operativas (OP-1155-4), para las contrataciones de consultores individuales las normas de recursos humanos (AM-650) y para los gastos relacionados a servicios distintos de consultoría, las políticas de adquisiciones corporativas (GN-2303-20). Las adquisiciones deberán reflejarse y realizarse con base a lo previsto en el Plan de Adquisiciones.</w:t>
      </w:r>
    </w:p>
    <w:p w14:paraId="4E7AAD46" w14:textId="27A0DC67" w:rsidR="0095711B" w:rsidRPr="00D97FAD" w:rsidRDefault="5CCB81BE" w:rsidP="5CCB81BE">
      <w:pPr>
        <w:pStyle w:val="ListParagraph"/>
        <w:numPr>
          <w:ilvl w:val="0"/>
          <w:numId w:val="5"/>
        </w:numPr>
        <w:spacing w:before="120" w:after="120" w:line="240" w:lineRule="auto"/>
        <w:contextualSpacing w:val="0"/>
        <w:rPr>
          <w:rFonts w:ascii="Arial" w:eastAsia="Arial" w:hAnsi="Arial" w:cs="Arial"/>
          <w:b/>
          <w:bCs/>
          <w:lang w:val="es-ES"/>
        </w:rPr>
      </w:pPr>
      <w:r w:rsidRPr="5CCB81BE">
        <w:rPr>
          <w:rFonts w:ascii="Arial" w:eastAsia="Arial" w:hAnsi="Arial" w:cs="Arial"/>
          <w:b/>
          <w:bCs/>
          <w:lang w:val="es-ES"/>
        </w:rPr>
        <w:t xml:space="preserve">Riesgos importantes </w:t>
      </w:r>
    </w:p>
    <w:p w14:paraId="26AABCA5" w14:textId="4D9EE755" w:rsidR="00367BD3" w:rsidRPr="00367BD3" w:rsidRDefault="00367BD3" w:rsidP="003775D7">
      <w:pPr>
        <w:pStyle w:val="ListParagraph"/>
        <w:numPr>
          <w:ilvl w:val="1"/>
          <w:numId w:val="5"/>
        </w:numPr>
        <w:spacing w:before="120" w:after="120" w:line="240" w:lineRule="auto"/>
        <w:ind w:left="360" w:hanging="540"/>
        <w:contextualSpacing w:val="0"/>
        <w:jc w:val="both"/>
        <w:rPr>
          <w:rFonts w:ascii="Arial" w:eastAsia="Arial" w:hAnsi="Arial" w:cs="Arial"/>
          <w:lang w:val="es-ES"/>
        </w:rPr>
      </w:pPr>
      <w:r w:rsidRPr="00367BD3">
        <w:rPr>
          <w:rFonts w:ascii="Arial" w:eastAsia="Arial" w:hAnsi="Arial" w:cs="Arial"/>
          <w:lang w:val="es-ES"/>
        </w:rPr>
        <w:t xml:space="preserve">En general, la experiencia hasta la fecha ha demostrado que llegar a un acuerdo sobre la estrategia general </w:t>
      </w:r>
      <w:r w:rsidR="00733BCF">
        <w:rPr>
          <w:rFonts w:ascii="Arial" w:eastAsia="Arial" w:hAnsi="Arial" w:cs="Arial"/>
          <w:lang w:val="es-ES"/>
        </w:rPr>
        <w:t xml:space="preserve">a </w:t>
      </w:r>
      <w:r w:rsidR="00733BCF" w:rsidRPr="00367BD3">
        <w:rPr>
          <w:rFonts w:ascii="Arial" w:eastAsia="Arial" w:hAnsi="Arial" w:cs="Arial"/>
          <w:lang w:val="es-ES"/>
        </w:rPr>
        <w:t xml:space="preserve">implementarse y las acciones específicas a seguir </w:t>
      </w:r>
      <w:r w:rsidRPr="00367BD3">
        <w:rPr>
          <w:rFonts w:ascii="Arial" w:eastAsia="Arial" w:hAnsi="Arial" w:cs="Arial"/>
          <w:lang w:val="es-ES"/>
        </w:rPr>
        <w:t>de</w:t>
      </w:r>
      <w:r>
        <w:rPr>
          <w:rFonts w:ascii="Arial" w:eastAsia="Arial" w:hAnsi="Arial" w:cs="Arial"/>
          <w:lang w:val="es-ES"/>
        </w:rPr>
        <w:t xml:space="preserve"> un</w:t>
      </w:r>
      <w:r w:rsidRPr="00367BD3">
        <w:rPr>
          <w:rFonts w:ascii="Arial" w:eastAsia="Arial" w:hAnsi="Arial" w:cs="Arial"/>
          <w:lang w:val="es-ES"/>
        </w:rPr>
        <w:t xml:space="preserve"> sector es más difícil que</w:t>
      </w:r>
      <w:r w:rsidR="00733BCF">
        <w:rPr>
          <w:rFonts w:ascii="Arial" w:eastAsia="Arial" w:hAnsi="Arial" w:cs="Arial"/>
          <w:lang w:val="es-ES"/>
        </w:rPr>
        <w:t xml:space="preserve"> la realización de</w:t>
      </w:r>
      <w:r w:rsidRPr="00367BD3">
        <w:rPr>
          <w:rFonts w:ascii="Arial" w:eastAsia="Arial" w:hAnsi="Arial" w:cs="Arial"/>
          <w:lang w:val="es-ES"/>
        </w:rPr>
        <w:t xml:space="preserve"> los diagnósticos sectoriales. Esto se debe a factores como: la incapacidad de las autoridades para alcanzar un consenso interno; conflictos no resueltos entre partes interesadas; la necesidad de intervenciones importantes para las cuales el gobierno no cuenta con el apoyo político necesario; falta de gobernabilidad necesaria para la correcta toma de decisiones. Una de las principales lecciones aprendidas es la importancia de asegurar el acuerdo entre las autoridades del sector y de informar debidamente a los tomadores de decisiones clave, incluidos aquellos que se encuentran fuera del sector. </w:t>
      </w:r>
      <w:r w:rsidR="00733BCF">
        <w:rPr>
          <w:rFonts w:ascii="Arial" w:eastAsia="Arial" w:hAnsi="Arial" w:cs="Arial"/>
          <w:lang w:val="es-ES"/>
        </w:rPr>
        <w:t>En este sentido</w:t>
      </w:r>
      <w:r w:rsidRPr="00367BD3">
        <w:rPr>
          <w:rFonts w:ascii="Arial" w:eastAsia="Arial" w:hAnsi="Arial" w:cs="Arial"/>
          <w:lang w:val="es-ES"/>
        </w:rPr>
        <w:t xml:space="preserve">, </w:t>
      </w:r>
      <w:r w:rsidR="00733BCF">
        <w:rPr>
          <w:rFonts w:ascii="Arial" w:eastAsia="Arial" w:hAnsi="Arial" w:cs="Arial"/>
          <w:lang w:val="es-ES"/>
        </w:rPr>
        <w:t>la</w:t>
      </w:r>
      <w:r w:rsidRPr="00367BD3">
        <w:rPr>
          <w:rFonts w:ascii="Arial" w:eastAsia="Arial" w:hAnsi="Arial" w:cs="Arial"/>
          <w:lang w:val="es-ES"/>
        </w:rPr>
        <w:t xml:space="preserve"> </w:t>
      </w:r>
      <w:r w:rsidR="007048D3">
        <w:rPr>
          <w:rFonts w:ascii="Arial" w:eastAsia="Arial" w:hAnsi="Arial" w:cs="Arial"/>
          <w:lang w:val="es-ES"/>
        </w:rPr>
        <w:t>CT</w:t>
      </w:r>
      <w:r w:rsidR="007048D3" w:rsidRPr="00367BD3">
        <w:rPr>
          <w:rFonts w:ascii="Arial" w:eastAsia="Arial" w:hAnsi="Arial" w:cs="Arial"/>
          <w:lang w:val="es-ES"/>
        </w:rPr>
        <w:t xml:space="preserve"> </w:t>
      </w:r>
      <w:r w:rsidRPr="00367BD3">
        <w:rPr>
          <w:rFonts w:ascii="Arial" w:eastAsia="Arial" w:hAnsi="Arial" w:cs="Arial"/>
          <w:lang w:val="es-ES"/>
        </w:rPr>
        <w:t xml:space="preserve">promoverá la supervisión periódica del progreso de </w:t>
      </w:r>
      <w:r w:rsidR="00733BCF">
        <w:rPr>
          <w:rFonts w:ascii="Arial" w:eastAsia="Arial" w:hAnsi="Arial" w:cs="Arial"/>
          <w:lang w:val="es-ES"/>
        </w:rPr>
        <w:t>los diagnósticos y planes de acción</w:t>
      </w:r>
      <w:r w:rsidRPr="00367BD3">
        <w:rPr>
          <w:rFonts w:ascii="Arial" w:eastAsia="Arial" w:hAnsi="Arial" w:cs="Arial"/>
          <w:lang w:val="es-ES"/>
        </w:rPr>
        <w:t xml:space="preserve"> por parte de las autoridades clave del sector, para que </w:t>
      </w:r>
      <w:r w:rsidR="00733BCF">
        <w:rPr>
          <w:rFonts w:ascii="Arial" w:eastAsia="Arial" w:hAnsi="Arial" w:cs="Arial"/>
          <w:lang w:val="es-ES"/>
        </w:rPr>
        <w:t xml:space="preserve">los planes de acción puedan implementarse </w:t>
      </w:r>
      <w:r w:rsidRPr="00367BD3">
        <w:rPr>
          <w:rFonts w:ascii="Arial" w:eastAsia="Arial" w:hAnsi="Arial" w:cs="Arial"/>
          <w:lang w:val="es-ES"/>
        </w:rPr>
        <w:t>de manera duradera y sostenible.</w:t>
      </w:r>
    </w:p>
    <w:p w14:paraId="7F13C673" w14:textId="235562F8" w:rsidR="00367BD3" w:rsidRPr="00367BD3" w:rsidRDefault="00367BD3" w:rsidP="003775D7">
      <w:pPr>
        <w:pStyle w:val="ListParagraph"/>
        <w:numPr>
          <w:ilvl w:val="1"/>
          <w:numId w:val="5"/>
        </w:numPr>
        <w:spacing w:before="120" w:after="120" w:line="240" w:lineRule="auto"/>
        <w:ind w:left="360" w:hanging="540"/>
        <w:contextualSpacing w:val="0"/>
        <w:jc w:val="both"/>
        <w:rPr>
          <w:rFonts w:ascii="Arial" w:eastAsia="Arial" w:hAnsi="Arial" w:cs="Arial"/>
          <w:lang w:val="es-ES_tradnl"/>
        </w:rPr>
      </w:pPr>
      <w:r w:rsidRPr="00367BD3">
        <w:rPr>
          <w:rFonts w:ascii="Arial" w:eastAsia="Arial" w:hAnsi="Arial" w:cs="Arial"/>
          <w:lang w:val="es-ES"/>
        </w:rPr>
        <w:t>Un riesgo secundario</w:t>
      </w:r>
      <w:r w:rsidR="00733BCF">
        <w:rPr>
          <w:rFonts w:ascii="Arial" w:eastAsia="Arial" w:hAnsi="Arial" w:cs="Arial"/>
          <w:lang w:val="es-ES"/>
        </w:rPr>
        <w:t xml:space="preserve"> identificado </w:t>
      </w:r>
      <w:r w:rsidRPr="00367BD3">
        <w:rPr>
          <w:rFonts w:ascii="Arial" w:eastAsia="Arial" w:hAnsi="Arial" w:cs="Arial"/>
          <w:lang w:val="es-ES"/>
        </w:rPr>
        <w:t xml:space="preserve">ha sido la dificultad de seleccionar a los consultores adecuados para realizar este tipo de trabajo, que requiere no solo conocimientos técnicos, sino también un buen sentido de la política involucrada, y la capacidad de atraer y atraer la atención de los principales interesados. En este momento, el Banco cuenta con un número adecuado de consultores que han proporcionado buenos resultados en estudios anteriores. Gracias al proceso de aprendizaje a lo largo de los años, el Banco tiene Términos de </w:t>
      </w:r>
      <w:r w:rsidR="00733BCF">
        <w:rPr>
          <w:rFonts w:ascii="Arial" w:eastAsia="Arial" w:hAnsi="Arial" w:cs="Arial"/>
          <w:lang w:val="es-ES"/>
        </w:rPr>
        <w:t>R</w:t>
      </w:r>
      <w:r w:rsidRPr="00367BD3">
        <w:rPr>
          <w:rFonts w:ascii="Arial" w:eastAsia="Arial" w:hAnsi="Arial" w:cs="Arial"/>
          <w:lang w:val="es-ES"/>
        </w:rPr>
        <w:t>eferencia de estudios anteriores que servirán de base para una definición clara de los objetivos y el alcance del trabajo.</w:t>
      </w:r>
    </w:p>
    <w:p w14:paraId="711E18E4" w14:textId="77777777" w:rsidR="0095711B" w:rsidRPr="00D97FAD" w:rsidRDefault="5CCB81BE" w:rsidP="5CCB81BE">
      <w:pPr>
        <w:pStyle w:val="ListParagraph"/>
        <w:numPr>
          <w:ilvl w:val="0"/>
          <w:numId w:val="5"/>
        </w:numPr>
        <w:spacing w:before="120" w:after="120" w:line="240" w:lineRule="auto"/>
        <w:contextualSpacing w:val="0"/>
        <w:rPr>
          <w:rFonts w:ascii="Arial" w:eastAsia="Arial" w:hAnsi="Arial" w:cs="Arial"/>
          <w:b/>
          <w:bCs/>
          <w:lang w:val="es-ES"/>
        </w:rPr>
      </w:pPr>
      <w:r w:rsidRPr="5CCB81BE">
        <w:rPr>
          <w:rFonts w:ascii="Arial" w:eastAsia="Arial" w:hAnsi="Arial" w:cs="Arial"/>
          <w:b/>
          <w:bCs/>
          <w:lang w:val="es-ES"/>
        </w:rPr>
        <w:t xml:space="preserve">Salvaguardias Ambientales </w:t>
      </w:r>
    </w:p>
    <w:p w14:paraId="22013533" w14:textId="641D8E14" w:rsidR="000F2091" w:rsidRPr="002F4075" w:rsidRDefault="00AF2695" w:rsidP="002F4075">
      <w:pPr>
        <w:pStyle w:val="ListParagraph"/>
        <w:numPr>
          <w:ilvl w:val="1"/>
          <w:numId w:val="5"/>
        </w:numPr>
        <w:spacing w:before="120" w:after="120" w:line="240" w:lineRule="auto"/>
        <w:ind w:left="360" w:hanging="540"/>
        <w:contextualSpacing w:val="0"/>
        <w:jc w:val="both"/>
        <w:rPr>
          <w:rFonts w:ascii="Arial" w:eastAsia="Arial" w:hAnsi="Arial" w:cs="Arial"/>
          <w:b/>
          <w:bCs/>
          <w:lang w:val="es-ES"/>
        </w:rPr>
      </w:pPr>
      <w:r w:rsidRPr="00AF2695">
        <w:rPr>
          <w:rFonts w:ascii="Arial" w:eastAsia="Arial" w:hAnsi="Arial" w:cs="Arial"/>
          <w:lang w:val="es-ES"/>
        </w:rPr>
        <w:t xml:space="preserve">Los componentes financiados por esta </w:t>
      </w:r>
      <w:r w:rsidR="007048D3">
        <w:rPr>
          <w:rFonts w:ascii="Arial" w:eastAsia="Arial" w:hAnsi="Arial" w:cs="Arial"/>
          <w:lang w:val="es-ES"/>
        </w:rPr>
        <w:t>CT</w:t>
      </w:r>
      <w:r w:rsidRPr="00AF2695">
        <w:rPr>
          <w:rFonts w:ascii="Arial" w:eastAsia="Arial" w:hAnsi="Arial" w:cs="Arial"/>
          <w:lang w:val="es-ES"/>
        </w:rPr>
        <w:t xml:space="preserve"> no tendrán impactos ambientales y sociales negativos, por lo que la categoría de clasificación ambiental y social es “C”, de acuerdo con la Política Ambiental del Banco</w:t>
      </w:r>
      <w:r w:rsidR="002F4075">
        <w:rPr>
          <w:rFonts w:ascii="Arial" w:eastAsia="Arial" w:hAnsi="Arial" w:cs="Arial"/>
          <w:lang w:val="es-ES"/>
        </w:rPr>
        <w:t>.</w:t>
      </w:r>
      <w:r w:rsidR="002F4075">
        <w:rPr>
          <w:rFonts w:ascii="Arial" w:eastAsia="Arial" w:hAnsi="Arial" w:cs="Arial"/>
          <w:b/>
          <w:bCs/>
          <w:lang w:val="es-ES"/>
        </w:rPr>
        <w:t xml:space="preserve"> </w:t>
      </w:r>
    </w:p>
    <w:sectPr w:rsidR="000F2091" w:rsidRPr="002F4075" w:rsidSect="007842D4">
      <w:headerReference w:type="default" r:id="rId13"/>
      <w:footerReference w:type="default" r:id="rId14"/>
      <w:pgSz w:w="12240" w:h="15840"/>
      <w:pgMar w:top="1530" w:right="1800" w:bottom="13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C4D4D" w14:textId="77777777" w:rsidR="00B95BC9" w:rsidRDefault="00B95BC9" w:rsidP="0095711B">
      <w:pPr>
        <w:spacing w:after="0" w:line="240" w:lineRule="auto"/>
      </w:pPr>
      <w:r>
        <w:separator/>
      </w:r>
    </w:p>
  </w:endnote>
  <w:endnote w:type="continuationSeparator" w:id="0">
    <w:p w14:paraId="1477E7A1" w14:textId="77777777" w:rsidR="00B95BC9" w:rsidRDefault="00B95BC9"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71BC" w14:textId="77777777" w:rsidR="009F3CA2" w:rsidRDefault="009F3CA2">
    <w:pPr>
      <w:pStyle w:val="Footer"/>
      <w:jc w:val="center"/>
    </w:pPr>
  </w:p>
  <w:p w14:paraId="144A5D23"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B228B" w14:textId="77777777" w:rsidR="00B95BC9" w:rsidRDefault="00B95BC9" w:rsidP="0095711B">
      <w:pPr>
        <w:spacing w:after="0" w:line="240" w:lineRule="auto"/>
      </w:pPr>
      <w:r>
        <w:separator/>
      </w:r>
    </w:p>
  </w:footnote>
  <w:footnote w:type="continuationSeparator" w:id="0">
    <w:p w14:paraId="0E943A93" w14:textId="77777777" w:rsidR="00B95BC9" w:rsidRDefault="00B95BC9" w:rsidP="0095711B">
      <w:pPr>
        <w:spacing w:after="0" w:line="240" w:lineRule="auto"/>
      </w:pPr>
      <w:r>
        <w:continuationSeparator/>
      </w:r>
    </w:p>
  </w:footnote>
  <w:footnote w:id="1">
    <w:p w14:paraId="2DB391DB" w14:textId="55AF0CAD" w:rsidR="009F74E7" w:rsidRPr="007842D4" w:rsidRDefault="00EE0BDA" w:rsidP="007842D4">
      <w:pPr>
        <w:pStyle w:val="FootnoteText"/>
        <w:ind w:left="270" w:hanging="270"/>
        <w:jc w:val="both"/>
        <w:rPr>
          <w:rFonts w:ascii="Arial" w:hAnsi="Arial" w:cs="Arial"/>
          <w:sz w:val="18"/>
          <w:szCs w:val="18"/>
          <w:lang w:val="es-ES_tradnl"/>
        </w:rPr>
      </w:pPr>
      <w:r w:rsidRPr="007842D4">
        <w:rPr>
          <w:rStyle w:val="FootnoteReference"/>
          <w:rFonts w:ascii="Arial" w:hAnsi="Arial" w:cs="Arial"/>
          <w:sz w:val="18"/>
          <w:szCs w:val="18"/>
        </w:rPr>
        <w:footnoteRef/>
      </w:r>
      <w:r w:rsidRPr="007842D4">
        <w:rPr>
          <w:rFonts w:ascii="Arial" w:hAnsi="Arial" w:cs="Arial"/>
          <w:sz w:val="18"/>
          <w:szCs w:val="18"/>
          <w:lang w:val="es-ES_tradnl"/>
        </w:rPr>
        <w:t xml:space="preserve"> </w:t>
      </w:r>
      <w:r w:rsidR="007842D4">
        <w:rPr>
          <w:rFonts w:ascii="Arial" w:hAnsi="Arial" w:cs="Arial"/>
          <w:sz w:val="18"/>
          <w:szCs w:val="18"/>
          <w:lang w:val="es-ES_tradnl"/>
        </w:rPr>
        <w:tab/>
      </w:r>
      <w:r w:rsidRPr="007842D4">
        <w:rPr>
          <w:rFonts w:ascii="Arial" w:hAnsi="Arial" w:cs="Arial"/>
          <w:bCs/>
          <w:sz w:val="18"/>
          <w:szCs w:val="18"/>
          <w:lang w:val="es-ES_tradnl"/>
        </w:rPr>
        <w:t>La Alianza Global de Partenariados entre Operadores de Agua</w:t>
      </w:r>
      <w:r w:rsidRPr="007842D4">
        <w:rPr>
          <w:rFonts w:ascii="Arial" w:hAnsi="Arial" w:cs="Arial"/>
          <w:sz w:val="18"/>
          <w:szCs w:val="18"/>
          <w:lang w:val="es-ES_tradnl"/>
        </w:rPr>
        <w:t> (GWOPA, por sus siglas en inglés) es una organización creada para promover y respaldar a los Partenariados entre Operadores de Agua (WOP, por sus siglas en inglés) a nivel mundial. </w:t>
      </w:r>
      <w:r w:rsidR="009F74E7" w:rsidRPr="007842D4">
        <w:rPr>
          <w:rFonts w:ascii="Arial" w:hAnsi="Arial" w:cs="Arial"/>
          <w:sz w:val="18"/>
          <w:szCs w:val="18"/>
          <w:lang w:val="es-ES"/>
        </w:rPr>
        <w:t>WOP-LAC es la plataforma regional para WOP en América Latina y el Caribe (LAC), que facilita los WOP y reúne a operadores regionales para el intercambio de conocimientos y actividades de desarrollo de capacidades. La plataforma regional para LAC se estableció en octubre de 2007 cuando el BID recibió a la Secretaría del GWOPA.</w:t>
      </w:r>
    </w:p>
    <w:p w14:paraId="132E9D23" w14:textId="1280CF0F" w:rsidR="00EE0BDA" w:rsidRPr="00EE0BDA" w:rsidRDefault="00EE0BDA" w:rsidP="00EE0BDA">
      <w:pPr>
        <w:pStyle w:val="FootnoteText"/>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881437"/>
      <w:docPartObj>
        <w:docPartGallery w:val="Page Numbers (Top of Page)"/>
        <w:docPartUnique/>
      </w:docPartObj>
    </w:sdtPr>
    <w:sdtEndPr>
      <w:rPr>
        <w:rFonts w:ascii="Gotham Book" w:hAnsi="Gotham Book"/>
        <w:noProof/>
        <w:sz w:val="18"/>
        <w:szCs w:val="18"/>
      </w:rPr>
    </w:sdtEndPr>
    <w:sdtContent>
      <w:p w14:paraId="3FCB2BA3" w14:textId="77777777" w:rsidR="007C6B4B" w:rsidRPr="007C6B4B" w:rsidRDefault="5CCB81BE" w:rsidP="5CCB81BE">
        <w:pPr>
          <w:pStyle w:val="Header"/>
          <w:jc w:val="center"/>
          <w:rPr>
            <w:rFonts w:ascii="Gotham Book" w:eastAsia="Gotham Book" w:hAnsi="Gotham Book" w:cs="Gotham Book"/>
            <w:sz w:val="18"/>
            <w:szCs w:val="18"/>
          </w:rPr>
        </w:pPr>
        <w:r>
          <w:t>- </w:t>
        </w:r>
        <w:r w:rsidR="007C6B4B" w:rsidRPr="5CCB81BE">
          <w:rPr>
            <w:rFonts w:ascii="Gotham Book" w:eastAsia="Gotham Book" w:hAnsi="Gotham Book" w:cs="Gotham Book"/>
            <w:noProof/>
            <w:sz w:val="18"/>
            <w:szCs w:val="18"/>
          </w:rPr>
          <w:fldChar w:fldCharType="begin"/>
        </w:r>
        <w:r w:rsidR="007C6B4B" w:rsidRPr="5CCB81BE">
          <w:rPr>
            <w:rFonts w:ascii="Gotham Book" w:eastAsia="Gotham Book" w:hAnsi="Gotham Book" w:cs="Gotham Book"/>
            <w:noProof/>
            <w:sz w:val="18"/>
            <w:szCs w:val="18"/>
          </w:rPr>
          <w:instrText xml:space="preserve"> PAGE   \* MERGEFORMAT </w:instrText>
        </w:r>
        <w:r w:rsidR="007C6B4B" w:rsidRPr="5CCB81BE">
          <w:rPr>
            <w:rFonts w:ascii="Gotham Book" w:eastAsia="Gotham Book" w:hAnsi="Gotham Book" w:cs="Gotham Book"/>
            <w:noProof/>
            <w:sz w:val="18"/>
            <w:szCs w:val="18"/>
          </w:rPr>
          <w:fldChar w:fldCharType="separate"/>
        </w:r>
        <w:r w:rsidRPr="5CCB81BE">
          <w:rPr>
            <w:rFonts w:ascii="Gotham Book" w:eastAsia="Gotham Book" w:hAnsi="Gotham Book" w:cs="Gotham Book"/>
            <w:noProof/>
            <w:sz w:val="18"/>
            <w:szCs w:val="18"/>
          </w:rPr>
          <w:t>3</w:t>
        </w:r>
        <w:r w:rsidR="007C6B4B" w:rsidRPr="5CCB81BE">
          <w:rPr>
            <w:rFonts w:ascii="Gotham Book" w:eastAsia="Gotham Book" w:hAnsi="Gotham Book" w:cs="Gotham Book"/>
            <w:noProof/>
            <w:sz w:val="18"/>
            <w:szCs w:val="18"/>
          </w:rPr>
          <w:fldChar w:fldCharType="end"/>
        </w:r>
        <w:r w:rsidRPr="5CCB81BE">
          <w:rPr>
            <w:rFonts w:ascii="Gotham Book" w:eastAsia="Gotham Book" w:hAnsi="Gotham Book" w:cs="Gotham Book"/>
            <w:noProof/>
            <w:sz w:val="18"/>
            <w:szCs w:val="18"/>
          </w:rPr>
          <w:t> -</w:t>
        </w:r>
      </w:p>
    </w:sdtContent>
  </w:sdt>
  <w:p w14:paraId="738610EB" w14:textId="77777777" w:rsidR="007C6B4B" w:rsidRDefault="007C6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6015F"/>
    <w:multiLevelType w:val="hybridMultilevel"/>
    <w:tmpl w:val="4C5E3970"/>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10A8F"/>
    <w:multiLevelType w:val="hybridMultilevel"/>
    <w:tmpl w:val="92400A96"/>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DA472B"/>
    <w:multiLevelType w:val="multilevel"/>
    <w:tmpl w:val="1DC457C8"/>
    <w:lvl w:ilvl="0">
      <w:start w:val="1"/>
      <w:numFmt w:val="upperRoman"/>
      <w:lvlText w:val="%1."/>
      <w:lvlJc w:val="right"/>
      <w:pPr>
        <w:ind w:left="360" w:hanging="360"/>
      </w:pPr>
      <w:rPr>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6"/>
  </w:num>
  <w:num w:numId="5">
    <w:abstractNumId w:val="15"/>
  </w:num>
  <w:num w:numId="6">
    <w:abstractNumId w:val="5"/>
  </w:num>
  <w:num w:numId="7">
    <w:abstractNumId w:val="6"/>
  </w:num>
  <w:num w:numId="8">
    <w:abstractNumId w:val="8"/>
  </w:num>
  <w:num w:numId="9">
    <w:abstractNumId w:val="13"/>
  </w:num>
  <w:num w:numId="10">
    <w:abstractNumId w:val="14"/>
  </w:num>
  <w:num w:numId="11">
    <w:abstractNumId w:val="2"/>
  </w:num>
  <w:num w:numId="12">
    <w:abstractNumId w:val="7"/>
  </w:num>
  <w:num w:numId="13">
    <w:abstractNumId w:val="12"/>
  </w:num>
  <w:num w:numId="14">
    <w:abstractNumId w:val="1"/>
  </w:num>
  <w:num w:numId="15">
    <w:abstractNumId w:val="0"/>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17B41"/>
    <w:rsid w:val="000269F9"/>
    <w:rsid w:val="00075F42"/>
    <w:rsid w:val="00086CFF"/>
    <w:rsid w:val="000B01C4"/>
    <w:rsid w:val="000C16F9"/>
    <w:rsid w:val="000C2D7C"/>
    <w:rsid w:val="000D15D5"/>
    <w:rsid w:val="000E192F"/>
    <w:rsid w:val="000F2091"/>
    <w:rsid w:val="000F39D2"/>
    <w:rsid w:val="000F59A0"/>
    <w:rsid w:val="00102DAE"/>
    <w:rsid w:val="001153D1"/>
    <w:rsid w:val="00124040"/>
    <w:rsid w:val="001316E2"/>
    <w:rsid w:val="00154BDD"/>
    <w:rsid w:val="0017216B"/>
    <w:rsid w:val="001759EE"/>
    <w:rsid w:val="00192410"/>
    <w:rsid w:val="001C1143"/>
    <w:rsid w:val="001C18FD"/>
    <w:rsid w:val="001D3ECA"/>
    <w:rsid w:val="001E7981"/>
    <w:rsid w:val="001F41E2"/>
    <w:rsid w:val="001F5A98"/>
    <w:rsid w:val="001F7559"/>
    <w:rsid w:val="00210317"/>
    <w:rsid w:val="002150E9"/>
    <w:rsid w:val="00225B5A"/>
    <w:rsid w:val="00227B0C"/>
    <w:rsid w:val="00231773"/>
    <w:rsid w:val="0023182E"/>
    <w:rsid w:val="0023302F"/>
    <w:rsid w:val="00236249"/>
    <w:rsid w:val="00244A9D"/>
    <w:rsid w:val="00251234"/>
    <w:rsid w:val="0028127C"/>
    <w:rsid w:val="00283316"/>
    <w:rsid w:val="00285AC8"/>
    <w:rsid w:val="00287901"/>
    <w:rsid w:val="002B6F74"/>
    <w:rsid w:val="002D4B50"/>
    <w:rsid w:val="002F158B"/>
    <w:rsid w:val="002F4075"/>
    <w:rsid w:val="00302426"/>
    <w:rsid w:val="00303DDC"/>
    <w:rsid w:val="00335B4C"/>
    <w:rsid w:val="00340BC1"/>
    <w:rsid w:val="00346E79"/>
    <w:rsid w:val="00355449"/>
    <w:rsid w:val="003622D9"/>
    <w:rsid w:val="00367BD3"/>
    <w:rsid w:val="00373EDE"/>
    <w:rsid w:val="003775D7"/>
    <w:rsid w:val="003835F0"/>
    <w:rsid w:val="00395A99"/>
    <w:rsid w:val="003B0EBB"/>
    <w:rsid w:val="003C70DB"/>
    <w:rsid w:val="003D2892"/>
    <w:rsid w:val="003D609D"/>
    <w:rsid w:val="003F5F31"/>
    <w:rsid w:val="00416432"/>
    <w:rsid w:val="00417FB9"/>
    <w:rsid w:val="004258AF"/>
    <w:rsid w:val="004311D4"/>
    <w:rsid w:val="004328D1"/>
    <w:rsid w:val="00433246"/>
    <w:rsid w:val="00440A3F"/>
    <w:rsid w:val="004431AE"/>
    <w:rsid w:val="004431E4"/>
    <w:rsid w:val="0045509F"/>
    <w:rsid w:val="00466C7E"/>
    <w:rsid w:val="00482240"/>
    <w:rsid w:val="00484485"/>
    <w:rsid w:val="004979FF"/>
    <w:rsid w:val="004B377F"/>
    <w:rsid w:val="004B431E"/>
    <w:rsid w:val="004B7ABC"/>
    <w:rsid w:val="004D5823"/>
    <w:rsid w:val="004D7049"/>
    <w:rsid w:val="004E0EED"/>
    <w:rsid w:val="004F386F"/>
    <w:rsid w:val="0050104A"/>
    <w:rsid w:val="00512024"/>
    <w:rsid w:val="005140D4"/>
    <w:rsid w:val="00517D2B"/>
    <w:rsid w:val="00520F58"/>
    <w:rsid w:val="00522190"/>
    <w:rsid w:val="00531E51"/>
    <w:rsid w:val="005358DE"/>
    <w:rsid w:val="005364CE"/>
    <w:rsid w:val="00544613"/>
    <w:rsid w:val="00555B9A"/>
    <w:rsid w:val="0058137A"/>
    <w:rsid w:val="005833C9"/>
    <w:rsid w:val="00585EC6"/>
    <w:rsid w:val="00590599"/>
    <w:rsid w:val="005A1056"/>
    <w:rsid w:val="005B1F95"/>
    <w:rsid w:val="005B7CCE"/>
    <w:rsid w:val="005C6ECE"/>
    <w:rsid w:val="005D330B"/>
    <w:rsid w:val="0062725A"/>
    <w:rsid w:val="00641ED4"/>
    <w:rsid w:val="00675E7A"/>
    <w:rsid w:val="006815BB"/>
    <w:rsid w:val="006A1798"/>
    <w:rsid w:val="006C6059"/>
    <w:rsid w:val="006C6A19"/>
    <w:rsid w:val="006D2ADF"/>
    <w:rsid w:val="00702A56"/>
    <w:rsid w:val="007048D3"/>
    <w:rsid w:val="00725899"/>
    <w:rsid w:val="00733BCF"/>
    <w:rsid w:val="00746260"/>
    <w:rsid w:val="00752360"/>
    <w:rsid w:val="007842D4"/>
    <w:rsid w:val="007B0420"/>
    <w:rsid w:val="007B1DA8"/>
    <w:rsid w:val="007B500B"/>
    <w:rsid w:val="007B6B61"/>
    <w:rsid w:val="007B78E4"/>
    <w:rsid w:val="007C3374"/>
    <w:rsid w:val="007C6B4B"/>
    <w:rsid w:val="00801D9C"/>
    <w:rsid w:val="008051D5"/>
    <w:rsid w:val="008052A0"/>
    <w:rsid w:val="00807C07"/>
    <w:rsid w:val="00841608"/>
    <w:rsid w:val="00856FC9"/>
    <w:rsid w:val="00857C9D"/>
    <w:rsid w:val="00865A6F"/>
    <w:rsid w:val="0087190C"/>
    <w:rsid w:val="00871F5F"/>
    <w:rsid w:val="008739E3"/>
    <w:rsid w:val="008813B9"/>
    <w:rsid w:val="00886462"/>
    <w:rsid w:val="008902BA"/>
    <w:rsid w:val="008F4286"/>
    <w:rsid w:val="0091508A"/>
    <w:rsid w:val="00915206"/>
    <w:rsid w:val="009219CA"/>
    <w:rsid w:val="009221A9"/>
    <w:rsid w:val="00925C27"/>
    <w:rsid w:val="00933A84"/>
    <w:rsid w:val="00944D7A"/>
    <w:rsid w:val="0095122E"/>
    <w:rsid w:val="00953879"/>
    <w:rsid w:val="0095711B"/>
    <w:rsid w:val="009C5C06"/>
    <w:rsid w:val="009C6AE7"/>
    <w:rsid w:val="009E7921"/>
    <w:rsid w:val="009F33FF"/>
    <w:rsid w:val="009F3CA2"/>
    <w:rsid w:val="009F74E7"/>
    <w:rsid w:val="00A067E6"/>
    <w:rsid w:val="00A10CD5"/>
    <w:rsid w:val="00A12C27"/>
    <w:rsid w:val="00A139E6"/>
    <w:rsid w:val="00A13EE1"/>
    <w:rsid w:val="00A20379"/>
    <w:rsid w:val="00A2474F"/>
    <w:rsid w:val="00A357F7"/>
    <w:rsid w:val="00A37C9C"/>
    <w:rsid w:val="00A4475E"/>
    <w:rsid w:val="00A452A4"/>
    <w:rsid w:val="00A57185"/>
    <w:rsid w:val="00A876E7"/>
    <w:rsid w:val="00A9761C"/>
    <w:rsid w:val="00AA1424"/>
    <w:rsid w:val="00AC081B"/>
    <w:rsid w:val="00AD3653"/>
    <w:rsid w:val="00AE4812"/>
    <w:rsid w:val="00AF2695"/>
    <w:rsid w:val="00AF2F55"/>
    <w:rsid w:val="00AF5C75"/>
    <w:rsid w:val="00B12348"/>
    <w:rsid w:val="00B13125"/>
    <w:rsid w:val="00B307EC"/>
    <w:rsid w:val="00B33130"/>
    <w:rsid w:val="00B347ED"/>
    <w:rsid w:val="00B50AC9"/>
    <w:rsid w:val="00B56CDC"/>
    <w:rsid w:val="00B935ED"/>
    <w:rsid w:val="00B95BC9"/>
    <w:rsid w:val="00BB2778"/>
    <w:rsid w:val="00BB5D42"/>
    <w:rsid w:val="00BB612A"/>
    <w:rsid w:val="00BD54ED"/>
    <w:rsid w:val="00BF0D94"/>
    <w:rsid w:val="00C13B21"/>
    <w:rsid w:val="00C3492D"/>
    <w:rsid w:val="00C43E24"/>
    <w:rsid w:val="00C47D1B"/>
    <w:rsid w:val="00C5184A"/>
    <w:rsid w:val="00C5730B"/>
    <w:rsid w:val="00CB7EF1"/>
    <w:rsid w:val="00CC716E"/>
    <w:rsid w:val="00CD109E"/>
    <w:rsid w:val="00CE0643"/>
    <w:rsid w:val="00CE70C8"/>
    <w:rsid w:val="00D00697"/>
    <w:rsid w:val="00D07EB4"/>
    <w:rsid w:val="00D2491C"/>
    <w:rsid w:val="00D41BA7"/>
    <w:rsid w:val="00D50AE2"/>
    <w:rsid w:val="00D55EA9"/>
    <w:rsid w:val="00D707BB"/>
    <w:rsid w:val="00D93016"/>
    <w:rsid w:val="00D95606"/>
    <w:rsid w:val="00D97FAD"/>
    <w:rsid w:val="00DA0911"/>
    <w:rsid w:val="00DC16F5"/>
    <w:rsid w:val="00DC1E68"/>
    <w:rsid w:val="00DC32B9"/>
    <w:rsid w:val="00DF475D"/>
    <w:rsid w:val="00E20EBD"/>
    <w:rsid w:val="00E2606C"/>
    <w:rsid w:val="00E30DC6"/>
    <w:rsid w:val="00E33333"/>
    <w:rsid w:val="00E52408"/>
    <w:rsid w:val="00E5259A"/>
    <w:rsid w:val="00E64812"/>
    <w:rsid w:val="00E65098"/>
    <w:rsid w:val="00E6675A"/>
    <w:rsid w:val="00E75CB3"/>
    <w:rsid w:val="00EA3919"/>
    <w:rsid w:val="00EA582C"/>
    <w:rsid w:val="00EB435F"/>
    <w:rsid w:val="00EC4075"/>
    <w:rsid w:val="00ED70D1"/>
    <w:rsid w:val="00EE0122"/>
    <w:rsid w:val="00EE0BDA"/>
    <w:rsid w:val="00EF0A17"/>
    <w:rsid w:val="00EF41CE"/>
    <w:rsid w:val="00F00960"/>
    <w:rsid w:val="00F04BCE"/>
    <w:rsid w:val="00F16677"/>
    <w:rsid w:val="00F3210F"/>
    <w:rsid w:val="00F373D0"/>
    <w:rsid w:val="00F455F8"/>
    <w:rsid w:val="00F46100"/>
    <w:rsid w:val="00F50742"/>
    <w:rsid w:val="00F6363D"/>
    <w:rsid w:val="00F63751"/>
    <w:rsid w:val="00F72899"/>
    <w:rsid w:val="00F8723F"/>
    <w:rsid w:val="00F961D5"/>
    <w:rsid w:val="00FA4544"/>
    <w:rsid w:val="00FE1499"/>
    <w:rsid w:val="5CCB8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1690"/>
  <w15:docId w15:val="{A2AD30F1-0EB9-4845-B05A-9B707DC9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table" w:customStyle="1" w:styleId="TableGrid1">
    <w:name w:val="Table Grid1"/>
    <w:basedOn w:val="TableNormal"/>
    <w:next w:val="TableGrid"/>
    <w:uiPriority w:val="59"/>
    <w:rsid w:val="00440A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E0B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0BDA"/>
    <w:rPr>
      <w:sz w:val="20"/>
      <w:szCs w:val="20"/>
    </w:rPr>
  </w:style>
  <w:style w:type="character" w:styleId="FootnoteReference">
    <w:name w:val="footnote reference"/>
    <w:basedOn w:val="DefaultParagraphFont"/>
    <w:uiPriority w:val="99"/>
    <w:semiHidden/>
    <w:unhideWhenUsed/>
    <w:rsid w:val="00EE0BDA"/>
    <w:rPr>
      <w:vertAlign w:val="superscript"/>
    </w:rPr>
  </w:style>
  <w:style w:type="paragraph" w:styleId="HTMLPreformatted">
    <w:name w:val="HTML Preformatted"/>
    <w:basedOn w:val="Normal"/>
    <w:link w:val="HTMLPreformattedChar"/>
    <w:uiPriority w:val="99"/>
    <w:semiHidden/>
    <w:unhideWhenUsed/>
    <w:rsid w:val="009F74E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F74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63487">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535194368">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88C280AB3EFCF489AB3EF7B29A7C5A8" ma:contentTypeVersion="0" ma:contentTypeDescription="A content type to manage public (operations) IDB documents" ma:contentTypeScope="" ma:versionID="d975f8a0fe4d7a5958e70ae7f7759cbe">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40793946</IDBDocs_x0020_Number>
    <TaxCatchAll xmlns="cdc7663a-08f0-4737-9e8c-148ce897a09c">
      <Value>36</Value>
      <Value>22</Value>
      <Value>21</Value>
      <Value>3</Value>
      <Value>121</Value>
      <Value>120</Value>
    </TaxCatchAll>
    <SISCOR_x0020_Number xmlns="cdc7663a-08f0-4737-9e8c-148ce897a09c" xsi:nil="true"/>
    <Division_x0020_or_x0020_Unit xmlns="cdc7663a-08f0-4737-9e8c-148ce897a09c">INE/WSA</Division_x0020_or_x0020_Unit>
    <Document_x0020_Author xmlns="cdc7663a-08f0-4737-9e8c-148ce897a09c">Guerrero Rivera, Marilyn Ivette</Document_x0020_Author>
    <Fiscal_x0020_Year_x0020_IDB xmlns="cdc7663a-08f0-4737-9e8c-148ce897a09c">2019</Fiscal_x0020_Year_x0020_IDB>
    <Other_x0020_Author xmlns="cdc7663a-08f0-4737-9e8c-148ce897a09c" xsi:nil="true"/>
    <Migration_x0020_Info xmlns="cdc7663a-08f0-4737-9e8c-148ce897a09c">MS WORD0N</Migration_x0020_Info>
    <Document_x0020_Language_x0020_IDB xmlns="cdc7663a-08f0-4737-9e8c-148ce897a09c">Spanish</Document_x0020_Language_x0020_IDB>
    <Identifier xmlns="cdc7663a-08f0-4737-9e8c-148ce897a09c" xsi:nil="true"/>
    <Access_x0020_to_x0020_Information_x00a0_Policy xmlns="cdc7663a-08f0-4737-9e8c-148ce897a09c">Public</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Venezuela</TermName>
          <TermId xmlns="http://schemas.microsoft.com/office/infopath/2007/PartnerControls">4facce24-ee05-410d-afce-42964d145ec0</TermId>
        </TermInfo>
      </Terms>
    </ic46d7e087fd4a108fb86518ca413cc6>
    <_dlc_DocId xmlns="cdc7663a-08f0-4737-9e8c-148ce897a09c">EZSHARE-1221239954-2</_dlc_DocId>
    <_dlc_DocIdUrl xmlns="cdc7663a-08f0-4737-9e8c-148ce897a09c">
      <Url>https://idbg.sharepoint.com/teams/EZ-VE-TCP/VE-T1072/_layouts/15/DocIdRedir.aspx?ID=EZSHARE-1221239954-2</Url>
      <Description>EZSHARE-1221239954-2</Description>
    </_dlc_DocIdUrl>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VE-T1072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Water and Sanitation;Transportation;Energy;</Webtopic>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C506BE0-3F3D-4E62-BEF8-D72B16146E99}"/>
</file>

<file path=customXml/itemProps2.xml><?xml version="1.0" encoding="utf-8"?>
<ds:datastoreItem xmlns:ds="http://schemas.openxmlformats.org/officeDocument/2006/customXml" ds:itemID="{1F4F9EAF-8E38-40E0-B017-0E87638AECC9}">
  <ds:schemaRefs>
    <ds:schemaRef ds:uri="http://schemas.microsoft.com/sharepoint/v3/contenttype/forms"/>
  </ds:schemaRefs>
</ds:datastoreItem>
</file>

<file path=customXml/itemProps3.xml><?xml version="1.0" encoding="utf-8"?>
<ds:datastoreItem xmlns:ds="http://schemas.openxmlformats.org/officeDocument/2006/customXml" ds:itemID="{A44D23C5-A1E1-4FF6-BFC7-4F5275E1B512}">
  <ds:schemaRefs>
    <ds:schemaRef ds:uri="http://schemas.microsoft.com/sharepoint/events"/>
  </ds:schemaRefs>
</ds:datastoreItem>
</file>

<file path=customXml/itemProps4.xml><?xml version="1.0" encoding="utf-8"?>
<ds:datastoreItem xmlns:ds="http://schemas.openxmlformats.org/officeDocument/2006/customXml" ds:itemID="{D533AA1A-9A66-4AD8-9081-E5513F90B418}"/>
</file>

<file path=customXml/itemProps5.xml><?xml version="1.0" encoding="utf-8"?>
<ds:datastoreItem xmlns:ds="http://schemas.openxmlformats.org/officeDocument/2006/customXml" ds:itemID="{6C48487F-B74B-4E8C-8E36-CF5C7385866C}">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63748DFE-7170-447F-8BD7-C94363CAAE47}">
  <ds:schemaRefs>
    <ds:schemaRef ds:uri="http://schemas.openxmlformats.org/officeDocument/2006/bibliography"/>
  </ds:schemaRefs>
</ds:datastoreItem>
</file>

<file path=customXml/itemProps7.xml><?xml version="1.0" encoding="utf-8"?>
<ds:datastoreItem xmlns:ds="http://schemas.openxmlformats.org/officeDocument/2006/customXml" ds:itemID="{1774130C-6714-45F3-9075-F08A58FBF6CA}"/>
</file>

<file path=docProps/app.xml><?xml version="1.0" encoding="utf-8"?>
<Properties xmlns="http://schemas.openxmlformats.org/officeDocument/2006/extended-properties" xmlns:vt="http://schemas.openxmlformats.org/officeDocument/2006/docPropsVTypes">
  <Template>Normal</Template>
  <TotalTime>35</TotalTime>
  <Pages>6</Pages>
  <Words>2832</Words>
  <Characters>16146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TC Document Appendice template (Spanish) UPDATED strategic alignment</vt:lpstr>
    </vt:vector>
  </TitlesOfParts>
  <Company>Inter-American Development Bank</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Document Appendice template (Spanish) UPDATED strategic alignment</dc:title>
  <dc:creator>Yolanda Strachan</dc:creator>
  <cp:keywords/>
  <cp:lastModifiedBy>Guerrero Rivera, Marilyn Ivette</cp:lastModifiedBy>
  <cp:revision>11</cp:revision>
  <cp:lastPrinted>2012-08-24T17:26:00Z</cp:lastPrinted>
  <dcterms:created xsi:type="dcterms:W3CDTF">2019-05-22T21:00:00Z</dcterms:created>
  <dcterms:modified xsi:type="dcterms:W3CDTF">2019-06-13T19:07:00Z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54;#Unclassified|a6dff32e-d477-44cd-a56b-85efe9e0a56c</vt:lpwstr>
  </property>
  <property fmtid="{D5CDD505-2E9C-101B-9397-08002B2CF9AE}" pid="5" name="Function Corporate IDB">
    <vt:lpwstr>53;#IDBDocs|cca77002-e150-4b2d-ab1f-1d7a7cdcae16</vt:lpwstr>
  </property>
  <property fmtid="{D5CDD505-2E9C-101B-9397-08002B2CF9AE}" pid="6" name="TaxKeywordTaxHTField">
    <vt:lpwstr/>
  </property>
  <property fmtid="{D5CDD505-2E9C-101B-9397-08002B2CF9AE}" pid="7" name="Country">
    <vt:lpwstr>21;#Venezuela|4facce24-ee05-410d-afce-42964d145ec0</vt:lpwstr>
  </property>
  <property fmtid="{D5CDD505-2E9C-101B-9397-08002B2CF9AE}" pid="8" name="Webtopic">
    <vt:lpwstr/>
  </property>
  <property fmtid="{D5CDD505-2E9C-101B-9397-08002B2CF9AE}" pid="9" name="_dlc_DocIdItemGuid">
    <vt:lpwstr>052add1c-b91a-4233-b3ab-7fb92ae2aab3</vt:lpwstr>
  </property>
  <property fmtid="{D5CDD505-2E9C-101B-9397-08002B2CF9AE}" pid="10" name="Abstract">
    <vt:lpwstr/>
  </property>
  <property fmtid="{D5CDD505-2E9C-101B-9397-08002B2CF9AE}" pid="11" name="Disclosure Activity">
    <vt:lpwstr>TC Abstract</vt:lpwstr>
  </property>
  <property fmtid="{D5CDD505-2E9C-101B-9397-08002B2CF9AE}" pid="12" name="Region">
    <vt:lpwstr/>
  </property>
  <property fmtid="{D5CDD505-2E9C-101B-9397-08002B2CF9AE}" pid="13" name="Publication Type">
    <vt:lpwstr/>
  </property>
  <property fmtid="{D5CDD505-2E9C-101B-9397-08002B2CF9AE}" pid="14" name="Publishing House">
    <vt:lpwstr/>
  </property>
  <property fmtid="{D5CDD505-2E9C-101B-9397-08002B2CF9AE}" pid="15" name="KP Topics">
    <vt:lpwstr/>
  </property>
  <property fmtid="{D5CDD505-2E9C-101B-9397-08002B2CF9AE}" pid="16" name="Editor1">
    <vt:lpwstr/>
  </property>
  <property fmtid="{D5CDD505-2E9C-101B-9397-08002B2CF9AE}" pid="17" name="URL">
    <vt:lpwstr/>
  </property>
  <property fmtid="{D5CDD505-2E9C-101B-9397-08002B2CF9AE}" pid="18" name="Sub-Sector">
    <vt:lpwstr>121;#WATER SUPPLY RURAL AND PERI-URBAN|8436ee66-009e-4204-be28-64e6f6bf19fc</vt:lpwstr>
  </property>
  <property fmtid="{D5CDD505-2E9C-101B-9397-08002B2CF9AE}" pid="19" name="Series Operations IDB">
    <vt:lpwstr>36;#TC Abstract|7d12d2c9-3b07-4a95-a4b4-99c2881b0472</vt:lpwstr>
  </property>
  <property fmtid="{D5CDD505-2E9C-101B-9397-08002B2CF9AE}" pid="20" name="Fund IDB">
    <vt:lpwstr>22;#INF|474aab72-0205-4196-bca7-4b288939fcb3</vt:lpwstr>
  </property>
  <property fmtid="{D5CDD505-2E9C-101B-9397-08002B2CF9AE}" pid="21" name="Sector IDB">
    <vt:lpwstr>120;#WATER AND SANITATION|ba6b63cd-e402-47cb-9357-08149f7ce046</vt:lpwstr>
  </property>
  <property fmtid="{D5CDD505-2E9C-101B-9397-08002B2CF9AE}" pid="22" name="Function Operations IDB">
    <vt:lpwstr>3;#Project Preparation, Planning and Design|29ca0c72-1fc4-435f-a09c-28585cb5eac9</vt:lpwstr>
  </property>
  <property fmtid="{D5CDD505-2E9C-101B-9397-08002B2CF9AE}" pid="23" name="ContentTypeId">
    <vt:lpwstr>0x0101001A458A224826124E8B45B1D613300CFC00588C280AB3EFCF489AB3EF7B29A7C5A8</vt:lpwstr>
  </property>
</Properties>
</file>